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79" w:type="pct"/>
        <w:tblInd w:w="-72" w:type="dxa"/>
        <w:tblLayout w:type="fixed"/>
        <w:tblLook w:val="01E0" w:firstRow="1" w:lastRow="1" w:firstColumn="1" w:lastColumn="1" w:noHBand="0" w:noVBand="0"/>
      </w:tblPr>
      <w:tblGrid>
        <w:gridCol w:w="9393"/>
      </w:tblGrid>
      <w:tr w:rsidR="000931AF" w:rsidRPr="002E5E42" w14:paraId="724A0421" w14:textId="77777777" w:rsidTr="000931AF">
        <w:tc>
          <w:tcPr>
            <w:tcW w:w="5000" w:type="pct"/>
            <w:shd w:val="clear" w:color="auto" w:fill="auto"/>
          </w:tcPr>
          <w:p w14:paraId="167D09AC" w14:textId="77777777" w:rsidR="000931AF" w:rsidRDefault="000931AF" w:rsidP="00D55A8C">
            <w:pPr>
              <w:jc w:val="center"/>
              <w:rPr>
                <w:b/>
                <w:sz w:val="32"/>
                <w:szCs w:val="32"/>
                <w:lang w:val="en-AU"/>
              </w:rPr>
            </w:pPr>
            <w:bookmarkStart w:id="0" w:name="_GoBack"/>
            <w:bookmarkEnd w:id="0"/>
            <w:r w:rsidRPr="00D55A8C">
              <w:rPr>
                <w:b/>
                <w:color w:val="000000"/>
                <w:spacing w:val="-3"/>
                <w:szCs w:val="20"/>
                <w:lang w:val="en-AU"/>
              </w:rPr>
              <w:t>PRODUCT INFORMATION</w:t>
            </w:r>
          </w:p>
          <w:p w14:paraId="55E8D7D6" w14:textId="77777777" w:rsidR="000931AF" w:rsidRDefault="000931AF" w:rsidP="00D55A8C">
            <w:pPr>
              <w:jc w:val="center"/>
              <w:rPr>
                <w:lang w:val="en-AU"/>
              </w:rPr>
            </w:pPr>
          </w:p>
          <w:p w14:paraId="60AD0A1A" w14:textId="77777777" w:rsidR="000931AF" w:rsidRDefault="00CF7854" w:rsidP="00686DA0">
            <w:pPr>
              <w:pStyle w:val="BodyText"/>
              <w:pageBreakBefore/>
              <w:spacing w:after="0"/>
              <w:jc w:val="center"/>
              <w:rPr>
                <w:b/>
                <w:vertAlign w:val="superscript"/>
                <w:lang w:val="en-AU"/>
              </w:rPr>
            </w:pPr>
            <w:r w:rsidRPr="00D55A8C">
              <w:rPr>
                <w:b/>
                <w:lang w:val="en-AU"/>
              </w:rPr>
              <w:t>NOVOEIGHT</w:t>
            </w:r>
            <w:r>
              <w:rPr>
                <w:b/>
                <w:vertAlign w:val="superscript"/>
                <w:lang w:val="en-AU"/>
              </w:rPr>
              <w:t>®</w:t>
            </w:r>
          </w:p>
          <w:p w14:paraId="69696DB8" w14:textId="77777777" w:rsidR="000931AF" w:rsidRDefault="000931AF" w:rsidP="00475948">
            <w:pPr>
              <w:pStyle w:val="BodyText"/>
              <w:spacing w:after="0"/>
              <w:jc w:val="center"/>
              <w:rPr>
                <w:b/>
                <w:lang w:val="en-AU"/>
              </w:rPr>
            </w:pPr>
            <w:proofErr w:type="spellStart"/>
            <w:r w:rsidRPr="00475948">
              <w:rPr>
                <w:b/>
                <w:lang w:val="en-AU"/>
              </w:rPr>
              <w:t>T</w:t>
            </w:r>
            <w:r>
              <w:rPr>
                <w:b/>
                <w:lang w:val="en-AU"/>
              </w:rPr>
              <w:t>uroctocog</w:t>
            </w:r>
            <w:proofErr w:type="spellEnd"/>
            <w:r>
              <w:rPr>
                <w:b/>
                <w:lang w:val="en-AU"/>
              </w:rPr>
              <w:t xml:space="preserve"> </w:t>
            </w:r>
            <w:proofErr w:type="spellStart"/>
            <w:r>
              <w:rPr>
                <w:b/>
                <w:lang w:val="en-AU"/>
              </w:rPr>
              <w:t>alfa</w:t>
            </w:r>
            <w:proofErr w:type="spellEnd"/>
            <w:r>
              <w:rPr>
                <w:b/>
                <w:lang w:val="en-AU"/>
              </w:rPr>
              <w:t xml:space="preserve"> (</w:t>
            </w:r>
            <w:proofErr w:type="spellStart"/>
            <w:r>
              <w:rPr>
                <w:b/>
                <w:lang w:val="en-AU"/>
              </w:rPr>
              <w:t>rch</w:t>
            </w:r>
            <w:proofErr w:type="spellEnd"/>
            <w:r>
              <w:rPr>
                <w:b/>
                <w:lang w:val="en-AU"/>
              </w:rPr>
              <w:t>)</w:t>
            </w:r>
          </w:p>
          <w:p w14:paraId="0CA329BA" w14:textId="77777777" w:rsidR="000931AF" w:rsidRDefault="000931AF" w:rsidP="00475948">
            <w:pPr>
              <w:pStyle w:val="BodyText"/>
              <w:spacing w:after="0"/>
              <w:jc w:val="center"/>
              <w:rPr>
                <w:b/>
              </w:rPr>
            </w:pPr>
            <w:r>
              <w:rPr>
                <w:b/>
                <w:lang w:val="en-AU"/>
              </w:rPr>
              <w:t>(r</w:t>
            </w:r>
            <w:proofErr w:type="spellStart"/>
            <w:r>
              <w:rPr>
                <w:b/>
              </w:rPr>
              <w:t>ecombinant</w:t>
            </w:r>
            <w:proofErr w:type="spellEnd"/>
            <w:r>
              <w:rPr>
                <w:b/>
              </w:rPr>
              <w:t xml:space="preserve"> human coagulation factor VIII; rFVIII) </w:t>
            </w:r>
          </w:p>
          <w:p w14:paraId="6A847E0A" w14:textId="77777777" w:rsidR="000931AF" w:rsidRPr="00475948" w:rsidRDefault="000931AF" w:rsidP="00475948">
            <w:pPr>
              <w:pStyle w:val="BodyText"/>
              <w:spacing w:after="0"/>
              <w:jc w:val="center"/>
              <w:rPr>
                <w:b/>
              </w:rPr>
            </w:pPr>
            <w:r w:rsidRPr="00475948">
              <w:rPr>
                <w:b/>
              </w:rPr>
              <w:t>250 IU</w:t>
            </w:r>
            <w:r>
              <w:rPr>
                <w:b/>
              </w:rPr>
              <w:t>, 500 IU, 1000 IU, 1500 IU, 2000 IU, 3000 IU</w:t>
            </w:r>
          </w:p>
          <w:p w14:paraId="77E42BAF" w14:textId="77777777" w:rsidR="000931AF" w:rsidRDefault="000931AF" w:rsidP="00DB7590">
            <w:pPr>
              <w:pStyle w:val="BodyText"/>
              <w:pageBreakBefore/>
              <w:spacing w:after="0" w:line="240" w:lineRule="auto"/>
              <w:jc w:val="center"/>
              <w:rPr>
                <w:b/>
              </w:rPr>
            </w:pPr>
          </w:p>
          <w:p w14:paraId="076CC18D" w14:textId="77777777" w:rsidR="000931AF" w:rsidRPr="00D55A8C" w:rsidRDefault="000931AF" w:rsidP="000D7B8B">
            <w:pPr>
              <w:pStyle w:val="BodyText"/>
              <w:pageBreakBefore/>
              <w:jc w:val="center"/>
            </w:pPr>
            <w:r>
              <w:rPr>
                <w:b/>
              </w:rPr>
              <w:t>Powder and pre-filled solvent syringe for solution for injection</w:t>
            </w:r>
          </w:p>
        </w:tc>
      </w:tr>
      <w:tr w:rsidR="000931AF" w:rsidRPr="002E5E42" w14:paraId="748B3A84" w14:textId="77777777" w:rsidTr="000931AF">
        <w:tc>
          <w:tcPr>
            <w:tcW w:w="5000" w:type="pct"/>
            <w:shd w:val="clear" w:color="auto" w:fill="auto"/>
          </w:tcPr>
          <w:p w14:paraId="1C8D51E3" w14:textId="77777777" w:rsidR="000931AF" w:rsidRPr="00DC721F" w:rsidRDefault="000931AF" w:rsidP="00574263">
            <w:pPr>
              <w:spacing w:after="240"/>
              <w:jc w:val="both"/>
            </w:pPr>
            <w:bookmarkStart w:id="1" w:name="_Toc277680912"/>
            <w:bookmarkStart w:id="2" w:name="_Toc277928432"/>
            <w:bookmarkStart w:id="3" w:name="_Toc278458588"/>
            <w:bookmarkStart w:id="4" w:name="_Toc332180091"/>
            <w:r w:rsidRPr="00B83A1A">
              <w:rPr>
                <w:b/>
                <w:lang w:val="en-AU"/>
              </w:rPr>
              <w:t>NAME OF THE MEDICINE</w:t>
            </w:r>
            <w:bookmarkEnd w:id="1"/>
            <w:bookmarkEnd w:id="2"/>
            <w:bookmarkEnd w:id="3"/>
            <w:bookmarkEnd w:id="4"/>
          </w:p>
        </w:tc>
      </w:tr>
      <w:tr w:rsidR="000931AF" w:rsidRPr="002F3B80" w14:paraId="7F5F7F44" w14:textId="77777777" w:rsidTr="000931AF">
        <w:tc>
          <w:tcPr>
            <w:tcW w:w="5000" w:type="pct"/>
            <w:shd w:val="clear" w:color="auto" w:fill="auto"/>
          </w:tcPr>
          <w:p w14:paraId="1C50DDFB" w14:textId="77777777" w:rsidR="000931AF" w:rsidRDefault="000931AF" w:rsidP="00DC5D9A">
            <w:pPr>
              <w:pStyle w:val="BodyText"/>
              <w:jc w:val="both"/>
            </w:pPr>
            <w:proofErr w:type="spellStart"/>
            <w:r>
              <w:t>Turoctocog</w:t>
            </w:r>
            <w:proofErr w:type="spellEnd"/>
            <w:r>
              <w:t xml:space="preserve"> </w:t>
            </w:r>
            <w:proofErr w:type="spellStart"/>
            <w:r>
              <w:t>alfa</w:t>
            </w:r>
            <w:proofErr w:type="spellEnd"/>
            <w:r>
              <w:t xml:space="preserve"> (</w:t>
            </w:r>
            <w:proofErr w:type="spellStart"/>
            <w:r>
              <w:t>rch</w:t>
            </w:r>
            <w:proofErr w:type="spellEnd"/>
            <w:r>
              <w:t>)</w:t>
            </w:r>
          </w:p>
          <w:p w14:paraId="65609B9B" w14:textId="77777777" w:rsidR="000931AF" w:rsidRDefault="000931AF" w:rsidP="00DC5D9A">
            <w:pPr>
              <w:pStyle w:val="BodyText"/>
              <w:spacing w:line="240" w:lineRule="auto"/>
              <w:jc w:val="both"/>
            </w:pPr>
            <w:r w:rsidRPr="005F36B5">
              <w:t>CAS name: Blood-coagulation factor VIII (synthetic human turoctocog alfa heavy chain), compd. with blood-coagulation factor VIII (synthetic human turoctocog alfa light chain).</w:t>
            </w:r>
          </w:p>
          <w:p w14:paraId="463E76B4" w14:textId="349EBCF7" w:rsidR="000931AF" w:rsidRDefault="000931AF" w:rsidP="00DC5D9A">
            <w:pPr>
              <w:pStyle w:val="BodyText"/>
              <w:spacing w:line="240" w:lineRule="auto"/>
              <w:jc w:val="both"/>
            </w:pPr>
            <w:r w:rsidRPr="005F36B5">
              <w:t>CA</w:t>
            </w:r>
            <w:r w:rsidR="00E83C0F">
              <w:t>S Registry Number: 1192451-26-5</w:t>
            </w:r>
          </w:p>
          <w:p w14:paraId="655CB8B8" w14:textId="77777777" w:rsidR="000931AF" w:rsidRPr="007D3344" w:rsidRDefault="000931AF" w:rsidP="00DC5D9A">
            <w:pPr>
              <w:pStyle w:val="BodyText"/>
              <w:spacing w:line="240" w:lineRule="auto"/>
              <w:jc w:val="both"/>
              <w:rPr>
                <w:b/>
              </w:rPr>
            </w:pPr>
            <w:r w:rsidRPr="00B83A1A">
              <w:rPr>
                <w:b/>
              </w:rPr>
              <w:t>DESCRIPTION</w:t>
            </w:r>
          </w:p>
          <w:p w14:paraId="3127692D" w14:textId="77777777" w:rsidR="000931AF" w:rsidRPr="002A322E" w:rsidRDefault="000931AF" w:rsidP="00DC5D9A">
            <w:pPr>
              <w:pStyle w:val="BodyText"/>
              <w:jc w:val="both"/>
            </w:pPr>
            <w:proofErr w:type="spellStart"/>
            <w:r>
              <w:t>NovoEight</w:t>
            </w:r>
            <w:proofErr w:type="spellEnd"/>
            <w:r>
              <w:t xml:space="preserve"> (</w:t>
            </w:r>
            <w:proofErr w:type="spellStart"/>
            <w:r>
              <w:t>turoctocog</w:t>
            </w:r>
            <w:proofErr w:type="spellEnd"/>
            <w:r>
              <w:t xml:space="preserve"> </w:t>
            </w:r>
            <w:proofErr w:type="spellStart"/>
            <w:r>
              <w:t>alfa</w:t>
            </w:r>
            <w:proofErr w:type="spellEnd"/>
            <w:r>
              <w:t xml:space="preserve">; human coagulation factor VIII) is </w:t>
            </w:r>
            <w:r w:rsidRPr="00DE6F85">
              <w:t xml:space="preserve">a purified protein </w:t>
            </w:r>
            <w:r w:rsidRPr="005F4AC3">
              <w:t xml:space="preserve">for use in </w:t>
            </w:r>
            <w:r>
              <w:t xml:space="preserve">the clinical management of </w:t>
            </w:r>
            <w:r w:rsidRPr="005F4AC3">
              <w:t>factor VIII deficiency (haemophilia A or classic haemophilia).</w:t>
            </w:r>
            <w:r w:rsidRPr="00DE6F85">
              <w:t xml:space="preserve"> </w:t>
            </w:r>
            <w:r>
              <w:t>Turoctocog alfa</w:t>
            </w:r>
            <w:r w:rsidRPr="00DE6F85">
              <w:t xml:space="preserve"> is </w:t>
            </w:r>
            <w:r>
              <w:t xml:space="preserve">produced by recombinant DNA technology in Chinese hamster ovary cells and is a third generation FVIII product prepared without the use of serum or other animal-derived components. The manufacturing method of </w:t>
            </w:r>
            <w:proofErr w:type="spellStart"/>
            <w:r>
              <w:t>NovoEight</w:t>
            </w:r>
            <w:proofErr w:type="spellEnd"/>
            <w:r>
              <w:t xml:space="preserve"> minimises the risk of transmission of viral diseases.</w:t>
            </w:r>
          </w:p>
          <w:p w14:paraId="4FFAA044" w14:textId="48D905A5" w:rsidR="000931AF" w:rsidRDefault="000931AF" w:rsidP="00DC5D9A">
            <w:pPr>
              <w:pStyle w:val="BodyText"/>
              <w:spacing w:line="240" w:lineRule="auto"/>
              <w:jc w:val="both"/>
            </w:pPr>
            <w:r>
              <w:t>T</w:t>
            </w:r>
            <w:r w:rsidRPr="006628F6">
              <w:t xml:space="preserve">uroctocog alfa </w:t>
            </w:r>
            <w:r>
              <w:t xml:space="preserve">has an approximate molecular mass of 166 </w:t>
            </w:r>
            <w:proofErr w:type="spellStart"/>
            <w:r>
              <w:t>kDa</w:t>
            </w:r>
            <w:proofErr w:type="spellEnd"/>
            <w:r>
              <w:t xml:space="preserve"> (calculated excluding post-translational modifications). The turoctocog alfa</w:t>
            </w:r>
            <w:r w:rsidRPr="006628F6">
              <w:t xml:space="preserve"> molecule is </w:t>
            </w:r>
            <w:r>
              <w:t xml:space="preserve">a 1445 amino acid </w:t>
            </w:r>
            <w:r w:rsidRPr="006628F6">
              <w:t>polypeptide containing a heavy chain o</w:t>
            </w:r>
            <w:r>
              <w:t>f</w:t>
            </w:r>
            <w:r w:rsidRPr="006628F6">
              <w:t xml:space="preserve"> 87 </w:t>
            </w:r>
            <w:proofErr w:type="spellStart"/>
            <w:r w:rsidRPr="006628F6">
              <w:t>kDa</w:t>
            </w:r>
            <w:proofErr w:type="spellEnd"/>
            <w:r w:rsidRPr="006628F6">
              <w:t xml:space="preserve"> and a light chain of 79 </w:t>
            </w:r>
            <w:proofErr w:type="spellStart"/>
            <w:r w:rsidRPr="006628F6">
              <w:t>kDa</w:t>
            </w:r>
            <w:proofErr w:type="spellEnd"/>
            <w:r w:rsidRPr="006628F6">
              <w:t xml:space="preserve"> held together by non-covalent interactions. In wild type factor VIII </w:t>
            </w:r>
            <w:r>
              <w:t>the heavy chain contains varying lengths of</w:t>
            </w:r>
            <w:r w:rsidRPr="006628F6">
              <w:t xml:space="preserve"> B-domain, which in turoctocog alfa is </w:t>
            </w:r>
            <w:r>
              <w:t>a truncated B-domain with</w:t>
            </w:r>
            <w:r w:rsidRPr="006628F6">
              <w:t xml:space="preserve"> 21 amino acid residue</w:t>
            </w:r>
            <w:r>
              <w:t>s</w:t>
            </w:r>
            <w:r w:rsidRPr="006628F6">
              <w:t>.</w:t>
            </w:r>
            <w:r>
              <w:t xml:space="preserve"> Six potential sites for tyrosine </w:t>
            </w:r>
            <w:proofErr w:type="spellStart"/>
            <w:r>
              <w:t>sulfation</w:t>
            </w:r>
            <w:proofErr w:type="spellEnd"/>
            <w:r>
              <w:t xml:space="preserve"> have been shown to be </w:t>
            </w:r>
            <w:proofErr w:type="spellStart"/>
            <w:r>
              <w:t>sulfated</w:t>
            </w:r>
            <w:proofErr w:type="spellEnd"/>
            <w:r>
              <w:t xml:space="preserve"> in the </w:t>
            </w:r>
            <w:proofErr w:type="spellStart"/>
            <w:r>
              <w:t>turoctocog</w:t>
            </w:r>
            <w:proofErr w:type="spellEnd"/>
            <w:r>
              <w:t xml:space="preserve"> alfa molecule. The tyrosine </w:t>
            </w:r>
            <w:proofErr w:type="spellStart"/>
            <w:r>
              <w:t>sulfation</w:t>
            </w:r>
            <w:proofErr w:type="spellEnd"/>
            <w:r>
              <w:t xml:space="preserve"> site present at Tyr32 (in the light chain; Tyr1680 in native full length), which is important for the binding to von </w:t>
            </w:r>
            <w:proofErr w:type="spellStart"/>
            <w:r>
              <w:t>Willebrand</w:t>
            </w:r>
            <w:proofErr w:type="spellEnd"/>
            <w:r>
              <w:t xml:space="preserve"> factor, has been found to be fully </w:t>
            </w:r>
            <w:proofErr w:type="spellStart"/>
            <w:r>
              <w:t>sulfated</w:t>
            </w:r>
            <w:proofErr w:type="spellEnd"/>
            <w:r>
              <w:t xml:space="preserve"> in the</w:t>
            </w:r>
            <w:r w:rsidR="00E83C0F">
              <w:t xml:space="preserve"> </w:t>
            </w:r>
            <w:proofErr w:type="spellStart"/>
            <w:r w:rsidR="00E83C0F">
              <w:t>turoctocog</w:t>
            </w:r>
            <w:proofErr w:type="spellEnd"/>
            <w:r w:rsidR="00E83C0F">
              <w:t xml:space="preserve"> </w:t>
            </w:r>
            <w:proofErr w:type="spellStart"/>
            <w:r w:rsidR="00E83C0F">
              <w:t>alfa</w:t>
            </w:r>
            <w:proofErr w:type="spellEnd"/>
            <w:r w:rsidR="00E83C0F">
              <w:t xml:space="preserve"> molecule.</w:t>
            </w:r>
          </w:p>
          <w:p w14:paraId="5CE31E07" w14:textId="77777777" w:rsidR="000931AF" w:rsidRDefault="000931AF" w:rsidP="00DC5D9A">
            <w:pPr>
              <w:pStyle w:val="BodyText"/>
              <w:spacing w:line="240" w:lineRule="auto"/>
              <w:jc w:val="both"/>
            </w:pPr>
            <w:r w:rsidRPr="002A322E">
              <w:t>Each vial contains nominally 250, 500, 1000, 1500, 2000 or 3000</w:t>
            </w:r>
            <w:r>
              <w:t xml:space="preserve"> international units</w:t>
            </w:r>
            <w:r w:rsidRPr="002A322E">
              <w:t xml:space="preserve"> </w:t>
            </w:r>
            <w:r>
              <w:t>(</w:t>
            </w:r>
            <w:r w:rsidRPr="002A322E">
              <w:t>IU</w:t>
            </w:r>
            <w:r>
              <w:t xml:space="preserve">) </w:t>
            </w:r>
            <w:proofErr w:type="spellStart"/>
            <w:r>
              <w:t>turoctocog</w:t>
            </w:r>
            <w:proofErr w:type="spellEnd"/>
            <w:r>
              <w:t xml:space="preserve"> </w:t>
            </w:r>
            <w:proofErr w:type="spellStart"/>
            <w:r>
              <w:t>alfa</w:t>
            </w:r>
            <w:proofErr w:type="spellEnd"/>
            <w:r>
              <w:t xml:space="preserve"> (</w:t>
            </w:r>
            <w:proofErr w:type="spellStart"/>
            <w:r>
              <w:t>rch</w:t>
            </w:r>
            <w:proofErr w:type="spellEnd"/>
            <w:r>
              <w:t>)</w:t>
            </w:r>
            <w:r w:rsidRPr="002A322E">
              <w:t xml:space="preserve"> </w:t>
            </w:r>
            <w:r>
              <w:t>(</w:t>
            </w:r>
            <w:r w:rsidRPr="002A322E">
              <w:t>human coagulation factor VIII</w:t>
            </w:r>
            <w:r>
              <w:t>)</w:t>
            </w:r>
            <w:r w:rsidRPr="002A322E">
              <w:t xml:space="preserve">. </w:t>
            </w:r>
            <w:r>
              <w:t xml:space="preserve">One ml of </w:t>
            </w:r>
            <w:proofErr w:type="spellStart"/>
            <w:r>
              <w:t>NovoEight</w:t>
            </w:r>
            <w:proofErr w:type="spellEnd"/>
            <w:r>
              <w:t xml:space="preserve"> contains approximately 62.5-750 IU of </w:t>
            </w:r>
            <w:proofErr w:type="spellStart"/>
            <w:r>
              <w:t>turoctocog</w:t>
            </w:r>
            <w:proofErr w:type="spellEnd"/>
            <w:r>
              <w:t xml:space="preserve"> </w:t>
            </w:r>
            <w:proofErr w:type="spellStart"/>
            <w:r>
              <w:t>alfa</w:t>
            </w:r>
            <w:proofErr w:type="spellEnd"/>
            <w:r>
              <w:t xml:space="preserve"> (</w:t>
            </w:r>
            <w:proofErr w:type="spellStart"/>
            <w:r>
              <w:t>rch</w:t>
            </w:r>
            <w:proofErr w:type="spellEnd"/>
            <w:r>
              <w:t>) (human coagulation factor VIII) after reconstitution.</w:t>
            </w:r>
            <w:r w:rsidRPr="002A322E">
              <w:t xml:space="preserve"> The potency (IU) is determined using the European Pharmacopoeia chromogenic assay. The specific activity of </w:t>
            </w:r>
            <w:proofErr w:type="spellStart"/>
            <w:r>
              <w:t>NovoEight</w:t>
            </w:r>
            <w:proofErr w:type="spellEnd"/>
            <w:r w:rsidRPr="002A322E">
              <w:t xml:space="preserve"> is </w:t>
            </w:r>
            <w:r w:rsidRPr="00317429">
              <w:t>8337</w:t>
            </w:r>
            <w:r w:rsidRPr="002A322E">
              <w:t xml:space="preserve"> IU/mg protein.</w:t>
            </w:r>
          </w:p>
          <w:p w14:paraId="1003DDC5" w14:textId="77777777" w:rsidR="000931AF" w:rsidRPr="008D3327" w:rsidRDefault="000931AF" w:rsidP="00B00074">
            <w:pPr>
              <w:pStyle w:val="BodyText"/>
              <w:jc w:val="both"/>
            </w:pPr>
            <w:proofErr w:type="spellStart"/>
            <w:r w:rsidRPr="00B83A1A">
              <w:rPr>
                <w:lang w:val="en-AU"/>
              </w:rPr>
              <w:t>NovoEight</w:t>
            </w:r>
            <w:proofErr w:type="spellEnd"/>
            <w:r w:rsidRPr="00B83A1A">
              <w:rPr>
                <w:lang w:val="en-AU"/>
              </w:rPr>
              <w:t xml:space="preserve"> powder for solution for injection contains the following excipients: s</w:t>
            </w:r>
            <w:proofErr w:type="spellStart"/>
            <w:r w:rsidRPr="00B83A1A">
              <w:t>odium</w:t>
            </w:r>
            <w:proofErr w:type="spellEnd"/>
            <w:r w:rsidRPr="00B83A1A">
              <w:t xml:space="preserve"> chloride, histidine, sucrose, </w:t>
            </w:r>
            <w:proofErr w:type="spellStart"/>
            <w:r w:rsidRPr="00B83A1A">
              <w:t>polysorbate</w:t>
            </w:r>
            <w:proofErr w:type="spellEnd"/>
            <w:r w:rsidRPr="00B83A1A">
              <w:t xml:space="preserve"> 80, methionine, calcium chloride, sodium hydroxide </w:t>
            </w:r>
            <w:r w:rsidRPr="00B83A1A">
              <w:rPr>
                <w:lang w:val="en-AU"/>
              </w:rPr>
              <w:t>(for pH-adjustment)</w:t>
            </w:r>
            <w:r w:rsidRPr="00B83A1A">
              <w:t xml:space="preserve"> and hydrochloric acid </w:t>
            </w:r>
            <w:r w:rsidRPr="00B83A1A">
              <w:rPr>
                <w:lang w:val="en-AU"/>
              </w:rPr>
              <w:t>(for pH-adjustment)</w:t>
            </w:r>
            <w:r w:rsidRPr="00B83A1A">
              <w:t xml:space="preserve">. </w:t>
            </w:r>
            <w:proofErr w:type="spellStart"/>
            <w:r w:rsidRPr="00B83A1A">
              <w:t>NovoEight</w:t>
            </w:r>
            <w:proofErr w:type="spellEnd"/>
            <w:r w:rsidRPr="00B83A1A">
              <w:t xml:space="preserve"> solvent contains sodium chloride and water for injections.</w:t>
            </w:r>
          </w:p>
        </w:tc>
      </w:tr>
      <w:tr w:rsidR="000931AF" w:rsidRPr="002E5E42" w14:paraId="29AFA62F" w14:textId="77777777" w:rsidTr="000931AF">
        <w:trPr>
          <w:trHeight w:val="450"/>
        </w:trPr>
        <w:tc>
          <w:tcPr>
            <w:tcW w:w="5000" w:type="pct"/>
            <w:shd w:val="clear" w:color="auto" w:fill="auto"/>
          </w:tcPr>
          <w:p w14:paraId="0DA25675" w14:textId="77777777" w:rsidR="000931AF" w:rsidRPr="00B83A1A" w:rsidRDefault="000931AF" w:rsidP="00DC5D9A">
            <w:pPr>
              <w:spacing w:after="240"/>
              <w:jc w:val="both"/>
              <w:rPr>
                <w:b/>
                <w:u w:val="single"/>
                <w:lang w:val="en-AU"/>
              </w:rPr>
            </w:pPr>
            <w:r w:rsidRPr="00B83A1A">
              <w:rPr>
                <w:b/>
                <w:lang w:val="en-AU"/>
              </w:rPr>
              <w:lastRenderedPageBreak/>
              <w:t>PH</w:t>
            </w:r>
            <w:r w:rsidRPr="00B83A1A">
              <w:rPr>
                <w:b/>
                <w:bCs/>
                <w:lang w:val="en-AU"/>
              </w:rPr>
              <w:t>A</w:t>
            </w:r>
            <w:r w:rsidRPr="00B83A1A">
              <w:rPr>
                <w:b/>
                <w:lang w:val="en-AU"/>
              </w:rPr>
              <w:t>RMACOLOGY</w:t>
            </w:r>
          </w:p>
          <w:p w14:paraId="27DB78A2" w14:textId="77777777" w:rsidR="000931AF" w:rsidDel="008430F8" w:rsidRDefault="000931AF" w:rsidP="00DC5D9A">
            <w:pPr>
              <w:pStyle w:val="BodyText"/>
              <w:jc w:val="both"/>
            </w:pPr>
            <w:r w:rsidRPr="00B83A1A">
              <w:rPr>
                <w:b/>
                <w:u w:val="single"/>
                <w:lang w:val="en-AU"/>
              </w:rPr>
              <w:t>Pharmacodynamics</w:t>
            </w:r>
          </w:p>
        </w:tc>
      </w:tr>
      <w:tr w:rsidR="000931AF" w:rsidRPr="002E5E42" w14:paraId="1F4F5EFB" w14:textId="77777777" w:rsidTr="000931AF">
        <w:trPr>
          <w:trHeight w:val="450"/>
        </w:trPr>
        <w:tc>
          <w:tcPr>
            <w:tcW w:w="5000" w:type="pct"/>
            <w:shd w:val="clear" w:color="auto" w:fill="auto"/>
          </w:tcPr>
          <w:p w14:paraId="52872FEA" w14:textId="48C40DB2" w:rsidR="000931AF" w:rsidRPr="006628F6" w:rsidRDefault="000931AF" w:rsidP="00DC5D9A">
            <w:pPr>
              <w:pStyle w:val="BodyText"/>
              <w:jc w:val="both"/>
            </w:pPr>
            <w:proofErr w:type="spellStart"/>
            <w:r w:rsidRPr="006628F6">
              <w:t>Pharmacotherapeu</w:t>
            </w:r>
            <w:r>
              <w:t>tic</w:t>
            </w:r>
            <w:proofErr w:type="spellEnd"/>
            <w:r>
              <w:t xml:space="preserve"> g</w:t>
            </w:r>
            <w:r w:rsidRPr="006628F6">
              <w:t xml:space="preserve">roup: </w:t>
            </w:r>
            <w:proofErr w:type="spellStart"/>
            <w:r>
              <w:t>a</w:t>
            </w:r>
            <w:r w:rsidRPr="006628F6">
              <w:t>ntih</w:t>
            </w:r>
            <w:r>
              <w:t>a</w:t>
            </w:r>
            <w:r w:rsidRPr="006628F6">
              <w:t>emorrhagics</w:t>
            </w:r>
            <w:proofErr w:type="spellEnd"/>
            <w:r>
              <w:t>,</w:t>
            </w:r>
            <w:r w:rsidRPr="006628F6">
              <w:t xml:space="preserve"> blood coagulation factor VIII. </w:t>
            </w:r>
            <w:r>
              <w:t>ATC code: Not yet assigned</w:t>
            </w:r>
            <w:r w:rsidR="00E83C0F">
              <w:t>.</w:t>
            </w:r>
          </w:p>
          <w:p w14:paraId="274611DB" w14:textId="77777777" w:rsidR="000931AF" w:rsidRPr="00C76B79" w:rsidRDefault="000931AF" w:rsidP="00DC5D9A">
            <w:pPr>
              <w:pStyle w:val="BodyText"/>
              <w:spacing w:after="0"/>
              <w:jc w:val="both"/>
              <w:rPr>
                <w:i/>
              </w:rPr>
            </w:pPr>
            <w:r w:rsidRPr="00C06036">
              <w:rPr>
                <w:u w:val="single"/>
              </w:rPr>
              <w:t>Mechanism of action</w:t>
            </w:r>
          </w:p>
          <w:p w14:paraId="7D89820E" w14:textId="68206FF8" w:rsidR="000931AF" w:rsidRPr="006628F6" w:rsidRDefault="000931AF" w:rsidP="00EC7EBA">
            <w:pPr>
              <w:pStyle w:val="BodyText"/>
              <w:jc w:val="both"/>
            </w:pPr>
            <w:proofErr w:type="spellStart"/>
            <w:r>
              <w:t>NovoEight</w:t>
            </w:r>
            <w:proofErr w:type="spellEnd"/>
            <w:r>
              <w:t xml:space="preserve"> </w:t>
            </w:r>
            <w:r w:rsidRPr="006628F6">
              <w:t xml:space="preserve">contains </w:t>
            </w:r>
            <w:proofErr w:type="spellStart"/>
            <w:r>
              <w:t>turoctocog</w:t>
            </w:r>
            <w:proofErr w:type="spellEnd"/>
            <w:r>
              <w:t xml:space="preserve"> </w:t>
            </w:r>
            <w:proofErr w:type="spellStart"/>
            <w:r>
              <w:t>alfa</w:t>
            </w:r>
            <w:proofErr w:type="spellEnd"/>
            <w:r>
              <w:t>,</w:t>
            </w:r>
            <w:r w:rsidRPr="006628F6">
              <w:t xml:space="preserve"> a </w:t>
            </w:r>
            <w:r w:rsidRPr="000276D6">
              <w:t>glycoprotein that has the same structure as human factor VIII when activated</w:t>
            </w:r>
            <w:r w:rsidRPr="006628F6">
              <w:t>, and post-translational modifications that are similar to those of the plasma-derived molecule.</w:t>
            </w:r>
            <w:r>
              <w:t xml:space="preserve"> </w:t>
            </w:r>
            <w:r w:rsidRPr="006628F6">
              <w:t>When infus</w:t>
            </w:r>
            <w:r>
              <w:t>ed into a haemophilia patient, f</w:t>
            </w:r>
            <w:r w:rsidRPr="006628F6">
              <w:t xml:space="preserve">actor VIII binds to endogenous von </w:t>
            </w:r>
            <w:proofErr w:type="spellStart"/>
            <w:r w:rsidRPr="006628F6">
              <w:t>Willebrand</w:t>
            </w:r>
            <w:proofErr w:type="spellEnd"/>
            <w:r w:rsidRPr="006628F6">
              <w:t xml:space="preserve"> </w:t>
            </w:r>
            <w:r>
              <w:t>f</w:t>
            </w:r>
            <w:r w:rsidRPr="006628F6">
              <w:t>actor in the patient’s circulation.</w:t>
            </w:r>
            <w:r>
              <w:t xml:space="preserve"> </w:t>
            </w:r>
            <w:r w:rsidRPr="008D56A5">
              <w:t xml:space="preserve">The factor VIII/von </w:t>
            </w:r>
            <w:proofErr w:type="spellStart"/>
            <w:r w:rsidRPr="008D56A5">
              <w:t>Willebrand</w:t>
            </w:r>
            <w:proofErr w:type="spellEnd"/>
            <w:r w:rsidRPr="008D56A5">
              <w:t xml:space="preserve"> factor complex consists of two molecules (factor VIII and von </w:t>
            </w:r>
            <w:proofErr w:type="spellStart"/>
            <w:r w:rsidRPr="008D56A5">
              <w:t>Willebrand</w:t>
            </w:r>
            <w:proofErr w:type="spellEnd"/>
            <w:r w:rsidRPr="008D56A5">
              <w:t xml:space="preserve"> factor) with di</w:t>
            </w:r>
            <w:r>
              <w:t xml:space="preserve">fferent physiological functions. </w:t>
            </w:r>
            <w:r w:rsidRPr="006628F6">
              <w:t>Activated factor</w:t>
            </w:r>
            <w:r>
              <w:t xml:space="preserve"> VIII</w:t>
            </w:r>
            <w:r w:rsidRPr="006628F6">
              <w:t xml:space="preserve"> acts as a co-factor for activated factor IX, accelerating the conversion of factor X to activated factor X. Activated factor X </w:t>
            </w:r>
            <w:proofErr w:type="gramStart"/>
            <w:r w:rsidRPr="006628F6">
              <w:t>converts</w:t>
            </w:r>
            <w:proofErr w:type="gramEnd"/>
            <w:r w:rsidRPr="006628F6">
              <w:t xml:space="preserve"> prothrombin into thrombin. Thrombin then converts fibrinogen into fibrin and a clot can be formed. Haemophilia is a sex-linked hereditary disorder of blood coagulation due to decreased levels of factor VIII</w:t>
            </w:r>
            <w:proofErr w:type="gramStart"/>
            <w:r w:rsidRPr="006628F6">
              <w:t>:C</w:t>
            </w:r>
            <w:proofErr w:type="gramEnd"/>
            <w:r w:rsidRPr="002E5E42">
              <w:rPr>
                <w:i/>
              </w:rPr>
              <w:t xml:space="preserve"> </w:t>
            </w:r>
            <w:r w:rsidRPr="006628F6">
              <w:t>and</w:t>
            </w:r>
            <w:r w:rsidRPr="002E5E42">
              <w:rPr>
                <w:i/>
              </w:rPr>
              <w:t xml:space="preserve"> </w:t>
            </w:r>
            <w:r w:rsidRPr="006628F6">
              <w:t>results in profuse bleeding into joints, muscles or internal organs, either spontaneously or as a result of accidental or surgical trauma. By replacement therapy the plasma levels of factor VIII are increased, thereby enabling a temporary correction of the factor deficiency and correction of bleeding tendencies.</w:t>
            </w:r>
          </w:p>
        </w:tc>
      </w:tr>
      <w:tr w:rsidR="000931AF" w:rsidRPr="002E5E42" w14:paraId="44BBFACA" w14:textId="77777777" w:rsidTr="000931AF">
        <w:trPr>
          <w:trHeight w:val="450"/>
        </w:trPr>
        <w:tc>
          <w:tcPr>
            <w:tcW w:w="5000" w:type="pct"/>
            <w:shd w:val="clear" w:color="auto" w:fill="auto"/>
          </w:tcPr>
          <w:p w14:paraId="42FB7B74" w14:textId="77777777" w:rsidR="000931AF" w:rsidDel="008430F8" w:rsidRDefault="000931AF" w:rsidP="00B12504">
            <w:pPr>
              <w:pStyle w:val="BodyText"/>
            </w:pPr>
            <w:r w:rsidRPr="00B83A1A">
              <w:rPr>
                <w:b/>
                <w:u w:val="single"/>
                <w:lang w:val="en-AU"/>
              </w:rPr>
              <w:t>Pharmacokinetics</w:t>
            </w:r>
          </w:p>
        </w:tc>
      </w:tr>
      <w:tr w:rsidR="000931AF" w:rsidRPr="002E5E42" w14:paraId="1EDD6A01" w14:textId="77777777" w:rsidTr="000931AF">
        <w:trPr>
          <w:trHeight w:val="450"/>
        </w:trPr>
        <w:tc>
          <w:tcPr>
            <w:tcW w:w="5000" w:type="pct"/>
            <w:shd w:val="clear" w:color="auto" w:fill="auto"/>
          </w:tcPr>
          <w:p w14:paraId="7A90F590" w14:textId="12323D92" w:rsidR="000931AF" w:rsidRDefault="000931AF" w:rsidP="00DC5D9A">
            <w:pPr>
              <w:pStyle w:val="BodyText"/>
              <w:jc w:val="both"/>
            </w:pPr>
            <w:r w:rsidRPr="00896CA3">
              <w:t xml:space="preserve">All pharmacokinetic studies with </w:t>
            </w:r>
            <w:proofErr w:type="spellStart"/>
            <w:r>
              <w:t>NovoEight</w:t>
            </w:r>
            <w:proofErr w:type="spellEnd"/>
            <w:r w:rsidRPr="00896CA3">
              <w:t xml:space="preserve"> were conducted in previously treated patients </w:t>
            </w:r>
            <w:r>
              <w:t xml:space="preserve">(subjects) </w:t>
            </w:r>
            <w:r w:rsidRPr="00896CA3">
              <w:t>wit</w:t>
            </w:r>
            <w:r>
              <w:t>h severe haemophilia A (F</w:t>
            </w:r>
            <w:r w:rsidRPr="00896CA3">
              <w:t>VIII ≤ 1</w:t>
            </w:r>
            <w:r w:rsidR="00C973F5">
              <w:t>%)</w:t>
            </w:r>
            <w:r w:rsidR="00A14887">
              <w:t xml:space="preserve"> and without inhibitors to FVIII</w:t>
            </w:r>
            <w:r w:rsidRPr="00896CA3">
              <w:t xml:space="preserve">. The analysis of plasma samples was conducted using both the one-stage clotting assay and the chromogenic assay. </w:t>
            </w:r>
          </w:p>
          <w:p w14:paraId="2629A1E1" w14:textId="28D3BAA0" w:rsidR="000931AF" w:rsidRDefault="000931AF" w:rsidP="00DC5D9A">
            <w:pPr>
              <w:pStyle w:val="BodyText"/>
              <w:jc w:val="both"/>
            </w:pPr>
            <w:r w:rsidRPr="00121A4E">
              <w:t>A multi-centre, randomised and blinded field study of simulated post-in</w:t>
            </w:r>
            <w:r w:rsidR="001218C3">
              <w:t>jection plasma samples</w:t>
            </w:r>
            <w:r w:rsidRPr="00121A4E">
              <w:t xml:space="preserve"> has been conducted to evaluate activity and assay performance and variability of </w:t>
            </w:r>
            <w:proofErr w:type="spellStart"/>
            <w:r w:rsidRPr="00121A4E">
              <w:t>NovoEight</w:t>
            </w:r>
            <w:proofErr w:type="spellEnd"/>
            <w:r w:rsidRPr="00121A4E">
              <w:t xml:space="preserve"> in </w:t>
            </w:r>
            <w:r w:rsidR="001218C3" w:rsidRPr="0042468F">
              <w:rPr>
                <w:i/>
              </w:rPr>
              <w:t>in-vitro</w:t>
            </w:r>
            <w:r w:rsidR="001218C3">
              <w:t xml:space="preserve"> </w:t>
            </w:r>
            <w:r w:rsidRPr="00121A4E">
              <w:t xml:space="preserve">spiked plasma from </w:t>
            </w:r>
            <w:r>
              <w:t>subject</w:t>
            </w:r>
            <w:r w:rsidRPr="00121A4E">
              <w:t>s with haemophilia A at different clinical laboratories with the methodology and reagents routinely used in the laboratories. A total of 36 laboratories participated in the study; 33 laboratories used the one-stage clotting assay</w:t>
            </w:r>
            <w:r>
              <w:t>,</w:t>
            </w:r>
            <w:r w:rsidRPr="00121A4E">
              <w:t xml:space="preserve"> 5 used the chromogenic assay, and 2 laboratories used both assays. Comparable and consistent estimates of target value were observed for </w:t>
            </w:r>
            <w:proofErr w:type="spellStart"/>
            <w:r w:rsidRPr="00121A4E">
              <w:t>NovoEight</w:t>
            </w:r>
            <w:proofErr w:type="spellEnd"/>
            <w:r>
              <w:t xml:space="preserve"> among the participating laboratories</w:t>
            </w:r>
            <w:r w:rsidRPr="00121A4E">
              <w:t>.</w:t>
            </w:r>
          </w:p>
          <w:p w14:paraId="2634054A" w14:textId="77777777" w:rsidR="000931AF" w:rsidRDefault="000931AF" w:rsidP="00DC5D9A">
            <w:pPr>
              <w:pStyle w:val="BodyText"/>
              <w:jc w:val="both"/>
            </w:pPr>
            <w:r w:rsidRPr="00896CA3">
              <w:t>The pharmacokinetic parameters derived from an open-label sequential trial comparing the pharmacokinetics and safet</w:t>
            </w:r>
            <w:r>
              <w:t xml:space="preserve">y of </w:t>
            </w:r>
            <w:proofErr w:type="spellStart"/>
            <w:r>
              <w:t>NovoEight</w:t>
            </w:r>
            <w:proofErr w:type="spellEnd"/>
            <w:r>
              <w:t xml:space="preserve"> and comparator drug in 2</w:t>
            </w:r>
            <w:r w:rsidRPr="00ED566B">
              <w:t>3</w:t>
            </w:r>
            <w:r w:rsidRPr="00896CA3">
              <w:t xml:space="preserve"> previously treated patients </w:t>
            </w:r>
            <w:r>
              <w:t xml:space="preserve">(subjects) </w:t>
            </w:r>
            <w:r w:rsidRPr="00896CA3">
              <w:t>≥ 12 ye</w:t>
            </w:r>
            <w:r>
              <w:t>ars of age are listed in Table 1</w:t>
            </w:r>
            <w:r w:rsidRPr="00896CA3">
              <w:t>.</w:t>
            </w:r>
          </w:p>
          <w:p w14:paraId="7D63AC8B" w14:textId="77777777" w:rsidR="003F0BF6" w:rsidRDefault="003F0BF6" w:rsidP="00DC5D9A">
            <w:pPr>
              <w:pStyle w:val="BodyText"/>
              <w:jc w:val="both"/>
            </w:pPr>
          </w:p>
          <w:p w14:paraId="73DF5E68" w14:textId="77777777" w:rsidR="003F0BF6" w:rsidRDefault="003F0BF6" w:rsidP="00DC5D9A">
            <w:pPr>
              <w:pStyle w:val="BodyText"/>
              <w:jc w:val="both"/>
            </w:pPr>
          </w:p>
          <w:p w14:paraId="5B35BD08" w14:textId="77777777" w:rsidR="003F0BF6" w:rsidRDefault="003F0BF6" w:rsidP="00DC5D9A">
            <w:pPr>
              <w:pStyle w:val="BodyText"/>
              <w:jc w:val="both"/>
            </w:pPr>
          </w:p>
          <w:p w14:paraId="37A1C27C" w14:textId="77777777" w:rsidR="003F0BF6" w:rsidRPr="00EC7EBA" w:rsidRDefault="003F0BF6" w:rsidP="00DC5D9A">
            <w:pPr>
              <w:pStyle w:val="BodyText"/>
              <w:jc w:val="both"/>
            </w:pPr>
          </w:p>
          <w:p w14:paraId="34BBA57A" w14:textId="77777777" w:rsidR="000931AF" w:rsidRPr="00E23B48" w:rsidRDefault="000931AF" w:rsidP="00B12504">
            <w:pPr>
              <w:pStyle w:val="BodyText"/>
              <w:spacing w:after="0" w:line="240" w:lineRule="auto"/>
              <w:rPr>
                <w:b/>
              </w:rPr>
            </w:pPr>
            <w:r w:rsidRPr="00ED566B">
              <w:rPr>
                <w:b/>
              </w:rPr>
              <w:lastRenderedPageBreak/>
              <w:t xml:space="preserve">Table </w:t>
            </w:r>
            <w:r>
              <w:rPr>
                <w:b/>
              </w:rPr>
              <w:t>1</w:t>
            </w:r>
            <w:r w:rsidRPr="00ED566B">
              <w:rPr>
                <w:b/>
              </w:rPr>
              <w:t xml:space="preserve"> Single-dose pharmacokinetics of </w:t>
            </w:r>
            <w:proofErr w:type="spellStart"/>
            <w:r>
              <w:rPr>
                <w:b/>
              </w:rPr>
              <w:t>NovoEight</w:t>
            </w:r>
            <w:proofErr w:type="spellEnd"/>
            <w:r w:rsidRPr="00ED566B">
              <w:rPr>
                <w:b/>
              </w:rPr>
              <w:t xml:space="preserve"> in </w:t>
            </w:r>
            <w:r>
              <w:rPr>
                <w:b/>
              </w:rPr>
              <w:t>20*</w:t>
            </w:r>
            <w:r w:rsidRPr="00ED566B">
              <w:rPr>
                <w:b/>
              </w:rPr>
              <w:t xml:space="preserve"> adult and adolescent </w:t>
            </w:r>
            <w:r>
              <w:rPr>
                <w:b/>
              </w:rPr>
              <w:t>subject</w:t>
            </w:r>
            <w:r w:rsidRPr="00ED566B">
              <w:rPr>
                <w:b/>
              </w:rPr>
              <w:t xml:space="preserve">s with </w:t>
            </w:r>
            <w:r>
              <w:rPr>
                <w:b/>
              </w:rPr>
              <w:t xml:space="preserve">severe </w:t>
            </w:r>
            <w:r w:rsidRPr="00ED566B">
              <w:rPr>
                <w:b/>
              </w:rPr>
              <w:t>haemophilia A</w:t>
            </w:r>
            <w:r>
              <w:rPr>
                <w:b/>
              </w:rPr>
              <w:t xml:space="preserve"> (</w:t>
            </w:r>
            <w:r w:rsidRPr="00E23B48">
              <w:rPr>
                <w:b/>
              </w:rPr>
              <w:t>FVIII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1746"/>
              <w:gridCol w:w="2250"/>
            </w:tblGrid>
            <w:tr w:rsidR="000931AF" w:rsidRPr="0096108B" w14:paraId="6151BB9F" w14:textId="77777777" w:rsidTr="00B12504">
              <w:tc>
                <w:tcPr>
                  <w:tcW w:w="2929" w:type="dxa"/>
                  <w:vMerge w:val="restart"/>
                  <w:shd w:val="clear" w:color="auto" w:fill="auto"/>
                </w:tcPr>
                <w:p w14:paraId="1DC7F8A3" w14:textId="77777777" w:rsidR="000931AF" w:rsidRPr="0096108B" w:rsidRDefault="000931AF" w:rsidP="00B61485">
                  <w:pPr>
                    <w:pStyle w:val="BodyText"/>
                    <w:spacing w:after="0"/>
                    <w:rPr>
                      <w:b/>
                      <w:sz w:val="20"/>
                      <w:szCs w:val="20"/>
                    </w:rPr>
                  </w:pPr>
                  <w:r w:rsidRPr="0096108B">
                    <w:rPr>
                      <w:b/>
                      <w:sz w:val="20"/>
                      <w:szCs w:val="20"/>
                    </w:rPr>
                    <w:t>Par</w:t>
                  </w:r>
                  <w:r>
                    <w:rPr>
                      <w:b/>
                      <w:sz w:val="20"/>
                      <w:szCs w:val="20"/>
                    </w:rPr>
                    <w:t>a</w:t>
                  </w:r>
                  <w:r w:rsidRPr="0096108B">
                    <w:rPr>
                      <w:b/>
                      <w:sz w:val="20"/>
                      <w:szCs w:val="20"/>
                    </w:rPr>
                    <w:t>meter</w:t>
                  </w:r>
                </w:p>
              </w:tc>
              <w:tc>
                <w:tcPr>
                  <w:tcW w:w="1746" w:type="dxa"/>
                  <w:shd w:val="clear" w:color="auto" w:fill="auto"/>
                </w:tcPr>
                <w:p w14:paraId="1B9A4B5A" w14:textId="77777777" w:rsidR="000931AF" w:rsidRPr="0096108B" w:rsidRDefault="000931AF" w:rsidP="00B12504">
                  <w:pPr>
                    <w:pStyle w:val="BodyText"/>
                    <w:spacing w:after="0"/>
                    <w:rPr>
                      <w:b/>
                      <w:sz w:val="20"/>
                      <w:szCs w:val="20"/>
                    </w:rPr>
                  </w:pPr>
                  <w:r w:rsidRPr="0096108B">
                    <w:rPr>
                      <w:b/>
                      <w:sz w:val="20"/>
                      <w:szCs w:val="20"/>
                    </w:rPr>
                    <w:t>Clotting assay</w:t>
                  </w:r>
                </w:p>
              </w:tc>
              <w:tc>
                <w:tcPr>
                  <w:tcW w:w="2250" w:type="dxa"/>
                  <w:shd w:val="clear" w:color="auto" w:fill="auto"/>
                </w:tcPr>
                <w:p w14:paraId="09496FC6" w14:textId="77777777" w:rsidR="000931AF" w:rsidRPr="0096108B" w:rsidRDefault="000931AF" w:rsidP="00B12504">
                  <w:pPr>
                    <w:pStyle w:val="BodyText"/>
                    <w:spacing w:after="0"/>
                    <w:rPr>
                      <w:b/>
                      <w:sz w:val="20"/>
                      <w:szCs w:val="20"/>
                    </w:rPr>
                  </w:pPr>
                  <w:r w:rsidRPr="0096108B">
                    <w:rPr>
                      <w:b/>
                      <w:sz w:val="20"/>
                      <w:szCs w:val="20"/>
                    </w:rPr>
                    <w:t>Chromogenic assay</w:t>
                  </w:r>
                </w:p>
              </w:tc>
            </w:tr>
            <w:tr w:rsidR="000931AF" w:rsidRPr="0096108B" w14:paraId="631647FD" w14:textId="77777777" w:rsidTr="00B12504">
              <w:tc>
                <w:tcPr>
                  <w:tcW w:w="2929" w:type="dxa"/>
                  <w:vMerge/>
                  <w:shd w:val="clear" w:color="auto" w:fill="auto"/>
                </w:tcPr>
                <w:p w14:paraId="1797A18C" w14:textId="77777777" w:rsidR="000931AF" w:rsidRPr="0096108B" w:rsidRDefault="000931AF" w:rsidP="00B12504">
                  <w:pPr>
                    <w:pStyle w:val="BodyText"/>
                    <w:spacing w:after="0"/>
                    <w:rPr>
                      <w:sz w:val="20"/>
                      <w:szCs w:val="20"/>
                    </w:rPr>
                  </w:pPr>
                </w:p>
              </w:tc>
              <w:tc>
                <w:tcPr>
                  <w:tcW w:w="1746" w:type="dxa"/>
                  <w:shd w:val="clear" w:color="auto" w:fill="auto"/>
                </w:tcPr>
                <w:p w14:paraId="2F1D4915" w14:textId="77777777" w:rsidR="000931AF" w:rsidRPr="0096108B" w:rsidRDefault="000931AF" w:rsidP="00CD6649">
                  <w:pPr>
                    <w:pStyle w:val="BodyText"/>
                    <w:spacing w:after="0"/>
                    <w:jc w:val="center"/>
                    <w:rPr>
                      <w:sz w:val="20"/>
                      <w:szCs w:val="20"/>
                    </w:rPr>
                  </w:pPr>
                  <w:r w:rsidRPr="0096108B">
                    <w:rPr>
                      <w:sz w:val="20"/>
                      <w:szCs w:val="20"/>
                    </w:rPr>
                    <w:t>Mean (SD</w:t>
                  </w:r>
                  <w:r>
                    <w:rPr>
                      <w:sz w:val="20"/>
                      <w:szCs w:val="20"/>
                    </w:rPr>
                    <w:t>)</w:t>
                  </w:r>
                </w:p>
              </w:tc>
              <w:tc>
                <w:tcPr>
                  <w:tcW w:w="2250" w:type="dxa"/>
                  <w:shd w:val="clear" w:color="auto" w:fill="auto"/>
                </w:tcPr>
                <w:p w14:paraId="11898093" w14:textId="77777777" w:rsidR="000931AF" w:rsidRPr="0096108B" w:rsidRDefault="000931AF" w:rsidP="00CD6649">
                  <w:pPr>
                    <w:pStyle w:val="BodyText"/>
                    <w:spacing w:after="0"/>
                    <w:jc w:val="center"/>
                    <w:rPr>
                      <w:sz w:val="20"/>
                      <w:szCs w:val="20"/>
                    </w:rPr>
                  </w:pPr>
                  <w:r w:rsidRPr="0096108B">
                    <w:rPr>
                      <w:sz w:val="20"/>
                      <w:szCs w:val="20"/>
                    </w:rPr>
                    <w:cr/>
                  </w:r>
                  <w:r>
                    <w:rPr>
                      <w:sz w:val="20"/>
                      <w:szCs w:val="20"/>
                    </w:rPr>
                    <w:t>M</w:t>
                  </w:r>
                  <w:r w:rsidRPr="0096108B">
                    <w:rPr>
                      <w:sz w:val="20"/>
                      <w:szCs w:val="20"/>
                    </w:rPr>
                    <w:t>ean (SD)</w:t>
                  </w:r>
                </w:p>
              </w:tc>
            </w:tr>
            <w:tr w:rsidR="000931AF" w:rsidRPr="0096108B" w14:paraId="63BE20F6" w14:textId="77777777" w:rsidTr="00B12504">
              <w:tc>
                <w:tcPr>
                  <w:tcW w:w="2929" w:type="dxa"/>
                  <w:shd w:val="clear" w:color="auto" w:fill="auto"/>
                </w:tcPr>
                <w:p w14:paraId="68D4A4C7" w14:textId="77777777" w:rsidR="000931AF" w:rsidRPr="0096108B" w:rsidRDefault="000931AF" w:rsidP="00B12504">
                  <w:pPr>
                    <w:pStyle w:val="BodyText"/>
                    <w:spacing w:after="0"/>
                    <w:rPr>
                      <w:sz w:val="20"/>
                      <w:szCs w:val="20"/>
                    </w:rPr>
                  </w:pPr>
                  <w:r>
                    <w:rPr>
                      <w:sz w:val="20"/>
                      <w:szCs w:val="20"/>
                    </w:rPr>
                    <w:t>Inc. recovery (IU/ml</w:t>
                  </w:r>
                  <w:r w:rsidRPr="0096108B">
                    <w:rPr>
                      <w:sz w:val="20"/>
                      <w:szCs w:val="20"/>
                    </w:rPr>
                    <w:t>)/(IU/kg)</w:t>
                  </w:r>
                </w:p>
              </w:tc>
              <w:tc>
                <w:tcPr>
                  <w:tcW w:w="1746" w:type="dxa"/>
                  <w:shd w:val="clear" w:color="auto" w:fill="auto"/>
                </w:tcPr>
                <w:p w14:paraId="40C24766" w14:textId="77777777" w:rsidR="000931AF" w:rsidRPr="0096108B" w:rsidRDefault="000931AF" w:rsidP="00CD6649">
                  <w:pPr>
                    <w:pStyle w:val="BodyText"/>
                    <w:spacing w:after="0"/>
                    <w:jc w:val="center"/>
                    <w:rPr>
                      <w:sz w:val="20"/>
                      <w:szCs w:val="20"/>
                    </w:rPr>
                  </w:pPr>
                  <w:r w:rsidRPr="0096108B">
                    <w:rPr>
                      <w:sz w:val="20"/>
                      <w:szCs w:val="20"/>
                    </w:rPr>
                    <w:t>0.020 (0.002)</w:t>
                  </w:r>
                </w:p>
              </w:tc>
              <w:tc>
                <w:tcPr>
                  <w:tcW w:w="2250" w:type="dxa"/>
                  <w:shd w:val="clear" w:color="auto" w:fill="auto"/>
                </w:tcPr>
                <w:p w14:paraId="7839FD7A" w14:textId="77777777" w:rsidR="000931AF" w:rsidRPr="0096108B" w:rsidRDefault="000931AF" w:rsidP="00613B05">
                  <w:pPr>
                    <w:pStyle w:val="BodyText"/>
                    <w:spacing w:after="0"/>
                    <w:jc w:val="center"/>
                    <w:rPr>
                      <w:sz w:val="20"/>
                      <w:szCs w:val="20"/>
                    </w:rPr>
                  </w:pPr>
                  <w:r w:rsidRPr="0096108B">
                    <w:rPr>
                      <w:sz w:val="20"/>
                      <w:szCs w:val="20"/>
                    </w:rPr>
                    <w:t>0.02</w:t>
                  </w:r>
                  <w:r>
                    <w:rPr>
                      <w:sz w:val="20"/>
                      <w:szCs w:val="20"/>
                    </w:rPr>
                    <w:t xml:space="preserve">8 </w:t>
                  </w:r>
                  <w:r w:rsidRPr="0096108B">
                    <w:rPr>
                      <w:sz w:val="20"/>
                      <w:szCs w:val="20"/>
                    </w:rPr>
                    <w:t xml:space="preserve"> (0.006)</w:t>
                  </w:r>
                </w:p>
              </w:tc>
            </w:tr>
            <w:tr w:rsidR="000931AF" w:rsidRPr="0096108B" w14:paraId="5F6DBA9F" w14:textId="77777777" w:rsidTr="00B12504">
              <w:tc>
                <w:tcPr>
                  <w:tcW w:w="2929" w:type="dxa"/>
                  <w:shd w:val="clear" w:color="auto" w:fill="auto"/>
                </w:tcPr>
                <w:p w14:paraId="10036FF0" w14:textId="77777777" w:rsidR="000931AF" w:rsidRPr="0096108B" w:rsidRDefault="000931AF" w:rsidP="00B12504">
                  <w:pPr>
                    <w:pStyle w:val="BodyText"/>
                    <w:spacing w:after="0"/>
                    <w:rPr>
                      <w:sz w:val="20"/>
                      <w:szCs w:val="20"/>
                    </w:rPr>
                  </w:pPr>
                  <w:r>
                    <w:rPr>
                      <w:sz w:val="20"/>
                      <w:szCs w:val="20"/>
                    </w:rPr>
                    <w:t>AUC ((IU*h)/ml</w:t>
                  </w:r>
                  <w:r w:rsidRPr="0096108B">
                    <w:rPr>
                      <w:sz w:val="20"/>
                      <w:szCs w:val="20"/>
                    </w:rPr>
                    <w:t>)</w:t>
                  </w:r>
                </w:p>
              </w:tc>
              <w:tc>
                <w:tcPr>
                  <w:tcW w:w="1746" w:type="dxa"/>
                  <w:shd w:val="clear" w:color="auto" w:fill="auto"/>
                </w:tcPr>
                <w:p w14:paraId="6EE9F33F" w14:textId="77777777" w:rsidR="000931AF" w:rsidRPr="0096108B" w:rsidRDefault="000931AF" w:rsidP="00CD6649">
                  <w:pPr>
                    <w:pStyle w:val="BodyText"/>
                    <w:spacing w:after="0"/>
                    <w:jc w:val="center"/>
                    <w:rPr>
                      <w:sz w:val="20"/>
                      <w:szCs w:val="20"/>
                    </w:rPr>
                  </w:pPr>
                  <w:r w:rsidRPr="0096108B">
                    <w:rPr>
                      <w:sz w:val="20"/>
                      <w:szCs w:val="20"/>
                    </w:rPr>
                    <w:t>14.22 (3.75)</w:t>
                  </w:r>
                </w:p>
              </w:tc>
              <w:tc>
                <w:tcPr>
                  <w:tcW w:w="2250" w:type="dxa"/>
                  <w:shd w:val="clear" w:color="auto" w:fill="auto"/>
                </w:tcPr>
                <w:p w14:paraId="2025A669" w14:textId="77777777" w:rsidR="000931AF" w:rsidRPr="0096108B" w:rsidRDefault="000931AF" w:rsidP="00613B05">
                  <w:pPr>
                    <w:pStyle w:val="BodyText"/>
                    <w:spacing w:after="0"/>
                    <w:jc w:val="center"/>
                    <w:rPr>
                      <w:sz w:val="20"/>
                      <w:szCs w:val="20"/>
                    </w:rPr>
                  </w:pPr>
                  <w:r w:rsidRPr="0096108B">
                    <w:rPr>
                      <w:sz w:val="20"/>
                      <w:szCs w:val="20"/>
                    </w:rPr>
                    <w:t>1</w:t>
                  </w:r>
                  <w:r>
                    <w:rPr>
                      <w:sz w:val="20"/>
                      <w:szCs w:val="20"/>
                    </w:rPr>
                    <w:t>8.</w:t>
                  </w:r>
                  <w:r w:rsidRPr="0096108B">
                    <w:rPr>
                      <w:sz w:val="20"/>
                      <w:szCs w:val="20"/>
                    </w:rPr>
                    <w:t>70 (5.08)</w:t>
                  </w:r>
                </w:p>
              </w:tc>
            </w:tr>
            <w:tr w:rsidR="000931AF" w:rsidRPr="0096108B" w14:paraId="12756FC0" w14:textId="77777777" w:rsidTr="00B12504">
              <w:tc>
                <w:tcPr>
                  <w:tcW w:w="2929" w:type="dxa"/>
                  <w:shd w:val="clear" w:color="auto" w:fill="auto"/>
                </w:tcPr>
                <w:p w14:paraId="0F9D539C" w14:textId="77777777" w:rsidR="000931AF" w:rsidRPr="0096108B" w:rsidRDefault="000931AF" w:rsidP="00B12504">
                  <w:pPr>
                    <w:pStyle w:val="BodyText"/>
                    <w:spacing w:after="0"/>
                    <w:rPr>
                      <w:sz w:val="20"/>
                      <w:szCs w:val="20"/>
                    </w:rPr>
                  </w:pPr>
                  <w:r>
                    <w:rPr>
                      <w:sz w:val="20"/>
                      <w:szCs w:val="20"/>
                    </w:rPr>
                    <w:t>CL (ml</w:t>
                  </w:r>
                  <w:r w:rsidRPr="0096108B">
                    <w:rPr>
                      <w:sz w:val="20"/>
                      <w:szCs w:val="20"/>
                    </w:rPr>
                    <w:t>/h/kg)</w:t>
                  </w:r>
                </w:p>
              </w:tc>
              <w:tc>
                <w:tcPr>
                  <w:tcW w:w="1746" w:type="dxa"/>
                  <w:shd w:val="clear" w:color="auto" w:fill="auto"/>
                </w:tcPr>
                <w:p w14:paraId="219D4617" w14:textId="77777777" w:rsidR="000931AF" w:rsidRPr="0096108B" w:rsidRDefault="000931AF" w:rsidP="00613B05">
                  <w:pPr>
                    <w:pStyle w:val="BodyText"/>
                    <w:spacing w:after="0"/>
                    <w:jc w:val="center"/>
                    <w:rPr>
                      <w:sz w:val="20"/>
                      <w:szCs w:val="20"/>
                    </w:rPr>
                  </w:pPr>
                  <w:r w:rsidRPr="0096108B">
                    <w:rPr>
                      <w:sz w:val="20"/>
                      <w:szCs w:val="20"/>
                    </w:rPr>
                    <w:t>3.74</w:t>
                  </w:r>
                  <w:r>
                    <w:rPr>
                      <w:sz w:val="20"/>
                      <w:szCs w:val="20"/>
                    </w:rPr>
                    <w:t xml:space="preserve"> (</w:t>
                  </w:r>
                  <w:r w:rsidRPr="0096108B">
                    <w:rPr>
                      <w:sz w:val="20"/>
                      <w:szCs w:val="20"/>
                    </w:rPr>
                    <w:t>0.</w:t>
                  </w:r>
                  <w:r>
                    <w:rPr>
                      <w:sz w:val="20"/>
                      <w:szCs w:val="20"/>
                    </w:rPr>
                    <w:t>9</w:t>
                  </w:r>
                  <w:r w:rsidRPr="0096108B">
                    <w:rPr>
                      <w:sz w:val="20"/>
                      <w:szCs w:val="20"/>
                    </w:rPr>
                    <w:t>5)</w:t>
                  </w:r>
                </w:p>
              </w:tc>
              <w:tc>
                <w:tcPr>
                  <w:tcW w:w="2250" w:type="dxa"/>
                  <w:shd w:val="clear" w:color="auto" w:fill="auto"/>
                </w:tcPr>
                <w:p w14:paraId="29969F99" w14:textId="77777777" w:rsidR="000931AF" w:rsidRPr="0096108B" w:rsidRDefault="000931AF" w:rsidP="000673AE">
                  <w:pPr>
                    <w:pStyle w:val="BodyText"/>
                    <w:spacing w:after="0"/>
                    <w:jc w:val="center"/>
                    <w:rPr>
                      <w:sz w:val="20"/>
                      <w:szCs w:val="20"/>
                    </w:rPr>
                  </w:pPr>
                  <w:r w:rsidRPr="0096108B">
                    <w:rPr>
                      <w:sz w:val="20"/>
                      <w:szCs w:val="20"/>
                    </w:rPr>
                    <w:t>2.87</w:t>
                  </w:r>
                  <w:r>
                    <w:rPr>
                      <w:sz w:val="20"/>
                      <w:szCs w:val="20"/>
                    </w:rPr>
                    <w:t xml:space="preserve"> (</w:t>
                  </w:r>
                  <w:r w:rsidRPr="0096108B">
                    <w:rPr>
                      <w:sz w:val="20"/>
                      <w:szCs w:val="20"/>
                    </w:rPr>
                    <w:t>0.80)</w:t>
                  </w:r>
                </w:p>
              </w:tc>
            </w:tr>
            <w:tr w:rsidR="000931AF" w:rsidRPr="0096108B" w14:paraId="68D04581" w14:textId="77777777" w:rsidTr="00B12504">
              <w:tc>
                <w:tcPr>
                  <w:tcW w:w="2929" w:type="dxa"/>
                  <w:shd w:val="clear" w:color="auto" w:fill="auto"/>
                </w:tcPr>
                <w:p w14:paraId="3E4CD0F2" w14:textId="77777777" w:rsidR="000931AF" w:rsidRPr="0096108B" w:rsidRDefault="000931AF" w:rsidP="00B12504">
                  <w:pPr>
                    <w:pStyle w:val="BodyText"/>
                    <w:spacing w:after="0"/>
                    <w:rPr>
                      <w:sz w:val="20"/>
                      <w:szCs w:val="20"/>
                    </w:rPr>
                  </w:pPr>
                  <w:r w:rsidRPr="0096108B">
                    <w:rPr>
                      <w:sz w:val="20"/>
                      <w:szCs w:val="20"/>
                    </w:rPr>
                    <w:t>t</w:t>
                  </w:r>
                  <w:r w:rsidRPr="00CD6649">
                    <w:rPr>
                      <w:sz w:val="20"/>
                      <w:szCs w:val="20"/>
                      <w:vertAlign w:val="subscript"/>
                    </w:rPr>
                    <w:t>½</w:t>
                  </w:r>
                  <w:r w:rsidRPr="0096108B">
                    <w:rPr>
                      <w:sz w:val="20"/>
                      <w:szCs w:val="20"/>
                    </w:rPr>
                    <w:t xml:space="preserve"> (h)</w:t>
                  </w:r>
                </w:p>
              </w:tc>
              <w:tc>
                <w:tcPr>
                  <w:tcW w:w="1746" w:type="dxa"/>
                  <w:shd w:val="clear" w:color="auto" w:fill="auto"/>
                </w:tcPr>
                <w:p w14:paraId="23F8B699" w14:textId="77777777" w:rsidR="000931AF" w:rsidRPr="0096108B" w:rsidRDefault="000931AF" w:rsidP="00CD6649">
                  <w:pPr>
                    <w:pStyle w:val="BodyText"/>
                    <w:spacing w:after="0"/>
                    <w:jc w:val="center"/>
                    <w:rPr>
                      <w:sz w:val="20"/>
                      <w:szCs w:val="20"/>
                    </w:rPr>
                  </w:pPr>
                  <w:r w:rsidRPr="0096108B">
                    <w:rPr>
                      <w:sz w:val="20"/>
                      <w:szCs w:val="20"/>
                    </w:rPr>
                    <w:t>10.83 (4.</w:t>
                  </w:r>
                  <w:r>
                    <w:rPr>
                      <w:sz w:val="20"/>
                      <w:szCs w:val="20"/>
                    </w:rPr>
                    <w:t>9</w:t>
                  </w:r>
                  <w:r w:rsidRPr="0096108B">
                    <w:rPr>
                      <w:sz w:val="20"/>
                      <w:szCs w:val="20"/>
                    </w:rPr>
                    <w:t>5</w:t>
                  </w:r>
                  <w:r>
                    <w:rPr>
                      <w:sz w:val="20"/>
                      <w:szCs w:val="20"/>
                    </w:rPr>
                    <w:t>)</w:t>
                  </w:r>
                </w:p>
              </w:tc>
              <w:tc>
                <w:tcPr>
                  <w:tcW w:w="2250" w:type="dxa"/>
                  <w:shd w:val="clear" w:color="auto" w:fill="auto"/>
                </w:tcPr>
                <w:p w14:paraId="1781C787" w14:textId="77777777" w:rsidR="000931AF" w:rsidRPr="0096108B" w:rsidRDefault="000931AF" w:rsidP="00613B05">
                  <w:pPr>
                    <w:pStyle w:val="BodyText"/>
                    <w:spacing w:after="0"/>
                    <w:jc w:val="center"/>
                    <w:rPr>
                      <w:sz w:val="20"/>
                      <w:szCs w:val="20"/>
                    </w:rPr>
                  </w:pPr>
                  <w:r w:rsidRPr="0096108B">
                    <w:rPr>
                      <w:sz w:val="20"/>
                      <w:szCs w:val="20"/>
                    </w:rPr>
                    <w:cr/>
                  </w:r>
                  <w:r>
                    <w:rPr>
                      <w:sz w:val="20"/>
                      <w:szCs w:val="20"/>
                    </w:rPr>
                    <w:t>10.04 (3.59)</w:t>
                  </w:r>
                </w:p>
              </w:tc>
            </w:tr>
            <w:tr w:rsidR="000931AF" w:rsidRPr="0096108B" w14:paraId="091E6253" w14:textId="77777777" w:rsidTr="00B12504">
              <w:tc>
                <w:tcPr>
                  <w:tcW w:w="2929" w:type="dxa"/>
                  <w:shd w:val="clear" w:color="auto" w:fill="auto"/>
                </w:tcPr>
                <w:p w14:paraId="1907604C" w14:textId="77777777" w:rsidR="000931AF" w:rsidRPr="0096108B" w:rsidRDefault="000931AF" w:rsidP="00B12504">
                  <w:pPr>
                    <w:pStyle w:val="BodyText"/>
                    <w:spacing w:after="0"/>
                    <w:rPr>
                      <w:sz w:val="20"/>
                      <w:szCs w:val="20"/>
                    </w:rPr>
                  </w:pPr>
                  <w:proofErr w:type="spellStart"/>
                  <w:r>
                    <w:rPr>
                      <w:sz w:val="20"/>
                      <w:szCs w:val="20"/>
                    </w:rPr>
                    <w:t>V</w:t>
                  </w:r>
                  <w:r w:rsidRPr="00CD6649">
                    <w:rPr>
                      <w:sz w:val="20"/>
                      <w:szCs w:val="20"/>
                      <w:vertAlign w:val="subscript"/>
                    </w:rPr>
                    <w:t>ss</w:t>
                  </w:r>
                  <w:proofErr w:type="spellEnd"/>
                  <w:r>
                    <w:rPr>
                      <w:sz w:val="20"/>
                      <w:szCs w:val="20"/>
                    </w:rPr>
                    <w:t xml:space="preserve"> (ml</w:t>
                  </w:r>
                  <w:r w:rsidRPr="0096108B">
                    <w:rPr>
                      <w:sz w:val="20"/>
                      <w:szCs w:val="20"/>
                    </w:rPr>
                    <w:t>/kg)</w:t>
                  </w:r>
                </w:p>
              </w:tc>
              <w:tc>
                <w:tcPr>
                  <w:tcW w:w="1746" w:type="dxa"/>
                  <w:shd w:val="clear" w:color="auto" w:fill="auto"/>
                </w:tcPr>
                <w:p w14:paraId="4B0615CE" w14:textId="77777777" w:rsidR="000931AF" w:rsidRPr="0096108B" w:rsidRDefault="000931AF" w:rsidP="00CD6649">
                  <w:pPr>
                    <w:pStyle w:val="BodyText"/>
                    <w:spacing w:after="0"/>
                    <w:jc w:val="center"/>
                    <w:rPr>
                      <w:sz w:val="20"/>
                      <w:szCs w:val="20"/>
                    </w:rPr>
                  </w:pPr>
                  <w:r w:rsidRPr="0096108B">
                    <w:rPr>
                      <w:sz w:val="20"/>
                      <w:szCs w:val="20"/>
                    </w:rPr>
                    <w:t>53.43 (10.88)</w:t>
                  </w:r>
                </w:p>
              </w:tc>
              <w:tc>
                <w:tcPr>
                  <w:tcW w:w="2250" w:type="dxa"/>
                  <w:shd w:val="clear" w:color="auto" w:fill="auto"/>
                </w:tcPr>
                <w:p w14:paraId="437F63A4" w14:textId="77777777" w:rsidR="000931AF" w:rsidRPr="0096108B" w:rsidRDefault="000931AF" w:rsidP="00CD6649">
                  <w:pPr>
                    <w:pStyle w:val="BodyText"/>
                    <w:spacing w:after="0"/>
                    <w:jc w:val="center"/>
                    <w:rPr>
                      <w:sz w:val="20"/>
                      <w:szCs w:val="20"/>
                    </w:rPr>
                  </w:pPr>
                  <w:r w:rsidRPr="0096108B">
                    <w:rPr>
                      <w:sz w:val="20"/>
                      <w:szCs w:val="20"/>
                    </w:rPr>
                    <w:t>44.31 (28.17)</w:t>
                  </w:r>
                </w:p>
              </w:tc>
            </w:tr>
            <w:tr w:rsidR="000931AF" w:rsidRPr="0096108B" w14:paraId="5DD6A897" w14:textId="77777777" w:rsidTr="00B12504">
              <w:tc>
                <w:tcPr>
                  <w:tcW w:w="2929" w:type="dxa"/>
                  <w:shd w:val="clear" w:color="auto" w:fill="auto"/>
                </w:tcPr>
                <w:p w14:paraId="6DAEB229" w14:textId="77777777" w:rsidR="000931AF" w:rsidRPr="0096108B" w:rsidRDefault="000931AF" w:rsidP="00B12504">
                  <w:pPr>
                    <w:pStyle w:val="BodyText"/>
                    <w:spacing w:after="0"/>
                    <w:rPr>
                      <w:sz w:val="20"/>
                      <w:szCs w:val="20"/>
                    </w:rPr>
                  </w:pPr>
                  <w:proofErr w:type="spellStart"/>
                  <w:r>
                    <w:rPr>
                      <w:sz w:val="20"/>
                      <w:szCs w:val="20"/>
                    </w:rPr>
                    <w:t>C</w:t>
                  </w:r>
                  <w:r w:rsidRPr="00CD6649">
                    <w:rPr>
                      <w:sz w:val="20"/>
                      <w:szCs w:val="20"/>
                      <w:vertAlign w:val="subscript"/>
                    </w:rPr>
                    <w:t>max</w:t>
                  </w:r>
                  <w:proofErr w:type="spellEnd"/>
                  <w:r>
                    <w:rPr>
                      <w:sz w:val="20"/>
                      <w:szCs w:val="20"/>
                    </w:rPr>
                    <w:t xml:space="preserve"> (IU/ml</w:t>
                  </w:r>
                  <w:r w:rsidRPr="0096108B">
                    <w:rPr>
                      <w:sz w:val="20"/>
                      <w:szCs w:val="20"/>
                    </w:rPr>
                    <w:t>)</w:t>
                  </w:r>
                </w:p>
              </w:tc>
              <w:tc>
                <w:tcPr>
                  <w:tcW w:w="1746" w:type="dxa"/>
                  <w:shd w:val="clear" w:color="auto" w:fill="auto"/>
                </w:tcPr>
                <w:p w14:paraId="61F5CEF2" w14:textId="77777777" w:rsidR="000931AF" w:rsidRPr="0096108B" w:rsidRDefault="000931AF" w:rsidP="00CD6649">
                  <w:pPr>
                    <w:pStyle w:val="BodyText"/>
                    <w:spacing w:after="0"/>
                    <w:jc w:val="center"/>
                    <w:rPr>
                      <w:sz w:val="20"/>
                      <w:szCs w:val="20"/>
                    </w:rPr>
                  </w:pPr>
                  <w:r w:rsidRPr="0096108B">
                    <w:rPr>
                      <w:sz w:val="20"/>
                      <w:szCs w:val="20"/>
                    </w:rPr>
                    <w:t>1.07 (0.16)</w:t>
                  </w:r>
                </w:p>
              </w:tc>
              <w:tc>
                <w:tcPr>
                  <w:tcW w:w="2250" w:type="dxa"/>
                  <w:shd w:val="clear" w:color="auto" w:fill="auto"/>
                </w:tcPr>
                <w:p w14:paraId="2E110417" w14:textId="77777777" w:rsidR="000931AF" w:rsidRPr="0096108B" w:rsidRDefault="000931AF" w:rsidP="00CD6649">
                  <w:pPr>
                    <w:pStyle w:val="BodyText"/>
                    <w:spacing w:after="0"/>
                    <w:jc w:val="center"/>
                    <w:rPr>
                      <w:sz w:val="20"/>
                      <w:szCs w:val="20"/>
                    </w:rPr>
                  </w:pPr>
                  <w:r w:rsidRPr="0096108B">
                    <w:rPr>
                      <w:sz w:val="20"/>
                      <w:szCs w:val="20"/>
                    </w:rPr>
                    <w:t>1.54 (0.29)</w:t>
                  </w:r>
                </w:p>
              </w:tc>
            </w:tr>
            <w:tr w:rsidR="000931AF" w:rsidRPr="0096108B" w14:paraId="4B525449" w14:textId="77777777" w:rsidTr="00B12504">
              <w:tc>
                <w:tcPr>
                  <w:tcW w:w="2929" w:type="dxa"/>
                  <w:shd w:val="clear" w:color="auto" w:fill="auto"/>
                </w:tcPr>
                <w:p w14:paraId="0F0E9894" w14:textId="77777777" w:rsidR="000931AF" w:rsidRPr="0096108B" w:rsidRDefault="000931AF" w:rsidP="00B12504">
                  <w:pPr>
                    <w:pStyle w:val="BodyText"/>
                    <w:spacing w:after="0"/>
                    <w:rPr>
                      <w:sz w:val="20"/>
                      <w:szCs w:val="20"/>
                    </w:rPr>
                  </w:pPr>
                  <w:r w:rsidRPr="0096108B">
                    <w:rPr>
                      <w:sz w:val="20"/>
                      <w:szCs w:val="20"/>
                    </w:rPr>
                    <w:t>MRT (h)</w:t>
                  </w:r>
                </w:p>
              </w:tc>
              <w:tc>
                <w:tcPr>
                  <w:tcW w:w="1746" w:type="dxa"/>
                  <w:shd w:val="clear" w:color="auto" w:fill="auto"/>
                </w:tcPr>
                <w:p w14:paraId="3E001293" w14:textId="77777777" w:rsidR="000931AF" w:rsidRPr="0096108B" w:rsidRDefault="000931AF" w:rsidP="00CD6649">
                  <w:pPr>
                    <w:pStyle w:val="BodyText"/>
                    <w:spacing w:after="0"/>
                    <w:jc w:val="center"/>
                    <w:rPr>
                      <w:sz w:val="20"/>
                      <w:szCs w:val="20"/>
                    </w:rPr>
                  </w:pPr>
                  <w:r w:rsidRPr="0096108B">
                    <w:rPr>
                      <w:sz w:val="20"/>
                      <w:szCs w:val="20"/>
                    </w:rPr>
                    <w:t>15.43 (6.36)</w:t>
                  </w:r>
                </w:p>
              </w:tc>
              <w:tc>
                <w:tcPr>
                  <w:tcW w:w="2250" w:type="dxa"/>
                  <w:shd w:val="clear" w:color="auto" w:fill="auto"/>
                </w:tcPr>
                <w:p w14:paraId="23D55CB5" w14:textId="77777777" w:rsidR="000931AF" w:rsidRPr="0096108B" w:rsidRDefault="000931AF" w:rsidP="00CD6649">
                  <w:pPr>
                    <w:pStyle w:val="BodyText"/>
                    <w:spacing w:after="0"/>
                    <w:jc w:val="center"/>
                    <w:rPr>
                      <w:sz w:val="20"/>
                      <w:szCs w:val="20"/>
                    </w:rPr>
                  </w:pPr>
                  <w:r w:rsidRPr="0096108B">
                    <w:rPr>
                      <w:sz w:val="20"/>
                      <w:szCs w:val="20"/>
                    </w:rPr>
                    <w:t>16.40 (10.14)</w:t>
                  </w:r>
                </w:p>
              </w:tc>
            </w:tr>
          </w:tbl>
          <w:p w14:paraId="307847C4" w14:textId="77777777" w:rsidR="000931AF" w:rsidRPr="00ED566B" w:rsidRDefault="000931AF" w:rsidP="00B12504">
            <w:pPr>
              <w:pStyle w:val="BodyText"/>
              <w:spacing w:after="0"/>
              <w:rPr>
                <w:sz w:val="20"/>
                <w:szCs w:val="20"/>
              </w:rPr>
            </w:pPr>
            <w:r w:rsidRPr="00ED566B">
              <w:rPr>
                <w:sz w:val="20"/>
                <w:szCs w:val="20"/>
              </w:rPr>
              <w:t xml:space="preserve">Dose: 50 IU/kg </w:t>
            </w:r>
            <w:proofErr w:type="spellStart"/>
            <w:r w:rsidRPr="00ED566B">
              <w:rPr>
                <w:sz w:val="20"/>
                <w:szCs w:val="20"/>
              </w:rPr>
              <w:t>turoctocog</w:t>
            </w:r>
            <w:proofErr w:type="spellEnd"/>
            <w:r w:rsidRPr="00ED566B">
              <w:rPr>
                <w:sz w:val="20"/>
                <w:szCs w:val="20"/>
              </w:rPr>
              <w:t xml:space="preserve"> </w:t>
            </w:r>
            <w:proofErr w:type="spellStart"/>
            <w:r w:rsidRPr="00ED566B">
              <w:rPr>
                <w:sz w:val="20"/>
                <w:szCs w:val="20"/>
              </w:rPr>
              <w:t>alfa</w:t>
            </w:r>
            <w:proofErr w:type="spellEnd"/>
            <w:r w:rsidRPr="00ED566B">
              <w:rPr>
                <w:sz w:val="20"/>
                <w:szCs w:val="20"/>
              </w:rPr>
              <w:t xml:space="preserve"> (single </w:t>
            </w:r>
            <w:proofErr w:type="spellStart"/>
            <w:r w:rsidRPr="00ED566B">
              <w:rPr>
                <w:sz w:val="20"/>
                <w:szCs w:val="20"/>
              </w:rPr>
              <w:t>i.v.</w:t>
            </w:r>
            <w:proofErr w:type="spellEnd"/>
            <w:r w:rsidRPr="00ED566B">
              <w:rPr>
                <w:sz w:val="20"/>
                <w:szCs w:val="20"/>
              </w:rPr>
              <w:t xml:space="preserve"> dose)</w:t>
            </w:r>
          </w:p>
          <w:p w14:paraId="1165FC7A" w14:textId="77777777" w:rsidR="000931AF" w:rsidRDefault="000931AF" w:rsidP="00B12504">
            <w:pPr>
              <w:pStyle w:val="BodyText"/>
              <w:spacing w:after="0"/>
              <w:rPr>
                <w:sz w:val="20"/>
                <w:szCs w:val="20"/>
              </w:rPr>
            </w:pPr>
            <w:r>
              <w:rPr>
                <w:sz w:val="20"/>
                <w:szCs w:val="20"/>
              </w:rPr>
              <w:t>*</w:t>
            </w:r>
            <w:r w:rsidRPr="00ED566B">
              <w:rPr>
                <w:sz w:val="20"/>
                <w:szCs w:val="20"/>
              </w:rPr>
              <w:t>Full analysis set adjusted for dose and product strength and excluding outliers; N=20</w:t>
            </w:r>
          </w:p>
          <w:p w14:paraId="109398BC" w14:textId="77777777" w:rsidR="000931AF" w:rsidRDefault="000931AF" w:rsidP="00000202">
            <w:pPr>
              <w:pStyle w:val="BodyText"/>
              <w:spacing w:after="0"/>
              <w:rPr>
                <w:sz w:val="20"/>
                <w:szCs w:val="20"/>
              </w:rPr>
            </w:pPr>
            <w:r w:rsidRPr="00000202">
              <w:rPr>
                <w:sz w:val="20"/>
                <w:szCs w:val="20"/>
              </w:rPr>
              <w:t xml:space="preserve">Abbreviations: </w:t>
            </w:r>
            <w:r>
              <w:rPr>
                <w:sz w:val="20"/>
                <w:szCs w:val="20"/>
              </w:rPr>
              <w:t xml:space="preserve">Inc. recovery = incremental recovery; </w:t>
            </w:r>
            <w:r w:rsidRPr="00000202">
              <w:rPr>
                <w:sz w:val="20"/>
                <w:szCs w:val="20"/>
              </w:rPr>
              <w:t>AUC</w:t>
            </w:r>
            <w:r>
              <w:rPr>
                <w:sz w:val="20"/>
                <w:szCs w:val="20"/>
              </w:rPr>
              <w:t xml:space="preserve"> </w:t>
            </w:r>
            <w:r w:rsidRPr="00000202">
              <w:rPr>
                <w:sz w:val="20"/>
                <w:szCs w:val="20"/>
              </w:rPr>
              <w:t>= area under the plasma concentration-time curve;</w:t>
            </w:r>
            <w:r>
              <w:rPr>
                <w:sz w:val="20"/>
                <w:szCs w:val="20"/>
              </w:rPr>
              <w:t xml:space="preserve"> </w:t>
            </w:r>
            <w:r w:rsidRPr="00000202">
              <w:rPr>
                <w:sz w:val="20"/>
                <w:szCs w:val="20"/>
              </w:rPr>
              <w:t xml:space="preserve">CL= clearance; </w:t>
            </w:r>
            <w:r w:rsidRPr="0096108B">
              <w:rPr>
                <w:sz w:val="20"/>
                <w:szCs w:val="20"/>
              </w:rPr>
              <w:t>t</w:t>
            </w:r>
            <w:r w:rsidRPr="00CD6649">
              <w:rPr>
                <w:sz w:val="20"/>
                <w:szCs w:val="20"/>
                <w:vertAlign w:val="subscript"/>
              </w:rPr>
              <w:t>½</w:t>
            </w:r>
            <w:r w:rsidRPr="0096108B">
              <w:rPr>
                <w:sz w:val="20"/>
                <w:szCs w:val="20"/>
              </w:rPr>
              <w:t xml:space="preserve"> </w:t>
            </w:r>
            <w:r w:rsidRPr="00000202">
              <w:rPr>
                <w:sz w:val="20"/>
                <w:szCs w:val="20"/>
              </w:rPr>
              <w:t xml:space="preserve"> </w:t>
            </w:r>
            <w:r>
              <w:rPr>
                <w:sz w:val="20"/>
                <w:szCs w:val="20"/>
              </w:rPr>
              <w:t xml:space="preserve">= plasma elimination half-life; </w:t>
            </w:r>
            <w:proofErr w:type="spellStart"/>
            <w:r>
              <w:rPr>
                <w:sz w:val="20"/>
                <w:szCs w:val="20"/>
              </w:rPr>
              <w:t>V</w:t>
            </w:r>
            <w:r w:rsidRPr="00CD6649">
              <w:rPr>
                <w:sz w:val="20"/>
                <w:szCs w:val="20"/>
                <w:vertAlign w:val="subscript"/>
              </w:rPr>
              <w:t>ss</w:t>
            </w:r>
            <w:proofErr w:type="spellEnd"/>
            <w:r>
              <w:rPr>
                <w:sz w:val="20"/>
                <w:szCs w:val="20"/>
              </w:rPr>
              <w:t xml:space="preserve"> </w:t>
            </w:r>
            <w:r w:rsidRPr="00000202">
              <w:rPr>
                <w:sz w:val="20"/>
                <w:szCs w:val="20"/>
              </w:rPr>
              <w:t>=</w:t>
            </w:r>
            <w:r>
              <w:rPr>
                <w:sz w:val="20"/>
                <w:szCs w:val="20"/>
              </w:rPr>
              <w:t xml:space="preserve"> s</w:t>
            </w:r>
            <w:r w:rsidRPr="00000202">
              <w:rPr>
                <w:sz w:val="20"/>
                <w:szCs w:val="20"/>
              </w:rPr>
              <w:t xml:space="preserve">teady date volume of distribution; </w:t>
            </w:r>
            <w:proofErr w:type="spellStart"/>
            <w:r>
              <w:rPr>
                <w:sz w:val="20"/>
                <w:szCs w:val="20"/>
              </w:rPr>
              <w:t>C</w:t>
            </w:r>
            <w:r w:rsidRPr="00CD6649">
              <w:rPr>
                <w:sz w:val="20"/>
                <w:szCs w:val="20"/>
                <w:vertAlign w:val="subscript"/>
              </w:rPr>
              <w:t>max</w:t>
            </w:r>
            <w:proofErr w:type="spellEnd"/>
            <w:r w:rsidRPr="00000202">
              <w:rPr>
                <w:sz w:val="20"/>
                <w:szCs w:val="20"/>
              </w:rPr>
              <w:t xml:space="preserve"> = peak </w:t>
            </w:r>
            <w:r>
              <w:rPr>
                <w:sz w:val="20"/>
                <w:szCs w:val="20"/>
              </w:rPr>
              <w:t xml:space="preserve">plasma </w:t>
            </w:r>
            <w:r w:rsidRPr="00000202">
              <w:rPr>
                <w:sz w:val="20"/>
                <w:szCs w:val="20"/>
              </w:rPr>
              <w:t>concentration;</w:t>
            </w:r>
            <w:r>
              <w:rPr>
                <w:sz w:val="20"/>
                <w:szCs w:val="20"/>
              </w:rPr>
              <w:t xml:space="preserve"> MRT</w:t>
            </w:r>
            <w:r w:rsidRPr="00000202">
              <w:rPr>
                <w:sz w:val="20"/>
                <w:szCs w:val="20"/>
              </w:rPr>
              <w:t xml:space="preserve"> = </w:t>
            </w:r>
            <w:r>
              <w:rPr>
                <w:sz w:val="20"/>
                <w:szCs w:val="20"/>
              </w:rPr>
              <w:t>mean residence time</w:t>
            </w:r>
          </w:p>
          <w:p w14:paraId="0957118F" w14:textId="77777777" w:rsidR="000931AF" w:rsidRPr="00ED566B" w:rsidRDefault="000931AF" w:rsidP="00B12504">
            <w:pPr>
              <w:pStyle w:val="BodyText"/>
              <w:spacing w:after="0"/>
              <w:rPr>
                <w:sz w:val="20"/>
                <w:szCs w:val="20"/>
              </w:rPr>
            </w:pPr>
          </w:p>
          <w:p w14:paraId="6C494355" w14:textId="77777777" w:rsidR="000931AF" w:rsidRDefault="000931AF" w:rsidP="00DC5D9A">
            <w:pPr>
              <w:pStyle w:val="BodyText"/>
              <w:jc w:val="both"/>
            </w:pPr>
            <w:r w:rsidRPr="00ED566B">
              <w:t xml:space="preserve">Pharmacokinetic data from single-dose administrations of </w:t>
            </w:r>
            <w:proofErr w:type="spellStart"/>
            <w:r>
              <w:t>NovoEight</w:t>
            </w:r>
            <w:proofErr w:type="spellEnd"/>
            <w:r w:rsidRPr="00ED566B">
              <w:t xml:space="preserve"> in 14 paediatric </w:t>
            </w:r>
            <w:r>
              <w:t>subject</w:t>
            </w:r>
            <w:r w:rsidRPr="00ED566B">
              <w:t>s below 6 years</w:t>
            </w:r>
            <w:r>
              <w:t xml:space="preserve"> of age</w:t>
            </w:r>
            <w:r w:rsidRPr="00ED566B">
              <w:t xml:space="preserve"> and in 14 paediatric </w:t>
            </w:r>
            <w:r>
              <w:t>subject</w:t>
            </w:r>
            <w:r w:rsidRPr="00ED566B">
              <w:t xml:space="preserve">s from 6 to below 12 years of age are listed in </w:t>
            </w:r>
            <w:r>
              <w:t>t</w:t>
            </w:r>
            <w:r w:rsidRPr="00ED566B">
              <w:t>able</w:t>
            </w:r>
            <w:r>
              <w:t>s</w:t>
            </w:r>
            <w:r w:rsidRPr="00ED566B">
              <w:t xml:space="preserve"> </w:t>
            </w:r>
            <w:r>
              <w:t>2</w:t>
            </w:r>
            <w:r w:rsidRPr="00CD280B">
              <w:t xml:space="preserve"> and </w:t>
            </w:r>
            <w:r>
              <w:t>3.</w:t>
            </w:r>
          </w:p>
          <w:p w14:paraId="51A91069" w14:textId="5DAB5E52" w:rsidR="000931AF" w:rsidRPr="00E23B48" w:rsidRDefault="000931AF" w:rsidP="00BB5CA6">
            <w:pPr>
              <w:pStyle w:val="BodyText"/>
              <w:spacing w:after="0"/>
              <w:rPr>
                <w:b/>
              </w:rPr>
            </w:pPr>
            <w:r w:rsidRPr="00E23B48">
              <w:rPr>
                <w:b/>
              </w:rPr>
              <w:t xml:space="preserve">Table </w:t>
            </w:r>
            <w:r>
              <w:rPr>
                <w:b/>
              </w:rPr>
              <w:t>2</w:t>
            </w:r>
            <w:r w:rsidRPr="00E23B48">
              <w:rPr>
                <w:b/>
              </w:rPr>
              <w:t xml:space="preserve"> Single-dose pharmacokinetics of </w:t>
            </w:r>
            <w:proofErr w:type="spellStart"/>
            <w:r>
              <w:rPr>
                <w:b/>
              </w:rPr>
              <w:t>NovoEight</w:t>
            </w:r>
            <w:proofErr w:type="spellEnd"/>
            <w:r w:rsidRPr="00E23B48">
              <w:rPr>
                <w:b/>
              </w:rPr>
              <w:t xml:space="preserve"> in children with haemophilia A </w:t>
            </w:r>
            <w:r w:rsidRPr="00CD280B">
              <w:rPr>
                <w:b/>
              </w:rPr>
              <w:t>(</w:t>
            </w:r>
            <w:r w:rsidR="00F809C2">
              <w:rPr>
                <w:b/>
              </w:rPr>
              <w:t>1</w:t>
            </w:r>
            <w:r w:rsidR="00F809C2" w:rsidRPr="00CD280B">
              <w:rPr>
                <w:b/>
              </w:rPr>
              <w:t xml:space="preserve"> </w:t>
            </w:r>
            <w:r w:rsidRPr="00CD280B">
              <w:rPr>
                <w:b/>
              </w:rPr>
              <w:t>− &lt; 6 years)</w:t>
            </w:r>
            <w:r w:rsidRPr="00E23B48">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1746"/>
              <w:gridCol w:w="2250"/>
            </w:tblGrid>
            <w:tr w:rsidR="000931AF" w:rsidRPr="0096108B" w14:paraId="12C8EDC4" w14:textId="77777777" w:rsidTr="00B12504">
              <w:tc>
                <w:tcPr>
                  <w:tcW w:w="2929" w:type="dxa"/>
                  <w:vMerge w:val="restart"/>
                  <w:shd w:val="clear" w:color="auto" w:fill="auto"/>
                </w:tcPr>
                <w:p w14:paraId="5DE761A3" w14:textId="77777777" w:rsidR="000931AF" w:rsidRPr="0096108B" w:rsidRDefault="000931AF" w:rsidP="00B12504">
                  <w:pPr>
                    <w:pStyle w:val="BodyText"/>
                    <w:spacing w:after="0"/>
                    <w:rPr>
                      <w:b/>
                      <w:sz w:val="20"/>
                      <w:szCs w:val="20"/>
                    </w:rPr>
                  </w:pPr>
                  <w:r w:rsidRPr="0096108B">
                    <w:rPr>
                      <w:b/>
                      <w:sz w:val="20"/>
                      <w:szCs w:val="20"/>
                    </w:rPr>
                    <w:t>Parameter</w:t>
                  </w:r>
                </w:p>
              </w:tc>
              <w:tc>
                <w:tcPr>
                  <w:tcW w:w="1746" w:type="dxa"/>
                  <w:shd w:val="clear" w:color="auto" w:fill="auto"/>
                </w:tcPr>
                <w:p w14:paraId="10998DB9" w14:textId="77777777" w:rsidR="000931AF" w:rsidRPr="0096108B" w:rsidRDefault="000931AF" w:rsidP="00B12504">
                  <w:pPr>
                    <w:pStyle w:val="BodyText"/>
                    <w:spacing w:after="0"/>
                    <w:jc w:val="both"/>
                    <w:rPr>
                      <w:b/>
                      <w:sz w:val="20"/>
                      <w:szCs w:val="20"/>
                    </w:rPr>
                  </w:pPr>
                  <w:r>
                    <w:rPr>
                      <w:b/>
                      <w:sz w:val="20"/>
                      <w:szCs w:val="20"/>
                    </w:rPr>
                    <w:t>Clo</w:t>
                  </w:r>
                  <w:r w:rsidRPr="0096108B">
                    <w:rPr>
                      <w:b/>
                      <w:sz w:val="20"/>
                      <w:szCs w:val="20"/>
                    </w:rPr>
                    <w:t>t</w:t>
                  </w:r>
                  <w:r>
                    <w:rPr>
                      <w:b/>
                      <w:sz w:val="20"/>
                      <w:szCs w:val="20"/>
                    </w:rPr>
                    <w:t>ti</w:t>
                  </w:r>
                  <w:r w:rsidRPr="0096108B">
                    <w:rPr>
                      <w:b/>
                      <w:sz w:val="20"/>
                      <w:szCs w:val="20"/>
                    </w:rPr>
                    <w:t>ng assay</w:t>
                  </w:r>
                </w:p>
              </w:tc>
              <w:tc>
                <w:tcPr>
                  <w:tcW w:w="2250" w:type="dxa"/>
                  <w:shd w:val="clear" w:color="auto" w:fill="auto"/>
                </w:tcPr>
                <w:p w14:paraId="6DDEAE13" w14:textId="77777777" w:rsidR="000931AF" w:rsidRPr="0096108B" w:rsidRDefault="000931AF" w:rsidP="00B12504">
                  <w:pPr>
                    <w:pStyle w:val="BodyText"/>
                    <w:spacing w:after="0"/>
                    <w:jc w:val="both"/>
                    <w:rPr>
                      <w:b/>
                      <w:sz w:val="20"/>
                      <w:szCs w:val="20"/>
                    </w:rPr>
                  </w:pPr>
                  <w:r>
                    <w:rPr>
                      <w:b/>
                      <w:sz w:val="20"/>
                      <w:szCs w:val="20"/>
                    </w:rPr>
                    <w:t>Chro</w:t>
                  </w:r>
                  <w:r w:rsidRPr="0096108B">
                    <w:rPr>
                      <w:b/>
                      <w:sz w:val="20"/>
                      <w:szCs w:val="20"/>
                    </w:rPr>
                    <w:t>mogenic assay</w:t>
                  </w:r>
                </w:p>
              </w:tc>
            </w:tr>
            <w:tr w:rsidR="000931AF" w:rsidRPr="0096108B" w14:paraId="4ED7218A" w14:textId="77777777" w:rsidTr="00B12504">
              <w:tc>
                <w:tcPr>
                  <w:tcW w:w="2929" w:type="dxa"/>
                  <w:vMerge/>
                  <w:shd w:val="clear" w:color="auto" w:fill="auto"/>
                </w:tcPr>
                <w:p w14:paraId="41562A08" w14:textId="77777777" w:rsidR="000931AF" w:rsidRPr="0096108B" w:rsidRDefault="000931AF" w:rsidP="00B12504">
                  <w:pPr>
                    <w:pStyle w:val="BodyText"/>
                    <w:spacing w:after="0"/>
                    <w:rPr>
                      <w:sz w:val="20"/>
                      <w:szCs w:val="20"/>
                    </w:rPr>
                  </w:pPr>
                </w:p>
              </w:tc>
              <w:tc>
                <w:tcPr>
                  <w:tcW w:w="1746" w:type="dxa"/>
                  <w:shd w:val="clear" w:color="auto" w:fill="auto"/>
                </w:tcPr>
                <w:p w14:paraId="219746BB" w14:textId="77777777" w:rsidR="000931AF" w:rsidRPr="0096108B" w:rsidRDefault="000931AF" w:rsidP="00CD6649">
                  <w:pPr>
                    <w:pStyle w:val="BodyText"/>
                    <w:spacing w:after="0"/>
                    <w:jc w:val="center"/>
                    <w:rPr>
                      <w:sz w:val="20"/>
                      <w:szCs w:val="20"/>
                    </w:rPr>
                  </w:pPr>
                  <w:r w:rsidRPr="0096108B">
                    <w:rPr>
                      <w:sz w:val="20"/>
                      <w:szCs w:val="20"/>
                    </w:rPr>
                    <w:t>Mean (SD)</w:t>
                  </w:r>
                </w:p>
              </w:tc>
              <w:tc>
                <w:tcPr>
                  <w:tcW w:w="2250" w:type="dxa"/>
                  <w:shd w:val="clear" w:color="auto" w:fill="auto"/>
                </w:tcPr>
                <w:p w14:paraId="438134E6" w14:textId="77777777" w:rsidR="000931AF" w:rsidRPr="0096108B" w:rsidRDefault="000931AF" w:rsidP="00CD6649">
                  <w:pPr>
                    <w:pStyle w:val="BodyText"/>
                    <w:spacing w:after="0"/>
                    <w:jc w:val="center"/>
                    <w:rPr>
                      <w:sz w:val="20"/>
                      <w:szCs w:val="20"/>
                    </w:rPr>
                  </w:pPr>
                  <w:r w:rsidRPr="0096108B">
                    <w:rPr>
                      <w:sz w:val="20"/>
                      <w:szCs w:val="20"/>
                    </w:rPr>
                    <w:t>Mean (SD)</w:t>
                  </w:r>
                </w:p>
              </w:tc>
            </w:tr>
            <w:tr w:rsidR="000931AF" w:rsidRPr="0096108B" w14:paraId="0F239860" w14:textId="77777777" w:rsidTr="00B12504">
              <w:tc>
                <w:tcPr>
                  <w:tcW w:w="2929" w:type="dxa"/>
                  <w:shd w:val="clear" w:color="auto" w:fill="auto"/>
                </w:tcPr>
                <w:p w14:paraId="2E2E77A3" w14:textId="77777777" w:rsidR="000931AF" w:rsidRPr="0096108B" w:rsidRDefault="000931AF" w:rsidP="00B12504">
                  <w:pPr>
                    <w:spacing w:line="264" w:lineRule="auto"/>
                    <w:rPr>
                      <w:sz w:val="20"/>
                      <w:szCs w:val="20"/>
                    </w:rPr>
                  </w:pPr>
                  <w:r>
                    <w:rPr>
                      <w:sz w:val="20"/>
                      <w:szCs w:val="20"/>
                    </w:rPr>
                    <w:t>Inc. recovery (IU/ml</w:t>
                  </w:r>
                  <w:r w:rsidRPr="0096108B">
                    <w:rPr>
                      <w:sz w:val="20"/>
                      <w:szCs w:val="20"/>
                    </w:rPr>
                    <w:t xml:space="preserve">)/(IU/kg) </w:t>
                  </w:r>
                </w:p>
              </w:tc>
              <w:tc>
                <w:tcPr>
                  <w:tcW w:w="1746" w:type="dxa"/>
                  <w:shd w:val="clear" w:color="auto" w:fill="auto"/>
                </w:tcPr>
                <w:p w14:paraId="47B06D26" w14:textId="77777777" w:rsidR="000931AF" w:rsidRPr="0096108B" w:rsidRDefault="000931AF" w:rsidP="00CD6649">
                  <w:pPr>
                    <w:spacing w:line="264" w:lineRule="auto"/>
                    <w:jc w:val="center"/>
                    <w:rPr>
                      <w:sz w:val="20"/>
                      <w:szCs w:val="20"/>
                    </w:rPr>
                  </w:pPr>
                  <w:r w:rsidRPr="0096108B">
                    <w:rPr>
                      <w:sz w:val="20"/>
                      <w:szCs w:val="20"/>
                    </w:rPr>
                    <w:t>0.018 (0.007)</w:t>
                  </w:r>
                </w:p>
              </w:tc>
              <w:tc>
                <w:tcPr>
                  <w:tcW w:w="2250" w:type="dxa"/>
                  <w:shd w:val="clear" w:color="auto" w:fill="auto"/>
                </w:tcPr>
                <w:p w14:paraId="565828D7" w14:textId="77777777" w:rsidR="000931AF" w:rsidRPr="0096108B" w:rsidRDefault="000931AF" w:rsidP="00CD6649">
                  <w:pPr>
                    <w:spacing w:line="264" w:lineRule="auto"/>
                    <w:jc w:val="center"/>
                    <w:rPr>
                      <w:sz w:val="20"/>
                      <w:szCs w:val="20"/>
                    </w:rPr>
                  </w:pPr>
                  <w:r w:rsidRPr="0096108B">
                    <w:rPr>
                      <w:sz w:val="20"/>
                      <w:szCs w:val="20"/>
                    </w:rPr>
                    <w:t>0.022 (0.006)</w:t>
                  </w:r>
                </w:p>
              </w:tc>
            </w:tr>
            <w:tr w:rsidR="000931AF" w:rsidRPr="0096108B" w14:paraId="2B63B085" w14:textId="77777777" w:rsidTr="00B12504">
              <w:tc>
                <w:tcPr>
                  <w:tcW w:w="2929" w:type="dxa"/>
                  <w:shd w:val="clear" w:color="auto" w:fill="auto"/>
                </w:tcPr>
                <w:p w14:paraId="63994D4D" w14:textId="77777777" w:rsidR="000931AF" w:rsidRPr="0096108B" w:rsidRDefault="000931AF" w:rsidP="00B12504">
                  <w:pPr>
                    <w:spacing w:line="264" w:lineRule="auto"/>
                    <w:rPr>
                      <w:sz w:val="20"/>
                      <w:szCs w:val="20"/>
                    </w:rPr>
                  </w:pPr>
                  <w:r>
                    <w:rPr>
                      <w:sz w:val="20"/>
                      <w:szCs w:val="20"/>
                    </w:rPr>
                    <w:t>AUC ((IU*h)/ml</w:t>
                  </w:r>
                  <w:r w:rsidRPr="0096108B">
                    <w:rPr>
                      <w:sz w:val="20"/>
                      <w:szCs w:val="20"/>
                    </w:rPr>
                    <w:t xml:space="preserve">) </w:t>
                  </w:r>
                </w:p>
              </w:tc>
              <w:tc>
                <w:tcPr>
                  <w:tcW w:w="1746" w:type="dxa"/>
                  <w:shd w:val="clear" w:color="auto" w:fill="auto"/>
                </w:tcPr>
                <w:p w14:paraId="0B37662E" w14:textId="77777777" w:rsidR="000931AF" w:rsidRPr="0096108B" w:rsidRDefault="000931AF" w:rsidP="00F74391">
                  <w:pPr>
                    <w:spacing w:line="264" w:lineRule="auto"/>
                    <w:jc w:val="center"/>
                    <w:rPr>
                      <w:sz w:val="20"/>
                      <w:szCs w:val="20"/>
                    </w:rPr>
                  </w:pPr>
                  <w:r w:rsidRPr="0096108B">
                    <w:rPr>
                      <w:sz w:val="20"/>
                      <w:szCs w:val="20"/>
                    </w:rPr>
                    <w:t>9.</w:t>
                  </w:r>
                  <w:r>
                    <w:rPr>
                      <w:sz w:val="20"/>
                      <w:szCs w:val="20"/>
                    </w:rPr>
                    <w:t>8</w:t>
                  </w:r>
                  <w:r w:rsidRPr="0096108B">
                    <w:rPr>
                      <w:sz w:val="20"/>
                      <w:szCs w:val="20"/>
                    </w:rPr>
                    <w:t>9 (</w:t>
                  </w:r>
                  <w:r>
                    <w:rPr>
                      <w:sz w:val="20"/>
                      <w:szCs w:val="20"/>
                    </w:rPr>
                    <w:t>4</w:t>
                  </w:r>
                  <w:r w:rsidRPr="0096108B">
                    <w:rPr>
                      <w:sz w:val="20"/>
                      <w:szCs w:val="20"/>
                    </w:rPr>
                    <w:t xml:space="preserve">.14) </w:t>
                  </w:r>
                </w:p>
              </w:tc>
              <w:tc>
                <w:tcPr>
                  <w:tcW w:w="2250" w:type="dxa"/>
                  <w:shd w:val="clear" w:color="auto" w:fill="auto"/>
                </w:tcPr>
                <w:p w14:paraId="6757B911" w14:textId="43D6E5FE" w:rsidR="000931AF" w:rsidRPr="0096108B" w:rsidRDefault="000931AF" w:rsidP="00CD6649">
                  <w:pPr>
                    <w:spacing w:line="264" w:lineRule="auto"/>
                    <w:jc w:val="center"/>
                    <w:rPr>
                      <w:sz w:val="20"/>
                      <w:szCs w:val="20"/>
                    </w:rPr>
                  </w:pPr>
                  <w:r w:rsidRPr="0096108B">
                    <w:rPr>
                      <w:sz w:val="20"/>
                      <w:szCs w:val="20"/>
                    </w:rPr>
                    <w:t>12.21 (4.38</w:t>
                  </w:r>
                  <w:r w:rsidR="004C6FA0">
                    <w:rPr>
                      <w:sz w:val="20"/>
                      <w:szCs w:val="20"/>
                    </w:rPr>
                    <w:t>)</w:t>
                  </w:r>
                </w:p>
              </w:tc>
            </w:tr>
            <w:tr w:rsidR="000931AF" w:rsidRPr="0096108B" w14:paraId="50D5EBDD" w14:textId="77777777" w:rsidTr="00B12504">
              <w:tc>
                <w:tcPr>
                  <w:tcW w:w="2929" w:type="dxa"/>
                  <w:shd w:val="clear" w:color="auto" w:fill="auto"/>
                </w:tcPr>
                <w:p w14:paraId="2A77B503" w14:textId="77777777" w:rsidR="000931AF" w:rsidRPr="0096108B" w:rsidRDefault="000931AF" w:rsidP="00B12504">
                  <w:pPr>
                    <w:spacing w:line="264" w:lineRule="auto"/>
                    <w:rPr>
                      <w:sz w:val="20"/>
                      <w:szCs w:val="20"/>
                    </w:rPr>
                  </w:pPr>
                  <w:r>
                    <w:rPr>
                      <w:sz w:val="20"/>
                      <w:szCs w:val="20"/>
                    </w:rPr>
                    <w:t>CL (ml</w:t>
                  </w:r>
                  <w:r w:rsidRPr="0096108B">
                    <w:rPr>
                      <w:sz w:val="20"/>
                      <w:szCs w:val="20"/>
                    </w:rPr>
                    <w:t xml:space="preserve">/h/kg) </w:t>
                  </w:r>
                </w:p>
              </w:tc>
              <w:tc>
                <w:tcPr>
                  <w:tcW w:w="1746" w:type="dxa"/>
                  <w:shd w:val="clear" w:color="auto" w:fill="auto"/>
                </w:tcPr>
                <w:p w14:paraId="4D67EDA2" w14:textId="77777777" w:rsidR="000931AF" w:rsidRPr="0096108B" w:rsidRDefault="000931AF" w:rsidP="00015EF1">
                  <w:pPr>
                    <w:spacing w:line="264" w:lineRule="auto"/>
                    <w:jc w:val="center"/>
                    <w:rPr>
                      <w:sz w:val="20"/>
                      <w:szCs w:val="20"/>
                    </w:rPr>
                  </w:pPr>
                  <w:r w:rsidRPr="0096108B">
                    <w:rPr>
                      <w:sz w:val="20"/>
                      <w:szCs w:val="20"/>
                    </w:rPr>
                    <w:t>6.26 (3.73)</w:t>
                  </w:r>
                </w:p>
              </w:tc>
              <w:tc>
                <w:tcPr>
                  <w:tcW w:w="2250" w:type="dxa"/>
                  <w:shd w:val="clear" w:color="auto" w:fill="auto"/>
                </w:tcPr>
                <w:p w14:paraId="27144CE0" w14:textId="77777777" w:rsidR="000931AF" w:rsidRPr="0096108B" w:rsidRDefault="000931AF" w:rsidP="00015EF1">
                  <w:pPr>
                    <w:spacing w:line="264" w:lineRule="auto"/>
                    <w:jc w:val="center"/>
                    <w:rPr>
                      <w:sz w:val="20"/>
                      <w:szCs w:val="20"/>
                    </w:rPr>
                  </w:pPr>
                  <w:r w:rsidRPr="0096108B">
                    <w:rPr>
                      <w:sz w:val="20"/>
                      <w:szCs w:val="20"/>
                    </w:rPr>
                    <w:t>4.60 (1.75)</w:t>
                  </w:r>
                </w:p>
              </w:tc>
            </w:tr>
            <w:tr w:rsidR="000931AF" w:rsidRPr="0096108B" w14:paraId="730441EA" w14:textId="77777777" w:rsidTr="00B12504">
              <w:tc>
                <w:tcPr>
                  <w:tcW w:w="2929" w:type="dxa"/>
                  <w:shd w:val="clear" w:color="auto" w:fill="auto"/>
                </w:tcPr>
                <w:p w14:paraId="39C669DB" w14:textId="77777777" w:rsidR="000931AF" w:rsidRPr="0096108B" w:rsidRDefault="000931AF" w:rsidP="00B12504">
                  <w:pPr>
                    <w:spacing w:line="264" w:lineRule="auto"/>
                    <w:rPr>
                      <w:sz w:val="20"/>
                      <w:szCs w:val="20"/>
                    </w:rPr>
                  </w:pPr>
                  <w:r w:rsidRPr="0096108B">
                    <w:rPr>
                      <w:sz w:val="20"/>
                      <w:szCs w:val="20"/>
                    </w:rPr>
                    <w:t>t</w:t>
                  </w:r>
                  <w:r w:rsidRPr="00CD6649">
                    <w:rPr>
                      <w:sz w:val="20"/>
                      <w:szCs w:val="20"/>
                      <w:vertAlign w:val="subscript"/>
                    </w:rPr>
                    <w:t>½</w:t>
                  </w:r>
                  <w:r w:rsidRPr="0096108B">
                    <w:rPr>
                      <w:sz w:val="20"/>
                      <w:szCs w:val="20"/>
                    </w:rPr>
                    <w:t xml:space="preserve"> (h) </w:t>
                  </w:r>
                </w:p>
              </w:tc>
              <w:tc>
                <w:tcPr>
                  <w:tcW w:w="1746" w:type="dxa"/>
                  <w:shd w:val="clear" w:color="auto" w:fill="auto"/>
                </w:tcPr>
                <w:p w14:paraId="0BD7D7F8" w14:textId="77777777" w:rsidR="000931AF" w:rsidRPr="0096108B" w:rsidRDefault="000931AF" w:rsidP="00CD6649">
                  <w:pPr>
                    <w:spacing w:line="264" w:lineRule="auto"/>
                    <w:jc w:val="center"/>
                    <w:rPr>
                      <w:sz w:val="20"/>
                      <w:szCs w:val="20"/>
                    </w:rPr>
                  </w:pPr>
                  <w:r w:rsidRPr="0096108B">
                    <w:rPr>
                      <w:sz w:val="20"/>
                      <w:szCs w:val="20"/>
                    </w:rPr>
                    <w:t>7.65 (1.84)</w:t>
                  </w:r>
                </w:p>
              </w:tc>
              <w:tc>
                <w:tcPr>
                  <w:tcW w:w="2250" w:type="dxa"/>
                  <w:shd w:val="clear" w:color="auto" w:fill="auto"/>
                </w:tcPr>
                <w:p w14:paraId="7284FDA9" w14:textId="77777777" w:rsidR="000931AF" w:rsidRPr="0096108B" w:rsidRDefault="000931AF" w:rsidP="00CD6649">
                  <w:pPr>
                    <w:spacing w:line="264" w:lineRule="auto"/>
                    <w:jc w:val="center"/>
                    <w:rPr>
                      <w:sz w:val="20"/>
                      <w:szCs w:val="20"/>
                    </w:rPr>
                  </w:pPr>
                  <w:r>
                    <w:rPr>
                      <w:sz w:val="20"/>
                      <w:szCs w:val="20"/>
                    </w:rPr>
                    <w:t>9.99 (1.</w:t>
                  </w:r>
                  <w:r w:rsidRPr="0096108B">
                    <w:rPr>
                      <w:sz w:val="20"/>
                      <w:szCs w:val="20"/>
                    </w:rPr>
                    <w:t>71</w:t>
                  </w:r>
                  <w:r>
                    <w:rPr>
                      <w:sz w:val="20"/>
                      <w:szCs w:val="20"/>
                    </w:rPr>
                    <w:t>)</w:t>
                  </w:r>
                </w:p>
              </w:tc>
            </w:tr>
            <w:tr w:rsidR="000931AF" w:rsidRPr="0096108B" w14:paraId="37AD7BB3" w14:textId="77777777" w:rsidTr="00B12504">
              <w:tc>
                <w:tcPr>
                  <w:tcW w:w="2929" w:type="dxa"/>
                  <w:shd w:val="clear" w:color="auto" w:fill="auto"/>
                </w:tcPr>
                <w:p w14:paraId="0561A213" w14:textId="77777777" w:rsidR="000931AF" w:rsidRPr="0096108B" w:rsidRDefault="000931AF" w:rsidP="00B12504">
                  <w:pPr>
                    <w:spacing w:line="264" w:lineRule="auto"/>
                    <w:rPr>
                      <w:sz w:val="20"/>
                      <w:szCs w:val="20"/>
                    </w:rPr>
                  </w:pPr>
                  <w:proofErr w:type="spellStart"/>
                  <w:r>
                    <w:rPr>
                      <w:sz w:val="20"/>
                      <w:szCs w:val="20"/>
                    </w:rPr>
                    <w:t>V</w:t>
                  </w:r>
                  <w:r w:rsidRPr="00CD6649">
                    <w:rPr>
                      <w:sz w:val="20"/>
                      <w:szCs w:val="20"/>
                      <w:vertAlign w:val="subscript"/>
                    </w:rPr>
                    <w:t>ss</w:t>
                  </w:r>
                  <w:proofErr w:type="spellEnd"/>
                  <w:r>
                    <w:rPr>
                      <w:sz w:val="20"/>
                      <w:szCs w:val="20"/>
                    </w:rPr>
                    <w:t xml:space="preserve"> (ml</w:t>
                  </w:r>
                  <w:r w:rsidRPr="0096108B">
                    <w:rPr>
                      <w:sz w:val="20"/>
                      <w:szCs w:val="20"/>
                    </w:rPr>
                    <w:t xml:space="preserve">/kg) </w:t>
                  </w:r>
                </w:p>
              </w:tc>
              <w:tc>
                <w:tcPr>
                  <w:tcW w:w="1746" w:type="dxa"/>
                  <w:shd w:val="clear" w:color="auto" w:fill="auto"/>
                </w:tcPr>
                <w:p w14:paraId="0D937451" w14:textId="77777777" w:rsidR="000931AF" w:rsidRPr="0096108B" w:rsidRDefault="000931AF" w:rsidP="00CD6649">
                  <w:pPr>
                    <w:spacing w:line="264" w:lineRule="auto"/>
                    <w:jc w:val="center"/>
                    <w:rPr>
                      <w:sz w:val="20"/>
                      <w:szCs w:val="20"/>
                    </w:rPr>
                  </w:pPr>
                  <w:r w:rsidRPr="0096108B">
                    <w:rPr>
                      <w:sz w:val="20"/>
                      <w:szCs w:val="20"/>
                    </w:rPr>
                    <w:t>57.30 (26.75)</w:t>
                  </w:r>
                </w:p>
              </w:tc>
              <w:tc>
                <w:tcPr>
                  <w:tcW w:w="2250" w:type="dxa"/>
                  <w:shd w:val="clear" w:color="auto" w:fill="auto"/>
                </w:tcPr>
                <w:p w14:paraId="6CE210DA" w14:textId="77777777" w:rsidR="000931AF" w:rsidRPr="0096108B" w:rsidRDefault="000931AF" w:rsidP="00CD6649">
                  <w:pPr>
                    <w:spacing w:line="264" w:lineRule="auto"/>
                    <w:jc w:val="center"/>
                    <w:rPr>
                      <w:sz w:val="20"/>
                      <w:szCs w:val="20"/>
                    </w:rPr>
                  </w:pPr>
                  <w:r w:rsidRPr="0096108B">
                    <w:rPr>
                      <w:sz w:val="20"/>
                      <w:szCs w:val="20"/>
                    </w:rPr>
                    <w:t>55.79 (23.71)</w:t>
                  </w:r>
                </w:p>
              </w:tc>
            </w:tr>
            <w:tr w:rsidR="000931AF" w:rsidRPr="0096108B" w14:paraId="2F2BC4A7" w14:textId="77777777" w:rsidTr="00B12504">
              <w:tc>
                <w:tcPr>
                  <w:tcW w:w="2929" w:type="dxa"/>
                  <w:shd w:val="clear" w:color="auto" w:fill="auto"/>
                </w:tcPr>
                <w:p w14:paraId="156F4949" w14:textId="77777777" w:rsidR="000931AF" w:rsidRPr="0096108B" w:rsidRDefault="000931AF" w:rsidP="00B12504">
                  <w:pPr>
                    <w:spacing w:line="264" w:lineRule="auto"/>
                    <w:rPr>
                      <w:sz w:val="20"/>
                      <w:szCs w:val="20"/>
                    </w:rPr>
                  </w:pPr>
                  <w:proofErr w:type="spellStart"/>
                  <w:r>
                    <w:rPr>
                      <w:sz w:val="20"/>
                      <w:szCs w:val="20"/>
                    </w:rPr>
                    <w:t>C</w:t>
                  </w:r>
                  <w:r w:rsidRPr="00CD6649">
                    <w:rPr>
                      <w:sz w:val="20"/>
                      <w:szCs w:val="20"/>
                      <w:vertAlign w:val="subscript"/>
                    </w:rPr>
                    <w:t>max</w:t>
                  </w:r>
                  <w:proofErr w:type="spellEnd"/>
                  <w:r>
                    <w:rPr>
                      <w:sz w:val="20"/>
                      <w:szCs w:val="20"/>
                    </w:rPr>
                    <w:t xml:space="preserve"> (IU/ml</w:t>
                  </w:r>
                  <w:r w:rsidRPr="0096108B">
                    <w:rPr>
                      <w:sz w:val="20"/>
                      <w:szCs w:val="20"/>
                    </w:rPr>
                    <w:t xml:space="preserve">) </w:t>
                  </w:r>
                </w:p>
              </w:tc>
              <w:tc>
                <w:tcPr>
                  <w:tcW w:w="1746" w:type="dxa"/>
                  <w:shd w:val="clear" w:color="auto" w:fill="auto"/>
                </w:tcPr>
                <w:p w14:paraId="695B4564" w14:textId="77777777" w:rsidR="000931AF" w:rsidRPr="0096108B" w:rsidRDefault="000931AF" w:rsidP="00CD6649">
                  <w:pPr>
                    <w:spacing w:line="264" w:lineRule="auto"/>
                    <w:jc w:val="center"/>
                    <w:rPr>
                      <w:sz w:val="20"/>
                      <w:szCs w:val="20"/>
                    </w:rPr>
                  </w:pPr>
                  <w:r w:rsidRPr="0096108B">
                    <w:rPr>
                      <w:sz w:val="20"/>
                      <w:szCs w:val="20"/>
                    </w:rPr>
                    <w:t>1.00 (0.58)</w:t>
                  </w:r>
                </w:p>
              </w:tc>
              <w:tc>
                <w:tcPr>
                  <w:tcW w:w="2250" w:type="dxa"/>
                  <w:shd w:val="clear" w:color="auto" w:fill="auto"/>
                </w:tcPr>
                <w:p w14:paraId="6D81FF4B" w14:textId="77777777" w:rsidR="000931AF" w:rsidRPr="0096108B" w:rsidRDefault="000931AF" w:rsidP="00CD6649">
                  <w:pPr>
                    <w:spacing w:line="264" w:lineRule="auto"/>
                    <w:jc w:val="center"/>
                    <w:rPr>
                      <w:sz w:val="20"/>
                      <w:szCs w:val="20"/>
                    </w:rPr>
                  </w:pPr>
                  <w:r w:rsidRPr="0096108B">
                    <w:rPr>
                      <w:sz w:val="20"/>
                      <w:szCs w:val="20"/>
                    </w:rPr>
                    <w:t>1.12 (0.31)</w:t>
                  </w:r>
                </w:p>
              </w:tc>
            </w:tr>
            <w:tr w:rsidR="000931AF" w:rsidRPr="0096108B" w14:paraId="3F3CB3B0" w14:textId="77777777" w:rsidTr="00B12504">
              <w:tc>
                <w:tcPr>
                  <w:tcW w:w="2929" w:type="dxa"/>
                  <w:shd w:val="clear" w:color="auto" w:fill="auto"/>
                </w:tcPr>
                <w:p w14:paraId="3D23FD6E" w14:textId="77777777" w:rsidR="000931AF" w:rsidRPr="0096108B" w:rsidRDefault="000931AF" w:rsidP="00B12504">
                  <w:pPr>
                    <w:spacing w:line="264" w:lineRule="auto"/>
                    <w:rPr>
                      <w:sz w:val="20"/>
                      <w:szCs w:val="20"/>
                    </w:rPr>
                  </w:pPr>
                  <w:r w:rsidRPr="0096108B">
                    <w:rPr>
                      <w:sz w:val="20"/>
                      <w:szCs w:val="20"/>
                    </w:rPr>
                    <w:t xml:space="preserve">MRT (h) </w:t>
                  </w:r>
                </w:p>
              </w:tc>
              <w:tc>
                <w:tcPr>
                  <w:tcW w:w="1746" w:type="dxa"/>
                  <w:shd w:val="clear" w:color="auto" w:fill="auto"/>
                </w:tcPr>
                <w:p w14:paraId="28BE38BC" w14:textId="77777777" w:rsidR="000931AF" w:rsidRPr="0096108B" w:rsidRDefault="000931AF" w:rsidP="00CD6649">
                  <w:pPr>
                    <w:spacing w:line="264" w:lineRule="auto"/>
                    <w:jc w:val="center"/>
                    <w:rPr>
                      <w:sz w:val="20"/>
                      <w:szCs w:val="20"/>
                    </w:rPr>
                  </w:pPr>
                  <w:r w:rsidRPr="0096108B">
                    <w:rPr>
                      <w:sz w:val="20"/>
                      <w:szCs w:val="20"/>
                    </w:rPr>
                    <w:t>9.65 (2.46)</w:t>
                  </w:r>
                </w:p>
              </w:tc>
              <w:tc>
                <w:tcPr>
                  <w:tcW w:w="2250" w:type="dxa"/>
                  <w:shd w:val="clear" w:color="auto" w:fill="auto"/>
                </w:tcPr>
                <w:p w14:paraId="24933A9F" w14:textId="77777777" w:rsidR="000931AF" w:rsidRPr="0096108B" w:rsidRDefault="000931AF" w:rsidP="00CD6649">
                  <w:pPr>
                    <w:spacing w:line="264" w:lineRule="auto"/>
                    <w:jc w:val="center"/>
                    <w:rPr>
                      <w:sz w:val="20"/>
                      <w:szCs w:val="20"/>
                    </w:rPr>
                  </w:pPr>
                  <w:r w:rsidRPr="0096108B">
                    <w:rPr>
                      <w:sz w:val="20"/>
                      <w:szCs w:val="20"/>
                    </w:rPr>
                    <w:t>12.09 (1.88)</w:t>
                  </w:r>
                </w:p>
              </w:tc>
            </w:tr>
          </w:tbl>
          <w:p w14:paraId="16C63D2F" w14:textId="77777777" w:rsidR="000931AF" w:rsidRPr="00E23B48" w:rsidRDefault="000931AF" w:rsidP="00B12504">
            <w:pPr>
              <w:pStyle w:val="BodyText"/>
              <w:spacing w:after="0"/>
              <w:rPr>
                <w:sz w:val="20"/>
                <w:szCs w:val="20"/>
              </w:rPr>
            </w:pPr>
            <w:r w:rsidRPr="00E23B48">
              <w:rPr>
                <w:sz w:val="20"/>
                <w:szCs w:val="20"/>
              </w:rPr>
              <w:t xml:space="preserve">Dose: 50 IU/kg </w:t>
            </w:r>
            <w:proofErr w:type="spellStart"/>
            <w:r w:rsidRPr="00E23B48">
              <w:rPr>
                <w:sz w:val="20"/>
                <w:szCs w:val="20"/>
              </w:rPr>
              <w:t>turoctocog</w:t>
            </w:r>
            <w:proofErr w:type="spellEnd"/>
            <w:r w:rsidRPr="00E23B48">
              <w:rPr>
                <w:sz w:val="20"/>
                <w:szCs w:val="20"/>
              </w:rPr>
              <w:t xml:space="preserve"> </w:t>
            </w:r>
            <w:proofErr w:type="spellStart"/>
            <w:r w:rsidRPr="00E23B48">
              <w:rPr>
                <w:sz w:val="20"/>
                <w:szCs w:val="20"/>
              </w:rPr>
              <w:t>alfa</w:t>
            </w:r>
            <w:proofErr w:type="spellEnd"/>
            <w:r w:rsidRPr="00E23B48">
              <w:rPr>
                <w:sz w:val="20"/>
                <w:szCs w:val="20"/>
              </w:rPr>
              <w:t xml:space="preserve"> (single </w:t>
            </w:r>
            <w:proofErr w:type="spellStart"/>
            <w:r w:rsidRPr="00E23B48">
              <w:rPr>
                <w:sz w:val="20"/>
                <w:szCs w:val="20"/>
              </w:rPr>
              <w:t>i.v.</w:t>
            </w:r>
            <w:proofErr w:type="spellEnd"/>
            <w:r w:rsidRPr="00E23B48">
              <w:rPr>
                <w:sz w:val="20"/>
                <w:szCs w:val="20"/>
              </w:rPr>
              <w:t xml:space="preserve"> dose); N = 14</w:t>
            </w:r>
          </w:p>
          <w:p w14:paraId="4E25EA2C" w14:textId="77777777" w:rsidR="000931AF" w:rsidRDefault="000931AF" w:rsidP="00B12504">
            <w:pPr>
              <w:pStyle w:val="BodyText"/>
              <w:spacing w:after="0"/>
              <w:rPr>
                <w:sz w:val="20"/>
                <w:szCs w:val="20"/>
              </w:rPr>
            </w:pPr>
          </w:p>
          <w:p w14:paraId="1F95795F" w14:textId="77777777" w:rsidR="000931AF" w:rsidRPr="0003200D" w:rsidRDefault="000931AF" w:rsidP="00BB5CA6">
            <w:pPr>
              <w:pStyle w:val="BodyText"/>
              <w:spacing w:after="0"/>
              <w:rPr>
                <w:b/>
              </w:rPr>
            </w:pPr>
            <w:r>
              <w:rPr>
                <w:b/>
              </w:rPr>
              <w:t>Table 3</w:t>
            </w:r>
            <w:r w:rsidRPr="00E23B48">
              <w:rPr>
                <w:b/>
              </w:rPr>
              <w:t xml:space="preserve"> Single-dose pharmacokinetics of </w:t>
            </w:r>
            <w:proofErr w:type="spellStart"/>
            <w:r>
              <w:rPr>
                <w:b/>
              </w:rPr>
              <w:t>NovoEight</w:t>
            </w:r>
            <w:proofErr w:type="spellEnd"/>
            <w:r w:rsidRPr="00E23B48">
              <w:rPr>
                <w:b/>
              </w:rPr>
              <w:t xml:space="preserve"> in children with haemophilia A </w:t>
            </w:r>
            <w:r w:rsidRPr="00CD280B">
              <w:rPr>
                <w:b/>
              </w:rPr>
              <w:t>(6</w:t>
            </w:r>
            <w:r>
              <w:rPr>
                <w:b/>
              </w:rPr>
              <w:t xml:space="preserve"> </w:t>
            </w:r>
            <w:r w:rsidRPr="00CD280B">
              <w:rPr>
                <w:b/>
              </w:rPr>
              <w:t>− &lt; 12 years)</w:t>
            </w:r>
            <w:r w:rsidRPr="00E23B48">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1746"/>
              <w:gridCol w:w="2250"/>
            </w:tblGrid>
            <w:tr w:rsidR="000931AF" w:rsidRPr="0096108B" w14:paraId="21500444" w14:textId="77777777" w:rsidTr="00B12504">
              <w:trPr>
                <w:trHeight w:val="458"/>
              </w:trPr>
              <w:tc>
                <w:tcPr>
                  <w:tcW w:w="2929" w:type="dxa"/>
                  <w:vMerge w:val="restart"/>
                  <w:shd w:val="clear" w:color="auto" w:fill="auto"/>
                </w:tcPr>
                <w:p w14:paraId="445DEDC1" w14:textId="77777777" w:rsidR="000931AF" w:rsidRPr="0096108B" w:rsidRDefault="000931AF" w:rsidP="00B12504">
                  <w:pPr>
                    <w:pStyle w:val="BodyText"/>
                    <w:spacing w:after="0"/>
                    <w:rPr>
                      <w:b/>
                      <w:sz w:val="20"/>
                      <w:szCs w:val="20"/>
                    </w:rPr>
                  </w:pPr>
                  <w:r w:rsidRPr="0096108B">
                    <w:rPr>
                      <w:b/>
                      <w:sz w:val="20"/>
                      <w:szCs w:val="20"/>
                    </w:rPr>
                    <w:t>Parameter</w:t>
                  </w:r>
                </w:p>
              </w:tc>
              <w:tc>
                <w:tcPr>
                  <w:tcW w:w="1746" w:type="dxa"/>
                  <w:shd w:val="clear" w:color="auto" w:fill="auto"/>
                </w:tcPr>
                <w:p w14:paraId="6276E073" w14:textId="77777777" w:rsidR="000931AF" w:rsidRPr="0096108B" w:rsidRDefault="000931AF" w:rsidP="00B12504">
                  <w:pPr>
                    <w:pStyle w:val="BodyText"/>
                    <w:spacing w:after="0"/>
                    <w:rPr>
                      <w:b/>
                      <w:sz w:val="20"/>
                      <w:szCs w:val="20"/>
                    </w:rPr>
                  </w:pPr>
                  <w:r w:rsidRPr="0096108B">
                    <w:rPr>
                      <w:b/>
                      <w:sz w:val="20"/>
                      <w:szCs w:val="20"/>
                    </w:rPr>
                    <w:t>Clotting assay</w:t>
                  </w:r>
                </w:p>
              </w:tc>
              <w:tc>
                <w:tcPr>
                  <w:tcW w:w="2250" w:type="dxa"/>
                  <w:shd w:val="clear" w:color="auto" w:fill="auto"/>
                </w:tcPr>
                <w:p w14:paraId="058D85BB" w14:textId="77777777" w:rsidR="000931AF" w:rsidRPr="0096108B" w:rsidRDefault="000931AF" w:rsidP="00B12504">
                  <w:pPr>
                    <w:pStyle w:val="BodyText"/>
                    <w:spacing w:after="0"/>
                    <w:rPr>
                      <w:b/>
                      <w:sz w:val="20"/>
                      <w:szCs w:val="20"/>
                    </w:rPr>
                  </w:pPr>
                  <w:r w:rsidRPr="0096108B">
                    <w:rPr>
                      <w:b/>
                      <w:sz w:val="20"/>
                      <w:szCs w:val="20"/>
                    </w:rPr>
                    <w:t>Chromogenic assay</w:t>
                  </w:r>
                </w:p>
              </w:tc>
            </w:tr>
            <w:tr w:rsidR="000931AF" w:rsidRPr="0096108B" w14:paraId="40F8112A" w14:textId="77777777" w:rsidTr="00B12504">
              <w:tc>
                <w:tcPr>
                  <w:tcW w:w="2929" w:type="dxa"/>
                  <w:vMerge/>
                  <w:shd w:val="clear" w:color="auto" w:fill="auto"/>
                </w:tcPr>
                <w:p w14:paraId="15C07A6D" w14:textId="77777777" w:rsidR="000931AF" w:rsidRPr="0096108B" w:rsidRDefault="000931AF" w:rsidP="00B12504">
                  <w:pPr>
                    <w:pStyle w:val="BodyText"/>
                    <w:spacing w:after="0"/>
                    <w:rPr>
                      <w:sz w:val="20"/>
                      <w:szCs w:val="20"/>
                    </w:rPr>
                  </w:pPr>
                </w:p>
              </w:tc>
              <w:tc>
                <w:tcPr>
                  <w:tcW w:w="1746" w:type="dxa"/>
                  <w:shd w:val="clear" w:color="auto" w:fill="auto"/>
                </w:tcPr>
                <w:p w14:paraId="14255349" w14:textId="77777777" w:rsidR="000931AF" w:rsidRPr="0096108B" w:rsidRDefault="000931AF" w:rsidP="00CD6649">
                  <w:pPr>
                    <w:pStyle w:val="BodyText"/>
                    <w:spacing w:after="0"/>
                    <w:jc w:val="center"/>
                    <w:rPr>
                      <w:sz w:val="20"/>
                      <w:szCs w:val="20"/>
                    </w:rPr>
                  </w:pPr>
                  <w:r w:rsidRPr="0096108B">
                    <w:rPr>
                      <w:sz w:val="20"/>
                      <w:szCs w:val="20"/>
                    </w:rPr>
                    <w:t>Mean (SD)</w:t>
                  </w:r>
                </w:p>
              </w:tc>
              <w:tc>
                <w:tcPr>
                  <w:tcW w:w="2250" w:type="dxa"/>
                  <w:shd w:val="clear" w:color="auto" w:fill="auto"/>
                </w:tcPr>
                <w:p w14:paraId="76F8C705" w14:textId="77777777" w:rsidR="000931AF" w:rsidRPr="0096108B" w:rsidRDefault="000931AF" w:rsidP="00CD6649">
                  <w:pPr>
                    <w:pStyle w:val="BodyText"/>
                    <w:spacing w:after="0"/>
                    <w:jc w:val="center"/>
                    <w:rPr>
                      <w:sz w:val="20"/>
                      <w:szCs w:val="20"/>
                    </w:rPr>
                  </w:pPr>
                  <w:r w:rsidRPr="0096108B">
                    <w:rPr>
                      <w:sz w:val="20"/>
                      <w:szCs w:val="20"/>
                    </w:rPr>
                    <w:t>Mean (SD)</w:t>
                  </w:r>
                </w:p>
              </w:tc>
            </w:tr>
            <w:tr w:rsidR="000931AF" w:rsidRPr="0096108B" w14:paraId="75359D3D" w14:textId="77777777" w:rsidTr="00B12504">
              <w:tc>
                <w:tcPr>
                  <w:tcW w:w="2929" w:type="dxa"/>
                  <w:shd w:val="clear" w:color="auto" w:fill="auto"/>
                </w:tcPr>
                <w:p w14:paraId="07B745F6" w14:textId="77777777" w:rsidR="000931AF" w:rsidRPr="0096108B" w:rsidRDefault="000931AF" w:rsidP="00B12504">
                  <w:pPr>
                    <w:spacing w:line="264" w:lineRule="auto"/>
                    <w:rPr>
                      <w:sz w:val="20"/>
                      <w:szCs w:val="20"/>
                    </w:rPr>
                  </w:pPr>
                  <w:r>
                    <w:rPr>
                      <w:sz w:val="20"/>
                      <w:szCs w:val="20"/>
                    </w:rPr>
                    <w:t>Inc. recovery (IU/ml</w:t>
                  </w:r>
                  <w:r w:rsidRPr="0096108B">
                    <w:rPr>
                      <w:sz w:val="20"/>
                      <w:szCs w:val="20"/>
                    </w:rPr>
                    <w:t xml:space="preserve">)/(IU/kg) </w:t>
                  </w:r>
                </w:p>
              </w:tc>
              <w:tc>
                <w:tcPr>
                  <w:tcW w:w="1746" w:type="dxa"/>
                  <w:shd w:val="clear" w:color="auto" w:fill="auto"/>
                </w:tcPr>
                <w:p w14:paraId="1D03AFB5" w14:textId="77777777" w:rsidR="000931AF" w:rsidRPr="0096108B" w:rsidRDefault="000931AF" w:rsidP="00CD6649">
                  <w:pPr>
                    <w:spacing w:line="264" w:lineRule="auto"/>
                    <w:jc w:val="center"/>
                    <w:rPr>
                      <w:sz w:val="20"/>
                      <w:szCs w:val="20"/>
                    </w:rPr>
                  </w:pPr>
                  <w:r w:rsidRPr="0096108B">
                    <w:rPr>
                      <w:sz w:val="20"/>
                      <w:szCs w:val="20"/>
                    </w:rPr>
                    <w:t>0.020 (0.004)</w:t>
                  </w:r>
                </w:p>
              </w:tc>
              <w:tc>
                <w:tcPr>
                  <w:tcW w:w="2250" w:type="dxa"/>
                  <w:shd w:val="clear" w:color="auto" w:fill="auto"/>
                </w:tcPr>
                <w:p w14:paraId="31787537" w14:textId="77777777" w:rsidR="000931AF" w:rsidRPr="0096108B" w:rsidRDefault="000931AF" w:rsidP="00CD6649">
                  <w:pPr>
                    <w:spacing w:line="264" w:lineRule="auto"/>
                    <w:jc w:val="center"/>
                    <w:rPr>
                      <w:sz w:val="20"/>
                      <w:szCs w:val="20"/>
                    </w:rPr>
                  </w:pPr>
                  <w:r w:rsidRPr="0096108B">
                    <w:rPr>
                      <w:rFonts w:eastAsia="TimesNewRoman"/>
                      <w:sz w:val="20"/>
                      <w:szCs w:val="20"/>
                      <w:lang w:val="en-US"/>
                    </w:rPr>
                    <w:t>0.025 (0.006)</w:t>
                  </w:r>
                </w:p>
              </w:tc>
            </w:tr>
            <w:tr w:rsidR="000931AF" w:rsidRPr="0096108B" w14:paraId="0A2A9CCF" w14:textId="77777777" w:rsidTr="00B12504">
              <w:tc>
                <w:tcPr>
                  <w:tcW w:w="2929" w:type="dxa"/>
                  <w:shd w:val="clear" w:color="auto" w:fill="auto"/>
                </w:tcPr>
                <w:p w14:paraId="24DE1A55" w14:textId="77777777" w:rsidR="000931AF" w:rsidRPr="0096108B" w:rsidRDefault="000931AF" w:rsidP="00B12504">
                  <w:pPr>
                    <w:spacing w:line="264" w:lineRule="auto"/>
                    <w:rPr>
                      <w:sz w:val="20"/>
                      <w:szCs w:val="20"/>
                    </w:rPr>
                  </w:pPr>
                  <w:r>
                    <w:rPr>
                      <w:sz w:val="20"/>
                      <w:szCs w:val="20"/>
                    </w:rPr>
                    <w:t>AUC ((IU*h)/ml</w:t>
                  </w:r>
                  <w:r w:rsidRPr="0096108B">
                    <w:rPr>
                      <w:sz w:val="20"/>
                      <w:szCs w:val="20"/>
                    </w:rPr>
                    <w:t xml:space="preserve">) </w:t>
                  </w:r>
                </w:p>
              </w:tc>
              <w:tc>
                <w:tcPr>
                  <w:tcW w:w="1746" w:type="dxa"/>
                  <w:shd w:val="clear" w:color="auto" w:fill="auto"/>
                </w:tcPr>
                <w:p w14:paraId="77A4FB61" w14:textId="77777777" w:rsidR="000931AF" w:rsidRPr="0096108B" w:rsidRDefault="000931AF" w:rsidP="00CD6649">
                  <w:pPr>
                    <w:spacing w:line="264" w:lineRule="auto"/>
                    <w:jc w:val="center"/>
                    <w:rPr>
                      <w:sz w:val="20"/>
                      <w:szCs w:val="20"/>
                    </w:rPr>
                  </w:pPr>
                  <w:r w:rsidRPr="0096108B">
                    <w:rPr>
                      <w:sz w:val="20"/>
                      <w:szCs w:val="20"/>
                    </w:rPr>
                    <w:t>11.09 (3.73)</w:t>
                  </w:r>
                </w:p>
              </w:tc>
              <w:tc>
                <w:tcPr>
                  <w:tcW w:w="2250" w:type="dxa"/>
                  <w:shd w:val="clear" w:color="auto" w:fill="auto"/>
                </w:tcPr>
                <w:p w14:paraId="0F4CA38A" w14:textId="77777777" w:rsidR="000931AF" w:rsidRPr="0096108B" w:rsidRDefault="000931AF" w:rsidP="00CD6649">
                  <w:pPr>
                    <w:spacing w:line="264" w:lineRule="auto"/>
                    <w:jc w:val="center"/>
                    <w:rPr>
                      <w:sz w:val="20"/>
                      <w:szCs w:val="20"/>
                    </w:rPr>
                  </w:pPr>
                  <w:r w:rsidRPr="0096108B">
                    <w:rPr>
                      <w:sz w:val="20"/>
                      <w:szCs w:val="20"/>
                    </w:rPr>
                    <w:t>14.36 (3.48)</w:t>
                  </w:r>
                </w:p>
              </w:tc>
            </w:tr>
            <w:tr w:rsidR="000931AF" w:rsidRPr="0096108B" w14:paraId="0530C6BA" w14:textId="77777777" w:rsidTr="00B12504">
              <w:tc>
                <w:tcPr>
                  <w:tcW w:w="2929" w:type="dxa"/>
                  <w:shd w:val="clear" w:color="auto" w:fill="auto"/>
                </w:tcPr>
                <w:p w14:paraId="1FCE631B" w14:textId="77777777" w:rsidR="000931AF" w:rsidRPr="0096108B" w:rsidRDefault="000931AF" w:rsidP="00B12504">
                  <w:pPr>
                    <w:spacing w:line="264" w:lineRule="auto"/>
                    <w:rPr>
                      <w:sz w:val="20"/>
                      <w:szCs w:val="20"/>
                    </w:rPr>
                  </w:pPr>
                  <w:r>
                    <w:rPr>
                      <w:sz w:val="20"/>
                      <w:szCs w:val="20"/>
                    </w:rPr>
                    <w:t>CL (ml</w:t>
                  </w:r>
                  <w:r w:rsidRPr="0096108B">
                    <w:rPr>
                      <w:sz w:val="20"/>
                      <w:szCs w:val="20"/>
                    </w:rPr>
                    <w:t xml:space="preserve">/h/kg) </w:t>
                  </w:r>
                </w:p>
              </w:tc>
              <w:tc>
                <w:tcPr>
                  <w:tcW w:w="1746" w:type="dxa"/>
                  <w:shd w:val="clear" w:color="auto" w:fill="auto"/>
                </w:tcPr>
                <w:p w14:paraId="4BBCB53C" w14:textId="77777777" w:rsidR="000931AF" w:rsidRPr="0096108B" w:rsidRDefault="000931AF" w:rsidP="00CD6649">
                  <w:pPr>
                    <w:spacing w:line="264" w:lineRule="auto"/>
                    <w:jc w:val="center"/>
                    <w:rPr>
                      <w:sz w:val="20"/>
                      <w:szCs w:val="20"/>
                    </w:rPr>
                  </w:pPr>
                  <w:r w:rsidRPr="0096108B">
                    <w:rPr>
                      <w:sz w:val="20"/>
                      <w:szCs w:val="20"/>
                    </w:rPr>
                    <w:t>5.02 (1.67)</w:t>
                  </w:r>
                </w:p>
              </w:tc>
              <w:tc>
                <w:tcPr>
                  <w:tcW w:w="2250" w:type="dxa"/>
                  <w:shd w:val="clear" w:color="auto" w:fill="auto"/>
                </w:tcPr>
                <w:p w14:paraId="2181A201" w14:textId="77777777" w:rsidR="000931AF" w:rsidRPr="0096108B" w:rsidRDefault="000931AF" w:rsidP="00CD6649">
                  <w:pPr>
                    <w:spacing w:line="264" w:lineRule="auto"/>
                    <w:jc w:val="center"/>
                    <w:rPr>
                      <w:sz w:val="20"/>
                      <w:szCs w:val="20"/>
                    </w:rPr>
                  </w:pPr>
                  <w:r w:rsidRPr="0096108B">
                    <w:rPr>
                      <w:sz w:val="20"/>
                      <w:szCs w:val="20"/>
                    </w:rPr>
                    <w:t>3.70 (1.00)</w:t>
                  </w:r>
                </w:p>
              </w:tc>
            </w:tr>
            <w:tr w:rsidR="000931AF" w:rsidRPr="0096108B" w14:paraId="0A26A337" w14:textId="77777777" w:rsidTr="00B12504">
              <w:tc>
                <w:tcPr>
                  <w:tcW w:w="2929" w:type="dxa"/>
                  <w:shd w:val="clear" w:color="auto" w:fill="auto"/>
                </w:tcPr>
                <w:p w14:paraId="3B447030" w14:textId="77777777" w:rsidR="000931AF" w:rsidRPr="0096108B" w:rsidRDefault="000931AF" w:rsidP="00B12504">
                  <w:pPr>
                    <w:spacing w:line="264" w:lineRule="auto"/>
                    <w:rPr>
                      <w:sz w:val="20"/>
                      <w:szCs w:val="20"/>
                    </w:rPr>
                  </w:pPr>
                  <w:r w:rsidRPr="0096108B">
                    <w:rPr>
                      <w:sz w:val="20"/>
                      <w:szCs w:val="20"/>
                    </w:rPr>
                    <w:t>t</w:t>
                  </w:r>
                  <w:r w:rsidRPr="00CD6649">
                    <w:rPr>
                      <w:sz w:val="20"/>
                      <w:szCs w:val="20"/>
                      <w:vertAlign w:val="subscript"/>
                    </w:rPr>
                    <w:t>½</w:t>
                  </w:r>
                  <w:r w:rsidRPr="0096108B">
                    <w:rPr>
                      <w:sz w:val="20"/>
                      <w:szCs w:val="20"/>
                    </w:rPr>
                    <w:t xml:space="preserve"> (h) </w:t>
                  </w:r>
                </w:p>
              </w:tc>
              <w:tc>
                <w:tcPr>
                  <w:tcW w:w="1746" w:type="dxa"/>
                  <w:shd w:val="clear" w:color="auto" w:fill="auto"/>
                </w:tcPr>
                <w:p w14:paraId="4B90B821" w14:textId="77777777" w:rsidR="000931AF" w:rsidRPr="0096108B" w:rsidRDefault="000931AF" w:rsidP="00CD6649">
                  <w:pPr>
                    <w:spacing w:line="264" w:lineRule="auto"/>
                    <w:jc w:val="center"/>
                    <w:rPr>
                      <w:sz w:val="20"/>
                      <w:szCs w:val="20"/>
                    </w:rPr>
                  </w:pPr>
                  <w:r w:rsidRPr="0096108B">
                    <w:rPr>
                      <w:sz w:val="20"/>
                      <w:szCs w:val="20"/>
                    </w:rPr>
                    <w:t>8.02 (1.89)</w:t>
                  </w:r>
                </w:p>
              </w:tc>
              <w:tc>
                <w:tcPr>
                  <w:tcW w:w="2250" w:type="dxa"/>
                  <w:shd w:val="clear" w:color="auto" w:fill="auto"/>
                </w:tcPr>
                <w:p w14:paraId="09F4A9E6" w14:textId="124E5399" w:rsidR="000931AF" w:rsidRPr="0096108B" w:rsidRDefault="000931AF" w:rsidP="00AD68BA">
                  <w:pPr>
                    <w:spacing w:line="264" w:lineRule="auto"/>
                    <w:jc w:val="center"/>
                    <w:rPr>
                      <w:sz w:val="20"/>
                      <w:szCs w:val="20"/>
                    </w:rPr>
                  </w:pPr>
                  <w:r w:rsidRPr="0096108B">
                    <w:rPr>
                      <w:sz w:val="20"/>
                      <w:szCs w:val="20"/>
                    </w:rPr>
                    <w:t>9.42 (1.5</w:t>
                  </w:r>
                  <w:r w:rsidR="00AD68BA">
                    <w:rPr>
                      <w:sz w:val="20"/>
                      <w:szCs w:val="20"/>
                    </w:rPr>
                    <w:t>2</w:t>
                  </w:r>
                  <w:r w:rsidRPr="0096108B">
                    <w:rPr>
                      <w:sz w:val="20"/>
                      <w:szCs w:val="20"/>
                    </w:rPr>
                    <w:t>)</w:t>
                  </w:r>
                </w:p>
              </w:tc>
            </w:tr>
            <w:tr w:rsidR="000931AF" w:rsidRPr="0096108B" w14:paraId="539A7BB1" w14:textId="77777777" w:rsidTr="00B12504">
              <w:tc>
                <w:tcPr>
                  <w:tcW w:w="2929" w:type="dxa"/>
                  <w:shd w:val="clear" w:color="auto" w:fill="auto"/>
                </w:tcPr>
                <w:p w14:paraId="07503379" w14:textId="77777777" w:rsidR="000931AF" w:rsidRPr="0096108B" w:rsidRDefault="000931AF" w:rsidP="00B12504">
                  <w:pPr>
                    <w:spacing w:line="264" w:lineRule="auto"/>
                    <w:rPr>
                      <w:sz w:val="20"/>
                      <w:szCs w:val="20"/>
                    </w:rPr>
                  </w:pPr>
                  <w:proofErr w:type="spellStart"/>
                  <w:r>
                    <w:rPr>
                      <w:sz w:val="20"/>
                      <w:szCs w:val="20"/>
                    </w:rPr>
                    <w:t>V</w:t>
                  </w:r>
                  <w:r w:rsidRPr="00CD6649">
                    <w:rPr>
                      <w:sz w:val="20"/>
                      <w:szCs w:val="20"/>
                      <w:vertAlign w:val="subscript"/>
                    </w:rPr>
                    <w:t>ss</w:t>
                  </w:r>
                  <w:proofErr w:type="spellEnd"/>
                  <w:r>
                    <w:rPr>
                      <w:sz w:val="20"/>
                      <w:szCs w:val="20"/>
                    </w:rPr>
                    <w:t xml:space="preserve"> (ml</w:t>
                  </w:r>
                  <w:r w:rsidRPr="0096108B">
                    <w:rPr>
                      <w:sz w:val="20"/>
                      <w:szCs w:val="20"/>
                    </w:rPr>
                    <w:t xml:space="preserve">/kg) </w:t>
                  </w:r>
                </w:p>
              </w:tc>
              <w:tc>
                <w:tcPr>
                  <w:tcW w:w="1746" w:type="dxa"/>
                  <w:shd w:val="clear" w:color="auto" w:fill="auto"/>
                </w:tcPr>
                <w:p w14:paraId="2AD36F2B" w14:textId="77777777" w:rsidR="000931AF" w:rsidRPr="0096108B" w:rsidRDefault="000931AF" w:rsidP="00CD6649">
                  <w:pPr>
                    <w:spacing w:line="264" w:lineRule="auto"/>
                    <w:jc w:val="center"/>
                    <w:rPr>
                      <w:sz w:val="20"/>
                      <w:szCs w:val="20"/>
                    </w:rPr>
                  </w:pPr>
                  <w:r w:rsidRPr="0096108B">
                    <w:rPr>
                      <w:sz w:val="20"/>
                      <w:szCs w:val="20"/>
                    </w:rPr>
                    <w:t>46.82 (10.62)</w:t>
                  </w:r>
                </w:p>
              </w:tc>
              <w:tc>
                <w:tcPr>
                  <w:tcW w:w="2250" w:type="dxa"/>
                  <w:shd w:val="clear" w:color="auto" w:fill="auto"/>
                </w:tcPr>
                <w:p w14:paraId="0C5C7FAB" w14:textId="77777777" w:rsidR="000931AF" w:rsidRPr="0096108B" w:rsidRDefault="000931AF" w:rsidP="00CD6649">
                  <w:pPr>
                    <w:spacing w:line="264" w:lineRule="auto"/>
                    <w:jc w:val="center"/>
                    <w:rPr>
                      <w:sz w:val="20"/>
                      <w:szCs w:val="20"/>
                    </w:rPr>
                  </w:pPr>
                  <w:r w:rsidRPr="0096108B">
                    <w:rPr>
                      <w:sz w:val="20"/>
                      <w:szCs w:val="20"/>
                    </w:rPr>
                    <w:t>41.23 (6.00)</w:t>
                  </w:r>
                </w:p>
              </w:tc>
            </w:tr>
            <w:tr w:rsidR="000931AF" w:rsidRPr="0096108B" w14:paraId="417FE5B3" w14:textId="77777777" w:rsidTr="00B12504">
              <w:tc>
                <w:tcPr>
                  <w:tcW w:w="2929" w:type="dxa"/>
                  <w:shd w:val="clear" w:color="auto" w:fill="auto"/>
                </w:tcPr>
                <w:p w14:paraId="68881475" w14:textId="77777777" w:rsidR="000931AF" w:rsidRPr="0096108B" w:rsidRDefault="000931AF" w:rsidP="00B12504">
                  <w:pPr>
                    <w:spacing w:line="264" w:lineRule="auto"/>
                    <w:rPr>
                      <w:sz w:val="20"/>
                      <w:szCs w:val="20"/>
                    </w:rPr>
                  </w:pPr>
                  <w:proofErr w:type="spellStart"/>
                  <w:r>
                    <w:rPr>
                      <w:sz w:val="20"/>
                      <w:szCs w:val="20"/>
                    </w:rPr>
                    <w:t>C</w:t>
                  </w:r>
                  <w:r w:rsidRPr="00CD6649">
                    <w:rPr>
                      <w:sz w:val="20"/>
                      <w:szCs w:val="20"/>
                      <w:vertAlign w:val="subscript"/>
                    </w:rPr>
                    <w:t>max</w:t>
                  </w:r>
                  <w:proofErr w:type="spellEnd"/>
                  <w:r>
                    <w:rPr>
                      <w:sz w:val="20"/>
                      <w:szCs w:val="20"/>
                    </w:rPr>
                    <w:t xml:space="preserve"> (IU/ml</w:t>
                  </w:r>
                  <w:r w:rsidRPr="0096108B">
                    <w:rPr>
                      <w:sz w:val="20"/>
                      <w:szCs w:val="20"/>
                    </w:rPr>
                    <w:t xml:space="preserve">) </w:t>
                  </w:r>
                </w:p>
              </w:tc>
              <w:tc>
                <w:tcPr>
                  <w:tcW w:w="1746" w:type="dxa"/>
                  <w:shd w:val="clear" w:color="auto" w:fill="auto"/>
                </w:tcPr>
                <w:p w14:paraId="4785C091" w14:textId="77777777" w:rsidR="000931AF" w:rsidRPr="0096108B" w:rsidRDefault="000931AF" w:rsidP="00CD6649">
                  <w:pPr>
                    <w:spacing w:line="264" w:lineRule="auto"/>
                    <w:jc w:val="center"/>
                    <w:rPr>
                      <w:sz w:val="20"/>
                      <w:szCs w:val="20"/>
                    </w:rPr>
                  </w:pPr>
                  <w:r w:rsidRPr="0096108B">
                    <w:rPr>
                      <w:sz w:val="20"/>
                      <w:szCs w:val="20"/>
                    </w:rPr>
                    <w:t>1.07 (0.35)</w:t>
                  </w:r>
                </w:p>
              </w:tc>
              <w:tc>
                <w:tcPr>
                  <w:tcW w:w="2250" w:type="dxa"/>
                  <w:shd w:val="clear" w:color="auto" w:fill="auto"/>
                </w:tcPr>
                <w:p w14:paraId="71396260" w14:textId="77777777" w:rsidR="000931AF" w:rsidRPr="0096108B" w:rsidRDefault="000931AF" w:rsidP="00CD6649">
                  <w:pPr>
                    <w:spacing w:line="264" w:lineRule="auto"/>
                    <w:jc w:val="center"/>
                    <w:rPr>
                      <w:sz w:val="20"/>
                      <w:szCs w:val="20"/>
                    </w:rPr>
                  </w:pPr>
                  <w:r w:rsidRPr="0096108B">
                    <w:rPr>
                      <w:sz w:val="20"/>
                      <w:szCs w:val="20"/>
                    </w:rPr>
                    <w:t>1.25 (0.27)</w:t>
                  </w:r>
                </w:p>
              </w:tc>
            </w:tr>
            <w:tr w:rsidR="000931AF" w:rsidRPr="0096108B" w14:paraId="146ACD1B" w14:textId="77777777" w:rsidTr="00B12504">
              <w:tc>
                <w:tcPr>
                  <w:tcW w:w="2929" w:type="dxa"/>
                  <w:shd w:val="clear" w:color="auto" w:fill="auto"/>
                </w:tcPr>
                <w:p w14:paraId="629BE25C" w14:textId="77777777" w:rsidR="000931AF" w:rsidRPr="0096108B" w:rsidRDefault="000931AF" w:rsidP="00B12504">
                  <w:pPr>
                    <w:spacing w:line="264" w:lineRule="auto"/>
                    <w:rPr>
                      <w:sz w:val="20"/>
                      <w:szCs w:val="20"/>
                    </w:rPr>
                  </w:pPr>
                  <w:r w:rsidRPr="0096108B">
                    <w:rPr>
                      <w:sz w:val="20"/>
                      <w:szCs w:val="20"/>
                    </w:rPr>
                    <w:t xml:space="preserve">MRT (h) </w:t>
                  </w:r>
                </w:p>
              </w:tc>
              <w:tc>
                <w:tcPr>
                  <w:tcW w:w="1746" w:type="dxa"/>
                  <w:shd w:val="clear" w:color="auto" w:fill="auto"/>
                </w:tcPr>
                <w:p w14:paraId="1147D790" w14:textId="77777777" w:rsidR="000931AF" w:rsidRPr="0096108B" w:rsidRDefault="000931AF" w:rsidP="00CD6649">
                  <w:pPr>
                    <w:spacing w:line="264" w:lineRule="auto"/>
                    <w:jc w:val="center"/>
                    <w:rPr>
                      <w:sz w:val="20"/>
                      <w:szCs w:val="20"/>
                    </w:rPr>
                  </w:pPr>
                  <w:r w:rsidRPr="0096108B">
                    <w:rPr>
                      <w:sz w:val="20"/>
                      <w:szCs w:val="20"/>
                    </w:rPr>
                    <w:t>9.91 (2.57)</w:t>
                  </w:r>
                </w:p>
              </w:tc>
              <w:tc>
                <w:tcPr>
                  <w:tcW w:w="2250" w:type="dxa"/>
                  <w:shd w:val="clear" w:color="auto" w:fill="auto"/>
                </w:tcPr>
                <w:p w14:paraId="0C25779F" w14:textId="77777777" w:rsidR="000931AF" w:rsidRPr="0096108B" w:rsidRDefault="000931AF" w:rsidP="00CD6649">
                  <w:pPr>
                    <w:spacing w:line="264" w:lineRule="auto"/>
                    <w:jc w:val="center"/>
                    <w:rPr>
                      <w:sz w:val="20"/>
                      <w:szCs w:val="20"/>
                    </w:rPr>
                  </w:pPr>
                  <w:r w:rsidRPr="0096108B">
                    <w:rPr>
                      <w:sz w:val="20"/>
                      <w:szCs w:val="20"/>
                    </w:rPr>
                    <w:t>11.61 (2.32)</w:t>
                  </w:r>
                </w:p>
              </w:tc>
            </w:tr>
          </w:tbl>
          <w:p w14:paraId="604B3D14" w14:textId="77777777" w:rsidR="000931AF" w:rsidRPr="00E23B48" w:rsidRDefault="000931AF" w:rsidP="00B12504">
            <w:pPr>
              <w:pStyle w:val="BodyText"/>
              <w:spacing w:after="0"/>
              <w:rPr>
                <w:sz w:val="20"/>
                <w:szCs w:val="20"/>
              </w:rPr>
            </w:pPr>
            <w:r w:rsidRPr="00E23B48">
              <w:rPr>
                <w:sz w:val="20"/>
                <w:szCs w:val="20"/>
              </w:rPr>
              <w:t xml:space="preserve">Dose: 50 IU/kg </w:t>
            </w:r>
            <w:proofErr w:type="spellStart"/>
            <w:r w:rsidRPr="00E23B48">
              <w:rPr>
                <w:sz w:val="20"/>
                <w:szCs w:val="20"/>
              </w:rPr>
              <w:t>turoctocog</w:t>
            </w:r>
            <w:proofErr w:type="spellEnd"/>
            <w:r w:rsidRPr="00E23B48">
              <w:rPr>
                <w:sz w:val="20"/>
                <w:szCs w:val="20"/>
              </w:rPr>
              <w:t xml:space="preserve"> </w:t>
            </w:r>
            <w:proofErr w:type="spellStart"/>
            <w:r w:rsidRPr="00E23B48">
              <w:rPr>
                <w:sz w:val="20"/>
                <w:szCs w:val="20"/>
              </w:rPr>
              <w:t>alfa</w:t>
            </w:r>
            <w:proofErr w:type="spellEnd"/>
            <w:r w:rsidRPr="00E23B48">
              <w:rPr>
                <w:sz w:val="20"/>
                <w:szCs w:val="20"/>
              </w:rPr>
              <w:t xml:space="preserve"> (single </w:t>
            </w:r>
            <w:proofErr w:type="spellStart"/>
            <w:r w:rsidRPr="00E23B48">
              <w:rPr>
                <w:sz w:val="20"/>
                <w:szCs w:val="20"/>
              </w:rPr>
              <w:t>i.v.</w:t>
            </w:r>
            <w:proofErr w:type="spellEnd"/>
            <w:r w:rsidRPr="00E23B48">
              <w:rPr>
                <w:sz w:val="20"/>
                <w:szCs w:val="20"/>
              </w:rPr>
              <w:t xml:space="preserve"> dose); N = 14</w:t>
            </w:r>
          </w:p>
          <w:p w14:paraId="417311EA" w14:textId="77777777" w:rsidR="000931AF" w:rsidRDefault="000931AF" w:rsidP="00B12504">
            <w:pPr>
              <w:pStyle w:val="BodyText"/>
              <w:spacing w:after="0"/>
              <w:rPr>
                <w:sz w:val="20"/>
                <w:szCs w:val="20"/>
              </w:rPr>
            </w:pPr>
          </w:p>
          <w:p w14:paraId="76831C31" w14:textId="77777777" w:rsidR="000931AF" w:rsidRPr="00F72CD9" w:rsidRDefault="000931AF" w:rsidP="007B264F">
            <w:pPr>
              <w:pStyle w:val="BodyText"/>
              <w:jc w:val="both"/>
            </w:pPr>
            <w:r w:rsidRPr="00002C31">
              <w:t>The pharmacokinetic parameter</w:t>
            </w:r>
            <w:r>
              <w:t xml:space="preserve">s were comparable between paediatric subjects below 6 years of age and the paediatric subjects from 6 to below 12 years of age. Some variation was observed in the pharmacokinetic parameters </w:t>
            </w:r>
            <w:r w:rsidRPr="00002C31">
              <w:t xml:space="preserve">of </w:t>
            </w:r>
            <w:proofErr w:type="spellStart"/>
            <w:r>
              <w:t>NovoEight</w:t>
            </w:r>
            <w:proofErr w:type="spellEnd"/>
            <w:r>
              <w:t xml:space="preserve"> between paediatric and adult</w:t>
            </w:r>
            <w:r w:rsidRPr="00002C31">
              <w:t xml:space="preserve"> </w:t>
            </w:r>
            <w:r>
              <w:lastRenderedPageBreak/>
              <w:t>subject</w:t>
            </w:r>
            <w:r w:rsidRPr="00002C31">
              <w:t>s</w:t>
            </w:r>
            <w:r>
              <w:t>. The higher CL and the shorter t</w:t>
            </w:r>
            <w:r w:rsidRPr="00CB4518">
              <w:rPr>
                <w:vertAlign w:val="subscript"/>
              </w:rPr>
              <w:t>½</w:t>
            </w:r>
            <w:r w:rsidR="00A62383">
              <w:rPr>
                <w:rStyle w:val="FootnoteReference"/>
              </w:rPr>
              <w:footnoteReference w:id="2"/>
            </w:r>
            <w:r>
              <w:t xml:space="preserve"> seen in paediatric subjects compared to adults with haemophilia A </w:t>
            </w:r>
            <w:r w:rsidRPr="00DC17A9">
              <w:t xml:space="preserve">may be due in part to the known higher plasma volume per kilogram body weight in younger </w:t>
            </w:r>
            <w:r>
              <w:t>subject</w:t>
            </w:r>
            <w:r w:rsidRPr="00DC17A9">
              <w:t>s.</w:t>
            </w:r>
          </w:p>
        </w:tc>
      </w:tr>
      <w:tr w:rsidR="000931AF" w:rsidRPr="002E5E42" w14:paraId="2483669A" w14:textId="77777777" w:rsidTr="000931AF">
        <w:trPr>
          <w:trHeight w:val="450"/>
        </w:trPr>
        <w:tc>
          <w:tcPr>
            <w:tcW w:w="5000" w:type="pct"/>
            <w:shd w:val="clear" w:color="auto" w:fill="auto"/>
          </w:tcPr>
          <w:p w14:paraId="2F3878EA" w14:textId="77777777" w:rsidR="000931AF" w:rsidDel="008430F8" w:rsidRDefault="000931AF" w:rsidP="00B12504">
            <w:pPr>
              <w:pStyle w:val="BodyText"/>
            </w:pPr>
            <w:r w:rsidRPr="00B83A1A">
              <w:rPr>
                <w:b/>
                <w:lang w:val="en-AU"/>
              </w:rPr>
              <w:lastRenderedPageBreak/>
              <w:t>CLINICAL TRIALS</w:t>
            </w:r>
          </w:p>
        </w:tc>
      </w:tr>
      <w:tr w:rsidR="000931AF" w:rsidRPr="002E5E42" w14:paraId="50E902DC" w14:textId="77777777" w:rsidTr="000931AF">
        <w:trPr>
          <w:trHeight w:val="450"/>
        </w:trPr>
        <w:tc>
          <w:tcPr>
            <w:tcW w:w="5000" w:type="pct"/>
            <w:shd w:val="clear" w:color="auto" w:fill="auto"/>
          </w:tcPr>
          <w:p w14:paraId="6003E142" w14:textId="77777777" w:rsidR="000931AF" w:rsidRDefault="000931AF" w:rsidP="00DC5D9A">
            <w:pPr>
              <w:pStyle w:val="BodyText"/>
              <w:spacing w:after="0"/>
              <w:jc w:val="both"/>
            </w:pPr>
            <w:r w:rsidRPr="002943B6">
              <w:t xml:space="preserve">Three multi-centre, open-labelled, non-controlled trials have been conducted to evaluate the safety and efficacy of </w:t>
            </w:r>
            <w:proofErr w:type="spellStart"/>
            <w:r w:rsidRPr="002943B6">
              <w:t>NovoEight</w:t>
            </w:r>
            <w:proofErr w:type="spellEnd"/>
            <w:r w:rsidRPr="002943B6">
              <w:t xml:space="preserve"> in the prevention and treatment of bleeds in previously treated patients with severe haemophilia A (FVIII activity ≤1%). The studies included 213 exposed </w:t>
            </w:r>
            <w:r>
              <w:t>subjects</w:t>
            </w:r>
            <w:r w:rsidRPr="002943B6">
              <w:t xml:space="preserve">; 150 adolescents or adult </w:t>
            </w:r>
            <w:r>
              <w:t>subjects</w:t>
            </w:r>
            <w:r w:rsidRPr="002943B6">
              <w:t xml:space="preserve"> without inhibitors from the age of 12 years (≥150 exposure days) and 63 paediatric </w:t>
            </w:r>
            <w:r>
              <w:t>subjects</w:t>
            </w:r>
            <w:r w:rsidRPr="002943B6">
              <w:t xml:space="preserve"> without inhibitors below the age of 12 years of age (≥50 exposure days). 187 out of </w:t>
            </w:r>
            <w:r>
              <w:t xml:space="preserve">the </w:t>
            </w:r>
            <w:r w:rsidRPr="002943B6">
              <w:t xml:space="preserve">213 </w:t>
            </w:r>
            <w:r>
              <w:t>subjects</w:t>
            </w:r>
            <w:r w:rsidRPr="002943B6">
              <w:t xml:space="preserve"> continued in the safety extension trial. </w:t>
            </w:r>
          </w:p>
          <w:p w14:paraId="0FE58D7A" w14:textId="77777777" w:rsidR="000931AF" w:rsidRDefault="000931AF" w:rsidP="00DC5D9A">
            <w:pPr>
              <w:pStyle w:val="BodyText"/>
              <w:spacing w:after="0"/>
              <w:jc w:val="both"/>
            </w:pPr>
          </w:p>
          <w:p w14:paraId="74713565" w14:textId="08F4AA85" w:rsidR="000931AF" w:rsidRPr="002943B6" w:rsidRDefault="000931AF" w:rsidP="00DC5D9A">
            <w:pPr>
              <w:pStyle w:val="BodyText"/>
              <w:spacing w:after="0"/>
              <w:jc w:val="both"/>
            </w:pPr>
            <w:r w:rsidRPr="002943B6">
              <w:t xml:space="preserve">Treatment with </w:t>
            </w:r>
            <w:proofErr w:type="spellStart"/>
            <w:r w:rsidRPr="002943B6">
              <w:t>NovoEight</w:t>
            </w:r>
            <w:proofErr w:type="spellEnd"/>
            <w:r w:rsidRPr="002943B6">
              <w:t xml:space="preserve"> was shown to be safe and had the intended haemostatic and prevent</w:t>
            </w:r>
            <w:r w:rsidR="002A2A71">
              <w:t>at</w:t>
            </w:r>
            <w:r w:rsidRPr="002943B6">
              <w:t xml:space="preserve">ive </w:t>
            </w:r>
            <w:r w:rsidRPr="00D1414F">
              <w:t>potential</w:t>
            </w:r>
            <w:r w:rsidRPr="002943B6">
              <w:t xml:space="preserve">. No factor VIII inhibitor development was observed in </w:t>
            </w:r>
            <w:r>
              <w:t xml:space="preserve">any of </w:t>
            </w:r>
            <w:r w:rsidRPr="002943B6">
              <w:t xml:space="preserve">the phase 3a clinical trials.  A total of 991 bleeds were reported in 158 out of the 213 </w:t>
            </w:r>
            <w:r>
              <w:t>subjects</w:t>
            </w:r>
            <w:r w:rsidRPr="002943B6">
              <w:t xml:space="preserve">. Traumatic bleeds were more frequent among paediatric </w:t>
            </w:r>
            <w:r>
              <w:t>subjects</w:t>
            </w:r>
            <w:r w:rsidRPr="002943B6">
              <w:t xml:space="preserve"> whereas spontaneous bleeds were more frequent among adolescents and adults. The vast majority of the bleeds were of mild/moderate severity and most frequently localised in </w:t>
            </w:r>
            <w:proofErr w:type="spellStart"/>
            <w:r w:rsidRPr="002943B6">
              <w:t>articular</w:t>
            </w:r>
            <w:proofErr w:type="spellEnd"/>
            <w:r w:rsidRPr="002943B6">
              <w:t xml:space="preserve"> joints. An overall assessment of efficacy was performed by the </w:t>
            </w:r>
            <w:r>
              <w:t>subject</w:t>
            </w:r>
            <w:r w:rsidRPr="002943B6">
              <w:t xml:space="preserve"> (for home treatment) or study site investigator (for treatment under medical supervision) using a 4-point scale of excellent, good, moderate, or none. If the haemostatic response was rated as excellent or good, the treatment of the bleed was considered a success. If the haemostatic response was rated as moderate or none, the treatment was considered a failure. The overall success rate for treatment of bleeds when pooling all trials was 84.6%. Of these 991 bleeds, 838 (84.6%) were rated excellent or good in their response to treatment with </w:t>
            </w:r>
            <w:proofErr w:type="spellStart"/>
            <w:r w:rsidRPr="002943B6">
              <w:t>NovoEight</w:t>
            </w:r>
            <w:proofErr w:type="spellEnd"/>
            <w:r w:rsidRPr="002943B6">
              <w:t xml:space="preserve">, 111 (11.2%) were moderate, 17 (1.7%) was rated as having no response, and for 25 (2.5%) the response to treatment was unknown. Of the 991 reported bleeds, 898 (90.6%) of the bleeds were resolved with 1-2 </w:t>
            </w:r>
            <w:r w:rsidR="00456B8B">
              <w:t>injections</w:t>
            </w:r>
            <w:r w:rsidRPr="002943B6">
              <w:t xml:space="preserve"> of </w:t>
            </w:r>
            <w:proofErr w:type="spellStart"/>
            <w:r w:rsidRPr="002943B6">
              <w:t>NovoEight</w:t>
            </w:r>
            <w:proofErr w:type="spellEnd"/>
            <w:r w:rsidRPr="002943B6">
              <w:t>.</w:t>
            </w:r>
          </w:p>
          <w:p w14:paraId="361A46BF" w14:textId="77777777" w:rsidR="000931AF" w:rsidRPr="002943B6" w:rsidRDefault="000931AF" w:rsidP="00A31B0F">
            <w:pPr>
              <w:pStyle w:val="BodyText"/>
              <w:spacing w:after="0"/>
            </w:pPr>
          </w:p>
          <w:p w14:paraId="2918EC2C" w14:textId="77777777" w:rsidR="000931AF" w:rsidRPr="002943B6" w:rsidRDefault="000931AF" w:rsidP="00A31B0F">
            <w:pPr>
              <w:pStyle w:val="BodyText"/>
              <w:spacing w:after="0"/>
              <w:rPr>
                <w:b/>
              </w:rPr>
            </w:pPr>
            <w:r w:rsidRPr="002943B6">
              <w:rPr>
                <w:b/>
              </w:rPr>
              <w:t xml:space="preserve">Table </w:t>
            </w:r>
            <w:r>
              <w:rPr>
                <w:b/>
              </w:rPr>
              <w:t>4</w:t>
            </w:r>
            <w:r w:rsidRPr="002943B6">
              <w:rPr>
                <w:b/>
              </w:rPr>
              <w:t xml:space="preserve"> Success rate for haemostatic response by site of bleed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350"/>
              <w:gridCol w:w="1890"/>
            </w:tblGrid>
            <w:tr w:rsidR="000931AF" w:rsidRPr="001F38CA" w14:paraId="5C68F167" w14:textId="77777777" w:rsidTr="00A31B0F">
              <w:tc>
                <w:tcPr>
                  <w:tcW w:w="2695" w:type="dxa"/>
                  <w:shd w:val="clear" w:color="auto" w:fill="auto"/>
                </w:tcPr>
                <w:p w14:paraId="3C292535" w14:textId="77777777" w:rsidR="000931AF" w:rsidRPr="00BB5CA6" w:rsidRDefault="000931AF" w:rsidP="00A31B0F">
                  <w:pPr>
                    <w:pStyle w:val="BodyText"/>
                    <w:spacing w:after="0" w:line="360" w:lineRule="auto"/>
                    <w:rPr>
                      <w:b/>
                      <w:sz w:val="20"/>
                    </w:rPr>
                  </w:pPr>
                  <w:r w:rsidRPr="00BB5CA6">
                    <w:rPr>
                      <w:b/>
                      <w:sz w:val="20"/>
                    </w:rPr>
                    <w:t>Site of bleed</w:t>
                  </w:r>
                </w:p>
              </w:tc>
              <w:tc>
                <w:tcPr>
                  <w:tcW w:w="1350" w:type="dxa"/>
                  <w:shd w:val="clear" w:color="auto" w:fill="auto"/>
                </w:tcPr>
                <w:p w14:paraId="11853833" w14:textId="77777777" w:rsidR="000931AF" w:rsidRPr="00BB5CA6" w:rsidRDefault="000931AF" w:rsidP="00A31B0F">
                  <w:pPr>
                    <w:pStyle w:val="BodyText"/>
                    <w:spacing w:after="0" w:line="360" w:lineRule="auto"/>
                    <w:rPr>
                      <w:b/>
                      <w:sz w:val="20"/>
                    </w:rPr>
                  </w:pPr>
                  <w:r w:rsidRPr="00BB5CA6">
                    <w:rPr>
                      <w:b/>
                      <w:sz w:val="20"/>
                    </w:rPr>
                    <w:t>Bleeds</w:t>
                  </w:r>
                </w:p>
              </w:tc>
              <w:tc>
                <w:tcPr>
                  <w:tcW w:w="1890" w:type="dxa"/>
                  <w:shd w:val="clear" w:color="auto" w:fill="auto"/>
                </w:tcPr>
                <w:p w14:paraId="3EC9BD1E" w14:textId="77777777" w:rsidR="000931AF" w:rsidRPr="00BB5CA6" w:rsidRDefault="000931AF" w:rsidP="00A31B0F">
                  <w:pPr>
                    <w:pStyle w:val="BodyText"/>
                    <w:spacing w:after="0" w:line="360" w:lineRule="auto"/>
                    <w:rPr>
                      <w:b/>
                      <w:sz w:val="20"/>
                    </w:rPr>
                  </w:pPr>
                  <w:r w:rsidRPr="00BB5CA6">
                    <w:rPr>
                      <w:b/>
                      <w:sz w:val="20"/>
                    </w:rPr>
                    <w:t xml:space="preserve">Success rate (%) </w:t>
                  </w:r>
                  <w:r w:rsidRPr="00BB5CA6">
                    <w:rPr>
                      <w:b/>
                      <w:sz w:val="20"/>
                      <w:vertAlign w:val="superscript"/>
                    </w:rPr>
                    <w:t>a</w:t>
                  </w:r>
                </w:p>
              </w:tc>
            </w:tr>
            <w:tr w:rsidR="000931AF" w:rsidRPr="001F38CA" w14:paraId="7AEA5E8E" w14:textId="77777777" w:rsidTr="00A31B0F">
              <w:tc>
                <w:tcPr>
                  <w:tcW w:w="2695" w:type="dxa"/>
                  <w:shd w:val="clear" w:color="auto" w:fill="auto"/>
                </w:tcPr>
                <w:p w14:paraId="4101DD86" w14:textId="77777777" w:rsidR="000931AF" w:rsidRPr="00BB5CA6" w:rsidRDefault="000931AF" w:rsidP="00A31B0F">
                  <w:pPr>
                    <w:pStyle w:val="BodyText"/>
                    <w:spacing w:after="0"/>
                    <w:rPr>
                      <w:sz w:val="20"/>
                    </w:rPr>
                  </w:pPr>
                  <w:r w:rsidRPr="00BB5CA6">
                    <w:rPr>
                      <w:sz w:val="20"/>
                    </w:rPr>
                    <w:t>Joint</w:t>
                  </w:r>
                </w:p>
              </w:tc>
              <w:tc>
                <w:tcPr>
                  <w:tcW w:w="1350" w:type="dxa"/>
                  <w:shd w:val="clear" w:color="auto" w:fill="auto"/>
                </w:tcPr>
                <w:p w14:paraId="7F9C471A" w14:textId="77777777" w:rsidR="000931AF" w:rsidRPr="00BB5CA6" w:rsidRDefault="000931AF" w:rsidP="00A31B0F">
                  <w:pPr>
                    <w:pStyle w:val="BodyText"/>
                    <w:spacing w:after="0"/>
                    <w:rPr>
                      <w:sz w:val="20"/>
                    </w:rPr>
                  </w:pPr>
                  <w:r w:rsidRPr="00BB5CA6">
                    <w:rPr>
                      <w:sz w:val="20"/>
                    </w:rPr>
                    <w:t>717</w:t>
                  </w:r>
                </w:p>
              </w:tc>
              <w:tc>
                <w:tcPr>
                  <w:tcW w:w="1890" w:type="dxa"/>
                  <w:shd w:val="clear" w:color="auto" w:fill="auto"/>
                </w:tcPr>
                <w:p w14:paraId="2960A017" w14:textId="77777777" w:rsidR="000931AF" w:rsidRPr="00BB5CA6" w:rsidRDefault="000931AF" w:rsidP="00A31B0F">
                  <w:pPr>
                    <w:pStyle w:val="BodyText"/>
                    <w:spacing w:after="0"/>
                    <w:rPr>
                      <w:sz w:val="20"/>
                    </w:rPr>
                  </w:pPr>
                  <w:r w:rsidRPr="00BB5CA6">
                    <w:rPr>
                      <w:sz w:val="20"/>
                    </w:rPr>
                    <w:t>84.4%</w:t>
                  </w:r>
                </w:p>
              </w:tc>
            </w:tr>
            <w:tr w:rsidR="000931AF" w:rsidRPr="001F38CA" w14:paraId="6425A45C" w14:textId="77777777" w:rsidTr="00A31B0F">
              <w:tc>
                <w:tcPr>
                  <w:tcW w:w="2695" w:type="dxa"/>
                  <w:shd w:val="clear" w:color="auto" w:fill="auto"/>
                </w:tcPr>
                <w:p w14:paraId="0C3A6360" w14:textId="77777777" w:rsidR="000931AF" w:rsidRPr="00BB5CA6" w:rsidRDefault="000931AF" w:rsidP="00A31B0F">
                  <w:pPr>
                    <w:pStyle w:val="BodyText"/>
                    <w:spacing w:after="0"/>
                    <w:rPr>
                      <w:sz w:val="20"/>
                    </w:rPr>
                  </w:pPr>
                  <w:r w:rsidRPr="00BB5CA6">
                    <w:rPr>
                      <w:sz w:val="20"/>
                    </w:rPr>
                    <w:t>Subcutaneous</w:t>
                  </w:r>
                </w:p>
              </w:tc>
              <w:tc>
                <w:tcPr>
                  <w:tcW w:w="1350" w:type="dxa"/>
                  <w:shd w:val="clear" w:color="auto" w:fill="auto"/>
                </w:tcPr>
                <w:p w14:paraId="37032208" w14:textId="77777777" w:rsidR="000931AF" w:rsidRPr="00BB5CA6" w:rsidRDefault="000931AF" w:rsidP="00A31B0F">
                  <w:pPr>
                    <w:pStyle w:val="BodyText"/>
                    <w:spacing w:after="0"/>
                    <w:rPr>
                      <w:sz w:val="20"/>
                    </w:rPr>
                  </w:pPr>
                  <w:r w:rsidRPr="00BB5CA6">
                    <w:rPr>
                      <w:sz w:val="20"/>
                    </w:rPr>
                    <w:t>41</w:t>
                  </w:r>
                </w:p>
              </w:tc>
              <w:tc>
                <w:tcPr>
                  <w:tcW w:w="1890" w:type="dxa"/>
                  <w:shd w:val="clear" w:color="auto" w:fill="auto"/>
                </w:tcPr>
                <w:p w14:paraId="0E3D63AD" w14:textId="77777777" w:rsidR="000931AF" w:rsidRPr="00BB5CA6" w:rsidRDefault="000931AF" w:rsidP="00A31B0F">
                  <w:pPr>
                    <w:pStyle w:val="BodyText"/>
                    <w:spacing w:after="0"/>
                    <w:rPr>
                      <w:sz w:val="20"/>
                    </w:rPr>
                  </w:pPr>
                  <w:r w:rsidRPr="00BB5CA6">
                    <w:rPr>
                      <w:sz w:val="20"/>
                    </w:rPr>
                    <w:t>87.8%</w:t>
                  </w:r>
                </w:p>
              </w:tc>
            </w:tr>
            <w:tr w:rsidR="000931AF" w:rsidRPr="001F38CA" w14:paraId="6019A0AA" w14:textId="77777777" w:rsidTr="00A31B0F">
              <w:tc>
                <w:tcPr>
                  <w:tcW w:w="2695" w:type="dxa"/>
                  <w:shd w:val="clear" w:color="auto" w:fill="auto"/>
                </w:tcPr>
                <w:p w14:paraId="131F4653" w14:textId="77777777" w:rsidR="000931AF" w:rsidRPr="00BB5CA6" w:rsidRDefault="000931AF" w:rsidP="00A31B0F">
                  <w:pPr>
                    <w:pStyle w:val="BodyText"/>
                    <w:spacing w:after="0"/>
                    <w:rPr>
                      <w:sz w:val="20"/>
                    </w:rPr>
                  </w:pPr>
                  <w:r w:rsidRPr="00BB5CA6">
                    <w:rPr>
                      <w:sz w:val="20"/>
                    </w:rPr>
                    <w:t>Muscular</w:t>
                  </w:r>
                </w:p>
              </w:tc>
              <w:tc>
                <w:tcPr>
                  <w:tcW w:w="1350" w:type="dxa"/>
                  <w:shd w:val="clear" w:color="auto" w:fill="auto"/>
                </w:tcPr>
                <w:p w14:paraId="31D99D05" w14:textId="77777777" w:rsidR="000931AF" w:rsidRPr="00BB5CA6" w:rsidRDefault="000931AF" w:rsidP="00A31B0F">
                  <w:pPr>
                    <w:pStyle w:val="BodyText"/>
                    <w:spacing w:after="0"/>
                    <w:rPr>
                      <w:sz w:val="20"/>
                    </w:rPr>
                  </w:pPr>
                  <w:r w:rsidRPr="00BB5CA6">
                    <w:rPr>
                      <w:sz w:val="20"/>
                    </w:rPr>
                    <w:t>70</w:t>
                  </w:r>
                </w:p>
              </w:tc>
              <w:tc>
                <w:tcPr>
                  <w:tcW w:w="1890" w:type="dxa"/>
                  <w:shd w:val="clear" w:color="auto" w:fill="auto"/>
                </w:tcPr>
                <w:p w14:paraId="04698B82" w14:textId="77777777" w:rsidR="000931AF" w:rsidRPr="00BB5CA6" w:rsidRDefault="000931AF" w:rsidP="00A31B0F">
                  <w:pPr>
                    <w:pStyle w:val="BodyText"/>
                    <w:spacing w:after="0"/>
                    <w:rPr>
                      <w:sz w:val="20"/>
                    </w:rPr>
                  </w:pPr>
                  <w:r w:rsidRPr="00BB5CA6">
                    <w:rPr>
                      <w:sz w:val="20"/>
                    </w:rPr>
                    <w:t>85.7%</w:t>
                  </w:r>
                </w:p>
              </w:tc>
            </w:tr>
            <w:tr w:rsidR="000931AF" w:rsidRPr="001F38CA" w14:paraId="595C2872" w14:textId="77777777" w:rsidTr="00A31B0F">
              <w:tc>
                <w:tcPr>
                  <w:tcW w:w="2695" w:type="dxa"/>
                  <w:shd w:val="clear" w:color="auto" w:fill="auto"/>
                </w:tcPr>
                <w:p w14:paraId="52357A90" w14:textId="77777777" w:rsidR="000931AF" w:rsidRPr="00BB5CA6" w:rsidRDefault="000931AF" w:rsidP="00A31B0F">
                  <w:pPr>
                    <w:pStyle w:val="BodyText"/>
                    <w:spacing w:after="0"/>
                    <w:rPr>
                      <w:sz w:val="20"/>
                    </w:rPr>
                  </w:pPr>
                  <w:r w:rsidRPr="00BB5CA6">
                    <w:rPr>
                      <w:sz w:val="20"/>
                    </w:rPr>
                    <w:t>Gastrointestinal</w:t>
                  </w:r>
                </w:p>
              </w:tc>
              <w:tc>
                <w:tcPr>
                  <w:tcW w:w="1350" w:type="dxa"/>
                  <w:shd w:val="clear" w:color="auto" w:fill="auto"/>
                </w:tcPr>
                <w:p w14:paraId="68ABDA39" w14:textId="77777777" w:rsidR="000931AF" w:rsidRPr="00BB5CA6" w:rsidRDefault="000931AF" w:rsidP="00A31B0F">
                  <w:pPr>
                    <w:pStyle w:val="BodyText"/>
                    <w:spacing w:after="0"/>
                    <w:rPr>
                      <w:sz w:val="20"/>
                    </w:rPr>
                  </w:pPr>
                  <w:r w:rsidRPr="00BB5CA6">
                    <w:rPr>
                      <w:sz w:val="20"/>
                    </w:rPr>
                    <w:t>5</w:t>
                  </w:r>
                </w:p>
              </w:tc>
              <w:tc>
                <w:tcPr>
                  <w:tcW w:w="1890" w:type="dxa"/>
                  <w:shd w:val="clear" w:color="auto" w:fill="auto"/>
                </w:tcPr>
                <w:p w14:paraId="23DFBCD6" w14:textId="77777777" w:rsidR="000931AF" w:rsidRPr="00BB5CA6" w:rsidRDefault="000931AF" w:rsidP="00A31B0F">
                  <w:pPr>
                    <w:pStyle w:val="BodyText"/>
                    <w:spacing w:after="0"/>
                    <w:rPr>
                      <w:sz w:val="20"/>
                    </w:rPr>
                  </w:pPr>
                  <w:r w:rsidRPr="00BB5CA6">
                    <w:rPr>
                      <w:sz w:val="20"/>
                    </w:rPr>
                    <w:t>60.0%</w:t>
                  </w:r>
                </w:p>
              </w:tc>
            </w:tr>
            <w:tr w:rsidR="000931AF" w:rsidRPr="001F38CA" w14:paraId="2930B1CF" w14:textId="77777777" w:rsidTr="00A31B0F">
              <w:tc>
                <w:tcPr>
                  <w:tcW w:w="2695" w:type="dxa"/>
                  <w:shd w:val="clear" w:color="auto" w:fill="auto"/>
                </w:tcPr>
                <w:p w14:paraId="3F887AED" w14:textId="77777777" w:rsidR="000931AF" w:rsidRPr="00BB5CA6" w:rsidRDefault="000931AF" w:rsidP="00A31B0F">
                  <w:pPr>
                    <w:pStyle w:val="BodyText"/>
                    <w:spacing w:after="0"/>
                    <w:rPr>
                      <w:sz w:val="20"/>
                    </w:rPr>
                  </w:pPr>
                  <w:r w:rsidRPr="00BB5CA6">
                    <w:rPr>
                      <w:sz w:val="20"/>
                    </w:rPr>
                    <w:t>Mucosal</w:t>
                  </w:r>
                </w:p>
              </w:tc>
              <w:tc>
                <w:tcPr>
                  <w:tcW w:w="1350" w:type="dxa"/>
                  <w:shd w:val="clear" w:color="auto" w:fill="auto"/>
                </w:tcPr>
                <w:p w14:paraId="71E0A3F2" w14:textId="77777777" w:rsidR="000931AF" w:rsidRPr="00BB5CA6" w:rsidRDefault="000931AF" w:rsidP="00A31B0F">
                  <w:pPr>
                    <w:pStyle w:val="BodyText"/>
                    <w:spacing w:after="0"/>
                    <w:rPr>
                      <w:sz w:val="20"/>
                    </w:rPr>
                  </w:pPr>
                  <w:r w:rsidRPr="00BB5CA6">
                    <w:rPr>
                      <w:sz w:val="20"/>
                    </w:rPr>
                    <w:t>10</w:t>
                  </w:r>
                </w:p>
              </w:tc>
              <w:tc>
                <w:tcPr>
                  <w:tcW w:w="1890" w:type="dxa"/>
                  <w:shd w:val="clear" w:color="auto" w:fill="auto"/>
                </w:tcPr>
                <w:p w14:paraId="51FE708D" w14:textId="77777777" w:rsidR="000931AF" w:rsidRPr="00BB5CA6" w:rsidRDefault="000931AF" w:rsidP="00A31B0F">
                  <w:pPr>
                    <w:pStyle w:val="BodyText"/>
                    <w:spacing w:after="0"/>
                    <w:rPr>
                      <w:sz w:val="20"/>
                    </w:rPr>
                  </w:pPr>
                  <w:r w:rsidRPr="00BB5CA6">
                    <w:rPr>
                      <w:sz w:val="20"/>
                    </w:rPr>
                    <w:t>90.0%</w:t>
                  </w:r>
                </w:p>
              </w:tc>
            </w:tr>
            <w:tr w:rsidR="000931AF" w:rsidRPr="001F38CA" w14:paraId="146F1DF9" w14:textId="77777777" w:rsidTr="00A31B0F">
              <w:tc>
                <w:tcPr>
                  <w:tcW w:w="2695" w:type="dxa"/>
                  <w:shd w:val="clear" w:color="auto" w:fill="auto"/>
                </w:tcPr>
                <w:p w14:paraId="4C220AD8" w14:textId="77777777" w:rsidR="000931AF" w:rsidRPr="00BB5CA6" w:rsidRDefault="000931AF" w:rsidP="00A31B0F">
                  <w:pPr>
                    <w:pStyle w:val="BodyText"/>
                    <w:spacing w:after="0"/>
                    <w:rPr>
                      <w:sz w:val="20"/>
                    </w:rPr>
                  </w:pPr>
                  <w:proofErr w:type="spellStart"/>
                  <w:r w:rsidRPr="00BB5CA6">
                    <w:rPr>
                      <w:sz w:val="20"/>
                    </w:rPr>
                    <w:t>Haemarthrosis</w:t>
                  </w:r>
                  <w:proofErr w:type="spellEnd"/>
                  <w:r w:rsidRPr="00BB5CA6">
                    <w:rPr>
                      <w:sz w:val="20"/>
                    </w:rPr>
                    <w:t xml:space="preserve"> + other sites</w:t>
                  </w:r>
                </w:p>
              </w:tc>
              <w:tc>
                <w:tcPr>
                  <w:tcW w:w="1350" w:type="dxa"/>
                  <w:shd w:val="clear" w:color="auto" w:fill="auto"/>
                </w:tcPr>
                <w:p w14:paraId="5106E698" w14:textId="77777777" w:rsidR="000931AF" w:rsidRPr="00BB5CA6" w:rsidRDefault="000931AF" w:rsidP="00A31B0F">
                  <w:pPr>
                    <w:pStyle w:val="BodyText"/>
                    <w:spacing w:after="0"/>
                    <w:rPr>
                      <w:sz w:val="20"/>
                    </w:rPr>
                  </w:pPr>
                  <w:r w:rsidRPr="00BB5CA6">
                    <w:rPr>
                      <w:sz w:val="20"/>
                    </w:rPr>
                    <w:t>19</w:t>
                  </w:r>
                </w:p>
              </w:tc>
              <w:tc>
                <w:tcPr>
                  <w:tcW w:w="1890" w:type="dxa"/>
                  <w:shd w:val="clear" w:color="auto" w:fill="auto"/>
                </w:tcPr>
                <w:p w14:paraId="10C9452A" w14:textId="77777777" w:rsidR="000931AF" w:rsidRPr="00BB5CA6" w:rsidRDefault="000931AF" w:rsidP="00A31B0F">
                  <w:pPr>
                    <w:pStyle w:val="BodyText"/>
                    <w:spacing w:after="0"/>
                    <w:rPr>
                      <w:sz w:val="20"/>
                    </w:rPr>
                  </w:pPr>
                  <w:r w:rsidRPr="00BB5CA6">
                    <w:rPr>
                      <w:sz w:val="20"/>
                    </w:rPr>
                    <w:t>78.9%</w:t>
                  </w:r>
                </w:p>
              </w:tc>
            </w:tr>
            <w:tr w:rsidR="000931AF" w:rsidRPr="001F38CA" w14:paraId="5F34A34A" w14:textId="77777777" w:rsidTr="00A31B0F">
              <w:tc>
                <w:tcPr>
                  <w:tcW w:w="2695" w:type="dxa"/>
                  <w:shd w:val="clear" w:color="auto" w:fill="auto"/>
                </w:tcPr>
                <w:p w14:paraId="05DD9867" w14:textId="77777777" w:rsidR="000931AF" w:rsidRPr="00BB5CA6" w:rsidRDefault="000931AF" w:rsidP="00A31B0F">
                  <w:pPr>
                    <w:pStyle w:val="BodyText"/>
                    <w:spacing w:after="0"/>
                    <w:rPr>
                      <w:sz w:val="20"/>
                    </w:rPr>
                  </w:pPr>
                  <w:r w:rsidRPr="00BB5CA6">
                    <w:rPr>
                      <w:sz w:val="20"/>
                    </w:rPr>
                    <w:t>Other</w:t>
                  </w:r>
                </w:p>
              </w:tc>
              <w:tc>
                <w:tcPr>
                  <w:tcW w:w="1350" w:type="dxa"/>
                  <w:shd w:val="clear" w:color="auto" w:fill="auto"/>
                </w:tcPr>
                <w:p w14:paraId="212C4AB6" w14:textId="77777777" w:rsidR="000931AF" w:rsidRPr="00BB5CA6" w:rsidRDefault="000931AF" w:rsidP="00A31B0F">
                  <w:pPr>
                    <w:pStyle w:val="BodyText"/>
                    <w:spacing w:after="0"/>
                    <w:rPr>
                      <w:sz w:val="20"/>
                    </w:rPr>
                  </w:pPr>
                  <w:r w:rsidRPr="00BB5CA6">
                    <w:rPr>
                      <w:sz w:val="20"/>
                    </w:rPr>
                    <w:t>104</w:t>
                  </w:r>
                </w:p>
              </w:tc>
              <w:tc>
                <w:tcPr>
                  <w:tcW w:w="1890" w:type="dxa"/>
                  <w:shd w:val="clear" w:color="auto" w:fill="auto"/>
                </w:tcPr>
                <w:p w14:paraId="3B3AF0CC" w14:textId="77777777" w:rsidR="000931AF" w:rsidRPr="00BB5CA6" w:rsidRDefault="000931AF" w:rsidP="00A31B0F">
                  <w:pPr>
                    <w:pStyle w:val="BodyText"/>
                    <w:spacing w:after="0"/>
                    <w:rPr>
                      <w:sz w:val="20"/>
                    </w:rPr>
                  </w:pPr>
                  <w:r w:rsidRPr="00BB5CA6">
                    <w:rPr>
                      <w:sz w:val="20"/>
                    </w:rPr>
                    <w:t>86.5%</w:t>
                  </w:r>
                </w:p>
              </w:tc>
            </w:tr>
            <w:tr w:rsidR="000931AF" w:rsidRPr="001F38CA" w14:paraId="4E78E2B6" w14:textId="77777777" w:rsidTr="00A31B0F">
              <w:tc>
                <w:tcPr>
                  <w:tcW w:w="2695" w:type="dxa"/>
                  <w:shd w:val="clear" w:color="auto" w:fill="auto"/>
                </w:tcPr>
                <w:p w14:paraId="01693E48" w14:textId="2D3E7181" w:rsidR="000931AF" w:rsidRPr="00BB5CA6" w:rsidRDefault="0042468F" w:rsidP="00A31B0F">
                  <w:pPr>
                    <w:pStyle w:val="BodyText"/>
                    <w:spacing w:after="0"/>
                    <w:rPr>
                      <w:sz w:val="20"/>
                    </w:rPr>
                  </w:pPr>
                  <w:r>
                    <w:rPr>
                      <w:sz w:val="20"/>
                      <w:szCs w:val="20"/>
                    </w:rPr>
                    <w:t>Site not reported</w:t>
                  </w:r>
                </w:p>
              </w:tc>
              <w:tc>
                <w:tcPr>
                  <w:tcW w:w="1350" w:type="dxa"/>
                  <w:shd w:val="clear" w:color="auto" w:fill="auto"/>
                </w:tcPr>
                <w:p w14:paraId="3D86EEF4" w14:textId="77777777" w:rsidR="000931AF" w:rsidRPr="00BB5CA6" w:rsidRDefault="000931AF" w:rsidP="00A31B0F">
                  <w:pPr>
                    <w:pStyle w:val="BodyText"/>
                    <w:spacing w:after="0"/>
                    <w:rPr>
                      <w:sz w:val="20"/>
                    </w:rPr>
                  </w:pPr>
                  <w:r w:rsidRPr="00BB5CA6">
                    <w:rPr>
                      <w:sz w:val="20"/>
                    </w:rPr>
                    <w:t>25</w:t>
                  </w:r>
                </w:p>
              </w:tc>
              <w:tc>
                <w:tcPr>
                  <w:tcW w:w="1890" w:type="dxa"/>
                  <w:shd w:val="clear" w:color="auto" w:fill="auto"/>
                </w:tcPr>
                <w:p w14:paraId="7C89D337" w14:textId="77777777" w:rsidR="000931AF" w:rsidRPr="00BB5CA6" w:rsidRDefault="000931AF" w:rsidP="00A31B0F">
                  <w:pPr>
                    <w:pStyle w:val="BodyText"/>
                    <w:spacing w:after="0"/>
                    <w:rPr>
                      <w:sz w:val="20"/>
                    </w:rPr>
                  </w:pPr>
                  <w:r w:rsidRPr="00BB5CA6">
                    <w:rPr>
                      <w:sz w:val="20"/>
                    </w:rPr>
                    <w:t>80.0%</w:t>
                  </w:r>
                </w:p>
              </w:tc>
            </w:tr>
            <w:tr w:rsidR="000931AF" w:rsidRPr="001F38CA" w14:paraId="1FE18FE5" w14:textId="77777777" w:rsidTr="00A31B0F">
              <w:tc>
                <w:tcPr>
                  <w:tcW w:w="2695" w:type="dxa"/>
                  <w:tcBorders>
                    <w:top w:val="single" w:sz="18" w:space="0" w:color="auto"/>
                  </w:tcBorders>
                  <w:shd w:val="clear" w:color="auto" w:fill="auto"/>
                </w:tcPr>
                <w:p w14:paraId="0E9E3204" w14:textId="77777777" w:rsidR="000931AF" w:rsidRPr="00BB5CA6" w:rsidRDefault="000931AF" w:rsidP="00A31B0F">
                  <w:pPr>
                    <w:pStyle w:val="BodyText"/>
                    <w:spacing w:after="0"/>
                    <w:rPr>
                      <w:sz w:val="20"/>
                    </w:rPr>
                  </w:pPr>
                  <w:r w:rsidRPr="00BB5CA6">
                    <w:rPr>
                      <w:sz w:val="20"/>
                    </w:rPr>
                    <w:t>Total</w:t>
                  </w:r>
                </w:p>
              </w:tc>
              <w:tc>
                <w:tcPr>
                  <w:tcW w:w="1350" w:type="dxa"/>
                  <w:tcBorders>
                    <w:top w:val="single" w:sz="18" w:space="0" w:color="auto"/>
                  </w:tcBorders>
                  <w:shd w:val="clear" w:color="auto" w:fill="auto"/>
                </w:tcPr>
                <w:p w14:paraId="65F18B62" w14:textId="77777777" w:rsidR="000931AF" w:rsidRPr="00BB5CA6" w:rsidRDefault="000931AF" w:rsidP="00A31B0F">
                  <w:pPr>
                    <w:pStyle w:val="BodyText"/>
                    <w:spacing w:after="0"/>
                    <w:rPr>
                      <w:sz w:val="20"/>
                    </w:rPr>
                  </w:pPr>
                  <w:r w:rsidRPr="00BB5CA6">
                    <w:rPr>
                      <w:sz w:val="20"/>
                    </w:rPr>
                    <w:t>991</w:t>
                  </w:r>
                </w:p>
              </w:tc>
              <w:tc>
                <w:tcPr>
                  <w:tcW w:w="1890" w:type="dxa"/>
                  <w:tcBorders>
                    <w:top w:val="single" w:sz="18" w:space="0" w:color="auto"/>
                  </w:tcBorders>
                  <w:shd w:val="clear" w:color="auto" w:fill="auto"/>
                </w:tcPr>
                <w:p w14:paraId="7E7D16D3" w14:textId="77777777" w:rsidR="000931AF" w:rsidRPr="00BB5CA6" w:rsidRDefault="000931AF" w:rsidP="00A31B0F">
                  <w:pPr>
                    <w:pStyle w:val="BodyText"/>
                    <w:spacing w:after="0"/>
                    <w:rPr>
                      <w:sz w:val="20"/>
                    </w:rPr>
                  </w:pPr>
                  <w:r w:rsidRPr="00BB5CA6">
                    <w:rPr>
                      <w:sz w:val="20"/>
                    </w:rPr>
                    <w:t>84.6%</w:t>
                  </w:r>
                </w:p>
              </w:tc>
            </w:tr>
          </w:tbl>
          <w:p w14:paraId="2B5A059B" w14:textId="77777777" w:rsidR="000931AF" w:rsidRPr="006153A6" w:rsidRDefault="000931AF" w:rsidP="00A31B0F">
            <w:pPr>
              <w:pStyle w:val="BodyText"/>
              <w:spacing w:after="0"/>
              <w:rPr>
                <w:sz w:val="20"/>
                <w:szCs w:val="20"/>
              </w:rPr>
            </w:pPr>
            <w:r w:rsidRPr="006153A6">
              <w:rPr>
                <w:b/>
                <w:sz w:val="20"/>
                <w:szCs w:val="20"/>
                <w:vertAlign w:val="superscript"/>
              </w:rPr>
              <w:t>a</w:t>
            </w:r>
            <w:r w:rsidRPr="006153A6">
              <w:rPr>
                <w:sz w:val="20"/>
                <w:szCs w:val="20"/>
              </w:rPr>
              <w:t xml:space="preserve"> Success rate: Number of ‘Excellent’ or ‘Good’ haemostatic responses/number of bleeds</w:t>
            </w:r>
          </w:p>
          <w:p w14:paraId="3795D4BD" w14:textId="77777777" w:rsidR="000931AF" w:rsidRDefault="000931AF" w:rsidP="00A31B0F">
            <w:pPr>
              <w:pStyle w:val="BodyText"/>
              <w:spacing w:after="0"/>
            </w:pPr>
          </w:p>
          <w:p w14:paraId="336D42CD" w14:textId="77777777" w:rsidR="003F0BF6" w:rsidRPr="002943B6" w:rsidRDefault="003F0BF6" w:rsidP="00A31B0F">
            <w:pPr>
              <w:pStyle w:val="BodyText"/>
              <w:spacing w:after="0"/>
            </w:pPr>
          </w:p>
          <w:p w14:paraId="0A0F30CD" w14:textId="3A43E8ED" w:rsidR="000931AF" w:rsidRPr="002943B6" w:rsidRDefault="000931AF" w:rsidP="00DC5D9A">
            <w:pPr>
              <w:pStyle w:val="BodyText"/>
              <w:spacing w:after="0"/>
              <w:jc w:val="both"/>
            </w:pPr>
            <w:r w:rsidRPr="002943B6">
              <w:lastRenderedPageBreak/>
              <w:t xml:space="preserve">The estimated annualised bleeding rate when pooled for all trials was </w:t>
            </w:r>
            <w:proofErr w:type="gramStart"/>
            <w:r w:rsidRPr="002943B6">
              <w:t>4.89 bleeds/</w:t>
            </w:r>
            <w:r>
              <w:t>subject</w:t>
            </w:r>
            <w:r w:rsidRPr="002943B6">
              <w:t>/year whilst on trea</w:t>
            </w:r>
            <w:r w:rsidR="003F0BF6">
              <w:t>tment for prevention of bleeds</w:t>
            </w:r>
            <w:proofErr w:type="gramEnd"/>
            <w:r w:rsidR="003F0BF6">
              <w:t>.</w:t>
            </w:r>
          </w:p>
          <w:p w14:paraId="03CFEFA9" w14:textId="77777777" w:rsidR="000931AF" w:rsidRPr="003F0BF6" w:rsidRDefault="000931AF" w:rsidP="00A31B0F">
            <w:pPr>
              <w:pStyle w:val="BodyText"/>
              <w:spacing w:after="0"/>
              <w:rPr>
                <w:sz w:val="18"/>
                <w:szCs w:val="18"/>
              </w:rPr>
            </w:pPr>
          </w:p>
          <w:p w14:paraId="5B29C8EF" w14:textId="77777777" w:rsidR="000931AF" w:rsidRPr="002943B6" w:rsidRDefault="000931AF" w:rsidP="00A31B0F">
            <w:pPr>
              <w:pStyle w:val="BodyText"/>
              <w:spacing w:after="0"/>
              <w:rPr>
                <w:b/>
              </w:rPr>
            </w:pPr>
            <w:r w:rsidRPr="002943B6">
              <w:rPr>
                <w:b/>
              </w:rPr>
              <w:t xml:space="preserve">Table </w:t>
            </w:r>
            <w:r>
              <w:rPr>
                <w:b/>
              </w:rPr>
              <w:t>5</w:t>
            </w:r>
            <w:r w:rsidRPr="002943B6">
              <w:rPr>
                <w:b/>
              </w:rPr>
              <w:t xml:space="preserve"> Annualised and Monthly Bleeding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710"/>
              <w:gridCol w:w="1530"/>
            </w:tblGrid>
            <w:tr w:rsidR="000931AF" w:rsidRPr="001F38CA" w14:paraId="53C42C51" w14:textId="77777777" w:rsidTr="00A31B0F">
              <w:tc>
                <w:tcPr>
                  <w:tcW w:w="1435" w:type="dxa"/>
                  <w:shd w:val="clear" w:color="auto" w:fill="auto"/>
                </w:tcPr>
                <w:p w14:paraId="6D0E6EE9" w14:textId="77777777" w:rsidR="000931AF" w:rsidRPr="00BB5CA6" w:rsidRDefault="000931AF" w:rsidP="00A31B0F">
                  <w:pPr>
                    <w:pStyle w:val="BodyText"/>
                    <w:spacing w:after="0"/>
                    <w:rPr>
                      <w:sz w:val="20"/>
                    </w:rPr>
                  </w:pPr>
                </w:p>
              </w:tc>
              <w:tc>
                <w:tcPr>
                  <w:tcW w:w="1440" w:type="dxa"/>
                  <w:shd w:val="clear" w:color="auto" w:fill="auto"/>
                </w:tcPr>
                <w:p w14:paraId="5DC1C4AC" w14:textId="77777777" w:rsidR="000931AF" w:rsidRPr="00BB5CA6" w:rsidRDefault="000931AF" w:rsidP="00A31B0F">
                  <w:pPr>
                    <w:pStyle w:val="BodyText"/>
                    <w:spacing w:after="0"/>
                    <w:rPr>
                      <w:b/>
                      <w:sz w:val="20"/>
                    </w:rPr>
                  </w:pPr>
                  <w:r w:rsidRPr="00BB5CA6">
                    <w:rPr>
                      <w:b/>
                      <w:sz w:val="20"/>
                    </w:rPr>
                    <w:t>Pooled trials</w:t>
                  </w:r>
                </w:p>
              </w:tc>
              <w:tc>
                <w:tcPr>
                  <w:tcW w:w="1440" w:type="dxa"/>
                </w:tcPr>
                <w:p w14:paraId="6DA2E734" w14:textId="77777777" w:rsidR="000931AF" w:rsidRPr="00BB5CA6" w:rsidRDefault="000931AF" w:rsidP="00A31B0F">
                  <w:pPr>
                    <w:pStyle w:val="BodyText"/>
                    <w:spacing w:after="0"/>
                    <w:rPr>
                      <w:b/>
                      <w:sz w:val="20"/>
                    </w:rPr>
                  </w:pPr>
                  <w:r w:rsidRPr="00BB5CA6">
                    <w:rPr>
                      <w:b/>
                      <w:sz w:val="20"/>
                    </w:rPr>
                    <w:t>Pivotal trial</w:t>
                  </w:r>
                </w:p>
              </w:tc>
              <w:tc>
                <w:tcPr>
                  <w:tcW w:w="1710" w:type="dxa"/>
                </w:tcPr>
                <w:p w14:paraId="1D8CA53D" w14:textId="77777777" w:rsidR="000931AF" w:rsidRPr="00BB5CA6" w:rsidRDefault="000931AF" w:rsidP="00A31B0F">
                  <w:pPr>
                    <w:rPr>
                      <w:b/>
                      <w:sz w:val="20"/>
                    </w:rPr>
                  </w:pPr>
                  <w:r w:rsidRPr="00BB5CA6">
                    <w:rPr>
                      <w:b/>
                      <w:sz w:val="20"/>
                    </w:rPr>
                    <w:t>Paediatric trial</w:t>
                  </w:r>
                </w:p>
              </w:tc>
              <w:tc>
                <w:tcPr>
                  <w:tcW w:w="1530" w:type="dxa"/>
                </w:tcPr>
                <w:p w14:paraId="37ABC57D" w14:textId="77777777" w:rsidR="000931AF" w:rsidRPr="00BB5CA6" w:rsidRDefault="000931AF" w:rsidP="00A31B0F">
                  <w:pPr>
                    <w:rPr>
                      <w:b/>
                      <w:sz w:val="20"/>
                    </w:rPr>
                  </w:pPr>
                  <w:r w:rsidRPr="00BB5CA6">
                    <w:rPr>
                      <w:b/>
                      <w:sz w:val="20"/>
                    </w:rPr>
                    <w:t xml:space="preserve">Extension </w:t>
                  </w:r>
                  <w:proofErr w:type="spellStart"/>
                  <w:r w:rsidRPr="00BB5CA6">
                    <w:rPr>
                      <w:b/>
                      <w:sz w:val="20"/>
                    </w:rPr>
                    <w:t>trial</w:t>
                  </w:r>
                  <w:r w:rsidRPr="00BB5CA6">
                    <w:rPr>
                      <w:b/>
                      <w:sz w:val="20"/>
                      <w:vertAlign w:val="superscript"/>
                    </w:rPr>
                    <w:t>a</w:t>
                  </w:r>
                  <w:proofErr w:type="spellEnd"/>
                </w:p>
              </w:tc>
            </w:tr>
            <w:tr w:rsidR="000931AF" w:rsidRPr="001F38CA" w14:paraId="09DF9116" w14:textId="77777777" w:rsidTr="00A31B0F">
              <w:tc>
                <w:tcPr>
                  <w:tcW w:w="1435" w:type="dxa"/>
                  <w:shd w:val="clear" w:color="auto" w:fill="auto"/>
                </w:tcPr>
                <w:p w14:paraId="27E50C73" w14:textId="77777777" w:rsidR="000931AF" w:rsidRPr="00BB5CA6" w:rsidRDefault="000931AF" w:rsidP="00A31B0F">
                  <w:pPr>
                    <w:pStyle w:val="BodyText"/>
                    <w:spacing w:after="0"/>
                    <w:rPr>
                      <w:sz w:val="20"/>
                    </w:rPr>
                  </w:pPr>
                  <w:r w:rsidRPr="00BB5CA6">
                    <w:rPr>
                      <w:sz w:val="20"/>
                    </w:rPr>
                    <w:t xml:space="preserve">Monthly Bleeding Rate </w:t>
                  </w:r>
                </w:p>
              </w:tc>
              <w:tc>
                <w:tcPr>
                  <w:tcW w:w="1440" w:type="dxa"/>
                  <w:shd w:val="clear" w:color="auto" w:fill="auto"/>
                </w:tcPr>
                <w:p w14:paraId="191B5645" w14:textId="77777777" w:rsidR="000931AF" w:rsidRPr="00BB5CA6" w:rsidRDefault="000931AF" w:rsidP="00A31B0F">
                  <w:pPr>
                    <w:pStyle w:val="BodyText"/>
                    <w:spacing w:after="0"/>
                    <w:rPr>
                      <w:sz w:val="20"/>
                    </w:rPr>
                  </w:pPr>
                  <w:r w:rsidRPr="00BB5CA6">
                    <w:rPr>
                      <w:sz w:val="20"/>
                    </w:rPr>
                    <w:t>0.41</w:t>
                  </w:r>
                </w:p>
              </w:tc>
              <w:tc>
                <w:tcPr>
                  <w:tcW w:w="1440" w:type="dxa"/>
                </w:tcPr>
                <w:p w14:paraId="48C95B46" w14:textId="77777777" w:rsidR="000931AF" w:rsidRPr="00BB5CA6" w:rsidRDefault="000931AF" w:rsidP="00A31B0F">
                  <w:pPr>
                    <w:suppressAutoHyphens w:val="0"/>
                    <w:autoSpaceDE w:val="0"/>
                    <w:autoSpaceDN w:val="0"/>
                    <w:adjustRightInd w:val="0"/>
                    <w:jc w:val="center"/>
                    <w:rPr>
                      <w:color w:val="000000"/>
                      <w:sz w:val="20"/>
                      <w:lang w:val="en-US"/>
                    </w:rPr>
                  </w:pPr>
                  <w:r w:rsidRPr="00BB5CA6">
                    <w:rPr>
                      <w:color w:val="000000"/>
                      <w:sz w:val="20"/>
                      <w:lang w:val="en-US"/>
                    </w:rPr>
                    <w:t>0.54</w:t>
                  </w:r>
                </w:p>
              </w:tc>
              <w:tc>
                <w:tcPr>
                  <w:tcW w:w="1710" w:type="dxa"/>
                </w:tcPr>
                <w:p w14:paraId="6FBF6DD5" w14:textId="77777777" w:rsidR="000931AF" w:rsidRPr="00BB5CA6" w:rsidRDefault="000931AF" w:rsidP="00A31B0F">
                  <w:pPr>
                    <w:suppressAutoHyphens w:val="0"/>
                    <w:autoSpaceDE w:val="0"/>
                    <w:autoSpaceDN w:val="0"/>
                    <w:adjustRightInd w:val="0"/>
                    <w:jc w:val="center"/>
                    <w:rPr>
                      <w:color w:val="000000"/>
                      <w:sz w:val="20"/>
                      <w:lang w:val="en-US"/>
                    </w:rPr>
                  </w:pPr>
                  <w:r w:rsidRPr="00BB5CA6">
                    <w:rPr>
                      <w:color w:val="000000"/>
                      <w:sz w:val="20"/>
                      <w:lang w:val="en-US"/>
                    </w:rPr>
                    <w:t>0.44</w:t>
                  </w:r>
                </w:p>
              </w:tc>
              <w:tc>
                <w:tcPr>
                  <w:tcW w:w="1530" w:type="dxa"/>
                </w:tcPr>
                <w:p w14:paraId="1DE589AE" w14:textId="77777777" w:rsidR="000931AF" w:rsidRPr="00BB5CA6" w:rsidRDefault="000931AF" w:rsidP="00A31B0F">
                  <w:pPr>
                    <w:rPr>
                      <w:sz w:val="20"/>
                    </w:rPr>
                  </w:pPr>
                  <w:r w:rsidRPr="00BB5CA6">
                    <w:rPr>
                      <w:sz w:val="20"/>
                    </w:rPr>
                    <w:t>0.30</w:t>
                  </w:r>
                </w:p>
              </w:tc>
            </w:tr>
            <w:tr w:rsidR="000931AF" w:rsidRPr="001F38CA" w14:paraId="346F976D" w14:textId="77777777" w:rsidTr="00A31B0F">
              <w:tc>
                <w:tcPr>
                  <w:tcW w:w="1435" w:type="dxa"/>
                  <w:shd w:val="clear" w:color="auto" w:fill="auto"/>
                </w:tcPr>
                <w:p w14:paraId="60CDA74C" w14:textId="77777777" w:rsidR="000931AF" w:rsidRPr="00BB5CA6" w:rsidRDefault="000931AF" w:rsidP="00A31B0F">
                  <w:pPr>
                    <w:pStyle w:val="BodyText"/>
                    <w:spacing w:after="0"/>
                    <w:rPr>
                      <w:sz w:val="20"/>
                    </w:rPr>
                  </w:pPr>
                  <w:r w:rsidRPr="00BB5CA6">
                    <w:rPr>
                      <w:sz w:val="20"/>
                    </w:rPr>
                    <w:t>Annualised Bleeding Rate</w:t>
                  </w:r>
                </w:p>
              </w:tc>
              <w:tc>
                <w:tcPr>
                  <w:tcW w:w="1440" w:type="dxa"/>
                  <w:shd w:val="clear" w:color="auto" w:fill="auto"/>
                </w:tcPr>
                <w:p w14:paraId="4C97F230" w14:textId="77777777" w:rsidR="000931AF" w:rsidRPr="00BB5CA6" w:rsidRDefault="000931AF" w:rsidP="00A31B0F">
                  <w:pPr>
                    <w:pStyle w:val="BodyText"/>
                    <w:spacing w:after="0"/>
                    <w:rPr>
                      <w:sz w:val="20"/>
                    </w:rPr>
                  </w:pPr>
                  <w:r w:rsidRPr="00BB5CA6">
                    <w:rPr>
                      <w:sz w:val="20"/>
                    </w:rPr>
                    <w:t>4.89</w:t>
                  </w:r>
                  <w:r w:rsidRPr="00BB5CA6">
                    <w:rPr>
                      <w:sz w:val="20"/>
                      <w:vertAlign w:val="superscript"/>
                    </w:rPr>
                    <w:t>b</w:t>
                  </w:r>
                </w:p>
              </w:tc>
              <w:tc>
                <w:tcPr>
                  <w:tcW w:w="1440" w:type="dxa"/>
                </w:tcPr>
                <w:p w14:paraId="7C3304A2" w14:textId="77777777" w:rsidR="000931AF" w:rsidRPr="00BB5CA6" w:rsidRDefault="000931AF" w:rsidP="00A31B0F">
                  <w:pPr>
                    <w:suppressAutoHyphens w:val="0"/>
                    <w:autoSpaceDE w:val="0"/>
                    <w:autoSpaceDN w:val="0"/>
                    <w:adjustRightInd w:val="0"/>
                    <w:jc w:val="center"/>
                    <w:rPr>
                      <w:color w:val="000000"/>
                      <w:sz w:val="20"/>
                      <w:lang w:val="en-US"/>
                    </w:rPr>
                  </w:pPr>
                  <w:r w:rsidRPr="00BB5CA6">
                    <w:rPr>
                      <w:color w:val="000000"/>
                      <w:sz w:val="20"/>
                      <w:lang w:val="en-US"/>
                    </w:rPr>
                    <w:t>6.50</w:t>
                  </w:r>
                </w:p>
              </w:tc>
              <w:tc>
                <w:tcPr>
                  <w:tcW w:w="1710" w:type="dxa"/>
                </w:tcPr>
                <w:p w14:paraId="4C45BBF4" w14:textId="77777777" w:rsidR="000931AF" w:rsidRPr="00BB5CA6" w:rsidRDefault="000931AF" w:rsidP="00A31B0F">
                  <w:pPr>
                    <w:suppressAutoHyphens w:val="0"/>
                    <w:autoSpaceDE w:val="0"/>
                    <w:autoSpaceDN w:val="0"/>
                    <w:adjustRightInd w:val="0"/>
                    <w:jc w:val="center"/>
                    <w:rPr>
                      <w:color w:val="000000"/>
                      <w:sz w:val="20"/>
                      <w:lang w:val="en-US"/>
                    </w:rPr>
                  </w:pPr>
                  <w:r w:rsidRPr="00BB5CA6">
                    <w:rPr>
                      <w:color w:val="000000"/>
                      <w:sz w:val="20"/>
                      <w:lang w:val="en-US"/>
                    </w:rPr>
                    <w:t>5.33</w:t>
                  </w:r>
                </w:p>
              </w:tc>
              <w:tc>
                <w:tcPr>
                  <w:tcW w:w="1530" w:type="dxa"/>
                </w:tcPr>
                <w:p w14:paraId="2A485848" w14:textId="77777777" w:rsidR="000931AF" w:rsidRPr="00BB5CA6" w:rsidRDefault="000931AF" w:rsidP="00A31B0F">
                  <w:pPr>
                    <w:rPr>
                      <w:sz w:val="20"/>
                    </w:rPr>
                  </w:pPr>
                  <w:r w:rsidRPr="00BB5CA6">
                    <w:rPr>
                      <w:sz w:val="20"/>
                    </w:rPr>
                    <w:t>3.54</w:t>
                  </w:r>
                </w:p>
              </w:tc>
            </w:tr>
          </w:tbl>
          <w:p w14:paraId="3810FF33" w14:textId="77777777" w:rsidR="000931AF" w:rsidRPr="006153A6" w:rsidRDefault="000931AF" w:rsidP="00A31B0F">
            <w:pPr>
              <w:pStyle w:val="BodyText"/>
              <w:spacing w:after="0"/>
              <w:rPr>
                <w:sz w:val="20"/>
                <w:szCs w:val="20"/>
              </w:rPr>
            </w:pPr>
            <w:proofErr w:type="spellStart"/>
            <w:r w:rsidRPr="006153A6">
              <w:rPr>
                <w:sz w:val="20"/>
                <w:szCs w:val="20"/>
                <w:vertAlign w:val="superscript"/>
              </w:rPr>
              <w:t>a</w:t>
            </w:r>
            <w:proofErr w:type="spellEnd"/>
            <w:r w:rsidRPr="006153A6">
              <w:rPr>
                <w:sz w:val="20"/>
                <w:szCs w:val="20"/>
              </w:rPr>
              <w:t xml:space="preserve"> Extension part of pivotal trial and paediatric trial</w:t>
            </w:r>
          </w:p>
          <w:p w14:paraId="7F1B0FC1" w14:textId="4F953CC0" w:rsidR="000931AF" w:rsidRPr="002943B6" w:rsidRDefault="000931AF" w:rsidP="00A31B0F">
            <w:pPr>
              <w:pStyle w:val="BodyText"/>
              <w:spacing w:after="0"/>
            </w:pPr>
            <w:r w:rsidRPr="006153A6">
              <w:rPr>
                <w:sz w:val="20"/>
                <w:szCs w:val="20"/>
                <w:vertAlign w:val="superscript"/>
              </w:rPr>
              <w:t>b</w:t>
            </w:r>
            <w:r w:rsidRPr="006153A6">
              <w:rPr>
                <w:sz w:val="20"/>
                <w:szCs w:val="20"/>
              </w:rPr>
              <w:t xml:space="preserve"> </w:t>
            </w:r>
            <w:r w:rsidRPr="008218DC">
              <w:rPr>
                <w:sz w:val="20"/>
                <w:szCs w:val="20"/>
              </w:rPr>
              <w:t>Total duration of prevent</w:t>
            </w:r>
            <w:r w:rsidR="002A2A71">
              <w:rPr>
                <w:sz w:val="20"/>
                <w:szCs w:val="20"/>
              </w:rPr>
              <w:t>at</w:t>
            </w:r>
            <w:r w:rsidRPr="008218DC">
              <w:rPr>
                <w:sz w:val="20"/>
                <w:szCs w:val="20"/>
              </w:rPr>
              <w:t>ive treatment: 202.6 patient years</w:t>
            </w:r>
          </w:p>
          <w:p w14:paraId="4C386336" w14:textId="77777777" w:rsidR="000931AF" w:rsidRPr="002943B6" w:rsidRDefault="000931AF" w:rsidP="00A31B0F">
            <w:pPr>
              <w:pStyle w:val="BodyText"/>
              <w:spacing w:after="0"/>
              <w:rPr>
                <w:b/>
              </w:rPr>
            </w:pPr>
          </w:p>
          <w:p w14:paraId="2A42F173" w14:textId="196DF539" w:rsidR="000931AF" w:rsidRPr="002943B6" w:rsidRDefault="000931AF" w:rsidP="00DC5D9A">
            <w:pPr>
              <w:pStyle w:val="BodyText"/>
              <w:spacing w:after="0"/>
              <w:jc w:val="both"/>
            </w:pPr>
            <w:r>
              <w:t xml:space="preserve">The 3543 and 3568 phase 3 clinical </w:t>
            </w:r>
            <w:r w:rsidRPr="002943B6">
              <w:t>trials included surgery sub-trial</w:t>
            </w:r>
            <w:r>
              <w:t>s.</w:t>
            </w:r>
            <w:r w:rsidRPr="002943B6">
              <w:t xml:space="preserve"> </w:t>
            </w:r>
            <w:r>
              <w:t>Subjects</w:t>
            </w:r>
            <w:r w:rsidRPr="002943B6">
              <w:t xml:space="preserve"> </w:t>
            </w:r>
            <w:r>
              <w:t>needing</w:t>
            </w:r>
            <w:r w:rsidRPr="002943B6">
              <w:t xml:space="preserve"> to undergo a major or minor surgical procedure requiring at least 7 days</w:t>
            </w:r>
            <w:r>
              <w:t>’</w:t>
            </w:r>
            <w:r w:rsidRPr="002943B6">
              <w:t xml:space="preserve"> of daily factor VIII treatment, including the day of surgery</w:t>
            </w:r>
            <w:r>
              <w:t>, participated in these sub-trials</w:t>
            </w:r>
            <w:r w:rsidRPr="002943B6">
              <w:t xml:space="preserve">. A total of 11 surgeries were performed in 11 </w:t>
            </w:r>
            <w:r>
              <w:t>subjects</w:t>
            </w:r>
            <w:r w:rsidRPr="002943B6">
              <w:t xml:space="preserve"> of which </w:t>
            </w:r>
            <w:r w:rsidR="00F239BE">
              <w:t>9</w:t>
            </w:r>
            <w:r w:rsidR="00F239BE" w:rsidRPr="002943B6">
              <w:t xml:space="preserve"> </w:t>
            </w:r>
            <w:r w:rsidRPr="002943B6">
              <w:t xml:space="preserve">were major surgeries and </w:t>
            </w:r>
            <w:r w:rsidR="00CE3CA6">
              <w:t>2 were</w:t>
            </w:r>
            <w:r w:rsidRPr="002943B6">
              <w:t xml:space="preserve"> minor. Apart from 1 adolescent</w:t>
            </w:r>
            <w:r>
              <w:t>,</w:t>
            </w:r>
            <w:r w:rsidRPr="002943B6">
              <w:t xml:space="preserve"> all </w:t>
            </w:r>
            <w:r>
              <w:t xml:space="preserve">of </w:t>
            </w:r>
            <w:r w:rsidRPr="002943B6">
              <w:t xml:space="preserve">the </w:t>
            </w:r>
            <w:r>
              <w:t>subjects</w:t>
            </w:r>
            <w:r w:rsidRPr="002943B6">
              <w:t xml:space="preserve"> undergoing surgery were adults. Haemostasis was successful in all surgeries and no treat</w:t>
            </w:r>
            <w:r w:rsidR="003F0BF6">
              <w:t>ment failures were reported.</w:t>
            </w:r>
          </w:p>
          <w:p w14:paraId="653592A8" w14:textId="77777777" w:rsidR="000931AF" w:rsidRPr="003F0BF6" w:rsidRDefault="000931AF" w:rsidP="00A31B0F">
            <w:pPr>
              <w:pStyle w:val="BodyText"/>
              <w:spacing w:after="0"/>
              <w:rPr>
                <w:b/>
                <w:sz w:val="18"/>
                <w:szCs w:val="18"/>
              </w:rPr>
            </w:pPr>
          </w:p>
          <w:p w14:paraId="5348149E" w14:textId="77777777" w:rsidR="000931AF" w:rsidRPr="002943B6" w:rsidRDefault="000931AF" w:rsidP="00A31B0F">
            <w:pPr>
              <w:pStyle w:val="BodyText"/>
              <w:spacing w:after="0"/>
              <w:rPr>
                <w:b/>
              </w:rPr>
            </w:pPr>
            <w:r w:rsidRPr="002943B6">
              <w:rPr>
                <w:b/>
              </w:rPr>
              <w:t xml:space="preserve">Table </w:t>
            </w:r>
            <w:r>
              <w:rPr>
                <w:b/>
              </w:rPr>
              <w:t>6</w:t>
            </w:r>
            <w:r w:rsidRPr="002943B6">
              <w:rPr>
                <w:b/>
              </w:rPr>
              <w:t xml:space="preserve"> Surgical procedures</w:t>
            </w: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20"/>
              <w:gridCol w:w="1074"/>
              <w:gridCol w:w="2442"/>
              <w:gridCol w:w="1854"/>
            </w:tblGrid>
            <w:tr w:rsidR="000931AF" w:rsidRPr="001F38CA" w14:paraId="5D7A65BF" w14:textId="77777777" w:rsidTr="00A31B0F">
              <w:tc>
                <w:tcPr>
                  <w:tcW w:w="1910" w:type="pct"/>
                  <w:shd w:val="clear" w:color="auto" w:fill="auto"/>
                </w:tcPr>
                <w:p w14:paraId="0F4BC638" w14:textId="77777777" w:rsidR="000931AF" w:rsidRPr="00BB5CA6" w:rsidRDefault="000931AF" w:rsidP="00A31B0F">
                  <w:pPr>
                    <w:pStyle w:val="BodyText"/>
                    <w:spacing w:after="0"/>
                    <w:rPr>
                      <w:b/>
                      <w:sz w:val="20"/>
                    </w:rPr>
                  </w:pPr>
                  <w:r w:rsidRPr="00BB5CA6">
                    <w:rPr>
                      <w:b/>
                      <w:sz w:val="20"/>
                    </w:rPr>
                    <w:t>Description of surgery</w:t>
                  </w:r>
                </w:p>
              </w:tc>
              <w:tc>
                <w:tcPr>
                  <w:tcW w:w="618" w:type="pct"/>
                  <w:shd w:val="clear" w:color="auto" w:fill="auto"/>
                </w:tcPr>
                <w:p w14:paraId="69001D7F" w14:textId="77777777" w:rsidR="000931AF" w:rsidRPr="00BB5CA6" w:rsidRDefault="000931AF" w:rsidP="00A31B0F">
                  <w:pPr>
                    <w:pStyle w:val="BodyText"/>
                    <w:spacing w:after="0"/>
                    <w:rPr>
                      <w:b/>
                      <w:sz w:val="20"/>
                    </w:rPr>
                  </w:pPr>
                  <w:r w:rsidRPr="00BB5CA6">
                    <w:rPr>
                      <w:b/>
                      <w:sz w:val="20"/>
                    </w:rPr>
                    <w:t>Type</w:t>
                  </w:r>
                </w:p>
              </w:tc>
              <w:tc>
                <w:tcPr>
                  <w:tcW w:w="1405" w:type="pct"/>
                  <w:shd w:val="clear" w:color="auto" w:fill="auto"/>
                </w:tcPr>
                <w:p w14:paraId="44787218" w14:textId="77777777" w:rsidR="000931AF" w:rsidRPr="00BB5CA6" w:rsidRDefault="000931AF" w:rsidP="00A31B0F">
                  <w:pPr>
                    <w:pStyle w:val="BodyText"/>
                    <w:spacing w:after="0"/>
                    <w:rPr>
                      <w:b/>
                      <w:sz w:val="20"/>
                    </w:rPr>
                  </w:pPr>
                  <w:r w:rsidRPr="00BB5CA6">
                    <w:rPr>
                      <w:b/>
                      <w:sz w:val="20"/>
                    </w:rPr>
                    <w:t xml:space="preserve">Haemostatic response </w:t>
                  </w:r>
                  <w:r w:rsidRPr="00BB5CA6">
                    <w:rPr>
                      <w:b/>
                      <w:sz w:val="20"/>
                      <w:vertAlign w:val="superscript"/>
                    </w:rPr>
                    <w:t>a</w:t>
                  </w:r>
                  <w:r w:rsidRPr="00BB5CA6">
                    <w:rPr>
                      <w:b/>
                      <w:sz w:val="20"/>
                    </w:rPr>
                    <w:t xml:space="preserve"> </w:t>
                  </w:r>
                </w:p>
              </w:tc>
              <w:tc>
                <w:tcPr>
                  <w:tcW w:w="1067" w:type="pct"/>
                  <w:shd w:val="clear" w:color="auto" w:fill="auto"/>
                </w:tcPr>
                <w:p w14:paraId="5BBDDE34" w14:textId="77777777" w:rsidR="000931AF" w:rsidRPr="00BB5CA6" w:rsidRDefault="000931AF" w:rsidP="00A31B0F">
                  <w:pPr>
                    <w:pStyle w:val="BodyText"/>
                    <w:spacing w:after="0"/>
                    <w:rPr>
                      <w:b/>
                      <w:sz w:val="20"/>
                    </w:rPr>
                  </w:pPr>
                  <w:r w:rsidRPr="00BB5CA6">
                    <w:rPr>
                      <w:b/>
                      <w:sz w:val="20"/>
                    </w:rPr>
                    <w:t xml:space="preserve">Exposure Days </w:t>
                  </w:r>
                  <w:r w:rsidRPr="00BB5CA6">
                    <w:rPr>
                      <w:b/>
                      <w:sz w:val="20"/>
                      <w:vertAlign w:val="superscript"/>
                    </w:rPr>
                    <w:t>b</w:t>
                  </w:r>
                </w:p>
                <w:p w14:paraId="1E0268C7" w14:textId="77777777" w:rsidR="000931AF" w:rsidRPr="00BB5CA6" w:rsidRDefault="000931AF" w:rsidP="00A31B0F">
                  <w:pPr>
                    <w:pStyle w:val="BodyText"/>
                    <w:spacing w:after="0"/>
                    <w:rPr>
                      <w:b/>
                      <w:sz w:val="20"/>
                    </w:rPr>
                  </w:pPr>
                </w:p>
              </w:tc>
            </w:tr>
            <w:tr w:rsidR="000931AF" w:rsidRPr="001F38CA" w14:paraId="196C4272" w14:textId="77777777" w:rsidTr="00A31B0F">
              <w:tc>
                <w:tcPr>
                  <w:tcW w:w="1910" w:type="pct"/>
                  <w:shd w:val="clear" w:color="auto" w:fill="auto"/>
                </w:tcPr>
                <w:p w14:paraId="3B9E26DB" w14:textId="77777777" w:rsidR="000931AF" w:rsidRPr="00BB5CA6" w:rsidRDefault="000931AF" w:rsidP="00A31B0F">
                  <w:pPr>
                    <w:pStyle w:val="BodyText"/>
                    <w:spacing w:after="0"/>
                    <w:rPr>
                      <w:sz w:val="20"/>
                    </w:rPr>
                  </w:pPr>
                  <w:r w:rsidRPr="00BB5CA6">
                    <w:rPr>
                      <w:sz w:val="20"/>
                    </w:rPr>
                    <w:t>Left knee replacement</w:t>
                  </w:r>
                </w:p>
              </w:tc>
              <w:tc>
                <w:tcPr>
                  <w:tcW w:w="618" w:type="pct"/>
                  <w:shd w:val="clear" w:color="auto" w:fill="auto"/>
                </w:tcPr>
                <w:p w14:paraId="3D456A90"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2B15E956"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02A5459D" w14:textId="77777777" w:rsidR="000931AF" w:rsidRPr="00BB5CA6" w:rsidRDefault="000931AF" w:rsidP="00A31B0F">
                  <w:pPr>
                    <w:pStyle w:val="BodyText"/>
                    <w:spacing w:after="0"/>
                    <w:rPr>
                      <w:sz w:val="20"/>
                    </w:rPr>
                  </w:pPr>
                  <w:r w:rsidRPr="00BB5CA6">
                    <w:rPr>
                      <w:sz w:val="20"/>
                    </w:rPr>
                    <w:t>27</w:t>
                  </w:r>
                </w:p>
              </w:tc>
            </w:tr>
            <w:tr w:rsidR="000931AF" w:rsidRPr="001F38CA" w14:paraId="404A9FDA" w14:textId="77777777" w:rsidTr="00A31B0F">
              <w:tc>
                <w:tcPr>
                  <w:tcW w:w="1910" w:type="pct"/>
                  <w:shd w:val="clear" w:color="auto" w:fill="auto"/>
                </w:tcPr>
                <w:p w14:paraId="693DE1E9" w14:textId="77777777" w:rsidR="000931AF" w:rsidRPr="00BB5CA6" w:rsidRDefault="000931AF" w:rsidP="00A31B0F">
                  <w:pPr>
                    <w:pStyle w:val="BodyText"/>
                    <w:spacing w:after="0"/>
                    <w:rPr>
                      <w:sz w:val="20"/>
                    </w:rPr>
                  </w:pPr>
                  <w:r w:rsidRPr="00BB5CA6">
                    <w:rPr>
                      <w:sz w:val="20"/>
                    </w:rPr>
                    <w:t xml:space="preserve">Arthroscopy and </w:t>
                  </w:r>
                  <w:proofErr w:type="spellStart"/>
                  <w:r w:rsidRPr="00BB5CA6">
                    <w:rPr>
                      <w:sz w:val="20"/>
                    </w:rPr>
                    <w:t>synovectomy</w:t>
                  </w:r>
                  <w:proofErr w:type="spellEnd"/>
                  <w:r w:rsidRPr="00BB5CA6">
                    <w:rPr>
                      <w:sz w:val="20"/>
                    </w:rPr>
                    <w:t xml:space="preserve">, partial </w:t>
                  </w:r>
                  <w:proofErr w:type="spellStart"/>
                  <w:r w:rsidRPr="00BB5CA6">
                    <w:rPr>
                      <w:sz w:val="20"/>
                    </w:rPr>
                    <w:t>meniscectomy</w:t>
                  </w:r>
                  <w:proofErr w:type="spellEnd"/>
                </w:p>
              </w:tc>
              <w:tc>
                <w:tcPr>
                  <w:tcW w:w="618" w:type="pct"/>
                  <w:shd w:val="clear" w:color="auto" w:fill="auto"/>
                </w:tcPr>
                <w:p w14:paraId="061097F7"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45A29CEC" w14:textId="77777777" w:rsidR="000931AF" w:rsidRPr="00BB5CA6" w:rsidRDefault="000931AF" w:rsidP="00A31B0F">
                  <w:pPr>
                    <w:pStyle w:val="BodyText"/>
                    <w:spacing w:after="0"/>
                    <w:rPr>
                      <w:sz w:val="20"/>
                    </w:rPr>
                  </w:pPr>
                  <w:r w:rsidRPr="00BB5CA6">
                    <w:rPr>
                      <w:sz w:val="20"/>
                    </w:rPr>
                    <w:t>Good</w:t>
                  </w:r>
                </w:p>
              </w:tc>
              <w:tc>
                <w:tcPr>
                  <w:tcW w:w="1067" w:type="pct"/>
                  <w:shd w:val="clear" w:color="auto" w:fill="auto"/>
                </w:tcPr>
                <w:p w14:paraId="0A6ADA70" w14:textId="77777777" w:rsidR="000931AF" w:rsidRPr="00BB5CA6" w:rsidRDefault="000931AF" w:rsidP="00A31B0F">
                  <w:pPr>
                    <w:pStyle w:val="BodyText"/>
                    <w:spacing w:after="0"/>
                    <w:rPr>
                      <w:sz w:val="20"/>
                    </w:rPr>
                  </w:pPr>
                  <w:r w:rsidRPr="00BB5CA6">
                    <w:rPr>
                      <w:sz w:val="20"/>
                    </w:rPr>
                    <w:t>154</w:t>
                  </w:r>
                </w:p>
              </w:tc>
            </w:tr>
            <w:tr w:rsidR="000931AF" w:rsidRPr="001F38CA" w14:paraId="40A8FEB4" w14:textId="77777777" w:rsidTr="00A31B0F">
              <w:tc>
                <w:tcPr>
                  <w:tcW w:w="1910" w:type="pct"/>
                  <w:shd w:val="clear" w:color="auto" w:fill="auto"/>
                </w:tcPr>
                <w:p w14:paraId="09E34BA2" w14:textId="77777777" w:rsidR="000931AF" w:rsidRPr="00BB5CA6" w:rsidRDefault="000931AF" w:rsidP="00A31B0F">
                  <w:pPr>
                    <w:pStyle w:val="BodyText"/>
                    <w:spacing w:after="0"/>
                    <w:rPr>
                      <w:sz w:val="20"/>
                    </w:rPr>
                  </w:pPr>
                  <w:r w:rsidRPr="00BB5CA6">
                    <w:rPr>
                      <w:sz w:val="20"/>
                    </w:rPr>
                    <w:t>Surgical extraction of tooth 48 and radix of tooth 12</w:t>
                  </w:r>
                </w:p>
              </w:tc>
              <w:tc>
                <w:tcPr>
                  <w:tcW w:w="618" w:type="pct"/>
                  <w:shd w:val="clear" w:color="auto" w:fill="auto"/>
                </w:tcPr>
                <w:p w14:paraId="6FD94CBB" w14:textId="77777777" w:rsidR="000931AF" w:rsidRPr="00BB5CA6" w:rsidRDefault="000931AF" w:rsidP="00A31B0F">
                  <w:pPr>
                    <w:pStyle w:val="BodyText"/>
                    <w:spacing w:after="0"/>
                    <w:rPr>
                      <w:sz w:val="20"/>
                    </w:rPr>
                  </w:pPr>
                  <w:r w:rsidRPr="00BB5CA6">
                    <w:rPr>
                      <w:sz w:val="20"/>
                    </w:rPr>
                    <w:t>Minor</w:t>
                  </w:r>
                </w:p>
              </w:tc>
              <w:tc>
                <w:tcPr>
                  <w:tcW w:w="1405" w:type="pct"/>
                  <w:shd w:val="clear" w:color="auto" w:fill="auto"/>
                </w:tcPr>
                <w:p w14:paraId="7E619BB0"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019EB596" w14:textId="77777777" w:rsidR="000931AF" w:rsidRPr="00BB5CA6" w:rsidRDefault="000931AF" w:rsidP="00A31B0F">
                  <w:pPr>
                    <w:pStyle w:val="BodyText"/>
                    <w:spacing w:after="0"/>
                    <w:rPr>
                      <w:sz w:val="20"/>
                    </w:rPr>
                  </w:pPr>
                  <w:r w:rsidRPr="00BB5CA6">
                    <w:rPr>
                      <w:sz w:val="20"/>
                    </w:rPr>
                    <w:t>141</w:t>
                  </w:r>
                </w:p>
              </w:tc>
            </w:tr>
            <w:tr w:rsidR="000931AF" w:rsidRPr="001F38CA" w14:paraId="0A5101D9" w14:textId="77777777" w:rsidTr="00A31B0F">
              <w:tc>
                <w:tcPr>
                  <w:tcW w:w="1910" w:type="pct"/>
                  <w:shd w:val="clear" w:color="auto" w:fill="auto"/>
                </w:tcPr>
                <w:p w14:paraId="2E40169C" w14:textId="77777777" w:rsidR="000931AF" w:rsidRPr="00BB5CA6" w:rsidRDefault="000931AF" w:rsidP="00A31B0F">
                  <w:pPr>
                    <w:pStyle w:val="BodyText"/>
                    <w:spacing w:after="0"/>
                    <w:rPr>
                      <w:sz w:val="20"/>
                    </w:rPr>
                  </w:pPr>
                  <w:r w:rsidRPr="00BB5CA6">
                    <w:rPr>
                      <w:sz w:val="20"/>
                    </w:rPr>
                    <w:t xml:space="preserve">Right knee </w:t>
                  </w:r>
                  <w:proofErr w:type="spellStart"/>
                  <w:r w:rsidRPr="00BB5CA6">
                    <w:rPr>
                      <w:sz w:val="20"/>
                    </w:rPr>
                    <w:t>synovectomy</w:t>
                  </w:r>
                  <w:proofErr w:type="spellEnd"/>
                  <w:r w:rsidRPr="00BB5CA6">
                    <w:rPr>
                      <w:sz w:val="20"/>
                    </w:rPr>
                    <w:t xml:space="preserve"> with extirpation of </w:t>
                  </w:r>
                  <w:proofErr w:type="spellStart"/>
                  <w:r w:rsidRPr="00BB5CA6">
                    <w:rPr>
                      <w:sz w:val="20"/>
                    </w:rPr>
                    <w:t>ostheosynthetic</w:t>
                  </w:r>
                  <w:proofErr w:type="spellEnd"/>
                  <w:r w:rsidRPr="00BB5CA6">
                    <w:rPr>
                      <w:sz w:val="20"/>
                    </w:rPr>
                    <w:t xml:space="preserve"> graft</w:t>
                  </w:r>
                </w:p>
              </w:tc>
              <w:tc>
                <w:tcPr>
                  <w:tcW w:w="618" w:type="pct"/>
                  <w:shd w:val="clear" w:color="auto" w:fill="auto"/>
                </w:tcPr>
                <w:p w14:paraId="6BB02E18"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60E53D3C" w14:textId="77777777" w:rsidR="000931AF" w:rsidRPr="00BB5CA6" w:rsidRDefault="000931AF" w:rsidP="00A31B0F">
                  <w:pPr>
                    <w:pStyle w:val="BodyText"/>
                    <w:spacing w:after="0"/>
                    <w:rPr>
                      <w:sz w:val="20"/>
                    </w:rPr>
                  </w:pPr>
                  <w:r w:rsidRPr="00BB5CA6">
                    <w:rPr>
                      <w:sz w:val="20"/>
                    </w:rPr>
                    <w:t>Good</w:t>
                  </w:r>
                </w:p>
              </w:tc>
              <w:tc>
                <w:tcPr>
                  <w:tcW w:w="1067" w:type="pct"/>
                  <w:shd w:val="clear" w:color="auto" w:fill="auto"/>
                </w:tcPr>
                <w:p w14:paraId="556B2400" w14:textId="77777777" w:rsidR="000931AF" w:rsidRPr="00BB5CA6" w:rsidRDefault="000931AF" w:rsidP="00A31B0F">
                  <w:pPr>
                    <w:pStyle w:val="BodyText"/>
                    <w:spacing w:after="0"/>
                    <w:rPr>
                      <w:sz w:val="20"/>
                    </w:rPr>
                  </w:pPr>
                  <w:r w:rsidRPr="00BB5CA6">
                    <w:rPr>
                      <w:sz w:val="20"/>
                    </w:rPr>
                    <w:t>83</w:t>
                  </w:r>
                </w:p>
              </w:tc>
            </w:tr>
            <w:tr w:rsidR="000931AF" w:rsidRPr="001F38CA" w14:paraId="1ABBD112" w14:textId="77777777" w:rsidTr="00A31B0F">
              <w:tc>
                <w:tcPr>
                  <w:tcW w:w="1910" w:type="pct"/>
                  <w:shd w:val="clear" w:color="auto" w:fill="auto"/>
                </w:tcPr>
                <w:p w14:paraId="60C0A03F" w14:textId="77777777" w:rsidR="000931AF" w:rsidRPr="00BB5CA6" w:rsidRDefault="000931AF" w:rsidP="00A31B0F">
                  <w:pPr>
                    <w:pStyle w:val="BodyText"/>
                    <w:spacing w:after="0"/>
                    <w:rPr>
                      <w:sz w:val="20"/>
                    </w:rPr>
                  </w:pPr>
                  <w:r w:rsidRPr="00BB5CA6">
                    <w:rPr>
                      <w:sz w:val="20"/>
                    </w:rPr>
                    <w:t>Circumcision</w:t>
                  </w:r>
                </w:p>
              </w:tc>
              <w:tc>
                <w:tcPr>
                  <w:tcW w:w="618" w:type="pct"/>
                  <w:shd w:val="clear" w:color="auto" w:fill="auto"/>
                </w:tcPr>
                <w:p w14:paraId="58D0767D" w14:textId="4E4468F4" w:rsidR="000931AF" w:rsidRPr="00BB5CA6" w:rsidRDefault="00CE3CA6" w:rsidP="00A31B0F">
                  <w:pPr>
                    <w:pStyle w:val="BodyText"/>
                    <w:spacing w:after="0"/>
                    <w:rPr>
                      <w:sz w:val="20"/>
                    </w:rPr>
                  </w:pPr>
                  <w:r>
                    <w:rPr>
                      <w:sz w:val="20"/>
                      <w:szCs w:val="20"/>
                    </w:rPr>
                    <w:t>Minor</w:t>
                  </w:r>
                </w:p>
              </w:tc>
              <w:tc>
                <w:tcPr>
                  <w:tcW w:w="1405" w:type="pct"/>
                  <w:shd w:val="clear" w:color="auto" w:fill="auto"/>
                </w:tcPr>
                <w:p w14:paraId="505E7EF0"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54389BBF" w14:textId="77777777" w:rsidR="000931AF" w:rsidRPr="00BB5CA6" w:rsidRDefault="000931AF" w:rsidP="00A31B0F">
                  <w:pPr>
                    <w:pStyle w:val="BodyText"/>
                    <w:spacing w:after="0"/>
                    <w:rPr>
                      <w:sz w:val="20"/>
                    </w:rPr>
                  </w:pPr>
                  <w:r w:rsidRPr="00BB5CA6">
                    <w:rPr>
                      <w:sz w:val="20"/>
                    </w:rPr>
                    <w:t>106</w:t>
                  </w:r>
                </w:p>
              </w:tc>
            </w:tr>
            <w:tr w:rsidR="000931AF" w:rsidRPr="001F38CA" w14:paraId="34CDC1A9" w14:textId="77777777" w:rsidTr="00A31B0F">
              <w:tc>
                <w:tcPr>
                  <w:tcW w:w="1910" w:type="pct"/>
                  <w:shd w:val="clear" w:color="auto" w:fill="auto"/>
                </w:tcPr>
                <w:p w14:paraId="32505B7C" w14:textId="77777777" w:rsidR="000931AF" w:rsidRPr="00BB5CA6" w:rsidRDefault="000931AF" w:rsidP="00A31B0F">
                  <w:pPr>
                    <w:pStyle w:val="BodyText"/>
                    <w:spacing w:after="0"/>
                    <w:rPr>
                      <w:sz w:val="20"/>
                    </w:rPr>
                  </w:pPr>
                  <w:r w:rsidRPr="00BB5CA6">
                    <w:rPr>
                      <w:sz w:val="20"/>
                    </w:rPr>
                    <w:t xml:space="preserve">Left total hip </w:t>
                  </w:r>
                  <w:proofErr w:type="spellStart"/>
                  <w:r w:rsidRPr="00BB5CA6">
                    <w:rPr>
                      <w:sz w:val="20"/>
                    </w:rPr>
                    <w:t>arthroplasty</w:t>
                  </w:r>
                  <w:proofErr w:type="spellEnd"/>
                </w:p>
              </w:tc>
              <w:tc>
                <w:tcPr>
                  <w:tcW w:w="618" w:type="pct"/>
                  <w:shd w:val="clear" w:color="auto" w:fill="auto"/>
                </w:tcPr>
                <w:p w14:paraId="4FD26383"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55406CA9"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23956198" w14:textId="77777777" w:rsidR="000931AF" w:rsidRPr="00BB5CA6" w:rsidRDefault="000931AF" w:rsidP="00A31B0F">
                  <w:pPr>
                    <w:pStyle w:val="BodyText"/>
                    <w:spacing w:after="0"/>
                    <w:rPr>
                      <w:sz w:val="20"/>
                    </w:rPr>
                  </w:pPr>
                  <w:r w:rsidRPr="00BB5CA6">
                    <w:rPr>
                      <w:sz w:val="20"/>
                    </w:rPr>
                    <w:t>38</w:t>
                  </w:r>
                </w:p>
              </w:tc>
            </w:tr>
            <w:tr w:rsidR="000931AF" w:rsidRPr="001F38CA" w14:paraId="7CD55F38" w14:textId="77777777" w:rsidTr="00A31B0F">
              <w:tc>
                <w:tcPr>
                  <w:tcW w:w="1910" w:type="pct"/>
                  <w:shd w:val="clear" w:color="auto" w:fill="auto"/>
                </w:tcPr>
                <w:p w14:paraId="548B4822" w14:textId="77777777" w:rsidR="000931AF" w:rsidRPr="00BB5CA6" w:rsidRDefault="000931AF" w:rsidP="00A31B0F">
                  <w:pPr>
                    <w:pStyle w:val="BodyText"/>
                    <w:spacing w:after="0"/>
                    <w:rPr>
                      <w:sz w:val="20"/>
                    </w:rPr>
                  </w:pPr>
                  <w:r w:rsidRPr="00BB5CA6">
                    <w:rPr>
                      <w:sz w:val="20"/>
                    </w:rPr>
                    <w:t xml:space="preserve">Right ankle </w:t>
                  </w:r>
                  <w:proofErr w:type="spellStart"/>
                  <w:r w:rsidRPr="00BB5CA6">
                    <w:rPr>
                      <w:sz w:val="20"/>
                    </w:rPr>
                    <w:t>synovectomy</w:t>
                  </w:r>
                  <w:proofErr w:type="spellEnd"/>
                  <w:r w:rsidRPr="00BB5CA6">
                    <w:rPr>
                      <w:sz w:val="20"/>
                    </w:rPr>
                    <w:t xml:space="preserve"> </w:t>
                  </w:r>
                </w:p>
              </w:tc>
              <w:tc>
                <w:tcPr>
                  <w:tcW w:w="618" w:type="pct"/>
                  <w:shd w:val="clear" w:color="auto" w:fill="auto"/>
                </w:tcPr>
                <w:p w14:paraId="7E5B3516"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0C108D0C"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71FFC92B" w14:textId="77777777" w:rsidR="000931AF" w:rsidRPr="00BB5CA6" w:rsidRDefault="000931AF" w:rsidP="00A31B0F">
                  <w:pPr>
                    <w:pStyle w:val="BodyText"/>
                    <w:spacing w:after="0"/>
                    <w:rPr>
                      <w:sz w:val="20"/>
                    </w:rPr>
                  </w:pPr>
                  <w:r w:rsidRPr="00BB5CA6">
                    <w:rPr>
                      <w:sz w:val="20"/>
                    </w:rPr>
                    <w:t>16</w:t>
                  </w:r>
                </w:p>
              </w:tc>
            </w:tr>
            <w:tr w:rsidR="000931AF" w:rsidRPr="001F38CA" w14:paraId="761FE704" w14:textId="77777777" w:rsidTr="00A31B0F">
              <w:tc>
                <w:tcPr>
                  <w:tcW w:w="1910" w:type="pct"/>
                  <w:shd w:val="clear" w:color="auto" w:fill="auto"/>
                </w:tcPr>
                <w:p w14:paraId="20B2D710" w14:textId="77777777" w:rsidR="000931AF" w:rsidRPr="00BB5CA6" w:rsidRDefault="000931AF" w:rsidP="00A31B0F">
                  <w:pPr>
                    <w:pStyle w:val="BodyText"/>
                    <w:spacing w:after="0"/>
                    <w:rPr>
                      <w:sz w:val="20"/>
                    </w:rPr>
                  </w:pPr>
                  <w:r w:rsidRPr="00BB5CA6">
                    <w:rPr>
                      <w:sz w:val="20"/>
                    </w:rPr>
                    <w:t xml:space="preserve">Right ankle </w:t>
                  </w:r>
                  <w:proofErr w:type="spellStart"/>
                  <w:r w:rsidRPr="00BB5CA6">
                    <w:rPr>
                      <w:sz w:val="20"/>
                    </w:rPr>
                    <w:t>synovectomy</w:t>
                  </w:r>
                  <w:proofErr w:type="spellEnd"/>
                </w:p>
              </w:tc>
              <w:tc>
                <w:tcPr>
                  <w:tcW w:w="618" w:type="pct"/>
                  <w:shd w:val="clear" w:color="auto" w:fill="auto"/>
                </w:tcPr>
                <w:p w14:paraId="07F15410"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503295B8"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3FA69E9E" w14:textId="77777777" w:rsidR="000931AF" w:rsidRPr="00BB5CA6" w:rsidRDefault="000931AF" w:rsidP="00A31B0F">
                  <w:pPr>
                    <w:pStyle w:val="BodyText"/>
                    <w:spacing w:after="0"/>
                    <w:rPr>
                      <w:sz w:val="20"/>
                    </w:rPr>
                  </w:pPr>
                  <w:r w:rsidRPr="00BB5CA6">
                    <w:rPr>
                      <w:sz w:val="20"/>
                    </w:rPr>
                    <w:t>9</w:t>
                  </w:r>
                </w:p>
              </w:tc>
            </w:tr>
            <w:tr w:rsidR="000931AF" w:rsidRPr="001F38CA" w14:paraId="71BE0171" w14:textId="77777777" w:rsidTr="00A31B0F">
              <w:tc>
                <w:tcPr>
                  <w:tcW w:w="1910" w:type="pct"/>
                  <w:shd w:val="clear" w:color="auto" w:fill="auto"/>
                </w:tcPr>
                <w:p w14:paraId="40EE7991" w14:textId="77777777" w:rsidR="000931AF" w:rsidRPr="00BB5CA6" w:rsidRDefault="000931AF" w:rsidP="00A31B0F">
                  <w:pPr>
                    <w:pStyle w:val="BodyText"/>
                    <w:spacing w:after="0"/>
                    <w:rPr>
                      <w:sz w:val="20"/>
                    </w:rPr>
                  </w:pPr>
                  <w:r w:rsidRPr="00BB5CA6">
                    <w:rPr>
                      <w:sz w:val="20"/>
                    </w:rPr>
                    <w:t xml:space="preserve">Right ankle </w:t>
                  </w:r>
                  <w:proofErr w:type="spellStart"/>
                  <w:r w:rsidRPr="00BB5CA6">
                    <w:rPr>
                      <w:sz w:val="20"/>
                    </w:rPr>
                    <w:t>synovectomy</w:t>
                  </w:r>
                  <w:proofErr w:type="spellEnd"/>
                </w:p>
              </w:tc>
              <w:tc>
                <w:tcPr>
                  <w:tcW w:w="618" w:type="pct"/>
                  <w:shd w:val="clear" w:color="auto" w:fill="auto"/>
                </w:tcPr>
                <w:p w14:paraId="17BA85EC"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69B064D5"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2F191EC4" w14:textId="77777777" w:rsidR="000931AF" w:rsidRPr="00BB5CA6" w:rsidRDefault="000931AF" w:rsidP="00A31B0F">
                  <w:pPr>
                    <w:pStyle w:val="BodyText"/>
                    <w:spacing w:after="0"/>
                    <w:rPr>
                      <w:sz w:val="20"/>
                    </w:rPr>
                  </w:pPr>
                  <w:r w:rsidRPr="00BB5CA6">
                    <w:rPr>
                      <w:sz w:val="20"/>
                    </w:rPr>
                    <w:t>65</w:t>
                  </w:r>
                </w:p>
              </w:tc>
            </w:tr>
            <w:tr w:rsidR="000931AF" w:rsidRPr="001F38CA" w14:paraId="7B27DA58" w14:textId="77777777" w:rsidTr="00A31B0F">
              <w:tc>
                <w:tcPr>
                  <w:tcW w:w="1910" w:type="pct"/>
                  <w:shd w:val="clear" w:color="auto" w:fill="auto"/>
                </w:tcPr>
                <w:p w14:paraId="214A4DC1" w14:textId="77777777" w:rsidR="000931AF" w:rsidRPr="00BB5CA6" w:rsidRDefault="000931AF" w:rsidP="00A31B0F">
                  <w:pPr>
                    <w:pStyle w:val="BodyText"/>
                    <w:spacing w:after="0"/>
                    <w:rPr>
                      <w:sz w:val="20"/>
                    </w:rPr>
                  </w:pPr>
                  <w:r w:rsidRPr="00BB5CA6">
                    <w:rPr>
                      <w:sz w:val="20"/>
                    </w:rPr>
                    <w:t>Arthroscopy of left ankle</w:t>
                  </w:r>
                </w:p>
              </w:tc>
              <w:tc>
                <w:tcPr>
                  <w:tcW w:w="618" w:type="pct"/>
                  <w:shd w:val="clear" w:color="auto" w:fill="auto"/>
                </w:tcPr>
                <w:p w14:paraId="3A95A8C6"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1A788E98" w14:textId="77777777" w:rsidR="000931AF" w:rsidRPr="00BB5CA6" w:rsidRDefault="000931AF" w:rsidP="00A31B0F">
                  <w:pPr>
                    <w:pStyle w:val="BodyText"/>
                    <w:spacing w:after="0"/>
                    <w:rPr>
                      <w:sz w:val="20"/>
                    </w:rPr>
                  </w:pPr>
                  <w:r w:rsidRPr="00BB5CA6">
                    <w:rPr>
                      <w:sz w:val="20"/>
                    </w:rPr>
                    <w:t>Excellent</w:t>
                  </w:r>
                </w:p>
              </w:tc>
              <w:tc>
                <w:tcPr>
                  <w:tcW w:w="1067" w:type="pct"/>
                  <w:shd w:val="clear" w:color="auto" w:fill="auto"/>
                </w:tcPr>
                <w:p w14:paraId="1E032ED1" w14:textId="77777777" w:rsidR="000931AF" w:rsidRPr="00BB5CA6" w:rsidRDefault="000931AF" w:rsidP="00A31B0F">
                  <w:pPr>
                    <w:pStyle w:val="BodyText"/>
                    <w:spacing w:after="0"/>
                    <w:rPr>
                      <w:sz w:val="20"/>
                    </w:rPr>
                  </w:pPr>
                  <w:r w:rsidRPr="00BB5CA6">
                    <w:rPr>
                      <w:sz w:val="20"/>
                    </w:rPr>
                    <w:t>421</w:t>
                  </w:r>
                </w:p>
              </w:tc>
            </w:tr>
            <w:tr w:rsidR="000931AF" w:rsidRPr="001F38CA" w14:paraId="660C57EC" w14:textId="77777777" w:rsidTr="00A31B0F">
              <w:trPr>
                <w:trHeight w:val="559"/>
              </w:trPr>
              <w:tc>
                <w:tcPr>
                  <w:tcW w:w="1910" w:type="pct"/>
                  <w:shd w:val="clear" w:color="auto" w:fill="auto"/>
                </w:tcPr>
                <w:p w14:paraId="42F05AAE" w14:textId="77777777" w:rsidR="000931AF" w:rsidRPr="00BB5CA6" w:rsidRDefault="000931AF" w:rsidP="00A31B0F">
                  <w:pPr>
                    <w:pStyle w:val="BodyText"/>
                    <w:spacing w:after="0"/>
                    <w:rPr>
                      <w:sz w:val="20"/>
                    </w:rPr>
                  </w:pPr>
                  <w:r w:rsidRPr="00BB5CA6">
                    <w:rPr>
                      <w:sz w:val="20"/>
                    </w:rPr>
                    <w:t xml:space="preserve">Left hip </w:t>
                  </w:r>
                  <w:proofErr w:type="spellStart"/>
                  <w:r w:rsidRPr="00BB5CA6">
                    <w:rPr>
                      <w:sz w:val="20"/>
                    </w:rPr>
                    <w:t>arthroprosthesis</w:t>
                  </w:r>
                  <w:proofErr w:type="spellEnd"/>
                  <w:r w:rsidRPr="00BB5CA6">
                    <w:rPr>
                      <w:sz w:val="20"/>
                    </w:rPr>
                    <w:t>, reduction finger fracture</w:t>
                  </w:r>
                </w:p>
              </w:tc>
              <w:tc>
                <w:tcPr>
                  <w:tcW w:w="618" w:type="pct"/>
                  <w:shd w:val="clear" w:color="auto" w:fill="auto"/>
                </w:tcPr>
                <w:p w14:paraId="19D390AB" w14:textId="77777777" w:rsidR="000931AF" w:rsidRPr="00BB5CA6" w:rsidRDefault="000931AF" w:rsidP="00A31B0F">
                  <w:pPr>
                    <w:pStyle w:val="BodyText"/>
                    <w:spacing w:after="0"/>
                    <w:rPr>
                      <w:sz w:val="20"/>
                    </w:rPr>
                  </w:pPr>
                  <w:r w:rsidRPr="00BB5CA6">
                    <w:rPr>
                      <w:sz w:val="20"/>
                    </w:rPr>
                    <w:t>Major</w:t>
                  </w:r>
                </w:p>
              </w:tc>
              <w:tc>
                <w:tcPr>
                  <w:tcW w:w="1405" w:type="pct"/>
                  <w:shd w:val="clear" w:color="auto" w:fill="auto"/>
                </w:tcPr>
                <w:p w14:paraId="6461A039" w14:textId="77777777" w:rsidR="000931AF" w:rsidRPr="00BB5CA6" w:rsidRDefault="000931AF" w:rsidP="00A31B0F">
                  <w:pPr>
                    <w:pStyle w:val="BodyText"/>
                    <w:spacing w:after="0"/>
                    <w:rPr>
                      <w:sz w:val="20"/>
                    </w:rPr>
                  </w:pPr>
                  <w:r w:rsidRPr="00BB5CA6">
                    <w:rPr>
                      <w:sz w:val="20"/>
                    </w:rPr>
                    <w:t>Good</w:t>
                  </w:r>
                </w:p>
              </w:tc>
              <w:tc>
                <w:tcPr>
                  <w:tcW w:w="1067" w:type="pct"/>
                  <w:shd w:val="clear" w:color="auto" w:fill="auto"/>
                </w:tcPr>
                <w:p w14:paraId="104C9C14" w14:textId="77777777" w:rsidR="000931AF" w:rsidRPr="00BB5CA6" w:rsidRDefault="000931AF" w:rsidP="00A31B0F">
                  <w:pPr>
                    <w:pStyle w:val="BodyText"/>
                    <w:spacing w:after="0"/>
                    <w:rPr>
                      <w:sz w:val="20"/>
                    </w:rPr>
                  </w:pPr>
                  <w:r w:rsidRPr="00BB5CA6">
                    <w:rPr>
                      <w:sz w:val="20"/>
                    </w:rPr>
                    <w:t>437</w:t>
                  </w:r>
                </w:p>
              </w:tc>
            </w:tr>
          </w:tbl>
          <w:p w14:paraId="0295DC78" w14:textId="77777777" w:rsidR="000931AF" w:rsidRPr="006153A6" w:rsidRDefault="000931AF" w:rsidP="00A31B0F">
            <w:pPr>
              <w:pStyle w:val="BodyText"/>
              <w:spacing w:after="0"/>
              <w:rPr>
                <w:sz w:val="20"/>
                <w:szCs w:val="20"/>
              </w:rPr>
            </w:pPr>
            <w:r w:rsidRPr="006153A6">
              <w:rPr>
                <w:b/>
                <w:sz w:val="20"/>
                <w:szCs w:val="20"/>
                <w:vertAlign w:val="superscript"/>
              </w:rPr>
              <w:t>a</w:t>
            </w:r>
            <w:r w:rsidRPr="006153A6">
              <w:rPr>
                <w:sz w:val="20"/>
                <w:szCs w:val="20"/>
              </w:rPr>
              <w:t xml:space="preserve"> Haemostatic response during surgery</w:t>
            </w:r>
          </w:p>
          <w:p w14:paraId="4A379201" w14:textId="77777777" w:rsidR="000931AF" w:rsidRPr="002943B6" w:rsidRDefault="000931AF" w:rsidP="00A713C9">
            <w:pPr>
              <w:pStyle w:val="BodyText"/>
            </w:pPr>
            <w:r w:rsidRPr="006153A6">
              <w:rPr>
                <w:b/>
                <w:sz w:val="20"/>
                <w:szCs w:val="20"/>
                <w:vertAlign w:val="superscript"/>
              </w:rPr>
              <w:t>b</w:t>
            </w:r>
            <w:r w:rsidRPr="006153A6">
              <w:rPr>
                <w:sz w:val="20"/>
                <w:szCs w:val="20"/>
              </w:rPr>
              <w:t xml:space="preserve"> Exposure days since first exposure to </w:t>
            </w:r>
            <w:proofErr w:type="spellStart"/>
            <w:r w:rsidRPr="006153A6">
              <w:rPr>
                <w:sz w:val="20"/>
                <w:szCs w:val="20"/>
              </w:rPr>
              <w:t>NovoEight</w:t>
            </w:r>
            <w:proofErr w:type="spellEnd"/>
            <w:r w:rsidRPr="006153A6">
              <w:rPr>
                <w:sz w:val="20"/>
                <w:szCs w:val="20"/>
              </w:rPr>
              <w:t xml:space="preserve"> at the time of surgery</w:t>
            </w:r>
          </w:p>
        </w:tc>
      </w:tr>
      <w:tr w:rsidR="000931AF" w:rsidRPr="002E5E42" w14:paraId="569FE2B6" w14:textId="77777777" w:rsidTr="000931AF">
        <w:trPr>
          <w:trHeight w:val="450"/>
        </w:trPr>
        <w:tc>
          <w:tcPr>
            <w:tcW w:w="5000" w:type="pct"/>
            <w:shd w:val="clear" w:color="auto" w:fill="auto"/>
          </w:tcPr>
          <w:p w14:paraId="161FA23E" w14:textId="77777777" w:rsidR="000931AF" w:rsidDel="008430F8" w:rsidRDefault="000931AF" w:rsidP="00A31B0F">
            <w:pPr>
              <w:pStyle w:val="BodyText"/>
            </w:pPr>
            <w:r w:rsidRPr="00B83A1A">
              <w:rPr>
                <w:b/>
                <w:lang w:val="en-AU"/>
              </w:rPr>
              <w:lastRenderedPageBreak/>
              <w:t>INDICATIONS</w:t>
            </w:r>
          </w:p>
        </w:tc>
      </w:tr>
      <w:tr w:rsidR="000931AF" w:rsidRPr="002E5E42" w14:paraId="1D224B3E" w14:textId="77777777" w:rsidTr="000931AF">
        <w:trPr>
          <w:trHeight w:val="450"/>
        </w:trPr>
        <w:tc>
          <w:tcPr>
            <w:tcW w:w="5000" w:type="pct"/>
            <w:shd w:val="clear" w:color="auto" w:fill="auto"/>
          </w:tcPr>
          <w:p w14:paraId="4EC9572D" w14:textId="77777777" w:rsidR="000931AF" w:rsidRPr="002E5E42" w:rsidRDefault="000931AF" w:rsidP="00DE6F85">
            <w:pPr>
              <w:pStyle w:val="BodyText"/>
              <w:jc w:val="both"/>
              <w:rPr>
                <w:i/>
              </w:rPr>
            </w:pPr>
            <w:proofErr w:type="spellStart"/>
            <w:r>
              <w:t>NovoEight</w:t>
            </w:r>
            <w:proofErr w:type="spellEnd"/>
            <w:r w:rsidRPr="00FA5141">
              <w:t xml:space="preserve"> is indicated for the treatment and prophylaxis of bleeding episodes in patients with haemophilia A</w:t>
            </w:r>
            <w:r>
              <w:t xml:space="preserve">, including </w:t>
            </w:r>
            <w:r w:rsidRPr="00B47935">
              <w:t>control and prevention of bleeding in surgical settings</w:t>
            </w:r>
            <w:r w:rsidRPr="00FA5141">
              <w:t>.</w:t>
            </w:r>
          </w:p>
        </w:tc>
      </w:tr>
      <w:tr w:rsidR="000931AF" w:rsidRPr="002E5E42" w14:paraId="5C93F476" w14:textId="77777777" w:rsidTr="000931AF">
        <w:trPr>
          <w:trHeight w:val="450"/>
        </w:trPr>
        <w:tc>
          <w:tcPr>
            <w:tcW w:w="5000" w:type="pct"/>
            <w:shd w:val="clear" w:color="auto" w:fill="auto"/>
          </w:tcPr>
          <w:p w14:paraId="47AD4098" w14:textId="77777777" w:rsidR="000931AF" w:rsidDel="008430F8" w:rsidRDefault="000931AF" w:rsidP="00DC5D9A">
            <w:pPr>
              <w:pStyle w:val="BodyText"/>
              <w:jc w:val="both"/>
            </w:pPr>
            <w:r w:rsidRPr="00B83A1A">
              <w:rPr>
                <w:b/>
                <w:lang w:val="en-AU"/>
              </w:rPr>
              <w:t>CONTRAINDICATIONS</w:t>
            </w:r>
          </w:p>
        </w:tc>
      </w:tr>
      <w:tr w:rsidR="000931AF" w:rsidRPr="002E5E42" w14:paraId="79867654" w14:textId="77777777" w:rsidTr="000931AF">
        <w:trPr>
          <w:trHeight w:val="450"/>
        </w:trPr>
        <w:tc>
          <w:tcPr>
            <w:tcW w:w="5000" w:type="pct"/>
            <w:shd w:val="clear" w:color="auto" w:fill="auto"/>
          </w:tcPr>
          <w:p w14:paraId="33164CA0" w14:textId="77777777" w:rsidR="000931AF" w:rsidRPr="00B63E9B" w:rsidRDefault="000931AF" w:rsidP="00DC5D9A">
            <w:pPr>
              <w:pStyle w:val="BodyText"/>
              <w:jc w:val="both"/>
            </w:pPr>
            <w:r w:rsidRPr="00B63E9B">
              <w:t>Hypersensitivity to the active substance or to any of the excipients</w:t>
            </w:r>
            <w:r>
              <w:t xml:space="preserve">. </w:t>
            </w:r>
            <w:r w:rsidRPr="00530E50">
              <w:t>Known allergic reaction to hamster protein.</w:t>
            </w:r>
          </w:p>
        </w:tc>
      </w:tr>
      <w:tr w:rsidR="000931AF" w:rsidRPr="002E5E42" w14:paraId="7AB5F996" w14:textId="77777777" w:rsidTr="000931AF">
        <w:trPr>
          <w:trHeight w:val="450"/>
        </w:trPr>
        <w:tc>
          <w:tcPr>
            <w:tcW w:w="5000" w:type="pct"/>
            <w:shd w:val="clear" w:color="auto" w:fill="auto"/>
          </w:tcPr>
          <w:p w14:paraId="36767D69" w14:textId="77777777" w:rsidR="000931AF" w:rsidRPr="001D31EB" w:rsidDel="008430F8" w:rsidRDefault="000931AF" w:rsidP="00DC5D9A">
            <w:pPr>
              <w:pStyle w:val="BodyText"/>
              <w:jc w:val="both"/>
              <w:rPr>
                <w:b/>
                <w:lang w:val="en-AU"/>
              </w:rPr>
            </w:pPr>
            <w:r w:rsidRPr="00B83A1A">
              <w:rPr>
                <w:b/>
                <w:lang w:val="en-AU"/>
              </w:rPr>
              <w:lastRenderedPageBreak/>
              <w:t>PRECAUTIONS</w:t>
            </w:r>
          </w:p>
        </w:tc>
      </w:tr>
      <w:tr w:rsidR="000931AF" w:rsidRPr="002E5E42" w14:paraId="6704CADC" w14:textId="77777777" w:rsidTr="000931AF">
        <w:trPr>
          <w:trHeight w:val="450"/>
        </w:trPr>
        <w:tc>
          <w:tcPr>
            <w:tcW w:w="5000" w:type="pct"/>
            <w:shd w:val="clear" w:color="auto" w:fill="auto"/>
          </w:tcPr>
          <w:p w14:paraId="3234E488" w14:textId="77777777" w:rsidR="000931AF" w:rsidRDefault="000931AF" w:rsidP="00DC5D9A">
            <w:pPr>
              <w:pStyle w:val="BodyText"/>
              <w:jc w:val="both"/>
              <w:rPr>
                <w:i/>
              </w:rPr>
            </w:pPr>
            <w:r w:rsidRPr="00574263">
              <w:rPr>
                <w:b/>
                <w:u w:val="single"/>
                <w:lang w:val="en-AU"/>
              </w:rPr>
              <w:t>General</w:t>
            </w:r>
          </w:p>
          <w:p w14:paraId="3230049B" w14:textId="77777777" w:rsidR="000931AF" w:rsidRDefault="000931AF" w:rsidP="00341C43">
            <w:pPr>
              <w:pStyle w:val="BodyText"/>
              <w:keepNext/>
              <w:spacing w:after="0" w:line="240" w:lineRule="auto"/>
              <w:jc w:val="both"/>
              <w:rPr>
                <w:u w:val="single"/>
              </w:rPr>
            </w:pPr>
            <w:r w:rsidRPr="00DE6348">
              <w:rPr>
                <w:u w:val="single"/>
              </w:rPr>
              <w:t>Hypersensitivity</w:t>
            </w:r>
          </w:p>
          <w:p w14:paraId="772D87EB" w14:textId="317B3FD1" w:rsidR="000931AF" w:rsidRPr="002E5E42" w:rsidRDefault="000931AF" w:rsidP="00DC5D9A">
            <w:pPr>
              <w:pStyle w:val="BodyText"/>
              <w:jc w:val="both"/>
              <w:rPr>
                <w:i/>
              </w:rPr>
            </w:pPr>
            <w:r w:rsidRPr="00370514">
              <w:t>As with any intravenous protein product, allergic type hypersensitivity reactions are possible</w:t>
            </w:r>
            <w:r>
              <w:t xml:space="preserve"> with </w:t>
            </w:r>
            <w:proofErr w:type="spellStart"/>
            <w:r>
              <w:t>NovoEight</w:t>
            </w:r>
            <w:proofErr w:type="spellEnd"/>
            <w:r w:rsidRPr="00370514">
              <w:t xml:space="preserve">. </w:t>
            </w:r>
            <w:r>
              <w:t>The product</w:t>
            </w:r>
            <w:r w:rsidRPr="00370514">
              <w:t xml:space="preserve"> contains traces of hamster proteins</w:t>
            </w:r>
            <w:r>
              <w:t>, which in some patients may cause allergic reactions.</w:t>
            </w:r>
            <w:r w:rsidRPr="00370514">
              <w:t xml:space="preserve"> </w:t>
            </w:r>
            <w:r w:rsidRPr="00530E50">
              <w:t xml:space="preserve">If symptoms of hypersensitivity occur, patients should be advised to discontinue use of </w:t>
            </w:r>
            <w:proofErr w:type="spellStart"/>
            <w:r w:rsidRPr="00530E50">
              <w:t>NovoEight</w:t>
            </w:r>
            <w:proofErr w:type="spellEnd"/>
            <w:r w:rsidRPr="00530E50">
              <w:t xml:space="preserve"> immediately and contact their physician and/or seek emergency medical treatment. </w:t>
            </w:r>
            <w:r w:rsidRPr="00370514">
              <w:t xml:space="preserve">Patients should be informed of the early signs of hypersensitivity reactions including hives, generalised </w:t>
            </w:r>
            <w:proofErr w:type="spellStart"/>
            <w:r w:rsidRPr="00370514">
              <w:t>urticaria</w:t>
            </w:r>
            <w:proofErr w:type="spellEnd"/>
            <w:r w:rsidRPr="00370514">
              <w:t xml:space="preserve">, </w:t>
            </w:r>
            <w:proofErr w:type="gramStart"/>
            <w:r w:rsidRPr="00370514">
              <w:t>tightness</w:t>
            </w:r>
            <w:proofErr w:type="gramEnd"/>
            <w:r w:rsidRPr="00370514">
              <w:t xml:space="preserve"> of the chest, wheezing, hypotension, and anaphylaxis. In case of anaphylactic shock, the current medical standards </w:t>
            </w:r>
            <w:r>
              <w:t xml:space="preserve">for </w:t>
            </w:r>
            <w:r w:rsidR="00CE3CA6">
              <w:t>treatment of anaphylaxis</w:t>
            </w:r>
            <w:r>
              <w:t xml:space="preserve"> </w:t>
            </w:r>
            <w:r w:rsidRPr="00370514">
              <w:t xml:space="preserve">should be </w:t>
            </w:r>
            <w:r>
              <w:t>f</w:t>
            </w:r>
            <w:r w:rsidRPr="00370514">
              <w:t>ollowed.</w:t>
            </w:r>
          </w:p>
          <w:p w14:paraId="28C44BDE" w14:textId="77777777" w:rsidR="000931AF" w:rsidRDefault="000931AF" w:rsidP="00574263">
            <w:pPr>
              <w:pStyle w:val="BodyText"/>
              <w:spacing w:after="0" w:line="240" w:lineRule="auto"/>
              <w:jc w:val="both"/>
              <w:rPr>
                <w:u w:val="single"/>
              </w:rPr>
            </w:pPr>
            <w:r w:rsidRPr="00DE6348">
              <w:rPr>
                <w:u w:val="single"/>
              </w:rPr>
              <w:t>Inhibitor</w:t>
            </w:r>
            <w:r>
              <w:rPr>
                <w:u w:val="single"/>
              </w:rPr>
              <w:t>s</w:t>
            </w:r>
          </w:p>
          <w:p w14:paraId="0D9F431E" w14:textId="2FAC7251" w:rsidR="000931AF" w:rsidRPr="002F3B80" w:rsidRDefault="000931AF" w:rsidP="00DC5D9A">
            <w:pPr>
              <w:pStyle w:val="BodyText"/>
              <w:jc w:val="both"/>
            </w:pPr>
            <w:r w:rsidRPr="002F3B80">
              <w:t xml:space="preserve">The formation of neutralising antibodies (inhibitors) to factor VIII is a known complication in the management of individuals with haemophilia A. These inhibitors are usually </w:t>
            </w:r>
            <w:proofErr w:type="spellStart"/>
            <w:r w:rsidRPr="002F3B80">
              <w:t>IgG</w:t>
            </w:r>
            <w:proofErr w:type="spellEnd"/>
            <w:r w:rsidRPr="002F3B80">
              <w:t xml:space="preserve"> immunoglobulins directed against the factor VIII </w:t>
            </w:r>
            <w:proofErr w:type="spellStart"/>
            <w:r w:rsidRPr="002F3B80">
              <w:t>procoagulant</w:t>
            </w:r>
            <w:proofErr w:type="spellEnd"/>
            <w:r w:rsidRPr="002F3B80">
              <w:t xml:space="preserve"> activity, which are quantified in Bethesda Units (BU) per ml of plasma using the</w:t>
            </w:r>
            <w:r>
              <w:t xml:space="preserve"> </w:t>
            </w:r>
            <w:r w:rsidRPr="003C4C16">
              <w:t>Nijmegen</w:t>
            </w:r>
            <w:r w:rsidRPr="002F3B80">
              <w:t xml:space="preserve"> modified</w:t>
            </w:r>
            <w:r>
              <w:t xml:space="preserve"> Bethesda</w:t>
            </w:r>
            <w:r w:rsidRPr="002F3B80">
              <w:t xml:space="preserve"> assay. The risk of developing inhibitors is correlated to the exposure to factor VIII, the risk being highest within the first 20 exposure days. </w:t>
            </w:r>
            <w:r>
              <w:t>On rare occasions</w:t>
            </w:r>
            <w:r w:rsidRPr="002F3B80">
              <w:t xml:space="preserve"> inhibitors may develop after the first 100 exposure days</w:t>
            </w:r>
            <w:r w:rsidR="003F0BF6">
              <w:t>.</w:t>
            </w:r>
          </w:p>
          <w:p w14:paraId="31DE839B" w14:textId="77777777" w:rsidR="000931AF" w:rsidRDefault="000931AF" w:rsidP="00DC5D9A">
            <w:pPr>
              <w:pStyle w:val="BodyText"/>
              <w:jc w:val="both"/>
              <w:rPr>
                <w:bCs/>
                <w:iCs/>
              </w:rPr>
            </w:pPr>
            <w:r w:rsidRPr="002F3B80">
              <w:t>In general, all patients treated with coagulation factor VIII products should be carefully monitored for the development of inhibitors by appropriate clinical observation and laboratory test.</w:t>
            </w:r>
            <w:r>
              <w:t xml:space="preserve"> </w:t>
            </w:r>
            <w:r w:rsidRPr="009144BE">
              <w:rPr>
                <w:bCs/>
                <w:iCs/>
              </w:rPr>
              <w:t>If the expected plasma levels of factor VIII activity are not attained, or if bleeding is not controlled with an appropriate dose, testing for factor VIII inhibitor presence should be performed. In patients with high levels of inhibitor, factor VIII therapy may not be effective and other therapeutic options should be considered. Management of such patients should be directed by physicians with experience in the care of haemophilia and factor VIII inhibitors.</w:t>
            </w:r>
          </w:p>
          <w:p w14:paraId="406BA381" w14:textId="604C1355" w:rsidR="000931AF" w:rsidRDefault="000931AF" w:rsidP="00C61696">
            <w:pPr>
              <w:pStyle w:val="BodyText"/>
              <w:jc w:val="both"/>
              <w:rPr>
                <w:bCs/>
                <w:iCs/>
              </w:rPr>
            </w:pPr>
            <w:r w:rsidRPr="00920AB8">
              <w:rPr>
                <w:bCs/>
                <w:iCs/>
              </w:rPr>
              <w:t>No factor VIII inhibitor development was observed</w:t>
            </w:r>
            <w:r>
              <w:rPr>
                <w:bCs/>
                <w:iCs/>
              </w:rPr>
              <w:t xml:space="preserve"> during the phase 3a clinical trial programme with </w:t>
            </w:r>
            <w:proofErr w:type="spellStart"/>
            <w:r>
              <w:rPr>
                <w:bCs/>
                <w:iCs/>
              </w:rPr>
              <w:t>NovoEight</w:t>
            </w:r>
            <w:proofErr w:type="spellEnd"/>
            <w:r>
              <w:rPr>
                <w:bCs/>
                <w:iCs/>
              </w:rPr>
              <w:t xml:space="preserve">. </w:t>
            </w:r>
            <w:r w:rsidRPr="00920AB8">
              <w:rPr>
                <w:bCs/>
                <w:iCs/>
              </w:rPr>
              <w:t>The</w:t>
            </w:r>
            <w:r>
              <w:rPr>
                <w:bCs/>
                <w:iCs/>
              </w:rPr>
              <w:t xml:space="preserve"> programme</w:t>
            </w:r>
            <w:r w:rsidRPr="00920AB8">
              <w:rPr>
                <w:bCs/>
                <w:iCs/>
              </w:rPr>
              <w:t xml:space="preserve"> included 213 </w:t>
            </w:r>
            <w:r w:rsidR="00273388">
              <w:rPr>
                <w:bCs/>
                <w:iCs/>
              </w:rPr>
              <w:t xml:space="preserve">previously </w:t>
            </w:r>
            <w:r w:rsidRPr="00920AB8">
              <w:rPr>
                <w:bCs/>
                <w:iCs/>
              </w:rPr>
              <w:t xml:space="preserve">exposed </w:t>
            </w:r>
            <w:r>
              <w:rPr>
                <w:bCs/>
                <w:iCs/>
              </w:rPr>
              <w:t>subjects</w:t>
            </w:r>
            <w:r w:rsidRPr="00920AB8">
              <w:rPr>
                <w:bCs/>
                <w:iCs/>
              </w:rPr>
              <w:t xml:space="preserve">; 150 adolescents or adult </w:t>
            </w:r>
            <w:r>
              <w:rPr>
                <w:bCs/>
                <w:iCs/>
              </w:rPr>
              <w:t>subjects</w:t>
            </w:r>
            <w:r w:rsidRPr="00920AB8">
              <w:rPr>
                <w:bCs/>
                <w:iCs/>
              </w:rPr>
              <w:t xml:space="preserve"> without inhibitors from the age of 12 years (≥150 </w:t>
            </w:r>
            <w:r w:rsidR="00273388">
              <w:rPr>
                <w:bCs/>
                <w:iCs/>
              </w:rPr>
              <w:t xml:space="preserve">previous </w:t>
            </w:r>
            <w:r w:rsidRPr="00920AB8">
              <w:rPr>
                <w:bCs/>
                <w:iCs/>
              </w:rPr>
              <w:t xml:space="preserve">exposure days) and 63 paediatric </w:t>
            </w:r>
            <w:r>
              <w:rPr>
                <w:bCs/>
                <w:iCs/>
              </w:rPr>
              <w:t>subjects</w:t>
            </w:r>
            <w:r w:rsidRPr="00920AB8">
              <w:rPr>
                <w:bCs/>
                <w:iCs/>
              </w:rPr>
              <w:t xml:space="preserve"> without inhibitors age</w:t>
            </w:r>
            <w:r w:rsidR="00C61696">
              <w:rPr>
                <w:bCs/>
                <w:iCs/>
              </w:rPr>
              <w:t>d</w:t>
            </w:r>
            <w:r w:rsidRPr="00920AB8">
              <w:rPr>
                <w:bCs/>
                <w:iCs/>
              </w:rPr>
              <w:t xml:space="preserve"> </w:t>
            </w:r>
            <w:r w:rsidR="00C61696">
              <w:rPr>
                <w:bCs/>
                <w:iCs/>
              </w:rPr>
              <w:t>1 - &lt;</w:t>
            </w:r>
            <w:r w:rsidRPr="00920AB8">
              <w:rPr>
                <w:bCs/>
                <w:iCs/>
              </w:rPr>
              <w:t xml:space="preserve"> 12 years of age (≥50 </w:t>
            </w:r>
            <w:r w:rsidR="00273388">
              <w:rPr>
                <w:bCs/>
                <w:iCs/>
              </w:rPr>
              <w:t xml:space="preserve">previous </w:t>
            </w:r>
            <w:r w:rsidRPr="00920AB8">
              <w:rPr>
                <w:bCs/>
                <w:iCs/>
              </w:rPr>
              <w:t>exposure days).</w:t>
            </w:r>
          </w:p>
          <w:p w14:paraId="7C6C6FAA" w14:textId="77777777" w:rsidR="00E57222" w:rsidRPr="009C79E2" w:rsidRDefault="001E3FE4" w:rsidP="001E3FE4">
            <w:pPr>
              <w:pStyle w:val="BodyText"/>
              <w:jc w:val="both"/>
            </w:pPr>
            <w:r w:rsidRPr="001E3FE4">
              <w:rPr>
                <w:lang w:val="da-DK"/>
              </w:rPr>
              <w:t xml:space="preserve">There were no studies of </w:t>
            </w:r>
            <w:r>
              <w:rPr>
                <w:lang w:val="da-DK"/>
              </w:rPr>
              <w:t>NovoEight</w:t>
            </w:r>
            <w:r w:rsidRPr="001E3FE4">
              <w:rPr>
                <w:lang w:val="da-DK"/>
              </w:rPr>
              <w:t xml:space="preserve"> in subjects with inhibitors.</w:t>
            </w:r>
          </w:p>
        </w:tc>
      </w:tr>
      <w:tr w:rsidR="00C61696" w:rsidRPr="002E5E42" w14:paraId="6DC462F4" w14:textId="77777777" w:rsidTr="000931AF">
        <w:trPr>
          <w:trHeight w:val="450"/>
        </w:trPr>
        <w:tc>
          <w:tcPr>
            <w:tcW w:w="5000" w:type="pct"/>
            <w:shd w:val="clear" w:color="auto" w:fill="auto"/>
          </w:tcPr>
          <w:p w14:paraId="3DE74EBC" w14:textId="77777777" w:rsidR="00C61696" w:rsidRPr="00B83A1A" w:rsidRDefault="00C61696" w:rsidP="00D151E0">
            <w:pPr>
              <w:pStyle w:val="BodyText"/>
              <w:jc w:val="both"/>
              <w:rPr>
                <w:b/>
                <w:u w:val="single"/>
                <w:lang w:val="en-AU"/>
              </w:rPr>
            </w:pPr>
            <w:r>
              <w:rPr>
                <w:b/>
                <w:u w:val="single"/>
                <w:lang w:val="en-AU"/>
              </w:rPr>
              <w:t>Previously</w:t>
            </w:r>
            <w:r w:rsidR="00D151E0">
              <w:rPr>
                <w:b/>
                <w:u w:val="single"/>
                <w:lang w:val="en-AU"/>
              </w:rPr>
              <w:t xml:space="preserve"> </w:t>
            </w:r>
            <w:r>
              <w:rPr>
                <w:b/>
                <w:u w:val="single"/>
                <w:lang w:val="en-AU"/>
              </w:rPr>
              <w:t>untreated patients</w:t>
            </w:r>
          </w:p>
        </w:tc>
      </w:tr>
      <w:tr w:rsidR="00C61696" w:rsidRPr="002E5E42" w14:paraId="1D2B5F7B" w14:textId="77777777" w:rsidTr="000931AF">
        <w:trPr>
          <w:trHeight w:val="450"/>
        </w:trPr>
        <w:tc>
          <w:tcPr>
            <w:tcW w:w="5000" w:type="pct"/>
            <w:shd w:val="clear" w:color="auto" w:fill="auto"/>
          </w:tcPr>
          <w:p w14:paraId="2215109F" w14:textId="77777777" w:rsidR="00C61696" w:rsidRPr="00B83A1A" w:rsidRDefault="001E3FE4" w:rsidP="001E3FE4">
            <w:pPr>
              <w:pStyle w:val="BodyText"/>
              <w:jc w:val="both"/>
              <w:rPr>
                <w:b/>
                <w:u w:val="single"/>
                <w:lang w:val="en-AU"/>
              </w:rPr>
            </w:pPr>
            <w:r w:rsidRPr="001E3FE4">
              <w:rPr>
                <w:lang w:val="da-DK"/>
              </w:rPr>
              <w:t xml:space="preserve">There is no experience in previously untreated </w:t>
            </w:r>
            <w:r>
              <w:rPr>
                <w:lang w:val="da-DK"/>
              </w:rPr>
              <w:t>patients</w:t>
            </w:r>
            <w:r w:rsidRPr="001E3FE4">
              <w:rPr>
                <w:lang w:val="da-DK"/>
              </w:rPr>
              <w:t>.</w:t>
            </w:r>
          </w:p>
        </w:tc>
      </w:tr>
      <w:tr w:rsidR="000931AF" w:rsidRPr="002E5E42" w14:paraId="660894BD" w14:textId="77777777" w:rsidTr="000931AF">
        <w:trPr>
          <w:trHeight w:val="450"/>
        </w:trPr>
        <w:tc>
          <w:tcPr>
            <w:tcW w:w="5000" w:type="pct"/>
            <w:shd w:val="clear" w:color="auto" w:fill="auto"/>
          </w:tcPr>
          <w:p w14:paraId="23FAC29C" w14:textId="77777777" w:rsidR="000931AF" w:rsidDel="008430F8" w:rsidRDefault="000931AF" w:rsidP="00DC5D9A">
            <w:pPr>
              <w:pStyle w:val="BodyText"/>
              <w:jc w:val="both"/>
            </w:pPr>
            <w:r w:rsidRPr="00B83A1A">
              <w:rPr>
                <w:b/>
                <w:u w:val="single"/>
                <w:lang w:val="en-AU"/>
              </w:rPr>
              <w:t>Effects on fertility</w:t>
            </w:r>
          </w:p>
        </w:tc>
      </w:tr>
      <w:tr w:rsidR="000931AF" w:rsidRPr="002E5E42" w14:paraId="780C9D16" w14:textId="77777777" w:rsidTr="000931AF">
        <w:trPr>
          <w:trHeight w:val="450"/>
        </w:trPr>
        <w:tc>
          <w:tcPr>
            <w:tcW w:w="5000" w:type="pct"/>
            <w:shd w:val="clear" w:color="auto" w:fill="auto"/>
          </w:tcPr>
          <w:p w14:paraId="723F0E18" w14:textId="77777777" w:rsidR="000931AF" w:rsidDel="008430F8" w:rsidRDefault="000931AF" w:rsidP="00DC5D9A">
            <w:pPr>
              <w:pStyle w:val="BodyText"/>
              <w:jc w:val="both"/>
            </w:pPr>
            <w:r w:rsidRPr="002A3726">
              <w:t>Animal reproduction studies have not been conducted with</w:t>
            </w:r>
            <w:r>
              <w:t xml:space="preserve"> recombinant factor VIII products, including</w:t>
            </w:r>
            <w:r w:rsidRPr="002A3726">
              <w:t xml:space="preserve"> </w:t>
            </w:r>
            <w:proofErr w:type="spellStart"/>
            <w:r>
              <w:t>NovoEight</w:t>
            </w:r>
            <w:proofErr w:type="spellEnd"/>
            <w:r w:rsidRPr="002A3726">
              <w:t xml:space="preserve">. </w:t>
            </w:r>
          </w:p>
        </w:tc>
      </w:tr>
      <w:tr w:rsidR="000931AF" w:rsidRPr="002E5E42" w14:paraId="0D8E8E24" w14:textId="77777777" w:rsidTr="000931AF">
        <w:trPr>
          <w:trHeight w:val="450"/>
        </w:trPr>
        <w:tc>
          <w:tcPr>
            <w:tcW w:w="5000" w:type="pct"/>
            <w:shd w:val="clear" w:color="auto" w:fill="auto"/>
          </w:tcPr>
          <w:p w14:paraId="16F34443" w14:textId="77777777" w:rsidR="000931AF" w:rsidRPr="00B83A1A" w:rsidDel="008430F8" w:rsidRDefault="000931AF" w:rsidP="00DC5D9A">
            <w:pPr>
              <w:pStyle w:val="BodyText"/>
              <w:jc w:val="both"/>
            </w:pPr>
            <w:r w:rsidRPr="00B83A1A">
              <w:rPr>
                <w:b/>
                <w:u w:val="single"/>
                <w:lang w:val="en-AU"/>
              </w:rPr>
              <w:lastRenderedPageBreak/>
              <w:t>Use in pregnancy</w:t>
            </w:r>
          </w:p>
        </w:tc>
      </w:tr>
      <w:tr w:rsidR="000931AF" w:rsidRPr="002E5E42" w14:paraId="5CD22954" w14:textId="77777777" w:rsidTr="000931AF">
        <w:trPr>
          <w:trHeight w:val="450"/>
        </w:trPr>
        <w:tc>
          <w:tcPr>
            <w:tcW w:w="5000" w:type="pct"/>
            <w:shd w:val="clear" w:color="auto" w:fill="auto"/>
          </w:tcPr>
          <w:p w14:paraId="30EFBFB7" w14:textId="77777777" w:rsidR="000931AF" w:rsidRPr="00B83A1A" w:rsidRDefault="000931AF" w:rsidP="00DC5D9A">
            <w:pPr>
              <w:pStyle w:val="BodyText"/>
              <w:jc w:val="both"/>
            </w:pPr>
            <w:r w:rsidRPr="00B83A1A">
              <w:t>Pregnancy category: B2</w:t>
            </w:r>
          </w:p>
          <w:p w14:paraId="789A91A4" w14:textId="71183D9C" w:rsidR="000931AF" w:rsidRPr="00B83A1A" w:rsidDel="008430F8" w:rsidRDefault="000931AF" w:rsidP="00DC6538">
            <w:pPr>
              <w:pStyle w:val="BodyText"/>
              <w:jc w:val="both"/>
            </w:pPr>
            <w:r w:rsidRPr="00B83A1A">
              <w:t xml:space="preserve">Animal reproduction studies have not been conducted with recombinant factor VIII products, including </w:t>
            </w:r>
            <w:proofErr w:type="spellStart"/>
            <w:r w:rsidRPr="00B83A1A">
              <w:t>NovoEight</w:t>
            </w:r>
            <w:proofErr w:type="spellEnd"/>
            <w:r w:rsidRPr="00B83A1A">
              <w:t xml:space="preserve">. Based on the rare occurrence of haemophilia A in women, experience regarding the use of factor VIII during pregnancy is not available. Therefore, </w:t>
            </w:r>
            <w:proofErr w:type="spellStart"/>
            <w:r w:rsidRPr="00B83A1A">
              <w:t>NovoEight</w:t>
            </w:r>
            <w:proofErr w:type="spellEnd"/>
            <w:r w:rsidRPr="00B83A1A">
              <w:t xml:space="preserve"> should only be used during pregnancy if clearly indicated.</w:t>
            </w:r>
          </w:p>
        </w:tc>
      </w:tr>
      <w:tr w:rsidR="000931AF" w:rsidRPr="002E5E42" w14:paraId="59DD9A20" w14:textId="77777777" w:rsidTr="000931AF">
        <w:trPr>
          <w:trHeight w:val="450"/>
        </w:trPr>
        <w:tc>
          <w:tcPr>
            <w:tcW w:w="5000" w:type="pct"/>
            <w:shd w:val="clear" w:color="auto" w:fill="auto"/>
          </w:tcPr>
          <w:p w14:paraId="058852D0" w14:textId="77777777" w:rsidR="000931AF" w:rsidRPr="00B83A1A" w:rsidDel="008430F8" w:rsidRDefault="000931AF" w:rsidP="00DC5D9A">
            <w:pPr>
              <w:pStyle w:val="BodyText"/>
              <w:jc w:val="both"/>
            </w:pPr>
            <w:r w:rsidRPr="00B83A1A">
              <w:rPr>
                <w:b/>
                <w:u w:val="single"/>
                <w:lang w:val="en-AU"/>
              </w:rPr>
              <w:t>Use in lactation</w:t>
            </w:r>
          </w:p>
        </w:tc>
      </w:tr>
      <w:tr w:rsidR="000931AF" w:rsidRPr="002E5E42" w14:paraId="2264577C" w14:textId="77777777" w:rsidTr="000931AF">
        <w:trPr>
          <w:trHeight w:val="450"/>
        </w:trPr>
        <w:tc>
          <w:tcPr>
            <w:tcW w:w="5000" w:type="pct"/>
            <w:shd w:val="clear" w:color="auto" w:fill="auto"/>
          </w:tcPr>
          <w:p w14:paraId="256EB00B" w14:textId="4A008C0C" w:rsidR="000931AF" w:rsidRPr="00B83A1A" w:rsidDel="008430F8" w:rsidRDefault="000931AF" w:rsidP="00DC5D9A">
            <w:pPr>
              <w:pStyle w:val="BodyText"/>
              <w:jc w:val="both"/>
            </w:pPr>
            <w:r w:rsidRPr="00B83A1A">
              <w:t xml:space="preserve">Based on the rare occurrence of haemophilia A in women, experience regarding the use of factor VIII </w:t>
            </w:r>
            <w:proofErr w:type="gramStart"/>
            <w:r w:rsidRPr="00B83A1A">
              <w:t>during  breastfeeding</w:t>
            </w:r>
            <w:proofErr w:type="gramEnd"/>
            <w:r w:rsidRPr="00B83A1A">
              <w:t xml:space="preserve"> is not available. Therefore, </w:t>
            </w:r>
            <w:proofErr w:type="spellStart"/>
            <w:r w:rsidRPr="00B83A1A">
              <w:t>NovoEight</w:t>
            </w:r>
            <w:proofErr w:type="spellEnd"/>
            <w:r w:rsidRPr="00B83A1A">
              <w:t xml:space="preserve"> should only be used during lactation if clearly indicated.</w:t>
            </w:r>
          </w:p>
        </w:tc>
      </w:tr>
      <w:tr w:rsidR="000931AF" w:rsidRPr="002E5E42" w14:paraId="1C86EB6F" w14:textId="77777777" w:rsidTr="000931AF">
        <w:trPr>
          <w:trHeight w:val="450"/>
        </w:trPr>
        <w:tc>
          <w:tcPr>
            <w:tcW w:w="5000" w:type="pct"/>
            <w:shd w:val="clear" w:color="auto" w:fill="auto"/>
          </w:tcPr>
          <w:p w14:paraId="7E7D0071" w14:textId="77777777" w:rsidR="000931AF" w:rsidRPr="00B83A1A" w:rsidRDefault="000931AF" w:rsidP="00DC5D9A">
            <w:pPr>
              <w:pStyle w:val="BodyText"/>
              <w:jc w:val="both"/>
              <w:rPr>
                <w:b/>
                <w:spacing w:val="-2"/>
                <w:szCs w:val="20"/>
                <w:u w:val="single"/>
                <w:lang w:val="en-AU"/>
              </w:rPr>
            </w:pPr>
            <w:r w:rsidRPr="00B83A1A">
              <w:rPr>
                <w:b/>
                <w:spacing w:val="-2"/>
                <w:szCs w:val="20"/>
                <w:u w:val="single"/>
                <w:lang w:val="en-AU"/>
              </w:rPr>
              <w:t>Paediatric use</w:t>
            </w:r>
          </w:p>
        </w:tc>
      </w:tr>
      <w:tr w:rsidR="000931AF" w:rsidRPr="002E5E42" w14:paraId="28E14B7D" w14:textId="77777777" w:rsidTr="000931AF">
        <w:trPr>
          <w:trHeight w:val="450"/>
        </w:trPr>
        <w:tc>
          <w:tcPr>
            <w:tcW w:w="5000" w:type="pct"/>
            <w:shd w:val="clear" w:color="auto" w:fill="auto"/>
          </w:tcPr>
          <w:p w14:paraId="7F02C8E1" w14:textId="05AA4B52" w:rsidR="000931AF" w:rsidRPr="00B83A1A" w:rsidRDefault="00E57222" w:rsidP="006C2B94">
            <w:pPr>
              <w:pStyle w:val="BodyText"/>
              <w:jc w:val="both"/>
              <w:rPr>
                <w:b/>
                <w:i/>
                <w:spacing w:val="-2"/>
                <w:szCs w:val="20"/>
                <w:lang w:val="en-AU"/>
              </w:rPr>
            </w:pPr>
            <w:r w:rsidRPr="004D1C95">
              <w:t>There is no experience in children younger than 1 year of age</w:t>
            </w:r>
            <w:r w:rsidR="00273388">
              <w:t xml:space="preserve"> and limited experience in children under 2 years</w:t>
            </w:r>
            <w:r w:rsidR="00CA542D">
              <w:t xml:space="preserve"> (N=2)</w:t>
            </w:r>
            <w:r w:rsidRPr="004D1C95">
              <w:t>.</w:t>
            </w:r>
            <w:r>
              <w:t xml:space="preserve"> </w:t>
            </w:r>
            <w:r w:rsidR="000931AF" w:rsidRPr="00B83A1A">
              <w:t xml:space="preserve">In clinical studies involving 31 children aged </w:t>
            </w:r>
            <w:r w:rsidR="00201F37">
              <w:t>1</w:t>
            </w:r>
            <w:r w:rsidR="00201F37" w:rsidRPr="00B83A1A">
              <w:t xml:space="preserve"> </w:t>
            </w:r>
            <w:r w:rsidR="000931AF" w:rsidRPr="00B83A1A">
              <w:t xml:space="preserve">− &lt; 6 years, 32 children aged 6 to &lt; 12 years, and 24 adolescents aged 12 to 18 years, with severe haemophilia A, no difference in the safety profile of </w:t>
            </w:r>
            <w:proofErr w:type="spellStart"/>
            <w:r w:rsidR="000931AF" w:rsidRPr="00B83A1A">
              <w:t>NovoEight</w:t>
            </w:r>
            <w:proofErr w:type="spellEnd"/>
            <w:r w:rsidR="000931AF" w:rsidRPr="00B83A1A">
              <w:t xml:space="preserve"> was observed between paediatric </w:t>
            </w:r>
            <w:r w:rsidR="00D151E0">
              <w:t>subjects</w:t>
            </w:r>
            <w:r w:rsidR="00D151E0" w:rsidRPr="00B83A1A">
              <w:t xml:space="preserve"> </w:t>
            </w:r>
            <w:r w:rsidR="000931AF" w:rsidRPr="00B83A1A">
              <w:t>and adults.</w:t>
            </w:r>
          </w:p>
        </w:tc>
      </w:tr>
      <w:tr w:rsidR="000931AF" w:rsidRPr="002E5E42" w14:paraId="0355E1F3" w14:textId="77777777" w:rsidTr="000931AF">
        <w:trPr>
          <w:trHeight w:val="450"/>
        </w:trPr>
        <w:tc>
          <w:tcPr>
            <w:tcW w:w="5000" w:type="pct"/>
            <w:shd w:val="clear" w:color="auto" w:fill="auto"/>
          </w:tcPr>
          <w:p w14:paraId="6619B587" w14:textId="77777777" w:rsidR="000931AF" w:rsidRPr="00B83A1A" w:rsidRDefault="000931AF" w:rsidP="00DC5D9A">
            <w:pPr>
              <w:pStyle w:val="BodyText"/>
              <w:jc w:val="both"/>
              <w:rPr>
                <w:b/>
                <w:spacing w:val="-2"/>
                <w:szCs w:val="20"/>
                <w:u w:val="single"/>
                <w:lang w:val="en-AU"/>
              </w:rPr>
            </w:pPr>
            <w:r w:rsidRPr="00B83A1A">
              <w:rPr>
                <w:b/>
                <w:spacing w:val="-2"/>
                <w:szCs w:val="20"/>
                <w:u w:val="single"/>
                <w:lang w:val="en-AU"/>
              </w:rPr>
              <w:t>Use in the elderly</w:t>
            </w:r>
          </w:p>
        </w:tc>
      </w:tr>
      <w:tr w:rsidR="000931AF" w:rsidRPr="002E5E42" w14:paraId="2B07EDB8" w14:textId="77777777" w:rsidTr="000931AF">
        <w:trPr>
          <w:trHeight w:val="450"/>
        </w:trPr>
        <w:tc>
          <w:tcPr>
            <w:tcW w:w="5000" w:type="pct"/>
            <w:shd w:val="clear" w:color="auto" w:fill="auto"/>
          </w:tcPr>
          <w:p w14:paraId="10C9DBF5" w14:textId="47EDC1CC" w:rsidR="000931AF" w:rsidRPr="00B83A1A" w:rsidRDefault="000931AF" w:rsidP="00DC5D9A">
            <w:pPr>
              <w:pStyle w:val="BodyText"/>
              <w:jc w:val="both"/>
              <w:rPr>
                <w:b/>
                <w:i/>
                <w:spacing w:val="-2"/>
                <w:szCs w:val="20"/>
                <w:lang w:val="en-AU"/>
              </w:rPr>
            </w:pPr>
            <w:r w:rsidRPr="00B83A1A">
              <w:t>There is no experience in elderly patients</w:t>
            </w:r>
            <w:r w:rsidR="00731EBF">
              <w:t xml:space="preserve"> (&gt; 60 years of age)</w:t>
            </w:r>
            <w:r w:rsidRPr="00B83A1A">
              <w:t>.</w:t>
            </w:r>
          </w:p>
        </w:tc>
      </w:tr>
      <w:tr w:rsidR="000931AF" w:rsidRPr="002E5E42" w14:paraId="46D1032B" w14:textId="77777777" w:rsidTr="000931AF">
        <w:trPr>
          <w:trHeight w:val="450"/>
        </w:trPr>
        <w:tc>
          <w:tcPr>
            <w:tcW w:w="5000" w:type="pct"/>
            <w:shd w:val="clear" w:color="auto" w:fill="auto"/>
          </w:tcPr>
          <w:p w14:paraId="6A3769A8" w14:textId="77777777" w:rsidR="000931AF" w:rsidRPr="00B83A1A" w:rsidRDefault="000931AF" w:rsidP="00574263">
            <w:pPr>
              <w:pStyle w:val="BodyText"/>
              <w:jc w:val="both"/>
              <w:rPr>
                <w:b/>
                <w:spacing w:val="-2"/>
                <w:szCs w:val="20"/>
                <w:u w:val="single"/>
                <w:lang w:val="en-AU"/>
              </w:rPr>
            </w:pPr>
            <w:proofErr w:type="spellStart"/>
            <w:r w:rsidRPr="00B83A1A">
              <w:rPr>
                <w:b/>
                <w:spacing w:val="-2"/>
                <w:szCs w:val="20"/>
                <w:u w:val="single"/>
                <w:lang w:val="en-AU"/>
              </w:rPr>
              <w:t>Genotoxicity</w:t>
            </w:r>
            <w:proofErr w:type="spellEnd"/>
          </w:p>
          <w:p w14:paraId="6ADD4C9D" w14:textId="1209844D" w:rsidR="000931AF" w:rsidRPr="00B83A1A" w:rsidRDefault="000931AF" w:rsidP="00574263">
            <w:pPr>
              <w:pStyle w:val="BodyText"/>
              <w:jc w:val="both"/>
              <w:rPr>
                <w:b/>
                <w:i/>
                <w:spacing w:val="-2"/>
                <w:szCs w:val="20"/>
                <w:lang w:val="en-AU"/>
              </w:rPr>
            </w:pPr>
            <w:proofErr w:type="spellStart"/>
            <w:r w:rsidRPr="00B83A1A">
              <w:t>Genotoxicity</w:t>
            </w:r>
            <w:proofErr w:type="spellEnd"/>
            <w:r w:rsidRPr="00B83A1A">
              <w:t xml:space="preserve"> studies have not been performed with </w:t>
            </w:r>
            <w:proofErr w:type="spellStart"/>
            <w:r w:rsidRPr="00B83A1A">
              <w:t>NovoEight</w:t>
            </w:r>
            <w:proofErr w:type="spellEnd"/>
            <w:r w:rsidRPr="00B83A1A">
              <w:t xml:space="preserve"> since FVIII is an endogenous protein.</w:t>
            </w:r>
          </w:p>
        </w:tc>
      </w:tr>
      <w:tr w:rsidR="000931AF" w:rsidRPr="002E5E42" w14:paraId="6DC1E6E5" w14:textId="77777777" w:rsidTr="000931AF">
        <w:trPr>
          <w:trHeight w:val="450"/>
        </w:trPr>
        <w:tc>
          <w:tcPr>
            <w:tcW w:w="5000" w:type="pct"/>
            <w:shd w:val="clear" w:color="auto" w:fill="auto"/>
          </w:tcPr>
          <w:p w14:paraId="5B736442" w14:textId="77777777" w:rsidR="000931AF" w:rsidRPr="00B83A1A" w:rsidRDefault="000931AF" w:rsidP="00574263">
            <w:pPr>
              <w:pStyle w:val="BodyText"/>
              <w:jc w:val="both"/>
              <w:rPr>
                <w:b/>
                <w:spacing w:val="-2"/>
                <w:szCs w:val="20"/>
                <w:u w:val="single"/>
                <w:lang w:val="en-AU"/>
              </w:rPr>
            </w:pPr>
            <w:r w:rsidRPr="00B83A1A">
              <w:rPr>
                <w:b/>
                <w:spacing w:val="-2"/>
                <w:szCs w:val="20"/>
                <w:u w:val="single"/>
                <w:lang w:val="en-AU"/>
              </w:rPr>
              <w:t>Carcinogenicity</w:t>
            </w:r>
          </w:p>
          <w:p w14:paraId="74DA176F" w14:textId="77777777" w:rsidR="000931AF" w:rsidRPr="00B83A1A" w:rsidRDefault="000931AF" w:rsidP="00574263">
            <w:pPr>
              <w:pStyle w:val="BodyText"/>
              <w:jc w:val="both"/>
              <w:rPr>
                <w:b/>
                <w:i/>
                <w:spacing w:val="-2"/>
                <w:szCs w:val="20"/>
                <w:lang w:val="en-AU"/>
              </w:rPr>
            </w:pPr>
            <w:r w:rsidRPr="00B83A1A">
              <w:t xml:space="preserve">No carcinogenicity studies have been conducted with </w:t>
            </w:r>
            <w:proofErr w:type="spellStart"/>
            <w:r w:rsidRPr="00B83A1A">
              <w:t>NovoEight</w:t>
            </w:r>
            <w:proofErr w:type="spellEnd"/>
            <w:r w:rsidRPr="00B83A1A">
              <w:t xml:space="preserve"> since FVIII is an endogenous protein.</w:t>
            </w:r>
          </w:p>
        </w:tc>
      </w:tr>
      <w:tr w:rsidR="000931AF" w:rsidRPr="002E5E42" w14:paraId="6EFC3BD5" w14:textId="77777777" w:rsidTr="000931AF">
        <w:trPr>
          <w:trHeight w:val="450"/>
        </w:trPr>
        <w:tc>
          <w:tcPr>
            <w:tcW w:w="5000" w:type="pct"/>
            <w:shd w:val="clear" w:color="auto" w:fill="auto"/>
          </w:tcPr>
          <w:p w14:paraId="42C3DCD9" w14:textId="77777777" w:rsidR="000931AF" w:rsidRPr="00B83A1A" w:rsidRDefault="000931AF" w:rsidP="00DC5D9A">
            <w:pPr>
              <w:pStyle w:val="BodyText"/>
              <w:jc w:val="both"/>
              <w:rPr>
                <w:b/>
                <w:i/>
                <w:spacing w:val="-2"/>
                <w:szCs w:val="20"/>
                <w:lang w:val="en-AU"/>
              </w:rPr>
            </w:pPr>
            <w:r w:rsidRPr="00B83A1A">
              <w:rPr>
                <w:b/>
                <w:spacing w:val="-2"/>
                <w:szCs w:val="20"/>
                <w:u w:val="single"/>
                <w:lang w:val="en-AU"/>
              </w:rPr>
              <w:t>Effect on laboratory tests</w:t>
            </w:r>
          </w:p>
        </w:tc>
      </w:tr>
      <w:tr w:rsidR="000931AF" w:rsidRPr="002E5E42" w14:paraId="04EA4393" w14:textId="77777777" w:rsidTr="000931AF">
        <w:trPr>
          <w:trHeight w:val="450"/>
        </w:trPr>
        <w:tc>
          <w:tcPr>
            <w:tcW w:w="5000" w:type="pct"/>
            <w:shd w:val="clear" w:color="auto" w:fill="auto"/>
          </w:tcPr>
          <w:p w14:paraId="5D9053C3" w14:textId="77777777" w:rsidR="000931AF" w:rsidRPr="00B83A1A" w:rsidRDefault="000931AF" w:rsidP="00DC5D9A">
            <w:pPr>
              <w:pStyle w:val="BodyText"/>
              <w:jc w:val="both"/>
              <w:rPr>
                <w:b/>
                <w:i/>
                <w:spacing w:val="-2"/>
                <w:szCs w:val="20"/>
                <w:lang w:val="en-AU"/>
              </w:rPr>
            </w:pPr>
            <w:r w:rsidRPr="00B83A1A">
              <w:t>No significant effects on laboratory tests have been observed.</w:t>
            </w:r>
          </w:p>
        </w:tc>
      </w:tr>
      <w:tr w:rsidR="000931AF" w:rsidRPr="002E5E42" w14:paraId="6971E60E" w14:textId="77777777" w:rsidTr="000931AF">
        <w:trPr>
          <w:trHeight w:val="450"/>
        </w:trPr>
        <w:tc>
          <w:tcPr>
            <w:tcW w:w="5000" w:type="pct"/>
            <w:shd w:val="clear" w:color="auto" w:fill="auto"/>
          </w:tcPr>
          <w:p w14:paraId="2A2F08D0" w14:textId="77777777" w:rsidR="000931AF" w:rsidRPr="00B83A1A" w:rsidRDefault="000931AF" w:rsidP="00DC5D9A">
            <w:pPr>
              <w:pStyle w:val="BodyText"/>
              <w:jc w:val="both"/>
              <w:rPr>
                <w:b/>
                <w:i/>
                <w:spacing w:val="-2"/>
                <w:szCs w:val="20"/>
                <w:lang w:val="en-AU"/>
              </w:rPr>
            </w:pPr>
            <w:r w:rsidRPr="00B83A1A">
              <w:rPr>
                <w:b/>
                <w:spacing w:val="-2"/>
                <w:szCs w:val="20"/>
                <w:u w:val="single"/>
                <w:lang w:val="en-AU"/>
              </w:rPr>
              <w:t>Incompatibilities</w:t>
            </w:r>
          </w:p>
        </w:tc>
      </w:tr>
      <w:tr w:rsidR="000931AF" w:rsidRPr="002E5E42" w14:paraId="28717476" w14:textId="77777777" w:rsidTr="000931AF">
        <w:trPr>
          <w:trHeight w:val="450"/>
        </w:trPr>
        <w:tc>
          <w:tcPr>
            <w:tcW w:w="5000" w:type="pct"/>
            <w:shd w:val="clear" w:color="auto" w:fill="auto"/>
          </w:tcPr>
          <w:p w14:paraId="5193A6C3" w14:textId="77777777" w:rsidR="000931AF" w:rsidRPr="003F0BF6" w:rsidRDefault="000931AF" w:rsidP="00DC5D9A">
            <w:pPr>
              <w:pStyle w:val="BodyText"/>
              <w:jc w:val="both"/>
            </w:pPr>
            <w:r w:rsidRPr="00B83A1A">
              <w:t>In the absence of compatibility studies, this medicinal product must not be mixed with other medicinal products.</w:t>
            </w:r>
          </w:p>
        </w:tc>
      </w:tr>
      <w:tr w:rsidR="000931AF" w:rsidRPr="002E5E42" w14:paraId="0BA91EA1" w14:textId="77777777" w:rsidTr="000931AF">
        <w:trPr>
          <w:trHeight w:val="450"/>
        </w:trPr>
        <w:tc>
          <w:tcPr>
            <w:tcW w:w="5000" w:type="pct"/>
            <w:shd w:val="clear" w:color="auto" w:fill="auto"/>
          </w:tcPr>
          <w:p w14:paraId="12252C95" w14:textId="77777777" w:rsidR="003F0BF6" w:rsidRDefault="003F0BF6" w:rsidP="00DC5D9A">
            <w:pPr>
              <w:pStyle w:val="BodyText"/>
              <w:jc w:val="both"/>
              <w:rPr>
                <w:b/>
                <w:spacing w:val="-2"/>
                <w:szCs w:val="20"/>
                <w:u w:val="single"/>
                <w:lang w:val="en-AU"/>
              </w:rPr>
            </w:pPr>
          </w:p>
          <w:p w14:paraId="238DA2BE" w14:textId="77777777" w:rsidR="000931AF" w:rsidRPr="00B83A1A" w:rsidRDefault="000931AF" w:rsidP="00DC5D9A">
            <w:pPr>
              <w:pStyle w:val="BodyText"/>
              <w:jc w:val="both"/>
            </w:pPr>
            <w:r w:rsidRPr="00B83A1A">
              <w:rPr>
                <w:b/>
                <w:spacing w:val="-2"/>
                <w:szCs w:val="20"/>
                <w:u w:val="single"/>
                <w:lang w:val="en-AU"/>
              </w:rPr>
              <w:lastRenderedPageBreak/>
              <w:t>Effects on ability to drive and use machines</w:t>
            </w:r>
          </w:p>
        </w:tc>
      </w:tr>
      <w:tr w:rsidR="000931AF" w:rsidRPr="002E5E42" w14:paraId="5568582B" w14:textId="77777777" w:rsidTr="000931AF">
        <w:trPr>
          <w:trHeight w:val="450"/>
        </w:trPr>
        <w:tc>
          <w:tcPr>
            <w:tcW w:w="5000" w:type="pct"/>
            <w:shd w:val="clear" w:color="auto" w:fill="auto"/>
          </w:tcPr>
          <w:p w14:paraId="7208C487" w14:textId="372C02DB" w:rsidR="000931AF" w:rsidRPr="00B83A1A" w:rsidRDefault="000931AF" w:rsidP="00DC5D9A">
            <w:pPr>
              <w:pStyle w:val="BodyText"/>
              <w:jc w:val="both"/>
            </w:pPr>
            <w:proofErr w:type="spellStart"/>
            <w:proofErr w:type="gramStart"/>
            <w:r w:rsidRPr="00B83A1A">
              <w:lastRenderedPageBreak/>
              <w:t>NovoEight</w:t>
            </w:r>
            <w:proofErr w:type="spellEnd"/>
            <w:r w:rsidRPr="00B83A1A">
              <w:t xml:space="preserve"> </w:t>
            </w:r>
            <w:r w:rsidRPr="00B83A1A">
              <w:rPr>
                <w:vertAlign w:val="superscript"/>
              </w:rPr>
              <w:t xml:space="preserve"> </w:t>
            </w:r>
            <w:r w:rsidRPr="00B83A1A">
              <w:t>has</w:t>
            </w:r>
            <w:proofErr w:type="gramEnd"/>
            <w:r w:rsidRPr="00B83A1A">
              <w:t xml:space="preserve"> no influence on the ability to drive and use machines.</w:t>
            </w:r>
          </w:p>
        </w:tc>
      </w:tr>
      <w:tr w:rsidR="000931AF" w:rsidRPr="002E5E42" w14:paraId="0D41E1E3" w14:textId="77777777" w:rsidTr="000931AF">
        <w:trPr>
          <w:trHeight w:val="450"/>
        </w:trPr>
        <w:tc>
          <w:tcPr>
            <w:tcW w:w="5000" w:type="pct"/>
            <w:shd w:val="clear" w:color="auto" w:fill="auto"/>
          </w:tcPr>
          <w:p w14:paraId="1F0B3D78" w14:textId="77777777" w:rsidR="000931AF" w:rsidRPr="00B83A1A" w:rsidRDefault="000931AF" w:rsidP="00341C43">
            <w:pPr>
              <w:pStyle w:val="BodyText"/>
              <w:keepNext/>
              <w:jc w:val="both"/>
              <w:rPr>
                <w:b/>
                <w:lang w:val="en-AU"/>
              </w:rPr>
            </w:pPr>
            <w:r w:rsidRPr="00B83A1A">
              <w:rPr>
                <w:b/>
                <w:spacing w:val="-2"/>
                <w:szCs w:val="20"/>
                <w:u w:val="single"/>
                <w:lang w:val="en-AU"/>
              </w:rPr>
              <w:t>Advice when travelling</w:t>
            </w:r>
          </w:p>
        </w:tc>
      </w:tr>
      <w:tr w:rsidR="000931AF" w:rsidRPr="002E5E42" w14:paraId="5882ACAF" w14:textId="77777777" w:rsidTr="000931AF">
        <w:trPr>
          <w:trHeight w:val="450"/>
        </w:trPr>
        <w:tc>
          <w:tcPr>
            <w:tcW w:w="5000" w:type="pct"/>
            <w:shd w:val="clear" w:color="auto" w:fill="auto"/>
          </w:tcPr>
          <w:p w14:paraId="33838B45" w14:textId="77777777" w:rsidR="000931AF" w:rsidRPr="00B83A1A" w:rsidRDefault="000931AF" w:rsidP="006153A6">
            <w:pPr>
              <w:pStyle w:val="BodyText"/>
              <w:jc w:val="both"/>
              <w:rPr>
                <w:b/>
                <w:lang w:val="en-AU"/>
              </w:rPr>
            </w:pPr>
            <w:r w:rsidRPr="00B83A1A">
              <w:t xml:space="preserve">Patients should be advised to ensure they have adequate supplies of </w:t>
            </w:r>
            <w:proofErr w:type="spellStart"/>
            <w:r w:rsidRPr="00B83A1A">
              <w:t>NovoEight</w:t>
            </w:r>
            <w:proofErr w:type="spellEnd"/>
            <w:r w:rsidRPr="00B83A1A">
              <w:t xml:space="preserve"> prior to travelling. Patients should consult their healthcare professional prior to travelling to obtain appropriate guidance on the clinical management of their condition.</w:t>
            </w:r>
          </w:p>
        </w:tc>
      </w:tr>
      <w:tr w:rsidR="000931AF" w:rsidRPr="002E5E42" w14:paraId="109328BC" w14:textId="77777777" w:rsidTr="000931AF">
        <w:trPr>
          <w:trHeight w:val="450"/>
        </w:trPr>
        <w:tc>
          <w:tcPr>
            <w:tcW w:w="5000" w:type="pct"/>
            <w:shd w:val="clear" w:color="auto" w:fill="auto"/>
          </w:tcPr>
          <w:p w14:paraId="28278E84" w14:textId="77777777" w:rsidR="000931AF" w:rsidRPr="00B83A1A" w:rsidDel="008430F8" w:rsidRDefault="000931AF" w:rsidP="00DC5D9A">
            <w:pPr>
              <w:pStyle w:val="BodyText"/>
              <w:jc w:val="both"/>
            </w:pPr>
            <w:r w:rsidRPr="00B83A1A">
              <w:rPr>
                <w:b/>
                <w:lang w:val="en-AU"/>
              </w:rPr>
              <w:t>INTERACTION WITH OTHER MEDICINES</w:t>
            </w:r>
          </w:p>
        </w:tc>
      </w:tr>
      <w:tr w:rsidR="000931AF" w:rsidRPr="002E5E42" w14:paraId="0BC8163E" w14:textId="77777777" w:rsidTr="000931AF">
        <w:trPr>
          <w:trHeight w:val="450"/>
        </w:trPr>
        <w:tc>
          <w:tcPr>
            <w:tcW w:w="5000" w:type="pct"/>
            <w:shd w:val="clear" w:color="auto" w:fill="auto"/>
          </w:tcPr>
          <w:p w14:paraId="788E7269" w14:textId="77777777" w:rsidR="000931AF" w:rsidRPr="00B83A1A" w:rsidRDefault="000931AF" w:rsidP="00A720F4">
            <w:pPr>
              <w:spacing w:after="240"/>
              <w:jc w:val="both"/>
            </w:pPr>
            <w:r w:rsidRPr="00B83A1A">
              <w:t xml:space="preserve">No interaction studies have been performed with </w:t>
            </w:r>
            <w:proofErr w:type="spellStart"/>
            <w:r w:rsidRPr="00B83A1A">
              <w:t>NovoEight</w:t>
            </w:r>
            <w:proofErr w:type="spellEnd"/>
            <w:r w:rsidRPr="00B83A1A">
              <w:t>. No interactions of recombinant factor VIII products with other medicines are known.</w:t>
            </w:r>
          </w:p>
        </w:tc>
      </w:tr>
      <w:tr w:rsidR="000931AF" w:rsidRPr="002E5E42" w14:paraId="168E6F43" w14:textId="77777777" w:rsidTr="000931AF">
        <w:trPr>
          <w:trHeight w:val="450"/>
        </w:trPr>
        <w:tc>
          <w:tcPr>
            <w:tcW w:w="5000" w:type="pct"/>
            <w:shd w:val="clear" w:color="auto" w:fill="auto"/>
          </w:tcPr>
          <w:p w14:paraId="1609F1D0" w14:textId="07308A3A" w:rsidR="000931AF" w:rsidRPr="00B83A1A" w:rsidDel="008430F8" w:rsidRDefault="000931AF" w:rsidP="009C485B">
            <w:pPr>
              <w:pStyle w:val="BodyText"/>
              <w:jc w:val="both"/>
            </w:pPr>
            <w:r w:rsidRPr="00B83A1A">
              <w:rPr>
                <w:b/>
                <w:lang w:val="en-AU"/>
              </w:rPr>
              <w:t>ADVERSE EFFECTS</w:t>
            </w:r>
          </w:p>
        </w:tc>
      </w:tr>
      <w:tr w:rsidR="000931AF" w:rsidRPr="002E5E42" w14:paraId="7421EDB5" w14:textId="77777777" w:rsidTr="000931AF">
        <w:trPr>
          <w:trHeight w:val="450"/>
        </w:trPr>
        <w:tc>
          <w:tcPr>
            <w:tcW w:w="5000" w:type="pct"/>
            <w:shd w:val="clear" w:color="auto" w:fill="auto"/>
          </w:tcPr>
          <w:p w14:paraId="751F4C97" w14:textId="7379F346" w:rsidR="00BB5CA6" w:rsidRPr="00BB5CA6" w:rsidRDefault="00BB5CA6" w:rsidP="003F0BF6">
            <w:pPr>
              <w:pStyle w:val="BodyText"/>
              <w:spacing w:after="0" w:line="240" w:lineRule="auto"/>
              <w:jc w:val="both"/>
            </w:pPr>
            <w:r w:rsidRPr="00BB5CA6">
              <w:t xml:space="preserve">During all clinical studies, a total of 503 adverse events were reported in 154 of 214 subjects exposed to </w:t>
            </w:r>
            <w:proofErr w:type="spellStart"/>
            <w:r w:rsidRPr="00BB5CA6">
              <w:t>NovoEight</w:t>
            </w:r>
            <w:proofErr w:type="spellEnd"/>
            <w:r w:rsidRPr="00BB5CA6">
              <w:t xml:space="preserve">. Of the 503 adverse events, 337 events were reported in 98 </w:t>
            </w:r>
            <w:proofErr w:type="gramStart"/>
            <w:r w:rsidRPr="00BB5CA6">
              <w:t>subjects</w:t>
            </w:r>
            <w:proofErr w:type="gramEnd"/>
            <w:r w:rsidRPr="00BB5CA6">
              <w:t xml:space="preserve"> ≥18 years, 66 events in 19 adolescents between 12 and 17 years, 46 events in 18 children between 6 and 11 years, and 54 events were reported in 19 children &lt; 6 years.</w:t>
            </w:r>
          </w:p>
          <w:p w14:paraId="4A151148" w14:textId="228FC2F9" w:rsidR="00BB5CA6" w:rsidRPr="00BB5CA6" w:rsidRDefault="00BB5CA6" w:rsidP="00BB5CA6">
            <w:pPr>
              <w:pStyle w:val="BodyText"/>
            </w:pPr>
          </w:p>
          <w:p w14:paraId="1D6CA084" w14:textId="4BE6A497" w:rsidR="00BB5CA6" w:rsidRDefault="001867C0" w:rsidP="001E2525">
            <w:pPr>
              <w:spacing w:after="240" w:line="264" w:lineRule="auto"/>
              <w:jc w:val="both"/>
              <w:rPr>
                <w:rFonts w:eastAsiaTheme="minorHAnsi"/>
                <w:i/>
                <w:sz w:val="20"/>
                <w:lang w:val="da-DK"/>
              </w:rPr>
            </w:pPr>
            <w:r w:rsidRPr="001867C0">
              <w:rPr>
                <w:b/>
                <w:lang w:eastAsia="en-GB"/>
              </w:rPr>
              <w:t>Table 7 Summary of adverse events with an incidence of ≥ 5% in the total safety population</w:t>
            </w:r>
          </w:p>
          <w:tbl>
            <w:tblPr>
              <w:tblStyle w:val="TableGrid"/>
              <w:tblW w:w="0" w:type="auto"/>
              <w:tblLayout w:type="fixed"/>
              <w:tblLook w:val="04A0" w:firstRow="1" w:lastRow="0" w:firstColumn="1" w:lastColumn="0" w:noHBand="0" w:noVBand="1"/>
            </w:tblPr>
            <w:tblGrid>
              <w:gridCol w:w="2017"/>
              <w:gridCol w:w="1960"/>
              <w:gridCol w:w="1958"/>
              <w:gridCol w:w="1959"/>
              <w:gridCol w:w="1245"/>
            </w:tblGrid>
            <w:tr w:rsidR="00BB5CA6" w:rsidRPr="001867C0" w14:paraId="22E6A7EF" w14:textId="77777777" w:rsidTr="004C6FA0">
              <w:trPr>
                <w:trHeight w:val="529"/>
              </w:trPr>
              <w:tc>
                <w:tcPr>
                  <w:tcW w:w="2017" w:type="dxa"/>
                  <w:shd w:val="clear" w:color="auto" w:fill="FDE9D9" w:themeFill="accent6" w:themeFillTint="33"/>
                </w:tcPr>
                <w:p w14:paraId="0825D78A" w14:textId="1EC52EEE"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 xml:space="preserve">MedDRA System Organ Class </w:t>
                  </w:r>
                </w:p>
              </w:tc>
              <w:tc>
                <w:tcPr>
                  <w:tcW w:w="1960" w:type="dxa"/>
                  <w:shd w:val="clear" w:color="auto" w:fill="FDE9D9" w:themeFill="accent6" w:themeFillTint="33"/>
                </w:tcPr>
                <w:p w14:paraId="289CC409" w14:textId="5CB86D6F"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MedDRA Preferred Term</w:t>
                  </w:r>
                </w:p>
              </w:tc>
              <w:tc>
                <w:tcPr>
                  <w:tcW w:w="1958" w:type="dxa"/>
                  <w:shd w:val="clear" w:color="auto" w:fill="FDE9D9" w:themeFill="accent6" w:themeFillTint="33"/>
                </w:tcPr>
                <w:p w14:paraId="64F1C1B9" w14:textId="3A5FCCF1"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Number of Events</w:t>
                  </w:r>
                </w:p>
              </w:tc>
              <w:tc>
                <w:tcPr>
                  <w:tcW w:w="1959" w:type="dxa"/>
                  <w:shd w:val="clear" w:color="auto" w:fill="FDE9D9" w:themeFill="accent6" w:themeFillTint="33"/>
                </w:tcPr>
                <w:p w14:paraId="3EC8618B" w14:textId="034BB60A"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Number of Subjects</w:t>
                  </w:r>
                </w:p>
              </w:tc>
              <w:tc>
                <w:tcPr>
                  <w:tcW w:w="1245" w:type="dxa"/>
                  <w:shd w:val="clear" w:color="auto" w:fill="FDE9D9" w:themeFill="accent6" w:themeFillTint="33"/>
                </w:tcPr>
                <w:p w14:paraId="3ACB436E" w14:textId="4EB15D9E" w:rsidR="00BB5CA6" w:rsidRPr="004C6FA0" w:rsidRDefault="00BB5CA6" w:rsidP="004C6FA0">
                  <w:pPr>
                    <w:suppressAutoHyphens w:val="0"/>
                    <w:spacing w:after="200"/>
                    <w:ind w:right="33"/>
                    <w:rPr>
                      <w:rFonts w:eastAsiaTheme="minorHAnsi" w:cs="Courier New"/>
                      <w:b/>
                      <w:sz w:val="18"/>
                      <w:szCs w:val="18"/>
                      <w:lang w:val="da-DK"/>
                    </w:rPr>
                  </w:pPr>
                  <w:r w:rsidRPr="004C6FA0">
                    <w:rPr>
                      <w:rFonts w:eastAsiaTheme="minorHAnsi" w:cs="Courier New"/>
                      <w:b/>
                      <w:sz w:val="18"/>
                      <w:szCs w:val="18"/>
                      <w:lang w:val="da-DK"/>
                    </w:rPr>
                    <w:t xml:space="preserve">% of evaluable Subjects </w:t>
                  </w:r>
                </w:p>
              </w:tc>
            </w:tr>
            <w:tr w:rsidR="00BB5CA6" w:rsidRPr="001867C0" w14:paraId="5145F810" w14:textId="77777777" w:rsidTr="004C6FA0">
              <w:tc>
                <w:tcPr>
                  <w:tcW w:w="2017" w:type="dxa"/>
                </w:tcPr>
                <w:p w14:paraId="05C52E8E" w14:textId="77777777"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Nervous system disorders</w:t>
                  </w:r>
                </w:p>
              </w:tc>
              <w:tc>
                <w:tcPr>
                  <w:tcW w:w="1960" w:type="dxa"/>
                </w:tcPr>
                <w:p w14:paraId="7897AFEF"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Headache</w:t>
                  </w:r>
                </w:p>
              </w:tc>
              <w:tc>
                <w:tcPr>
                  <w:tcW w:w="1958" w:type="dxa"/>
                </w:tcPr>
                <w:p w14:paraId="6E45666C"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34</w:t>
                  </w:r>
                </w:p>
              </w:tc>
              <w:tc>
                <w:tcPr>
                  <w:tcW w:w="1959" w:type="dxa"/>
                </w:tcPr>
                <w:p w14:paraId="77772E26"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22</w:t>
                  </w:r>
                </w:p>
              </w:tc>
              <w:tc>
                <w:tcPr>
                  <w:tcW w:w="1245" w:type="dxa"/>
                </w:tcPr>
                <w:p w14:paraId="32325DD1"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10.3</w:t>
                  </w:r>
                </w:p>
              </w:tc>
            </w:tr>
            <w:tr w:rsidR="00BB5CA6" w:rsidRPr="001867C0" w14:paraId="73EC362E" w14:textId="77777777" w:rsidTr="004C6FA0">
              <w:tc>
                <w:tcPr>
                  <w:tcW w:w="2017" w:type="dxa"/>
                  <w:vMerge w:val="restart"/>
                </w:tcPr>
                <w:p w14:paraId="044A4F30" w14:textId="77777777"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 xml:space="preserve">Infections and infestations           </w:t>
                  </w:r>
                </w:p>
              </w:tc>
              <w:tc>
                <w:tcPr>
                  <w:tcW w:w="1960" w:type="dxa"/>
                </w:tcPr>
                <w:p w14:paraId="31CCA1F4"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 xml:space="preserve">Nasopharyngitis    </w:t>
                  </w:r>
                </w:p>
              </w:tc>
              <w:tc>
                <w:tcPr>
                  <w:tcW w:w="1958" w:type="dxa"/>
                </w:tcPr>
                <w:p w14:paraId="126DEC5A"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30</w:t>
                  </w:r>
                </w:p>
              </w:tc>
              <w:tc>
                <w:tcPr>
                  <w:tcW w:w="1959" w:type="dxa"/>
                </w:tcPr>
                <w:p w14:paraId="1E1102F4"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22</w:t>
                  </w:r>
                </w:p>
              </w:tc>
              <w:tc>
                <w:tcPr>
                  <w:tcW w:w="1245" w:type="dxa"/>
                </w:tcPr>
                <w:p w14:paraId="0DAAFE58"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10.3</w:t>
                  </w:r>
                </w:p>
              </w:tc>
            </w:tr>
            <w:tr w:rsidR="00BB5CA6" w:rsidRPr="001867C0" w14:paraId="7B914EA2" w14:textId="77777777" w:rsidTr="004C6FA0">
              <w:tc>
                <w:tcPr>
                  <w:tcW w:w="2017" w:type="dxa"/>
                  <w:vMerge/>
                </w:tcPr>
                <w:p w14:paraId="47E7761A" w14:textId="77777777" w:rsidR="00BB5CA6" w:rsidRPr="004C6FA0" w:rsidRDefault="00BB5CA6" w:rsidP="00BB5CA6">
                  <w:pPr>
                    <w:suppressAutoHyphens w:val="0"/>
                    <w:spacing w:after="200"/>
                    <w:rPr>
                      <w:rFonts w:eastAsiaTheme="minorHAnsi" w:cs="Courier New"/>
                      <w:b/>
                      <w:sz w:val="18"/>
                      <w:szCs w:val="18"/>
                      <w:lang w:val="da-DK"/>
                    </w:rPr>
                  </w:pPr>
                </w:p>
              </w:tc>
              <w:tc>
                <w:tcPr>
                  <w:tcW w:w="1960" w:type="dxa"/>
                </w:tcPr>
                <w:p w14:paraId="15AA92CC"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Upper respiratory tract infection</w:t>
                  </w:r>
                </w:p>
              </w:tc>
              <w:tc>
                <w:tcPr>
                  <w:tcW w:w="1958" w:type="dxa"/>
                </w:tcPr>
                <w:p w14:paraId="4BCE5D4C"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13</w:t>
                  </w:r>
                </w:p>
              </w:tc>
              <w:tc>
                <w:tcPr>
                  <w:tcW w:w="1959" w:type="dxa"/>
                </w:tcPr>
                <w:p w14:paraId="46DE077F"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11</w:t>
                  </w:r>
                </w:p>
              </w:tc>
              <w:tc>
                <w:tcPr>
                  <w:tcW w:w="1245" w:type="dxa"/>
                </w:tcPr>
                <w:p w14:paraId="4ED279A3"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5.1</w:t>
                  </w:r>
                </w:p>
              </w:tc>
            </w:tr>
            <w:tr w:rsidR="00BB5CA6" w:rsidRPr="001867C0" w14:paraId="552D6BEB" w14:textId="77777777" w:rsidTr="004C6FA0">
              <w:tc>
                <w:tcPr>
                  <w:tcW w:w="2017" w:type="dxa"/>
                </w:tcPr>
                <w:p w14:paraId="108296B0" w14:textId="77777777"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Injury, poisoning and procedural complications</w:t>
                  </w:r>
                </w:p>
              </w:tc>
              <w:tc>
                <w:tcPr>
                  <w:tcW w:w="1960" w:type="dxa"/>
                </w:tcPr>
                <w:p w14:paraId="7CDB9EBF"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Incorrect dose administered</w:t>
                  </w:r>
                </w:p>
              </w:tc>
              <w:tc>
                <w:tcPr>
                  <w:tcW w:w="1958" w:type="dxa"/>
                </w:tcPr>
                <w:p w14:paraId="10660A2A"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26</w:t>
                  </w:r>
                </w:p>
              </w:tc>
              <w:tc>
                <w:tcPr>
                  <w:tcW w:w="1959" w:type="dxa"/>
                </w:tcPr>
                <w:p w14:paraId="35A09BA4"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19</w:t>
                  </w:r>
                </w:p>
              </w:tc>
              <w:tc>
                <w:tcPr>
                  <w:tcW w:w="1245" w:type="dxa"/>
                </w:tcPr>
                <w:p w14:paraId="6D7FA6C3"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8.9</w:t>
                  </w:r>
                </w:p>
              </w:tc>
            </w:tr>
            <w:tr w:rsidR="00BB5CA6" w:rsidRPr="001867C0" w14:paraId="24C3B351" w14:textId="77777777" w:rsidTr="004C6FA0">
              <w:tc>
                <w:tcPr>
                  <w:tcW w:w="2017" w:type="dxa"/>
                </w:tcPr>
                <w:p w14:paraId="4A91F18F" w14:textId="77777777"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Musculoskeletal and connective tissue disorders</w:t>
                  </w:r>
                </w:p>
              </w:tc>
              <w:tc>
                <w:tcPr>
                  <w:tcW w:w="1960" w:type="dxa"/>
                </w:tcPr>
                <w:p w14:paraId="5BECD6F6"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Arthralgia</w:t>
                  </w:r>
                </w:p>
              </w:tc>
              <w:tc>
                <w:tcPr>
                  <w:tcW w:w="1958" w:type="dxa"/>
                </w:tcPr>
                <w:p w14:paraId="27FF774E"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15</w:t>
                  </w:r>
                </w:p>
              </w:tc>
              <w:tc>
                <w:tcPr>
                  <w:tcW w:w="1959" w:type="dxa"/>
                </w:tcPr>
                <w:p w14:paraId="0E90C04F"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13</w:t>
                  </w:r>
                </w:p>
              </w:tc>
              <w:tc>
                <w:tcPr>
                  <w:tcW w:w="1245" w:type="dxa"/>
                </w:tcPr>
                <w:p w14:paraId="622E496D"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6.1</w:t>
                  </w:r>
                </w:p>
              </w:tc>
            </w:tr>
            <w:tr w:rsidR="00BB5CA6" w:rsidRPr="001867C0" w14:paraId="2BB0B50D" w14:textId="77777777" w:rsidTr="004C6FA0">
              <w:tc>
                <w:tcPr>
                  <w:tcW w:w="2017" w:type="dxa"/>
                </w:tcPr>
                <w:p w14:paraId="39CE8EC0" w14:textId="682FD137"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General disorders and administration site conditions</w:t>
                  </w:r>
                </w:p>
              </w:tc>
              <w:tc>
                <w:tcPr>
                  <w:tcW w:w="1960" w:type="dxa"/>
                </w:tcPr>
                <w:p w14:paraId="44472698"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Pyrexia</w:t>
                  </w:r>
                </w:p>
              </w:tc>
              <w:tc>
                <w:tcPr>
                  <w:tcW w:w="1958" w:type="dxa"/>
                </w:tcPr>
                <w:p w14:paraId="78A07161"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15</w:t>
                  </w:r>
                </w:p>
              </w:tc>
              <w:tc>
                <w:tcPr>
                  <w:tcW w:w="1959" w:type="dxa"/>
                </w:tcPr>
                <w:p w14:paraId="3E2A801D"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13</w:t>
                  </w:r>
                </w:p>
              </w:tc>
              <w:tc>
                <w:tcPr>
                  <w:tcW w:w="1245" w:type="dxa"/>
                </w:tcPr>
                <w:p w14:paraId="7F81A555"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6.1</w:t>
                  </w:r>
                </w:p>
              </w:tc>
            </w:tr>
            <w:tr w:rsidR="00BB5CA6" w:rsidRPr="001867C0" w14:paraId="4F3E508D" w14:textId="77777777" w:rsidTr="004C6FA0">
              <w:tc>
                <w:tcPr>
                  <w:tcW w:w="2017" w:type="dxa"/>
                </w:tcPr>
                <w:p w14:paraId="351E8146" w14:textId="77777777" w:rsidR="00BB5CA6" w:rsidRPr="004C6FA0" w:rsidRDefault="00BB5CA6" w:rsidP="00BB5CA6">
                  <w:pPr>
                    <w:suppressAutoHyphens w:val="0"/>
                    <w:spacing w:after="200"/>
                    <w:rPr>
                      <w:rFonts w:eastAsiaTheme="minorHAnsi" w:cs="Courier New"/>
                      <w:b/>
                      <w:sz w:val="18"/>
                      <w:szCs w:val="18"/>
                      <w:lang w:val="da-DK"/>
                    </w:rPr>
                  </w:pPr>
                  <w:r w:rsidRPr="004C6FA0">
                    <w:rPr>
                      <w:rFonts w:eastAsiaTheme="minorHAnsi" w:cs="Courier New"/>
                      <w:b/>
                      <w:sz w:val="18"/>
                      <w:szCs w:val="18"/>
                      <w:lang w:val="da-DK"/>
                    </w:rPr>
                    <w:t>Gastrointestinal disorders</w:t>
                  </w:r>
                </w:p>
              </w:tc>
              <w:tc>
                <w:tcPr>
                  <w:tcW w:w="1960" w:type="dxa"/>
                </w:tcPr>
                <w:p w14:paraId="6E523431"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Toothache</w:t>
                  </w:r>
                </w:p>
              </w:tc>
              <w:tc>
                <w:tcPr>
                  <w:tcW w:w="1958" w:type="dxa"/>
                </w:tcPr>
                <w:p w14:paraId="62A92CDE"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12</w:t>
                  </w:r>
                </w:p>
              </w:tc>
              <w:tc>
                <w:tcPr>
                  <w:tcW w:w="1959" w:type="dxa"/>
                </w:tcPr>
                <w:p w14:paraId="0F2B1E3D"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11</w:t>
                  </w:r>
                </w:p>
              </w:tc>
              <w:tc>
                <w:tcPr>
                  <w:tcW w:w="1245" w:type="dxa"/>
                </w:tcPr>
                <w:p w14:paraId="0433B89F" w14:textId="77777777" w:rsidR="00BB5CA6" w:rsidRPr="004C6FA0" w:rsidRDefault="00BB5CA6" w:rsidP="00BB5CA6">
                  <w:pPr>
                    <w:suppressAutoHyphens w:val="0"/>
                    <w:spacing w:after="200"/>
                    <w:rPr>
                      <w:rFonts w:eastAsiaTheme="minorHAnsi" w:cs="Courier New"/>
                      <w:sz w:val="18"/>
                      <w:szCs w:val="18"/>
                      <w:lang w:val="da-DK"/>
                    </w:rPr>
                  </w:pPr>
                  <w:r w:rsidRPr="004C6FA0">
                    <w:rPr>
                      <w:rFonts w:eastAsiaTheme="minorHAnsi" w:cs="Courier New"/>
                      <w:sz w:val="18"/>
                      <w:szCs w:val="18"/>
                      <w:lang w:val="da-DK"/>
                    </w:rPr>
                    <w:t>5.1</w:t>
                  </w:r>
                </w:p>
              </w:tc>
            </w:tr>
          </w:tbl>
          <w:p w14:paraId="3E30DF7E" w14:textId="663793C8" w:rsidR="00F6444A" w:rsidRPr="00BB5CA6" w:rsidRDefault="00F6444A" w:rsidP="00BB5CA6">
            <w:pPr>
              <w:pStyle w:val="BodyText"/>
              <w:spacing w:after="0"/>
              <w:rPr>
                <w:rFonts w:eastAsiaTheme="minorHAnsi"/>
                <w:sz w:val="20"/>
                <w:lang w:val="da-DK"/>
              </w:rPr>
            </w:pPr>
          </w:p>
          <w:p w14:paraId="73FAB5EB" w14:textId="77777777" w:rsidR="00422E78" w:rsidRPr="00256DDC" w:rsidRDefault="00422E78" w:rsidP="00A713C9">
            <w:pPr>
              <w:pStyle w:val="BodyText"/>
              <w:spacing w:after="0"/>
            </w:pPr>
          </w:p>
        </w:tc>
      </w:tr>
      <w:tr w:rsidR="00C973F5" w:rsidRPr="002E5E42" w14:paraId="79720605" w14:textId="77777777" w:rsidTr="000931AF">
        <w:trPr>
          <w:trHeight w:val="450"/>
        </w:trPr>
        <w:tc>
          <w:tcPr>
            <w:tcW w:w="5000" w:type="pct"/>
            <w:shd w:val="clear" w:color="auto" w:fill="auto"/>
          </w:tcPr>
          <w:p w14:paraId="5B6B1818" w14:textId="77777777" w:rsidR="00C973F5" w:rsidRPr="00C973F5" w:rsidRDefault="00C973F5" w:rsidP="00341C43">
            <w:pPr>
              <w:keepNext/>
              <w:spacing w:after="240" w:line="264" w:lineRule="auto"/>
              <w:jc w:val="both"/>
              <w:rPr>
                <w:i/>
              </w:rPr>
            </w:pPr>
            <w:r w:rsidRPr="00C973F5">
              <w:rPr>
                <w:b/>
                <w:spacing w:val="-2"/>
                <w:szCs w:val="20"/>
                <w:u w:val="single"/>
                <w:lang w:val="en-AU"/>
              </w:rPr>
              <w:lastRenderedPageBreak/>
              <w:t>Paediatric population</w:t>
            </w:r>
          </w:p>
          <w:p w14:paraId="542A6503" w14:textId="00379FCE" w:rsidR="00C973F5" w:rsidRPr="00B83A1A" w:rsidRDefault="00C973F5" w:rsidP="00C973F5">
            <w:pPr>
              <w:pStyle w:val="BodyText"/>
              <w:jc w:val="both"/>
              <w:rPr>
                <w:b/>
                <w:lang w:val="en-AU"/>
              </w:rPr>
            </w:pPr>
            <w:r w:rsidRPr="00C973F5">
              <w:t xml:space="preserve">In clinical studies involving 63 paediatric subjects aged </w:t>
            </w:r>
            <w:r>
              <w:t>1</w:t>
            </w:r>
            <w:r w:rsidRPr="00C973F5">
              <w:t xml:space="preserve"> to &lt;12 years of age and 24 adolescents aged 12 to 18 years of age with severe haemophilia A, no difference in the safety profile of </w:t>
            </w:r>
            <w:proofErr w:type="spellStart"/>
            <w:r w:rsidRPr="00C973F5">
              <w:t>NovoEight</w:t>
            </w:r>
            <w:proofErr w:type="spellEnd"/>
            <w:r w:rsidRPr="00C973F5">
              <w:t xml:space="preserve"> was observed between paediatric subjects and adults.</w:t>
            </w:r>
          </w:p>
        </w:tc>
      </w:tr>
      <w:tr w:rsidR="000931AF" w:rsidRPr="002E5E42" w14:paraId="1BA573DE" w14:textId="77777777" w:rsidTr="000931AF">
        <w:trPr>
          <w:trHeight w:val="450"/>
        </w:trPr>
        <w:tc>
          <w:tcPr>
            <w:tcW w:w="5000" w:type="pct"/>
            <w:shd w:val="clear" w:color="auto" w:fill="auto"/>
          </w:tcPr>
          <w:p w14:paraId="6C1FD118" w14:textId="77777777" w:rsidR="000931AF" w:rsidDel="008430F8" w:rsidRDefault="000931AF" w:rsidP="00BA7E7F">
            <w:pPr>
              <w:pStyle w:val="BodyText"/>
            </w:pPr>
            <w:r w:rsidRPr="00B83A1A">
              <w:rPr>
                <w:b/>
                <w:lang w:val="en-AU"/>
              </w:rPr>
              <w:t>DOSAGE AND ADMINISTRATION</w:t>
            </w:r>
          </w:p>
        </w:tc>
      </w:tr>
      <w:tr w:rsidR="000931AF" w:rsidRPr="002E5E42" w14:paraId="41C7EA16" w14:textId="77777777" w:rsidTr="000931AF">
        <w:trPr>
          <w:trHeight w:val="450"/>
        </w:trPr>
        <w:tc>
          <w:tcPr>
            <w:tcW w:w="5000" w:type="pct"/>
            <w:shd w:val="clear" w:color="auto" w:fill="auto"/>
          </w:tcPr>
          <w:p w14:paraId="355ABF93" w14:textId="77777777" w:rsidR="000931AF" w:rsidRDefault="000931AF" w:rsidP="00DC5D9A">
            <w:pPr>
              <w:pStyle w:val="BodyText"/>
              <w:jc w:val="both"/>
            </w:pPr>
            <w:r w:rsidRPr="003A70A1">
              <w:t xml:space="preserve">Treatment </w:t>
            </w:r>
            <w:r>
              <w:t xml:space="preserve">with </w:t>
            </w:r>
            <w:proofErr w:type="spellStart"/>
            <w:r>
              <w:t>NovoEight</w:t>
            </w:r>
            <w:proofErr w:type="spellEnd"/>
            <w:r>
              <w:t xml:space="preserve"> </w:t>
            </w:r>
            <w:r w:rsidRPr="003A70A1">
              <w:t>should be initiated under the supervision of a doctor experienced in the treatment of haemophilia.</w:t>
            </w:r>
          </w:p>
          <w:p w14:paraId="75743F85" w14:textId="77777777" w:rsidR="000931AF" w:rsidRPr="003A70A1" w:rsidRDefault="000931AF" w:rsidP="00DC5D9A">
            <w:pPr>
              <w:pStyle w:val="BodyText"/>
              <w:jc w:val="both"/>
            </w:pPr>
            <w:proofErr w:type="spellStart"/>
            <w:r>
              <w:t>NovoEight</w:t>
            </w:r>
            <w:proofErr w:type="spellEnd"/>
            <w:r>
              <w:t xml:space="preserve"> is suitable for use in both children and adults.</w:t>
            </w:r>
          </w:p>
          <w:p w14:paraId="07B5B859" w14:textId="77777777" w:rsidR="000931AF" w:rsidRDefault="000931AF" w:rsidP="00DC5D9A">
            <w:pPr>
              <w:pStyle w:val="BodyText"/>
              <w:jc w:val="both"/>
              <w:rPr>
                <w:b/>
                <w:spacing w:val="-2"/>
                <w:szCs w:val="20"/>
                <w:u w:val="single"/>
                <w:lang w:val="en-AU"/>
              </w:rPr>
            </w:pPr>
            <w:r w:rsidRPr="00574263">
              <w:rPr>
                <w:b/>
                <w:spacing w:val="-2"/>
                <w:szCs w:val="20"/>
                <w:u w:val="single"/>
                <w:lang w:val="en-AU"/>
              </w:rPr>
              <w:t>Dosage</w:t>
            </w:r>
          </w:p>
          <w:p w14:paraId="616DD884" w14:textId="77777777" w:rsidR="000931AF" w:rsidRPr="002E5E42" w:rsidRDefault="000931AF" w:rsidP="00DC5D9A">
            <w:pPr>
              <w:pStyle w:val="BodyText"/>
              <w:jc w:val="both"/>
              <w:rPr>
                <w:u w:val="single"/>
              </w:rPr>
            </w:pPr>
            <w:r w:rsidRPr="00B63E9B">
              <w:t>The dosage and duration of the substitution therapy depend on the severity of the factor VIII deficiency, on the location and extent of the bleeding</w:t>
            </w:r>
            <w:r>
              <w:t>,</w:t>
            </w:r>
            <w:r w:rsidRPr="00B63E9B">
              <w:t xml:space="preserve"> and the patient’s clinical condition.</w:t>
            </w:r>
          </w:p>
          <w:p w14:paraId="4E1823E8" w14:textId="553E54DD" w:rsidR="000931AF" w:rsidRPr="00B63E9B" w:rsidRDefault="000931AF" w:rsidP="00DC5D9A">
            <w:pPr>
              <w:pStyle w:val="BodyText"/>
              <w:jc w:val="both"/>
            </w:pPr>
            <w:r w:rsidRPr="00B63E9B">
              <w:t xml:space="preserve">The </w:t>
            </w:r>
            <w:r>
              <w:t>dose</w:t>
            </w:r>
            <w:r w:rsidRPr="00B63E9B">
              <w:t xml:space="preserve"> of factor VIII</w:t>
            </w:r>
            <w:r>
              <w:t xml:space="preserve"> </w:t>
            </w:r>
            <w:r w:rsidRPr="00B63E9B">
              <w:t xml:space="preserve">is expressed in </w:t>
            </w:r>
            <w:r>
              <w:t>i</w:t>
            </w:r>
            <w:r w:rsidRPr="00B63E9B">
              <w:t xml:space="preserve">nternational </w:t>
            </w:r>
            <w:r>
              <w:t>u</w:t>
            </w:r>
            <w:r w:rsidRPr="00B63E9B">
              <w:t>nits (IU), which are related t</w:t>
            </w:r>
            <w:r>
              <w:t xml:space="preserve">o the current WHO standard for factor </w:t>
            </w:r>
            <w:r w:rsidRPr="00B63E9B">
              <w:t xml:space="preserve">VIII products. </w:t>
            </w:r>
            <w:r>
              <w:t xml:space="preserve">Factor </w:t>
            </w:r>
            <w:r w:rsidRPr="00B63E9B">
              <w:t xml:space="preserve">VIII activity in plasma is expressed either as </w:t>
            </w:r>
            <w:r>
              <w:t xml:space="preserve">a </w:t>
            </w:r>
            <w:r w:rsidRPr="00B63E9B">
              <w:t>percentage (relative to normal level human plasma) or in IU</w:t>
            </w:r>
            <w:r>
              <w:t xml:space="preserve"> (relative to an international</w:t>
            </w:r>
            <w:r w:rsidRPr="00B63E9B">
              <w:t xml:space="preserve"> </w:t>
            </w:r>
            <w:r>
              <w:t>s</w:t>
            </w:r>
            <w:r w:rsidRPr="00B63E9B">
              <w:t>tand</w:t>
            </w:r>
            <w:r w:rsidR="003F0BF6">
              <w:t>ard for factor VIII in plasma).</w:t>
            </w:r>
          </w:p>
          <w:p w14:paraId="0F2660F6" w14:textId="6E93A63F" w:rsidR="000931AF" w:rsidRDefault="000931AF" w:rsidP="00DC5D9A">
            <w:pPr>
              <w:pStyle w:val="BodyText"/>
              <w:jc w:val="both"/>
            </w:pPr>
            <w:r w:rsidRPr="00B63E9B">
              <w:t xml:space="preserve">One IU of </w:t>
            </w:r>
            <w:r>
              <w:t xml:space="preserve">factor </w:t>
            </w:r>
            <w:r w:rsidRPr="00B63E9B">
              <w:t xml:space="preserve">VIII activity is equivalent to that quantity of </w:t>
            </w:r>
            <w:r>
              <w:t xml:space="preserve">factor </w:t>
            </w:r>
            <w:r w:rsidRPr="00B63E9B">
              <w:t>VIII</w:t>
            </w:r>
            <w:r w:rsidR="003F0BF6">
              <w:t xml:space="preserve"> in one ml normal human plasma.</w:t>
            </w:r>
          </w:p>
          <w:p w14:paraId="4E628380" w14:textId="77777777" w:rsidR="000931AF" w:rsidRPr="00B63E9B" w:rsidRDefault="000931AF" w:rsidP="00DC5D9A">
            <w:pPr>
              <w:pStyle w:val="BodyText"/>
              <w:jc w:val="both"/>
            </w:pPr>
            <w:r w:rsidRPr="0081422C">
              <w:rPr>
                <w:u w:val="single"/>
              </w:rPr>
              <w:t>On-demand treatment</w:t>
            </w:r>
            <w:r w:rsidRPr="002E5E42">
              <w:rPr>
                <w:i/>
                <w:u w:val="single"/>
              </w:rPr>
              <w:br/>
            </w:r>
            <w:r w:rsidRPr="00B63E9B">
              <w:t xml:space="preserve">The calculation of the required dosage of </w:t>
            </w:r>
            <w:r>
              <w:t xml:space="preserve">factor </w:t>
            </w:r>
            <w:r w:rsidRPr="00B63E9B">
              <w:t xml:space="preserve">VIII is based on the </w:t>
            </w:r>
            <w:r>
              <w:t xml:space="preserve">empirical </w:t>
            </w:r>
            <w:r w:rsidRPr="00B63E9B">
              <w:t xml:space="preserve">finding that 1 IU </w:t>
            </w:r>
            <w:r>
              <w:t xml:space="preserve">factor </w:t>
            </w:r>
            <w:r w:rsidRPr="00B63E9B">
              <w:t xml:space="preserve">VIII per kg body weight raises the plasma </w:t>
            </w:r>
            <w:r>
              <w:t xml:space="preserve">factor </w:t>
            </w:r>
            <w:r w:rsidRPr="00B63E9B">
              <w:t xml:space="preserve">VIII activity by </w:t>
            </w:r>
            <w:r w:rsidRPr="0039654B">
              <w:t>2</w:t>
            </w:r>
            <w:r w:rsidRPr="00501C10">
              <w:t xml:space="preserve"> IU/dl</w:t>
            </w:r>
            <w:r w:rsidRPr="00B63E9B">
              <w:t>. The required dose is determined using the following formula:</w:t>
            </w:r>
          </w:p>
          <w:p w14:paraId="345B9FF1" w14:textId="77777777" w:rsidR="000931AF" w:rsidRPr="00BE03A1" w:rsidRDefault="000931AF" w:rsidP="00DC5D9A">
            <w:pPr>
              <w:pStyle w:val="BodyText"/>
              <w:jc w:val="both"/>
              <w:rPr>
                <w:b/>
                <w:sz w:val="22"/>
                <w:szCs w:val="22"/>
              </w:rPr>
            </w:pPr>
            <w:r>
              <w:rPr>
                <w:b/>
                <w:sz w:val="22"/>
                <w:szCs w:val="22"/>
              </w:rPr>
              <w:t xml:space="preserve">Required units (IU) = body weight </w:t>
            </w:r>
            <w:r w:rsidRPr="00BE03A1">
              <w:rPr>
                <w:b/>
                <w:sz w:val="22"/>
                <w:szCs w:val="22"/>
              </w:rPr>
              <w:t>(kg) x des</w:t>
            </w:r>
            <w:r>
              <w:rPr>
                <w:b/>
                <w:sz w:val="22"/>
                <w:szCs w:val="22"/>
              </w:rPr>
              <w:t xml:space="preserve">ired factor VIII rise </w:t>
            </w:r>
            <w:r w:rsidRPr="00BE03A1">
              <w:rPr>
                <w:b/>
                <w:sz w:val="22"/>
                <w:szCs w:val="22"/>
              </w:rPr>
              <w:t>(%</w:t>
            </w:r>
            <w:r>
              <w:rPr>
                <w:b/>
                <w:sz w:val="22"/>
                <w:szCs w:val="22"/>
              </w:rPr>
              <w:t xml:space="preserve"> or </w:t>
            </w:r>
            <w:r w:rsidRPr="00BE03A1">
              <w:rPr>
                <w:b/>
                <w:sz w:val="22"/>
                <w:szCs w:val="22"/>
              </w:rPr>
              <w:t>IU/dl</w:t>
            </w:r>
            <w:r>
              <w:rPr>
                <w:b/>
                <w:sz w:val="22"/>
                <w:szCs w:val="22"/>
              </w:rPr>
              <w:t xml:space="preserve">) x </w:t>
            </w:r>
            <w:r w:rsidRPr="00BE03A1">
              <w:rPr>
                <w:b/>
                <w:sz w:val="22"/>
                <w:szCs w:val="22"/>
              </w:rPr>
              <w:t>0</w:t>
            </w:r>
            <w:r>
              <w:rPr>
                <w:b/>
                <w:sz w:val="22"/>
                <w:szCs w:val="22"/>
              </w:rPr>
              <w:t>.</w:t>
            </w:r>
            <w:r w:rsidRPr="00BE03A1">
              <w:rPr>
                <w:b/>
                <w:sz w:val="22"/>
                <w:szCs w:val="22"/>
              </w:rPr>
              <w:t>5</w:t>
            </w:r>
            <w:r>
              <w:rPr>
                <w:b/>
                <w:sz w:val="22"/>
                <w:szCs w:val="22"/>
              </w:rPr>
              <w:t xml:space="preserve"> </w:t>
            </w:r>
            <w:r w:rsidRPr="00BE03A1">
              <w:rPr>
                <w:b/>
                <w:sz w:val="22"/>
                <w:szCs w:val="22"/>
              </w:rPr>
              <w:t>(IU/kg per IU/dl)</w:t>
            </w:r>
          </w:p>
          <w:p w14:paraId="3A139D3E" w14:textId="77777777" w:rsidR="000931AF" w:rsidRPr="00FA6A68" w:rsidRDefault="000931AF" w:rsidP="00FA6A68">
            <w:pPr>
              <w:pStyle w:val="BodyText"/>
              <w:jc w:val="both"/>
              <w:rPr>
                <w:bCs/>
                <w:iCs/>
              </w:rPr>
            </w:pPr>
            <w:r w:rsidRPr="00FA6A68">
              <w:rPr>
                <w:bCs/>
                <w:iCs/>
              </w:rPr>
              <w:t>The dose and frequency of administration should be adjusted to achieve clinical effectiveness in the individual case.</w:t>
            </w:r>
          </w:p>
          <w:p w14:paraId="1D84324F" w14:textId="77777777" w:rsidR="000931AF" w:rsidRDefault="000931AF" w:rsidP="00DC5D9A">
            <w:pPr>
              <w:pStyle w:val="BodyText"/>
              <w:jc w:val="both"/>
            </w:pPr>
            <w:r w:rsidRPr="00B63E9B">
              <w:t xml:space="preserve">In case of the following haemorrhagic events, the </w:t>
            </w:r>
            <w:r>
              <w:t xml:space="preserve">factor </w:t>
            </w:r>
            <w:r w:rsidRPr="00B63E9B">
              <w:t>VIII activity should not fall below the given plasma activity level (in % of normal or IU/dl) in the corresponding period. The following table can be used to guide dosing in bleeding episodes and surgery:</w:t>
            </w:r>
          </w:p>
          <w:p w14:paraId="315DBA5F" w14:textId="77777777" w:rsidR="003F0BF6" w:rsidRDefault="003F0BF6" w:rsidP="00644544">
            <w:pPr>
              <w:pStyle w:val="Caption"/>
              <w:keepNext/>
              <w:jc w:val="both"/>
            </w:pPr>
          </w:p>
          <w:p w14:paraId="73C38F2C" w14:textId="77777777" w:rsidR="003F0BF6" w:rsidRDefault="003F0BF6" w:rsidP="00644544">
            <w:pPr>
              <w:pStyle w:val="Caption"/>
              <w:keepNext/>
              <w:jc w:val="both"/>
            </w:pPr>
          </w:p>
          <w:p w14:paraId="305881D2" w14:textId="77777777" w:rsidR="003F0BF6" w:rsidRDefault="003F0BF6" w:rsidP="00644544">
            <w:pPr>
              <w:pStyle w:val="Caption"/>
              <w:keepNext/>
              <w:jc w:val="both"/>
            </w:pPr>
          </w:p>
          <w:p w14:paraId="4E793246" w14:textId="77777777" w:rsidR="003F0BF6" w:rsidRDefault="003F0BF6" w:rsidP="00644544">
            <w:pPr>
              <w:pStyle w:val="Caption"/>
              <w:keepNext/>
              <w:jc w:val="both"/>
            </w:pPr>
          </w:p>
          <w:p w14:paraId="1A8A913B" w14:textId="77777777" w:rsidR="003F0BF6" w:rsidRDefault="003F0BF6" w:rsidP="00644544">
            <w:pPr>
              <w:pStyle w:val="Caption"/>
              <w:keepNext/>
              <w:jc w:val="both"/>
            </w:pPr>
          </w:p>
          <w:p w14:paraId="50F24A31" w14:textId="77777777" w:rsidR="003F0BF6" w:rsidRDefault="003F0BF6" w:rsidP="00644544">
            <w:pPr>
              <w:pStyle w:val="Caption"/>
              <w:keepNext/>
              <w:jc w:val="both"/>
            </w:pPr>
          </w:p>
          <w:p w14:paraId="738AD1EB" w14:textId="77777777" w:rsidR="000931AF" w:rsidRPr="00644544" w:rsidRDefault="000931AF" w:rsidP="00644544">
            <w:pPr>
              <w:pStyle w:val="Caption"/>
              <w:keepNext/>
              <w:jc w:val="both"/>
            </w:pPr>
            <w:r w:rsidRPr="00644544">
              <w:lastRenderedPageBreak/>
              <w:t>Table 9 Guide for dosing in bleeding episodes and surgery</w:t>
            </w:r>
          </w:p>
          <w:tbl>
            <w:tblPr>
              <w:tblW w:w="8946" w:type="dxa"/>
              <w:tblInd w:w="5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276"/>
              <w:gridCol w:w="1284"/>
              <w:gridCol w:w="4386"/>
            </w:tblGrid>
            <w:tr w:rsidR="000931AF" w:rsidRPr="002E5E42" w14:paraId="4CE3E9D1" w14:textId="77777777" w:rsidTr="008A67A8">
              <w:trPr>
                <w:cantSplit/>
                <w:tblHeader/>
              </w:trPr>
              <w:tc>
                <w:tcPr>
                  <w:tcW w:w="3276" w:type="dxa"/>
                  <w:tcBorders>
                    <w:top w:val="single" w:sz="4" w:space="0" w:color="auto"/>
                    <w:bottom w:val="single" w:sz="4" w:space="0" w:color="auto"/>
                  </w:tcBorders>
                  <w:shd w:val="clear" w:color="auto" w:fill="auto"/>
                  <w:tcMar>
                    <w:top w:w="57" w:type="dxa"/>
                    <w:left w:w="57" w:type="dxa"/>
                    <w:bottom w:w="57" w:type="dxa"/>
                    <w:right w:w="57" w:type="dxa"/>
                  </w:tcMar>
                </w:tcPr>
                <w:p w14:paraId="2FA420AE" w14:textId="77777777" w:rsidR="000931AF" w:rsidRPr="002E5E42" w:rsidRDefault="000931AF" w:rsidP="00DC5D9A">
                  <w:pPr>
                    <w:pStyle w:val="TableText"/>
                    <w:jc w:val="both"/>
                    <w:rPr>
                      <w:b/>
                    </w:rPr>
                  </w:pPr>
                  <w:r w:rsidRPr="002E5E42">
                    <w:rPr>
                      <w:b/>
                    </w:rPr>
                    <w:t>Degree of haemorrhage/ Type of surgical procedure</w:t>
                  </w:r>
                </w:p>
              </w:tc>
              <w:tc>
                <w:tcPr>
                  <w:tcW w:w="1284" w:type="dxa"/>
                  <w:tcBorders>
                    <w:top w:val="single" w:sz="4" w:space="0" w:color="auto"/>
                    <w:bottom w:val="single" w:sz="4" w:space="0" w:color="auto"/>
                  </w:tcBorders>
                  <w:shd w:val="clear" w:color="auto" w:fill="auto"/>
                  <w:tcMar>
                    <w:top w:w="57" w:type="dxa"/>
                    <w:left w:w="57" w:type="dxa"/>
                    <w:bottom w:w="57" w:type="dxa"/>
                    <w:right w:w="57" w:type="dxa"/>
                  </w:tcMar>
                </w:tcPr>
                <w:p w14:paraId="468673E0" w14:textId="77777777" w:rsidR="000931AF" w:rsidRPr="002E5E42" w:rsidRDefault="000931AF" w:rsidP="00441E72">
                  <w:pPr>
                    <w:pStyle w:val="TableText"/>
                    <w:jc w:val="both"/>
                    <w:rPr>
                      <w:b/>
                    </w:rPr>
                  </w:pPr>
                  <w:r w:rsidRPr="002E5E42">
                    <w:rPr>
                      <w:b/>
                    </w:rPr>
                    <w:t>FVIII level required (%</w:t>
                  </w:r>
                  <w:r>
                    <w:rPr>
                      <w:b/>
                    </w:rPr>
                    <w:t xml:space="preserve"> or </w:t>
                  </w:r>
                  <w:r w:rsidRPr="002E5E42">
                    <w:rPr>
                      <w:b/>
                    </w:rPr>
                    <w:t>IU/dl)</w:t>
                  </w:r>
                </w:p>
              </w:tc>
              <w:tc>
                <w:tcPr>
                  <w:tcW w:w="4386" w:type="dxa"/>
                  <w:tcBorders>
                    <w:top w:val="single" w:sz="4" w:space="0" w:color="auto"/>
                    <w:bottom w:val="single" w:sz="4" w:space="0" w:color="auto"/>
                  </w:tcBorders>
                  <w:shd w:val="clear" w:color="auto" w:fill="auto"/>
                  <w:tcMar>
                    <w:top w:w="57" w:type="dxa"/>
                    <w:left w:w="57" w:type="dxa"/>
                    <w:bottom w:w="57" w:type="dxa"/>
                    <w:right w:w="57" w:type="dxa"/>
                  </w:tcMar>
                </w:tcPr>
                <w:p w14:paraId="2F1828D9" w14:textId="77777777" w:rsidR="000931AF" w:rsidRPr="002E5E42" w:rsidRDefault="000931AF" w:rsidP="00DC5D9A">
                  <w:pPr>
                    <w:pStyle w:val="TableText"/>
                    <w:jc w:val="both"/>
                    <w:rPr>
                      <w:b/>
                    </w:rPr>
                  </w:pPr>
                  <w:r w:rsidRPr="002E5E42">
                    <w:rPr>
                      <w:b/>
                    </w:rPr>
                    <w:t>Frequency of doses (hours)/ Duration of therapy (days)</w:t>
                  </w:r>
                </w:p>
              </w:tc>
            </w:tr>
            <w:tr w:rsidR="000931AF" w:rsidRPr="002E5E42" w14:paraId="7A162A9D" w14:textId="77777777" w:rsidTr="008A67A8">
              <w:tc>
                <w:tcPr>
                  <w:tcW w:w="3276" w:type="dxa"/>
                  <w:tcBorders>
                    <w:top w:val="single" w:sz="4" w:space="0" w:color="auto"/>
                  </w:tcBorders>
                  <w:shd w:val="clear" w:color="auto" w:fill="auto"/>
                  <w:tcMar>
                    <w:left w:w="57" w:type="dxa"/>
                    <w:right w:w="57" w:type="dxa"/>
                  </w:tcMar>
                </w:tcPr>
                <w:p w14:paraId="5E8DE0B9" w14:textId="77777777" w:rsidR="000931AF" w:rsidRPr="002E5E42" w:rsidRDefault="000931AF" w:rsidP="00DC5D9A">
                  <w:pPr>
                    <w:pStyle w:val="TableText"/>
                    <w:spacing w:before="57"/>
                    <w:jc w:val="both"/>
                    <w:rPr>
                      <w:b/>
                      <w:u w:val="single"/>
                    </w:rPr>
                  </w:pPr>
                  <w:r w:rsidRPr="002E5E42">
                    <w:rPr>
                      <w:b/>
                      <w:u w:val="single"/>
                    </w:rPr>
                    <w:t>Haemorrhage</w:t>
                  </w:r>
                </w:p>
              </w:tc>
              <w:tc>
                <w:tcPr>
                  <w:tcW w:w="1284" w:type="dxa"/>
                  <w:tcBorders>
                    <w:top w:val="single" w:sz="4" w:space="0" w:color="auto"/>
                  </w:tcBorders>
                  <w:shd w:val="clear" w:color="auto" w:fill="auto"/>
                  <w:tcMar>
                    <w:left w:w="57" w:type="dxa"/>
                    <w:right w:w="57" w:type="dxa"/>
                  </w:tcMar>
                </w:tcPr>
                <w:p w14:paraId="03F30555" w14:textId="77777777" w:rsidR="000931AF" w:rsidRPr="00B63E9B" w:rsidRDefault="000931AF" w:rsidP="00DC5D9A">
                  <w:pPr>
                    <w:pStyle w:val="TableText"/>
                    <w:spacing w:before="57"/>
                    <w:jc w:val="both"/>
                  </w:pPr>
                </w:p>
              </w:tc>
              <w:tc>
                <w:tcPr>
                  <w:tcW w:w="4386" w:type="dxa"/>
                  <w:tcBorders>
                    <w:top w:val="single" w:sz="4" w:space="0" w:color="auto"/>
                  </w:tcBorders>
                  <w:shd w:val="clear" w:color="auto" w:fill="auto"/>
                  <w:tcMar>
                    <w:left w:w="57" w:type="dxa"/>
                    <w:right w:w="57" w:type="dxa"/>
                  </w:tcMar>
                </w:tcPr>
                <w:p w14:paraId="1D20457A" w14:textId="77777777" w:rsidR="000931AF" w:rsidRPr="00B63E9B" w:rsidRDefault="000931AF" w:rsidP="00DC5D9A">
                  <w:pPr>
                    <w:pStyle w:val="TableText"/>
                    <w:spacing w:before="57"/>
                    <w:jc w:val="both"/>
                  </w:pPr>
                </w:p>
              </w:tc>
            </w:tr>
            <w:tr w:rsidR="000931AF" w:rsidRPr="002E5E42" w14:paraId="70110588" w14:textId="77777777" w:rsidTr="008A67A8">
              <w:tc>
                <w:tcPr>
                  <w:tcW w:w="3276" w:type="dxa"/>
                  <w:shd w:val="clear" w:color="auto" w:fill="auto"/>
                  <w:tcMar>
                    <w:left w:w="57" w:type="dxa"/>
                    <w:right w:w="57" w:type="dxa"/>
                  </w:tcMar>
                </w:tcPr>
                <w:p w14:paraId="3F6DCC4F" w14:textId="77777777" w:rsidR="000931AF" w:rsidRPr="0007143C" w:rsidRDefault="000931AF" w:rsidP="00DC5D9A">
                  <w:pPr>
                    <w:pStyle w:val="TableText"/>
                    <w:jc w:val="both"/>
                    <w:rPr>
                      <w:i/>
                    </w:rPr>
                  </w:pPr>
                  <w:r w:rsidRPr="0007143C">
                    <w:rPr>
                      <w:i/>
                    </w:rPr>
                    <w:t>Mild</w:t>
                  </w:r>
                </w:p>
                <w:p w14:paraId="7243D587" w14:textId="77777777" w:rsidR="000931AF" w:rsidRPr="00B63E9B" w:rsidRDefault="000931AF" w:rsidP="00DC5D9A">
                  <w:pPr>
                    <w:pStyle w:val="TableText"/>
                    <w:jc w:val="both"/>
                  </w:pPr>
                  <w:r w:rsidRPr="00B63E9B">
                    <w:t xml:space="preserve">Early </w:t>
                  </w:r>
                  <w:proofErr w:type="spellStart"/>
                  <w:r w:rsidRPr="00B63E9B">
                    <w:t>haemarthrosis</w:t>
                  </w:r>
                  <w:proofErr w:type="spellEnd"/>
                  <w:r w:rsidRPr="00B63E9B">
                    <w:t>, muscle bleeding or oral bleeding</w:t>
                  </w:r>
                </w:p>
              </w:tc>
              <w:tc>
                <w:tcPr>
                  <w:tcW w:w="1284" w:type="dxa"/>
                  <w:shd w:val="clear" w:color="auto" w:fill="auto"/>
                  <w:tcMar>
                    <w:left w:w="57" w:type="dxa"/>
                    <w:right w:w="57" w:type="dxa"/>
                  </w:tcMar>
                </w:tcPr>
                <w:p w14:paraId="2F638C49" w14:textId="77777777" w:rsidR="000931AF" w:rsidRDefault="000931AF" w:rsidP="00DC5D9A">
                  <w:pPr>
                    <w:pStyle w:val="TableText"/>
                    <w:jc w:val="both"/>
                  </w:pPr>
                </w:p>
                <w:p w14:paraId="1909AA1C" w14:textId="77777777" w:rsidR="000931AF" w:rsidRPr="00B63E9B" w:rsidRDefault="000931AF" w:rsidP="00DC5D9A">
                  <w:pPr>
                    <w:pStyle w:val="TableText"/>
                    <w:jc w:val="both"/>
                  </w:pPr>
                  <w:r w:rsidRPr="00B63E9B">
                    <w:t>20-40</w:t>
                  </w:r>
                </w:p>
              </w:tc>
              <w:tc>
                <w:tcPr>
                  <w:tcW w:w="4386" w:type="dxa"/>
                  <w:shd w:val="clear" w:color="auto" w:fill="auto"/>
                  <w:tcMar>
                    <w:left w:w="57" w:type="dxa"/>
                    <w:right w:w="57" w:type="dxa"/>
                  </w:tcMar>
                </w:tcPr>
                <w:p w14:paraId="22CFA2A1" w14:textId="77777777" w:rsidR="000931AF" w:rsidRDefault="000931AF" w:rsidP="00DC5D9A">
                  <w:pPr>
                    <w:pStyle w:val="TableText"/>
                    <w:jc w:val="both"/>
                  </w:pPr>
                </w:p>
                <w:p w14:paraId="129EC5A5" w14:textId="77777777" w:rsidR="000931AF" w:rsidRPr="00B63E9B" w:rsidRDefault="000931AF" w:rsidP="00DC5D9A">
                  <w:pPr>
                    <w:pStyle w:val="TableText"/>
                    <w:jc w:val="both"/>
                  </w:pPr>
                  <w:r w:rsidRPr="00B63E9B">
                    <w:t>Repeat every 12 to 24 hours</w:t>
                  </w:r>
                  <w:r>
                    <w:t xml:space="preserve"> </w:t>
                  </w:r>
                  <w:r w:rsidRPr="00B63E9B">
                    <w:t>until the bleeding episode as indicated by pain is resolved or healing achieved</w:t>
                  </w:r>
                  <w:r>
                    <w:t>.</w:t>
                  </w:r>
                </w:p>
              </w:tc>
            </w:tr>
            <w:tr w:rsidR="000931AF" w:rsidRPr="002E5E42" w14:paraId="2D2614AB" w14:textId="77777777" w:rsidTr="008A67A8">
              <w:tc>
                <w:tcPr>
                  <w:tcW w:w="3276" w:type="dxa"/>
                  <w:tcBorders>
                    <w:bottom w:val="nil"/>
                  </w:tcBorders>
                  <w:shd w:val="clear" w:color="auto" w:fill="auto"/>
                  <w:tcMar>
                    <w:left w:w="57" w:type="dxa"/>
                    <w:right w:w="57" w:type="dxa"/>
                  </w:tcMar>
                </w:tcPr>
                <w:p w14:paraId="580E3441" w14:textId="77777777" w:rsidR="000931AF" w:rsidRPr="0007143C" w:rsidRDefault="000931AF" w:rsidP="00DC5D9A">
                  <w:pPr>
                    <w:pStyle w:val="TableText"/>
                    <w:jc w:val="both"/>
                    <w:rPr>
                      <w:i/>
                    </w:rPr>
                  </w:pPr>
                  <w:r w:rsidRPr="0007143C">
                    <w:rPr>
                      <w:i/>
                    </w:rPr>
                    <w:t>Moderate</w:t>
                  </w:r>
                </w:p>
                <w:p w14:paraId="33F79993" w14:textId="77777777" w:rsidR="000931AF" w:rsidRPr="00B63E9B" w:rsidRDefault="000931AF" w:rsidP="00DC5D9A">
                  <w:pPr>
                    <w:pStyle w:val="TableText"/>
                    <w:jc w:val="both"/>
                  </w:pPr>
                  <w:r w:rsidRPr="00B63E9B">
                    <w:t xml:space="preserve">More extensive </w:t>
                  </w:r>
                  <w:proofErr w:type="spellStart"/>
                  <w:r w:rsidRPr="00B63E9B">
                    <w:t>haemarthrosis</w:t>
                  </w:r>
                  <w:proofErr w:type="spellEnd"/>
                  <w:r w:rsidRPr="00B63E9B">
                    <w:t>, muscle bleeding or haematoma</w:t>
                  </w:r>
                </w:p>
              </w:tc>
              <w:tc>
                <w:tcPr>
                  <w:tcW w:w="1284" w:type="dxa"/>
                  <w:tcBorders>
                    <w:bottom w:val="nil"/>
                  </w:tcBorders>
                  <w:shd w:val="clear" w:color="auto" w:fill="auto"/>
                  <w:tcMar>
                    <w:left w:w="57" w:type="dxa"/>
                    <w:right w:w="57" w:type="dxa"/>
                  </w:tcMar>
                </w:tcPr>
                <w:p w14:paraId="3CCB6ED3" w14:textId="77777777" w:rsidR="000931AF" w:rsidRDefault="000931AF" w:rsidP="00DC5D9A">
                  <w:pPr>
                    <w:pStyle w:val="TableText"/>
                    <w:jc w:val="both"/>
                  </w:pPr>
                </w:p>
                <w:p w14:paraId="636766FF" w14:textId="77777777" w:rsidR="000931AF" w:rsidRPr="00B63E9B" w:rsidRDefault="000931AF" w:rsidP="00DC5D9A">
                  <w:pPr>
                    <w:pStyle w:val="TableText"/>
                    <w:jc w:val="both"/>
                  </w:pPr>
                  <w:r w:rsidRPr="00B63E9B">
                    <w:t>30-60</w:t>
                  </w:r>
                </w:p>
              </w:tc>
              <w:tc>
                <w:tcPr>
                  <w:tcW w:w="4386" w:type="dxa"/>
                  <w:tcBorders>
                    <w:bottom w:val="nil"/>
                  </w:tcBorders>
                  <w:shd w:val="clear" w:color="auto" w:fill="auto"/>
                  <w:tcMar>
                    <w:left w:w="57" w:type="dxa"/>
                    <w:right w:w="57" w:type="dxa"/>
                  </w:tcMar>
                </w:tcPr>
                <w:p w14:paraId="10E73662" w14:textId="77777777" w:rsidR="000931AF" w:rsidRDefault="000931AF" w:rsidP="00DC5D9A">
                  <w:pPr>
                    <w:pStyle w:val="TableText"/>
                    <w:jc w:val="both"/>
                  </w:pPr>
                </w:p>
                <w:p w14:paraId="111DF6BE" w14:textId="77777777" w:rsidR="000931AF" w:rsidRPr="00B63E9B" w:rsidRDefault="000931AF" w:rsidP="00DC5D9A">
                  <w:pPr>
                    <w:pStyle w:val="TableText"/>
                    <w:jc w:val="both"/>
                  </w:pPr>
                  <w:r w:rsidRPr="00B63E9B">
                    <w:t>Repeat injection every 12-24 hours</w:t>
                  </w:r>
                  <w:r>
                    <w:t xml:space="preserve"> for</w:t>
                  </w:r>
                  <w:r w:rsidRPr="00B63E9B">
                    <w:t xml:space="preserve"> 3-4 days or more until pain and acute disability are resolved</w:t>
                  </w:r>
                </w:p>
                <w:p w14:paraId="458F7FC9" w14:textId="77777777" w:rsidR="000931AF" w:rsidRPr="002E5E42" w:rsidRDefault="000931AF" w:rsidP="00DC5D9A">
                  <w:pPr>
                    <w:pStyle w:val="TableText"/>
                    <w:jc w:val="both"/>
                    <w:rPr>
                      <w:i/>
                    </w:rPr>
                  </w:pPr>
                </w:p>
              </w:tc>
            </w:tr>
            <w:tr w:rsidR="000931AF" w:rsidRPr="002E5E42" w14:paraId="2B29BD32" w14:textId="77777777" w:rsidTr="008A67A8">
              <w:tc>
                <w:tcPr>
                  <w:tcW w:w="3276" w:type="dxa"/>
                  <w:tcBorders>
                    <w:top w:val="nil"/>
                    <w:bottom w:val="single" w:sz="4" w:space="0" w:color="auto"/>
                  </w:tcBorders>
                  <w:shd w:val="clear" w:color="auto" w:fill="auto"/>
                  <w:tcMar>
                    <w:left w:w="57" w:type="dxa"/>
                    <w:right w:w="57" w:type="dxa"/>
                  </w:tcMar>
                </w:tcPr>
                <w:p w14:paraId="28F3A503" w14:textId="77777777" w:rsidR="000931AF" w:rsidRPr="0007143C" w:rsidRDefault="000931AF" w:rsidP="00DC5D9A">
                  <w:pPr>
                    <w:pStyle w:val="TableText"/>
                    <w:jc w:val="both"/>
                    <w:rPr>
                      <w:i/>
                    </w:rPr>
                  </w:pPr>
                  <w:r w:rsidRPr="0007143C">
                    <w:rPr>
                      <w:i/>
                    </w:rPr>
                    <w:t>Major</w:t>
                  </w:r>
                </w:p>
                <w:p w14:paraId="260E231B" w14:textId="77777777" w:rsidR="000931AF" w:rsidRPr="00B63E9B" w:rsidRDefault="000931AF" w:rsidP="00DC5D9A">
                  <w:pPr>
                    <w:pStyle w:val="TableText"/>
                    <w:jc w:val="both"/>
                  </w:pPr>
                  <w:r w:rsidRPr="00B63E9B">
                    <w:t>Life threatening haemorrhages</w:t>
                  </w:r>
                </w:p>
              </w:tc>
              <w:tc>
                <w:tcPr>
                  <w:tcW w:w="1284" w:type="dxa"/>
                  <w:tcBorders>
                    <w:top w:val="nil"/>
                    <w:bottom w:val="single" w:sz="4" w:space="0" w:color="auto"/>
                  </w:tcBorders>
                  <w:shd w:val="clear" w:color="auto" w:fill="auto"/>
                  <w:tcMar>
                    <w:left w:w="57" w:type="dxa"/>
                    <w:right w:w="57" w:type="dxa"/>
                  </w:tcMar>
                </w:tcPr>
                <w:p w14:paraId="0765936F" w14:textId="77777777" w:rsidR="000931AF" w:rsidRDefault="000931AF" w:rsidP="00DC5D9A">
                  <w:pPr>
                    <w:pStyle w:val="TableText"/>
                    <w:jc w:val="both"/>
                  </w:pPr>
                </w:p>
                <w:p w14:paraId="5ED5CDE2" w14:textId="77777777" w:rsidR="000931AF" w:rsidRPr="00B63E9B" w:rsidRDefault="000931AF" w:rsidP="00DC5D9A">
                  <w:pPr>
                    <w:pStyle w:val="TableText"/>
                    <w:jc w:val="both"/>
                  </w:pPr>
                  <w:r w:rsidRPr="00B63E9B">
                    <w:t>60-100</w:t>
                  </w:r>
                </w:p>
              </w:tc>
              <w:tc>
                <w:tcPr>
                  <w:tcW w:w="4386" w:type="dxa"/>
                  <w:tcBorders>
                    <w:top w:val="nil"/>
                    <w:bottom w:val="single" w:sz="4" w:space="0" w:color="auto"/>
                  </w:tcBorders>
                  <w:shd w:val="clear" w:color="auto" w:fill="auto"/>
                  <w:tcMar>
                    <w:left w:w="57" w:type="dxa"/>
                    <w:right w:w="57" w:type="dxa"/>
                  </w:tcMar>
                </w:tcPr>
                <w:p w14:paraId="4B4838A8" w14:textId="77777777" w:rsidR="000931AF" w:rsidRDefault="000931AF" w:rsidP="00DC5D9A">
                  <w:pPr>
                    <w:pStyle w:val="TableText"/>
                    <w:jc w:val="both"/>
                  </w:pPr>
                </w:p>
                <w:p w14:paraId="2CB271E7" w14:textId="77777777" w:rsidR="000931AF" w:rsidRPr="00B63E9B" w:rsidRDefault="000931AF" w:rsidP="00DC5D9A">
                  <w:pPr>
                    <w:pStyle w:val="TableText"/>
                    <w:jc w:val="both"/>
                  </w:pPr>
                  <w:r w:rsidRPr="00B63E9B">
                    <w:t>Repeat injection every 8 to 24 hours until threat is resolved</w:t>
                  </w:r>
                </w:p>
                <w:p w14:paraId="54C881D5" w14:textId="77777777" w:rsidR="000931AF" w:rsidRPr="00B63E9B" w:rsidRDefault="000931AF" w:rsidP="00DC5D9A">
                  <w:pPr>
                    <w:pStyle w:val="TableText"/>
                    <w:jc w:val="both"/>
                  </w:pPr>
                </w:p>
              </w:tc>
            </w:tr>
            <w:tr w:rsidR="000931AF" w:rsidRPr="002E5E42" w14:paraId="12C80321" w14:textId="77777777" w:rsidTr="008A67A8">
              <w:tc>
                <w:tcPr>
                  <w:tcW w:w="3276" w:type="dxa"/>
                  <w:tcBorders>
                    <w:top w:val="single" w:sz="4" w:space="0" w:color="auto"/>
                    <w:bottom w:val="nil"/>
                  </w:tcBorders>
                  <w:shd w:val="clear" w:color="auto" w:fill="auto"/>
                  <w:tcMar>
                    <w:left w:w="57" w:type="dxa"/>
                    <w:right w:w="57" w:type="dxa"/>
                  </w:tcMar>
                </w:tcPr>
                <w:p w14:paraId="7B4BE174" w14:textId="77777777" w:rsidR="000931AF" w:rsidRPr="002E5E42" w:rsidRDefault="000931AF" w:rsidP="00DC5D9A">
                  <w:pPr>
                    <w:pStyle w:val="TableText"/>
                    <w:jc w:val="both"/>
                    <w:rPr>
                      <w:b/>
                      <w:u w:val="single"/>
                    </w:rPr>
                  </w:pPr>
                  <w:r w:rsidRPr="002E5E42">
                    <w:rPr>
                      <w:b/>
                      <w:u w:val="single"/>
                    </w:rPr>
                    <w:t>Surgery</w:t>
                  </w:r>
                </w:p>
              </w:tc>
              <w:tc>
                <w:tcPr>
                  <w:tcW w:w="1284" w:type="dxa"/>
                  <w:tcBorders>
                    <w:top w:val="single" w:sz="4" w:space="0" w:color="auto"/>
                    <w:bottom w:val="nil"/>
                  </w:tcBorders>
                  <w:shd w:val="clear" w:color="auto" w:fill="auto"/>
                  <w:tcMar>
                    <w:left w:w="57" w:type="dxa"/>
                    <w:right w:w="57" w:type="dxa"/>
                  </w:tcMar>
                </w:tcPr>
                <w:p w14:paraId="29152B7C" w14:textId="77777777" w:rsidR="000931AF" w:rsidRPr="00B63E9B" w:rsidRDefault="000931AF" w:rsidP="00DC5D9A">
                  <w:pPr>
                    <w:pStyle w:val="TableText"/>
                    <w:jc w:val="both"/>
                  </w:pPr>
                </w:p>
              </w:tc>
              <w:tc>
                <w:tcPr>
                  <w:tcW w:w="4386" w:type="dxa"/>
                  <w:tcBorders>
                    <w:top w:val="single" w:sz="4" w:space="0" w:color="auto"/>
                    <w:bottom w:val="nil"/>
                  </w:tcBorders>
                  <w:shd w:val="clear" w:color="auto" w:fill="auto"/>
                  <w:tcMar>
                    <w:left w:w="57" w:type="dxa"/>
                    <w:right w:w="57" w:type="dxa"/>
                  </w:tcMar>
                </w:tcPr>
                <w:p w14:paraId="2C31EFC4" w14:textId="77777777" w:rsidR="000931AF" w:rsidRPr="00B63E9B" w:rsidRDefault="000931AF" w:rsidP="00DC5D9A">
                  <w:pPr>
                    <w:pStyle w:val="TableText"/>
                    <w:jc w:val="both"/>
                  </w:pPr>
                </w:p>
              </w:tc>
            </w:tr>
            <w:tr w:rsidR="000931AF" w:rsidRPr="002E5E42" w14:paraId="7C581552" w14:textId="77777777" w:rsidTr="008A67A8">
              <w:tc>
                <w:tcPr>
                  <w:tcW w:w="3276" w:type="dxa"/>
                  <w:tcBorders>
                    <w:top w:val="nil"/>
                  </w:tcBorders>
                  <w:shd w:val="clear" w:color="auto" w:fill="auto"/>
                  <w:tcMar>
                    <w:left w:w="57" w:type="dxa"/>
                    <w:right w:w="57" w:type="dxa"/>
                  </w:tcMar>
                </w:tcPr>
                <w:p w14:paraId="1E2CC30F" w14:textId="77777777" w:rsidR="000931AF" w:rsidRPr="00B63E9B" w:rsidRDefault="000931AF" w:rsidP="00DC5D9A">
                  <w:pPr>
                    <w:pStyle w:val="TableText"/>
                    <w:jc w:val="both"/>
                  </w:pPr>
                  <w:r w:rsidRPr="002E5E42">
                    <w:rPr>
                      <w:i/>
                    </w:rPr>
                    <w:t>Minor surgery</w:t>
                  </w:r>
                  <w:r w:rsidRPr="002E5E42">
                    <w:rPr>
                      <w:i/>
                    </w:rPr>
                    <w:br/>
                  </w:r>
                  <w:r w:rsidRPr="00B63E9B">
                    <w:t>Including tooth extraction</w:t>
                  </w:r>
                </w:p>
              </w:tc>
              <w:tc>
                <w:tcPr>
                  <w:tcW w:w="1284" w:type="dxa"/>
                  <w:tcBorders>
                    <w:top w:val="nil"/>
                  </w:tcBorders>
                  <w:shd w:val="clear" w:color="auto" w:fill="auto"/>
                  <w:tcMar>
                    <w:left w:w="57" w:type="dxa"/>
                    <w:right w:w="57" w:type="dxa"/>
                  </w:tcMar>
                </w:tcPr>
                <w:p w14:paraId="3643E786" w14:textId="77777777" w:rsidR="000931AF" w:rsidRPr="00B63E9B" w:rsidRDefault="000931AF" w:rsidP="00DC5D9A">
                  <w:pPr>
                    <w:pStyle w:val="TableText"/>
                    <w:jc w:val="both"/>
                  </w:pPr>
                  <w:r w:rsidRPr="00B63E9B">
                    <w:t>30-60</w:t>
                  </w:r>
                </w:p>
              </w:tc>
              <w:tc>
                <w:tcPr>
                  <w:tcW w:w="4386" w:type="dxa"/>
                  <w:tcBorders>
                    <w:top w:val="nil"/>
                  </w:tcBorders>
                  <w:shd w:val="clear" w:color="auto" w:fill="auto"/>
                  <w:tcMar>
                    <w:left w:w="57" w:type="dxa"/>
                    <w:right w:w="57" w:type="dxa"/>
                  </w:tcMar>
                </w:tcPr>
                <w:p w14:paraId="6615C7AF" w14:textId="77777777" w:rsidR="000931AF" w:rsidRPr="00B63E9B" w:rsidRDefault="000931AF" w:rsidP="00DC5D9A">
                  <w:pPr>
                    <w:pStyle w:val="TableText"/>
                    <w:jc w:val="both"/>
                  </w:pPr>
                  <w:r>
                    <w:t>Repeat e</w:t>
                  </w:r>
                  <w:r w:rsidRPr="00B63E9B">
                    <w:t>very 24 hours</w:t>
                  </w:r>
                  <w:r>
                    <w:t xml:space="preserve"> if needed</w:t>
                  </w:r>
                  <w:r w:rsidRPr="00B63E9B">
                    <w:t xml:space="preserve"> until healing is achieved</w:t>
                  </w:r>
                </w:p>
                <w:p w14:paraId="6C9A73C4" w14:textId="77777777" w:rsidR="000931AF" w:rsidRPr="00B63E9B" w:rsidRDefault="000931AF" w:rsidP="00DC5D9A">
                  <w:pPr>
                    <w:pStyle w:val="TableText"/>
                    <w:jc w:val="both"/>
                  </w:pPr>
                </w:p>
              </w:tc>
            </w:tr>
            <w:tr w:rsidR="000931AF" w:rsidRPr="002E5E42" w14:paraId="48B57430" w14:textId="77777777" w:rsidTr="008A67A8">
              <w:tc>
                <w:tcPr>
                  <w:tcW w:w="3276" w:type="dxa"/>
                  <w:shd w:val="clear" w:color="auto" w:fill="auto"/>
                  <w:tcMar>
                    <w:left w:w="57" w:type="dxa"/>
                    <w:bottom w:w="57" w:type="dxa"/>
                    <w:right w:w="57" w:type="dxa"/>
                  </w:tcMar>
                </w:tcPr>
                <w:p w14:paraId="5A36D303" w14:textId="77777777" w:rsidR="000931AF" w:rsidRPr="002E5E42" w:rsidRDefault="000931AF" w:rsidP="00DC5D9A">
                  <w:pPr>
                    <w:pStyle w:val="TableText"/>
                    <w:jc w:val="both"/>
                    <w:rPr>
                      <w:i/>
                    </w:rPr>
                  </w:pPr>
                  <w:r w:rsidRPr="002E5E42">
                    <w:rPr>
                      <w:i/>
                    </w:rPr>
                    <w:t>Major surgery</w:t>
                  </w:r>
                </w:p>
              </w:tc>
              <w:tc>
                <w:tcPr>
                  <w:tcW w:w="1284" w:type="dxa"/>
                  <w:shd w:val="clear" w:color="auto" w:fill="auto"/>
                  <w:tcMar>
                    <w:left w:w="57" w:type="dxa"/>
                    <w:bottom w:w="57" w:type="dxa"/>
                    <w:right w:w="57" w:type="dxa"/>
                  </w:tcMar>
                </w:tcPr>
                <w:p w14:paraId="044A0D69" w14:textId="77777777" w:rsidR="000931AF" w:rsidRPr="00B63E9B" w:rsidRDefault="000931AF" w:rsidP="00DC5D9A">
                  <w:pPr>
                    <w:pStyle w:val="TableText"/>
                    <w:jc w:val="both"/>
                  </w:pPr>
                  <w:r w:rsidRPr="00B63E9B">
                    <w:t>80-100</w:t>
                  </w:r>
                </w:p>
                <w:p w14:paraId="27F1172A" w14:textId="77777777" w:rsidR="000931AF" w:rsidRPr="00B63E9B" w:rsidRDefault="000931AF" w:rsidP="00DC5D9A">
                  <w:pPr>
                    <w:pStyle w:val="TableText"/>
                    <w:jc w:val="both"/>
                  </w:pPr>
                  <w:r w:rsidRPr="00B63E9B">
                    <w:t>(pre-and postoperative)</w:t>
                  </w:r>
                </w:p>
              </w:tc>
              <w:tc>
                <w:tcPr>
                  <w:tcW w:w="4386" w:type="dxa"/>
                  <w:shd w:val="clear" w:color="auto" w:fill="auto"/>
                  <w:tcMar>
                    <w:left w:w="57" w:type="dxa"/>
                    <w:bottom w:w="57" w:type="dxa"/>
                    <w:right w:w="57" w:type="dxa"/>
                  </w:tcMar>
                </w:tcPr>
                <w:p w14:paraId="67126B90" w14:textId="77777777" w:rsidR="000931AF" w:rsidRPr="00B63E9B" w:rsidRDefault="000931AF" w:rsidP="00DC5D9A">
                  <w:pPr>
                    <w:pStyle w:val="TableText"/>
                    <w:jc w:val="both"/>
                  </w:pPr>
                  <w:r>
                    <w:t>Maintain factor VIII level by r</w:t>
                  </w:r>
                  <w:r w:rsidRPr="00B63E9B">
                    <w:t>epeat injection every 8-24 hours until adequate wound heal</w:t>
                  </w:r>
                  <w:r>
                    <w:t>ing, then adjust therapy for at least 7 more</w:t>
                  </w:r>
                  <w:r w:rsidRPr="00B63E9B">
                    <w:t xml:space="preserve"> days to maintain a factor VIII activity of 30% to 60% (</w:t>
                  </w:r>
                  <w:r>
                    <w:t xml:space="preserve">30 to 60 </w:t>
                  </w:r>
                  <w:r w:rsidRPr="00B63E9B">
                    <w:t>IU/dl)</w:t>
                  </w:r>
                </w:p>
              </w:tc>
            </w:tr>
          </w:tbl>
          <w:p w14:paraId="74373F75" w14:textId="77777777" w:rsidR="000931AF" w:rsidRDefault="000931AF" w:rsidP="003F0BF6">
            <w:pPr>
              <w:pStyle w:val="BodyText"/>
              <w:spacing w:after="0"/>
              <w:jc w:val="both"/>
              <w:rPr>
                <w:u w:val="single"/>
              </w:rPr>
            </w:pPr>
          </w:p>
          <w:p w14:paraId="068A6C89" w14:textId="77777777" w:rsidR="000931AF" w:rsidRDefault="000931AF" w:rsidP="00DC5D9A">
            <w:pPr>
              <w:pStyle w:val="BodyText"/>
              <w:jc w:val="both"/>
            </w:pPr>
            <w:r w:rsidRPr="00B63E9B">
              <w:t>During the course of treatment, appropriate determination of factor VIII levels is advised to guide the dose to be administered and the frequency of repeated injections.</w:t>
            </w:r>
            <w:r>
              <w:t xml:space="preserve"> </w:t>
            </w:r>
            <w:r w:rsidRPr="00501C10">
              <w:t xml:space="preserve">In the case of major surgical interventions in particular, precise monitoring of the substitution therapy by means of coagulation analysis (plasma factor VIII activity) is indispensable. Individual patients may vary in their response to </w:t>
            </w:r>
            <w:r>
              <w:t xml:space="preserve">factor </w:t>
            </w:r>
            <w:r w:rsidRPr="00501C10">
              <w:t xml:space="preserve">VIII, achieving different levels of </w:t>
            </w:r>
            <w:r w:rsidRPr="00CB4518">
              <w:rPr>
                <w:i/>
              </w:rPr>
              <w:t>in vivo</w:t>
            </w:r>
            <w:r w:rsidRPr="00501C10">
              <w:t xml:space="preserve"> recovery and demonstrating different half-lives.</w:t>
            </w:r>
          </w:p>
          <w:p w14:paraId="07726F02" w14:textId="77777777" w:rsidR="000931AF" w:rsidRDefault="000931AF" w:rsidP="00ED7E34">
            <w:pPr>
              <w:pStyle w:val="BodyText"/>
              <w:spacing w:after="0" w:line="240" w:lineRule="auto"/>
              <w:jc w:val="both"/>
              <w:rPr>
                <w:u w:val="single"/>
              </w:rPr>
            </w:pPr>
            <w:r w:rsidRPr="0081422C">
              <w:rPr>
                <w:u w:val="single"/>
              </w:rPr>
              <w:t>Prophylaxis</w:t>
            </w:r>
          </w:p>
          <w:p w14:paraId="4C194BC9" w14:textId="77777777" w:rsidR="00C65B45" w:rsidRDefault="000931AF" w:rsidP="00DC5D9A">
            <w:pPr>
              <w:pStyle w:val="BodyText"/>
              <w:jc w:val="both"/>
            </w:pPr>
            <w:r w:rsidRPr="00B63E9B">
              <w:t>For long</w:t>
            </w:r>
            <w:r>
              <w:t xml:space="preserve"> </w:t>
            </w:r>
            <w:r w:rsidRPr="00B63E9B">
              <w:t>term prophylaxis against bleeding in pa</w:t>
            </w:r>
            <w:r>
              <w:t>tients with severe haemophilia A. T</w:t>
            </w:r>
            <w:r w:rsidRPr="00B63E9B">
              <w:t xml:space="preserve">he </w:t>
            </w:r>
            <w:r>
              <w:t>usual recommended</w:t>
            </w:r>
            <w:r w:rsidRPr="00B63E9B">
              <w:t xml:space="preserve"> doses</w:t>
            </w:r>
            <w:r>
              <w:t xml:space="preserve"> are 20-40 </w:t>
            </w:r>
            <w:r w:rsidRPr="00B63E9B">
              <w:t xml:space="preserve">IU of factor VIII per kg body </w:t>
            </w:r>
            <w:proofErr w:type="gramStart"/>
            <w:r w:rsidRPr="00B63E9B">
              <w:t>weight</w:t>
            </w:r>
            <w:proofErr w:type="gramEnd"/>
            <w:r>
              <w:t xml:space="preserve"> every second day or 20-</w:t>
            </w:r>
            <w:r w:rsidRPr="0039654B">
              <w:t>5</w:t>
            </w:r>
            <w:r w:rsidRPr="00501C10">
              <w:t>0</w:t>
            </w:r>
            <w:r>
              <w:t xml:space="preserve"> IU of factor VIII per kg body weight 3 times weekly.</w:t>
            </w:r>
            <w:r w:rsidRPr="00B63E9B">
              <w:t xml:space="preserve"> </w:t>
            </w:r>
          </w:p>
          <w:p w14:paraId="017D305F" w14:textId="77777777" w:rsidR="000931AF" w:rsidRPr="00B63E9B" w:rsidRDefault="000931AF" w:rsidP="00C65B45">
            <w:pPr>
              <w:pStyle w:val="BodyText"/>
              <w:jc w:val="both"/>
            </w:pPr>
            <w:r w:rsidRPr="002F3B80">
              <w:t>In patients under the age of 12, doses of 25-</w:t>
            </w:r>
            <w:r>
              <w:t>5</w:t>
            </w:r>
            <w:r w:rsidRPr="002F3B80">
              <w:t xml:space="preserve">0 IU of factor VIII per kg body weight </w:t>
            </w:r>
            <w:r w:rsidRPr="0039654B">
              <w:t>every second day or 25-60 IU of factor VIII per kg body weight 3 times weekly</w:t>
            </w:r>
            <w:r w:rsidRPr="00501C10">
              <w:t xml:space="preserve"> </w:t>
            </w:r>
            <w:r w:rsidRPr="002F3B80">
              <w:t>are recommended.</w:t>
            </w:r>
            <w:r w:rsidR="00C65B45">
              <w:t xml:space="preserve"> In comparison to adults, children may have shorter half-life and lower recovery of factor VIII. This should be taken into account when dosing or following factor VIII levels in the paediatric population. Because clearance (based on per kg body weight) has been demonstrated to be higher in the paediatric population, larger or more frequent dosing based on per kg body weight may be needed in this population. For details, see ‘Pharmacokinetics.’</w:t>
            </w:r>
          </w:p>
          <w:p w14:paraId="3AB55187" w14:textId="595D43EB" w:rsidR="000931AF" w:rsidRDefault="000931AF" w:rsidP="00574263">
            <w:pPr>
              <w:pStyle w:val="BodyText"/>
              <w:spacing w:line="240" w:lineRule="auto"/>
              <w:jc w:val="both"/>
              <w:rPr>
                <w:b/>
                <w:spacing w:val="-2"/>
                <w:szCs w:val="20"/>
                <w:u w:val="single"/>
                <w:lang w:val="en-AU"/>
              </w:rPr>
            </w:pPr>
            <w:r w:rsidRPr="00574263">
              <w:rPr>
                <w:b/>
                <w:spacing w:val="-2"/>
                <w:szCs w:val="20"/>
                <w:u w:val="single"/>
                <w:lang w:val="en-AU"/>
              </w:rPr>
              <w:t>Method of administration</w:t>
            </w:r>
          </w:p>
          <w:p w14:paraId="5905778B" w14:textId="77777777" w:rsidR="000931AF" w:rsidRPr="0039654B" w:rsidRDefault="000931AF" w:rsidP="009D3CBE">
            <w:pPr>
              <w:pStyle w:val="BodyText"/>
              <w:spacing w:line="240" w:lineRule="auto"/>
              <w:jc w:val="both"/>
            </w:pPr>
            <w:proofErr w:type="spellStart"/>
            <w:r w:rsidRPr="0039654B">
              <w:t>NovoEight</w:t>
            </w:r>
            <w:proofErr w:type="spellEnd"/>
            <w:r w:rsidRPr="0039654B">
              <w:t xml:space="preserve"> </w:t>
            </w:r>
            <w:r w:rsidRPr="002F3B80">
              <w:t>should be administered via the intravenous route.</w:t>
            </w:r>
            <w:r w:rsidRPr="00B63E9B">
              <w:t xml:space="preserve"> </w:t>
            </w:r>
            <w:r w:rsidRPr="0039654B">
              <w:t xml:space="preserve">For instructions on reconstitution of the medicinal product before administration, see </w:t>
            </w:r>
            <w:r>
              <w:t>Consumer Medicine Information</w:t>
            </w:r>
            <w:r w:rsidRPr="0039654B">
              <w:t>.</w:t>
            </w:r>
          </w:p>
        </w:tc>
      </w:tr>
      <w:tr w:rsidR="000931AF" w:rsidRPr="002E5E42" w14:paraId="26F9624E" w14:textId="77777777" w:rsidTr="000931AF">
        <w:trPr>
          <w:trHeight w:val="518"/>
        </w:trPr>
        <w:tc>
          <w:tcPr>
            <w:tcW w:w="5000" w:type="pct"/>
            <w:shd w:val="clear" w:color="auto" w:fill="auto"/>
          </w:tcPr>
          <w:p w14:paraId="2D6C189F" w14:textId="77777777" w:rsidR="000931AF" w:rsidRPr="00B83A1A" w:rsidRDefault="000931AF" w:rsidP="00DC5D9A">
            <w:pPr>
              <w:jc w:val="both"/>
            </w:pPr>
            <w:r w:rsidRPr="00B83A1A">
              <w:rPr>
                <w:b/>
                <w:lang w:val="en-AU"/>
              </w:rPr>
              <w:lastRenderedPageBreak/>
              <w:t>OVERDOSAGE</w:t>
            </w:r>
          </w:p>
        </w:tc>
      </w:tr>
      <w:tr w:rsidR="000931AF" w:rsidRPr="002E5E42" w14:paraId="6B73D199" w14:textId="77777777" w:rsidTr="000931AF">
        <w:trPr>
          <w:trHeight w:val="450"/>
        </w:trPr>
        <w:tc>
          <w:tcPr>
            <w:tcW w:w="5000" w:type="pct"/>
            <w:shd w:val="clear" w:color="auto" w:fill="auto"/>
          </w:tcPr>
          <w:p w14:paraId="483D1C4F" w14:textId="77777777" w:rsidR="000931AF" w:rsidRPr="00B83A1A" w:rsidRDefault="000931AF" w:rsidP="00DC5D9A">
            <w:pPr>
              <w:pStyle w:val="BodyText"/>
              <w:jc w:val="both"/>
            </w:pPr>
            <w:r w:rsidRPr="00B83A1A">
              <w:t xml:space="preserve">No symptoms of overdose have been reported in the clinical trial programme for </w:t>
            </w:r>
            <w:proofErr w:type="spellStart"/>
            <w:r w:rsidRPr="00B83A1A">
              <w:t>NovoEight</w:t>
            </w:r>
            <w:proofErr w:type="spellEnd"/>
            <w:r w:rsidRPr="00B83A1A">
              <w:t>. For information on the management of overdose, contact the Poison Information Centre on 131 126 (Australia).</w:t>
            </w:r>
          </w:p>
        </w:tc>
      </w:tr>
      <w:tr w:rsidR="000931AF" w:rsidRPr="002E5E42" w14:paraId="166C3331" w14:textId="77777777" w:rsidTr="000931AF">
        <w:trPr>
          <w:trHeight w:val="450"/>
        </w:trPr>
        <w:tc>
          <w:tcPr>
            <w:tcW w:w="5000" w:type="pct"/>
            <w:shd w:val="clear" w:color="auto" w:fill="auto"/>
          </w:tcPr>
          <w:p w14:paraId="553CBEAF" w14:textId="77777777" w:rsidR="000931AF" w:rsidRPr="00B83A1A" w:rsidRDefault="000931AF" w:rsidP="00DC5D9A">
            <w:pPr>
              <w:pStyle w:val="BodyText"/>
              <w:jc w:val="both"/>
            </w:pPr>
            <w:r w:rsidRPr="00B83A1A">
              <w:rPr>
                <w:b/>
                <w:lang w:val="en-AU"/>
              </w:rPr>
              <w:t>PRESENTATIONS AND STORAGE CONDITIONS</w:t>
            </w:r>
          </w:p>
        </w:tc>
      </w:tr>
      <w:tr w:rsidR="000931AF" w:rsidRPr="002E5E42" w14:paraId="18B656BA" w14:textId="77777777" w:rsidTr="000931AF">
        <w:trPr>
          <w:trHeight w:val="450"/>
        </w:trPr>
        <w:tc>
          <w:tcPr>
            <w:tcW w:w="5000" w:type="pct"/>
            <w:shd w:val="clear" w:color="auto" w:fill="auto"/>
          </w:tcPr>
          <w:p w14:paraId="4FF49CB1" w14:textId="77777777" w:rsidR="000931AF" w:rsidRDefault="000931AF" w:rsidP="00DC5D9A">
            <w:pPr>
              <w:pStyle w:val="BodyText"/>
              <w:jc w:val="both"/>
              <w:rPr>
                <w:lang w:val="en-AU"/>
              </w:rPr>
            </w:pPr>
            <w:proofErr w:type="spellStart"/>
            <w:r w:rsidRPr="00EF18CA">
              <w:rPr>
                <w:lang w:val="en-AU"/>
              </w:rPr>
              <w:t>Novo</w:t>
            </w:r>
            <w:r>
              <w:rPr>
                <w:lang w:val="en-AU"/>
              </w:rPr>
              <w:t>Eight</w:t>
            </w:r>
            <w:proofErr w:type="spellEnd"/>
            <w:r w:rsidRPr="00EF18CA">
              <w:rPr>
                <w:lang w:val="en-AU"/>
              </w:rPr>
              <w:t xml:space="preserve"> is supplied as a white </w:t>
            </w:r>
            <w:r>
              <w:rPr>
                <w:lang w:val="en-AU"/>
              </w:rPr>
              <w:t xml:space="preserve">or slightly yellow </w:t>
            </w:r>
            <w:r w:rsidRPr="00EF18CA">
              <w:rPr>
                <w:lang w:val="en-AU"/>
              </w:rPr>
              <w:t xml:space="preserve">lyophilised powder to be reconstituted with solvent. The solvent is clear and colourless. The reconstituted solution has a pH of approximately </w:t>
            </w:r>
            <w:r>
              <w:rPr>
                <w:lang w:val="en-AU"/>
              </w:rPr>
              <w:t>6.5 to 7.5</w:t>
            </w:r>
            <w:r w:rsidRPr="00EF18CA">
              <w:rPr>
                <w:lang w:val="en-AU"/>
              </w:rPr>
              <w:t>.</w:t>
            </w:r>
          </w:p>
          <w:p w14:paraId="762C0D7C" w14:textId="77777777" w:rsidR="000931AF" w:rsidRDefault="000931AF" w:rsidP="00DC5D9A">
            <w:pPr>
              <w:pStyle w:val="BodyText"/>
              <w:jc w:val="both"/>
            </w:pPr>
            <w:r>
              <w:t xml:space="preserve">Each pack of </w:t>
            </w:r>
            <w:proofErr w:type="spellStart"/>
            <w:r>
              <w:t>NovoEight</w:t>
            </w:r>
            <w:proofErr w:type="spellEnd"/>
            <w:r>
              <w:t xml:space="preserve"> 250-3000 IU powder and solvent for solution for injection contains:</w:t>
            </w:r>
          </w:p>
          <w:p w14:paraId="130E506D" w14:textId="418221F1" w:rsidR="000931AF" w:rsidRDefault="000931AF" w:rsidP="00DC5D9A">
            <w:pPr>
              <w:pStyle w:val="BodyText"/>
              <w:numPr>
                <w:ilvl w:val="0"/>
                <w:numId w:val="52"/>
              </w:numPr>
              <w:spacing w:after="0"/>
              <w:jc w:val="both"/>
            </w:pPr>
            <w:r>
              <w:t xml:space="preserve">Glass vial (type I) with powder and </w:t>
            </w:r>
            <w:proofErr w:type="spellStart"/>
            <w:r>
              <w:t>chlorobutyl</w:t>
            </w:r>
            <w:proofErr w:type="spellEnd"/>
            <w:r w:rsidR="00E01A8F">
              <w:t xml:space="preserve"> rubber stopper</w:t>
            </w:r>
          </w:p>
          <w:p w14:paraId="27301B2C" w14:textId="77777777" w:rsidR="000931AF" w:rsidRDefault="000931AF" w:rsidP="00DC5D9A">
            <w:pPr>
              <w:pStyle w:val="BodyText"/>
              <w:numPr>
                <w:ilvl w:val="0"/>
                <w:numId w:val="52"/>
              </w:numPr>
              <w:spacing w:after="0"/>
              <w:jc w:val="both"/>
            </w:pPr>
            <w:r>
              <w:t>Sterile vial adaptor for reconstitution</w:t>
            </w:r>
          </w:p>
          <w:p w14:paraId="7B8F3BF3" w14:textId="432DE328" w:rsidR="000931AF" w:rsidRDefault="000931AF" w:rsidP="00DC5D9A">
            <w:pPr>
              <w:pStyle w:val="BodyText"/>
              <w:numPr>
                <w:ilvl w:val="0"/>
                <w:numId w:val="52"/>
              </w:numPr>
              <w:spacing w:after="0"/>
              <w:jc w:val="both"/>
            </w:pPr>
            <w:r>
              <w:t>4.3 ml of solvent in prefilled syringe with backstop (polypropylene), a rubber plunger (</w:t>
            </w:r>
            <w:proofErr w:type="spellStart"/>
            <w:r>
              <w:t>bromobutyl</w:t>
            </w:r>
            <w:proofErr w:type="spellEnd"/>
            <w:r>
              <w:t xml:space="preserve">) and a </w:t>
            </w:r>
            <w:proofErr w:type="spellStart"/>
            <w:r>
              <w:t>tipc</w:t>
            </w:r>
            <w:r w:rsidR="00E01A8F">
              <w:t>ap</w:t>
            </w:r>
            <w:proofErr w:type="spellEnd"/>
            <w:r w:rsidR="00E01A8F">
              <w:t xml:space="preserve"> with a stopper (</w:t>
            </w:r>
            <w:proofErr w:type="spellStart"/>
            <w:r w:rsidR="00E01A8F">
              <w:t>bromobutyl</w:t>
            </w:r>
            <w:proofErr w:type="spellEnd"/>
            <w:r w:rsidR="00E01A8F">
              <w:t>)</w:t>
            </w:r>
          </w:p>
          <w:p w14:paraId="40FBD8BB" w14:textId="77777777" w:rsidR="000931AF" w:rsidRDefault="000931AF" w:rsidP="009B09BA">
            <w:pPr>
              <w:pStyle w:val="BodyText"/>
              <w:tabs>
                <w:tab w:val="left" w:pos="781"/>
              </w:tabs>
              <w:ind w:left="356"/>
              <w:jc w:val="both"/>
              <w:rPr>
                <w:b/>
                <w:lang w:val="en-AU"/>
              </w:rPr>
            </w:pPr>
            <w:r>
              <w:t xml:space="preserve">- </w:t>
            </w:r>
            <w:r>
              <w:tab/>
              <w:t>Plunger rod (polypropylene)</w:t>
            </w:r>
          </w:p>
        </w:tc>
      </w:tr>
      <w:tr w:rsidR="000931AF" w:rsidRPr="002E5E42" w14:paraId="09CDD00F" w14:textId="77777777" w:rsidTr="000931AF">
        <w:trPr>
          <w:trHeight w:val="450"/>
        </w:trPr>
        <w:tc>
          <w:tcPr>
            <w:tcW w:w="5000" w:type="pct"/>
            <w:shd w:val="clear" w:color="auto" w:fill="auto"/>
          </w:tcPr>
          <w:p w14:paraId="2629DA6A" w14:textId="6A03728A" w:rsidR="000931AF" w:rsidRPr="001A6D5C" w:rsidRDefault="000931AF" w:rsidP="00A50412">
            <w:pPr>
              <w:pStyle w:val="BodyText"/>
            </w:pPr>
            <w:r>
              <w:t>The c</w:t>
            </w:r>
            <w:r w:rsidRPr="001A6D5C">
              <w:t>omplete composition of</w:t>
            </w:r>
            <w:r>
              <w:t xml:space="preserve"> </w:t>
            </w:r>
            <w:proofErr w:type="spellStart"/>
            <w:r>
              <w:t>NovoEight</w:t>
            </w:r>
            <w:proofErr w:type="spellEnd"/>
            <w:r w:rsidRPr="001A6D5C">
              <w:t xml:space="preserve"> after r</w:t>
            </w:r>
            <w:r>
              <w:t>econstitution for 250 – 3000 IU/</w:t>
            </w:r>
            <w:r w:rsidRPr="001A6D5C">
              <w:t>vial</w:t>
            </w:r>
            <w:r>
              <w:t>:</w:t>
            </w:r>
          </w:p>
          <w:tbl>
            <w:tblPr>
              <w:tblW w:w="7011" w:type="dxa"/>
              <w:tblInd w:w="57" w:type="dxa"/>
              <w:tblBorders>
                <w:top w:val="single" w:sz="4" w:space="0" w:color="auto"/>
                <w:bottom w:val="single" w:sz="4" w:space="0" w:color="auto"/>
              </w:tblBorders>
              <w:tblLayout w:type="fixed"/>
              <w:tblCellMar>
                <w:left w:w="57" w:type="dxa"/>
                <w:right w:w="57" w:type="dxa"/>
              </w:tblCellMar>
              <w:tblLook w:val="01E0" w:firstRow="1" w:lastRow="1" w:firstColumn="1" w:lastColumn="1" w:noHBand="0" w:noVBand="0"/>
            </w:tblPr>
            <w:tblGrid>
              <w:gridCol w:w="2109"/>
              <w:gridCol w:w="2451"/>
              <w:gridCol w:w="2451"/>
            </w:tblGrid>
            <w:tr w:rsidR="000931AF" w:rsidRPr="001A6D5C" w14:paraId="1F9CF69F" w14:textId="77777777" w:rsidTr="008A67A8">
              <w:trPr>
                <w:cantSplit/>
                <w:tblHeader/>
              </w:trPr>
              <w:tc>
                <w:tcPr>
                  <w:tcW w:w="2109" w:type="dxa"/>
                  <w:tcBorders>
                    <w:top w:val="single" w:sz="4" w:space="0" w:color="auto"/>
                    <w:bottom w:val="single" w:sz="4" w:space="0" w:color="auto"/>
                  </w:tcBorders>
                  <w:shd w:val="clear" w:color="auto" w:fill="auto"/>
                  <w:tcMar>
                    <w:top w:w="57" w:type="dxa"/>
                    <w:left w:w="57" w:type="dxa"/>
                    <w:bottom w:w="57" w:type="dxa"/>
                    <w:right w:w="57" w:type="dxa"/>
                  </w:tcMar>
                </w:tcPr>
                <w:p w14:paraId="2EACDADE" w14:textId="77777777" w:rsidR="000931AF" w:rsidRPr="001A6D5C" w:rsidRDefault="000931AF" w:rsidP="00A50412">
                  <w:pPr>
                    <w:pStyle w:val="TableText"/>
                    <w:rPr>
                      <w:b/>
                    </w:rPr>
                  </w:pPr>
                  <w:r w:rsidRPr="001A6D5C">
                    <w:rPr>
                      <w:b/>
                    </w:rPr>
                    <w:t>Contents</w:t>
                  </w:r>
                </w:p>
              </w:tc>
              <w:tc>
                <w:tcPr>
                  <w:tcW w:w="2451" w:type="dxa"/>
                  <w:tcBorders>
                    <w:top w:val="single" w:sz="4" w:space="0" w:color="auto"/>
                    <w:bottom w:val="single" w:sz="4" w:space="0" w:color="auto"/>
                  </w:tcBorders>
                  <w:shd w:val="clear" w:color="auto" w:fill="auto"/>
                  <w:tcMar>
                    <w:top w:w="57" w:type="dxa"/>
                    <w:left w:w="57" w:type="dxa"/>
                    <w:bottom w:w="57" w:type="dxa"/>
                    <w:right w:w="57" w:type="dxa"/>
                  </w:tcMar>
                </w:tcPr>
                <w:p w14:paraId="38553FA1" w14:textId="77777777" w:rsidR="000931AF" w:rsidRPr="001A6D5C" w:rsidRDefault="000931AF" w:rsidP="00A50412">
                  <w:pPr>
                    <w:pStyle w:val="TableText"/>
                    <w:rPr>
                      <w:b/>
                    </w:rPr>
                  </w:pPr>
                  <w:r w:rsidRPr="001A6D5C">
                    <w:rPr>
                      <w:b/>
                    </w:rPr>
                    <w:t>Per vial</w:t>
                  </w:r>
                  <w:r>
                    <w:rPr>
                      <w:b/>
                    </w:rPr>
                    <w:t>*</w:t>
                  </w:r>
                </w:p>
              </w:tc>
              <w:tc>
                <w:tcPr>
                  <w:tcW w:w="2451" w:type="dxa"/>
                  <w:tcBorders>
                    <w:top w:val="single" w:sz="4" w:space="0" w:color="auto"/>
                    <w:bottom w:val="single" w:sz="4" w:space="0" w:color="auto"/>
                  </w:tcBorders>
                  <w:shd w:val="clear" w:color="auto" w:fill="auto"/>
                  <w:tcMar>
                    <w:top w:w="57" w:type="dxa"/>
                    <w:left w:w="57" w:type="dxa"/>
                    <w:bottom w:w="57" w:type="dxa"/>
                    <w:right w:w="57" w:type="dxa"/>
                  </w:tcMar>
                </w:tcPr>
                <w:p w14:paraId="3976DA2E" w14:textId="77777777" w:rsidR="000931AF" w:rsidRPr="001A6D5C" w:rsidRDefault="000931AF" w:rsidP="00A50412">
                  <w:pPr>
                    <w:pStyle w:val="TableText"/>
                    <w:rPr>
                      <w:b/>
                    </w:rPr>
                  </w:pPr>
                  <w:r w:rsidRPr="001A6D5C">
                    <w:rPr>
                      <w:b/>
                    </w:rPr>
                    <w:t>Function</w:t>
                  </w:r>
                </w:p>
              </w:tc>
            </w:tr>
            <w:tr w:rsidR="000931AF" w:rsidRPr="001A6D5C" w14:paraId="3D4191B3" w14:textId="77777777" w:rsidTr="00A50412">
              <w:tc>
                <w:tcPr>
                  <w:tcW w:w="2109" w:type="dxa"/>
                  <w:shd w:val="clear" w:color="auto" w:fill="auto"/>
                  <w:tcMar>
                    <w:left w:w="57" w:type="dxa"/>
                    <w:right w:w="57" w:type="dxa"/>
                  </w:tcMar>
                </w:tcPr>
                <w:p w14:paraId="63ADF86B" w14:textId="77777777" w:rsidR="000931AF" w:rsidRDefault="000931AF" w:rsidP="001C7A37">
                  <w:pPr>
                    <w:pStyle w:val="TableText"/>
                  </w:pPr>
                  <w:r>
                    <w:t>Turoctocog alfa (rFVIII)</w:t>
                  </w:r>
                </w:p>
              </w:tc>
              <w:tc>
                <w:tcPr>
                  <w:tcW w:w="2451" w:type="dxa"/>
                  <w:shd w:val="clear" w:color="auto" w:fill="auto"/>
                  <w:tcMar>
                    <w:left w:w="57" w:type="dxa"/>
                    <w:right w:w="57" w:type="dxa"/>
                  </w:tcMar>
                </w:tcPr>
                <w:p w14:paraId="242005BA" w14:textId="77777777" w:rsidR="000931AF" w:rsidRPr="001A6D5C" w:rsidRDefault="000931AF" w:rsidP="00A50412">
                  <w:pPr>
                    <w:pStyle w:val="TableText"/>
                  </w:pPr>
                  <w:r>
                    <w:t>250/500/1000/1500/2000/ 3000 IU</w:t>
                  </w:r>
                </w:p>
              </w:tc>
              <w:tc>
                <w:tcPr>
                  <w:tcW w:w="2451" w:type="dxa"/>
                  <w:shd w:val="clear" w:color="auto" w:fill="auto"/>
                  <w:tcMar>
                    <w:left w:w="57" w:type="dxa"/>
                    <w:right w:w="57" w:type="dxa"/>
                  </w:tcMar>
                </w:tcPr>
                <w:p w14:paraId="7B8876C6" w14:textId="77777777" w:rsidR="000931AF" w:rsidRPr="001A6D5C" w:rsidRDefault="000931AF" w:rsidP="00A50412">
                  <w:pPr>
                    <w:pStyle w:val="TableText"/>
                  </w:pPr>
                  <w:r>
                    <w:t>Active pharmaceutical ingredient</w:t>
                  </w:r>
                </w:p>
              </w:tc>
            </w:tr>
            <w:tr w:rsidR="000931AF" w:rsidRPr="001A6D5C" w14:paraId="241EBABA" w14:textId="77777777" w:rsidTr="00A50412">
              <w:tc>
                <w:tcPr>
                  <w:tcW w:w="2109" w:type="dxa"/>
                  <w:shd w:val="clear" w:color="auto" w:fill="auto"/>
                  <w:tcMar>
                    <w:left w:w="57" w:type="dxa"/>
                    <w:right w:w="57" w:type="dxa"/>
                  </w:tcMar>
                </w:tcPr>
                <w:p w14:paraId="177F5EF7" w14:textId="77777777" w:rsidR="000931AF" w:rsidRPr="001A6D5C" w:rsidRDefault="000931AF" w:rsidP="001C7A37">
                  <w:pPr>
                    <w:pStyle w:val="TableText"/>
                  </w:pPr>
                  <w:r>
                    <w:t>So</w:t>
                  </w:r>
                  <w:r w:rsidRPr="001A6D5C">
                    <w:t xml:space="preserve">dium </w:t>
                  </w:r>
                  <w:r>
                    <w:t>c</w:t>
                  </w:r>
                  <w:r w:rsidRPr="001A6D5C">
                    <w:t>hloride</w:t>
                  </w:r>
                </w:p>
              </w:tc>
              <w:tc>
                <w:tcPr>
                  <w:tcW w:w="2451" w:type="dxa"/>
                  <w:shd w:val="clear" w:color="auto" w:fill="auto"/>
                  <w:tcMar>
                    <w:left w:w="57" w:type="dxa"/>
                    <w:right w:w="57" w:type="dxa"/>
                  </w:tcMar>
                </w:tcPr>
                <w:p w14:paraId="0C6AE288" w14:textId="77777777" w:rsidR="000931AF" w:rsidRPr="001A6D5C" w:rsidRDefault="000931AF" w:rsidP="00A50412">
                  <w:pPr>
                    <w:pStyle w:val="TableText"/>
                  </w:pPr>
                  <w:r w:rsidRPr="001A6D5C">
                    <w:t>18 mg/ml</w:t>
                  </w:r>
                </w:p>
              </w:tc>
              <w:tc>
                <w:tcPr>
                  <w:tcW w:w="2451" w:type="dxa"/>
                  <w:shd w:val="clear" w:color="auto" w:fill="auto"/>
                  <w:tcMar>
                    <w:left w:w="57" w:type="dxa"/>
                    <w:right w:w="57" w:type="dxa"/>
                  </w:tcMar>
                </w:tcPr>
                <w:p w14:paraId="7B8122BE" w14:textId="77777777" w:rsidR="000931AF" w:rsidRPr="001A6D5C" w:rsidRDefault="000931AF" w:rsidP="00A50412">
                  <w:pPr>
                    <w:pStyle w:val="TableText"/>
                  </w:pPr>
                  <w:r w:rsidRPr="001A6D5C">
                    <w:t>Stabiliser</w:t>
                  </w:r>
                </w:p>
              </w:tc>
            </w:tr>
            <w:tr w:rsidR="000931AF" w:rsidRPr="001A6D5C" w14:paraId="0147FD64" w14:textId="77777777" w:rsidTr="00A50412">
              <w:tc>
                <w:tcPr>
                  <w:tcW w:w="2109" w:type="dxa"/>
                  <w:shd w:val="clear" w:color="auto" w:fill="auto"/>
                  <w:tcMar>
                    <w:left w:w="57" w:type="dxa"/>
                    <w:right w:w="57" w:type="dxa"/>
                  </w:tcMar>
                </w:tcPr>
                <w:p w14:paraId="49EE3408" w14:textId="77777777" w:rsidR="000931AF" w:rsidRPr="001A6D5C" w:rsidRDefault="000931AF" w:rsidP="00A50412">
                  <w:pPr>
                    <w:pStyle w:val="TableText"/>
                  </w:pPr>
                  <w:r>
                    <w:t>H</w:t>
                  </w:r>
                  <w:r w:rsidRPr="001A6D5C">
                    <w:t>istidine</w:t>
                  </w:r>
                </w:p>
              </w:tc>
              <w:tc>
                <w:tcPr>
                  <w:tcW w:w="2451" w:type="dxa"/>
                  <w:shd w:val="clear" w:color="auto" w:fill="auto"/>
                  <w:tcMar>
                    <w:left w:w="57" w:type="dxa"/>
                    <w:right w:w="57" w:type="dxa"/>
                  </w:tcMar>
                </w:tcPr>
                <w:p w14:paraId="524EF52A" w14:textId="77777777" w:rsidR="000931AF" w:rsidRPr="001A6D5C" w:rsidRDefault="000931AF" w:rsidP="00A50412">
                  <w:pPr>
                    <w:pStyle w:val="TableText"/>
                  </w:pPr>
                  <w:r w:rsidRPr="001A6D5C">
                    <w:t>1.5 mg/ml</w:t>
                  </w:r>
                </w:p>
              </w:tc>
              <w:tc>
                <w:tcPr>
                  <w:tcW w:w="2451" w:type="dxa"/>
                  <w:shd w:val="clear" w:color="auto" w:fill="auto"/>
                  <w:tcMar>
                    <w:left w:w="57" w:type="dxa"/>
                    <w:right w:w="57" w:type="dxa"/>
                  </w:tcMar>
                </w:tcPr>
                <w:p w14:paraId="3A20396E" w14:textId="77777777" w:rsidR="000931AF" w:rsidRPr="001A6D5C" w:rsidRDefault="000931AF" w:rsidP="00A50412">
                  <w:pPr>
                    <w:pStyle w:val="TableText"/>
                  </w:pPr>
                  <w:r w:rsidRPr="001A6D5C">
                    <w:t>Buffering agent</w:t>
                  </w:r>
                </w:p>
              </w:tc>
            </w:tr>
            <w:tr w:rsidR="000931AF" w:rsidRPr="001A6D5C" w14:paraId="7FDED038" w14:textId="77777777" w:rsidTr="00A50412">
              <w:tc>
                <w:tcPr>
                  <w:tcW w:w="2109" w:type="dxa"/>
                  <w:shd w:val="clear" w:color="auto" w:fill="auto"/>
                  <w:tcMar>
                    <w:left w:w="57" w:type="dxa"/>
                    <w:right w:w="57" w:type="dxa"/>
                  </w:tcMar>
                </w:tcPr>
                <w:p w14:paraId="41D0A34B" w14:textId="77777777" w:rsidR="000931AF" w:rsidRPr="001A6D5C" w:rsidRDefault="000931AF" w:rsidP="00A50412">
                  <w:pPr>
                    <w:pStyle w:val="TableText"/>
                  </w:pPr>
                  <w:r w:rsidRPr="001A6D5C">
                    <w:t>Sucrose</w:t>
                  </w:r>
                </w:p>
              </w:tc>
              <w:tc>
                <w:tcPr>
                  <w:tcW w:w="2451" w:type="dxa"/>
                  <w:shd w:val="clear" w:color="auto" w:fill="auto"/>
                  <w:tcMar>
                    <w:left w:w="57" w:type="dxa"/>
                    <w:right w:w="57" w:type="dxa"/>
                  </w:tcMar>
                </w:tcPr>
                <w:p w14:paraId="7C155666" w14:textId="77777777" w:rsidR="000931AF" w:rsidRPr="001A6D5C" w:rsidRDefault="000931AF" w:rsidP="00A50412">
                  <w:pPr>
                    <w:pStyle w:val="TableText"/>
                  </w:pPr>
                  <w:r w:rsidRPr="001A6D5C">
                    <w:t>3 mg/ml</w:t>
                  </w:r>
                </w:p>
              </w:tc>
              <w:tc>
                <w:tcPr>
                  <w:tcW w:w="2451" w:type="dxa"/>
                  <w:shd w:val="clear" w:color="auto" w:fill="auto"/>
                  <w:tcMar>
                    <w:left w:w="57" w:type="dxa"/>
                    <w:right w:w="57" w:type="dxa"/>
                  </w:tcMar>
                </w:tcPr>
                <w:p w14:paraId="59A090C6" w14:textId="77777777" w:rsidR="000931AF" w:rsidRPr="001A6D5C" w:rsidRDefault="000931AF" w:rsidP="00A50412">
                  <w:pPr>
                    <w:pStyle w:val="TableText"/>
                  </w:pPr>
                  <w:r w:rsidRPr="001A6D5C">
                    <w:t>Bulking agent</w:t>
                  </w:r>
                </w:p>
              </w:tc>
            </w:tr>
            <w:tr w:rsidR="000931AF" w:rsidRPr="001A6D5C" w14:paraId="55E4D639" w14:textId="77777777" w:rsidTr="00A50412">
              <w:tc>
                <w:tcPr>
                  <w:tcW w:w="2109" w:type="dxa"/>
                  <w:shd w:val="clear" w:color="auto" w:fill="auto"/>
                  <w:tcMar>
                    <w:left w:w="57" w:type="dxa"/>
                    <w:right w:w="57" w:type="dxa"/>
                  </w:tcMar>
                </w:tcPr>
                <w:p w14:paraId="21E701CF" w14:textId="77777777" w:rsidR="000931AF" w:rsidRPr="001A6D5C" w:rsidRDefault="000931AF" w:rsidP="00A50412">
                  <w:pPr>
                    <w:pStyle w:val="TableText"/>
                  </w:pPr>
                  <w:proofErr w:type="spellStart"/>
                  <w:r w:rsidRPr="001A6D5C">
                    <w:t>Polysorbate</w:t>
                  </w:r>
                  <w:proofErr w:type="spellEnd"/>
                  <w:r w:rsidRPr="001A6D5C">
                    <w:t xml:space="preserve"> 80</w:t>
                  </w:r>
                </w:p>
              </w:tc>
              <w:tc>
                <w:tcPr>
                  <w:tcW w:w="2451" w:type="dxa"/>
                  <w:shd w:val="clear" w:color="auto" w:fill="auto"/>
                  <w:tcMar>
                    <w:left w:w="57" w:type="dxa"/>
                    <w:right w:w="57" w:type="dxa"/>
                  </w:tcMar>
                </w:tcPr>
                <w:p w14:paraId="363D39A4" w14:textId="77777777" w:rsidR="000931AF" w:rsidRPr="001A6D5C" w:rsidRDefault="000931AF" w:rsidP="00A50412">
                  <w:pPr>
                    <w:pStyle w:val="TableText"/>
                  </w:pPr>
                  <w:r w:rsidRPr="001A6D5C">
                    <w:t>0.1 mg/ml</w:t>
                  </w:r>
                </w:p>
              </w:tc>
              <w:tc>
                <w:tcPr>
                  <w:tcW w:w="2451" w:type="dxa"/>
                  <w:shd w:val="clear" w:color="auto" w:fill="auto"/>
                  <w:tcMar>
                    <w:left w:w="57" w:type="dxa"/>
                    <w:right w:w="57" w:type="dxa"/>
                  </w:tcMar>
                </w:tcPr>
                <w:p w14:paraId="65D92171" w14:textId="77777777" w:rsidR="000931AF" w:rsidRPr="001A6D5C" w:rsidRDefault="000931AF" w:rsidP="00A50412">
                  <w:pPr>
                    <w:pStyle w:val="TableText"/>
                  </w:pPr>
                  <w:r w:rsidRPr="001A6D5C">
                    <w:t>Surfactant</w:t>
                  </w:r>
                </w:p>
              </w:tc>
            </w:tr>
            <w:tr w:rsidR="000931AF" w:rsidRPr="001A6D5C" w14:paraId="7F300047" w14:textId="77777777" w:rsidTr="00A50412">
              <w:tc>
                <w:tcPr>
                  <w:tcW w:w="2109" w:type="dxa"/>
                  <w:shd w:val="clear" w:color="auto" w:fill="auto"/>
                  <w:tcMar>
                    <w:left w:w="57" w:type="dxa"/>
                    <w:right w:w="57" w:type="dxa"/>
                  </w:tcMar>
                </w:tcPr>
                <w:p w14:paraId="46FB314F" w14:textId="77777777" w:rsidR="000931AF" w:rsidRPr="001A6D5C" w:rsidRDefault="000931AF" w:rsidP="00A50412">
                  <w:pPr>
                    <w:pStyle w:val="TableText"/>
                  </w:pPr>
                  <w:r>
                    <w:t>M</w:t>
                  </w:r>
                  <w:r w:rsidRPr="001A6D5C">
                    <w:t>ethionine</w:t>
                  </w:r>
                </w:p>
              </w:tc>
              <w:tc>
                <w:tcPr>
                  <w:tcW w:w="2451" w:type="dxa"/>
                  <w:shd w:val="clear" w:color="auto" w:fill="auto"/>
                  <w:tcMar>
                    <w:left w:w="57" w:type="dxa"/>
                    <w:right w:w="57" w:type="dxa"/>
                  </w:tcMar>
                </w:tcPr>
                <w:p w14:paraId="2D9F6D0E" w14:textId="77777777" w:rsidR="000931AF" w:rsidRPr="001A6D5C" w:rsidRDefault="000931AF" w:rsidP="00A50412">
                  <w:pPr>
                    <w:pStyle w:val="TableText"/>
                  </w:pPr>
                  <w:r w:rsidRPr="001A6D5C">
                    <w:t>0.055 mg/ml</w:t>
                  </w:r>
                </w:p>
              </w:tc>
              <w:tc>
                <w:tcPr>
                  <w:tcW w:w="2451" w:type="dxa"/>
                  <w:shd w:val="clear" w:color="auto" w:fill="auto"/>
                  <w:tcMar>
                    <w:left w:w="57" w:type="dxa"/>
                    <w:right w:w="57" w:type="dxa"/>
                  </w:tcMar>
                </w:tcPr>
                <w:p w14:paraId="58278541" w14:textId="77777777" w:rsidR="000931AF" w:rsidRPr="001A6D5C" w:rsidRDefault="000931AF" w:rsidP="00A50412">
                  <w:pPr>
                    <w:pStyle w:val="TableText"/>
                  </w:pPr>
                  <w:r w:rsidRPr="001A6D5C">
                    <w:t>Antioxidant</w:t>
                  </w:r>
                </w:p>
              </w:tc>
            </w:tr>
            <w:tr w:rsidR="000931AF" w:rsidRPr="001A6D5C" w14:paraId="2146289D" w14:textId="77777777" w:rsidTr="00A50412">
              <w:tc>
                <w:tcPr>
                  <w:tcW w:w="2109" w:type="dxa"/>
                  <w:shd w:val="clear" w:color="auto" w:fill="auto"/>
                  <w:tcMar>
                    <w:left w:w="57" w:type="dxa"/>
                    <w:right w:w="57" w:type="dxa"/>
                  </w:tcMar>
                </w:tcPr>
                <w:p w14:paraId="6F8792AF" w14:textId="77777777" w:rsidR="000931AF" w:rsidRPr="001A6D5C" w:rsidRDefault="000931AF" w:rsidP="001C7A37">
                  <w:pPr>
                    <w:pStyle w:val="TableText"/>
                  </w:pPr>
                  <w:r w:rsidRPr="001A6D5C">
                    <w:t xml:space="preserve">Calcium </w:t>
                  </w:r>
                  <w:r>
                    <w:t>c</w:t>
                  </w:r>
                  <w:r w:rsidRPr="001A6D5C">
                    <w:t>hloride</w:t>
                  </w:r>
                </w:p>
              </w:tc>
              <w:tc>
                <w:tcPr>
                  <w:tcW w:w="2451" w:type="dxa"/>
                  <w:shd w:val="clear" w:color="auto" w:fill="auto"/>
                  <w:tcMar>
                    <w:left w:w="57" w:type="dxa"/>
                    <w:right w:w="57" w:type="dxa"/>
                  </w:tcMar>
                </w:tcPr>
                <w:p w14:paraId="3F133D2F" w14:textId="77777777" w:rsidR="000931AF" w:rsidRPr="001A6D5C" w:rsidRDefault="000931AF" w:rsidP="00A50412">
                  <w:pPr>
                    <w:pStyle w:val="TableText"/>
                  </w:pPr>
                  <w:r w:rsidRPr="001A6D5C">
                    <w:t>0.25 mg/ml</w:t>
                  </w:r>
                </w:p>
              </w:tc>
              <w:tc>
                <w:tcPr>
                  <w:tcW w:w="2451" w:type="dxa"/>
                  <w:shd w:val="clear" w:color="auto" w:fill="auto"/>
                  <w:tcMar>
                    <w:left w:w="57" w:type="dxa"/>
                    <w:right w:w="57" w:type="dxa"/>
                  </w:tcMar>
                </w:tcPr>
                <w:p w14:paraId="601F066B" w14:textId="77777777" w:rsidR="000931AF" w:rsidRPr="001A6D5C" w:rsidRDefault="000931AF" w:rsidP="00A50412">
                  <w:pPr>
                    <w:pStyle w:val="TableText"/>
                  </w:pPr>
                  <w:r w:rsidRPr="001A6D5C">
                    <w:t>Stabiliser</w:t>
                  </w:r>
                </w:p>
              </w:tc>
            </w:tr>
            <w:tr w:rsidR="000931AF" w:rsidRPr="001A6D5C" w14:paraId="3F6D8BFE" w14:textId="77777777" w:rsidTr="00A50412">
              <w:tc>
                <w:tcPr>
                  <w:tcW w:w="2109" w:type="dxa"/>
                  <w:shd w:val="clear" w:color="auto" w:fill="auto"/>
                  <w:tcMar>
                    <w:left w:w="57" w:type="dxa"/>
                    <w:right w:w="57" w:type="dxa"/>
                  </w:tcMar>
                </w:tcPr>
                <w:p w14:paraId="1B90DE89" w14:textId="77777777" w:rsidR="000931AF" w:rsidRPr="001A6D5C" w:rsidRDefault="000931AF" w:rsidP="00A50412">
                  <w:pPr>
                    <w:pStyle w:val="TableText"/>
                  </w:pPr>
                  <w:r w:rsidRPr="001A6D5C">
                    <w:t>Sodium hydroxide</w:t>
                  </w:r>
                </w:p>
              </w:tc>
              <w:tc>
                <w:tcPr>
                  <w:tcW w:w="2451" w:type="dxa"/>
                  <w:shd w:val="clear" w:color="auto" w:fill="auto"/>
                  <w:tcMar>
                    <w:left w:w="57" w:type="dxa"/>
                    <w:right w:w="57" w:type="dxa"/>
                  </w:tcMar>
                </w:tcPr>
                <w:p w14:paraId="1FB5FCE5" w14:textId="77777777" w:rsidR="000931AF" w:rsidRPr="001A6D5C" w:rsidRDefault="000931AF" w:rsidP="00A50412">
                  <w:pPr>
                    <w:pStyle w:val="TableText"/>
                  </w:pPr>
                  <w:r>
                    <w:t>QS</w:t>
                  </w:r>
                </w:p>
              </w:tc>
              <w:tc>
                <w:tcPr>
                  <w:tcW w:w="2451" w:type="dxa"/>
                  <w:shd w:val="clear" w:color="auto" w:fill="auto"/>
                  <w:tcMar>
                    <w:left w:w="57" w:type="dxa"/>
                    <w:right w:w="57" w:type="dxa"/>
                  </w:tcMar>
                </w:tcPr>
                <w:p w14:paraId="23B3AFD7" w14:textId="77777777" w:rsidR="000931AF" w:rsidRPr="001A6D5C" w:rsidRDefault="000931AF" w:rsidP="00A50412">
                  <w:pPr>
                    <w:pStyle w:val="TableText"/>
                  </w:pPr>
                  <w:r w:rsidRPr="001A6D5C">
                    <w:t>pH adjustment</w:t>
                  </w:r>
                </w:p>
              </w:tc>
            </w:tr>
            <w:tr w:rsidR="000931AF" w:rsidRPr="001A6D5C" w14:paraId="2E3D3078" w14:textId="77777777" w:rsidTr="00A50412">
              <w:tc>
                <w:tcPr>
                  <w:tcW w:w="2109" w:type="dxa"/>
                  <w:shd w:val="clear" w:color="auto" w:fill="auto"/>
                  <w:tcMar>
                    <w:left w:w="57" w:type="dxa"/>
                    <w:bottom w:w="57" w:type="dxa"/>
                    <w:right w:w="57" w:type="dxa"/>
                  </w:tcMar>
                </w:tcPr>
                <w:p w14:paraId="68A074A6" w14:textId="77777777" w:rsidR="000931AF" w:rsidRPr="001A6D5C" w:rsidRDefault="000931AF" w:rsidP="00A50412">
                  <w:pPr>
                    <w:pStyle w:val="TableText"/>
                  </w:pPr>
                  <w:r w:rsidRPr="001A6D5C">
                    <w:t>Hydrochloric acid</w:t>
                  </w:r>
                </w:p>
              </w:tc>
              <w:tc>
                <w:tcPr>
                  <w:tcW w:w="2451" w:type="dxa"/>
                  <w:shd w:val="clear" w:color="auto" w:fill="auto"/>
                  <w:tcMar>
                    <w:left w:w="57" w:type="dxa"/>
                    <w:bottom w:w="57" w:type="dxa"/>
                    <w:right w:w="57" w:type="dxa"/>
                  </w:tcMar>
                </w:tcPr>
                <w:p w14:paraId="6EA7FB4A" w14:textId="77777777" w:rsidR="000931AF" w:rsidRPr="001A6D5C" w:rsidRDefault="000931AF" w:rsidP="00A50412">
                  <w:pPr>
                    <w:pStyle w:val="TableText"/>
                  </w:pPr>
                  <w:r>
                    <w:t>QS</w:t>
                  </w:r>
                </w:p>
              </w:tc>
              <w:tc>
                <w:tcPr>
                  <w:tcW w:w="2451" w:type="dxa"/>
                  <w:shd w:val="clear" w:color="auto" w:fill="auto"/>
                  <w:tcMar>
                    <w:left w:w="57" w:type="dxa"/>
                    <w:bottom w:w="57" w:type="dxa"/>
                    <w:right w:w="57" w:type="dxa"/>
                  </w:tcMar>
                </w:tcPr>
                <w:p w14:paraId="3D6030CE" w14:textId="77777777" w:rsidR="000931AF" w:rsidRPr="001A6D5C" w:rsidRDefault="000931AF" w:rsidP="00A50412">
                  <w:pPr>
                    <w:pStyle w:val="TableText"/>
                  </w:pPr>
                  <w:r w:rsidRPr="001A6D5C">
                    <w:t>pH adjustment</w:t>
                  </w:r>
                </w:p>
              </w:tc>
            </w:tr>
          </w:tbl>
          <w:p w14:paraId="7C793911" w14:textId="77777777" w:rsidR="000931AF" w:rsidRPr="008E18CD" w:rsidRDefault="000931AF" w:rsidP="0072137E">
            <w:pPr>
              <w:pStyle w:val="Caption"/>
              <w:spacing w:before="0" w:after="0" w:line="264" w:lineRule="auto"/>
              <w:ind w:left="0" w:firstLine="0"/>
              <w:rPr>
                <w:b w:val="0"/>
                <w:sz w:val="20"/>
              </w:rPr>
            </w:pPr>
            <w:r w:rsidRPr="008E18CD">
              <w:rPr>
                <w:b w:val="0"/>
                <w:sz w:val="20"/>
              </w:rPr>
              <w:t>*plus overage</w:t>
            </w:r>
          </w:p>
          <w:p w14:paraId="518F3A56" w14:textId="77777777" w:rsidR="000931AF" w:rsidRPr="0072137E" w:rsidRDefault="000931AF" w:rsidP="0072137E">
            <w:pPr>
              <w:pStyle w:val="BodyText"/>
              <w:spacing w:after="0"/>
            </w:pPr>
          </w:p>
          <w:tbl>
            <w:tblPr>
              <w:tblW w:w="7011" w:type="dxa"/>
              <w:tblInd w:w="57" w:type="dxa"/>
              <w:tblBorders>
                <w:top w:val="single" w:sz="4" w:space="0" w:color="auto"/>
                <w:bottom w:val="single" w:sz="4" w:space="0" w:color="auto"/>
              </w:tblBorders>
              <w:tblLayout w:type="fixed"/>
              <w:tblCellMar>
                <w:left w:w="57" w:type="dxa"/>
                <w:right w:w="57" w:type="dxa"/>
              </w:tblCellMar>
              <w:tblLook w:val="01E0" w:firstRow="1" w:lastRow="1" w:firstColumn="1" w:lastColumn="1" w:noHBand="0" w:noVBand="0"/>
            </w:tblPr>
            <w:tblGrid>
              <w:gridCol w:w="2109"/>
              <w:gridCol w:w="2451"/>
              <w:gridCol w:w="2451"/>
            </w:tblGrid>
            <w:tr w:rsidR="000931AF" w:rsidRPr="001A6D5C" w14:paraId="6273F168" w14:textId="77777777" w:rsidTr="00A50412">
              <w:trPr>
                <w:cantSplit/>
                <w:tblHeader/>
              </w:trPr>
              <w:tc>
                <w:tcPr>
                  <w:tcW w:w="2109" w:type="dxa"/>
                  <w:tcBorders>
                    <w:bottom w:val="single" w:sz="4" w:space="0" w:color="auto"/>
                  </w:tcBorders>
                  <w:shd w:val="clear" w:color="auto" w:fill="auto"/>
                  <w:tcMar>
                    <w:top w:w="57" w:type="dxa"/>
                    <w:left w:w="57" w:type="dxa"/>
                    <w:bottom w:w="57" w:type="dxa"/>
                    <w:right w:w="57" w:type="dxa"/>
                  </w:tcMar>
                </w:tcPr>
                <w:p w14:paraId="7EBDC423" w14:textId="77777777" w:rsidR="000931AF" w:rsidRPr="001A6D5C" w:rsidRDefault="000931AF" w:rsidP="00A50412">
                  <w:pPr>
                    <w:pStyle w:val="TableText"/>
                    <w:rPr>
                      <w:b/>
                    </w:rPr>
                  </w:pPr>
                  <w:r w:rsidRPr="001A6D5C">
                    <w:rPr>
                      <w:b/>
                    </w:rPr>
                    <w:t>Contents</w:t>
                  </w:r>
                </w:p>
              </w:tc>
              <w:tc>
                <w:tcPr>
                  <w:tcW w:w="2451" w:type="dxa"/>
                  <w:tcBorders>
                    <w:bottom w:val="single" w:sz="4" w:space="0" w:color="auto"/>
                  </w:tcBorders>
                  <w:shd w:val="clear" w:color="auto" w:fill="auto"/>
                  <w:tcMar>
                    <w:top w:w="57" w:type="dxa"/>
                    <w:left w:w="57" w:type="dxa"/>
                    <w:bottom w:w="57" w:type="dxa"/>
                    <w:right w:w="57" w:type="dxa"/>
                  </w:tcMar>
                </w:tcPr>
                <w:p w14:paraId="511A7D2E" w14:textId="77777777" w:rsidR="000931AF" w:rsidRPr="001A6D5C" w:rsidRDefault="000931AF" w:rsidP="00A50412">
                  <w:pPr>
                    <w:pStyle w:val="TableText"/>
                    <w:rPr>
                      <w:b/>
                    </w:rPr>
                  </w:pPr>
                  <w:r w:rsidRPr="001A6D5C">
                    <w:rPr>
                      <w:b/>
                    </w:rPr>
                    <w:t>Per prefilled syringe</w:t>
                  </w:r>
                </w:p>
              </w:tc>
              <w:tc>
                <w:tcPr>
                  <w:tcW w:w="2451" w:type="dxa"/>
                  <w:tcBorders>
                    <w:bottom w:val="single" w:sz="4" w:space="0" w:color="auto"/>
                  </w:tcBorders>
                  <w:shd w:val="clear" w:color="auto" w:fill="auto"/>
                  <w:tcMar>
                    <w:top w:w="57" w:type="dxa"/>
                    <w:left w:w="57" w:type="dxa"/>
                    <w:bottom w:w="57" w:type="dxa"/>
                    <w:right w:w="57" w:type="dxa"/>
                  </w:tcMar>
                </w:tcPr>
                <w:p w14:paraId="00414154" w14:textId="77777777" w:rsidR="000931AF" w:rsidRPr="001A6D5C" w:rsidRDefault="000931AF" w:rsidP="00A50412">
                  <w:pPr>
                    <w:pStyle w:val="TableText"/>
                    <w:rPr>
                      <w:b/>
                    </w:rPr>
                  </w:pPr>
                  <w:r w:rsidRPr="001A6D5C">
                    <w:rPr>
                      <w:b/>
                    </w:rPr>
                    <w:t>Function</w:t>
                  </w:r>
                </w:p>
              </w:tc>
            </w:tr>
            <w:tr w:rsidR="000931AF" w:rsidRPr="001A6D5C" w14:paraId="1FC8715D" w14:textId="77777777" w:rsidTr="00A50412">
              <w:tc>
                <w:tcPr>
                  <w:tcW w:w="2109" w:type="dxa"/>
                  <w:shd w:val="clear" w:color="auto" w:fill="auto"/>
                  <w:tcMar>
                    <w:left w:w="57" w:type="dxa"/>
                    <w:right w:w="57" w:type="dxa"/>
                  </w:tcMar>
                </w:tcPr>
                <w:p w14:paraId="1500FDF9" w14:textId="77777777" w:rsidR="000931AF" w:rsidRPr="001A6D5C" w:rsidRDefault="000931AF" w:rsidP="00A50412">
                  <w:pPr>
                    <w:pStyle w:val="TableText"/>
                    <w:spacing w:before="57"/>
                  </w:pPr>
                  <w:r w:rsidRPr="001A6D5C">
                    <w:t>Sterile water for injection</w:t>
                  </w:r>
                </w:p>
              </w:tc>
              <w:tc>
                <w:tcPr>
                  <w:tcW w:w="2451" w:type="dxa"/>
                  <w:shd w:val="clear" w:color="auto" w:fill="auto"/>
                  <w:tcMar>
                    <w:left w:w="57" w:type="dxa"/>
                    <w:right w:w="57" w:type="dxa"/>
                  </w:tcMar>
                </w:tcPr>
                <w:p w14:paraId="621BFD7D" w14:textId="77777777" w:rsidR="000931AF" w:rsidRPr="001A6D5C" w:rsidRDefault="000931AF" w:rsidP="00A50412">
                  <w:pPr>
                    <w:pStyle w:val="TableText"/>
                    <w:spacing w:before="57"/>
                  </w:pPr>
                  <w:r w:rsidRPr="001A6D5C">
                    <w:t>4</w:t>
                  </w:r>
                  <w:r>
                    <w:t>.3</w:t>
                  </w:r>
                  <w:r w:rsidRPr="001A6D5C">
                    <w:t xml:space="preserve"> ml</w:t>
                  </w:r>
                </w:p>
              </w:tc>
              <w:tc>
                <w:tcPr>
                  <w:tcW w:w="2451" w:type="dxa"/>
                  <w:shd w:val="clear" w:color="auto" w:fill="auto"/>
                  <w:tcMar>
                    <w:left w:w="57" w:type="dxa"/>
                    <w:right w:w="57" w:type="dxa"/>
                  </w:tcMar>
                </w:tcPr>
                <w:p w14:paraId="66D8A1EA" w14:textId="77777777" w:rsidR="000931AF" w:rsidRPr="001A6D5C" w:rsidRDefault="000931AF" w:rsidP="00A50412">
                  <w:pPr>
                    <w:pStyle w:val="TableText"/>
                    <w:spacing w:before="57"/>
                  </w:pPr>
                  <w:r w:rsidRPr="001A6D5C">
                    <w:t>Solvent</w:t>
                  </w:r>
                </w:p>
              </w:tc>
            </w:tr>
            <w:tr w:rsidR="000931AF" w:rsidRPr="002E5E42" w14:paraId="3E243DB9" w14:textId="77777777" w:rsidTr="00A50412">
              <w:tc>
                <w:tcPr>
                  <w:tcW w:w="2109" w:type="dxa"/>
                  <w:shd w:val="clear" w:color="auto" w:fill="auto"/>
                  <w:tcMar>
                    <w:left w:w="57" w:type="dxa"/>
                    <w:bottom w:w="57" w:type="dxa"/>
                    <w:right w:w="57" w:type="dxa"/>
                  </w:tcMar>
                </w:tcPr>
                <w:p w14:paraId="67B1D114" w14:textId="77777777" w:rsidR="000931AF" w:rsidRPr="001A6D5C" w:rsidRDefault="000931AF" w:rsidP="001C7A37">
                  <w:pPr>
                    <w:pStyle w:val="TableText"/>
                  </w:pPr>
                  <w:r w:rsidRPr="001A6D5C">
                    <w:t xml:space="preserve">Sodium </w:t>
                  </w:r>
                  <w:r>
                    <w:t>c</w:t>
                  </w:r>
                  <w:r w:rsidRPr="001A6D5C">
                    <w:t>hloride</w:t>
                  </w:r>
                </w:p>
              </w:tc>
              <w:tc>
                <w:tcPr>
                  <w:tcW w:w="2451" w:type="dxa"/>
                  <w:shd w:val="clear" w:color="auto" w:fill="auto"/>
                  <w:tcMar>
                    <w:left w:w="57" w:type="dxa"/>
                    <w:bottom w:w="57" w:type="dxa"/>
                    <w:right w:w="57" w:type="dxa"/>
                  </w:tcMar>
                </w:tcPr>
                <w:p w14:paraId="2BAED35E" w14:textId="77777777" w:rsidR="000931AF" w:rsidRDefault="000931AF" w:rsidP="00A50412">
                  <w:pPr>
                    <w:pStyle w:val="TableText"/>
                  </w:pPr>
                  <w:r w:rsidRPr="001A6D5C">
                    <w:t>0.9 %</w:t>
                  </w:r>
                </w:p>
              </w:tc>
              <w:tc>
                <w:tcPr>
                  <w:tcW w:w="2451" w:type="dxa"/>
                  <w:shd w:val="clear" w:color="auto" w:fill="auto"/>
                  <w:tcMar>
                    <w:left w:w="57" w:type="dxa"/>
                    <w:bottom w:w="57" w:type="dxa"/>
                    <w:right w:w="57" w:type="dxa"/>
                  </w:tcMar>
                </w:tcPr>
                <w:p w14:paraId="6CEF9496" w14:textId="77777777" w:rsidR="000931AF" w:rsidRPr="002E5E42" w:rsidRDefault="000931AF" w:rsidP="00A50412">
                  <w:pPr>
                    <w:pStyle w:val="TableText"/>
                    <w:rPr>
                      <w:i/>
                      <w:color w:val="0000FF"/>
                    </w:rPr>
                  </w:pPr>
                </w:p>
              </w:tc>
            </w:tr>
          </w:tbl>
          <w:p w14:paraId="0F60A605" w14:textId="77777777" w:rsidR="000931AF" w:rsidRPr="00D50D97" w:rsidRDefault="000931AF" w:rsidP="00A50412">
            <w:pPr>
              <w:pStyle w:val="BodyText"/>
            </w:pPr>
          </w:p>
        </w:tc>
      </w:tr>
      <w:tr w:rsidR="000931AF" w:rsidRPr="002E5E42" w:rsidDel="00A50412" w14:paraId="232D20E4" w14:textId="77777777" w:rsidTr="000931AF">
        <w:trPr>
          <w:trHeight w:val="450"/>
        </w:trPr>
        <w:tc>
          <w:tcPr>
            <w:tcW w:w="5000" w:type="pct"/>
            <w:shd w:val="clear" w:color="auto" w:fill="auto"/>
          </w:tcPr>
          <w:p w14:paraId="37B37271" w14:textId="77777777" w:rsidR="000931AF" w:rsidRDefault="000931AF" w:rsidP="00E01A8F">
            <w:pPr>
              <w:pStyle w:val="BodyText"/>
              <w:spacing w:after="0"/>
            </w:pPr>
          </w:p>
          <w:p w14:paraId="7A3A2C38" w14:textId="77777777" w:rsidR="000931AF" w:rsidRDefault="000931AF" w:rsidP="00DC5D9A">
            <w:pPr>
              <w:pStyle w:val="BodyText"/>
              <w:jc w:val="both"/>
            </w:pPr>
            <w:r>
              <w:t>Store in refrigerator (2</w:t>
            </w:r>
            <w:r w:rsidRPr="002E5E42">
              <w:sym w:font="Symbol" w:char="F0B0"/>
            </w:r>
            <w:r>
              <w:t>C - 8</w:t>
            </w:r>
            <w:r w:rsidRPr="002E5E42">
              <w:sym w:font="Symbol" w:char="F0B0"/>
            </w:r>
            <w:r>
              <w:t>C). Do not freeze.</w:t>
            </w:r>
          </w:p>
          <w:p w14:paraId="24BF5203" w14:textId="77777777" w:rsidR="000931AF" w:rsidRDefault="000931AF" w:rsidP="00DC5D9A">
            <w:pPr>
              <w:pStyle w:val="BodyText"/>
              <w:jc w:val="both"/>
            </w:pPr>
            <w:r>
              <w:t xml:space="preserve">During the shelf life, the product may be kept </w:t>
            </w:r>
            <w:r w:rsidRPr="005F32A4">
              <w:t xml:space="preserve">at room temperature </w:t>
            </w:r>
            <w:r>
              <w:t>≤</w:t>
            </w:r>
            <w:r w:rsidRPr="005F32A4">
              <w:t xml:space="preserve"> 30</w:t>
            </w:r>
            <w:r w:rsidRPr="002E5E42">
              <w:sym w:font="Symbol" w:char="F0B0"/>
            </w:r>
            <w:r w:rsidRPr="005F32A4">
              <w:t>C fo</w:t>
            </w:r>
            <w:r>
              <w:t>r a single period not exceeding 6</w:t>
            </w:r>
            <w:r w:rsidRPr="004464CF">
              <w:t xml:space="preserve"> months.</w:t>
            </w:r>
            <w:r>
              <w:t xml:space="preserve"> </w:t>
            </w:r>
            <w:r w:rsidRPr="009B09BA">
              <w:t xml:space="preserve">Once the product has been taken out of the refrigerator the product must not be returned to the refrigerator. </w:t>
            </w:r>
            <w:r>
              <w:t>Please record the beginning of storage at room temperature on the product carton.</w:t>
            </w:r>
          </w:p>
          <w:p w14:paraId="5ABA05B2" w14:textId="77777777" w:rsidR="000931AF" w:rsidRDefault="000931AF" w:rsidP="00DC5D9A">
            <w:pPr>
              <w:pStyle w:val="BodyText"/>
              <w:jc w:val="both"/>
            </w:pPr>
            <w:r>
              <w:t>Keep the vial in the outer carton in order to protect from light.</w:t>
            </w:r>
          </w:p>
          <w:p w14:paraId="2D7957E1" w14:textId="2876C323" w:rsidR="000931AF" w:rsidRPr="0012536E" w:rsidRDefault="000931AF" w:rsidP="00DC5D9A">
            <w:pPr>
              <w:pStyle w:val="BodyText"/>
              <w:jc w:val="both"/>
            </w:pPr>
            <w:r>
              <w:lastRenderedPageBreak/>
              <w:t>For storage conditions of the reconstituted medicinal product, see ’Shelf life.</w:t>
            </w:r>
          </w:p>
        </w:tc>
      </w:tr>
      <w:tr w:rsidR="000931AF" w:rsidRPr="002E5E42" w14:paraId="41B94A22" w14:textId="77777777" w:rsidTr="000931AF">
        <w:trPr>
          <w:trHeight w:val="217"/>
        </w:trPr>
        <w:tc>
          <w:tcPr>
            <w:tcW w:w="5000" w:type="pct"/>
            <w:shd w:val="clear" w:color="auto" w:fill="auto"/>
          </w:tcPr>
          <w:p w14:paraId="15538F9D" w14:textId="77777777" w:rsidR="000931AF" w:rsidRPr="00B4362D" w:rsidRDefault="000931AF" w:rsidP="00DC5D9A">
            <w:pPr>
              <w:pStyle w:val="BodyText"/>
              <w:jc w:val="both"/>
              <w:rPr>
                <w:u w:val="single"/>
              </w:rPr>
            </w:pPr>
            <w:r w:rsidRPr="00574263">
              <w:rPr>
                <w:b/>
                <w:spacing w:val="-2"/>
                <w:szCs w:val="20"/>
                <w:u w:val="single"/>
                <w:lang w:val="en-AU"/>
              </w:rPr>
              <w:lastRenderedPageBreak/>
              <w:t>Shelf life</w:t>
            </w:r>
          </w:p>
        </w:tc>
      </w:tr>
      <w:tr w:rsidR="000931AF" w:rsidRPr="002E5E42" w14:paraId="67B66A79" w14:textId="77777777" w:rsidTr="000931AF">
        <w:trPr>
          <w:trHeight w:val="217"/>
        </w:trPr>
        <w:tc>
          <w:tcPr>
            <w:tcW w:w="5000" w:type="pct"/>
            <w:shd w:val="clear" w:color="auto" w:fill="auto"/>
          </w:tcPr>
          <w:p w14:paraId="7C5DDADB" w14:textId="77777777" w:rsidR="000931AF" w:rsidRPr="00E01A8F" w:rsidRDefault="000931AF" w:rsidP="00DC5D9A">
            <w:pPr>
              <w:pStyle w:val="BodyText"/>
              <w:jc w:val="both"/>
              <w:rPr>
                <w:i/>
              </w:rPr>
            </w:pPr>
            <w:r w:rsidRPr="00B4362D">
              <w:rPr>
                <w:u w:val="single"/>
              </w:rPr>
              <w:t>Unopened</w:t>
            </w:r>
            <w:r w:rsidRPr="007B52F4">
              <w:rPr>
                <w:u w:val="single"/>
              </w:rPr>
              <w:t>:</w:t>
            </w:r>
            <w:r>
              <w:br/>
              <w:t>2 years</w:t>
            </w:r>
          </w:p>
          <w:p w14:paraId="37A201F7" w14:textId="77777777" w:rsidR="000931AF" w:rsidRDefault="000931AF" w:rsidP="00DC5D9A">
            <w:pPr>
              <w:pStyle w:val="BodyText"/>
              <w:jc w:val="both"/>
              <w:rPr>
                <w:lang w:val="en-AU"/>
              </w:rPr>
            </w:pPr>
            <w:r w:rsidRPr="002E5E42">
              <w:rPr>
                <w:u w:val="single"/>
              </w:rPr>
              <w:t>After reconstitution</w:t>
            </w:r>
            <w:proofErr w:type="gramStart"/>
            <w:r w:rsidRPr="007B52F4">
              <w:rPr>
                <w:u w:val="single"/>
              </w:rPr>
              <w:t>:</w:t>
            </w:r>
            <w:proofErr w:type="gramEnd"/>
            <w:r>
              <w:br/>
            </w:r>
            <w:r w:rsidRPr="00B83A1A">
              <w:rPr>
                <w:lang w:val="en-AU"/>
              </w:rPr>
              <w:t xml:space="preserve">Do not use reconstituted </w:t>
            </w:r>
            <w:proofErr w:type="spellStart"/>
            <w:r w:rsidRPr="00B83A1A">
              <w:rPr>
                <w:lang w:val="en-AU"/>
              </w:rPr>
              <w:t>NovoEight</w:t>
            </w:r>
            <w:proofErr w:type="spellEnd"/>
            <w:r w:rsidRPr="00B83A1A">
              <w:rPr>
                <w:lang w:val="en-AU"/>
              </w:rPr>
              <w:t xml:space="preserve"> exhibiting particulates or discoloration. </w:t>
            </w:r>
            <w:proofErr w:type="spellStart"/>
            <w:r w:rsidRPr="00B83A1A">
              <w:rPr>
                <w:lang w:val="en-AU"/>
              </w:rPr>
              <w:t>NovoEight</w:t>
            </w:r>
            <w:proofErr w:type="spellEnd"/>
            <w:r w:rsidRPr="00B83A1A">
              <w:rPr>
                <w:lang w:val="en-AU"/>
              </w:rPr>
              <w:t xml:space="preserve"> contains no antimicrobial preservative and is intended for use in one patient on one occasion only.</w:t>
            </w:r>
          </w:p>
          <w:p w14:paraId="5D3224B0" w14:textId="77777777" w:rsidR="000931AF" w:rsidRPr="00882C1E" w:rsidRDefault="000931AF" w:rsidP="0012536E">
            <w:pPr>
              <w:pStyle w:val="BodyText"/>
              <w:jc w:val="both"/>
            </w:pPr>
            <w:r w:rsidRPr="00DC508D">
              <w:t>From a microbiological point of view, the medicinal product should be used immediately after reconstitution.</w:t>
            </w:r>
            <w:r w:rsidRPr="008E415B">
              <w:t xml:space="preserve"> </w:t>
            </w:r>
            <w:r w:rsidRPr="00BB6A83">
              <w:t>If the reconstituted product is not used immediately it should be used within 4 hours when stored at</w:t>
            </w:r>
            <w:r>
              <w:t xml:space="preserve"> room temperature (</w:t>
            </w:r>
            <w:r w:rsidRPr="00BB6A83">
              <w:sym w:font="Symbol" w:char="F0A3"/>
            </w:r>
            <w:r w:rsidRPr="00BB6A83">
              <w:t xml:space="preserve"> 30</w:t>
            </w:r>
            <w:r w:rsidRPr="00BB6A83">
              <w:sym w:font="Symbol" w:char="F0B0"/>
            </w:r>
            <w:r w:rsidRPr="00BB6A83">
              <w:t>C</w:t>
            </w:r>
            <w:r>
              <w:t>),</w:t>
            </w:r>
            <w:r w:rsidRPr="00BB6A83">
              <w:t xml:space="preserve"> and within 24 hours when stored at 2</w:t>
            </w:r>
            <w:r w:rsidRPr="00BB6A83">
              <w:sym w:font="Symbol" w:char="F0B0"/>
            </w:r>
            <w:r w:rsidRPr="00BB6A83">
              <w:t>C - 8</w:t>
            </w:r>
            <w:r w:rsidRPr="00BB6A83">
              <w:sym w:font="Symbol" w:char="F0B0"/>
            </w:r>
            <w:r w:rsidRPr="00BB6A83">
              <w:t xml:space="preserve">C. Store the reconstituted product in the vial. </w:t>
            </w:r>
            <w:r>
              <w:t>Any unused product stored at room temperature for more than 4 hours should be discarded.</w:t>
            </w:r>
          </w:p>
        </w:tc>
      </w:tr>
      <w:tr w:rsidR="000931AF" w:rsidRPr="002E5E42" w14:paraId="4134F53F" w14:textId="77777777" w:rsidTr="000931AF">
        <w:trPr>
          <w:trHeight w:val="217"/>
        </w:trPr>
        <w:tc>
          <w:tcPr>
            <w:tcW w:w="5000" w:type="pct"/>
            <w:shd w:val="clear" w:color="auto" w:fill="auto"/>
          </w:tcPr>
          <w:p w14:paraId="5C1F8B6E" w14:textId="77777777" w:rsidR="000931AF" w:rsidRPr="00B83A1A" w:rsidRDefault="000931AF" w:rsidP="00DC5D9A">
            <w:pPr>
              <w:pStyle w:val="BodyText"/>
              <w:jc w:val="both"/>
              <w:rPr>
                <w:b/>
              </w:rPr>
            </w:pPr>
            <w:r w:rsidRPr="00B83A1A">
              <w:rPr>
                <w:b/>
              </w:rPr>
              <w:t>NAME AND ADDRESS OF THE SPONSOR</w:t>
            </w:r>
          </w:p>
        </w:tc>
      </w:tr>
      <w:tr w:rsidR="000931AF" w:rsidRPr="002E5E42" w14:paraId="2CD8AD48" w14:textId="77777777" w:rsidTr="000931AF">
        <w:trPr>
          <w:trHeight w:val="217"/>
        </w:trPr>
        <w:tc>
          <w:tcPr>
            <w:tcW w:w="5000" w:type="pct"/>
            <w:shd w:val="clear" w:color="auto" w:fill="auto"/>
          </w:tcPr>
          <w:p w14:paraId="27B13626" w14:textId="77777777" w:rsidR="000931AF" w:rsidRPr="00B83A1A" w:rsidRDefault="000931AF" w:rsidP="00DC5D9A">
            <w:pPr>
              <w:pStyle w:val="BodyText"/>
              <w:spacing w:after="0"/>
              <w:jc w:val="both"/>
              <w:rPr>
                <w:lang w:val="en-AU"/>
              </w:rPr>
            </w:pPr>
            <w:r w:rsidRPr="00B83A1A">
              <w:rPr>
                <w:lang w:val="en-AU"/>
              </w:rPr>
              <w:t>Novo Nordisk Pharmaceuticals Pty. Ltd.</w:t>
            </w:r>
          </w:p>
          <w:p w14:paraId="5477157D" w14:textId="77777777" w:rsidR="000931AF" w:rsidRPr="00B83A1A" w:rsidRDefault="000931AF" w:rsidP="00DC5D9A">
            <w:pPr>
              <w:pStyle w:val="BodyText"/>
              <w:spacing w:after="0"/>
              <w:jc w:val="both"/>
              <w:rPr>
                <w:lang w:val="en-US"/>
              </w:rPr>
            </w:pPr>
            <w:r w:rsidRPr="00B83A1A">
              <w:rPr>
                <w:lang w:val="en-US"/>
              </w:rPr>
              <w:t>Level 3</w:t>
            </w:r>
          </w:p>
          <w:p w14:paraId="77803366" w14:textId="77777777" w:rsidR="000931AF" w:rsidRPr="00B83A1A" w:rsidRDefault="000931AF" w:rsidP="00DC5D9A">
            <w:pPr>
              <w:pStyle w:val="BodyText"/>
              <w:spacing w:after="0"/>
              <w:jc w:val="both"/>
              <w:rPr>
                <w:lang w:val="en-US"/>
              </w:rPr>
            </w:pPr>
            <w:r w:rsidRPr="00B83A1A">
              <w:rPr>
                <w:lang w:val="en-US"/>
              </w:rPr>
              <w:t>21</w:t>
            </w:r>
            <w:r w:rsidRPr="00B83A1A">
              <w:rPr>
                <w:lang w:val="en-AU"/>
              </w:rPr>
              <w:t xml:space="preserve"> Solent</w:t>
            </w:r>
            <w:r w:rsidRPr="00B83A1A">
              <w:rPr>
                <w:lang w:val="en-US"/>
              </w:rPr>
              <w:t xml:space="preserve"> Circuit</w:t>
            </w:r>
          </w:p>
          <w:p w14:paraId="0C40CBD7" w14:textId="77777777" w:rsidR="000931AF" w:rsidRPr="00B83A1A" w:rsidRDefault="000931AF" w:rsidP="00DC5D9A">
            <w:pPr>
              <w:pStyle w:val="BodyText"/>
              <w:jc w:val="both"/>
            </w:pPr>
            <w:r w:rsidRPr="00B83A1A">
              <w:rPr>
                <w:lang w:val="en-US"/>
              </w:rPr>
              <w:t>Baulkham Hills NSW 2153</w:t>
            </w:r>
          </w:p>
        </w:tc>
      </w:tr>
      <w:tr w:rsidR="000931AF" w:rsidRPr="002E5E42" w14:paraId="31F460ED" w14:textId="77777777" w:rsidTr="000931AF">
        <w:trPr>
          <w:trHeight w:val="217"/>
        </w:trPr>
        <w:tc>
          <w:tcPr>
            <w:tcW w:w="5000" w:type="pct"/>
            <w:shd w:val="clear" w:color="auto" w:fill="auto"/>
          </w:tcPr>
          <w:p w14:paraId="0F7C6326" w14:textId="77777777" w:rsidR="000931AF" w:rsidRPr="00B83A1A" w:rsidRDefault="000931AF" w:rsidP="00DC5D9A">
            <w:pPr>
              <w:pStyle w:val="BodyText"/>
              <w:jc w:val="both"/>
              <w:rPr>
                <w:b/>
              </w:rPr>
            </w:pPr>
            <w:r w:rsidRPr="00B83A1A">
              <w:rPr>
                <w:b/>
              </w:rPr>
              <w:t>POISON SCHEDULE OF THE MEDICINE</w:t>
            </w:r>
          </w:p>
        </w:tc>
      </w:tr>
      <w:tr w:rsidR="000931AF" w:rsidRPr="002E5E42" w14:paraId="6D97CEA0" w14:textId="77777777" w:rsidTr="000931AF">
        <w:trPr>
          <w:trHeight w:val="217"/>
        </w:trPr>
        <w:tc>
          <w:tcPr>
            <w:tcW w:w="5000" w:type="pct"/>
            <w:shd w:val="clear" w:color="auto" w:fill="auto"/>
          </w:tcPr>
          <w:p w14:paraId="07373FD0" w14:textId="77777777" w:rsidR="000931AF" w:rsidRPr="00B83A1A" w:rsidRDefault="000931AF" w:rsidP="00DC5D9A">
            <w:pPr>
              <w:pStyle w:val="BodyText"/>
              <w:jc w:val="both"/>
            </w:pPr>
            <w:r w:rsidRPr="00B83A1A">
              <w:t>Unscheduled.</w:t>
            </w:r>
          </w:p>
        </w:tc>
      </w:tr>
      <w:tr w:rsidR="000931AF" w:rsidRPr="002E5E42" w14:paraId="41E8C65B" w14:textId="77777777" w:rsidTr="000931AF">
        <w:trPr>
          <w:trHeight w:val="217"/>
        </w:trPr>
        <w:tc>
          <w:tcPr>
            <w:tcW w:w="5000" w:type="pct"/>
            <w:shd w:val="clear" w:color="auto" w:fill="auto"/>
          </w:tcPr>
          <w:p w14:paraId="16A981E4" w14:textId="77777777" w:rsidR="000931AF" w:rsidRDefault="000931AF" w:rsidP="00DC5D9A">
            <w:pPr>
              <w:pStyle w:val="BodyText"/>
              <w:jc w:val="both"/>
              <w:rPr>
                <w:b/>
              </w:rPr>
            </w:pPr>
            <w:r w:rsidRPr="00B83A1A">
              <w:rPr>
                <w:b/>
              </w:rPr>
              <w:t>DATE OF FIRST INCLUSION IN THE AUSTRALIAN REGISTER OF THERAPEUTIC GOODS (the ARTG)</w:t>
            </w:r>
          </w:p>
          <w:p w14:paraId="73DEB593" w14:textId="7FE8D7EC" w:rsidR="001E02AF" w:rsidRPr="001E02AF" w:rsidRDefault="001E02AF" w:rsidP="001E02AF">
            <w:pPr>
              <w:pStyle w:val="BodyText"/>
              <w:spacing w:after="0"/>
              <w:jc w:val="both"/>
            </w:pPr>
            <w:r w:rsidRPr="001E02AF">
              <w:t>8 January 2014</w:t>
            </w:r>
          </w:p>
        </w:tc>
      </w:tr>
    </w:tbl>
    <w:p w14:paraId="23884270" w14:textId="77777777" w:rsidR="00742E17" w:rsidRPr="0034761A" w:rsidRDefault="00742E17" w:rsidP="001E02AF">
      <w:pPr>
        <w:rPr>
          <w:noProof/>
        </w:rPr>
      </w:pPr>
    </w:p>
    <w:sectPr w:rsidR="00742E17" w:rsidRPr="0034761A" w:rsidSect="007427B6">
      <w:headerReference w:type="default" r:id="rId10"/>
      <w:endnotePr>
        <w:numFmt w:val="decimal"/>
      </w:endnotePr>
      <w:pgSz w:w="11906" w:h="16838" w:code="9"/>
      <w:pgMar w:top="1105" w:right="1814" w:bottom="1276" w:left="1736" w:header="426" w:footer="181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370EB" w14:textId="77777777" w:rsidR="001272C2" w:rsidRDefault="001272C2"/>
  </w:endnote>
  <w:endnote w:type="continuationSeparator" w:id="0">
    <w:p w14:paraId="7FA9032F" w14:textId="77777777" w:rsidR="001272C2" w:rsidRDefault="001272C2">
      <w:r>
        <w:continuationSeparator/>
      </w:r>
    </w:p>
  </w:endnote>
  <w:endnote w:type="continuationNotice" w:id="1">
    <w:p w14:paraId="2787B699" w14:textId="77777777" w:rsidR="001272C2" w:rsidRDefault="00127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1FB8D" w14:textId="77777777" w:rsidR="001272C2" w:rsidRDefault="001272C2">
      <w:r>
        <w:separator/>
      </w:r>
    </w:p>
  </w:footnote>
  <w:footnote w:type="continuationSeparator" w:id="0">
    <w:p w14:paraId="385B1F5C" w14:textId="77777777" w:rsidR="001272C2" w:rsidRDefault="001272C2">
      <w:r>
        <w:continuationSeparator/>
      </w:r>
    </w:p>
  </w:footnote>
  <w:footnote w:type="continuationNotice" w:id="1">
    <w:p w14:paraId="100DD6E0" w14:textId="77777777" w:rsidR="001272C2" w:rsidRDefault="001272C2"/>
  </w:footnote>
  <w:footnote w:id="2">
    <w:p w14:paraId="3D698560" w14:textId="77777777" w:rsidR="00BB5CA6" w:rsidRPr="00A62383" w:rsidRDefault="00BB5CA6">
      <w:pPr>
        <w:pStyle w:val="FootnoteText"/>
        <w:rPr>
          <w:lang w:val="en-AU"/>
        </w:rPr>
      </w:pPr>
      <w:r>
        <w:rPr>
          <w:rStyle w:val="FootnoteReference"/>
        </w:rPr>
        <w:footnoteRef/>
      </w:r>
      <w:r>
        <w:t xml:space="preserve"> </w:t>
      </w:r>
      <w:r>
        <w:rPr>
          <w:lang w:val="en-AU"/>
        </w:rPr>
        <w:t>29% and 26% lower t</w:t>
      </w:r>
      <w:r w:rsidRPr="00A259E2">
        <w:rPr>
          <w:vertAlign w:val="subscript"/>
          <w:lang w:val="en-AU"/>
        </w:rPr>
        <w:t xml:space="preserve">1/2 </w:t>
      </w:r>
      <w:r>
        <w:rPr>
          <w:lang w:val="en-AU"/>
        </w:rPr>
        <w:t xml:space="preserve">for children 1-&lt;6 </w:t>
      </w:r>
      <w:proofErr w:type="spellStart"/>
      <w:r>
        <w:rPr>
          <w:lang w:val="en-AU"/>
        </w:rPr>
        <w:t>yrs</w:t>
      </w:r>
      <w:proofErr w:type="spellEnd"/>
      <w:r>
        <w:rPr>
          <w:lang w:val="en-AU"/>
        </w:rPr>
        <w:t xml:space="preserve"> and 6-12 </w:t>
      </w:r>
      <w:proofErr w:type="spellStart"/>
      <w:r>
        <w:rPr>
          <w:lang w:val="en-AU"/>
        </w:rPr>
        <w:t>yrs</w:t>
      </w:r>
      <w:proofErr w:type="spellEnd"/>
      <w:r>
        <w:rPr>
          <w:lang w:val="en-AU"/>
        </w:rPr>
        <w:t xml:space="preserve">, respectively, versus </w:t>
      </w:r>
      <w:proofErr w:type="spellStart"/>
      <w:r>
        <w:rPr>
          <w:lang w:val="en-AU"/>
        </w:rPr>
        <w:t>adolescents+adults</w:t>
      </w:r>
      <w:proofErr w:type="spellEnd"/>
      <w:r>
        <w:rPr>
          <w:lang w:val="en-AU"/>
        </w:rPr>
        <w:t xml:space="preserve"> (t</w:t>
      </w:r>
      <w:r w:rsidRPr="00A259E2">
        <w:rPr>
          <w:vertAlign w:val="subscript"/>
          <w:lang w:val="en-AU"/>
        </w:rPr>
        <w:t>1/</w:t>
      </w:r>
      <w:proofErr w:type="gramStart"/>
      <w:r w:rsidRPr="00A259E2">
        <w:rPr>
          <w:vertAlign w:val="subscript"/>
          <w:lang w:val="en-AU"/>
        </w:rPr>
        <w:t xml:space="preserve">2 </w:t>
      </w:r>
      <w:r>
        <w:rPr>
          <w:vertAlign w:val="subscript"/>
          <w:lang w:val="en-AU"/>
        </w:rPr>
        <w:t xml:space="preserve"> =</w:t>
      </w:r>
      <w:proofErr w:type="gramEnd"/>
      <w:r>
        <w:rPr>
          <w:vertAlign w:val="subscript"/>
          <w:lang w:val="en-AU"/>
        </w:rPr>
        <w:t xml:space="preserve"> </w:t>
      </w:r>
      <w:r>
        <w:rPr>
          <w:lang w:val="en-AU"/>
        </w:rPr>
        <w:t xml:space="preserve">7.65 h and 8.02 h resp. versus 10.83 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0ED7E" w14:textId="0C396644" w:rsidR="003B040D" w:rsidRPr="003B040D" w:rsidRDefault="003B040D" w:rsidP="003B040D">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3B040D">
      <w:rPr>
        <w:rFonts w:ascii="Cambria" w:hAnsi="Cambria"/>
        <w:b/>
        <w:sz w:val="20"/>
        <w:szCs w:val="20"/>
      </w:rPr>
      <w:t xml:space="preserve">Attachment 1: Product information for </w:t>
    </w:r>
    <w:proofErr w:type="spellStart"/>
    <w:r w:rsidRPr="003B040D">
      <w:rPr>
        <w:rFonts w:ascii="Cambria" w:hAnsi="Cambria"/>
        <w:b/>
        <w:sz w:val="20"/>
        <w:szCs w:val="20"/>
      </w:rPr>
      <w:t>AusPAR</w:t>
    </w:r>
    <w:proofErr w:type="spellEnd"/>
    <w:r w:rsidRPr="003B040D">
      <w:rPr>
        <w:rFonts w:ascii="Cambria" w:hAnsi="Cambria"/>
        <w:b/>
        <w:sz w:val="20"/>
        <w:szCs w:val="20"/>
      </w:rPr>
      <w:t xml:space="preserve"> </w:t>
    </w:r>
    <w:proofErr w:type="spellStart"/>
    <w:r w:rsidRPr="003B040D">
      <w:rPr>
        <w:rFonts w:ascii="Cambria" w:hAnsi="Cambria"/>
        <w:b/>
        <w:sz w:val="20"/>
        <w:szCs w:val="20"/>
      </w:rPr>
      <w:t>NovoEight</w:t>
    </w:r>
    <w:proofErr w:type="spellEnd"/>
    <w:r w:rsidRPr="003B040D">
      <w:rPr>
        <w:rFonts w:ascii="Cambria" w:hAnsi="Cambria"/>
        <w:b/>
        <w:sz w:val="20"/>
        <w:szCs w:val="20"/>
      </w:rPr>
      <w:t xml:space="preserve"> Novo Nordisk Pharmaceuticals Pty Ltd PM-2012-03754-1-4 Final 7 May 2014. This Product Information was approved at the time this </w:t>
    </w:r>
    <w:proofErr w:type="spellStart"/>
    <w:r w:rsidRPr="003B040D">
      <w:rPr>
        <w:rFonts w:ascii="Cambria" w:hAnsi="Cambria"/>
        <w:b/>
        <w:sz w:val="20"/>
        <w:szCs w:val="20"/>
      </w:rPr>
      <w:t>AusPAR</w:t>
    </w:r>
    <w:proofErr w:type="spellEnd"/>
    <w:r w:rsidRPr="003B040D">
      <w:rPr>
        <w:rFonts w:ascii="Cambria" w:hAnsi="Cambria"/>
        <w:b/>
        <w:sz w:val="20"/>
        <w:szCs w:val="20"/>
      </w:rPr>
      <w:t xml:space="preserve"> was published.</w:t>
    </w:r>
  </w:p>
  <w:p w14:paraId="324ACC73" w14:textId="77777777" w:rsidR="003B040D" w:rsidRDefault="003B040D" w:rsidP="007678DB">
    <w:pPr>
      <w:pStyle w:val="Header"/>
      <w:tabs>
        <w:tab w:val="clear" w:pos="9638"/>
        <w:tab w:val="right" w:pos="8280"/>
        <w:tab w:val="right" w:pos="11624"/>
      </w:tabs>
      <w:rPr>
        <w:i/>
        <w:sz w:val="20"/>
        <w:szCs w:val="20"/>
      </w:rPr>
    </w:pPr>
  </w:p>
  <w:p w14:paraId="2DBAC509" w14:textId="4F6D7966" w:rsidR="007427B6" w:rsidRPr="00D17821" w:rsidRDefault="007427B6" w:rsidP="007678DB">
    <w:pPr>
      <w:pStyle w:val="Header"/>
      <w:tabs>
        <w:tab w:val="clear" w:pos="9638"/>
        <w:tab w:val="right" w:pos="8280"/>
        <w:tab w:val="right" w:pos="11624"/>
      </w:tabs>
      <w:rPr>
        <w:i/>
        <w:sz w:val="20"/>
        <w:szCs w:val="20"/>
      </w:rPr>
    </w:pPr>
    <w:r>
      <w:rPr>
        <w:i/>
        <w:sz w:val="20"/>
        <w:szCs w:val="20"/>
      </w:rPr>
      <w:tab/>
    </w:r>
    <w:r>
      <w:rPr>
        <w:i/>
        <w:sz w:val="20"/>
        <w:szCs w:val="20"/>
      </w:rPr>
      <w:tab/>
    </w:r>
    <w:r w:rsidRPr="00D17821">
      <w:rPr>
        <w:i/>
        <w:sz w:val="20"/>
        <w:szCs w:val="20"/>
      </w:rPr>
      <w:t xml:space="preserve">Page </w:t>
    </w:r>
    <w:r w:rsidRPr="00D17821">
      <w:rPr>
        <w:i/>
        <w:sz w:val="20"/>
        <w:szCs w:val="20"/>
      </w:rPr>
      <w:fldChar w:fldCharType="begin"/>
    </w:r>
    <w:r w:rsidRPr="00D17821">
      <w:rPr>
        <w:i/>
        <w:sz w:val="20"/>
        <w:szCs w:val="20"/>
      </w:rPr>
      <w:instrText xml:space="preserve"> PAGE  </w:instrText>
    </w:r>
    <w:r w:rsidRPr="00D17821">
      <w:rPr>
        <w:i/>
        <w:sz w:val="20"/>
        <w:szCs w:val="20"/>
      </w:rPr>
      <w:fldChar w:fldCharType="separate"/>
    </w:r>
    <w:r w:rsidR="00E01A8F">
      <w:rPr>
        <w:i/>
        <w:noProof/>
        <w:sz w:val="20"/>
        <w:szCs w:val="20"/>
      </w:rPr>
      <w:t>1</w:t>
    </w:r>
    <w:r w:rsidRPr="00D17821">
      <w:rPr>
        <w:i/>
        <w:sz w:val="20"/>
        <w:szCs w:val="20"/>
      </w:rPr>
      <w:fldChar w:fldCharType="end"/>
    </w:r>
    <w:r w:rsidRPr="00D17821">
      <w:rPr>
        <w:i/>
        <w:sz w:val="20"/>
        <w:szCs w:val="20"/>
      </w:rPr>
      <w:t xml:space="preserve"> of </w:t>
    </w:r>
    <w:r w:rsidRPr="00D17821">
      <w:rPr>
        <w:i/>
        <w:sz w:val="20"/>
        <w:szCs w:val="20"/>
      </w:rPr>
      <w:fldChar w:fldCharType="begin"/>
    </w:r>
    <w:r w:rsidRPr="00D17821">
      <w:rPr>
        <w:i/>
        <w:sz w:val="20"/>
        <w:szCs w:val="20"/>
      </w:rPr>
      <w:instrText xml:space="preserve"> NUMPAGES  </w:instrText>
    </w:r>
    <w:r w:rsidRPr="00D17821">
      <w:rPr>
        <w:i/>
        <w:sz w:val="20"/>
        <w:szCs w:val="20"/>
      </w:rPr>
      <w:fldChar w:fldCharType="separate"/>
    </w:r>
    <w:r w:rsidR="00E01A8F">
      <w:rPr>
        <w:i/>
        <w:noProof/>
        <w:sz w:val="20"/>
        <w:szCs w:val="20"/>
      </w:rPr>
      <w:t>12</w:t>
    </w:r>
    <w:r w:rsidRPr="00D17821">
      <w:rPr>
        <w: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4A7A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D72F5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926FD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B8983CD4"/>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6831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5C215D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B9C4DE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80C3AF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41E4BFE"/>
    <w:lvl w:ilvl="0">
      <w:start w:val="1"/>
      <w:numFmt w:val="decimal"/>
      <w:pStyle w:val="ListNumber"/>
      <w:lvlText w:val="%1."/>
      <w:lvlJc w:val="left"/>
      <w:pPr>
        <w:tabs>
          <w:tab w:val="num" w:pos="360"/>
        </w:tabs>
        <w:ind w:left="360" w:hanging="360"/>
      </w:pPr>
    </w:lvl>
  </w:abstractNum>
  <w:abstractNum w:abstractNumId="9">
    <w:nsid w:val="FFFFFF89"/>
    <w:multiLevelType w:val="singleLevel"/>
    <w:tmpl w:val="40C8BB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AE16F87C"/>
    <w:lvl w:ilvl="0">
      <w:start w:val="1"/>
      <w:numFmt w:val="decimal"/>
      <w:pStyle w:val="Heading1"/>
      <w:lvlText w:val="%1"/>
      <w:lvlJc w:val="left"/>
      <w:pPr>
        <w:tabs>
          <w:tab w:val="num" w:pos="567"/>
        </w:tabs>
        <w:ind w:left="567" w:hanging="567"/>
      </w:pPr>
      <w:rPr>
        <w:rFonts w:hint="default"/>
        <w:sz w:val="32"/>
        <w:szCs w:val="32"/>
      </w:rPr>
    </w:lvl>
    <w:lvl w:ilvl="1">
      <w:start w:val="1"/>
      <w:numFmt w:val="decimal"/>
      <w:pStyle w:val="Heading2"/>
      <w:lvlText w:val="%1.%2"/>
      <w:lvlJc w:val="left"/>
      <w:pPr>
        <w:tabs>
          <w:tab w:val="num" w:pos="794"/>
        </w:tabs>
        <w:ind w:left="794" w:hanging="794"/>
      </w:pPr>
      <w:rPr>
        <w:rFonts w:ascii="Times New Roman" w:hAnsi="Times New Roman" w:hint="default"/>
        <w:b/>
        <w:i w:val="0"/>
        <w:sz w:val="24"/>
        <w:szCs w:val="24"/>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247"/>
        </w:tabs>
        <w:ind w:left="1247" w:hanging="1247"/>
      </w:pPr>
      <w:rPr>
        <w:rFonts w:hint="default"/>
      </w:rPr>
    </w:lvl>
    <w:lvl w:ilvl="4">
      <w:start w:val="1"/>
      <w:numFmt w:val="decimal"/>
      <w:pStyle w:val="Heading5"/>
      <w:lvlText w:val="%1.%2.%3.%4.%5"/>
      <w:lvlJc w:val="left"/>
      <w:pPr>
        <w:tabs>
          <w:tab w:val="num" w:pos="1474"/>
        </w:tabs>
        <w:ind w:left="1474" w:hanging="1474"/>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454"/>
        </w:tabs>
        <w:ind w:left="-454" w:firstLine="0"/>
      </w:pPr>
      <w:rPr>
        <w:rFonts w:hint="default"/>
      </w:rPr>
    </w:lvl>
    <w:lvl w:ilvl="7">
      <w:start w:val="1"/>
      <w:numFmt w:val="decimal"/>
      <w:lvlText w:val="%1.%2.%3.%4.%5.%6.%7.%8"/>
      <w:lvlJc w:val="left"/>
      <w:pPr>
        <w:tabs>
          <w:tab w:val="num" w:pos="-454"/>
        </w:tabs>
        <w:ind w:left="-454" w:firstLine="0"/>
      </w:pPr>
      <w:rPr>
        <w:rFonts w:hint="default"/>
      </w:rPr>
    </w:lvl>
    <w:lvl w:ilvl="8">
      <w:start w:val="1"/>
      <w:numFmt w:val="decimal"/>
      <w:lvlText w:val="%1.%2.%3.%4.%5.%6.%7.%8.%9"/>
      <w:lvlJc w:val="left"/>
      <w:pPr>
        <w:tabs>
          <w:tab w:val="num" w:pos="-454"/>
        </w:tabs>
        <w:ind w:left="-454" w:firstLine="0"/>
      </w:pPr>
      <w:rPr>
        <w:rFonts w:hint="default"/>
      </w:rPr>
    </w:lvl>
  </w:abstractNum>
  <w:abstractNum w:abstractNumId="11">
    <w:nsid w:val="FFFFFFFE"/>
    <w:multiLevelType w:val="singleLevel"/>
    <w:tmpl w:val="FFFFFFFF"/>
    <w:lvl w:ilvl="0">
      <w:numFmt w:val="decimal"/>
      <w:lvlText w:val="*"/>
      <w:lvlJc w:val="left"/>
    </w:lvl>
  </w:abstractNum>
  <w:abstractNum w:abstractNumId="12">
    <w:nsid w:val="01AF565F"/>
    <w:multiLevelType w:val="hybridMultilevel"/>
    <w:tmpl w:val="BA5CCAB6"/>
    <w:lvl w:ilvl="0" w:tplc="EF645F26">
      <w:start w:val="5"/>
      <w:numFmt w:val="bullet"/>
      <w:lvlText w:val="–"/>
      <w:lvlJc w:val="left"/>
      <w:pPr>
        <w:tabs>
          <w:tab w:val="num" w:pos="570"/>
        </w:tabs>
        <w:ind w:left="570" w:hanging="57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03643D70"/>
    <w:multiLevelType w:val="hybridMultilevel"/>
    <w:tmpl w:val="5F1891D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06064894"/>
    <w:multiLevelType w:val="hybridMultilevel"/>
    <w:tmpl w:val="4A0E504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nsid w:val="061053E6"/>
    <w:multiLevelType w:val="hybridMultilevel"/>
    <w:tmpl w:val="8B42D4A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0ADB1668"/>
    <w:multiLevelType w:val="hybridMultilevel"/>
    <w:tmpl w:val="68002B6E"/>
    <w:lvl w:ilvl="0" w:tplc="723CE24E">
      <w:start w:val="1"/>
      <w:numFmt w:val="decimal"/>
      <w:lvlText w:val="%1."/>
      <w:lvlJc w:val="left"/>
      <w:pPr>
        <w:tabs>
          <w:tab w:val="num" w:pos="357"/>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nsid w:val="0C5A173F"/>
    <w:multiLevelType w:val="hybridMultilevel"/>
    <w:tmpl w:val="F0268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0D1213A5"/>
    <w:multiLevelType w:val="hybridMultilevel"/>
    <w:tmpl w:val="D7207BA2"/>
    <w:lvl w:ilvl="0" w:tplc="CCA42EE8">
      <w:start w:val="1"/>
      <w:numFmt w:val="bullet"/>
      <w:pStyle w:val="Bullets10pt"/>
      <w:lvlText w:val=""/>
      <w:lvlJc w:val="left"/>
      <w:pPr>
        <w:tabs>
          <w:tab w:val="num" w:pos="227"/>
        </w:tabs>
        <w:ind w:left="227" w:hanging="227"/>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0D2D17D1"/>
    <w:multiLevelType w:val="hybridMultilevel"/>
    <w:tmpl w:val="6A7A5396"/>
    <w:lvl w:ilvl="0" w:tplc="BB7AD282">
      <w:start w:val="1"/>
      <w:numFmt w:val="bullet"/>
      <w:pStyle w:val="BulletList10pt"/>
      <w:lvlText w:val=""/>
      <w:lvlJc w:val="left"/>
      <w:pPr>
        <w:tabs>
          <w:tab w:val="num" w:pos="227"/>
        </w:tabs>
        <w:ind w:left="227" w:hanging="227"/>
      </w:pPr>
      <w:rPr>
        <w:rFonts w:ascii="Symbol" w:hAnsi="Symbol" w:hint="default"/>
        <w:b w:val="0"/>
        <w:i w:val="0"/>
        <w:sz w:val="20"/>
      </w:rPr>
    </w:lvl>
    <w:lvl w:ilvl="1" w:tplc="B280678A">
      <w:start w:val="1"/>
      <w:numFmt w:val="bullet"/>
      <w:pStyle w:val="BulletList10pt"/>
      <w:lvlText w:val=""/>
      <w:lvlJc w:val="left"/>
      <w:pPr>
        <w:tabs>
          <w:tab w:val="num" w:pos="1307"/>
        </w:tabs>
        <w:ind w:left="1307" w:hanging="227"/>
      </w:pPr>
      <w:rPr>
        <w:rFonts w:ascii="Symbol" w:hAnsi="Symbol" w:hint="default"/>
        <w:b w:val="0"/>
        <w:i w:val="0"/>
        <w:sz w:val="20"/>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0DD849AC"/>
    <w:multiLevelType w:val="hybridMultilevel"/>
    <w:tmpl w:val="255482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nsid w:val="15243161"/>
    <w:multiLevelType w:val="hybridMultilevel"/>
    <w:tmpl w:val="276261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nsid w:val="18FB7B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nsid w:val="191F7119"/>
    <w:multiLevelType w:val="hybridMultilevel"/>
    <w:tmpl w:val="1DBC0712"/>
    <w:lvl w:ilvl="0" w:tplc="BA804276">
      <w:start w:val="1"/>
      <w:numFmt w:val="decimal"/>
      <w:pStyle w:val="BulletListNumbered10pt"/>
      <w:lvlText w:val="%1."/>
      <w:lvlJc w:val="left"/>
      <w:pPr>
        <w:tabs>
          <w:tab w:val="num" w:pos="227"/>
        </w:tabs>
        <w:ind w:left="227" w:hanging="22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nsid w:val="1B1660D2"/>
    <w:multiLevelType w:val="hybridMultilevel"/>
    <w:tmpl w:val="5BA68BBA"/>
    <w:lvl w:ilvl="0" w:tplc="B3CE7EF0">
      <w:start w:val="1"/>
      <w:numFmt w:val="bullet"/>
      <w:lvlText w:val=""/>
      <w:lvlJc w:val="left"/>
      <w:pPr>
        <w:tabs>
          <w:tab w:val="num" w:pos="360"/>
        </w:tabs>
        <w:ind w:left="360" w:hanging="360"/>
      </w:pPr>
      <w:rPr>
        <w:rFonts w:ascii="Symbol" w:hAnsi="Symbol" w:hint="default"/>
        <w:sz w:val="20"/>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5">
    <w:nsid w:val="1E1A110D"/>
    <w:multiLevelType w:val="hybridMultilevel"/>
    <w:tmpl w:val="94ECA7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nsid w:val="1E9B5D4C"/>
    <w:multiLevelType w:val="hybridMultilevel"/>
    <w:tmpl w:val="EE2A634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7">
    <w:nsid w:val="23D564CB"/>
    <w:multiLevelType w:val="hybridMultilevel"/>
    <w:tmpl w:val="FDB00FBE"/>
    <w:lvl w:ilvl="0" w:tplc="87286C5E">
      <w:start w:val="1"/>
      <w:numFmt w:val="bullet"/>
      <w:lvlText w:val=""/>
      <w:lvlJc w:val="left"/>
      <w:pPr>
        <w:tabs>
          <w:tab w:val="num" w:pos="360"/>
        </w:tabs>
        <w:ind w:left="360" w:hanging="360"/>
      </w:pPr>
      <w:rPr>
        <w:rFonts w:ascii="Symbol" w:hAnsi="Symbol" w:hint="default"/>
        <w:color w:val="auto"/>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nsid w:val="24742553"/>
    <w:multiLevelType w:val="hybridMultilevel"/>
    <w:tmpl w:val="5920B622"/>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nsid w:val="25C52DE9"/>
    <w:multiLevelType w:val="hybridMultilevel"/>
    <w:tmpl w:val="3E804194"/>
    <w:lvl w:ilvl="0" w:tplc="7946EF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182D5F"/>
    <w:multiLevelType w:val="hybridMultilevel"/>
    <w:tmpl w:val="AAC6F0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nsid w:val="2E541609"/>
    <w:multiLevelType w:val="hybridMultilevel"/>
    <w:tmpl w:val="DEAC2D7A"/>
    <w:lvl w:ilvl="0" w:tplc="B888CF38">
      <w:start w:val="1"/>
      <w:numFmt w:val="decimal"/>
      <w:lvlText w:val="%1."/>
      <w:lvlJc w:val="left"/>
      <w:pPr>
        <w:tabs>
          <w:tab w:val="num" w:pos="570"/>
        </w:tabs>
        <w:ind w:left="570" w:hanging="570"/>
      </w:pPr>
      <w:rPr>
        <w:rFonts w:hint="default"/>
      </w:rPr>
    </w:lvl>
    <w:lvl w:ilvl="1" w:tplc="7946EFE2">
      <w:start w:val="3"/>
      <w:numFmt w:val="bullet"/>
      <w:lvlText w:val="-"/>
      <w:lvlJc w:val="left"/>
      <w:pPr>
        <w:tabs>
          <w:tab w:val="num" w:pos="1080"/>
        </w:tabs>
        <w:ind w:left="1080" w:hanging="360"/>
      </w:pPr>
      <w:rPr>
        <w:rFonts w:ascii="Times New Roman" w:eastAsia="Times New Roman" w:hAnsi="Times New Roman" w:cs="Times New Roman" w:hint="default"/>
        <w:lang w:val="da-DK"/>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305E45AE"/>
    <w:multiLevelType w:val="hybridMultilevel"/>
    <w:tmpl w:val="AFB2D0C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nsid w:val="30B66CD5"/>
    <w:multiLevelType w:val="hybridMultilevel"/>
    <w:tmpl w:val="56BAA41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nsid w:val="33C11EC5"/>
    <w:multiLevelType w:val="hybridMultilevel"/>
    <w:tmpl w:val="2A44EF64"/>
    <w:lvl w:ilvl="0" w:tplc="284C3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0A1BEA"/>
    <w:multiLevelType w:val="hybridMultilevel"/>
    <w:tmpl w:val="162E5330"/>
    <w:lvl w:ilvl="0" w:tplc="04090001">
      <w:start w:val="1"/>
      <w:numFmt w:val="bullet"/>
      <w:lvlText w:val=""/>
      <w:lvlJc w:val="left"/>
      <w:pPr>
        <w:tabs>
          <w:tab w:val="num" w:pos="360"/>
        </w:tabs>
        <w:ind w:left="360" w:hanging="360"/>
      </w:pPr>
      <w:rPr>
        <w:rFonts w:ascii="Symbol" w:hAnsi="Symbol" w:cs="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nsid w:val="3FA96883"/>
    <w:multiLevelType w:val="hybridMultilevel"/>
    <w:tmpl w:val="CC5A4DEA"/>
    <w:lvl w:ilvl="0" w:tplc="22BE2E48">
      <w:start w:val="1"/>
      <w:numFmt w:val="decimal"/>
      <w:pStyle w:val="BulletsNumbered10pt"/>
      <w:lvlText w:val="%1."/>
      <w:lvlJc w:val="left"/>
      <w:pPr>
        <w:tabs>
          <w:tab w:val="num" w:pos="227"/>
        </w:tabs>
        <w:ind w:left="227" w:hanging="22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nsid w:val="40826DDC"/>
    <w:multiLevelType w:val="hybridMultilevel"/>
    <w:tmpl w:val="D37AA21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nsid w:val="43932AD8"/>
    <w:multiLevelType w:val="hybridMultilevel"/>
    <w:tmpl w:val="C898E22E"/>
    <w:lvl w:ilvl="0" w:tplc="6ED42AC8">
      <w:start w:val="1"/>
      <w:numFmt w:val="bullet"/>
      <w:pStyle w:val="BulletIndent"/>
      <w:lvlText w:val=""/>
      <w:lvlJc w:val="left"/>
      <w:pPr>
        <w:tabs>
          <w:tab w:val="num" w:pos="357"/>
        </w:tabs>
        <w:ind w:left="714"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nsid w:val="43CE06F0"/>
    <w:multiLevelType w:val="hybridMultilevel"/>
    <w:tmpl w:val="8FB8ED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A2945B6"/>
    <w:multiLevelType w:val="hybridMultilevel"/>
    <w:tmpl w:val="C8DC16A0"/>
    <w:lvl w:ilvl="0" w:tplc="D37E08B8">
      <w:start w:val="1"/>
      <w:numFmt w:val="upperLetter"/>
      <w:pStyle w:val="Appendix"/>
      <w:lvlText w:val="Appendix %1"/>
      <w:lvlJc w:val="left"/>
      <w:pPr>
        <w:tabs>
          <w:tab w:val="num" w:pos="1004"/>
        </w:tabs>
        <w:ind w:left="1004" w:hanging="7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1">
    <w:nsid w:val="4BB64616"/>
    <w:multiLevelType w:val="hybridMultilevel"/>
    <w:tmpl w:val="8206AF56"/>
    <w:lvl w:ilvl="0" w:tplc="87286C5E">
      <w:start w:val="1"/>
      <w:numFmt w:val="bullet"/>
      <w:lvlText w:val=""/>
      <w:lvlJc w:val="left"/>
      <w:pPr>
        <w:tabs>
          <w:tab w:val="num" w:pos="360"/>
        </w:tabs>
        <w:ind w:left="360" w:hanging="360"/>
      </w:pPr>
      <w:rPr>
        <w:rFonts w:ascii="Symbol" w:hAnsi="Symbol" w:hint="default"/>
        <w:color w:val="auto"/>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nsid w:val="4DD40E71"/>
    <w:multiLevelType w:val="hybridMultilevel"/>
    <w:tmpl w:val="1D3C0F14"/>
    <w:lvl w:ilvl="0" w:tplc="B0DC81E8">
      <w:start w:val="1"/>
      <w:numFmt w:val="bullet"/>
      <w:pStyle w:val="BulletIndent10pt"/>
      <w:lvlText w:val=""/>
      <w:lvlJc w:val="left"/>
      <w:pPr>
        <w:tabs>
          <w:tab w:val="num" w:pos="227"/>
        </w:tabs>
        <w:ind w:left="454" w:hanging="227"/>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nsid w:val="51C06E60"/>
    <w:multiLevelType w:val="hybridMultilevel"/>
    <w:tmpl w:val="6E86AAE6"/>
    <w:lvl w:ilvl="0" w:tplc="C28AD410">
      <w:start w:val="10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5D92E08"/>
    <w:multiLevelType w:val="hybridMultilevel"/>
    <w:tmpl w:val="816C786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5">
    <w:nsid w:val="57871F53"/>
    <w:multiLevelType w:val="hybridMultilevel"/>
    <w:tmpl w:val="DBC24D30"/>
    <w:lvl w:ilvl="0" w:tplc="C28AD410">
      <w:start w:val="10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8B56C73"/>
    <w:multiLevelType w:val="hybridMultilevel"/>
    <w:tmpl w:val="A0A0B5E4"/>
    <w:lvl w:ilvl="0" w:tplc="EF94C522">
      <w:start w:val="2"/>
      <w:numFmt w:val="decimal"/>
      <w:lvlText w:val="%1."/>
      <w:lvlJc w:val="left"/>
      <w:pPr>
        <w:tabs>
          <w:tab w:val="num" w:pos="570"/>
        </w:tabs>
        <w:ind w:left="570" w:hanging="570"/>
      </w:pPr>
      <w:rPr>
        <w:rFonts w:hint="default"/>
      </w:rPr>
    </w:lvl>
    <w:lvl w:ilvl="1" w:tplc="0406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59851AFD"/>
    <w:multiLevelType w:val="multilevel"/>
    <w:tmpl w:val="0406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nsid w:val="6BD64CFB"/>
    <w:multiLevelType w:val="hybridMultilevel"/>
    <w:tmpl w:val="61520C8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0">
    <w:nsid w:val="6EA86ADF"/>
    <w:multiLevelType w:val="hybridMultilevel"/>
    <w:tmpl w:val="092655E2"/>
    <w:lvl w:ilvl="0" w:tplc="C28AD410">
      <w:start w:val="10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5FA413F"/>
    <w:multiLevelType w:val="hybridMultilevel"/>
    <w:tmpl w:val="5FE076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2">
    <w:nsid w:val="79A74F38"/>
    <w:multiLevelType w:val="hybridMultilevel"/>
    <w:tmpl w:val="BAF84616"/>
    <w:lvl w:ilvl="0" w:tplc="C28AD410">
      <w:start w:val="1000"/>
      <w:numFmt w:val="bullet"/>
      <w:lvlText w:val="•"/>
      <w:lvlJc w:val="left"/>
      <w:pPr>
        <w:tabs>
          <w:tab w:val="num" w:pos="357"/>
        </w:tabs>
        <w:ind w:left="357" w:hanging="357"/>
      </w:pPr>
      <w:rPr>
        <w:rFonts w:ascii="Times New Roman" w:eastAsia="Times New Roman" w:hAnsi="Times New Roman" w:cs="Times New Roman" w:hint="default"/>
      </w:rPr>
    </w:lvl>
    <w:lvl w:ilvl="1" w:tplc="04060003">
      <w:start w:val="1"/>
      <w:numFmt w:val="bullet"/>
      <w:lvlText w:val="o"/>
      <w:lvlJc w:val="left"/>
      <w:pPr>
        <w:tabs>
          <w:tab w:val="num" w:pos="1797"/>
        </w:tabs>
        <w:ind w:left="1797" w:hanging="360"/>
      </w:pPr>
      <w:rPr>
        <w:rFonts w:ascii="Courier New" w:hAnsi="Courier New" w:cs="Courier New" w:hint="default"/>
      </w:rPr>
    </w:lvl>
    <w:lvl w:ilvl="2" w:tplc="04060005" w:tentative="1">
      <w:start w:val="1"/>
      <w:numFmt w:val="bullet"/>
      <w:lvlText w:val=""/>
      <w:lvlJc w:val="left"/>
      <w:pPr>
        <w:tabs>
          <w:tab w:val="num" w:pos="2517"/>
        </w:tabs>
        <w:ind w:left="2517" w:hanging="360"/>
      </w:pPr>
      <w:rPr>
        <w:rFonts w:ascii="Wingdings" w:hAnsi="Wingdings" w:hint="default"/>
      </w:rPr>
    </w:lvl>
    <w:lvl w:ilvl="3" w:tplc="04060001" w:tentative="1">
      <w:start w:val="1"/>
      <w:numFmt w:val="bullet"/>
      <w:lvlText w:val=""/>
      <w:lvlJc w:val="left"/>
      <w:pPr>
        <w:tabs>
          <w:tab w:val="num" w:pos="3237"/>
        </w:tabs>
        <w:ind w:left="3237" w:hanging="360"/>
      </w:pPr>
      <w:rPr>
        <w:rFonts w:ascii="Symbol" w:hAnsi="Symbol" w:hint="default"/>
      </w:rPr>
    </w:lvl>
    <w:lvl w:ilvl="4" w:tplc="04060003" w:tentative="1">
      <w:start w:val="1"/>
      <w:numFmt w:val="bullet"/>
      <w:lvlText w:val="o"/>
      <w:lvlJc w:val="left"/>
      <w:pPr>
        <w:tabs>
          <w:tab w:val="num" w:pos="3957"/>
        </w:tabs>
        <w:ind w:left="3957" w:hanging="360"/>
      </w:pPr>
      <w:rPr>
        <w:rFonts w:ascii="Courier New" w:hAnsi="Courier New" w:cs="Courier New" w:hint="default"/>
      </w:rPr>
    </w:lvl>
    <w:lvl w:ilvl="5" w:tplc="04060005" w:tentative="1">
      <w:start w:val="1"/>
      <w:numFmt w:val="bullet"/>
      <w:lvlText w:val=""/>
      <w:lvlJc w:val="left"/>
      <w:pPr>
        <w:tabs>
          <w:tab w:val="num" w:pos="4677"/>
        </w:tabs>
        <w:ind w:left="4677" w:hanging="360"/>
      </w:pPr>
      <w:rPr>
        <w:rFonts w:ascii="Wingdings" w:hAnsi="Wingdings" w:hint="default"/>
      </w:rPr>
    </w:lvl>
    <w:lvl w:ilvl="6" w:tplc="04060001" w:tentative="1">
      <w:start w:val="1"/>
      <w:numFmt w:val="bullet"/>
      <w:lvlText w:val=""/>
      <w:lvlJc w:val="left"/>
      <w:pPr>
        <w:tabs>
          <w:tab w:val="num" w:pos="5397"/>
        </w:tabs>
        <w:ind w:left="5397" w:hanging="360"/>
      </w:pPr>
      <w:rPr>
        <w:rFonts w:ascii="Symbol" w:hAnsi="Symbol" w:hint="default"/>
      </w:rPr>
    </w:lvl>
    <w:lvl w:ilvl="7" w:tplc="04060003" w:tentative="1">
      <w:start w:val="1"/>
      <w:numFmt w:val="bullet"/>
      <w:lvlText w:val="o"/>
      <w:lvlJc w:val="left"/>
      <w:pPr>
        <w:tabs>
          <w:tab w:val="num" w:pos="6117"/>
        </w:tabs>
        <w:ind w:left="6117" w:hanging="360"/>
      </w:pPr>
      <w:rPr>
        <w:rFonts w:ascii="Courier New" w:hAnsi="Courier New" w:cs="Courier New" w:hint="default"/>
      </w:rPr>
    </w:lvl>
    <w:lvl w:ilvl="8" w:tplc="04060005" w:tentative="1">
      <w:start w:val="1"/>
      <w:numFmt w:val="bullet"/>
      <w:lvlText w:val=""/>
      <w:lvlJc w:val="left"/>
      <w:pPr>
        <w:tabs>
          <w:tab w:val="num" w:pos="6837"/>
        </w:tabs>
        <w:ind w:left="6837" w:hanging="360"/>
      </w:pPr>
      <w:rPr>
        <w:rFonts w:ascii="Wingdings" w:hAnsi="Wingdings" w:hint="default"/>
      </w:rPr>
    </w:lvl>
  </w:abstractNum>
  <w:abstractNum w:abstractNumId="53">
    <w:nsid w:val="7E707010"/>
    <w:multiLevelType w:val="hybridMultilevel"/>
    <w:tmpl w:val="47FAD410"/>
    <w:lvl w:ilvl="0" w:tplc="6DB8CD7A">
      <w:start w:val="1"/>
      <w:numFmt w:val="bullet"/>
      <w:pStyle w:val="Bullets110pt"/>
      <w:lvlText w:val="­"/>
      <w:lvlJc w:val="left"/>
      <w:pPr>
        <w:tabs>
          <w:tab w:val="num" w:pos="454"/>
        </w:tabs>
        <w:ind w:left="454" w:hanging="227"/>
      </w:pPr>
      <w:rPr>
        <w:rFonts w:ascii="Times New Roman" w:hAnsi="Times New Roman" w:cs="Times New Roman" w:hint="default"/>
        <w:sz w:val="20"/>
        <w:szCs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4">
    <w:nsid w:val="7F646DA0"/>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3"/>
  </w:num>
  <w:num w:numId="2">
    <w:abstractNumId w:val="18"/>
  </w:num>
  <w:num w:numId="3">
    <w:abstractNumId w:val="36"/>
  </w:num>
  <w:num w:numId="4">
    <w:abstractNumId w:val="10"/>
  </w:num>
  <w:num w:numId="5">
    <w:abstractNumId w:val="10"/>
  </w:num>
  <w:num w:numId="6">
    <w:abstractNumId w:val="40"/>
  </w:num>
  <w:num w:numId="7">
    <w:abstractNumId w:val="22"/>
  </w:num>
  <w:num w:numId="8">
    <w:abstractNumId w:val="54"/>
  </w:num>
  <w:num w:numId="9">
    <w:abstractNumId w:val="4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8"/>
  </w:num>
  <w:num w:numId="21">
    <w:abstractNumId w:val="52"/>
  </w:num>
  <w:num w:numId="22">
    <w:abstractNumId w:val="42"/>
  </w:num>
  <w:num w:numId="23">
    <w:abstractNumId w:val="19"/>
  </w:num>
  <w:num w:numId="24">
    <w:abstractNumId w:val="16"/>
  </w:num>
  <w:num w:numId="25">
    <w:abstractNumId w:val="23"/>
  </w:num>
  <w:num w:numId="26">
    <w:abstractNumId w:val="40"/>
  </w:num>
  <w:num w:numId="27">
    <w:abstractNumId w:val="19"/>
  </w:num>
  <w:num w:numId="28">
    <w:abstractNumId w:val="20"/>
  </w:num>
  <w:num w:numId="29">
    <w:abstractNumId w:val="30"/>
  </w:num>
  <w:num w:numId="30">
    <w:abstractNumId w:val="28"/>
  </w:num>
  <w:num w:numId="31">
    <w:abstractNumId w:val="25"/>
  </w:num>
  <w:num w:numId="32">
    <w:abstractNumId w:val="21"/>
  </w:num>
  <w:num w:numId="33">
    <w:abstractNumId w:val="33"/>
  </w:num>
  <w:num w:numId="34">
    <w:abstractNumId w:val="11"/>
    <w:lvlOverride w:ilvl="0">
      <w:lvl w:ilvl="0">
        <w:start w:val="1"/>
        <w:numFmt w:val="bullet"/>
        <w:lvlText w:val="-"/>
        <w:legacy w:legacy="1" w:legacySpace="0" w:legacyIndent="360"/>
        <w:lvlJc w:val="left"/>
        <w:pPr>
          <w:ind w:left="360" w:hanging="360"/>
        </w:pPr>
      </w:lvl>
    </w:lvlOverride>
  </w:num>
  <w:num w:numId="35">
    <w:abstractNumId w:val="48"/>
  </w:num>
  <w:num w:numId="36">
    <w:abstractNumId w:val="46"/>
  </w:num>
  <w:num w:numId="37">
    <w:abstractNumId w:val="31"/>
  </w:num>
  <w:num w:numId="38">
    <w:abstractNumId w:val="12"/>
  </w:num>
  <w:num w:numId="39">
    <w:abstractNumId w:val="37"/>
  </w:num>
  <w:num w:numId="40">
    <w:abstractNumId w:val="51"/>
  </w:num>
  <w:num w:numId="41">
    <w:abstractNumId w:val="39"/>
  </w:num>
  <w:num w:numId="42">
    <w:abstractNumId w:val="14"/>
  </w:num>
  <w:num w:numId="43">
    <w:abstractNumId w:val="44"/>
  </w:num>
  <w:num w:numId="44">
    <w:abstractNumId w:val="49"/>
  </w:num>
  <w:num w:numId="45">
    <w:abstractNumId w:val="24"/>
  </w:num>
  <w:num w:numId="46">
    <w:abstractNumId w:val="41"/>
  </w:num>
  <w:num w:numId="47">
    <w:abstractNumId w:val="27"/>
  </w:num>
  <w:num w:numId="48">
    <w:abstractNumId w:val="26"/>
  </w:num>
  <w:num w:numId="49">
    <w:abstractNumId w:val="32"/>
  </w:num>
  <w:num w:numId="50">
    <w:abstractNumId w:val="13"/>
  </w:num>
  <w:num w:numId="51">
    <w:abstractNumId w:val="17"/>
  </w:num>
  <w:num w:numId="52">
    <w:abstractNumId w:val="29"/>
  </w:num>
  <w:num w:numId="53">
    <w:abstractNumId w:val="50"/>
  </w:num>
  <w:num w:numId="54">
    <w:abstractNumId w:val="34"/>
  </w:num>
  <w:num w:numId="55">
    <w:abstractNumId w:val="43"/>
  </w:num>
  <w:num w:numId="56">
    <w:abstractNumId w:val="45"/>
  </w:num>
  <w:num w:numId="57">
    <w:abstractNumId w:val="15"/>
  </w:num>
  <w:num w:numId="58">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ctiveWritingStyle w:appName="MSWord" w:lang="da-DK" w:vendorID="666" w:dllVersion="513" w:checkStyle="1"/>
  <w:activeWritingStyle w:appName="MSWord" w:lang="da-DK" w:vendorID="22" w:dllVersion="513" w:checkStyle="1"/>
  <w:activeWritingStyle w:appName="MSWord" w:lang="pt-BR" w:vendorID="1" w:dllVersion="513"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clickAndTypeStyle w:val="BodyText"/>
  <w:drawingGridHorizontalSpacing w:val="57"/>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gree" w:val="0"/>
    <w:docVar w:name="Status" w:val="0"/>
    <w:docVar w:name="Version" w:val="0"/>
  </w:docVars>
  <w:rsids>
    <w:rsidRoot w:val="00C95EB4"/>
    <w:rsid w:val="00000202"/>
    <w:rsid w:val="00002A97"/>
    <w:rsid w:val="00002C31"/>
    <w:rsid w:val="00003AD0"/>
    <w:rsid w:val="000042EB"/>
    <w:rsid w:val="00004B0A"/>
    <w:rsid w:val="0000669B"/>
    <w:rsid w:val="00006F51"/>
    <w:rsid w:val="000108A9"/>
    <w:rsid w:val="0001185C"/>
    <w:rsid w:val="00012950"/>
    <w:rsid w:val="0001443D"/>
    <w:rsid w:val="00015EF1"/>
    <w:rsid w:val="00017D3F"/>
    <w:rsid w:val="00020C0C"/>
    <w:rsid w:val="0002135B"/>
    <w:rsid w:val="00023046"/>
    <w:rsid w:val="000230DC"/>
    <w:rsid w:val="00024159"/>
    <w:rsid w:val="00027465"/>
    <w:rsid w:val="000276D6"/>
    <w:rsid w:val="0003200D"/>
    <w:rsid w:val="0003417B"/>
    <w:rsid w:val="00035D69"/>
    <w:rsid w:val="00040D14"/>
    <w:rsid w:val="00041747"/>
    <w:rsid w:val="0004315C"/>
    <w:rsid w:val="000478E9"/>
    <w:rsid w:val="00047B5B"/>
    <w:rsid w:val="00050D90"/>
    <w:rsid w:val="00051263"/>
    <w:rsid w:val="00051325"/>
    <w:rsid w:val="00052ABF"/>
    <w:rsid w:val="00054D87"/>
    <w:rsid w:val="00056567"/>
    <w:rsid w:val="00056641"/>
    <w:rsid w:val="00056D7E"/>
    <w:rsid w:val="00062123"/>
    <w:rsid w:val="00062BF1"/>
    <w:rsid w:val="00064B06"/>
    <w:rsid w:val="000673AE"/>
    <w:rsid w:val="0006780B"/>
    <w:rsid w:val="000700E1"/>
    <w:rsid w:val="0007143C"/>
    <w:rsid w:val="00071A55"/>
    <w:rsid w:val="00073BF4"/>
    <w:rsid w:val="00077423"/>
    <w:rsid w:val="0008033B"/>
    <w:rsid w:val="000826A3"/>
    <w:rsid w:val="00084B6E"/>
    <w:rsid w:val="000863CD"/>
    <w:rsid w:val="00090964"/>
    <w:rsid w:val="000915DF"/>
    <w:rsid w:val="00091FCB"/>
    <w:rsid w:val="000931AF"/>
    <w:rsid w:val="000947CA"/>
    <w:rsid w:val="0009542C"/>
    <w:rsid w:val="00095F3D"/>
    <w:rsid w:val="00096156"/>
    <w:rsid w:val="00097037"/>
    <w:rsid w:val="000973F3"/>
    <w:rsid w:val="000A123E"/>
    <w:rsid w:val="000A1330"/>
    <w:rsid w:val="000A4403"/>
    <w:rsid w:val="000A4B79"/>
    <w:rsid w:val="000B3E43"/>
    <w:rsid w:val="000B49E4"/>
    <w:rsid w:val="000B5EA6"/>
    <w:rsid w:val="000B601C"/>
    <w:rsid w:val="000C0599"/>
    <w:rsid w:val="000C1241"/>
    <w:rsid w:val="000C270A"/>
    <w:rsid w:val="000C30B9"/>
    <w:rsid w:val="000C4DCF"/>
    <w:rsid w:val="000C5F8F"/>
    <w:rsid w:val="000C6295"/>
    <w:rsid w:val="000C685C"/>
    <w:rsid w:val="000D0A09"/>
    <w:rsid w:val="000D0BB4"/>
    <w:rsid w:val="000D3681"/>
    <w:rsid w:val="000D49F8"/>
    <w:rsid w:val="000D7214"/>
    <w:rsid w:val="000D7218"/>
    <w:rsid w:val="000D7B8B"/>
    <w:rsid w:val="000E133E"/>
    <w:rsid w:val="000E158C"/>
    <w:rsid w:val="000E6020"/>
    <w:rsid w:val="000F0649"/>
    <w:rsid w:val="000F0716"/>
    <w:rsid w:val="000F1CBF"/>
    <w:rsid w:val="000F294C"/>
    <w:rsid w:val="000F2A8E"/>
    <w:rsid w:val="000F5BC0"/>
    <w:rsid w:val="000F65C2"/>
    <w:rsid w:val="00100A57"/>
    <w:rsid w:val="0010360F"/>
    <w:rsid w:val="001054A7"/>
    <w:rsid w:val="00107A4E"/>
    <w:rsid w:val="00111988"/>
    <w:rsid w:val="00111DFB"/>
    <w:rsid w:val="0011269E"/>
    <w:rsid w:val="001143C0"/>
    <w:rsid w:val="00117C6B"/>
    <w:rsid w:val="001204DF"/>
    <w:rsid w:val="00120553"/>
    <w:rsid w:val="001218C3"/>
    <w:rsid w:val="00121A4E"/>
    <w:rsid w:val="0012536E"/>
    <w:rsid w:val="001272C2"/>
    <w:rsid w:val="001313A4"/>
    <w:rsid w:val="00132233"/>
    <w:rsid w:val="00133906"/>
    <w:rsid w:val="00133968"/>
    <w:rsid w:val="00136271"/>
    <w:rsid w:val="001374D1"/>
    <w:rsid w:val="00143981"/>
    <w:rsid w:val="00147CDF"/>
    <w:rsid w:val="00151C6B"/>
    <w:rsid w:val="00154F3C"/>
    <w:rsid w:val="00155583"/>
    <w:rsid w:val="001560D8"/>
    <w:rsid w:val="001574AA"/>
    <w:rsid w:val="00157A8C"/>
    <w:rsid w:val="001600CB"/>
    <w:rsid w:val="00160F0C"/>
    <w:rsid w:val="00162FCB"/>
    <w:rsid w:val="00163B35"/>
    <w:rsid w:val="00167F95"/>
    <w:rsid w:val="00167FBC"/>
    <w:rsid w:val="001709ED"/>
    <w:rsid w:val="00170D4F"/>
    <w:rsid w:val="001718A2"/>
    <w:rsid w:val="001728F6"/>
    <w:rsid w:val="00180271"/>
    <w:rsid w:val="00180AAE"/>
    <w:rsid w:val="00182446"/>
    <w:rsid w:val="00182F33"/>
    <w:rsid w:val="00184B24"/>
    <w:rsid w:val="00184B2A"/>
    <w:rsid w:val="00185A42"/>
    <w:rsid w:val="001867C0"/>
    <w:rsid w:val="00186E38"/>
    <w:rsid w:val="001875BC"/>
    <w:rsid w:val="001910C7"/>
    <w:rsid w:val="00191D34"/>
    <w:rsid w:val="00192435"/>
    <w:rsid w:val="001925F8"/>
    <w:rsid w:val="00194656"/>
    <w:rsid w:val="00195541"/>
    <w:rsid w:val="001958BF"/>
    <w:rsid w:val="0019643D"/>
    <w:rsid w:val="001977E9"/>
    <w:rsid w:val="001A1680"/>
    <w:rsid w:val="001A1AD7"/>
    <w:rsid w:val="001A213C"/>
    <w:rsid w:val="001A6D5C"/>
    <w:rsid w:val="001A7F96"/>
    <w:rsid w:val="001B0FA1"/>
    <w:rsid w:val="001B6083"/>
    <w:rsid w:val="001B7471"/>
    <w:rsid w:val="001B7BF5"/>
    <w:rsid w:val="001C23CD"/>
    <w:rsid w:val="001C31CC"/>
    <w:rsid w:val="001C3678"/>
    <w:rsid w:val="001C7A37"/>
    <w:rsid w:val="001D0B51"/>
    <w:rsid w:val="001D31EB"/>
    <w:rsid w:val="001D3C88"/>
    <w:rsid w:val="001D6588"/>
    <w:rsid w:val="001E0053"/>
    <w:rsid w:val="001E02AF"/>
    <w:rsid w:val="001E0DD6"/>
    <w:rsid w:val="001E2186"/>
    <w:rsid w:val="001E2525"/>
    <w:rsid w:val="001E2784"/>
    <w:rsid w:val="001E3D08"/>
    <w:rsid w:val="001E3FE4"/>
    <w:rsid w:val="001E61FA"/>
    <w:rsid w:val="001F274A"/>
    <w:rsid w:val="001F3475"/>
    <w:rsid w:val="001F38CA"/>
    <w:rsid w:val="001F3A69"/>
    <w:rsid w:val="001F7F50"/>
    <w:rsid w:val="00200B63"/>
    <w:rsid w:val="00201F37"/>
    <w:rsid w:val="00206D97"/>
    <w:rsid w:val="00207462"/>
    <w:rsid w:val="00210299"/>
    <w:rsid w:val="00213061"/>
    <w:rsid w:val="0021338A"/>
    <w:rsid w:val="00217456"/>
    <w:rsid w:val="0022228D"/>
    <w:rsid w:val="00222CE5"/>
    <w:rsid w:val="00223E15"/>
    <w:rsid w:val="00224560"/>
    <w:rsid w:val="002245D0"/>
    <w:rsid w:val="00224CE6"/>
    <w:rsid w:val="00230CA8"/>
    <w:rsid w:val="00235BEE"/>
    <w:rsid w:val="00236A49"/>
    <w:rsid w:val="00236C45"/>
    <w:rsid w:val="00237C90"/>
    <w:rsid w:val="00243EFB"/>
    <w:rsid w:val="00244160"/>
    <w:rsid w:val="0024631A"/>
    <w:rsid w:val="002506D7"/>
    <w:rsid w:val="00250E76"/>
    <w:rsid w:val="00252D39"/>
    <w:rsid w:val="0025494C"/>
    <w:rsid w:val="00255364"/>
    <w:rsid w:val="00255D30"/>
    <w:rsid w:val="00256DDC"/>
    <w:rsid w:val="00260574"/>
    <w:rsid w:val="00260EA7"/>
    <w:rsid w:val="002628A2"/>
    <w:rsid w:val="002631F2"/>
    <w:rsid w:val="00265F29"/>
    <w:rsid w:val="00267751"/>
    <w:rsid w:val="00267B10"/>
    <w:rsid w:val="00270356"/>
    <w:rsid w:val="00273388"/>
    <w:rsid w:val="00274CF6"/>
    <w:rsid w:val="00275192"/>
    <w:rsid w:val="002765E9"/>
    <w:rsid w:val="00276C22"/>
    <w:rsid w:val="00277364"/>
    <w:rsid w:val="00277386"/>
    <w:rsid w:val="00284A39"/>
    <w:rsid w:val="002875AD"/>
    <w:rsid w:val="002901E7"/>
    <w:rsid w:val="00290E37"/>
    <w:rsid w:val="002930AE"/>
    <w:rsid w:val="002943B6"/>
    <w:rsid w:val="00297C22"/>
    <w:rsid w:val="002A0C36"/>
    <w:rsid w:val="002A127E"/>
    <w:rsid w:val="002A2A71"/>
    <w:rsid w:val="002A322E"/>
    <w:rsid w:val="002A3726"/>
    <w:rsid w:val="002A3816"/>
    <w:rsid w:val="002A4931"/>
    <w:rsid w:val="002A63F0"/>
    <w:rsid w:val="002A7091"/>
    <w:rsid w:val="002A70D1"/>
    <w:rsid w:val="002B4598"/>
    <w:rsid w:val="002C1AD2"/>
    <w:rsid w:val="002C23F6"/>
    <w:rsid w:val="002C24FF"/>
    <w:rsid w:val="002C38C4"/>
    <w:rsid w:val="002C6D16"/>
    <w:rsid w:val="002D1DF8"/>
    <w:rsid w:val="002D27E1"/>
    <w:rsid w:val="002D4867"/>
    <w:rsid w:val="002D4FB4"/>
    <w:rsid w:val="002D5BC5"/>
    <w:rsid w:val="002D5CF2"/>
    <w:rsid w:val="002E45B1"/>
    <w:rsid w:val="002E537A"/>
    <w:rsid w:val="002E5E42"/>
    <w:rsid w:val="002F02C8"/>
    <w:rsid w:val="002F18B8"/>
    <w:rsid w:val="002F2B6C"/>
    <w:rsid w:val="002F3B80"/>
    <w:rsid w:val="002F47E8"/>
    <w:rsid w:val="002F61E4"/>
    <w:rsid w:val="002F698D"/>
    <w:rsid w:val="00303096"/>
    <w:rsid w:val="003041DB"/>
    <w:rsid w:val="003101AB"/>
    <w:rsid w:val="0031099D"/>
    <w:rsid w:val="0031124E"/>
    <w:rsid w:val="00311540"/>
    <w:rsid w:val="00312F62"/>
    <w:rsid w:val="003130E3"/>
    <w:rsid w:val="00313824"/>
    <w:rsid w:val="00316D09"/>
    <w:rsid w:val="00317429"/>
    <w:rsid w:val="003203B5"/>
    <w:rsid w:val="00320805"/>
    <w:rsid w:val="003216B4"/>
    <w:rsid w:val="00325033"/>
    <w:rsid w:val="00326524"/>
    <w:rsid w:val="003266BB"/>
    <w:rsid w:val="00327C33"/>
    <w:rsid w:val="00330700"/>
    <w:rsid w:val="00332CCC"/>
    <w:rsid w:val="00333A25"/>
    <w:rsid w:val="00333F0D"/>
    <w:rsid w:val="00337339"/>
    <w:rsid w:val="00341C43"/>
    <w:rsid w:val="003421F5"/>
    <w:rsid w:val="00343822"/>
    <w:rsid w:val="00343C02"/>
    <w:rsid w:val="00344078"/>
    <w:rsid w:val="003527F1"/>
    <w:rsid w:val="00352A68"/>
    <w:rsid w:val="0035583C"/>
    <w:rsid w:val="0035753C"/>
    <w:rsid w:val="00357770"/>
    <w:rsid w:val="00361D72"/>
    <w:rsid w:val="00362441"/>
    <w:rsid w:val="003632AC"/>
    <w:rsid w:val="00364412"/>
    <w:rsid w:val="00370514"/>
    <w:rsid w:val="00372BFA"/>
    <w:rsid w:val="0037379F"/>
    <w:rsid w:val="00374250"/>
    <w:rsid w:val="00375AD6"/>
    <w:rsid w:val="0037656B"/>
    <w:rsid w:val="003770A9"/>
    <w:rsid w:val="00377ABF"/>
    <w:rsid w:val="003849B5"/>
    <w:rsid w:val="003879F6"/>
    <w:rsid w:val="00387C7C"/>
    <w:rsid w:val="00390DA4"/>
    <w:rsid w:val="0039230B"/>
    <w:rsid w:val="00392DE4"/>
    <w:rsid w:val="003936EC"/>
    <w:rsid w:val="0039417B"/>
    <w:rsid w:val="0039654B"/>
    <w:rsid w:val="00397BD5"/>
    <w:rsid w:val="003A2D08"/>
    <w:rsid w:val="003A308A"/>
    <w:rsid w:val="003A70A1"/>
    <w:rsid w:val="003B040D"/>
    <w:rsid w:val="003B079A"/>
    <w:rsid w:val="003B0B17"/>
    <w:rsid w:val="003B1639"/>
    <w:rsid w:val="003B24B6"/>
    <w:rsid w:val="003B649A"/>
    <w:rsid w:val="003C23D0"/>
    <w:rsid w:val="003C4C16"/>
    <w:rsid w:val="003C4C31"/>
    <w:rsid w:val="003C64A3"/>
    <w:rsid w:val="003C69DE"/>
    <w:rsid w:val="003C7F20"/>
    <w:rsid w:val="003D1C57"/>
    <w:rsid w:val="003D4959"/>
    <w:rsid w:val="003D4F00"/>
    <w:rsid w:val="003D6C03"/>
    <w:rsid w:val="003D6D18"/>
    <w:rsid w:val="003D6E26"/>
    <w:rsid w:val="003D6E8B"/>
    <w:rsid w:val="003E555E"/>
    <w:rsid w:val="003E58FA"/>
    <w:rsid w:val="003E77E2"/>
    <w:rsid w:val="003E79DB"/>
    <w:rsid w:val="003F0BF6"/>
    <w:rsid w:val="003F10F4"/>
    <w:rsid w:val="003F179A"/>
    <w:rsid w:val="003F3AE8"/>
    <w:rsid w:val="003F4111"/>
    <w:rsid w:val="003F442E"/>
    <w:rsid w:val="003F50FE"/>
    <w:rsid w:val="003F5FC8"/>
    <w:rsid w:val="00400C46"/>
    <w:rsid w:val="00401064"/>
    <w:rsid w:val="00401EDD"/>
    <w:rsid w:val="00401F4A"/>
    <w:rsid w:val="00402F9E"/>
    <w:rsid w:val="00405CA6"/>
    <w:rsid w:val="00406468"/>
    <w:rsid w:val="0041150D"/>
    <w:rsid w:val="0041237D"/>
    <w:rsid w:val="00412B0E"/>
    <w:rsid w:val="00414F2F"/>
    <w:rsid w:val="00414F8C"/>
    <w:rsid w:val="004167ED"/>
    <w:rsid w:val="00416A60"/>
    <w:rsid w:val="004178BE"/>
    <w:rsid w:val="00422E78"/>
    <w:rsid w:val="00423EE0"/>
    <w:rsid w:val="0042468F"/>
    <w:rsid w:val="00424F8F"/>
    <w:rsid w:val="00426542"/>
    <w:rsid w:val="00431194"/>
    <w:rsid w:val="00435D44"/>
    <w:rsid w:val="00437DDD"/>
    <w:rsid w:val="004405E0"/>
    <w:rsid w:val="00440C20"/>
    <w:rsid w:val="00441E72"/>
    <w:rsid w:val="00444E6E"/>
    <w:rsid w:val="004464CF"/>
    <w:rsid w:val="00447660"/>
    <w:rsid w:val="00450B95"/>
    <w:rsid w:val="00454919"/>
    <w:rsid w:val="00456917"/>
    <w:rsid w:val="00456B8B"/>
    <w:rsid w:val="00461299"/>
    <w:rsid w:val="0046190D"/>
    <w:rsid w:val="0046403A"/>
    <w:rsid w:val="004678BA"/>
    <w:rsid w:val="00470C7A"/>
    <w:rsid w:val="00471272"/>
    <w:rsid w:val="00471A09"/>
    <w:rsid w:val="00473BF4"/>
    <w:rsid w:val="004753C4"/>
    <w:rsid w:val="00475493"/>
    <w:rsid w:val="00475948"/>
    <w:rsid w:val="00475C69"/>
    <w:rsid w:val="00475CF3"/>
    <w:rsid w:val="00477A8D"/>
    <w:rsid w:val="00477DB0"/>
    <w:rsid w:val="004849F4"/>
    <w:rsid w:val="00485D59"/>
    <w:rsid w:val="004867BC"/>
    <w:rsid w:val="00493EF1"/>
    <w:rsid w:val="004952CD"/>
    <w:rsid w:val="004960D2"/>
    <w:rsid w:val="00496910"/>
    <w:rsid w:val="00496B26"/>
    <w:rsid w:val="00496E83"/>
    <w:rsid w:val="004A3BC4"/>
    <w:rsid w:val="004A432A"/>
    <w:rsid w:val="004A6709"/>
    <w:rsid w:val="004A70FC"/>
    <w:rsid w:val="004A7F09"/>
    <w:rsid w:val="004B05B6"/>
    <w:rsid w:val="004B1028"/>
    <w:rsid w:val="004B4FE2"/>
    <w:rsid w:val="004B77D5"/>
    <w:rsid w:val="004C0632"/>
    <w:rsid w:val="004C1ADC"/>
    <w:rsid w:val="004C29AA"/>
    <w:rsid w:val="004C41F7"/>
    <w:rsid w:val="004C49CC"/>
    <w:rsid w:val="004C4D5F"/>
    <w:rsid w:val="004C5DFC"/>
    <w:rsid w:val="004C6FA0"/>
    <w:rsid w:val="004C76D9"/>
    <w:rsid w:val="004C77E8"/>
    <w:rsid w:val="004C785D"/>
    <w:rsid w:val="004D160F"/>
    <w:rsid w:val="004D1C95"/>
    <w:rsid w:val="004D2175"/>
    <w:rsid w:val="004D3319"/>
    <w:rsid w:val="004D37D3"/>
    <w:rsid w:val="004D454E"/>
    <w:rsid w:val="004D63FA"/>
    <w:rsid w:val="004D7DAC"/>
    <w:rsid w:val="004D7FB8"/>
    <w:rsid w:val="004E0C3B"/>
    <w:rsid w:val="004E2F2A"/>
    <w:rsid w:val="004E3C69"/>
    <w:rsid w:val="004E5B81"/>
    <w:rsid w:val="004F08D1"/>
    <w:rsid w:val="004F1078"/>
    <w:rsid w:val="004F273D"/>
    <w:rsid w:val="004F34B0"/>
    <w:rsid w:val="004F635C"/>
    <w:rsid w:val="004F6DFD"/>
    <w:rsid w:val="004F709F"/>
    <w:rsid w:val="004F760D"/>
    <w:rsid w:val="0050007D"/>
    <w:rsid w:val="00501163"/>
    <w:rsid w:val="00501C10"/>
    <w:rsid w:val="00503691"/>
    <w:rsid w:val="0050382B"/>
    <w:rsid w:val="00504CEE"/>
    <w:rsid w:val="005062A5"/>
    <w:rsid w:val="00506B32"/>
    <w:rsid w:val="00507DB9"/>
    <w:rsid w:val="0051057F"/>
    <w:rsid w:val="00510FA7"/>
    <w:rsid w:val="00510FCC"/>
    <w:rsid w:val="00511567"/>
    <w:rsid w:val="0051185D"/>
    <w:rsid w:val="00512428"/>
    <w:rsid w:val="00513379"/>
    <w:rsid w:val="0052321E"/>
    <w:rsid w:val="00526153"/>
    <w:rsid w:val="00530678"/>
    <w:rsid w:val="00530E50"/>
    <w:rsid w:val="00531D7F"/>
    <w:rsid w:val="00532DB8"/>
    <w:rsid w:val="00533576"/>
    <w:rsid w:val="005346B4"/>
    <w:rsid w:val="0053522B"/>
    <w:rsid w:val="00536CC5"/>
    <w:rsid w:val="00537011"/>
    <w:rsid w:val="00540789"/>
    <w:rsid w:val="00541773"/>
    <w:rsid w:val="00542B0B"/>
    <w:rsid w:val="005473C8"/>
    <w:rsid w:val="00547CB0"/>
    <w:rsid w:val="0055077E"/>
    <w:rsid w:val="00552656"/>
    <w:rsid w:val="005554F7"/>
    <w:rsid w:val="00557E5A"/>
    <w:rsid w:val="005616A7"/>
    <w:rsid w:val="00565F91"/>
    <w:rsid w:val="00566D6C"/>
    <w:rsid w:val="00567810"/>
    <w:rsid w:val="00572A83"/>
    <w:rsid w:val="00574263"/>
    <w:rsid w:val="005742D4"/>
    <w:rsid w:val="00575795"/>
    <w:rsid w:val="00575AA8"/>
    <w:rsid w:val="00576EC8"/>
    <w:rsid w:val="00577BE0"/>
    <w:rsid w:val="00580612"/>
    <w:rsid w:val="005834E0"/>
    <w:rsid w:val="005848F2"/>
    <w:rsid w:val="00584CDD"/>
    <w:rsid w:val="00593FBA"/>
    <w:rsid w:val="005A0983"/>
    <w:rsid w:val="005B1B0F"/>
    <w:rsid w:val="005B1E82"/>
    <w:rsid w:val="005B55E7"/>
    <w:rsid w:val="005B57B0"/>
    <w:rsid w:val="005B5FD1"/>
    <w:rsid w:val="005B710F"/>
    <w:rsid w:val="005C054F"/>
    <w:rsid w:val="005C07B4"/>
    <w:rsid w:val="005C0C21"/>
    <w:rsid w:val="005C0CED"/>
    <w:rsid w:val="005C25E4"/>
    <w:rsid w:val="005C3A8F"/>
    <w:rsid w:val="005D073C"/>
    <w:rsid w:val="005D0FCE"/>
    <w:rsid w:val="005D670D"/>
    <w:rsid w:val="005D6F69"/>
    <w:rsid w:val="005E295B"/>
    <w:rsid w:val="005E4967"/>
    <w:rsid w:val="005E5BD6"/>
    <w:rsid w:val="005F04EB"/>
    <w:rsid w:val="005F32A4"/>
    <w:rsid w:val="005F36B5"/>
    <w:rsid w:val="005F4AC3"/>
    <w:rsid w:val="005F7D72"/>
    <w:rsid w:val="00600648"/>
    <w:rsid w:val="006015AE"/>
    <w:rsid w:val="00606269"/>
    <w:rsid w:val="00610422"/>
    <w:rsid w:val="00612A7A"/>
    <w:rsid w:val="00612FF4"/>
    <w:rsid w:val="0061320D"/>
    <w:rsid w:val="00613B05"/>
    <w:rsid w:val="00613B73"/>
    <w:rsid w:val="006153A6"/>
    <w:rsid w:val="00617083"/>
    <w:rsid w:val="00617600"/>
    <w:rsid w:val="0061773B"/>
    <w:rsid w:val="00617EE9"/>
    <w:rsid w:val="00617FED"/>
    <w:rsid w:val="00620393"/>
    <w:rsid w:val="00622955"/>
    <w:rsid w:val="00623266"/>
    <w:rsid w:val="00624D0F"/>
    <w:rsid w:val="00624EBD"/>
    <w:rsid w:val="006271E2"/>
    <w:rsid w:val="006276F3"/>
    <w:rsid w:val="006314CB"/>
    <w:rsid w:val="00631701"/>
    <w:rsid w:val="00633747"/>
    <w:rsid w:val="00634C89"/>
    <w:rsid w:val="006367E2"/>
    <w:rsid w:val="00641885"/>
    <w:rsid w:val="00641F70"/>
    <w:rsid w:val="00644544"/>
    <w:rsid w:val="006445AC"/>
    <w:rsid w:val="006474C2"/>
    <w:rsid w:val="00647BA5"/>
    <w:rsid w:val="00650FBE"/>
    <w:rsid w:val="0065155A"/>
    <w:rsid w:val="00652380"/>
    <w:rsid w:val="00653F26"/>
    <w:rsid w:val="006550ED"/>
    <w:rsid w:val="00657ACA"/>
    <w:rsid w:val="00660B77"/>
    <w:rsid w:val="006628F6"/>
    <w:rsid w:val="00664F06"/>
    <w:rsid w:val="0066576B"/>
    <w:rsid w:val="00667FA7"/>
    <w:rsid w:val="00672AA0"/>
    <w:rsid w:val="00682BCB"/>
    <w:rsid w:val="00682DA9"/>
    <w:rsid w:val="00683448"/>
    <w:rsid w:val="0068351C"/>
    <w:rsid w:val="0068624E"/>
    <w:rsid w:val="00686942"/>
    <w:rsid w:val="00686DA0"/>
    <w:rsid w:val="00687230"/>
    <w:rsid w:val="00687D57"/>
    <w:rsid w:val="006924D7"/>
    <w:rsid w:val="0069296D"/>
    <w:rsid w:val="0069754B"/>
    <w:rsid w:val="006A2C98"/>
    <w:rsid w:val="006A4687"/>
    <w:rsid w:val="006A4AB2"/>
    <w:rsid w:val="006A554D"/>
    <w:rsid w:val="006A58A6"/>
    <w:rsid w:val="006A58EB"/>
    <w:rsid w:val="006A60D2"/>
    <w:rsid w:val="006A7324"/>
    <w:rsid w:val="006B0F99"/>
    <w:rsid w:val="006B14CE"/>
    <w:rsid w:val="006B173C"/>
    <w:rsid w:val="006B2544"/>
    <w:rsid w:val="006B41CF"/>
    <w:rsid w:val="006B5970"/>
    <w:rsid w:val="006B7A96"/>
    <w:rsid w:val="006C2025"/>
    <w:rsid w:val="006C2B94"/>
    <w:rsid w:val="006C5391"/>
    <w:rsid w:val="006C5FF4"/>
    <w:rsid w:val="006C6FEA"/>
    <w:rsid w:val="006D333C"/>
    <w:rsid w:val="006D4C9B"/>
    <w:rsid w:val="006D5E57"/>
    <w:rsid w:val="006E0544"/>
    <w:rsid w:val="006E314D"/>
    <w:rsid w:val="006E33D4"/>
    <w:rsid w:val="006E53E9"/>
    <w:rsid w:val="006E5B2B"/>
    <w:rsid w:val="006E5F50"/>
    <w:rsid w:val="006F1E97"/>
    <w:rsid w:val="006F2122"/>
    <w:rsid w:val="006F3560"/>
    <w:rsid w:val="006F3B16"/>
    <w:rsid w:val="006F4E23"/>
    <w:rsid w:val="006F783E"/>
    <w:rsid w:val="0070210D"/>
    <w:rsid w:val="00704AAC"/>
    <w:rsid w:val="00705178"/>
    <w:rsid w:val="007070C6"/>
    <w:rsid w:val="007076E2"/>
    <w:rsid w:val="00713542"/>
    <w:rsid w:val="00713BBE"/>
    <w:rsid w:val="0071530A"/>
    <w:rsid w:val="0071691C"/>
    <w:rsid w:val="00717808"/>
    <w:rsid w:val="0072137E"/>
    <w:rsid w:val="0072165F"/>
    <w:rsid w:val="007228B8"/>
    <w:rsid w:val="00722FB0"/>
    <w:rsid w:val="0072495E"/>
    <w:rsid w:val="00725984"/>
    <w:rsid w:val="00727982"/>
    <w:rsid w:val="00731EBF"/>
    <w:rsid w:val="00742170"/>
    <w:rsid w:val="007427B6"/>
    <w:rsid w:val="00742E17"/>
    <w:rsid w:val="007438DB"/>
    <w:rsid w:val="00743F58"/>
    <w:rsid w:val="00744938"/>
    <w:rsid w:val="0074639F"/>
    <w:rsid w:val="00747BDA"/>
    <w:rsid w:val="00747D5B"/>
    <w:rsid w:val="007503C4"/>
    <w:rsid w:val="00751437"/>
    <w:rsid w:val="007515C5"/>
    <w:rsid w:val="00753527"/>
    <w:rsid w:val="00754986"/>
    <w:rsid w:val="00755958"/>
    <w:rsid w:val="00755F2A"/>
    <w:rsid w:val="0076046A"/>
    <w:rsid w:val="007607CA"/>
    <w:rsid w:val="00762741"/>
    <w:rsid w:val="00765D38"/>
    <w:rsid w:val="007664BC"/>
    <w:rsid w:val="007664FF"/>
    <w:rsid w:val="00766588"/>
    <w:rsid w:val="0076669A"/>
    <w:rsid w:val="00766761"/>
    <w:rsid w:val="00767199"/>
    <w:rsid w:val="007678DB"/>
    <w:rsid w:val="007711A3"/>
    <w:rsid w:val="00772593"/>
    <w:rsid w:val="007730F3"/>
    <w:rsid w:val="007745DD"/>
    <w:rsid w:val="0077635D"/>
    <w:rsid w:val="0077676A"/>
    <w:rsid w:val="0078048B"/>
    <w:rsid w:val="00781162"/>
    <w:rsid w:val="007830EB"/>
    <w:rsid w:val="00785223"/>
    <w:rsid w:val="00786AB6"/>
    <w:rsid w:val="00787903"/>
    <w:rsid w:val="00787F71"/>
    <w:rsid w:val="00790B1F"/>
    <w:rsid w:val="00791DCE"/>
    <w:rsid w:val="00792640"/>
    <w:rsid w:val="00792A10"/>
    <w:rsid w:val="00797981"/>
    <w:rsid w:val="007A3C62"/>
    <w:rsid w:val="007A4B6D"/>
    <w:rsid w:val="007B0555"/>
    <w:rsid w:val="007B264F"/>
    <w:rsid w:val="007B3C8D"/>
    <w:rsid w:val="007B52F4"/>
    <w:rsid w:val="007B5479"/>
    <w:rsid w:val="007B6015"/>
    <w:rsid w:val="007C0245"/>
    <w:rsid w:val="007C04B8"/>
    <w:rsid w:val="007C0F10"/>
    <w:rsid w:val="007C2034"/>
    <w:rsid w:val="007C2D10"/>
    <w:rsid w:val="007C3ECA"/>
    <w:rsid w:val="007C6B82"/>
    <w:rsid w:val="007C7652"/>
    <w:rsid w:val="007C7D18"/>
    <w:rsid w:val="007C7D37"/>
    <w:rsid w:val="007D13A3"/>
    <w:rsid w:val="007D1E73"/>
    <w:rsid w:val="007D28DA"/>
    <w:rsid w:val="007D2E26"/>
    <w:rsid w:val="007D31D0"/>
    <w:rsid w:val="007D3344"/>
    <w:rsid w:val="007D3FD2"/>
    <w:rsid w:val="007D552B"/>
    <w:rsid w:val="007D5F7C"/>
    <w:rsid w:val="007D5FAF"/>
    <w:rsid w:val="007E4E08"/>
    <w:rsid w:val="007E6BC5"/>
    <w:rsid w:val="007E78EB"/>
    <w:rsid w:val="007F0DA9"/>
    <w:rsid w:val="007F200C"/>
    <w:rsid w:val="007F373C"/>
    <w:rsid w:val="007F391F"/>
    <w:rsid w:val="007F4E1E"/>
    <w:rsid w:val="007F56A8"/>
    <w:rsid w:val="008010D6"/>
    <w:rsid w:val="00803031"/>
    <w:rsid w:val="0080625D"/>
    <w:rsid w:val="00806B7C"/>
    <w:rsid w:val="0081060D"/>
    <w:rsid w:val="008117C5"/>
    <w:rsid w:val="0081208D"/>
    <w:rsid w:val="00813CDE"/>
    <w:rsid w:val="0081422C"/>
    <w:rsid w:val="0082043C"/>
    <w:rsid w:val="00820ACA"/>
    <w:rsid w:val="008218DC"/>
    <w:rsid w:val="00830876"/>
    <w:rsid w:val="00831C80"/>
    <w:rsid w:val="00831D97"/>
    <w:rsid w:val="008333E7"/>
    <w:rsid w:val="008336A0"/>
    <w:rsid w:val="00834397"/>
    <w:rsid w:val="00842C58"/>
    <w:rsid w:val="008430F8"/>
    <w:rsid w:val="00846714"/>
    <w:rsid w:val="0084765F"/>
    <w:rsid w:val="00847BE1"/>
    <w:rsid w:val="00851F3E"/>
    <w:rsid w:val="00852A7E"/>
    <w:rsid w:val="00853977"/>
    <w:rsid w:val="00854B53"/>
    <w:rsid w:val="00855D15"/>
    <w:rsid w:val="00862DD5"/>
    <w:rsid w:val="008636AF"/>
    <w:rsid w:val="00864ECA"/>
    <w:rsid w:val="00866A3F"/>
    <w:rsid w:val="00872202"/>
    <w:rsid w:val="008722F8"/>
    <w:rsid w:val="008767FF"/>
    <w:rsid w:val="0087779A"/>
    <w:rsid w:val="00882C1E"/>
    <w:rsid w:val="00884AA1"/>
    <w:rsid w:val="00884ED4"/>
    <w:rsid w:val="00887BA7"/>
    <w:rsid w:val="00890E90"/>
    <w:rsid w:val="008910E5"/>
    <w:rsid w:val="00891417"/>
    <w:rsid w:val="00893933"/>
    <w:rsid w:val="00893C64"/>
    <w:rsid w:val="00895C26"/>
    <w:rsid w:val="00896CA3"/>
    <w:rsid w:val="008A013C"/>
    <w:rsid w:val="008A04B6"/>
    <w:rsid w:val="008A0BD5"/>
    <w:rsid w:val="008A2438"/>
    <w:rsid w:val="008A39AD"/>
    <w:rsid w:val="008A4033"/>
    <w:rsid w:val="008A4E58"/>
    <w:rsid w:val="008A5430"/>
    <w:rsid w:val="008A5ABB"/>
    <w:rsid w:val="008A62A9"/>
    <w:rsid w:val="008A67A8"/>
    <w:rsid w:val="008A7063"/>
    <w:rsid w:val="008A75B2"/>
    <w:rsid w:val="008B0056"/>
    <w:rsid w:val="008B04F2"/>
    <w:rsid w:val="008B08E7"/>
    <w:rsid w:val="008B21F0"/>
    <w:rsid w:val="008B4AC1"/>
    <w:rsid w:val="008B5421"/>
    <w:rsid w:val="008B60A7"/>
    <w:rsid w:val="008B70FB"/>
    <w:rsid w:val="008C124F"/>
    <w:rsid w:val="008C2DF4"/>
    <w:rsid w:val="008C32B4"/>
    <w:rsid w:val="008C37EE"/>
    <w:rsid w:val="008C45F9"/>
    <w:rsid w:val="008C4798"/>
    <w:rsid w:val="008C74FF"/>
    <w:rsid w:val="008D030C"/>
    <w:rsid w:val="008D06AB"/>
    <w:rsid w:val="008D314D"/>
    <w:rsid w:val="008D4745"/>
    <w:rsid w:val="008D56A5"/>
    <w:rsid w:val="008D73E8"/>
    <w:rsid w:val="008E18CD"/>
    <w:rsid w:val="008E1984"/>
    <w:rsid w:val="008E2035"/>
    <w:rsid w:val="008E3087"/>
    <w:rsid w:val="008E3253"/>
    <w:rsid w:val="008E415B"/>
    <w:rsid w:val="008E612C"/>
    <w:rsid w:val="008E69EB"/>
    <w:rsid w:val="008E70FE"/>
    <w:rsid w:val="008F0D0F"/>
    <w:rsid w:val="008F1342"/>
    <w:rsid w:val="008F6C91"/>
    <w:rsid w:val="00902885"/>
    <w:rsid w:val="00905BCB"/>
    <w:rsid w:val="009075ED"/>
    <w:rsid w:val="00910279"/>
    <w:rsid w:val="009121FF"/>
    <w:rsid w:val="00912237"/>
    <w:rsid w:val="009144BE"/>
    <w:rsid w:val="00914A4B"/>
    <w:rsid w:val="00914F07"/>
    <w:rsid w:val="009163AC"/>
    <w:rsid w:val="00916423"/>
    <w:rsid w:val="009205E7"/>
    <w:rsid w:val="00920AB8"/>
    <w:rsid w:val="00920C2A"/>
    <w:rsid w:val="009232B9"/>
    <w:rsid w:val="00925BB3"/>
    <w:rsid w:val="00926CF8"/>
    <w:rsid w:val="0093038F"/>
    <w:rsid w:val="009322BB"/>
    <w:rsid w:val="00934849"/>
    <w:rsid w:val="00935025"/>
    <w:rsid w:val="009376E9"/>
    <w:rsid w:val="00937AF1"/>
    <w:rsid w:val="0094220A"/>
    <w:rsid w:val="009448B4"/>
    <w:rsid w:val="0094625D"/>
    <w:rsid w:val="00950EEB"/>
    <w:rsid w:val="0096108B"/>
    <w:rsid w:val="0096113B"/>
    <w:rsid w:val="00961D61"/>
    <w:rsid w:val="00961F03"/>
    <w:rsid w:val="009640A2"/>
    <w:rsid w:val="00965A61"/>
    <w:rsid w:val="00967271"/>
    <w:rsid w:val="00970B3E"/>
    <w:rsid w:val="00970D0A"/>
    <w:rsid w:val="009714D9"/>
    <w:rsid w:val="009758F3"/>
    <w:rsid w:val="00976ADE"/>
    <w:rsid w:val="00980BC1"/>
    <w:rsid w:val="009914C2"/>
    <w:rsid w:val="00993A8C"/>
    <w:rsid w:val="00993FE6"/>
    <w:rsid w:val="00995478"/>
    <w:rsid w:val="009A3F29"/>
    <w:rsid w:val="009A45A0"/>
    <w:rsid w:val="009A4B65"/>
    <w:rsid w:val="009A687C"/>
    <w:rsid w:val="009A6AEB"/>
    <w:rsid w:val="009A756B"/>
    <w:rsid w:val="009A7B6C"/>
    <w:rsid w:val="009A7F37"/>
    <w:rsid w:val="009B0952"/>
    <w:rsid w:val="009B09BA"/>
    <w:rsid w:val="009B3987"/>
    <w:rsid w:val="009B4C67"/>
    <w:rsid w:val="009B4E00"/>
    <w:rsid w:val="009B5E4E"/>
    <w:rsid w:val="009C3A3C"/>
    <w:rsid w:val="009C3BA1"/>
    <w:rsid w:val="009C485B"/>
    <w:rsid w:val="009C64BB"/>
    <w:rsid w:val="009C6B36"/>
    <w:rsid w:val="009C79E2"/>
    <w:rsid w:val="009D2A57"/>
    <w:rsid w:val="009D3CBE"/>
    <w:rsid w:val="009E0E3E"/>
    <w:rsid w:val="009E1527"/>
    <w:rsid w:val="009E32BD"/>
    <w:rsid w:val="009E35C7"/>
    <w:rsid w:val="009E3FD6"/>
    <w:rsid w:val="009E65D2"/>
    <w:rsid w:val="009E68CD"/>
    <w:rsid w:val="009E68DE"/>
    <w:rsid w:val="009E7AD8"/>
    <w:rsid w:val="009F0DCD"/>
    <w:rsid w:val="009F49F9"/>
    <w:rsid w:val="009F531E"/>
    <w:rsid w:val="00A0008A"/>
    <w:rsid w:val="00A02750"/>
    <w:rsid w:val="00A06409"/>
    <w:rsid w:val="00A13E88"/>
    <w:rsid w:val="00A14887"/>
    <w:rsid w:val="00A16650"/>
    <w:rsid w:val="00A211E3"/>
    <w:rsid w:val="00A220CD"/>
    <w:rsid w:val="00A22D2B"/>
    <w:rsid w:val="00A24ADF"/>
    <w:rsid w:val="00A25572"/>
    <w:rsid w:val="00A259E2"/>
    <w:rsid w:val="00A26D15"/>
    <w:rsid w:val="00A272C6"/>
    <w:rsid w:val="00A27334"/>
    <w:rsid w:val="00A27CB3"/>
    <w:rsid w:val="00A304F2"/>
    <w:rsid w:val="00A31224"/>
    <w:rsid w:val="00A31B0F"/>
    <w:rsid w:val="00A418EF"/>
    <w:rsid w:val="00A464F2"/>
    <w:rsid w:val="00A50412"/>
    <w:rsid w:val="00A62383"/>
    <w:rsid w:val="00A63614"/>
    <w:rsid w:val="00A642A4"/>
    <w:rsid w:val="00A66DEC"/>
    <w:rsid w:val="00A67B0C"/>
    <w:rsid w:val="00A713C9"/>
    <w:rsid w:val="00A720F4"/>
    <w:rsid w:val="00A722A1"/>
    <w:rsid w:val="00A7398A"/>
    <w:rsid w:val="00A7427B"/>
    <w:rsid w:val="00A84BEE"/>
    <w:rsid w:val="00A85AEF"/>
    <w:rsid w:val="00A8644F"/>
    <w:rsid w:val="00A906D2"/>
    <w:rsid w:val="00A90B92"/>
    <w:rsid w:val="00A9116A"/>
    <w:rsid w:val="00A91384"/>
    <w:rsid w:val="00A913D9"/>
    <w:rsid w:val="00A91502"/>
    <w:rsid w:val="00A9456A"/>
    <w:rsid w:val="00A9692C"/>
    <w:rsid w:val="00A97BC0"/>
    <w:rsid w:val="00AA1276"/>
    <w:rsid w:val="00AA22BB"/>
    <w:rsid w:val="00AA22D9"/>
    <w:rsid w:val="00AA58FE"/>
    <w:rsid w:val="00AA6353"/>
    <w:rsid w:val="00AB0511"/>
    <w:rsid w:val="00AB2777"/>
    <w:rsid w:val="00AB27A0"/>
    <w:rsid w:val="00AB31DD"/>
    <w:rsid w:val="00AB3729"/>
    <w:rsid w:val="00AB4D86"/>
    <w:rsid w:val="00AC00BF"/>
    <w:rsid w:val="00AC18B9"/>
    <w:rsid w:val="00AC1925"/>
    <w:rsid w:val="00AC1A0C"/>
    <w:rsid w:val="00AC312F"/>
    <w:rsid w:val="00AC386C"/>
    <w:rsid w:val="00AC54F5"/>
    <w:rsid w:val="00AC5E14"/>
    <w:rsid w:val="00AD0711"/>
    <w:rsid w:val="00AD0CB2"/>
    <w:rsid w:val="00AD31AA"/>
    <w:rsid w:val="00AD6432"/>
    <w:rsid w:val="00AD68BA"/>
    <w:rsid w:val="00AD7F1E"/>
    <w:rsid w:val="00AE0003"/>
    <w:rsid w:val="00AE255A"/>
    <w:rsid w:val="00AE25B9"/>
    <w:rsid w:val="00AE4F6F"/>
    <w:rsid w:val="00AE5A89"/>
    <w:rsid w:val="00AE6309"/>
    <w:rsid w:val="00AE70F5"/>
    <w:rsid w:val="00AE7D87"/>
    <w:rsid w:val="00AF0854"/>
    <w:rsid w:val="00AF474C"/>
    <w:rsid w:val="00AF4DAA"/>
    <w:rsid w:val="00B00074"/>
    <w:rsid w:val="00B0186B"/>
    <w:rsid w:val="00B05578"/>
    <w:rsid w:val="00B05D0A"/>
    <w:rsid w:val="00B10060"/>
    <w:rsid w:val="00B103FB"/>
    <w:rsid w:val="00B12504"/>
    <w:rsid w:val="00B12ABE"/>
    <w:rsid w:val="00B14870"/>
    <w:rsid w:val="00B14EA0"/>
    <w:rsid w:val="00B15B8F"/>
    <w:rsid w:val="00B15F86"/>
    <w:rsid w:val="00B168F4"/>
    <w:rsid w:val="00B16BF4"/>
    <w:rsid w:val="00B17B23"/>
    <w:rsid w:val="00B21E07"/>
    <w:rsid w:val="00B24C04"/>
    <w:rsid w:val="00B261B2"/>
    <w:rsid w:val="00B307FD"/>
    <w:rsid w:val="00B37899"/>
    <w:rsid w:val="00B40108"/>
    <w:rsid w:val="00B40C5A"/>
    <w:rsid w:val="00B4132D"/>
    <w:rsid w:val="00B4362D"/>
    <w:rsid w:val="00B478AC"/>
    <w:rsid w:val="00B47935"/>
    <w:rsid w:val="00B47C32"/>
    <w:rsid w:val="00B51C4C"/>
    <w:rsid w:val="00B51C59"/>
    <w:rsid w:val="00B5247A"/>
    <w:rsid w:val="00B52CCD"/>
    <w:rsid w:val="00B5357C"/>
    <w:rsid w:val="00B548B5"/>
    <w:rsid w:val="00B54959"/>
    <w:rsid w:val="00B5506F"/>
    <w:rsid w:val="00B55E1B"/>
    <w:rsid w:val="00B61485"/>
    <w:rsid w:val="00B63E9B"/>
    <w:rsid w:val="00B65AEB"/>
    <w:rsid w:val="00B66A08"/>
    <w:rsid w:val="00B67AEF"/>
    <w:rsid w:val="00B71C96"/>
    <w:rsid w:val="00B72133"/>
    <w:rsid w:val="00B725AB"/>
    <w:rsid w:val="00B730BA"/>
    <w:rsid w:val="00B735BF"/>
    <w:rsid w:val="00B738A9"/>
    <w:rsid w:val="00B761EC"/>
    <w:rsid w:val="00B77EE3"/>
    <w:rsid w:val="00B80DD0"/>
    <w:rsid w:val="00B82951"/>
    <w:rsid w:val="00B83A1A"/>
    <w:rsid w:val="00B85414"/>
    <w:rsid w:val="00B879AD"/>
    <w:rsid w:val="00B904EC"/>
    <w:rsid w:val="00B94EED"/>
    <w:rsid w:val="00B95B09"/>
    <w:rsid w:val="00B95E32"/>
    <w:rsid w:val="00B968F4"/>
    <w:rsid w:val="00BA00A1"/>
    <w:rsid w:val="00BA1103"/>
    <w:rsid w:val="00BA6716"/>
    <w:rsid w:val="00BA7E7F"/>
    <w:rsid w:val="00BB0A23"/>
    <w:rsid w:val="00BB2A11"/>
    <w:rsid w:val="00BB56D1"/>
    <w:rsid w:val="00BB5CA6"/>
    <w:rsid w:val="00BB6A83"/>
    <w:rsid w:val="00BB6BE1"/>
    <w:rsid w:val="00BB6D67"/>
    <w:rsid w:val="00BC0CF7"/>
    <w:rsid w:val="00BC506A"/>
    <w:rsid w:val="00BD0945"/>
    <w:rsid w:val="00BD2304"/>
    <w:rsid w:val="00BD42FA"/>
    <w:rsid w:val="00BE03A1"/>
    <w:rsid w:val="00BE18AE"/>
    <w:rsid w:val="00BE19C1"/>
    <w:rsid w:val="00BE3BC0"/>
    <w:rsid w:val="00BE405C"/>
    <w:rsid w:val="00BE4F00"/>
    <w:rsid w:val="00BE5B63"/>
    <w:rsid w:val="00BE698D"/>
    <w:rsid w:val="00BF1860"/>
    <w:rsid w:val="00BF2226"/>
    <w:rsid w:val="00BF23B6"/>
    <w:rsid w:val="00BF52E2"/>
    <w:rsid w:val="00BF5641"/>
    <w:rsid w:val="00BF63ED"/>
    <w:rsid w:val="00BF6C88"/>
    <w:rsid w:val="00C004C9"/>
    <w:rsid w:val="00C0111F"/>
    <w:rsid w:val="00C01E7E"/>
    <w:rsid w:val="00C0232E"/>
    <w:rsid w:val="00C02E44"/>
    <w:rsid w:val="00C02FCD"/>
    <w:rsid w:val="00C03B7B"/>
    <w:rsid w:val="00C06036"/>
    <w:rsid w:val="00C0656A"/>
    <w:rsid w:val="00C07791"/>
    <w:rsid w:val="00C134BD"/>
    <w:rsid w:val="00C20E30"/>
    <w:rsid w:val="00C21960"/>
    <w:rsid w:val="00C22B9D"/>
    <w:rsid w:val="00C22F89"/>
    <w:rsid w:val="00C232C0"/>
    <w:rsid w:val="00C25E63"/>
    <w:rsid w:val="00C2609E"/>
    <w:rsid w:val="00C30199"/>
    <w:rsid w:val="00C3026D"/>
    <w:rsid w:val="00C30DB8"/>
    <w:rsid w:val="00C31C5E"/>
    <w:rsid w:val="00C32593"/>
    <w:rsid w:val="00C32CC9"/>
    <w:rsid w:val="00C3516E"/>
    <w:rsid w:val="00C36878"/>
    <w:rsid w:val="00C373EB"/>
    <w:rsid w:val="00C40553"/>
    <w:rsid w:val="00C40D9D"/>
    <w:rsid w:val="00C45053"/>
    <w:rsid w:val="00C455F9"/>
    <w:rsid w:val="00C45CEB"/>
    <w:rsid w:val="00C5181F"/>
    <w:rsid w:val="00C527E4"/>
    <w:rsid w:val="00C53922"/>
    <w:rsid w:val="00C54192"/>
    <w:rsid w:val="00C55073"/>
    <w:rsid w:val="00C5684B"/>
    <w:rsid w:val="00C56C12"/>
    <w:rsid w:val="00C579CF"/>
    <w:rsid w:val="00C61052"/>
    <w:rsid w:val="00C61696"/>
    <w:rsid w:val="00C618AD"/>
    <w:rsid w:val="00C6384F"/>
    <w:rsid w:val="00C64CD8"/>
    <w:rsid w:val="00C65B45"/>
    <w:rsid w:val="00C65DA9"/>
    <w:rsid w:val="00C670BF"/>
    <w:rsid w:val="00C71CE8"/>
    <w:rsid w:val="00C729ED"/>
    <w:rsid w:val="00C74208"/>
    <w:rsid w:val="00C74394"/>
    <w:rsid w:val="00C74BD1"/>
    <w:rsid w:val="00C75737"/>
    <w:rsid w:val="00C768C5"/>
    <w:rsid w:val="00C76B79"/>
    <w:rsid w:val="00C77927"/>
    <w:rsid w:val="00C8178E"/>
    <w:rsid w:val="00C856F7"/>
    <w:rsid w:val="00C86DA9"/>
    <w:rsid w:val="00C901F0"/>
    <w:rsid w:val="00C913B6"/>
    <w:rsid w:val="00C91702"/>
    <w:rsid w:val="00C92A23"/>
    <w:rsid w:val="00C93767"/>
    <w:rsid w:val="00C93B22"/>
    <w:rsid w:val="00C93D6B"/>
    <w:rsid w:val="00C95EB4"/>
    <w:rsid w:val="00C973F5"/>
    <w:rsid w:val="00C979DA"/>
    <w:rsid w:val="00C97FCD"/>
    <w:rsid w:val="00CA0221"/>
    <w:rsid w:val="00CA068F"/>
    <w:rsid w:val="00CA0ACA"/>
    <w:rsid w:val="00CA150E"/>
    <w:rsid w:val="00CA21B9"/>
    <w:rsid w:val="00CA542D"/>
    <w:rsid w:val="00CA550E"/>
    <w:rsid w:val="00CA5DEE"/>
    <w:rsid w:val="00CA61D8"/>
    <w:rsid w:val="00CA64F3"/>
    <w:rsid w:val="00CB0729"/>
    <w:rsid w:val="00CB1232"/>
    <w:rsid w:val="00CB2770"/>
    <w:rsid w:val="00CB3425"/>
    <w:rsid w:val="00CB4518"/>
    <w:rsid w:val="00CB5B09"/>
    <w:rsid w:val="00CB619A"/>
    <w:rsid w:val="00CB7220"/>
    <w:rsid w:val="00CB7739"/>
    <w:rsid w:val="00CC03E0"/>
    <w:rsid w:val="00CC223C"/>
    <w:rsid w:val="00CC3412"/>
    <w:rsid w:val="00CC386D"/>
    <w:rsid w:val="00CD1475"/>
    <w:rsid w:val="00CD1C2B"/>
    <w:rsid w:val="00CD280B"/>
    <w:rsid w:val="00CD3F22"/>
    <w:rsid w:val="00CD6649"/>
    <w:rsid w:val="00CE3151"/>
    <w:rsid w:val="00CE3A5F"/>
    <w:rsid w:val="00CE3CA6"/>
    <w:rsid w:val="00CE535F"/>
    <w:rsid w:val="00CE75FB"/>
    <w:rsid w:val="00CF0666"/>
    <w:rsid w:val="00CF390D"/>
    <w:rsid w:val="00CF4FC6"/>
    <w:rsid w:val="00CF584F"/>
    <w:rsid w:val="00CF5B0B"/>
    <w:rsid w:val="00CF5FDC"/>
    <w:rsid w:val="00CF7854"/>
    <w:rsid w:val="00D00A68"/>
    <w:rsid w:val="00D02015"/>
    <w:rsid w:val="00D031FE"/>
    <w:rsid w:val="00D04133"/>
    <w:rsid w:val="00D04FBC"/>
    <w:rsid w:val="00D060B2"/>
    <w:rsid w:val="00D06A30"/>
    <w:rsid w:val="00D1082E"/>
    <w:rsid w:val="00D134F3"/>
    <w:rsid w:val="00D13608"/>
    <w:rsid w:val="00D1398C"/>
    <w:rsid w:val="00D1414F"/>
    <w:rsid w:val="00D151E0"/>
    <w:rsid w:val="00D17821"/>
    <w:rsid w:val="00D17E01"/>
    <w:rsid w:val="00D20EAE"/>
    <w:rsid w:val="00D21097"/>
    <w:rsid w:val="00D2178F"/>
    <w:rsid w:val="00D21A1D"/>
    <w:rsid w:val="00D21A5B"/>
    <w:rsid w:val="00D243A8"/>
    <w:rsid w:val="00D2480E"/>
    <w:rsid w:val="00D30759"/>
    <w:rsid w:val="00D3690D"/>
    <w:rsid w:val="00D37659"/>
    <w:rsid w:val="00D3794F"/>
    <w:rsid w:val="00D37B58"/>
    <w:rsid w:val="00D40892"/>
    <w:rsid w:val="00D44D47"/>
    <w:rsid w:val="00D45988"/>
    <w:rsid w:val="00D470C9"/>
    <w:rsid w:val="00D47E20"/>
    <w:rsid w:val="00D50D97"/>
    <w:rsid w:val="00D52780"/>
    <w:rsid w:val="00D539FA"/>
    <w:rsid w:val="00D54054"/>
    <w:rsid w:val="00D55A8C"/>
    <w:rsid w:val="00D57CA1"/>
    <w:rsid w:val="00D61803"/>
    <w:rsid w:val="00D631EF"/>
    <w:rsid w:val="00D6439C"/>
    <w:rsid w:val="00D75A5E"/>
    <w:rsid w:val="00D806F6"/>
    <w:rsid w:val="00D825F2"/>
    <w:rsid w:val="00D82A0E"/>
    <w:rsid w:val="00D8310F"/>
    <w:rsid w:val="00D843DF"/>
    <w:rsid w:val="00D84DA8"/>
    <w:rsid w:val="00D86838"/>
    <w:rsid w:val="00D91B48"/>
    <w:rsid w:val="00D9218F"/>
    <w:rsid w:val="00D95197"/>
    <w:rsid w:val="00D95D8C"/>
    <w:rsid w:val="00D9631A"/>
    <w:rsid w:val="00D9799E"/>
    <w:rsid w:val="00D97BCF"/>
    <w:rsid w:val="00DA0A28"/>
    <w:rsid w:val="00DA1021"/>
    <w:rsid w:val="00DA1150"/>
    <w:rsid w:val="00DA53D5"/>
    <w:rsid w:val="00DA5A7A"/>
    <w:rsid w:val="00DA6B66"/>
    <w:rsid w:val="00DA70B8"/>
    <w:rsid w:val="00DB225A"/>
    <w:rsid w:val="00DB2456"/>
    <w:rsid w:val="00DB284C"/>
    <w:rsid w:val="00DB298F"/>
    <w:rsid w:val="00DB61EB"/>
    <w:rsid w:val="00DB7590"/>
    <w:rsid w:val="00DC0574"/>
    <w:rsid w:val="00DC17A9"/>
    <w:rsid w:val="00DC306D"/>
    <w:rsid w:val="00DC38B4"/>
    <w:rsid w:val="00DC3D63"/>
    <w:rsid w:val="00DC508D"/>
    <w:rsid w:val="00DC5D9A"/>
    <w:rsid w:val="00DC648B"/>
    <w:rsid w:val="00DC6498"/>
    <w:rsid w:val="00DC6538"/>
    <w:rsid w:val="00DC66D9"/>
    <w:rsid w:val="00DC7201"/>
    <w:rsid w:val="00DD0A86"/>
    <w:rsid w:val="00DD1EE7"/>
    <w:rsid w:val="00DD3CCF"/>
    <w:rsid w:val="00DD50D7"/>
    <w:rsid w:val="00DD6789"/>
    <w:rsid w:val="00DE02FE"/>
    <w:rsid w:val="00DE04F9"/>
    <w:rsid w:val="00DE1206"/>
    <w:rsid w:val="00DE291A"/>
    <w:rsid w:val="00DE3651"/>
    <w:rsid w:val="00DE493C"/>
    <w:rsid w:val="00DE4C16"/>
    <w:rsid w:val="00DE4E6F"/>
    <w:rsid w:val="00DE6348"/>
    <w:rsid w:val="00DE6F85"/>
    <w:rsid w:val="00DF000D"/>
    <w:rsid w:val="00DF5EE0"/>
    <w:rsid w:val="00DF6A58"/>
    <w:rsid w:val="00DF7DAF"/>
    <w:rsid w:val="00E01A8F"/>
    <w:rsid w:val="00E0368E"/>
    <w:rsid w:val="00E04E58"/>
    <w:rsid w:val="00E04EC8"/>
    <w:rsid w:val="00E063BC"/>
    <w:rsid w:val="00E06CD8"/>
    <w:rsid w:val="00E076CE"/>
    <w:rsid w:val="00E10917"/>
    <w:rsid w:val="00E110EB"/>
    <w:rsid w:val="00E12A2A"/>
    <w:rsid w:val="00E17A07"/>
    <w:rsid w:val="00E17F87"/>
    <w:rsid w:val="00E23362"/>
    <w:rsid w:val="00E23AAB"/>
    <w:rsid w:val="00E23B48"/>
    <w:rsid w:val="00E23D47"/>
    <w:rsid w:val="00E24B6D"/>
    <w:rsid w:val="00E25D26"/>
    <w:rsid w:val="00E27B64"/>
    <w:rsid w:val="00E318CB"/>
    <w:rsid w:val="00E326B6"/>
    <w:rsid w:val="00E32C44"/>
    <w:rsid w:val="00E37082"/>
    <w:rsid w:val="00E40B4A"/>
    <w:rsid w:val="00E429A9"/>
    <w:rsid w:val="00E43CB8"/>
    <w:rsid w:val="00E44787"/>
    <w:rsid w:val="00E458E7"/>
    <w:rsid w:val="00E47D48"/>
    <w:rsid w:val="00E52069"/>
    <w:rsid w:val="00E5494B"/>
    <w:rsid w:val="00E549FA"/>
    <w:rsid w:val="00E550D6"/>
    <w:rsid w:val="00E55590"/>
    <w:rsid w:val="00E57222"/>
    <w:rsid w:val="00E57FCA"/>
    <w:rsid w:val="00E624F8"/>
    <w:rsid w:val="00E641E5"/>
    <w:rsid w:val="00E656AE"/>
    <w:rsid w:val="00E67961"/>
    <w:rsid w:val="00E70AD3"/>
    <w:rsid w:val="00E70CB6"/>
    <w:rsid w:val="00E736D9"/>
    <w:rsid w:val="00E75B4A"/>
    <w:rsid w:val="00E76967"/>
    <w:rsid w:val="00E76F5A"/>
    <w:rsid w:val="00E805FC"/>
    <w:rsid w:val="00E8065C"/>
    <w:rsid w:val="00E809DC"/>
    <w:rsid w:val="00E82D8F"/>
    <w:rsid w:val="00E83C0F"/>
    <w:rsid w:val="00E87C9A"/>
    <w:rsid w:val="00E91729"/>
    <w:rsid w:val="00E9276B"/>
    <w:rsid w:val="00E95D09"/>
    <w:rsid w:val="00E962E9"/>
    <w:rsid w:val="00E9768E"/>
    <w:rsid w:val="00EA0CE9"/>
    <w:rsid w:val="00EA2213"/>
    <w:rsid w:val="00EA2E55"/>
    <w:rsid w:val="00EA411C"/>
    <w:rsid w:val="00EA4A2B"/>
    <w:rsid w:val="00EA4EED"/>
    <w:rsid w:val="00EB21CA"/>
    <w:rsid w:val="00EB3FD6"/>
    <w:rsid w:val="00EB4AF9"/>
    <w:rsid w:val="00EB4CF7"/>
    <w:rsid w:val="00EB4D87"/>
    <w:rsid w:val="00EB5597"/>
    <w:rsid w:val="00EB5B6A"/>
    <w:rsid w:val="00EB63AC"/>
    <w:rsid w:val="00EB6444"/>
    <w:rsid w:val="00EB73BF"/>
    <w:rsid w:val="00EB743B"/>
    <w:rsid w:val="00EB7A5B"/>
    <w:rsid w:val="00EC1933"/>
    <w:rsid w:val="00EC1BF0"/>
    <w:rsid w:val="00EC2FB8"/>
    <w:rsid w:val="00EC4EFD"/>
    <w:rsid w:val="00EC721A"/>
    <w:rsid w:val="00EC7EBA"/>
    <w:rsid w:val="00ED4725"/>
    <w:rsid w:val="00ED4F7D"/>
    <w:rsid w:val="00ED566B"/>
    <w:rsid w:val="00ED5D30"/>
    <w:rsid w:val="00ED6CF9"/>
    <w:rsid w:val="00ED782A"/>
    <w:rsid w:val="00ED7991"/>
    <w:rsid w:val="00ED7E34"/>
    <w:rsid w:val="00EE6F65"/>
    <w:rsid w:val="00EE73C9"/>
    <w:rsid w:val="00EE7DAB"/>
    <w:rsid w:val="00EF1325"/>
    <w:rsid w:val="00EF18CA"/>
    <w:rsid w:val="00EF244F"/>
    <w:rsid w:val="00EF2FFA"/>
    <w:rsid w:val="00EF306F"/>
    <w:rsid w:val="00EF588C"/>
    <w:rsid w:val="00EF596D"/>
    <w:rsid w:val="00EF5BF2"/>
    <w:rsid w:val="00EF5CEB"/>
    <w:rsid w:val="00EF7975"/>
    <w:rsid w:val="00F021A7"/>
    <w:rsid w:val="00F027AA"/>
    <w:rsid w:val="00F061BA"/>
    <w:rsid w:val="00F10447"/>
    <w:rsid w:val="00F12DD4"/>
    <w:rsid w:val="00F15AEA"/>
    <w:rsid w:val="00F16BA0"/>
    <w:rsid w:val="00F17230"/>
    <w:rsid w:val="00F17B27"/>
    <w:rsid w:val="00F2313B"/>
    <w:rsid w:val="00F239BE"/>
    <w:rsid w:val="00F249B9"/>
    <w:rsid w:val="00F254C7"/>
    <w:rsid w:val="00F26189"/>
    <w:rsid w:val="00F2656F"/>
    <w:rsid w:val="00F268AF"/>
    <w:rsid w:val="00F26C10"/>
    <w:rsid w:val="00F27223"/>
    <w:rsid w:val="00F30058"/>
    <w:rsid w:val="00F300C1"/>
    <w:rsid w:val="00F30CD7"/>
    <w:rsid w:val="00F326F0"/>
    <w:rsid w:val="00F33375"/>
    <w:rsid w:val="00F3361C"/>
    <w:rsid w:val="00F35504"/>
    <w:rsid w:val="00F37AAF"/>
    <w:rsid w:val="00F403D1"/>
    <w:rsid w:val="00F40408"/>
    <w:rsid w:val="00F40F86"/>
    <w:rsid w:val="00F41E32"/>
    <w:rsid w:val="00F43E21"/>
    <w:rsid w:val="00F44F21"/>
    <w:rsid w:val="00F51244"/>
    <w:rsid w:val="00F562BA"/>
    <w:rsid w:val="00F5676F"/>
    <w:rsid w:val="00F5767E"/>
    <w:rsid w:val="00F57C99"/>
    <w:rsid w:val="00F60566"/>
    <w:rsid w:val="00F60B29"/>
    <w:rsid w:val="00F60CD0"/>
    <w:rsid w:val="00F63533"/>
    <w:rsid w:val="00F6421F"/>
    <w:rsid w:val="00F6444A"/>
    <w:rsid w:val="00F67067"/>
    <w:rsid w:val="00F67D67"/>
    <w:rsid w:val="00F703DA"/>
    <w:rsid w:val="00F709ED"/>
    <w:rsid w:val="00F71BE4"/>
    <w:rsid w:val="00F72247"/>
    <w:rsid w:val="00F72CD9"/>
    <w:rsid w:val="00F734D1"/>
    <w:rsid w:val="00F73510"/>
    <w:rsid w:val="00F74391"/>
    <w:rsid w:val="00F7450A"/>
    <w:rsid w:val="00F76766"/>
    <w:rsid w:val="00F809C2"/>
    <w:rsid w:val="00F81734"/>
    <w:rsid w:val="00F81803"/>
    <w:rsid w:val="00F82F6D"/>
    <w:rsid w:val="00F83B51"/>
    <w:rsid w:val="00F841E7"/>
    <w:rsid w:val="00F84793"/>
    <w:rsid w:val="00F85899"/>
    <w:rsid w:val="00F85A1B"/>
    <w:rsid w:val="00F86087"/>
    <w:rsid w:val="00F87C0B"/>
    <w:rsid w:val="00F91344"/>
    <w:rsid w:val="00F91D0A"/>
    <w:rsid w:val="00F953BD"/>
    <w:rsid w:val="00F9708B"/>
    <w:rsid w:val="00F97679"/>
    <w:rsid w:val="00FA06E3"/>
    <w:rsid w:val="00FA08CA"/>
    <w:rsid w:val="00FA097A"/>
    <w:rsid w:val="00FA1830"/>
    <w:rsid w:val="00FA39A5"/>
    <w:rsid w:val="00FA5141"/>
    <w:rsid w:val="00FA6508"/>
    <w:rsid w:val="00FA6692"/>
    <w:rsid w:val="00FA6A68"/>
    <w:rsid w:val="00FA6A72"/>
    <w:rsid w:val="00FB298C"/>
    <w:rsid w:val="00FB358B"/>
    <w:rsid w:val="00FB4F2A"/>
    <w:rsid w:val="00FB7FD7"/>
    <w:rsid w:val="00FC169B"/>
    <w:rsid w:val="00FC1981"/>
    <w:rsid w:val="00FC32C2"/>
    <w:rsid w:val="00FD2315"/>
    <w:rsid w:val="00FD4444"/>
    <w:rsid w:val="00FD556C"/>
    <w:rsid w:val="00FE2799"/>
    <w:rsid w:val="00FE2C37"/>
    <w:rsid w:val="00FE3EAD"/>
    <w:rsid w:val="00FE4EEC"/>
    <w:rsid w:val="00FE5AAC"/>
    <w:rsid w:val="00FE6052"/>
    <w:rsid w:val="00FF0A44"/>
    <w:rsid w:val="00FF5080"/>
    <w:rsid w:val="00FF550E"/>
    <w:rsid w:val="00FF5782"/>
    <w:rsid w:val="00FF62EF"/>
    <w:rsid w:val="00FF7115"/>
    <w:rsid w:val="00FF7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page number" w:uiPriority="5"/>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B48"/>
    <w:pPr>
      <w:suppressAutoHyphens/>
    </w:pPr>
    <w:rPr>
      <w:sz w:val="24"/>
      <w:szCs w:val="24"/>
      <w:lang w:val="en-GB"/>
    </w:rPr>
  </w:style>
  <w:style w:type="paragraph" w:styleId="Heading1">
    <w:name w:val="heading 1"/>
    <w:next w:val="BodyText"/>
    <w:link w:val="Heading1Char"/>
    <w:qFormat/>
    <w:pPr>
      <w:keepNext/>
      <w:keepLines/>
      <w:numPr>
        <w:numId w:val="5"/>
      </w:numPr>
      <w:suppressAutoHyphens/>
      <w:spacing w:after="200"/>
      <w:outlineLvl w:val="0"/>
    </w:pPr>
    <w:rPr>
      <w:b/>
      <w:sz w:val="32"/>
      <w:szCs w:val="32"/>
      <w:lang w:val="en-GB"/>
    </w:rPr>
  </w:style>
  <w:style w:type="paragraph" w:styleId="Heading2">
    <w:name w:val="heading 2"/>
    <w:basedOn w:val="Heading1"/>
    <w:next w:val="BodyText"/>
    <w:link w:val="Heading2Char"/>
    <w:qFormat/>
    <w:pPr>
      <w:numPr>
        <w:ilvl w:val="1"/>
      </w:numPr>
      <w:spacing w:before="480" w:after="120"/>
      <w:outlineLvl w:val="1"/>
    </w:pPr>
    <w:rPr>
      <w:sz w:val="24"/>
      <w:szCs w:val="28"/>
    </w:rPr>
  </w:style>
  <w:style w:type="paragraph" w:styleId="Heading3">
    <w:name w:val="heading 3"/>
    <w:basedOn w:val="Heading2"/>
    <w:next w:val="BodyText"/>
    <w:qFormat/>
    <w:pPr>
      <w:numPr>
        <w:ilvl w:val="2"/>
      </w:numPr>
      <w:spacing w:before="240"/>
      <w:outlineLvl w:val="2"/>
    </w:pPr>
  </w:style>
  <w:style w:type="paragraph" w:styleId="Heading4">
    <w:name w:val="heading 4"/>
    <w:basedOn w:val="Heading3"/>
    <w:next w:val="BodyText"/>
    <w:qFormat/>
    <w:pPr>
      <w:numPr>
        <w:ilvl w:val="3"/>
      </w:numPr>
      <w:outlineLvl w:val="3"/>
    </w:pPr>
    <w:rPr>
      <w:szCs w:val="24"/>
    </w:rPr>
  </w:style>
  <w:style w:type="paragraph" w:styleId="Heading5">
    <w:name w:val="heading 5"/>
    <w:basedOn w:val="Heading4"/>
    <w:next w:val="BodyText"/>
    <w:qFormat/>
    <w:pPr>
      <w:numPr>
        <w:ilvl w:val="4"/>
      </w:numPr>
      <w:outlineLvl w:val="4"/>
    </w:p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819"/>
        <w:tab w:val="right" w:pos="9638"/>
      </w:tabs>
    </w:pPr>
    <w:rPr>
      <w:sz w:val="18"/>
      <w:szCs w:val="18"/>
      <w:lang w:val="en-GB" w:eastAsia="da-DK"/>
    </w:rPr>
  </w:style>
  <w:style w:type="paragraph" w:styleId="Footer">
    <w:name w:val="footer"/>
    <w:basedOn w:val="Header"/>
  </w:style>
  <w:style w:type="paragraph" w:customStyle="1" w:styleId="BulletListNumbered">
    <w:name w:val="Bullet List Numbered"/>
    <w:pPr>
      <w:tabs>
        <w:tab w:val="num" w:pos="357"/>
      </w:tabs>
      <w:spacing w:line="264" w:lineRule="auto"/>
      <w:ind w:left="357" w:hanging="357"/>
    </w:pPr>
    <w:rPr>
      <w:sz w:val="24"/>
      <w:szCs w:val="24"/>
      <w:lang w:val="en-GB"/>
    </w:rPr>
  </w:style>
  <w:style w:type="paragraph" w:styleId="BodyText">
    <w:name w:val="Body Text"/>
    <w:link w:val="BodyTextChar"/>
    <w:uiPriority w:val="99"/>
    <w:pPr>
      <w:suppressAutoHyphens/>
      <w:spacing w:after="240" w:line="264" w:lineRule="auto"/>
    </w:pPr>
    <w:rPr>
      <w:sz w:val="24"/>
      <w:szCs w:val="24"/>
      <w:lang w:val="en-GB"/>
    </w:rPr>
  </w:style>
  <w:style w:type="paragraph" w:customStyle="1" w:styleId="BulletList">
    <w:name w:val="Bullet List"/>
    <w:basedOn w:val="BodyText"/>
    <w:pPr>
      <w:spacing w:after="0"/>
    </w:pPr>
    <w:rPr>
      <w:szCs w:val="20"/>
    </w:rPr>
  </w:style>
  <w:style w:type="paragraph" w:customStyle="1" w:styleId="BulletText">
    <w:name w:val="Bullet Text"/>
    <w:basedOn w:val="BodyText"/>
    <w:next w:val="BulletList"/>
    <w:pPr>
      <w:keepNext/>
      <w:keepLines/>
      <w:spacing w:after="0"/>
    </w:pPr>
  </w:style>
  <w:style w:type="paragraph" w:customStyle="1" w:styleId="BulletIndent">
    <w:name w:val="Bullet Indent"/>
    <w:basedOn w:val="BulletList"/>
    <w:pPr>
      <w:numPr>
        <w:numId w:val="20"/>
      </w:numPr>
    </w:pPr>
  </w:style>
  <w:style w:type="paragraph" w:customStyle="1" w:styleId="BulletList10pt">
    <w:name w:val="Bullet List 10 pt"/>
    <w:pPr>
      <w:numPr>
        <w:numId w:val="23"/>
      </w:numPr>
      <w:suppressAutoHyphens/>
    </w:pPr>
    <w:rPr>
      <w:szCs w:val="24"/>
      <w:lang w:val="en-GB"/>
    </w:rPr>
  </w:style>
  <w:style w:type="paragraph" w:customStyle="1" w:styleId="Bullets110pt">
    <w:name w:val="Bullets 1 10pt"/>
    <w:basedOn w:val="Normal"/>
    <w:semiHidden/>
    <w:pPr>
      <w:numPr>
        <w:numId w:val="1"/>
      </w:numPr>
      <w:tabs>
        <w:tab w:val="clear" w:pos="454"/>
        <w:tab w:val="num" w:pos="567"/>
      </w:tabs>
      <w:overflowPunct w:val="0"/>
      <w:autoSpaceDE w:val="0"/>
      <w:autoSpaceDN w:val="0"/>
      <w:adjustRightInd w:val="0"/>
      <w:ind w:left="567" w:hanging="567"/>
      <w:textAlignment w:val="baseline"/>
    </w:pPr>
    <w:rPr>
      <w:sz w:val="20"/>
      <w:szCs w:val="20"/>
    </w:rPr>
  </w:style>
  <w:style w:type="paragraph" w:customStyle="1" w:styleId="Bullets10pt">
    <w:name w:val="Bullets 10pt"/>
    <w:basedOn w:val="Normal"/>
    <w:semiHidden/>
    <w:pPr>
      <w:numPr>
        <w:numId w:val="2"/>
      </w:numPr>
      <w:tabs>
        <w:tab w:val="clear" w:pos="227"/>
        <w:tab w:val="num" w:pos="567"/>
      </w:tabs>
      <w:overflowPunct w:val="0"/>
      <w:autoSpaceDE w:val="0"/>
      <w:autoSpaceDN w:val="0"/>
      <w:adjustRightInd w:val="0"/>
      <w:ind w:left="567" w:hanging="567"/>
      <w:textAlignment w:val="baseline"/>
    </w:pPr>
    <w:rPr>
      <w:sz w:val="20"/>
      <w:szCs w:val="20"/>
    </w:rPr>
  </w:style>
  <w:style w:type="paragraph" w:customStyle="1" w:styleId="BulletsNumbered10pt">
    <w:name w:val="Bullets Numbered 10pt"/>
    <w:basedOn w:val="Normal"/>
    <w:semiHidden/>
    <w:pPr>
      <w:numPr>
        <w:numId w:val="3"/>
      </w:numPr>
      <w:tabs>
        <w:tab w:val="clear" w:pos="227"/>
        <w:tab w:val="num" w:pos="567"/>
      </w:tabs>
      <w:overflowPunct w:val="0"/>
      <w:autoSpaceDE w:val="0"/>
      <w:autoSpaceDN w:val="0"/>
      <w:adjustRightInd w:val="0"/>
      <w:ind w:left="567" w:hanging="567"/>
      <w:textAlignment w:val="baseline"/>
    </w:pPr>
    <w:rPr>
      <w:sz w:val="20"/>
      <w:szCs w:val="20"/>
    </w:rPr>
  </w:style>
  <w:style w:type="paragraph" w:customStyle="1" w:styleId="BulletText10pt">
    <w:name w:val="BulletText 10pt"/>
    <w:basedOn w:val="Normal"/>
    <w:next w:val="Bullets10pt"/>
    <w:semiHidden/>
    <w:pPr>
      <w:keepNext/>
      <w:keepLines/>
      <w:overflowPunct w:val="0"/>
      <w:autoSpaceDE w:val="0"/>
      <w:autoSpaceDN w:val="0"/>
      <w:adjustRightInd w:val="0"/>
      <w:textAlignment w:val="baseline"/>
    </w:pPr>
    <w:rPr>
      <w:sz w:val="20"/>
      <w:szCs w:val="20"/>
    </w:rPr>
  </w:style>
  <w:style w:type="paragraph" w:styleId="Caption">
    <w:name w:val="caption"/>
    <w:next w:val="BodyText"/>
    <w:qFormat/>
    <w:pPr>
      <w:tabs>
        <w:tab w:val="left" w:pos="1134"/>
      </w:tabs>
      <w:suppressAutoHyphens/>
      <w:spacing w:before="120" w:after="60"/>
      <w:ind w:left="1134" w:hanging="1134"/>
    </w:pPr>
    <w:rPr>
      <w:b/>
      <w:bCs/>
      <w:sz w:val="24"/>
      <w:lang w:val="en-GB"/>
    </w:rPr>
  </w:style>
  <w:style w:type="paragraph" w:customStyle="1" w:styleId="ConfidentialityStatement">
    <w:name w:val="ConfidentialityStatement"/>
    <w:basedOn w:val="Normal"/>
    <w:next w:val="Normal"/>
    <w:semiHidden/>
    <w:pPr>
      <w:overflowPunct w:val="0"/>
      <w:autoSpaceDE w:val="0"/>
      <w:autoSpaceDN w:val="0"/>
      <w:adjustRightInd w:val="0"/>
      <w:textAlignment w:val="baseline"/>
    </w:pPr>
    <w:rPr>
      <w:i/>
      <w:sz w:val="20"/>
      <w:szCs w:val="20"/>
    </w:rPr>
  </w:style>
  <w:style w:type="character" w:customStyle="1" w:styleId="LiteratureRefNumber">
    <w:name w:val="Literature Ref Number"/>
    <w:rPr>
      <w:vertAlign w:val="superscript"/>
    </w:rPr>
  </w:style>
  <w:style w:type="paragraph" w:customStyle="1" w:styleId="LiteratureRefText">
    <w:name w:val="Literature Ref Text"/>
    <w:pPr>
      <w:tabs>
        <w:tab w:val="left" w:pos="357"/>
      </w:tabs>
      <w:spacing w:after="120"/>
      <w:ind w:left="357" w:hanging="357"/>
    </w:pPr>
    <w:rPr>
      <w:sz w:val="22"/>
      <w:szCs w:val="28"/>
      <w:lang w:val="en-GB"/>
    </w:rPr>
  </w:style>
  <w:style w:type="paragraph" w:customStyle="1" w:styleId="BulletListNumbered10pt">
    <w:name w:val="Bullet List Numbered 10pt"/>
    <w:pPr>
      <w:numPr>
        <w:numId w:val="25"/>
      </w:numPr>
    </w:pPr>
    <w:rPr>
      <w:szCs w:val="24"/>
      <w:lang w:val="en-GB"/>
    </w:rPr>
  </w:style>
  <w:style w:type="paragraph" w:customStyle="1" w:styleId="Heading12pt">
    <w:name w:val="Heading 12 pt"/>
    <w:next w:val="BodyText"/>
    <w:pPr>
      <w:keepNext/>
      <w:keepLines/>
      <w:suppressAutoHyphens/>
      <w:spacing w:after="60" w:line="264" w:lineRule="auto"/>
    </w:pPr>
    <w:rPr>
      <w:b/>
      <w:sz w:val="24"/>
      <w:szCs w:val="28"/>
      <w:lang w:val="en-GB"/>
    </w:rPr>
  </w:style>
  <w:style w:type="paragraph" w:customStyle="1" w:styleId="Heading12ptItalic">
    <w:name w:val="Heading 12 pt Italic"/>
    <w:basedOn w:val="Heading12pt"/>
    <w:next w:val="BodyText"/>
    <w:rPr>
      <w:i/>
    </w:rPr>
  </w:style>
  <w:style w:type="paragraph" w:customStyle="1" w:styleId="HeadingPub">
    <w:name w:val="HeadingPub"/>
    <w:basedOn w:val="Heading1"/>
    <w:next w:val="Normal"/>
    <w:pPr>
      <w:pageBreakBefore/>
      <w:numPr>
        <w:numId w:val="0"/>
      </w:numPr>
      <w:spacing w:after="240"/>
    </w:pPr>
    <w:rPr>
      <w:szCs w:val="28"/>
    </w:rPr>
  </w:style>
  <w:style w:type="paragraph" w:customStyle="1" w:styleId="TableFootnoteFormat">
    <w:name w:val="Table Footnote Format"/>
    <w:basedOn w:val="TableText"/>
    <w:pPr>
      <w:keepNext w:val="0"/>
      <w:keepLines w:val="0"/>
      <w:spacing w:before="40" w:after="40"/>
    </w:pPr>
  </w:style>
  <w:style w:type="paragraph" w:customStyle="1" w:styleId="TitlePage1">
    <w:name w:val="Title Page 1"/>
    <w:pPr>
      <w:jc w:val="center"/>
    </w:pPr>
    <w:rPr>
      <w:b/>
      <w:sz w:val="36"/>
      <w:szCs w:val="36"/>
      <w:lang w:val="en-GB"/>
    </w:rPr>
  </w:style>
  <w:style w:type="paragraph" w:customStyle="1" w:styleId="Comppage1">
    <w:name w:val="Comp. page 1"/>
    <w:basedOn w:val="TitlePage1"/>
    <w:next w:val="BodyText"/>
  </w:style>
  <w:style w:type="paragraph" w:customStyle="1" w:styleId="Typepage1">
    <w:name w:val="Type page 1"/>
    <w:basedOn w:val="BodyText"/>
    <w:next w:val="BodyText"/>
    <w:pPr>
      <w:spacing w:before="240" w:after="0"/>
      <w:jc w:val="center"/>
    </w:pPr>
    <w:rPr>
      <w:b/>
      <w:sz w:val="28"/>
      <w:szCs w:val="28"/>
    </w:rPr>
  </w:style>
  <w:style w:type="paragraph" w:customStyle="1" w:styleId="Authorpage1">
    <w:name w:val="Author page 1"/>
    <w:rPr>
      <w:b/>
      <w:sz w:val="24"/>
      <w:szCs w:val="24"/>
      <w:lang w:val="en-GB"/>
    </w:rPr>
  </w:style>
  <w:style w:type="paragraph" w:customStyle="1" w:styleId="AuthorNamepage1">
    <w:name w:val="Author Name page 1"/>
    <w:basedOn w:val="Authorpage1"/>
    <w:pPr>
      <w:ind w:left="113"/>
    </w:pPr>
    <w:rPr>
      <w:b w:val="0"/>
    </w:rPr>
  </w:style>
  <w:style w:type="table" w:customStyle="1" w:styleId="TRTable">
    <w:name w:val="TRTable"/>
    <w:basedOn w:val="TableNormal"/>
    <w:tblPr>
      <w:tblInd w:w="57" w:type="dxa"/>
      <w:tblBorders>
        <w:top w:val="single" w:sz="4" w:space="0" w:color="auto"/>
        <w:bottom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paragraph" w:styleId="TOC1">
    <w:name w:val="toc 1"/>
    <w:next w:val="Normal"/>
    <w:uiPriority w:val="39"/>
    <w:pPr>
      <w:tabs>
        <w:tab w:val="left" w:pos="454"/>
        <w:tab w:val="right" w:leader="dot" w:pos="9639"/>
      </w:tabs>
      <w:spacing w:before="120"/>
      <w:ind w:left="397" w:right="454" w:hanging="397"/>
    </w:pPr>
    <w:rPr>
      <w:b/>
      <w:sz w:val="22"/>
      <w:szCs w:val="32"/>
      <w:lang w:val="en-GB"/>
    </w:rPr>
  </w:style>
  <w:style w:type="paragraph" w:styleId="TOC2">
    <w:name w:val="toc 2"/>
    <w:basedOn w:val="TOC1"/>
    <w:next w:val="Normal"/>
    <w:uiPriority w:val="39"/>
    <w:pPr>
      <w:tabs>
        <w:tab w:val="clear" w:pos="454"/>
        <w:tab w:val="left" w:pos="624"/>
      </w:tabs>
      <w:spacing w:before="0"/>
      <w:ind w:left="1134" w:hanging="737"/>
    </w:pPr>
    <w:rPr>
      <w:b w:val="0"/>
      <w:szCs w:val="24"/>
    </w:rPr>
  </w:style>
  <w:style w:type="paragraph" w:styleId="TOC3">
    <w:name w:val="toc 3"/>
    <w:basedOn w:val="TOC2"/>
    <w:next w:val="Normal"/>
    <w:rsid w:val="004405E0"/>
    <w:pPr>
      <w:ind w:left="2041" w:hanging="907"/>
    </w:pPr>
    <w:rPr>
      <w:szCs w:val="22"/>
    </w:rPr>
  </w:style>
  <w:style w:type="paragraph" w:styleId="TOC4">
    <w:name w:val="toc 4"/>
    <w:basedOn w:val="TOC3"/>
    <w:next w:val="Normal"/>
    <w:rsid w:val="00935025"/>
    <w:pPr>
      <w:tabs>
        <w:tab w:val="clear" w:pos="624"/>
        <w:tab w:val="left" w:pos="794"/>
      </w:tabs>
      <w:ind w:left="3118" w:hanging="1077"/>
    </w:pPr>
  </w:style>
  <w:style w:type="paragraph" w:customStyle="1" w:styleId="Appendix">
    <w:name w:val="Appendix"/>
    <w:next w:val="BodyText"/>
    <w:rsid w:val="002628A2"/>
    <w:pPr>
      <w:keepNext/>
      <w:numPr>
        <w:numId w:val="26"/>
      </w:numPr>
      <w:tabs>
        <w:tab w:val="left" w:pos="1985"/>
      </w:tabs>
      <w:suppressAutoHyphens/>
      <w:spacing w:before="120" w:after="60" w:line="264" w:lineRule="auto"/>
      <w:outlineLvl w:val="0"/>
    </w:pPr>
    <w:rPr>
      <w:b/>
      <w:sz w:val="24"/>
      <w:lang w:val="en-GB"/>
    </w:rPr>
  </w:style>
  <w:style w:type="paragraph" w:customStyle="1" w:styleId="TableText">
    <w:name w:val="Table Text"/>
    <w:pPr>
      <w:keepNext/>
      <w:keepLines/>
      <w:spacing w:after="20"/>
    </w:pPr>
    <w:rPr>
      <w:lang w:val="en-GB"/>
    </w:rPr>
  </w:style>
  <w:style w:type="table" w:customStyle="1" w:styleId="TRTableHorizontalBorders">
    <w:name w:val="TRTableHorizontalBorders"/>
    <w:basedOn w:val="TRTable"/>
    <w:tblPr>
      <w:tblInd w:w="57"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paragraph" w:styleId="TableofFigures">
    <w:name w:val="table of figures"/>
    <w:basedOn w:val="TOC1"/>
    <w:next w:val="BodyText"/>
    <w:pPr>
      <w:keepLines/>
      <w:tabs>
        <w:tab w:val="clear" w:pos="454"/>
      </w:tabs>
      <w:suppressAutoHyphens/>
      <w:ind w:left="1134" w:hanging="1134"/>
    </w:pPr>
    <w:rPr>
      <w:b w:val="0"/>
      <w:szCs w:val="22"/>
    </w:rPr>
  </w:style>
  <w:style w:type="numbering" w:styleId="111111">
    <w:name w:val="Outline List 2"/>
    <w:basedOn w:val="NoList"/>
    <w:semiHidden/>
    <w:pPr>
      <w:numPr>
        <w:numId w:val="7"/>
      </w:numPr>
    </w:pPr>
  </w:style>
  <w:style w:type="numbering" w:styleId="1ai">
    <w:name w:val="Outline List 1"/>
    <w:basedOn w:val="NoList"/>
    <w:semiHidden/>
    <w:pPr>
      <w:numPr>
        <w:numId w:val="8"/>
      </w:numPr>
    </w:pPr>
  </w:style>
  <w:style w:type="numbering" w:styleId="ArticleSection">
    <w:name w:val="Outline List 3"/>
    <w:basedOn w:val="NoList"/>
    <w:semiHidden/>
    <w:pPr>
      <w:numPr>
        <w:numId w:val="9"/>
      </w:numPr>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41"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uiPriority w:val="99"/>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11"/>
      </w:numPr>
    </w:pPr>
  </w:style>
  <w:style w:type="paragraph" w:styleId="ListBullet3">
    <w:name w:val="List Bullet 3"/>
    <w:basedOn w:val="Normal"/>
    <w:autoRedefine/>
    <w:semiHidden/>
    <w:pPr>
      <w:numPr>
        <w:numId w:val="12"/>
      </w:numPr>
    </w:pPr>
  </w:style>
  <w:style w:type="paragraph" w:styleId="ListBullet4">
    <w:name w:val="List Bullet 4"/>
    <w:basedOn w:val="Normal"/>
    <w:autoRedefine/>
    <w:semiHidden/>
    <w:pPr>
      <w:numPr>
        <w:numId w:val="13"/>
      </w:numPr>
    </w:pPr>
  </w:style>
  <w:style w:type="paragraph" w:styleId="ListBullet5">
    <w:name w:val="List Bullet 5"/>
    <w:basedOn w:val="Normal"/>
    <w:autoRedefine/>
    <w:semiHidden/>
    <w:pPr>
      <w:numPr>
        <w:numId w:val="14"/>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5"/>
      </w:numPr>
    </w:pPr>
  </w:style>
  <w:style w:type="paragraph" w:styleId="ListNumber2">
    <w:name w:val="List Number 2"/>
    <w:basedOn w:val="Normal"/>
    <w:semiHidden/>
    <w:pPr>
      <w:numPr>
        <w:numId w:val="16"/>
      </w:numPr>
    </w:pPr>
  </w:style>
  <w:style w:type="paragraph" w:styleId="ListNumber3">
    <w:name w:val="List Number 3"/>
    <w:basedOn w:val="Normal"/>
    <w:semiHidden/>
    <w:pPr>
      <w:numPr>
        <w:numId w:val="17"/>
      </w:numPr>
    </w:pPr>
  </w:style>
  <w:style w:type="paragraph" w:styleId="ListNumber4">
    <w:name w:val="List Number 4"/>
    <w:basedOn w:val="Normal"/>
    <w:semiHidden/>
    <w:pPr>
      <w:numPr>
        <w:numId w:val="18"/>
      </w:numPr>
    </w:pPr>
  </w:style>
  <w:style w:type="paragraph" w:styleId="ListNumber5">
    <w:name w:val="List Number 5"/>
    <w:basedOn w:val="Normal"/>
    <w:semiHidden/>
    <w:pPr>
      <w:numPr>
        <w:numId w:val="19"/>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style>
  <w:style w:type="paragraph" w:styleId="NormalIndent">
    <w:name w:val="Normal Indent"/>
    <w:basedOn w:val="Normal"/>
    <w:semiHidden/>
    <w:pPr>
      <w:ind w:left="1304"/>
    </w:pPr>
  </w:style>
  <w:style w:type="paragraph" w:styleId="NoteHeading">
    <w:name w:val="Note Heading"/>
    <w:basedOn w:val="Normal"/>
    <w:next w:val="Normal"/>
    <w:semiHidden/>
  </w:style>
  <w:style w:type="character" w:styleId="PageNumber">
    <w:name w:val="page number"/>
    <w:basedOn w:val="DefaultParagraphFont"/>
    <w:uiPriority w:val="5"/>
    <w:semiHidden/>
  </w:style>
  <w:style w:type="paragraph" w:customStyle="1" w:styleId="Indent">
    <w:name w:val="Indent"/>
    <w:basedOn w:val="BodyText"/>
    <w:next w:val="BodyText"/>
    <w:pPr>
      <w:keepLines/>
      <w:ind w:left="357"/>
    </w:p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semiHidden/>
    <w:pPr>
      <w:suppressAutoHyphens/>
      <w:spacing w:after="240" w:line="264"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uppressAutoHyphens/>
      <w:spacing w:after="240" w:line="264"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uppressAutoHyphens/>
      <w:spacing w:after="240" w:line="264"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uppressAutoHyphens/>
      <w:spacing w:after="24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uppressAutoHyphens/>
      <w:spacing w:after="24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uppressAutoHyphens/>
      <w:spacing w:after="240" w:line="264"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uppressAutoHyphens/>
      <w:spacing w:after="240" w:line="264"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uppressAutoHyphens/>
      <w:spacing w:after="240" w:line="264"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uppressAutoHyphens/>
      <w:spacing w:after="240" w:line="264"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uppressAutoHyphens/>
      <w:spacing w:after="240" w:line="264"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uppressAutoHyphens/>
      <w:spacing w:after="240" w:line="264"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uppressAutoHyphens/>
      <w:spacing w:after="240" w:line="264"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uppressAutoHyphens/>
      <w:spacing w:after="240" w:line="264"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uppressAutoHyphens/>
      <w:spacing w:after="240" w:line="264"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uppressAutoHyphens/>
      <w:spacing w:after="240" w:line="264"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uppressAutoHyphens/>
      <w:spacing w:after="240" w:line="264"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uppressAutoHyphens/>
      <w:spacing w:after="240"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uppressAutoHyphens/>
      <w:spacing w:after="24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pPr>
      <w:suppressAutoHyphens/>
      <w:spacing w:after="24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uppressAutoHyphens/>
      <w:spacing w:after="240" w:line="264"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uppressAutoHyphens/>
      <w:spacing w:after="240" w:line="264"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uppressAutoHyphens/>
      <w:spacing w:after="240" w:line="264"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uppressAutoHyphens/>
      <w:spacing w:after="240" w:line="264"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uppressAutoHyphens/>
      <w:spacing w:after="240" w:line="264"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uppressAutoHyphens/>
      <w:spacing w:after="240" w:line="264"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uppressAutoHyphens/>
      <w:spacing w:after="240" w:line="264"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uppressAutoHyphens/>
      <w:spacing w:after="240" w:line="264"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uppressAutoHyphens/>
      <w:spacing w:after="24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uppressAutoHyphens/>
      <w:spacing w:after="240" w:line="264"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uppressAutoHyphens/>
      <w:spacing w:after="240" w:line="264"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uppressAutoHyphens/>
      <w:spacing w:after="240" w:line="264"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uppressAutoHyphens/>
      <w:spacing w:after="24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uppressAutoHyphens/>
      <w:spacing w:after="240" w:line="264"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uppressAutoHyphens/>
      <w:spacing w:after="240" w:line="264"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uppressAutoHyphens/>
      <w:spacing w:after="240" w:line="264"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uppressAutoHyphens/>
      <w:spacing w:after="240" w:line="264"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uppressAutoHyphens/>
      <w:spacing w:after="24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uppressAutoHyphens/>
      <w:spacing w:after="240" w:line="264"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uppressAutoHyphens/>
      <w:spacing w:after="240" w:line="264"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uppressAutoHyphens/>
      <w:spacing w:after="240" w:line="264"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Abbreviation">
    <w:name w:val="Abbreviation"/>
    <w:basedOn w:val="Normal"/>
    <w:pPr>
      <w:tabs>
        <w:tab w:val="left" w:pos="1418"/>
      </w:tabs>
      <w:ind w:left="1418" w:hanging="1418"/>
    </w:pPr>
    <w:rPr>
      <w:sz w:val="22"/>
      <w:lang w:val="da-DK"/>
    </w:rPr>
  </w:style>
  <w:style w:type="paragraph" w:customStyle="1" w:styleId="BulletIndent10pt">
    <w:name w:val="Bullet Indent 10pt"/>
    <w:basedOn w:val="BulletList10pt"/>
    <w:pPr>
      <w:numPr>
        <w:numId w:val="22"/>
      </w:numPr>
    </w:pPr>
  </w:style>
  <w:style w:type="paragraph" w:customStyle="1" w:styleId="DocInfo">
    <w:name w:val="DocInfo"/>
    <w:basedOn w:val="Header"/>
    <w:rsid w:val="000F5BC0"/>
  </w:style>
  <w:style w:type="character" w:customStyle="1" w:styleId="t101">
    <w:name w:val="t101"/>
    <w:rsid w:val="00742E17"/>
    <w:rPr>
      <w:rFonts w:ascii="Arial" w:hAnsi="Arial" w:cs="Arial" w:hint="default"/>
      <w:b w:val="0"/>
      <w:bCs w:val="0"/>
      <w:i w:val="0"/>
      <w:iCs w:val="0"/>
      <w:smallCaps w:val="0"/>
      <w:sz w:val="18"/>
      <w:szCs w:val="18"/>
    </w:rPr>
  </w:style>
  <w:style w:type="paragraph" w:customStyle="1" w:styleId="Heading16pt">
    <w:name w:val="Heading 16pt"/>
    <w:next w:val="BodyText"/>
    <w:pPr>
      <w:spacing w:after="120"/>
      <w:outlineLvl w:val="0"/>
    </w:pPr>
    <w:rPr>
      <w:b/>
      <w:sz w:val="32"/>
      <w:szCs w:val="32"/>
      <w:lang w:val="en-GB"/>
    </w:rPr>
  </w:style>
  <w:style w:type="paragraph" w:customStyle="1" w:styleId="SynopseText">
    <w:name w:val="SynopseText"/>
    <w:basedOn w:val="SynopseHeading"/>
    <w:pPr>
      <w:keepNext w:val="0"/>
      <w:spacing w:before="0" w:after="0"/>
    </w:pPr>
    <w:rPr>
      <w:b w:val="0"/>
      <w:sz w:val="18"/>
    </w:rPr>
  </w:style>
  <w:style w:type="paragraph" w:styleId="PlainText">
    <w:name w:val="Plain Text"/>
    <w:basedOn w:val="Normal"/>
    <w:semiHidden/>
    <w:rPr>
      <w:rFonts w:ascii="Courier New" w:hAnsi="Courier New" w:cs="Courier New"/>
      <w:sz w:val="20"/>
      <w:szCs w:val="20"/>
    </w:rPr>
  </w:style>
  <w:style w:type="paragraph" w:customStyle="1" w:styleId="SynopseHeading">
    <w:name w:val="Synopse Heading"/>
    <w:next w:val="SynopseText"/>
    <w:pPr>
      <w:keepNext/>
      <w:spacing w:before="40" w:after="40"/>
    </w:pPr>
    <w:rPr>
      <w:b/>
      <w:lang w:val="en-GB"/>
    </w:rPr>
  </w:style>
  <w:style w:type="table" w:customStyle="1" w:styleId="TRTableInternalBorders">
    <w:name w:val="TRTableInternalBorders"/>
    <w:basedOn w:val="TRTable"/>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table" w:customStyle="1" w:styleId="TRTableVerticalBorders">
    <w:name w:val="TRTableVerticalBorders"/>
    <w:basedOn w:val="TRTable"/>
    <w:tblPr>
      <w:tblInd w:w="57" w:type="dxa"/>
      <w:tblBorders>
        <w:top w:val="single" w:sz="4" w:space="0" w:color="auto"/>
        <w:bottom w:val="single" w:sz="4" w:space="0" w:color="auto"/>
        <w:insideV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table" w:customStyle="1" w:styleId="TableHeader">
    <w:name w:val="TableHeader"/>
    <w:basedOn w:val="TableNormal"/>
    <w:rPr>
      <w:sz w:val="18"/>
    </w:rPr>
    <w:tblPr>
      <w:tblInd w:w="0" w:type="dxa"/>
      <w:tblBorders>
        <w:insideV w:val="single" w:sz="4" w:space="0" w:color="auto"/>
      </w:tblBorders>
      <w:tblCellMar>
        <w:top w:w="0" w:type="dxa"/>
        <w:left w:w="108" w:type="dxa"/>
        <w:bottom w:w="0" w:type="dxa"/>
        <w:right w:w="108" w:type="dxa"/>
      </w:tblCellMar>
    </w:tblPr>
  </w:style>
  <w:style w:type="paragraph" w:customStyle="1" w:styleId="Tabelheading">
    <w:name w:val="Tabel heading"/>
    <w:basedOn w:val="Normal"/>
    <w:rsid w:val="00742E17"/>
    <w:pPr>
      <w:suppressAutoHyphens w:val="0"/>
      <w:spacing w:before="120" w:after="120"/>
    </w:pPr>
    <w:rPr>
      <w:rFonts w:ascii="Arial" w:hAnsi="Arial"/>
      <w:b/>
      <w:sz w:val="22"/>
      <w:lang w:eastAsia="da-DK"/>
    </w:rPr>
  </w:style>
  <w:style w:type="paragraph" w:styleId="TOC5">
    <w:name w:val="toc 5"/>
    <w:basedOn w:val="TOC1"/>
    <w:next w:val="Normal"/>
    <w:semiHidden/>
    <w:pPr>
      <w:tabs>
        <w:tab w:val="clear" w:pos="454"/>
      </w:tabs>
      <w:ind w:left="1928" w:hanging="1928"/>
    </w:pPr>
  </w:style>
  <w:style w:type="character" w:customStyle="1" w:styleId="Heading1Char">
    <w:name w:val="Heading 1 Char"/>
    <w:link w:val="Heading1"/>
    <w:rsid w:val="00742E17"/>
    <w:rPr>
      <w:b/>
      <w:sz w:val="32"/>
      <w:szCs w:val="32"/>
      <w:lang w:val="en-GB" w:eastAsia="en-US" w:bidi="ar-SA"/>
    </w:rPr>
  </w:style>
  <w:style w:type="character" w:customStyle="1" w:styleId="Heading2Char">
    <w:name w:val="Heading 2 Char"/>
    <w:link w:val="Heading2"/>
    <w:rsid w:val="00742E17"/>
    <w:rPr>
      <w:b/>
      <w:sz w:val="24"/>
      <w:szCs w:val="28"/>
      <w:lang w:val="en-GB" w:eastAsia="en-US" w:bidi="ar-SA"/>
    </w:rPr>
  </w:style>
  <w:style w:type="character" w:customStyle="1" w:styleId="BodyTextChar">
    <w:name w:val="Body Text Char"/>
    <w:link w:val="BodyText"/>
    <w:uiPriority w:val="99"/>
    <w:rsid w:val="00742E17"/>
    <w:rPr>
      <w:sz w:val="24"/>
      <w:szCs w:val="24"/>
      <w:lang w:val="en-GB" w:eastAsia="en-US" w:bidi="ar-SA"/>
    </w:rPr>
  </w:style>
  <w:style w:type="character" w:styleId="CommentReference">
    <w:name w:val="annotation reference"/>
    <w:uiPriority w:val="99"/>
    <w:semiHidden/>
    <w:rsid w:val="00431194"/>
    <w:rPr>
      <w:sz w:val="16"/>
      <w:szCs w:val="16"/>
    </w:rPr>
  </w:style>
  <w:style w:type="paragraph" w:styleId="CommentText">
    <w:name w:val="annotation text"/>
    <w:basedOn w:val="Normal"/>
    <w:link w:val="CommentTextChar"/>
    <w:uiPriority w:val="99"/>
    <w:semiHidden/>
    <w:rsid w:val="00431194"/>
    <w:rPr>
      <w:sz w:val="20"/>
      <w:szCs w:val="20"/>
    </w:rPr>
  </w:style>
  <w:style w:type="paragraph" w:styleId="CommentSubject">
    <w:name w:val="annotation subject"/>
    <w:basedOn w:val="CommentText"/>
    <w:next w:val="CommentText"/>
    <w:semiHidden/>
    <w:rsid w:val="00431194"/>
    <w:rPr>
      <w:b/>
      <w:bCs/>
    </w:rPr>
  </w:style>
  <w:style w:type="paragraph" w:styleId="BalloonText">
    <w:name w:val="Balloon Text"/>
    <w:basedOn w:val="Normal"/>
    <w:semiHidden/>
    <w:rsid w:val="00431194"/>
    <w:rPr>
      <w:rFonts w:ascii="Tahoma" w:hAnsi="Tahoma" w:cs="Tahoma"/>
      <w:sz w:val="16"/>
      <w:szCs w:val="16"/>
    </w:rPr>
  </w:style>
  <w:style w:type="character" w:customStyle="1" w:styleId="CommentTextChar">
    <w:name w:val="Comment Text Char"/>
    <w:link w:val="CommentText"/>
    <w:uiPriority w:val="99"/>
    <w:semiHidden/>
    <w:locked/>
    <w:rsid w:val="002F3B80"/>
    <w:rPr>
      <w:lang w:val="en-GB"/>
    </w:rPr>
  </w:style>
  <w:style w:type="paragraph" w:styleId="Revision">
    <w:name w:val="Revision"/>
    <w:hidden/>
    <w:uiPriority w:val="99"/>
    <w:semiHidden/>
    <w:rsid w:val="002F3B80"/>
    <w:rPr>
      <w:sz w:val="24"/>
      <w:szCs w:val="24"/>
      <w:lang w:val="en-GB"/>
    </w:rPr>
  </w:style>
  <w:style w:type="paragraph" w:styleId="FootnoteText">
    <w:name w:val="footnote text"/>
    <w:basedOn w:val="Normal"/>
    <w:link w:val="FootnoteTextChar"/>
    <w:rsid w:val="00BA7E7F"/>
    <w:rPr>
      <w:sz w:val="20"/>
      <w:szCs w:val="20"/>
    </w:rPr>
  </w:style>
  <w:style w:type="character" w:customStyle="1" w:styleId="FootnoteTextChar">
    <w:name w:val="Footnote Text Char"/>
    <w:link w:val="FootnoteText"/>
    <w:rsid w:val="00BA7E7F"/>
    <w:rPr>
      <w:lang w:val="en-GB"/>
    </w:rPr>
  </w:style>
  <w:style w:type="character" w:styleId="FootnoteReference">
    <w:name w:val="footnote reference"/>
    <w:rsid w:val="00BA7E7F"/>
    <w:rPr>
      <w:vertAlign w:val="superscript"/>
    </w:rPr>
  </w:style>
  <w:style w:type="paragraph" w:styleId="EndnoteText">
    <w:name w:val="endnote text"/>
    <w:basedOn w:val="Normal"/>
    <w:link w:val="EndnoteTextChar"/>
    <w:rsid w:val="00BA7E7F"/>
    <w:rPr>
      <w:sz w:val="20"/>
      <w:szCs w:val="20"/>
    </w:rPr>
  </w:style>
  <w:style w:type="character" w:customStyle="1" w:styleId="EndnoteTextChar">
    <w:name w:val="Endnote Text Char"/>
    <w:link w:val="EndnoteText"/>
    <w:rsid w:val="00BA7E7F"/>
    <w:rPr>
      <w:lang w:val="en-GB"/>
    </w:rPr>
  </w:style>
  <w:style w:type="character" w:styleId="EndnoteReference">
    <w:name w:val="endnote reference"/>
    <w:rsid w:val="00BA7E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page number" w:uiPriority="5"/>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B48"/>
    <w:pPr>
      <w:suppressAutoHyphens/>
    </w:pPr>
    <w:rPr>
      <w:sz w:val="24"/>
      <w:szCs w:val="24"/>
      <w:lang w:val="en-GB"/>
    </w:rPr>
  </w:style>
  <w:style w:type="paragraph" w:styleId="Heading1">
    <w:name w:val="heading 1"/>
    <w:next w:val="BodyText"/>
    <w:link w:val="Heading1Char"/>
    <w:qFormat/>
    <w:pPr>
      <w:keepNext/>
      <w:keepLines/>
      <w:numPr>
        <w:numId w:val="5"/>
      </w:numPr>
      <w:suppressAutoHyphens/>
      <w:spacing w:after="200"/>
      <w:outlineLvl w:val="0"/>
    </w:pPr>
    <w:rPr>
      <w:b/>
      <w:sz w:val="32"/>
      <w:szCs w:val="32"/>
      <w:lang w:val="en-GB"/>
    </w:rPr>
  </w:style>
  <w:style w:type="paragraph" w:styleId="Heading2">
    <w:name w:val="heading 2"/>
    <w:basedOn w:val="Heading1"/>
    <w:next w:val="BodyText"/>
    <w:link w:val="Heading2Char"/>
    <w:qFormat/>
    <w:pPr>
      <w:numPr>
        <w:ilvl w:val="1"/>
      </w:numPr>
      <w:spacing w:before="480" w:after="120"/>
      <w:outlineLvl w:val="1"/>
    </w:pPr>
    <w:rPr>
      <w:sz w:val="24"/>
      <w:szCs w:val="28"/>
    </w:rPr>
  </w:style>
  <w:style w:type="paragraph" w:styleId="Heading3">
    <w:name w:val="heading 3"/>
    <w:basedOn w:val="Heading2"/>
    <w:next w:val="BodyText"/>
    <w:qFormat/>
    <w:pPr>
      <w:numPr>
        <w:ilvl w:val="2"/>
      </w:numPr>
      <w:spacing w:before="240"/>
      <w:outlineLvl w:val="2"/>
    </w:pPr>
  </w:style>
  <w:style w:type="paragraph" w:styleId="Heading4">
    <w:name w:val="heading 4"/>
    <w:basedOn w:val="Heading3"/>
    <w:next w:val="BodyText"/>
    <w:qFormat/>
    <w:pPr>
      <w:numPr>
        <w:ilvl w:val="3"/>
      </w:numPr>
      <w:outlineLvl w:val="3"/>
    </w:pPr>
    <w:rPr>
      <w:szCs w:val="24"/>
    </w:rPr>
  </w:style>
  <w:style w:type="paragraph" w:styleId="Heading5">
    <w:name w:val="heading 5"/>
    <w:basedOn w:val="Heading4"/>
    <w:next w:val="BodyText"/>
    <w:qFormat/>
    <w:pPr>
      <w:numPr>
        <w:ilvl w:val="4"/>
      </w:numPr>
      <w:outlineLvl w:val="4"/>
    </w:p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819"/>
        <w:tab w:val="right" w:pos="9638"/>
      </w:tabs>
    </w:pPr>
    <w:rPr>
      <w:sz w:val="18"/>
      <w:szCs w:val="18"/>
      <w:lang w:val="en-GB" w:eastAsia="da-DK"/>
    </w:rPr>
  </w:style>
  <w:style w:type="paragraph" w:styleId="Footer">
    <w:name w:val="footer"/>
    <w:basedOn w:val="Header"/>
  </w:style>
  <w:style w:type="paragraph" w:customStyle="1" w:styleId="BulletListNumbered">
    <w:name w:val="Bullet List Numbered"/>
    <w:pPr>
      <w:tabs>
        <w:tab w:val="num" w:pos="357"/>
      </w:tabs>
      <w:spacing w:line="264" w:lineRule="auto"/>
      <w:ind w:left="357" w:hanging="357"/>
    </w:pPr>
    <w:rPr>
      <w:sz w:val="24"/>
      <w:szCs w:val="24"/>
      <w:lang w:val="en-GB"/>
    </w:rPr>
  </w:style>
  <w:style w:type="paragraph" w:styleId="BodyText">
    <w:name w:val="Body Text"/>
    <w:link w:val="BodyTextChar"/>
    <w:uiPriority w:val="99"/>
    <w:pPr>
      <w:suppressAutoHyphens/>
      <w:spacing w:after="240" w:line="264" w:lineRule="auto"/>
    </w:pPr>
    <w:rPr>
      <w:sz w:val="24"/>
      <w:szCs w:val="24"/>
      <w:lang w:val="en-GB"/>
    </w:rPr>
  </w:style>
  <w:style w:type="paragraph" w:customStyle="1" w:styleId="BulletList">
    <w:name w:val="Bullet List"/>
    <w:basedOn w:val="BodyText"/>
    <w:pPr>
      <w:spacing w:after="0"/>
    </w:pPr>
    <w:rPr>
      <w:szCs w:val="20"/>
    </w:rPr>
  </w:style>
  <w:style w:type="paragraph" w:customStyle="1" w:styleId="BulletText">
    <w:name w:val="Bullet Text"/>
    <w:basedOn w:val="BodyText"/>
    <w:next w:val="BulletList"/>
    <w:pPr>
      <w:keepNext/>
      <w:keepLines/>
      <w:spacing w:after="0"/>
    </w:pPr>
  </w:style>
  <w:style w:type="paragraph" w:customStyle="1" w:styleId="BulletIndent">
    <w:name w:val="Bullet Indent"/>
    <w:basedOn w:val="BulletList"/>
    <w:pPr>
      <w:numPr>
        <w:numId w:val="20"/>
      </w:numPr>
    </w:pPr>
  </w:style>
  <w:style w:type="paragraph" w:customStyle="1" w:styleId="BulletList10pt">
    <w:name w:val="Bullet List 10 pt"/>
    <w:pPr>
      <w:numPr>
        <w:numId w:val="23"/>
      </w:numPr>
      <w:suppressAutoHyphens/>
    </w:pPr>
    <w:rPr>
      <w:szCs w:val="24"/>
      <w:lang w:val="en-GB"/>
    </w:rPr>
  </w:style>
  <w:style w:type="paragraph" w:customStyle="1" w:styleId="Bullets110pt">
    <w:name w:val="Bullets 1 10pt"/>
    <w:basedOn w:val="Normal"/>
    <w:semiHidden/>
    <w:pPr>
      <w:numPr>
        <w:numId w:val="1"/>
      </w:numPr>
      <w:tabs>
        <w:tab w:val="clear" w:pos="454"/>
        <w:tab w:val="num" w:pos="567"/>
      </w:tabs>
      <w:overflowPunct w:val="0"/>
      <w:autoSpaceDE w:val="0"/>
      <w:autoSpaceDN w:val="0"/>
      <w:adjustRightInd w:val="0"/>
      <w:ind w:left="567" w:hanging="567"/>
      <w:textAlignment w:val="baseline"/>
    </w:pPr>
    <w:rPr>
      <w:sz w:val="20"/>
      <w:szCs w:val="20"/>
    </w:rPr>
  </w:style>
  <w:style w:type="paragraph" w:customStyle="1" w:styleId="Bullets10pt">
    <w:name w:val="Bullets 10pt"/>
    <w:basedOn w:val="Normal"/>
    <w:semiHidden/>
    <w:pPr>
      <w:numPr>
        <w:numId w:val="2"/>
      </w:numPr>
      <w:tabs>
        <w:tab w:val="clear" w:pos="227"/>
        <w:tab w:val="num" w:pos="567"/>
      </w:tabs>
      <w:overflowPunct w:val="0"/>
      <w:autoSpaceDE w:val="0"/>
      <w:autoSpaceDN w:val="0"/>
      <w:adjustRightInd w:val="0"/>
      <w:ind w:left="567" w:hanging="567"/>
      <w:textAlignment w:val="baseline"/>
    </w:pPr>
    <w:rPr>
      <w:sz w:val="20"/>
      <w:szCs w:val="20"/>
    </w:rPr>
  </w:style>
  <w:style w:type="paragraph" w:customStyle="1" w:styleId="BulletsNumbered10pt">
    <w:name w:val="Bullets Numbered 10pt"/>
    <w:basedOn w:val="Normal"/>
    <w:semiHidden/>
    <w:pPr>
      <w:numPr>
        <w:numId w:val="3"/>
      </w:numPr>
      <w:tabs>
        <w:tab w:val="clear" w:pos="227"/>
        <w:tab w:val="num" w:pos="567"/>
      </w:tabs>
      <w:overflowPunct w:val="0"/>
      <w:autoSpaceDE w:val="0"/>
      <w:autoSpaceDN w:val="0"/>
      <w:adjustRightInd w:val="0"/>
      <w:ind w:left="567" w:hanging="567"/>
      <w:textAlignment w:val="baseline"/>
    </w:pPr>
    <w:rPr>
      <w:sz w:val="20"/>
      <w:szCs w:val="20"/>
    </w:rPr>
  </w:style>
  <w:style w:type="paragraph" w:customStyle="1" w:styleId="BulletText10pt">
    <w:name w:val="BulletText 10pt"/>
    <w:basedOn w:val="Normal"/>
    <w:next w:val="Bullets10pt"/>
    <w:semiHidden/>
    <w:pPr>
      <w:keepNext/>
      <w:keepLines/>
      <w:overflowPunct w:val="0"/>
      <w:autoSpaceDE w:val="0"/>
      <w:autoSpaceDN w:val="0"/>
      <w:adjustRightInd w:val="0"/>
      <w:textAlignment w:val="baseline"/>
    </w:pPr>
    <w:rPr>
      <w:sz w:val="20"/>
      <w:szCs w:val="20"/>
    </w:rPr>
  </w:style>
  <w:style w:type="paragraph" w:styleId="Caption">
    <w:name w:val="caption"/>
    <w:next w:val="BodyText"/>
    <w:qFormat/>
    <w:pPr>
      <w:tabs>
        <w:tab w:val="left" w:pos="1134"/>
      </w:tabs>
      <w:suppressAutoHyphens/>
      <w:spacing w:before="120" w:after="60"/>
      <w:ind w:left="1134" w:hanging="1134"/>
    </w:pPr>
    <w:rPr>
      <w:b/>
      <w:bCs/>
      <w:sz w:val="24"/>
      <w:lang w:val="en-GB"/>
    </w:rPr>
  </w:style>
  <w:style w:type="paragraph" w:customStyle="1" w:styleId="ConfidentialityStatement">
    <w:name w:val="ConfidentialityStatement"/>
    <w:basedOn w:val="Normal"/>
    <w:next w:val="Normal"/>
    <w:semiHidden/>
    <w:pPr>
      <w:overflowPunct w:val="0"/>
      <w:autoSpaceDE w:val="0"/>
      <w:autoSpaceDN w:val="0"/>
      <w:adjustRightInd w:val="0"/>
      <w:textAlignment w:val="baseline"/>
    </w:pPr>
    <w:rPr>
      <w:i/>
      <w:sz w:val="20"/>
      <w:szCs w:val="20"/>
    </w:rPr>
  </w:style>
  <w:style w:type="character" w:customStyle="1" w:styleId="LiteratureRefNumber">
    <w:name w:val="Literature Ref Number"/>
    <w:rPr>
      <w:vertAlign w:val="superscript"/>
    </w:rPr>
  </w:style>
  <w:style w:type="paragraph" w:customStyle="1" w:styleId="LiteratureRefText">
    <w:name w:val="Literature Ref Text"/>
    <w:pPr>
      <w:tabs>
        <w:tab w:val="left" w:pos="357"/>
      </w:tabs>
      <w:spacing w:after="120"/>
      <w:ind w:left="357" w:hanging="357"/>
    </w:pPr>
    <w:rPr>
      <w:sz w:val="22"/>
      <w:szCs w:val="28"/>
      <w:lang w:val="en-GB"/>
    </w:rPr>
  </w:style>
  <w:style w:type="paragraph" w:customStyle="1" w:styleId="BulletListNumbered10pt">
    <w:name w:val="Bullet List Numbered 10pt"/>
    <w:pPr>
      <w:numPr>
        <w:numId w:val="25"/>
      </w:numPr>
    </w:pPr>
    <w:rPr>
      <w:szCs w:val="24"/>
      <w:lang w:val="en-GB"/>
    </w:rPr>
  </w:style>
  <w:style w:type="paragraph" w:customStyle="1" w:styleId="Heading12pt">
    <w:name w:val="Heading 12 pt"/>
    <w:next w:val="BodyText"/>
    <w:pPr>
      <w:keepNext/>
      <w:keepLines/>
      <w:suppressAutoHyphens/>
      <w:spacing w:after="60" w:line="264" w:lineRule="auto"/>
    </w:pPr>
    <w:rPr>
      <w:b/>
      <w:sz w:val="24"/>
      <w:szCs w:val="28"/>
      <w:lang w:val="en-GB"/>
    </w:rPr>
  </w:style>
  <w:style w:type="paragraph" w:customStyle="1" w:styleId="Heading12ptItalic">
    <w:name w:val="Heading 12 pt Italic"/>
    <w:basedOn w:val="Heading12pt"/>
    <w:next w:val="BodyText"/>
    <w:rPr>
      <w:i/>
    </w:rPr>
  </w:style>
  <w:style w:type="paragraph" w:customStyle="1" w:styleId="HeadingPub">
    <w:name w:val="HeadingPub"/>
    <w:basedOn w:val="Heading1"/>
    <w:next w:val="Normal"/>
    <w:pPr>
      <w:pageBreakBefore/>
      <w:numPr>
        <w:numId w:val="0"/>
      </w:numPr>
      <w:spacing w:after="240"/>
    </w:pPr>
    <w:rPr>
      <w:szCs w:val="28"/>
    </w:rPr>
  </w:style>
  <w:style w:type="paragraph" w:customStyle="1" w:styleId="TableFootnoteFormat">
    <w:name w:val="Table Footnote Format"/>
    <w:basedOn w:val="TableText"/>
    <w:pPr>
      <w:keepNext w:val="0"/>
      <w:keepLines w:val="0"/>
      <w:spacing w:before="40" w:after="40"/>
    </w:pPr>
  </w:style>
  <w:style w:type="paragraph" w:customStyle="1" w:styleId="TitlePage1">
    <w:name w:val="Title Page 1"/>
    <w:pPr>
      <w:jc w:val="center"/>
    </w:pPr>
    <w:rPr>
      <w:b/>
      <w:sz w:val="36"/>
      <w:szCs w:val="36"/>
      <w:lang w:val="en-GB"/>
    </w:rPr>
  </w:style>
  <w:style w:type="paragraph" w:customStyle="1" w:styleId="Comppage1">
    <w:name w:val="Comp. page 1"/>
    <w:basedOn w:val="TitlePage1"/>
    <w:next w:val="BodyText"/>
  </w:style>
  <w:style w:type="paragraph" w:customStyle="1" w:styleId="Typepage1">
    <w:name w:val="Type page 1"/>
    <w:basedOn w:val="BodyText"/>
    <w:next w:val="BodyText"/>
    <w:pPr>
      <w:spacing w:before="240" w:after="0"/>
      <w:jc w:val="center"/>
    </w:pPr>
    <w:rPr>
      <w:b/>
      <w:sz w:val="28"/>
      <w:szCs w:val="28"/>
    </w:rPr>
  </w:style>
  <w:style w:type="paragraph" w:customStyle="1" w:styleId="Authorpage1">
    <w:name w:val="Author page 1"/>
    <w:rPr>
      <w:b/>
      <w:sz w:val="24"/>
      <w:szCs w:val="24"/>
      <w:lang w:val="en-GB"/>
    </w:rPr>
  </w:style>
  <w:style w:type="paragraph" w:customStyle="1" w:styleId="AuthorNamepage1">
    <w:name w:val="Author Name page 1"/>
    <w:basedOn w:val="Authorpage1"/>
    <w:pPr>
      <w:ind w:left="113"/>
    </w:pPr>
    <w:rPr>
      <w:b w:val="0"/>
    </w:rPr>
  </w:style>
  <w:style w:type="table" w:customStyle="1" w:styleId="TRTable">
    <w:name w:val="TRTable"/>
    <w:basedOn w:val="TableNormal"/>
    <w:tblPr>
      <w:tblInd w:w="57" w:type="dxa"/>
      <w:tblBorders>
        <w:top w:val="single" w:sz="4" w:space="0" w:color="auto"/>
        <w:bottom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paragraph" w:styleId="TOC1">
    <w:name w:val="toc 1"/>
    <w:next w:val="Normal"/>
    <w:uiPriority w:val="39"/>
    <w:pPr>
      <w:tabs>
        <w:tab w:val="left" w:pos="454"/>
        <w:tab w:val="right" w:leader="dot" w:pos="9639"/>
      </w:tabs>
      <w:spacing w:before="120"/>
      <w:ind w:left="397" w:right="454" w:hanging="397"/>
    </w:pPr>
    <w:rPr>
      <w:b/>
      <w:sz w:val="22"/>
      <w:szCs w:val="32"/>
      <w:lang w:val="en-GB"/>
    </w:rPr>
  </w:style>
  <w:style w:type="paragraph" w:styleId="TOC2">
    <w:name w:val="toc 2"/>
    <w:basedOn w:val="TOC1"/>
    <w:next w:val="Normal"/>
    <w:uiPriority w:val="39"/>
    <w:pPr>
      <w:tabs>
        <w:tab w:val="clear" w:pos="454"/>
        <w:tab w:val="left" w:pos="624"/>
      </w:tabs>
      <w:spacing w:before="0"/>
      <w:ind w:left="1134" w:hanging="737"/>
    </w:pPr>
    <w:rPr>
      <w:b w:val="0"/>
      <w:szCs w:val="24"/>
    </w:rPr>
  </w:style>
  <w:style w:type="paragraph" w:styleId="TOC3">
    <w:name w:val="toc 3"/>
    <w:basedOn w:val="TOC2"/>
    <w:next w:val="Normal"/>
    <w:rsid w:val="004405E0"/>
    <w:pPr>
      <w:ind w:left="2041" w:hanging="907"/>
    </w:pPr>
    <w:rPr>
      <w:szCs w:val="22"/>
    </w:rPr>
  </w:style>
  <w:style w:type="paragraph" w:styleId="TOC4">
    <w:name w:val="toc 4"/>
    <w:basedOn w:val="TOC3"/>
    <w:next w:val="Normal"/>
    <w:rsid w:val="00935025"/>
    <w:pPr>
      <w:tabs>
        <w:tab w:val="clear" w:pos="624"/>
        <w:tab w:val="left" w:pos="794"/>
      </w:tabs>
      <w:ind w:left="3118" w:hanging="1077"/>
    </w:pPr>
  </w:style>
  <w:style w:type="paragraph" w:customStyle="1" w:styleId="Appendix">
    <w:name w:val="Appendix"/>
    <w:next w:val="BodyText"/>
    <w:rsid w:val="002628A2"/>
    <w:pPr>
      <w:keepNext/>
      <w:numPr>
        <w:numId w:val="26"/>
      </w:numPr>
      <w:tabs>
        <w:tab w:val="left" w:pos="1985"/>
      </w:tabs>
      <w:suppressAutoHyphens/>
      <w:spacing w:before="120" w:after="60" w:line="264" w:lineRule="auto"/>
      <w:outlineLvl w:val="0"/>
    </w:pPr>
    <w:rPr>
      <w:b/>
      <w:sz w:val="24"/>
      <w:lang w:val="en-GB"/>
    </w:rPr>
  </w:style>
  <w:style w:type="paragraph" w:customStyle="1" w:styleId="TableText">
    <w:name w:val="Table Text"/>
    <w:pPr>
      <w:keepNext/>
      <w:keepLines/>
      <w:spacing w:after="20"/>
    </w:pPr>
    <w:rPr>
      <w:lang w:val="en-GB"/>
    </w:rPr>
  </w:style>
  <w:style w:type="table" w:customStyle="1" w:styleId="TRTableHorizontalBorders">
    <w:name w:val="TRTableHorizontalBorders"/>
    <w:basedOn w:val="TRTable"/>
    <w:tblPr>
      <w:tblInd w:w="57"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paragraph" w:styleId="TableofFigures">
    <w:name w:val="table of figures"/>
    <w:basedOn w:val="TOC1"/>
    <w:next w:val="BodyText"/>
    <w:pPr>
      <w:keepLines/>
      <w:tabs>
        <w:tab w:val="clear" w:pos="454"/>
      </w:tabs>
      <w:suppressAutoHyphens/>
      <w:ind w:left="1134" w:hanging="1134"/>
    </w:pPr>
    <w:rPr>
      <w:b w:val="0"/>
      <w:szCs w:val="22"/>
    </w:rPr>
  </w:style>
  <w:style w:type="numbering" w:styleId="111111">
    <w:name w:val="Outline List 2"/>
    <w:basedOn w:val="NoList"/>
    <w:semiHidden/>
    <w:pPr>
      <w:numPr>
        <w:numId w:val="7"/>
      </w:numPr>
    </w:pPr>
  </w:style>
  <w:style w:type="numbering" w:styleId="1ai">
    <w:name w:val="Outline List 1"/>
    <w:basedOn w:val="NoList"/>
    <w:semiHidden/>
    <w:pPr>
      <w:numPr>
        <w:numId w:val="8"/>
      </w:numPr>
    </w:pPr>
  </w:style>
  <w:style w:type="numbering" w:styleId="ArticleSection">
    <w:name w:val="Outline List 3"/>
    <w:basedOn w:val="NoList"/>
    <w:semiHidden/>
    <w:pPr>
      <w:numPr>
        <w:numId w:val="9"/>
      </w:numPr>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41"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uiPriority w:val="99"/>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11"/>
      </w:numPr>
    </w:pPr>
  </w:style>
  <w:style w:type="paragraph" w:styleId="ListBullet3">
    <w:name w:val="List Bullet 3"/>
    <w:basedOn w:val="Normal"/>
    <w:autoRedefine/>
    <w:semiHidden/>
    <w:pPr>
      <w:numPr>
        <w:numId w:val="12"/>
      </w:numPr>
    </w:pPr>
  </w:style>
  <w:style w:type="paragraph" w:styleId="ListBullet4">
    <w:name w:val="List Bullet 4"/>
    <w:basedOn w:val="Normal"/>
    <w:autoRedefine/>
    <w:semiHidden/>
    <w:pPr>
      <w:numPr>
        <w:numId w:val="13"/>
      </w:numPr>
    </w:pPr>
  </w:style>
  <w:style w:type="paragraph" w:styleId="ListBullet5">
    <w:name w:val="List Bullet 5"/>
    <w:basedOn w:val="Normal"/>
    <w:autoRedefine/>
    <w:semiHidden/>
    <w:pPr>
      <w:numPr>
        <w:numId w:val="14"/>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5"/>
      </w:numPr>
    </w:pPr>
  </w:style>
  <w:style w:type="paragraph" w:styleId="ListNumber2">
    <w:name w:val="List Number 2"/>
    <w:basedOn w:val="Normal"/>
    <w:semiHidden/>
    <w:pPr>
      <w:numPr>
        <w:numId w:val="16"/>
      </w:numPr>
    </w:pPr>
  </w:style>
  <w:style w:type="paragraph" w:styleId="ListNumber3">
    <w:name w:val="List Number 3"/>
    <w:basedOn w:val="Normal"/>
    <w:semiHidden/>
    <w:pPr>
      <w:numPr>
        <w:numId w:val="17"/>
      </w:numPr>
    </w:pPr>
  </w:style>
  <w:style w:type="paragraph" w:styleId="ListNumber4">
    <w:name w:val="List Number 4"/>
    <w:basedOn w:val="Normal"/>
    <w:semiHidden/>
    <w:pPr>
      <w:numPr>
        <w:numId w:val="18"/>
      </w:numPr>
    </w:pPr>
  </w:style>
  <w:style w:type="paragraph" w:styleId="ListNumber5">
    <w:name w:val="List Number 5"/>
    <w:basedOn w:val="Normal"/>
    <w:semiHidden/>
    <w:pPr>
      <w:numPr>
        <w:numId w:val="19"/>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style>
  <w:style w:type="paragraph" w:styleId="NormalIndent">
    <w:name w:val="Normal Indent"/>
    <w:basedOn w:val="Normal"/>
    <w:semiHidden/>
    <w:pPr>
      <w:ind w:left="1304"/>
    </w:pPr>
  </w:style>
  <w:style w:type="paragraph" w:styleId="NoteHeading">
    <w:name w:val="Note Heading"/>
    <w:basedOn w:val="Normal"/>
    <w:next w:val="Normal"/>
    <w:semiHidden/>
  </w:style>
  <w:style w:type="character" w:styleId="PageNumber">
    <w:name w:val="page number"/>
    <w:basedOn w:val="DefaultParagraphFont"/>
    <w:uiPriority w:val="5"/>
    <w:semiHidden/>
  </w:style>
  <w:style w:type="paragraph" w:customStyle="1" w:styleId="Indent">
    <w:name w:val="Indent"/>
    <w:basedOn w:val="BodyText"/>
    <w:next w:val="BodyText"/>
    <w:pPr>
      <w:keepLines/>
      <w:ind w:left="357"/>
    </w:p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semiHidden/>
    <w:pPr>
      <w:suppressAutoHyphens/>
      <w:spacing w:after="240" w:line="264"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uppressAutoHyphens/>
      <w:spacing w:after="240" w:line="264"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uppressAutoHyphens/>
      <w:spacing w:after="240" w:line="264"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uppressAutoHyphens/>
      <w:spacing w:after="24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uppressAutoHyphens/>
      <w:spacing w:after="24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uppressAutoHyphens/>
      <w:spacing w:after="240" w:line="264"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uppressAutoHyphens/>
      <w:spacing w:after="240" w:line="264"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uppressAutoHyphens/>
      <w:spacing w:after="240" w:line="264"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uppressAutoHyphens/>
      <w:spacing w:after="240" w:line="264"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uppressAutoHyphens/>
      <w:spacing w:after="240" w:line="264"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uppressAutoHyphens/>
      <w:spacing w:after="240" w:line="264"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uppressAutoHyphens/>
      <w:spacing w:after="240" w:line="264"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uppressAutoHyphens/>
      <w:spacing w:after="240" w:line="264"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uppressAutoHyphens/>
      <w:spacing w:after="240" w:line="264"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uppressAutoHyphens/>
      <w:spacing w:after="240" w:line="264"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uppressAutoHyphens/>
      <w:spacing w:after="240" w:line="264"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uppressAutoHyphens/>
      <w:spacing w:after="240"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uppressAutoHyphens/>
      <w:spacing w:after="24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pPr>
      <w:suppressAutoHyphens/>
      <w:spacing w:after="24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uppressAutoHyphens/>
      <w:spacing w:after="240" w:line="264"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uppressAutoHyphens/>
      <w:spacing w:after="240" w:line="264"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uppressAutoHyphens/>
      <w:spacing w:after="240" w:line="264"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uppressAutoHyphens/>
      <w:spacing w:after="240" w:line="264"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uppressAutoHyphens/>
      <w:spacing w:after="240" w:line="264"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uppressAutoHyphens/>
      <w:spacing w:after="240" w:line="264"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uppressAutoHyphens/>
      <w:spacing w:after="240" w:line="264"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uppressAutoHyphens/>
      <w:spacing w:after="240" w:line="264"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uppressAutoHyphens/>
      <w:spacing w:after="24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uppressAutoHyphens/>
      <w:spacing w:after="240" w:line="264"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uppressAutoHyphens/>
      <w:spacing w:after="240" w:line="264"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uppressAutoHyphens/>
      <w:spacing w:after="240" w:line="264"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uppressAutoHyphens/>
      <w:spacing w:after="24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uppressAutoHyphens/>
      <w:spacing w:after="240" w:line="264"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uppressAutoHyphens/>
      <w:spacing w:after="240" w:line="264"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uppressAutoHyphens/>
      <w:spacing w:after="240" w:line="264"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uppressAutoHyphens/>
      <w:spacing w:after="240" w:line="264"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uppressAutoHyphens/>
      <w:spacing w:after="240" w:line="264"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uppressAutoHyphens/>
      <w:spacing w:after="24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uppressAutoHyphens/>
      <w:spacing w:after="240" w:line="264"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uppressAutoHyphens/>
      <w:spacing w:after="240" w:line="264"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uppressAutoHyphens/>
      <w:spacing w:after="240" w:line="264"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Abbreviation">
    <w:name w:val="Abbreviation"/>
    <w:basedOn w:val="Normal"/>
    <w:pPr>
      <w:tabs>
        <w:tab w:val="left" w:pos="1418"/>
      </w:tabs>
      <w:ind w:left="1418" w:hanging="1418"/>
    </w:pPr>
    <w:rPr>
      <w:sz w:val="22"/>
      <w:lang w:val="da-DK"/>
    </w:rPr>
  </w:style>
  <w:style w:type="paragraph" w:customStyle="1" w:styleId="BulletIndent10pt">
    <w:name w:val="Bullet Indent 10pt"/>
    <w:basedOn w:val="BulletList10pt"/>
    <w:pPr>
      <w:numPr>
        <w:numId w:val="22"/>
      </w:numPr>
    </w:pPr>
  </w:style>
  <w:style w:type="paragraph" w:customStyle="1" w:styleId="DocInfo">
    <w:name w:val="DocInfo"/>
    <w:basedOn w:val="Header"/>
    <w:rsid w:val="000F5BC0"/>
  </w:style>
  <w:style w:type="character" w:customStyle="1" w:styleId="t101">
    <w:name w:val="t101"/>
    <w:rsid w:val="00742E17"/>
    <w:rPr>
      <w:rFonts w:ascii="Arial" w:hAnsi="Arial" w:cs="Arial" w:hint="default"/>
      <w:b w:val="0"/>
      <w:bCs w:val="0"/>
      <w:i w:val="0"/>
      <w:iCs w:val="0"/>
      <w:smallCaps w:val="0"/>
      <w:sz w:val="18"/>
      <w:szCs w:val="18"/>
    </w:rPr>
  </w:style>
  <w:style w:type="paragraph" w:customStyle="1" w:styleId="Heading16pt">
    <w:name w:val="Heading 16pt"/>
    <w:next w:val="BodyText"/>
    <w:pPr>
      <w:spacing w:after="120"/>
      <w:outlineLvl w:val="0"/>
    </w:pPr>
    <w:rPr>
      <w:b/>
      <w:sz w:val="32"/>
      <w:szCs w:val="32"/>
      <w:lang w:val="en-GB"/>
    </w:rPr>
  </w:style>
  <w:style w:type="paragraph" w:customStyle="1" w:styleId="SynopseText">
    <w:name w:val="SynopseText"/>
    <w:basedOn w:val="SynopseHeading"/>
    <w:pPr>
      <w:keepNext w:val="0"/>
      <w:spacing w:before="0" w:after="0"/>
    </w:pPr>
    <w:rPr>
      <w:b w:val="0"/>
      <w:sz w:val="18"/>
    </w:rPr>
  </w:style>
  <w:style w:type="paragraph" w:styleId="PlainText">
    <w:name w:val="Plain Text"/>
    <w:basedOn w:val="Normal"/>
    <w:semiHidden/>
    <w:rPr>
      <w:rFonts w:ascii="Courier New" w:hAnsi="Courier New" w:cs="Courier New"/>
      <w:sz w:val="20"/>
      <w:szCs w:val="20"/>
    </w:rPr>
  </w:style>
  <w:style w:type="paragraph" w:customStyle="1" w:styleId="SynopseHeading">
    <w:name w:val="Synopse Heading"/>
    <w:next w:val="SynopseText"/>
    <w:pPr>
      <w:keepNext/>
      <w:spacing w:before="40" w:after="40"/>
    </w:pPr>
    <w:rPr>
      <w:b/>
      <w:lang w:val="en-GB"/>
    </w:rPr>
  </w:style>
  <w:style w:type="table" w:customStyle="1" w:styleId="TRTableInternalBorders">
    <w:name w:val="TRTableInternalBorders"/>
    <w:basedOn w:val="TRTable"/>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table" w:customStyle="1" w:styleId="TRTableVerticalBorders">
    <w:name w:val="TRTableVerticalBorders"/>
    <w:basedOn w:val="TRTable"/>
    <w:tblPr>
      <w:tblInd w:w="57" w:type="dxa"/>
      <w:tblBorders>
        <w:top w:val="single" w:sz="4" w:space="0" w:color="auto"/>
        <w:bottom w:val="single" w:sz="4" w:space="0" w:color="auto"/>
        <w:insideV w:val="single" w:sz="4" w:space="0" w:color="auto"/>
      </w:tblBorders>
      <w:tblCellMar>
        <w:top w:w="0" w:type="dxa"/>
        <w:left w:w="57" w:type="dxa"/>
        <w:bottom w:w="0" w:type="dxa"/>
        <w:right w:w="57" w:type="dxa"/>
      </w:tblCellMar>
    </w:tblPr>
    <w:tcPr>
      <w:tcMar>
        <w:left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0" w:type="nil"/>
          <w:left w:w="57" w:type="dxa"/>
          <w:bottom w:w="57" w:type="dxa"/>
          <w:right w:w="57" w:type="dxa"/>
        </w:tcMar>
      </w:tcPr>
    </w:tblStylePr>
    <w:tblStylePr w:type="nwCell">
      <w:tblPr/>
      <w:tcPr>
        <w:tcMar>
          <w:top w:w="-1" w:type="dxa"/>
          <w:left w:w="57" w:type="dxa"/>
          <w:bottom w:w="0" w:type="nil"/>
          <w:right w:w="57" w:type="dxa"/>
        </w:tcMar>
      </w:tcPr>
    </w:tblStylePr>
  </w:style>
  <w:style w:type="table" w:customStyle="1" w:styleId="TableHeader">
    <w:name w:val="TableHeader"/>
    <w:basedOn w:val="TableNormal"/>
    <w:rPr>
      <w:sz w:val="18"/>
    </w:rPr>
    <w:tblPr>
      <w:tblInd w:w="0" w:type="dxa"/>
      <w:tblBorders>
        <w:insideV w:val="single" w:sz="4" w:space="0" w:color="auto"/>
      </w:tblBorders>
      <w:tblCellMar>
        <w:top w:w="0" w:type="dxa"/>
        <w:left w:w="108" w:type="dxa"/>
        <w:bottom w:w="0" w:type="dxa"/>
        <w:right w:w="108" w:type="dxa"/>
      </w:tblCellMar>
    </w:tblPr>
  </w:style>
  <w:style w:type="paragraph" w:customStyle="1" w:styleId="Tabelheading">
    <w:name w:val="Tabel heading"/>
    <w:basedOn w:val="Normal"/>
    <w:rsid w:val="00742E17"/>
    <w:pPr>
      <w:suppressAutoHyphens w:val="0"/>
      <w:spacing w:before="120" w:after="120"/>
    </w:pPr>
    <w:rPr>
      <w:rFonts w:ascii="Arial" w:hAnsi="Arial"/>
      <w:b/>
      <w:sz w:val="22"/>
      <w:lang w:eastAsia="da-DK"/>
    </w:rPr>
  </w:style>
  <w:style w:type="paragraph" w:styleId="TOC5">
    <w:name w:val="toc 5"/>
    <w:basedOn w:val="TOC1"/>
    <w:next w:val="Normal"/>
    <w:semiHidden/>
    <w:pPr>
      <w:tabs>
        <w:tab w:val="clear" w:pos="454"/>
      </w:tabs>
      <w:ind w:left="1928" w:hanging="1928"/>
    </w:pPr>
  </w:style>
  <w:style w:type="character" w:customStyle="1" w:styleId="Heading1Char">
    <w:name w:val="Heading 1 Char"/>
    <w:link w:val="Heading1"/>
    <w:rsid w:val="00742E17"/>
    <w:rPr>
      <w:b/>
      <w:sz w:val="32"/>
      <w:szCs w:val="32"/>
      <w:lang w:val="en-GB" w:eastAsia="en-US" w:bidi="ar-SA"/>
    </w:rPr>
  </w:style>
  <w:style w:type="character" w:customStyle="1" w:styleId="Heading2Char">
    <w:name w:val="Heading 2 Char"/>
    <w:link w:val="Heading2"/>
    <w:rsid w:val="00742E17"/>
    <w:rPr>
      <w:b/>
      <w:sz w:val="24"/>
      <w:szCs w:val="28"/>
      <w:lang w:val="en-GB" w:eastAsia="en-US" w:bidi="ar-SA"/>
    </w:rPr>
  </w:style>
  <w:style w:type="character" w:customStyle="1" w:styleId="BodyTextChar">
    <w:name w:val="Body Text Char"/>
    <w:link w:val="BodyText"/>
    <w:uiPriority w:val="99"/>
    <w:rsid w:val="00742E17"/>
    <w:rPr>
      <w:sz w:val="24"/>
      <w:szCs w:val="24"/>
      <w:lang w:val="en-GB" w:eastAsia="en-US" w:bidi="ar-SA"/>
    </w:rPr>
  </w:style>
  <w:style w:type="character" w:styleId="CommentReference">
    <w:name w:val="annotation reference"/>
    <w:uiPriority w:val="99"/>
    <w:semiHidden/>
    <w:rsid w:val="00431194"/>
    <w:rPr>
      <w:sz w:val="16"/>
      <w:szCs w:val="16"/>
    </w:rPr>
  </w:style>
  <w:style w:type="paragraph" w:styleId="CommentText">
    <w:name w:val="annotation text"/>
    <w:basedOn w:val="Normal"/>
    <w:link w:val="CommentTextChar"/>
    <w:uiPriority w:val="99"/>
    <w:semiHidden/>
    <w:rsid w:val="00431194"/>
    <w:rPr>
      <w:sz w:val="20"/>
      <w:szCs w:val="20"/>
    </w:rPr>
  </w:style>
  <w:style w:type="paragraph" w:styleId="CommentSubject">
    <w:name w:val="annotation subject"/>
    <w:basedOn w:val="CommentText"/>
    <w:next w:val="CommentText"/>
    <w:semiHidden/>
    <w:rsid w:val="00431194"/>
    <w:rPr>
      <w:b/>
      <w:bCs/>
    </w:rPr>
  </w:style>
  <w:style w:type="paragraph" w:styleId="BalloonText">
    <w:name w:val="Balloon Text"/>
    <w:basedOn w:val="Normal"/>
    <w:semiHidden/>
    <w:rsid w:val="00431194"/>
    <w:rPr>
      <w:rFonts w:ascii="Tahoma" w:hAnsi="Tahoma" w:cs="Tahoma"/>
      <w:sz w:val="16"/>
      <w:szCs w:val="16"/>
    </w:rPr>
  </w:style>
  <w:style w:type="character" w:customStyle="1" w:styleId="CommentTextChar">
    <w:name w:val="Comment Text Char"/>
    <w:link w:val="CommentText"/>
    <w:uiPriority w:val="99"/>
    <w:semiHidden/>
    <w:locked/>
    <w:rsid w:val="002F3B80"/>
    <w:rPr>
      <w:lang w:val="en-GB"/>
    </w:rPr>
  </w:style>
  <w:style w:type="paragraph" w:styleId="Revision">
    <w:name w:val="Revision"/>
    <w:hidden/>
    <w:uiPriority w:val="99"/>
    <w:semiHidden/>
    <w:rsid w:val="002F3B80"/>
    <w:rPr>
      <w:sz w:val="24"/>
      <w:szCs w:val="24"/>
      <w:lang w:val="en-GB"/>
    </w:rPr>
  </w:style>
  <w:style w:type="paragraph" w:styleId="FootnoteText">
    <w:name w:val="footnote text"/>
    <w:basedOn w:val="Normal"/>
    <w:link w:val="FootnoteTextChar"/>
    <w:rsid w:val="00BA7E7F"/>
    <w:rPr>
      <w:sz w:val="20"/>
      <w:szCs w:val="20"/>
    </w:rPr>
  </w:style>
  <w:style w:type="character" w:customStyle="1" w:styleId="FootnoteTextChar">
    <w:name w:val="Footnote Text Char"/>
    <w:link w:val="FootnoteText"/>
    <w:rsid w:val="00BA7E7F"/>
    <w:rPr>
      <w:lang w:val="en-GB"/>
    </w:rPr>
  </w:style>
  <w:style w:type="character" w:styleId="FootnoteReference">
    <w:name w:val="footnote reference"/>
    <w:rsid w:val="00BA7E7F"/>
    <w:rPr>
      <w:vertAlign w:val="superscript"/>
    </w:rPr>
  </w:style>
  <w:style w:type="paragraph" w:styleId="EndnoteText">
    <w:name w:val="endnote text"/>
    <w:basedOn w:val="Normal"/>
    <w:link w:val="EndnoteTextChar"/>
    <w:rsid w:val="00BA7E7F"/>
    <w:rPr>
      <w:sz w:val="20"/>
      <w:szCs w:val="20"/>
    </w:rPr>
  </w:style>
  <w:style w:type="character" w:customStyle="1" w:styleId="EndnoteTextChar">
    <w:name w:val="Endnote Text Char"/>
    <w:link w:val="EndnoteText"/>
    <w:rsid w:val="00BA7E7F"/>
    <w:rPr>
      <w:lang w:val="en-GB"/>
    </w:rPr>
  </w:style>
  <w:style w:type="character" w:styleId="EndnoteReference">
    <w:name w:val="endnote reference"/>
    <w:rsid w:val="00BA7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70068">
      <w:bodyDiv w:val="1"/>
      <w:marLeft w:val="0"/>
      <w:marRight w:val="0"/>
      <w:marTop w:val="0"/>
      <w:marBottom w:val="0"/>
      <w:divBdr>
        <w:top w:val="none" w:sz="0" w:space="0" w:color="auto"/>
        <w:left w:val="none" w:sz="0" w:space="0" w:color="auto"/>
        <w:bottom w:val="none" w:sz="0" w:space="0" w:color="auto"/>
        <w:right w:val="none" w:sz="0" w:space="0" w:color="auto"/>
      </w:divBdr>
      <w:divsChild>
        <w:div w:id="20041592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E841-46A9-4AF4-A2BC-E231ED93CD39}">
  <ds:schemaRefs>
    <ds:schemaRef ds:uri="http://schemas.openxmlformats.org/officeDocument/2006/bibliography"/>
  </ds:schemaRefs>
</ds:datastoreItem>
</file>

<file path=customXml/itemProps2.xml><?xml version="1.0" encoding="utf-8"?>
<ds:datastoreItem xmlns:ds="http://schemas.openxmlformats.org/officeDocument/2006/customXml" ds:itemID="{1BD7B3FE-AB89-4B92-B5AE-5F4B63F9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3790</Words>
  <Characters>21372</Characters>
  <Application>Microsoft Office Word</Application>
  <DocSecurity>0</DocSecurity>
  <Lines>339</Lines>
  <Paragraphs>119</Paragraphs>
  <ScaleCrop>false</ScaleCrop>
  <HeadingPairs>
    <vt:vector size="2" baseType="variant">
      <vt:variant>
        <vt:lpstr>Title</vt:lpstr>
      </vt:variant>
      <vt:variant>
        <vt:i4>1</vt:i4>
      </vt:variant>
    </vt:vector>
  </HeadingPairs>
  <TitlesOfParts>
    <vt:vector size="1" baseType="lpstr">
      <vt:lpstr>AusPAR Attachment 1: Product Information for Turoctocog alfa (rch) (Novoeight)</vt:lpstr>
    </vt:vector>
  </TitlesOfParts>
  <Company>Novo Group</Company>
  <LinksUpToDate>false</LinksUpToDate>
  <CharactersWithSpaces>25043</CharactersWithSpaces>
  <SharedDoc>false</SharedDoc>
  <HLinks>
    <vt:vector size="6" baseType="variant">
      <vt:variant>
        <vt:i4>3407990</vt:i4>
      </vt:variant>
      <vt:variant>
        <vt:i4>0</vt:i4>
      </vt:variant>
      <vt:variant>
        <vt:i4>0</vt:i4>
      </vt:variant>
      <vt:variant>
        <vt:i4>5</vt:i4>
      </vt:variant>
      <vt:variant>
        <vt:lpwstr>http://www.tga.gov.au/hp/medicines-pregnancy-categorisation.htm</vt:lpwstr>
      </vt:variant>
      <vt:variant>
        <vt:lpwstr>hierarchical</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Turoctocog alfa (rch) (NovoEight)</dc:title>
  <dc:subject>prescription medicine regulation</dc:subject>
  <dc:creator>Novo Nordisk Pharmaceuticals pty Ltd</dc:creator>
  <cp:keywords>pi, product information, prescription, medicine, regulation, australia, turoctocog alfa (rch), novoeight, novo nordisk, pharmaceuticals</cp:keywords>
  <dc:description/>
  <cp:lastModifiedBy>Sheppard, Fran</cp:lastModifiedBy>
  <cp:revision>19</cp:revision>
  <cp:lastPrinted>2014-01-21T03:29:00Z</cp:lastPrinted>
  <dcterms:created xsi:type="dcterms:W3CDTF">2013-11-14T02:07:00Z</dcterms:created>
  <dcterms:modified xsi:type="dcterms:W3CDTF">2014-06-20T05:27:00Z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08 August 2012</vt:lpwstr>
  </property>
  <property fmtid="{D5CDD505-2E9C-101B-9397-08002B2CF9AE}" pid="3" name="Status">
    <vt:lpwstr>Draft</vt:lpwstr>
  </property>
  <property fmtid="{D5CDD505-2E9C-101B-9397-08002B2CF9AE}" pid="4" name="Version No">
    <vt:lpwstr>0.29</vt:lpwstr>
  </property>
  <property fmtid="{D5CDD505-2E9C-101B-9397-08002B2CF9AE}" pid="5" name="Department">
    <vt:lpwstr/>
  </property>
  <property fmtid="{D5CDD505-2E9C-101B-9397-08002B2CF9AE}" pid="6" name="Author">
    <vt:lpwstr>Novo Nordisk A/S</vt:lpwstr>
  </property>
  <property fmtid="{D5CDD505-2E9C-101B-9397-08002B2CF9AE}" pid="7" name="Document info line 3">
    <vt:lpwstr>    </vt:lpwstr>
  </property>
  <property fmtid="{D5CDD505-2E9C-101B-9397-08002B2CF9AE}" pid="8" name="Document info line 2">
    <vt:lpwstr>Company Core Data Sheet</vt:lpwstr>
  </property>
  <property fmtid="{D5CDD505-2E9C-101B-9397-08002B2CF9AE}" pid="9" name="Document info line 1">
    <vt:lpwstr>Turoctocog alfa (rFVIII)</vt:lpwstr>
  </property>
  <property fmtid="{D5CDD505-2E9C-101B-9397-08002B2CF9AE}" pid="10" name="Document info line 4">
    <vt:lpwstr>    </vt:lpwstr>
  </property>
  <property fmtid="{D5CDD505-2E9C-101B-9397-08002B2CF9AE}" pid="11" name="Type of Document">
    <vt:lpwstr>Company Core Data Sheet</vt:lpwstr>
  </property>
  <property fmtid="{D5CDD505-2E9C-101B-9397-08002B2CF9AE}" pid="12" name="First Time Open">
    <vt:lpwstr>No</vt:lpwstr>
  </property>
  <property fmtid="{D5CDD505-2E9C-101B-9397-08002B2CF9AE}" pid="13" name="ClassificationIndex">
    <vt:lpwstr>1</vt:lpwstr>
  </property>
  <property fmtid="{D5CDD505-2E9C-101B-9397-08002B2CF9AE}" pid="14" name="StatusIndex">
    <vt:lpwstr>0</vt:lpwstr>
  </property>
  <property fmtid="{D5CDD505-2E9C-101B-9397-08002B2CF9AE}" pid="15" name="xd_Signature">
    <vt:lpwstr/>
  </property>
  <property fmtid="{D5CDD505-2E9C-101B-9397-08002B2CF9AE}" pid="16" name="display_urn:schemas-microsoft-com:office:office#Editor">
    <vt:lpwstr>LIVF (Liv Fugl)</vt:lpwstr>
  </property>
  <property fmtid="{D5CDD505-2E9C-101B-9397-08002B2CF9AE}" pid="17" name="TemplateUrl">
    <vt:lpwstr/>
  </property>
  <property fmtid="{D5CDD505-2E9C-101B-9397-08002B2CF9AE}" pid="18" name="xd_ProgID">
    <vt:lpwstr/>
  </property>
  <property fmtid="{D5CDD505-2E9C-101B-9397-08002B2CF9AE}" pid="19" name="PublishingStartDate">
    <vt:lpwstr/>
  </property>
  <property fmtid="{D5CDD505-2E9C-101B-9397-08002B2CF9AE}" pid="20" name="PublishingExpirationDate">
    <vt:lpwstr/>
  </property>
  <property fmtid="{D5CDD505-2E9C-101B-9397-08002B2CF9AE}" pid="21" name="display_urn:schemas-microsoft-com:office:office#Author">
    <vt:lpwstr>LIVF (Liv Fugl)</vt:lpwstr>
  </property>
  <property fmtid="{D5CDD505-2E9C-101B-9397-08002B2CF9AE}" pid="22" name="Description0">
    <vt:lpwstr/>
  </property>
  <property fmtid="{D5CDD505-2E9C-101B-9397-08002B2CF9AE}" pid="23" name="ContentTypeId">
    <vt:lpwstr>0x01010047A8FE5C5EDA334BAE1D34210E9DFB63</vt:lpwstr>
  </property>
  <property fmtid="{D5CDD505-2E9C-101B-9397-08002B2CF9AE}" pid="24" name="_SharedFileIndex">
    <vt:lpwstr/>
  </property>
  <property fmtid="{D5CDD505-2E9C-101B-9397-08002B2CF9AE}" pid="25" name="ContentType">
    <vt:lpwstr>Document</vt:lpwstr>
  </property>
  <property fmtid="{D5CDD505-2E9C-101B-9397-08002B2CF9AE}" pid="26" name="Classification">
    <vt:lpwstr>INTERNAL USE ONLY</vt:lpwstr>
  </property>
</Properties>
</file>