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7692D630" w14:textId="77777777" w:rsidTr="00BF1190">
        <w:trPr>
          <w:trHeight w:val="1863"/>
        </w:trPr>
        <w:tc>
          <w:tcPr>
            <w:tcW w:w="3652" w:type="dxa"/>
            <w:tcBorders>
              <w:top w:val="nil"/>
              <w:left w:val="nil"/>
              <w:bottom w:val="nil"/>
              <w:right w:val="nil"/>
            </w:tcBorders>
          </w:tcPr>
          <w:p w14:paraId="0199710E" w14:textId="77777777" w:rsidR="008E7846" w:rsidRPr="00096AA7" w:rsidRDefault="00E0433A" w:rsidP="00096AA7">
            <w:pPr>
              <w:rPr>
                <w:rFonts w:ascii="Arial" w:hAnsi="Arial" w:cs="Arial"/>
                <w:b/>
                <w:color w:val="002C47"/>
                <w:sz w:val="36"/>
                <w:szCs w:val="36"/>
              </w:rPr>
            </w:pPr>
            <w:r>
              <w:rPr>
                <w:rFonts w:ascii="Arial" w:hAnsi="Arial" w:cs="Arial"/>
                <w:b/>
                <w:color w:val="002C47"/>
                <w:sz w:val="36"/>
                <w:szCs w:val="36"/>
              </w:rPr>
              <w:t>March</w:t>
            </w:r>
            <w:r w:rsidR="007127FB">
              <w:rPr>
                <w:rFonts w:ascii="Arial" w:hAnsi="Arial" w:cs="Arial"/>
                <w:b/>
                <w:color w:val="002C47"/>
                <w:sz w:val="36"/>
                <w:szCs w:val="36"/>
              </w:rPr>
              <w:t xml:space="preserve"> 2021</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19D01D79" w14:textId="77777777" w:rsidTr="0032583B">
        <w:trPr>
          <w:trHeight w:val="868"/>
        </w:trPr>
        <w:tc>
          <w:tcPr>
            <w:tcW w:w="9079" w:type="dxa"/>
          </w:tcPr>
          <w:p w14:paraId="7A2FE0CD" w14:textId="77777777" w:rsidR="0032583B" w:rsidRPr="00A964D1" w:rsidRDefault="0032583B" w:rsidP="00460036">
            <w:pPr>
              <w:pStyle w:val="Title"/>
              <w:rPr>
                <w:color w:val="FFFFFF" w:themeColor="background1"/>
              </w:rPr>
            </w:pPr>
            <w:r w:rsidRPr="00A964D1">
              <w:rPr>
                <w:color w:val="FFFFFF" w:themeColor="background1"/>
              </w:rPr>
              <w:t xml:space="preserve">Australian Public Assessment Report for </w:t>
            </w:r>
            <w:r w:rsidR="00E119D9" w:rsidRPr="00E119D9">
              <w:rPr>
                <w:color w:val="FFFFFF" w:themeColor="background1"/>
              </w:rPr>
              <w:t>Tucatinib</w:t>
            </w:r>
          </w:p>
        </w:tc>
      </w:tr>
      <w:tr w:rsidR="0032583B" w:rsidRPr="00B64760" w14:paraId="181FFE95" w14:textId="77777777" w:rsidTr="0032583B">
        <w:tc>
          <w:tcPr>
            <w:tcW w:w="9079" w:type="dxa"/>
          </w:tcPr>
          <w:p w14:paraId="60076E51" w14:textId="77777777" w:rsidR="0032583B" w:rsidRPr="008E7846" w:rsidRDefault="0032583B" w:rsidP="00460036">
            <w:pPr>
              <w:pStyle w:val="Subtitle"/>
              <w:rPr>
                <w:color w:val="FFFFFF" w:themeColor="background1"/>
              </w:rPr>
            </w:pPr>
            <w:r w:rsidRPr="008E7846">
              <w:rPr>
                <w:color w:val="FFFFFF" w:themeColor="background1"/>
              </w:rPr>
              <w:t xml:space="preserve">Proprietary Product Name: </w:t>
            </w:r>
            <w:r w:rsidR="00E119D9" w:rsidRPr="00E119D9">
              <w:rPr>
                <w:color w:val="FFFFFF" w:themeColor="background1"/>
              </w:rPr>
              <w:t>Tukysa</w:t>
            </w:r>
          </w:p>
        </w:tc>
      </w:tr>
      <w:tr w:rsidR="0032583B" w:rsidRPr="00B64760" w14:paraId="3CC836C1" w14:textId="77777777" w:rsidTr="0032583B">
        <w:trPr>
          <w:trHeight w:val="486"/>
        </w:trPr>
        <w:tc>
          <w:tcPr>
            <w:tcW w:w="9079" w:type="dxa"/>
          </w:tcPr>
          <w:p w14:paraId="1E7655D9" w14:textId="77777777" w:rsidR="0032583B" w:rsidRPr="008E7846" w:rsidRDefault="00460036" w:rsidP="0032583B">
            <w:pPr>
              <w:pStyle w:val="Subtitle"/>
              <w:rPr>
                <w:color w:val="FFFFFF" w:themeColor="background1"/>
              </w:rPr>
            </w:pPr>
            <w:r>
              <w:rPr>
                <w:color w:val="FFFFFF" w:themeColor="background1"/>
              </w:rPr>
              <w:t xml:space="preserve">Sponsor: </w:t>
            </w:r>
            <w:r w:rsidR="00E119D9" w:rsidRPr="00E119D9">
              <w:rPr>
                <w:color w:val="FFFFFF" w:themeColor="background1"/>
              </w:rPr>
              <w:t>AA-Med Pty Ltd</w:t>
            </w:r>
          </w:p>
        </w:tc>
      </w:tr>
    </w:tbl>
    <w:p w14:paraId="67E96A8B" w14:textId="77777777" w:rsidR="008E7846" w:rsidRPr="0085156D" w:rsidRDefault="008E7846" w:rsidP="0085156D">
      <w:r w:rsidRPr="0085156D">
        <w:br w:type="page"/>
      </w:r>
    </w:p>
    <w:p w14:paraId="00A94DF0" w14:textId="77777777" w:rsidR="008E7846" w:rsidRPr="001F6CBA" w:rsidRDefault="008E7846" w:rsidP="008E7846">
      <w:pPr>
        <w:pStyle w:val="NonTOCHeading2"/>
      </w:pPr>
      <w:r w:rsidRPr="001F6CBA">
        <w:lastRenderedPageBreak/>
        <w:t>About the Therapeutic Goods Administration (TGA)</w:t>
      </w:r>
    </w:p>
    <w:p w14:paraId="7A1F91D4" w14:textId="77777777" w:rsidR="008E7846" w:rsidRDefault="008E7846" w:rsidP="00DC5056">
      <w:pPr>
        <w:pStyle w:val="ListBullet"/>
        <w:numPr>
          <w:ilvl w:val="0"/>
          <w:numId w:val="1"/>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14:paraId="282A6136" w14:textId="77777777" w:rsidR="008E7846" w:rsidRDefault="00C80137" w:rsidP="00DC5056">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14:paraId="7CE028E8" w14:textId="77777777" w:rsidR="008E7846" w:rsidRDefault="008E7846" w:rsidP="00DC5056">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14:paraId="3E8E59BF" w14:textId="77777777" w:rsidR="008E7846" w:rsidRDefault="008E7846" w:rsidP="00DC5056">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14:paraId="7615CBD3" w14:textId="4E61E7ED" w:rsidR="00441C3F" w:rsidRDefault="008E7846" w:rsidP="00DC5056">
      <w:pPr>
        <w:pStyle w:val="ListBullet"/>
        <w:numPr>
          <w:ilvl w:val="0"/>
          <w:numId w:val="1"/>
        </w:numPr>
        <w:ind w:left="357" w:hanging="357"/>
      </w:pPr>
      <w:r>
        <w:t xml:space="preserve">To report a problem with a medicine or medical device, please see the information on </w:t>
      </w:r>
      <w:r w:rsidR="00441C3F">
        <w:t>the TGA website &lt;</w:t>
      </w:r>
      <w:hyperlink r:id="rId12" w:history="1">
        <w:r w:rsidR="00441C3F">
          <w:rPr>
            <w:rStyle w:val="Hyperlink"/>
          </w:rPr>
          <w:t>https://www.tga.gov.au</w:t>
        </w:r>
      </w:hyperlink>
      <w:r w:rsidR="00441C3F">
        <w:t>&gt;.</w:t>
      </w:r>
    </w:p>
    <w:p w14:paraId="3D395CE2" w14:textId="77777777" w:rsidR="008E7846" w:rsidRDefault="008E7846" w:rsidP="00875A6B">
      <w:pPr>
        <w:pStyle w:val="NonTOCHeading2"/>
      </w:pPr>
      <w:r>
        <w:t>About AusPARs</w:t>
      </w:r>
    </w:p>
    <w:p w14:paraId="5CAD0E0F" w14:textId="77777777" w:rsidR="008E7846" w:rsidRDefault="008E7846" w:rsidP="00DC5056">
      <w:pPr>
        <w:pStyle w:val="ListBullet"/>
        <w:numPr>
          <w:ilvl w:val="0"/>
          <w:numId w:val="1"/>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14:paraId="76014BFC" w14:textId="77777777" w:rsidR="008E7846" w:rsidRDefault="008E7846" w:rsidP="00DC5056">
      <w:pPr>
        <w:pStyle w:val="ListBullet"/>
        <w:numPr>
          <w:ilvl w:val="0"/>
          <w:numId w:val="1"/>
        </w:numPr>
        <w:ind w:left="357" w:hanging="357"/>
      </w:pPr>
      <w:r>
        <w:t>AusPARs are prepared and published by the TGA.</w:t>
      </w:r>
    </w:p>
    <w:p w14:paraId="2ACCEA06" w14:textId="77777777" w:rsidR="008E7846" w:rsidRDefault="008E7846" w:rsidP="00DC5056">
      <w:pPr>
        <w:pStyle w:val="ListBullet"/>
        <w:numPr>
          <w:ilvl w:val="0"/>
          <w:numId w:val="1"/>
        </w:numPr>
        <w:ind w:left="357" w:hanging="357"/>
      </w:pPr>
      <w:r>
        <w:t>An AusPAR is prepared for submissions that relate to new chemical entities, generic medicines, major variations and extensions of indications.</w:t>
      </w:r>
    </w:p>
    <w:p w14:paraId="123ABC2D" w14:textId="77777777" w:rsidR="008E7846" w:rsidRDefault="008E7846" w:rsidP="00DC5056">
      <w:pPr>
        <w:pStyle w:val="ListBullet"/>
        <w:numPr>
          <w:ilvl w:val="0"/>
          <w:numId w:val="1"/>
        </w:numPr>
        <w:ind w:left="357" w:hanging="357"/>
      </w:pPr>
      <w:r>
        <w:t>An AusPAR is a static document</w:t>
      </w:r>
      <w:r w:rsidR="00133A1B">
        <w:t>;</w:t>
      </w:r>
      <w:r>
        <w:t xml:space="preserve"> it provide</w:t>
      </w:r>
      <w:r w:rsidR="00133A1B">
        <w:t>s</w:t>
      </w:r>
      <w:r>
        <w:t xml:space="preserve"> information that relates to a submission at a particular point in time.</w:t>
      </w:r>
    </w:p>
    <w:p w14:paraId="7251D593" w14:textId="77777777" w:rsidR="00B452CE" w:rsidRDefault="008E7846" w:rsidP="00DC5056">
      <w:pPr>
        <w:pStyle w:val="ListBullet"/>
        <w:numPr>
          <w:ilvl w:val="0"/>
          <w:numId w:val="1"/>
        </w:numPr>
        <w:ind w:left="357" w:hanging="357"/>
      </w:pPr>
      <w:r>
        <w:t>A new AusPAR will be developed to reflect changes to indications and/or major variations to a prescription medicine subject to evaluation by the TGA.</w:t>
      </w:r>
    </w:p>
    <w:p w14:paraId="487B5054" w14:textId="77777777" w:rsidR="00924482" w:rsidRPr="00DF1D7F" w:rsidRDefault="00924482" w:rsidP="00F54B65">
      <w:pPr>
        <w:pStyle w:val="LegalSubheading"/>
        <w:spacing w:before="3120"/>
      </w:pPr>
      <w:r w:rsidRPr="00DF1D7F">
        <w:t>Copyright</w:t>
      </w:r>
    </w:p>
    <w:p w14:paraId="3DC57DF5" w14:textId="1D0B4BDD" w:rsidR="00924482" w:rsidRDefault="00924482" w:rsidP="00924482">
      <w:pPr>
        <w:pStyle w:val="LegalCopy"/>
      </w:pPr>
      <w:r w:rsidRPr="00191B3B">
        <w:rPr>
          <w:rFonts w:cs="Arial"/>
          <w:lang w:val="en-GB"/>
        </w:rPr>
        <w:t>© Comm</w:t>
      </w:r>
      <w:r>
        <w:rPr>
          <w:rFonts w:cs="Arial"/>
          <w:lang w:val="en-GB"/>
        </w:rPr>
        <w:t>onwealth of Australia 20</w:t>
      </w:r>
      <w:r w:rsidR="00460036">
        <w:rPr>
          <w:rFonts w:cs="Arial"/>
          <w:lang w:val="en-GB"/>
        </w:rPr>
        <w:t>2</w:t>
      </w:r>
      <w:r w:rsidR="00324E45">
        <w:rPr>
          <w:rFonts w:cs="Arial"/>
          <w:lang w:val="en-GB"/>
        </w:rPr>
        <w:t>1</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3" w:history="1">
        <w:r w:rsidRPr="00191B3B">
          <w:rPr>
            <w:rStyle w:val="Hyperlink"/>
            <w:rFonts w:cs="Arial"/>
            <w:lang w:val="en-GB"/>
          </w:rPr>
          <w:t>tga.copyright@tga.gov.au</w:t>
        </w:r>
      </w:hyperlink>
      <w:r w:rsidRPr="00191B3B">
        <w:rPr>
          <w:rFonts w:cs="Arial"/>
        </w:rPr>
        <w:t>&gt;.</w:t>
      </w:r>
    </w:p>
    <w:p w14:paraId="5C7DF8DE" w14:textId="77777777" w:rsidR="00924482" w:rsidRDefault="00924482" w:rsidP="00924482">
      <w:pPr>
        <w:pStyle w:val="LegalCopy"/>
        <w:sectPr w:rsidR="00924482" w:rsidSect="003D1E62">
          <w:headerReference w:type="even" r:id="rId14"/>
          <w:headerReference w:type="default" r:id="rId15"/>
          <w:footerReference w:type="even" r:id="rId16"/>
          <w:footerReference w:type="default" r:id="rId17"/>
          <w:headerReference w:type="first" r:id="rId18"/>
          <w:footerReference w:type="first" r:id="rId19"/>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67C146D2" w14:textId="77777777" w:rsidR="0089635C" w:rsidRPr="0089635C" w:rsidRDefault="0089635C" w:rsidP="0010788A">
          <w:pPr>
            <w:pStyle w:val="Contents"/>
          </w:pPr>
          <w:r w:rsidRPr="0010788A">
            <w:t>Cont</w:t>
          </w:r>
          <w:bookmarkStart w:id="2" w:name="_GoBack"/>
          <w:bookmarkEnd w:id="2"/>
          <w:r w:rsidRPr="0010788A">
            <w:t>ents</w:t>
          </w:r>
        </w:p>
        <w:p w14:paraId="29824D4D" w14:textId="7C0EF249" w:rsidR="002C210B" w:rsidRDefault="00C525A2">
          <w:pPr>
            <w:pStyle w:val="TOC1"/>
            <w:rPr>
              <w:rFonts w:asciiTheme="minorHAnsi" w:eastAsiaTheme="minorEastAsia" w:hAnsiTheme="minorHAnsi" w:cstheme="minorBidi"/>
              <w:b w:val="0"/>
              <w:noProof/>
              <w:sz w:val="22"/>
              <w:lang w:eastAsia="en-AU"/>
            </w:rPr>
          </w:pPr>
          <w:r>
            <w:fldChar w:fldCharType="begin"/>
          </w:r>
          <w:r>
            <w:instrText xml:space="preserve"> TOC \h \z \t "Heading 2,1,Heading 3,2" </w:instrText>
          </w:r>
          <w:r>
            <w:fldChar w:fldCharType="separate"/>
          </w:r>
          <w:hyperlink w:anchor="_Toc67579139" w:history="1">
            <w:r w:rsidR="002C210B" w:rsidRPr="00F93046">
              <w:rPr>
                <w:rStyle w:val="Hyperlink"/>
                <w:noProof/>
              </w:rPr>
              <w:t>List of abbreviations</w:t>
            </w:r>
            <w:r w:rsidR="002C210B">
              <w:rPr>
                <w:noProof/>
                <w:webHidden/>
              </w:rPr>
              <w:tab/>
            </w:r>
            <w:r w:rsidR="002C210B">
              <w:rPr>
                <w:noProof/>
                <w:webHidden/>
              </w:rPr>
              <w:fldChar w:fldCharType="begin"/>
            </w:r>
            <w:r w:rsidR="002C210B">
              <w:rPr>
                <w:noProof/>
                <w:webHidden/>
              </w:rPr>
              <w:instrText xml:space="preserve"> PAGEREF _Toc67579139 \h </w:instrText>
            </w:r>
            <w:r w:rsidR="002C210B">
              <w:rPr>
                <w:noProof/>
                <w:webHidden/>
              </w:rPr>
            </w:r>
            <w:r w:rsidR="002C210B">
              <w:rPr>
                <w:noProof/>
                <w:webHidden/>
              </w:rPr>
              <w:fldChar w:fldCharType="separate"/>
            </w:r>
            <w:r w:rsidR="002C210B">
              <w:rPr>
                <w:noProof/>
                <w:webHidden/>
              </w:rPr>
              <w:t>4</w:t>
            </w:r>
            <w:r w:rsidR="002C210B">
              <w:rPr>
                <w:noProof/>
                <w:webHidden/>
              </w:rPr>
              <w:fldChar w:fldCharType="end"/>
            </w:r>
          </w:hyperlink>
        </w:p>
        <w:p w14:paraId="06DC3A33" w14:textId="55415974" w:rsidR="002C210B" w:rsidRDefault="002C210B">
          <w:pPr>
            <w:pStyle w:val="TOC1"/>
            <w:rPr>
              <w:rFonts w:asciiTheme="minorHAnsi" w:eastAsiaTheme="minorEastAsia" w:hAnsiTheme="minorHAnsi" w:cstheme="minorBidi"/>
              <w:b w:val="0"/>
              <w:noProof/>
              <w:sz w:val="22"/>
              <w:lang w:eastAsia="en-AU"/>
            </w:rPr>
          </w:pPr>
          <w:hyperlink w:anchor="_Toc67579140" w:history="1">
            <w:r w:rsidRPr="00F93046">
              <w:rPr>
                <w:rStyle w:val="Hyperlink"/>
                <w:noProof/>
              </w:rPr>
              <w:t>I. Introduction to product submission</w:t>
            </w:r>
            <w:r>
              <w:rPr>
                <w:noProof/>
                <w:webHidden/>
              </w:rPr>
              <w:tab/>
            </w:r>
            <w:r>
              <w:rPr>
                <w:noProof/>
                <w:webHidden/>
              </w:rPr>
              <w:fldChar w:fldCharType="begin"/>
            </w:r>
            <w:r>
              <w:rPr>
                <w:noProof/>
                <w:webHidden/>
              </w:rPr>
              <w:instrText xml:space="preserve"> PAGEREF _Toc67579140 \h </w:instrText>
            </w:r>
            <w:r>
              <w:rPr>
                <w:noProof/>
                <w:webHidden/>
              </w:rPr>
            </w:r>
            <w:r>
              <w:rPr>
                <w:noProof/>
                <w:webHidden/>
              </w:rPr>
              <w:fldChar w:fldCharType="separate"/>
            </w:r>
            <w:r>
              <w:rPr>
                <w:noProof/>
                <w:webHidden/>
              </w:rPr>
              <w:t>7</w:t>
            </w:r>
            <w:r>
              <w:rPr>
                <w:noProof/>
                <w:webHidden/>
              </w:rPr>
              <w:fldChar w:fldCharType="end"/>
            </w:r>
          </w:hyperlink>
        </w:p>
        <w:p w14:paraId="49B164FC" w14:textId="0DA8F28C" w:rsidR="002C210B" w:rsidRDefault="002C210B">
          <w:pPr>
            <w:pStyle w:val="TOC2"/>
            <w:rPr>
              <w:rFonts w:asciiTheme="minorHAnsi" w:eastAsiaTheme="minorEastAsia" w:hAnsiTheme="minorHAnsi" w:cstheme="minorBidi"/>
              <w:b w:val="0"/>
              <w:noProof/>
              <w:sz w:val="22"/>
              <w:lang w:eastAsia="en-AU"/>
            </w:rPr>
          </w:pPr>
          <w:hyperlink w:anchor="_Toc67579141" w:history="1">
            <w:r w:rsidRPr="00F93046">
              <w:rPr>
                <w:rStyle w:val="Hyperlink"/>
                <w:noProof/>
                <w:lang w:eastAsia="en-AU"/>
              </w:rPr>
              <w:t>Submission details</w:t>
            </w:r>
            <w:r>
              <w:rPr>
                <w:noProof/>
                <w:webHidden/>
              </w:rPr>
              <w:tab/>
            </w:r>
            <w:r>
              <w:rPr>
                <w:noProof/>
                <w:webHidden/>
              </w:rPr>
              <w:fldChar w:fldCharType="begin"/>
            </w:r>
            <w:r>
              <w:rPr>
                <w:noProof/>
                <w:webHidden/>
              </w:rPr>
              <w:instrText xml:space="preserve"> PAGEREF _Toc67579141 \h </w:instrText>
            </w:r>
            <w:r>
              <w:rPr>
                <w:noProof/>
                <w:webHidden/>
              </w:rPr>
            </w:r>
            <w:r>
              <w:rPr>
                <w:noProof/>
                <w:webHidden/>
              </w:rPr>
              <w:fldChar w:fldCharType="separate"/>
            </w:r>
            <w:r>
              <w:rPr>
                <w:noProof/>
                <w:webHidden/>
              </w:rPr>
              <w:t>7</w:t>
            </w:r>
            <w:r>
              <w:rPr>
                <w:noProof/>
                <w:webHidden/>
              </w:rPr>
              <w:fldChar w:fldCharType="end"/>
            </w:r>
          </w:hyperlink>
        </w:p>
        <w:p w14:paraId="357BE2B3" w14:textId="6BB41210" w:rsidR="002C210B" w:rsidRDefault="002C210B">
          <w:pPr>
            <w:pStyle w:val="TOC2"/>
            <w:rPr>
              <w:rFonts w:asciiTheme="minorHAnsi" w:eastAsiaTheme="minorEastAsia" w:hAnsiTheme="minorHAnsi" w:cstheme="minorBidi"/>
              <w:b w:val="0"/>
              <w:noProof/>
              <w:sz w:val="22"/>
              <w:lang w:eastAsia="en-AU"/>
            </w:rPr>
          </w:pPr>
          <w:hyperlink w:anchor="_Toc67579142" w:history="1">
            <w:r w:rsidRPr="00F93046">
              <w:rPr>
                <w:rStyle w:val="Hyperlink"/>
                <w:noProof/>
              </w:rPr>
              <w:t>Product background</w:t>
            </w:r>
            <w:r>
              <w:rPr>
                <w:noProof/>
                <w:webHidden/>
              </w:rPr>
              <w:tab/>
            </w:r>
            <w:r>
              <w:rPr>
                <w:noProof/>
                <w:webHidden/>
              </w:rPr>
              <w:fldChar w:fldCharType="begin"/>
            </w:r>
            <w:r>
              <w:rPr>
                <w:noProof/>
                <w:webHidden/>
              </w:rPr>
              <w:instrText xml:space="preserve"> PAGEREF _Toc67579142 \h </w:instrText>
            </w:r>
            <w:r>
              <w:rPr>
                <w:noProof/>
                <w:webHidden/>
              </w:rPr>
            </w:r>
            <w:r>
              <w:rPr>
                <w:noProof/>
                <w:webHidden/>
              </w:rPr>
              <w:fldChar w:fldCharType="separate"/>
            </w:r>
            <w:r>
              <w:rPr>
                <w:noProof/>
                <w:webHidden/>
              </w:rPr>
              <w:t>8</w:t>
            </w:r>
            <w:r>
              <w:rPr>
                <w:noProof/>
                <w:webHidden/>
              </w:rPr>
              <w:fldChar w:fldCharType="end"/>
            </w:r>
          </w:hyperlink>
        </w:p>
        <w:p w14:paraId="6CB4CDFB" w14:textId="378E8263" w:rsidR="002C210B" w:rsidRDefault="002C210B">
          <w:pPr>
            <w:pStyle w:val="TOC2"/>
            <w:rPr>
              <w:rFonts w:asciiTheme="minorHAnsi" w:eastAsiaTheme="minorEastAsia" w:hAnsiTheme="minorHAnsi" w:cstheme="minorBidi"/>
              <w:b w:val="0"/>
              <w:noProof/>
              <w:sz w:val="22"/>
              <w:lang w:eastAsia="en-AU"/>
            </w:rPr>
          </w:pPr>
          <w:hyperlink w:anchor="_Toc67579143" w:history="1">
            <w:r w:rsidRPr="00F93046">
              <w:rPr>
                <w:rStyle w:val="Hyperlink"/>
                <w:noProof/>
              </w:rPr>
              <w:t>Regulatory status</w:t>
            </w:r>
            <w:r>
              <w:rPr>
                <w:noProof/>
                <w:webHidden/>
              </w:rPr>
              <w:tab/>
            </w:r>
            <w:r>
              <w:rPr>
                <w:noProof/>
                <w:webHidden/>
              </w:rPr>
              <w:fldChar w:fldCharType="begin"/>
            </w:r>
            <w:r>
              <w:rPr>
                <w:noProof/>
                <w:webHidden/>
              </w:rPr>
              <w:instrText xml:space="preserve"> PAGEREF _Toc67579143 \h </w:instrText>
            </w:r>
            <w:r>
              <w:rPr>
                <w:noProof/>
                <w:webHidden/>
              </w:rPr>
            </w:r>
            <w:r>
              <w:rPr>
                <w:noProof/>
                <w:webHidden/>
              </w:rPr>
              <w:fldChar w:fldCharType="separate"/>
            </w:r>
            <w:r>
              <w:rPr>
                <w:noProof/>
                <w:webHidden/>
              </w:rPr>
              <w:t>10</w:t>
            </w:r>
            <w:r>
              <w:rPr>
                <w:noProof/>
                <w:webHidden/>
              </w:rPr>
              <w:fldChar w:fldCharType="end"/>
            </w:r>
          </w:hyperlink>
        </w:p>
        <w:p w14:paraId="6F4F1808" w14:textId="76F386BF" w:rsidR="002C210B" w:rsidRDefault="002C210B">
          <w:pPr>
            <w:pStyle w:val="TOC2"/>
            <w:rPr>
              <w:rFonts w:asciiTheme="minorHAnsi" w:eastAsiaTheme="minorEastAsia" w:hAnsiTheme="minorHAnsi" w:cstheme="minorBidi"/>
              <w:b w:val="0"/>
              <w:noProof/>
              <w:sz w:val="22"/>
              <w:lang w:eastAsia="en-AU"/>
            </w:rPr>
          </w:pPr>
          <w:hyperlink w:anchor="_Toc67579144" w:history="1">
            <w:r w:rsidRPr="00F93046">
              <w:rPr>
                <w:rStyle w:val="Hyperlink"/>
                <w:noProof/>
              </w:rPr>
              <w:t>Product Information</w:t>
            </w:r>
            <w:r>
              <w:rPr>
                <w:noProof/>
                <w:webHidden/>
              </w:rPr>
              <w:tab/>
            </w:r>
            <w:r>
              <w:rPr>
                <w:noProof/>
                <w:webHidden/>
              </w:rPr>
              <w:fldChar w:fldCharType="begin"/>
            </w:r>
            <w:r>
              <w:rPr>
                <w:noProof/>
                <w:webHidden/>
              </w:rPr>
              <w:instrText xml:space="preserve"> PAGEREF _Toc67579144 \h </w:instrText>
            </w:r>
            <w:r>
              <w:rPr>
                <w:noProof/>
                <w:webHidden/>
              </w:rPr>
            </w:r>
            <w:r>
              <w:rPr>
                <w:noProof/>
                <w:webHidden/>
              </w:rPr>
              <w:fldChar w:fldCharType="separate"/>
            </w:r>
            <w:r>
              <w:rPr>
                <w:noProof/>
                <w:webHidden/>
              </w:rPr>
              <w:t>11</w:t>
            </w:r>
            <w:r>
              <w:rPr>
                <w:noProof/>
                <w:webHidden/>
              </w:rPr>
              <w:fldChar w:fldCharType="end"/>
            </w:r>
          </w:hyperlink>
        </w:p>
        <w:p w14:paraId="4859E2DE" w14:textId="57D9B694" w:rsidR="002C210B" w:rsidRDefault="002C210B">
          <w:pPr>
            <w:pStyle w:val="TOC1"/>
            <w:rPr>
              <w:rFonts w:asciiTheme="minorHAnsi" w:eastAsiaTheme="minorEastAsia" w:hAnsiTheme="minorHAnsi" w:cstheme="minorBidi"/>
              <w:b w:val="0"/>
              <w:noProof/>
              <w:sz w:val="22"/>
              <w:lang w:eastAsia="en-AU"/>
            </w:rPr>
          </w:pPr>
          <w:hyperlink w:anchor="_Toc67579145" w:history="1">
            <w:r w:rsidRPr="00F93046">
              <w:rPr>
                <w:rStyle w:val="Hyperlink"/>
                <w:noProof/>
              </w:rPr>
              <w:t>II. Registration timeline</w:t>
            </w:r>
            <w:r>
              <w:rPr>
                <w:noProof/>
                <w:webHidden/>
              </w:rPr>
              <w:tab/>
            </w:r>
            <w:r>
              <w:rPr>
                <w:noProof/>
                <w:webHidden/>
              </w:rPr>
              <w:fldChar w:fldCharType="begin"/>
            </w:r>
            <w:r>
              <w:rPr>
                <w:noProof/>
                <w:webHidden/>
              </w:rPr>
              <w:instrText xml:space="preserve"> PAGEREF _Toc67579145 \h </w:instrText>
            </w:r>
            <w:r>
              <w:rPr>
                <w:noProof/>
                <w:webHidden/>
              </w:rPr>
            </w:r>
            <w:r>
              <w:rPr>
                <w:noProof/>
                <w:webHidden/>
              </w:rPr>
              <w:fldChar w:fldCharType="separate"/>
            </w:r>
            <w:r>
              <w:rPr>
                <w:noProof/>
                <w:webHidden/>
              </w:rPr>
              <w:t>11</w:t>
            </w:r>
            <w:r>
              <w:rPr>
                <w:noProof/>
                <w:webHidden/>
              </w:rPr>
              <w:fldChar w:fldCharType="end"/>
            </w:r>
          </w:hyperlink>
        </w:p>
        <w:p w14:paraId="3B613125" w14:textId="39A8FE45" w:rsidR="002C210B" w:rsidRDefault="002C210B">
          <w:pPr>
            <w:pStyle w:val="TOC1"/>
            <w:rPr>
              <w:rFonts w:asciiTheme="minorHAnsi" w:eastAsiaTheme="minorEastAsia" w:hAnsiTheme="minorHAnsi" w:cstheme="minorBidi"/>
              <w:b w:val="0"/>
              <w:noProof/>
              <w:sz w:val="22"/>
              <w:lang w:eastAsia="en-AU"/>
            </w:rPr>
          </w:pPr>
          <w:hyperlink w:anchor="_Toc67579146" w:history="1">
            <w:r w:rsidRPr="00F93046">
              <w:rPr>
                <w:rStyle w:val="Hyperlink"/>
                <w:noProof/>
              </w:rPr>
              <w:t>III. Submission overview and risk/benefit assessment</w:t>
            </w:r>
            <w:r>
              <w:rPr>
                <w:noProof/>
                <w:webHidden/>
              </w:rPr>
              <w:tab/>
            </w:r>
            <w:r>
              <w:rPr>
                <w:noProof/>
                <w:webHidden/>
              </w:rPr>
              <w:fldChar w:fldCharType="begin"/>
            </w:r>
            <w:r>
              <w:rPr>
                <w:noProof/>
                <w:webHidden/>
              </w:rPr>
              <w:instrText xml:space="preserve"> PAGEREF _Toc67579146 \h </w:instrText>
            </w:r>
            <w:r>
              <w:rPr>
                <w:noProof/>
                <w:webHidden/>
              </w:rPr>
            </w:r>
            <w:r>
              <w:rPr>
                <w:noProof/>
                <w:webHidden/>
              </w:rPr>
              <w:fldChar w:fldCharType="separate"/>
            </w:r>
            <w:r>
              <w:rPr>
                <w:noProof/>
                <w:webHidden/>
              </w:rPr>
              <w:t>12</w:t>
            </w:r>
            <w:r>
              <w:rPr>
                <w:noProof/>
                <w:webHidden/>
              </w:rPr>
              <w:fldChar w:fldCharType="end"/>
            </w:r>
          </w:hyperlink>
        </w:p>
        <w:p w14:paraId="1AA731C2" w14:textId="45C63843" w:rsidR="002C210B" w:rsidRDefault="002C210B">
          <w:pPr>
            <w:pStyle w:val="TOC2"/>
            <w:rPr>
              <w:rFonts w:asciiTheme="minorHAnsi" w:eastAsiaTheme="minorEastAsia" w:hAnsiTheme="minorHAnsi" w:cstheme="minorBidi"/>
              <w:b w:val="0"/>
              <w:noProof/>
              <w:sz w:val="22"/>
              <w:lang w:eastAsia="en-AU"/>
            </w:rPr>
          </w:pPr>
          <w:hyperlink w:anchor="_Toc67579147" w:history="1">
            <w:r w:rsidRPr="00F93046">
              <w:rPr>
                <w:rStyle w:val="Hyperlink"/>
                <w:noProof/>
              </w:rPr>
              <w:t>Quality</w:t>
            </w:r>
            <w:r>
              <w:rPr>
                <w:noProof/>
                <w:webHidden/>
              </w:rPr>
              <w:tab/>
            </w:r>
            <w:r>
              <w:rPr>
                <w:noProof/>
                <w:webHidden/>
              </w:rPr>
              <w:fldChar w:fldCharType="begin"/>
            </w:r>
            <w:r>
              <w:rPr>
                <w:noProof/>
                <w:webHidden/>
              </w:rPr>
              <w:instrText xml:space="preserve"> PAGEREF _Toc67579147 \h </w:instrText>
            </w:r>
            <w:r>
              <w:rPr>
                <w:noProof/>
                <w:webHidden/>
              </w:rPr>
            </w:r>
            <w:r>
              <w:rPr>
                <w:noProof/>
                <w:webHidden/>
              </w:rPr>
              <w:fldChar w:fldCharType="separate"/>
            </w:r>
            <w:r>
              <w:rPr>
                <w:noProof/>
                <w:webHidden/>
              </w:rPr>
              <w:t>12</w:t>
            </w:r>
            <w:r>
              <w:rPr>
                <w:noProof/>
                <w:webHidden/>
              </w:rPr>
              <w:fldChar w:fldCharType="end"/>
            </w:r>
          </w:hyperlink>
        </w:p>
        <w:p w14:paraId="1B2CA6BC" w14:textId="3EBB8D4B" w:rsidR="002C210B" w:rsidRDefault="002C210B">
          <w:pPr>
            <w:pStyle w:val="TOC2"/>
            <w:rPr>
              <w:rFonts w:asciiTheme="minorHAnsi" w:eastAsiaTheme="minorEastAsia" w:hAnsiTheme="minorHAnsi" w:cstheme="minorBidi"/>
              <w:b w:val="0"/>
              <w:noProof/>
              <w:sz w:val="22"/>
              <w:lang w:eastAsia="en-AU"/>
            </w:rPr>
          </w:pPr>
          <w:hyperlink w:anchor="_Toc67579148" w:history="1">
            <w:r w:rsidRPr="00F93046">
              <w:rPr>
                <w:rStyle w:val="Hyperlink"/>
                <w:noProof/>
              </w:rPr>
              <w:t>Nonclinical</w:t>
            </w:r>
            <w:r>
              <w:rPr>
                <w:noProof/>
                <w:webHidden/>
              </w:rPr>
              <w:tab/>
            </w:r>
            <w:r>
              <w:rPr>
                <w:noProof/>
                <w:webHidden/>
              </w:rPr>
              <w:fldChar w:fldCharType="begin"/>
            </w:r>
            <w:r>
              <w:rPr>
                <w:noProof/>
                <w:webHidden/>
              </w:rPr>
              <w:instrText xml:space="preserve"> PAGEREF _Toc67579148 \h </w:instrText>
            </w:r>
            <w:r>
              <w:rPr>
                <w:noProof/>
                <w:webHidden/>
              </w:rPr>
            </w:r>
            <w:r>
              <w:rPr>
                <w:noProof/>
                <w:webHidden/>
              </w:rPr>
              <w:fldChar w:fldCharType="separate"/>
            </w:r>
            <w:r>
              <w:rPr>
                <w:noProof/>
                <w:webHidden/>
              </w:rPr>
              <w:t>12</w:t>
            </w:r>
            <w:r>
              <w:rPr>
                <w:noProof/>
                <w:webHidden/>
              </w:rPr>
              <w:fldChar w:fldCharType="end"/>
            </w:r>
          </w:hyperlink>
        </w:p>
        <w:p w14:paraId="1B054A2C" w14:textId="1D15D334" w:rsidR="002C210B" w:rsidRDefault="002C210B">
          <w:pPr>
            <w:pStyle w:val="TOC2"/>
            <w:rPr>
              <w:rFonts w:asciiTheme="minorHAnsi" w:eastAsiaTheme="minorEastAsia" w:hAnsiTheme="minorHAnsi" w:cstheme="minorBidi"/>
              <w:b w:val="0"/>
              <w:noProof/>
              <w:sz w:val="22"/>
              <w:lang w:eastAsia="en-AU"/>
            </w:rPr>
          </w:pPr>
          <w:hyperlink w:anchor="_Toc67579149" w:history="1">
            <w:r w:rsidRPr="00F93046">
              <w:rPr>
                <w:rStyle w:val="Hyperlink"/>
                <w:noProof/>
              </w:rPr>
              <w:t>Clinical</w:t>
            </w:r>
            <w:r>
              <w:rPr>
                <w:noProof/>
                <w:webHidden/>
              </w:rPr>
              <w:tab/>
            </w:r>
            <w:r>
              <w:rPr>
                <w:noProof/>
                <w:webHidden/>
              </w:rPr>
              <w:fldChar w:fldCharType="begin"/>
            </w:r>
            <w:r>
              <w:rPr>
                <w:noProof/>
                <w:webHidden/>
              </w:rPr>
              <w:instrText xml:space="preserve"> PAGEREF _Toc67579149 \h </w:instrText>
            </w:r>
            <w:r>
              <w:rPr>
                <w:noProof/>
                <w:webHidden/>
              </w:rPr>
            </w:r>
            <w:r>
              <w:rPr>
                <w:noProof/>
                <w:webHidden/>
              </w:rPr>
              <w:fldChar w:fldCharType="separate"/>
            </w:r>
            <w:r>
              <w:rPr>
                <w:noProof/>
                <w:webHidden/>
              </w:rPr>
              <w:t>13</w:t>
            </w:r>
            <w:r>
              <w:rPr>
                <w:noProof/>
                <w:webHidden/>
              </w:rPr>
              <w:fldChar w:fldCharType="end"/>
            </w:r>
          </w:hyperlink>
        </w:p>
        <w:p w14:paraId="34FB4597" w14:textId="766F4AD4" w:rsidR="002C210B" w:rsidRDefault="002C210B">
          <w:pPr>
            <w:pStyle w:val="TOC2"/>
            <w:rPr>
              <w:rFonts w:asciiTheme="minorHAnsi" w:eastAsiaTheme="minorEastAsia" w:hAnsiTheme="minorHAnsi" w:cstheme="minorBidi"/>
              <w:b w:val="0"/>
              <w:noProof/>
              <w:sz w:val="22"/>
              <w:lang w:eastAsia="en-AU"/>
            </w:rPr>
          </w:pPr>
          <w:hyperlink w:anchor="_Toc67579150" w:history="1">
            <w:r w:rsidRPr="00F93046">
              <w:rPr>
                <w:rStyle w:val="Hyperlink"/>
                <w:noProof/>
                <w:lang w:eastAsia="en-AU"/>
              </w:rPr>
              <w:t>Risk management plan</w:t>
            </w:r>
            <w:r>
              <w:rPr>
                <w:noProof/>
                <w:webHidden/>
              </w:rPr>
              <w:tab/>
            </w:r>
            <w:r>
              <w:rPr>
                <w:noProof/>
                <w:webHidden/>
              </w:rPr>
              <w:fldChar w:fldCharType="begin"/>
            </w:r>
            <w:r>
              <w:rPr>
                <w:noProof/>
                <w:webHidden/>
              </w:rPr>
              <w:instrText xml:space="preserve"> PAGEREF _Toc67579150 \h </w:instrText>
            </w:r>
            <w:r>
              <w:rPr>
                <w:noProof/>
                <w:webHidden/>
              </w:rPr>
            </w:r>
            <w:r>
              <w:rPr>
                <w:noProof/>
                <w:webHidden/>
              </w:rPr>
              <w:fldChar w:fldCharType="separate"/>
            </w:r>
            <w:r>
              <w:rPr>
                <w:noProof/>
                <w:webHidden/>
              </w:rPr>
              <w:t>36</w:t>
            </w:r>
            <w:r>
              <w:rPr>
                <w:noProof/>
                <w:webHidden/>
              </w:rPr>
              <w:fldChar w:fldCharType="end"/>
            </w:r>
          </w:hyperlink>
        </w:p>
        <w:p w14:paraId="26A96FE6" w14:textId="463D2841" w:rsidR="002C210B" w:rsidRDefault="002C210B">
          <w:pPr>
            <w:pStyle w:val="TOC2"/>
            <w:rPr>
              <w:rFonts w:asciiTheme="minorHAnsi" w:eastAsiaTheme="minorEastAsia" w:hAnsiTheme="minorHAnsi" w:cstheme="minorBidi"/>
              <w:b w:val="0"/>
              <w:noProof/>
              <w:sz w:val="22"/>
              <w:lang w:eastAsia="en-AU"/>
            </w:rPr>
          </w:pPr>
          <w:hyperlink w:anchor="_Toc67579151" w:history="1">
            <w:r w:rsidRPr="00F93046">
              <w:rPr>
                <w:rStyle w:val="Hyperlink"/>
                <w:noProof/>
              </w:rPr>
              <w:t>Risk-benefit analysis</w:t>
            </w:r>
            <w:r>
              <w:rPr>
                <w:noProof/>
                <w:webHidden/>
              </w:rPr>
              <w:tab/>
            </w:r>
            <w:r>
              <w:rPr>
                <w:noProof/>
                <w:webHidden/>
              </w:rPr>
              <w:fldChar w:fldCharType="begin"/>
            </w:r>
            <w:r>
              <w:rPr>
                <w:noProof/>
                <w:webHidden/>
              </w:rPr>
              <w:instrText xml:space="preserve"> PAGEREF _Toc67579151 \h </w:instrText>
            </w:r>
            <w:r>
              <w:rPr>
                <w:noProof/>
                <w:webHidden/>
              </w:rPr>
            </w:r>
            <w:r>
              <w:rPr>
                <w:noProof/>
                <w:webHidden/>
              </w:rPr>
              <w:fldChar w:fldCharType="separate"/>
            </w:r>
            <w:r>
              <w:rPr>
                <w:noProof/>
                <w:webHidden/>
              </w:rPr>
              <w:t>38</w:t>
            </w:r>
            <w:r>
              <w:rPr>
                <w:noProof/>
                <w:webHidden/>
              </w:rPr>
              <w:fldChar w:fldCharType="end"/>
            </w:r>
          </w:hyperlink>
        </w:p>
        <w:p w14:paraId="4D368D51" w14:textId="222DEEB7" w:rsidR="002C210B" w:rsidRDefault="002C210B">
          <w:pPr>
            <w:pStyle w:val="TOC2"/>
            <w:rPr>
              <w:rFonts w:asciiTheme="minorHAnsi" w:eastAsiaTheme="minorEastAsia" w:hAnsiTheme="minorHAnsi" w:cstheme="minorBidi"/>
              <w:b w:val="0"/>
              <w:noProof/>
              <w:sz w:val="22"/>
              <w:lang w:eastAsia="en-AU"/>
            </w:rPr>
          </w:pPr>
          <w:hyperlink w:anchor="_Toc67579152" w:history="1">
            <w:r w:rsidRPr="00F93046">
              <w:rPr>
                <w:rStyle w:val="Hyperlink"/>
                <w:noProof/>
              </w:rPr>
              <w:t>Outcome</w:t>
            </w:r>
            <w:r>
              <w:rPr>
                <w:noProof/>
                <w:webHidden/>
              </w:rPr>
              <w:tab/>
            </w:r>
            <w:r>
              <w:rPr>
                <w:noProof/>
                <w:webHidden/>
              </w:rPr>
              <w:fldChar w:fldCharType="begin"/>
            </w:r>
            <w:r>
              <w:rPr>
                <w:noProof/>
                <w:webHidden/>
              </w:rPr>
              <w:instrText xml:space="preserve"> PAGEREF _Toc67579152 \h </w:instrText>
            </w:r>
            <w:r>
              <w:rPr>
                <w:noProof/>
                <w:webHidden/>
              </w:rPr>
            </w:r>
            <w:r>
              <w:rPr>
                <w:noProof/>
                <w:webHidden/>
              </w:rPr>
              <w:fldChar w:fldCharType="separate"/>
            </w:r>
            <w:r>
              <w:rPr>
                <w:noProof/>
                <w:webHidden/>
              </w:rPr>
              <w:t>44</w:t>
            </w:r>
            <w:r>
              <w:rPr>
                <w:noProof/>
                <w:webHidden/>
              </w:rPr>
              <w:fldChar w:fldCharType="end"/>
            </w:r>
          </w:hyperlink>
        </w:p>
        <w:p w14:paraId="40D83032" w14:textId="5F5D7042" w:rsidR="002C210B" w:rsidRDefault="002C210B">
          <w:pPr>
            <w:pStyle w:val="TOC1"/>
            <w:rPr>
              <w:rFonts w:asciiTheme="minorHAnsi" w:eastAsiaTheme="minorEastAsia" w:hAnsiTheme="minorHAnsi" w:cstheme="minorBidi"/>
              <w:b w:val="0"/>
              <w:noProof/>
              <w:sz w:val="22"/>
              <w:lang w:eastAsia="en-AU"/>
            </w:rPr>
          </w:pPr>
          <w:hyperlink w:anchor="_Toc67579153" w:history="1">
            <w:r w:rsidRPr="00F93046">
              <w:rPr>
                <w:rStyle w:val="Hyperlink"/>
                <w:noProof/>
              </w:rPr>
              <w:t>Attachment 1. Product Information</w:t>
            </w:r>
            <w:r>
              <w:rPr>
                <w:noProof/>
                <w:webHidden/>
              </w:rPr>
              <w:tab/>
            </w:r>
            <w:r>
              <w:rPr>
                <w:noProof/>
                <w:webHidden/>
              </w:rPr>
              <w:fldChar w:fldCharType="begin"/>
            </w:r>
            <w:r>
              <w:rPr>
                <w:noProof/>
                <w:webHidden/>
              </w:rPr>
              <w:instrText xml:space="preserve"> PAGEREF _Toc67579153 \h </w:instrText>
            </w:r>
            <w:r>
              <w:rPr>
                <w:noProof/>
                <w:webHidden/>
              </w:rPr>
            </w:r>
            <w:r>
              <w:rPr>
                <w:noProof/>
                <w:webHidden/>
              </w:rPr>
              <w:fldChar w:fldCharType="separate"/>
            </w:r>
            <w:r>
              <w:rPr>
                <w:noProof/>
                <w:webHidden/>
              </w:rPr>
              <w:t>45</w:t>
            </w:r>
            <w:r>
              <w:rPr>
                <w:noProof/>
                <w:webHidden/>
              </w:rPr>
              <w:fldChar w:fldCharType="end"/>
            </w:r>
          </w:hyperlink>
        </w:p>
        <w:p w14:paraId="2303D497" w14:textId="4FA935D0" w:rsidR="003A7F6C" w:rsidRPr="00B811C6" w:rsidRDefault="00C525A2" w:rsidP="00B811C6">
          <w:pPr>
            <w:pStyle w:val="TOC2"/>
          </w:pPr>
          <w:r>
            <w:fldChar w:fldCharType="end"/>
          </w:r>
        </w:p>
      </w:sdtContent>
    </w:sdt>
    <w:bookmarkStart w:id="3" w:name="_Toc314842482" w:displacedByCustomXml="prev"/>
    <w:p w14:paraId="64FF7939" w14:textId="77777777" w:rsidR="00FD119B" w:rsidRDefault="00FD119B">
      <w:pPr>
        <w:spacing w:before="0" w:after="200" w:line="0" w:lineRule="auto"/>
      </w:pPr>
      <w:r>
        <w:br w:type="page"/>
      </w:r>
    </w:p>
    <w:p w14:paraId="37DA6DC7" w14:textId="77777777" w:rsidR="00C52E24" w:rsidRPr="00C52E24" w:rsidRDefault="00324E45" w:rsidP="00382E95">
      <w:pPr>
        <w:pStyle w:val="Heading2"/>
      </w:pPr>
      <w:bookmarkStart w:id="4" w:name="_Toc351716269"/>
      <w:bookmarkStart w:id="5" w:name="_Toc351718881"/>
      <w:bookmarkStart w:id="6" w:name="_Toc355338616"/>
      <w:bookmarkStart w:id="7" w:name="_Toc356306144"/>
      <w:bookmarkStart w:id="8" w:name="_Toc67579139"/>
      <w:r>
        <w:t>List of</w:t>
      </w:r>
      <w:r w:rsidR="00FD119B" w:rsidRPr="00FD119B">
        <w:t xml:space="preserve"> abbreviations</w:t>
      </w:r>
      <w:bookmarkEnd w:id="4"/>
      <w:bookmarkEnd w:id="5"/>
      <w:bookmarkEnd w:id="6"/>
      <w:bookmarkEnd w:id="7"/>
      <w:bookmarkEnd w:id="8"/>
    </w:p>
    <w:tbl>
      <w:tblPr>
        <w:tblStyle w:val="TableTGAblue"/>
        <w:tblW w:w="0" w:type="auto"/>
        <w:tblLook w:val="04A0" w:firstRow="1" w:lastRow="0" w:firstColumn="1" w:lastColumn="0" w:noHBand="0" w:noVBand="1"/>
      </w:tblPr>
      <w:tblGrid>
        <w:gridCol w:w="1796"/>
        <w:gridCol w:w="6698"/>
      </w:tblGrid>
      <w:tr w:rsidR="00E72097" w:rsidRPr="00FD119B" w14:paraId="5C46F214" w14:textId="77777777" w:rsidTr="00CF5DAD">
        <w:trPr>
          <w:cnfStyle w:val="100000000000" w:firstRow="1" w:lastRow="0" w:firstColumn="0" w:lastColumn="0" w:oddVBand="0" w:evenVBand="0" w:oddHBand="0" w:evenHBand="0" w:firstRowFirstColumn="0" w:firstRowLastColumn="0" w:lastRowFirstColumn="0" w:lastRowLastColumn="0"/>
        </w:trPr>
        <w:tc>
          <w:tcPr>
            <w:tcW w:w="1809" w:type="dxa"/>
            <w:tcBorders>
              <w:top w:val="single" w:sz="4" w:space="0" w:color="auto"/>
              <w:left w:val="single" w:sz="4" w:space="0" w:color="auto"/>
              <w:bottom w:val="single" w:sz="4" w:space="0" w:color="auto"/>
              <w:right w:val="single" w:sz="4" w:space="0" w:color="auto"/>
            </w:tcBorders>
          </w:tcPr>
          <w:p w14:paraId="51B23E9D" w14:textId="77777777" w:rsidR="00E72097" w:rsidRPr="00FD119B" w:rsidRDefault="00E72097" w:rsidP="00683FE0">
            <w:pPr>
              <w:keepNext w:val="0"/>
              <w:ind w:left="0" w:right="0"/>
              <w:rPr>
                <w:szCs w:val="22"/>
                <w:lang w:eastAsia="en-US"/>
              </w:rPr>
            </w:pPr>
            <w:r w:rsidRPr="00FD119B">
              <w:rPr>
                <w:szCs w:val="22"/>
                <w:lang w:eastAsia="en-US"/>
              </w:rPr>
              <w:t>Abbreviation</w:t>
            </w:r>
          </w:p>
        </w:tc>
        <w:tc>
          <w:tcPr>
            <w:tcW w:w="6911" w:type="dxa"/>
            <w:tcBorders>
              <w:top w:val="single" w:sz="4" w:space="0" w:color="auto"/>
              <w:left w:val="single" w:sz="4" w:space="0" w:color="auto"/>
              <w:bottom w:val="single" w:sz="4" w:space="0" w:color="auto"/>
              <w:right w:val="single" w:sz="4" w:space="0" w:color="auto"/>
            </w:tcBorders>
          </w:tcPr>
          <w:p w14:paraId="3E18E646" w14:textId="77777777" w:rsidR="00E72097" w:rsidRPr="00FD119B" w:rsidRDefault="00E72097" w:rsidP="00683FE0">
            <w:pPr>
              <w:keepNext w:val="0"/>
              <w:ind w:left="0" w:right="0"/>
              <w:rPr>
                <w:szCs w:val="22"/>
                <w:lang w:eastAsia="en-US"/>
              </w:rPr>
            </w:pPr>
            <w:r w:rsidRPr="00FD119B">
              <w:rPr>
                <w:szCs w:val="22"/>
                <w:lang w:eastAsia="en-US"/>
              </w:rPr>
              <w:t>Meaning</w:t>
            </w:r>
          </w:p>
        </w:tc>
      </w:tr>
      <w:tr w:rsidR="00E72097" w:rsidRPr="00FD119B" w14:paraId="6E86309E" w14:textId="77777777" w:rsidTr="00CF5DAD">
        <w:tc>
          <w:tcPr>
            <w:tcW w:w="1809" w:type="dxa"/>
            <w:tcBorders>
              <w:top w:val="single" w:sz="4" w:space="0" w:color="auto"/>
            </w:tcBorders>
          </w:tcPr>
          <w:p w14:paraId="28C1E3A0" w14:textId="77777777" w:rsidR="00E72097" w:rsidRPr="00FD119B" w:rsidRDefault="00E72097" w:rsidP="00683FE0">
            <w:pPr>
              <w:ind w:left="0" w:right="0"/>
            </w:pPr>
            <w:r>
              <w:t>ACM</w:t>
            </w:r>
          </w:p>
        </w:tc>
        <w:tc>
          <w:tcPr>
            <w:tcW w:w="6911" w:type="dxa"/>
            <w:tcBorders>
              <w:top w:val="single" w:sz="4" w:space="0" w:color="auto"/>
            </w:tcBorders>
          </w:tcPr>
          <w:p w14:paraId="31463C5B" w14:textId="77777777" w:rsidR="00E72097" w:rsidRPr="00FD119B" w:rsidRDefault="00E72097" w:rsidP="00683FE0">
            <w:pPr>
              <w:ind w:left="0" w:right="0"/>
            </w:pPr>
            <w:r w:rsidRPr="00460036">
              <w:t>Advisory Committee on Medicines</w:t>
            </w:r>
          </w:p>
        </w:tc>
      </w:tr>
      <w:tr w:rsidR="00E72097" w:rsidRPr="00FD119B" w14:paraId="18C29624" w14:textId="77777777" w:rsidTr="00FD119B">
        <w:tc>
          <w:tcPr>
            <w:tcW w:w="1809" w:type="dxa"/>
          </w:tcPr>
          <w:p w14:paraId="2D041B21" w14:textId="77777777" w:rsidR="00E72097" w:rsidRPr="00FD119B" w:rsidRDefault="00E72097" w:rsidP="00E66E96">
            <w:pPr>
              <w:ind w:left="0"/>
            </w:pPr>
            <w:r>
              <w:t>AE</w:t>
            </w:r>
          </w:p>
        </w:tc>
        <w:tc>
          <w:tcPr>
            <w:tcW w:w="6911" w:type="dxa"/>
          </w:tcPr>
          <w:p w14:paraId="1191930A" w14:textId="77777777" w:rsidR="00E72097" w:rsidRDefault="00E0433A" w:rsidP="003201DC">
            <w:pPr>
              <w:ind w:left="0"/>
            </w:pPr>
            <w:r>
              <w:t>Adverse event</w:t>
            </w:r>
          </w:p>
        </w:tc>
      </w:tr>
      <w:tr w:rsidR="00E72097" w:rsidRPr="00FD119B" w14:paraId="00A78368" w14:textId="77777777" w:rsidTr="00FD119B">
        <w:tc>
          <w:tcPr>
            <w:tcW w:w="1809" w:type="dxa"/>
          </w:tcPr>
          <w:p w14:paraId="7C069CB2" w14:textId="77777777" w:rsidR="00E72097" w:rsidRPr="00FD119B" w:rsidRDefault="00E72097" w:rsidP="001C0164">
            <w:pPr>
              <w:ind w:left="0"/>
            </w:pPr>
            <w:r>
              <w:t>AESI</w:t>
            </w:r>
          </w:p>
        </w:tc>
        <w:tc>
          <w:tcPr>
            <w:tcW w:w="6911" w:type="dxa"/>
          </w:tcPr>
          <w:p w14:paraId="24B64CA8" w14:textId="77777777" w:rsidR="00E72097" w:rsidRDefault="00E72097" w:rsidP="001C0164">
            <w:pPr>
              <w:ind w:left="0"/>
            </w:pPr>
            <w:r>
              <w:t>Adverse event of special interest</w:t>
            </w:r>
          </w:p>
        </w:tc>
      </w:tr>
      <w:tr w:rsidR="00E72097" w:rsidRPr="00FD119B" w14:paraId="194B1843" w14:textId="77777777" w:rsidTr="00FD119B">
        <w:tc>
          <w:tcPr>
            <w:tcW w:w="1809" w:type="dxa"/>
          </w:tcPr>
          <w:p w14:paraId="3568CD00" w14:textId="77777777" w:rsidR="00E72097" w:rsidRPr="00FD119B" w:rsidRDefault="00E72097" w:rsidP="001C0164">
            <w:pPr>
              <w:ind w:left="0"/>
            </w:pPr>
            <w:r w:rsidRPr="001C0164">
              <w:t>ALT</w:t>
            </w:r>
          </w:p>
        </w:tc>
        <w:tc>
          <w:tcPr>
            <w:tcW w:w="6911" w:type="dxa"/>
          </w:tcPr>
          <w:p w14:paraId="108D56E4" w14:textId="77777777" w:rsidR="00E72097" w:rsidRDefault="00E72097" w:rsidP="001C0164">
            <w:pPr>
              <w:ind w:left="0"/>
            </w:pPr>
            <w:r>
              <w:t>Alanine aminotransferase</w:t>
            </w:r>
          </w:p>
        </w:tc>
      </w:tr>
      <w:tr w:rsidR="00E72097" w:rsidRPr="00FD119B" w14:paraId="4CF2CE40" w14:textId="77777777" w:rsidTr="00FD119B">
        <w:tc>
          <w:tcPr>
            <w:tcW w:w="1809" w:type="dxa"/>
          </w:tcPr>
          <w:p w14:paraId="70EE74FD" w14:textId="77777777" w:rsidR="00E72097" w:rsidRPr="00FD119B" w:rsidRDefault="00E72097" w:rsidP="00683FE0">
            <w:pPr>
              <w:ind w:left="0" w:right="0"/>
            </w:pPr>
            <w:r>
              <w:t>ARTG</w:t>
            </w:r>
          </w:p>
        </w:tc>
        <w:tc>
          <w:tcPr>
            <w:tcW w:w="6911" w:type="dxa"/>
          </w:tcPr>
          <w:p w14:paraId="070B0606" w14:textId="77777777" w:rsidR="00E72097" w:rsidRPr="00FD119B" w:rsidRDefault="00E72097" w:rsidP="00683FE0">
            <w:pPr>
              <w:ind w:left="0" w:right="0"/>
            </w:pPr>
            <w:r w:rsidRPr="00460036">
              <w:t>Australian Register of Therapeutic Goods</w:t>
            </w:r>
          </w:p>
        </w:tc>
      </w:tr>
      <w:tr w:rsidR="00E72097" w:rsidRPr="00FD119B" w14:paraId="1499F3BA" w14:textId="77777777" w:rsidTr="00FD119B">
        <w:tc>
          <w:tcPr>
            <w:tcW w:w="1809" w:type="dxa"/>
          </w:tcPr>
          <w:p w14:paraId="19DF3E53" w14:textId="77777777" w:rsidR="00E72097" w:rsidRPr="00FD119B" w:rsidRDefault="00E72097" w:rsidP="001C0164">
            <w:pPr>
              <w:ind w:left="0"/>
            </w:pPr>
            <w:r>
              <w:t>ASA</w:t>
            </w:r>
          </w:p>
        </w:tc>
        <w:tc>
          <w:tcPr>
            <w:tcW w:w="6911" w:type="dxa"/>
          </w:tcPr>
          <w:p w14:paraId="2466BE29" w14:textId="114F84D5" w:rsidR="00E72097" w:rsidRDefault="0044586C" w:rsidP="003B200E">
            <w:pPr>
              <w:ind w:left="0"/>
            </w:pPr>
            <w:r>
              <w:t>Australian specific A</w:t>
            </w:r>
            <w:r w:rsidR="00E72097">
              <w:t>nnex</w:t>
            </w:r>
          </w:p>
        </w:tc>
      </w:tr>
      <w:tr w:rsidR="00E72097" w:rsidRPr="00FD119B" w14:paraId="5B2B1564" w14:textId="77777777" w:rsidTr="00FD119B">
        <w:tc>
          <w:tcPr>
            <w:tcW w:w="1809" w:type="dxa"/>
          </w:tcPr>
          <w:p w14:paraId="7127EF53" w14:textId="77777777" w:rsidR="00E72097" w:rsidRPr="00FD119B" w:rsidRDefault="00E72097" w:rsidP="001C0164">
            <w:pPr>
              <w:ind w:left="0"/>
            </w:pPr>
            <w:r w:rsidRPr="001C0164">
              <w:t>AST</w:t>
            </w:r>
          </w:p>
        </w:tc>
        <w:tc>
          <w:tcPr>
            <w:tcW w:w="6911" w:type="dxa"/>
          </w:tcPr>
          <w:p w14:paraId="24152B4E" w14:textId="77777777" w:rsidR="00E72097" w:rsidRDefault="00E72097" w:rsidP="001C0164">
            <w:pPr>
              <w:ind w:left="0"/>
            </w:pPr>
            <w:r>
              <w:t>Aspartate transaminase</w:t>
            </w:r>
          </w:p>
        </w:tc>
      </w:tr>
      <w:tr w:rsidR="00E72097" w:rsidRPr="00FD119B" w14:paraId="7B947BF2" w14:textId="77777777" w:rsidTr="00FD119B">
        <w:tc>
          <w:tcPr>
            <w:tcW w:w="1809" w:type="dxa"/>
          </w:tcPr>
          <w:p w14:paraId="1EE0972A" w14:textId="77777777" w:rsidR="00E72097" w:rsidRPr="00FD119B" w:rsidRDefault="00E72097" w:rsidP="00683FE0">
            <w:pPr>
              <w:ind w:left="0"/>
            </w:pPr>
            <w:r w:rsidRPr="00706F48">
              <w:rPr>
                <w:szCs w:val="22"/>
              </w:rPr>
              <w:t>AUC</w:t>
            </w:r>
          </w:p>
        </w:tc>
        <w:tc>
          <w:tcPr>
            <w:tcW w:w="6911" w:type="dxa"/>
          </w:tcPr>
          <w:p w14:paraId="2913E713" w14:textId="77777777" w:rsidR="00E72097" w:rsidRPr="00706F48" w:rsidRDefault="00E72097" w:rsidP="00706F48">
            <w:pPr>
              <w:ind w:left="0"/>
              <w:rPr>
                <w:szCs w:val="22"/>
              </w:rPr>
            </w:pPr>
            <w:r w:rsidRPr="00706F48">
              <w:rPr>
                <w:szCs w:val="22"/>
              </w:rPr>
              <w:t>Area under the p</w:t>
            </w:r>
            <w:r>
              <w:rPr>
                <w:szCs w:val="22"/>
              </w:rPr>
              <w:t>lasma concentration time curve</w:t>
            </w:r>
          </w:p>
        </w:tc>
      </w:tr>
      <w:tr w:rsidR="00E72097" w:rsidRPr="00FD119B" w14:paraId="777C54BB" w14:textId="77777777" w:rsidTr="00FD119B">
        <w:tc>
          <w:tcPr>
            <w:tcW w:w="1809" w:type="dxa"/>
          </w:tcPr>
          <w:p w14:paraId="0A63EE06" w14:textId="77777777" w:rsidR="00E72097" w:rsidRPr="00FD119B" w:rsidRDefault="00E72097" w:rsidP="00683FE0">
            <w:pPr>
              <w:ind w:left="0"/>
            </w:pPr>
            <w:r w:rsidRPr="00706F48">
              <w:rPr>
                <w:szCs w:val="22"/>
              </w:rPr>
              <w:t>AUC</w:t>
            </w:r>
            <w:r w:rsidRPr="00706F48">
              <w:rPr>
                <w:szCs w:val="22"/>
                <w:vertAlign w:val="subscript"/>
              </w:rPr>
              <w:t>inf</w:t>
            </w:r>
          </w:p>
        </w:tc>
        <w:tc>
          <w:tcPr>
            <w:tcW w:w="6911" w:type="dxa"/>
          </w:tcPr>
          <w:p w14:paraId="36AF2071" w14:textId="77777777" w:rsidR="00E72097" w:rsidRPr="00706F48" w:rsidRDefault="00E72097" w:rsidP="00706F48">
            <w:pPr>
              <w:ind w:left="0"/>
              <w:rPr>
                <w:szCs w:val="22"/>
              </w:rPr>
            </w:pPr>
            <w:r w:rsidRPr="00706F48">
              <w:rPr>
                <w:szCs w:val="22"/>
              </w:rPr>
              <w:t>Area under the plasma concentration time cu</w:t>
            </w:r>
            <w:r>
              <w:rPr>
                <w:szCs w:val="22"/>
              </w:rPr>
              <w:t>rve from time zero to infinity</w:t>
            </w:r>
          </w:p>
        </w:tc>
      </w:tr>
      <w:tr w:rsidR="00E72097" w:rsidRPr="00FD119B" w14:paraId="0A4C0175" w14:textId="77777777" w:rsidTr="00FD119B">
        <w:tc>
          <w:tcPr>
            <w:tcW w:w="1809" w:type="dxa"/>
          </w:tcPr>
          <w:p w14:paraId="77CB8749" w14:textId="77777777" w:rsidR="00E72097" w:rsidRPr="00FD119B" w:rsidRDefault="00E72097" w:rsidP="00683FE0">
            <w:pPr>
              <w:ind w:left="0"/>
            </w:pPr>
            <w:proofErr w:type="spellStart"/>
            <w:r w:rsidRPr="00706F48">
              <w:rPr>
                <w:szCs w:val="22"/>
              </w:rPr>
              <w:t>AUC</w:t>
            </w:r>
            <w:r w:rsidRPr="00706F48">
              <w:rPr>
                <w:szCs w:val="22"/>
                <w:vertAlign w:val="subscript"/>
              </w:rPr>
              <w:t>tau</w:t>
            </w:r>
            <w:proofErr w:type="spellEnd"/>
          </w:p>
        </w:tc>
        <w:tc>
          <w:tcPr>
            <w:tcW w:w="6911" w:type="dxa"/>
          </w:tcPr>
          <w:p w14:paraId="5611F760" w14:textId="77777777" w:rsidR="00E72097" w:rsidRPr="00706F48" w:rsidRDefault="00E72097" w:rsidP="00706F48">
            <w:pPr>
              <w:ind w:left="0"/>
              <w:rPr>
                <w:szCs w:val="22"/>
              </w:rPr>
            </w:pPr>
            <w:r w:rsidRPr="00706F48">
              <w:rPr>
                <w:szCs w:val="22"/>
              </w:rPr>
              <w:t>Area under plasma concentration-t</w:t>
            </w:r>
            <w:r>
              <w:rPr>
                <w:szCs w:val="22"/>
              </w:rPr>
              <w:t>ime curve over dosing interval</w:t>
            </w:r>
          </w:p>
        </w:tc>
      </w:tr>
      <w:tr w:rsidR="00E72097" w:rsidRPr="00FD119B" w14:paraId="4FC5C489" w14:textId="77777777" w:rsidTr="00FD119B">
        <w:tc>
          <w:tcPr>
            <w:tcW w:w="1809" w:type="dxa"/>
          </w:tcPr>
          <w:p w14:paraId="20E0A858" w14:textId="77777777" w:rsidR="00E72097" w:rsidRPr="00FD119B" w:rsidRDefault="00E72097" w:rsidP="00683FE0">
            <w:pPr>
              <w:ind w:left="0"/>
            </w:pPr>
            <w:r>
              <w:t>BD</w:t>
            </w:r>
          </w:p>
        </w:tc>
        <w:tc>
          <w:tcPr>
            <w:tcW w:w="6911" w:type="dxa"/>
          </w:tcPr>
          <w:p w14:paraId="65A6EC57" w14:textId="77777777" w:rsidR="00E72097" w:rsidRPr="00FD119B" w:rsidRDefault="00E72097" w:rsidP="00683FE0">
            <w:pPr>
              <w:ind w:left="0"/>
            </w:pPr>
            <w:r>
              <w:t xml:space="preserve">Twice daily (Latin: </w:t>
            </w:r>
            <w:proofErr w:type="spellStart"/>
            <w:r w:rsidRPr="00683FE0">
              <w:rPr>
                <w:i/>
              </w:rPr>
              <w:t>bis</w:t>
            </w:r>
            <w:proofErr w:type="spellEnd"/>
            <w:r w:rsidRPr="00683FE0">
              <w:rPr>
                <w:i/>
              </w:rPr>
              <w:t xml:space="preserve"> in die</w:t>
            </w:r>
            <w:r>
              <w:t>)</w:t>
            </w:r>
          </w:p>
        </w:tc>
      </w:tr>
      <w:tr w:rsidR="00E72097" w:rsidRPr="00FD119B" w14:paraId="6D1F7D32" w14:textId="77777777" w:rsidTr="00FD119B">
        <w:tc>
          <w:tcPr>
            <w:tcW w:w="1809" w:type="dxa"/>
          </w:tcPr>
          <w:p w14:paraId="71118A11" w14:textId="77777777" w:rsidR="00E72097" w:rsidRPr="00FD119B" w:rsidRDefault="00E72097" w:rsidP="00E66E96">
            <w:pPr>
              <w:ind w:left="0"/>
            </w:pPr>
            <w:r w:rsidRPr="00E66E96">
              <w:rPr>
                <w:szCs w:val="22"/>
              </w:rPr>
              <w:t>BICR</w:t>
            </w:r>
          </w:p>
        </w:tc>
        <w:tc>
          <w:tcPr>
            <w:tcW w:w="6911" w:type="dxa"/>
          </w:tcPr>
          <w:p w14:paraId="48EAA742" w14:textId="77777777" w:rsidR="00E72097" w:rsidRPr="00E66E96" w:rsidRDefault="00E72097" w:rsidP="00E66E96">
            <w:pPr>
              <w:ind w:left="0"/>
              <w:rPr>
                <w:szCs w:val="22"/>
              </w:rPr>
            </w:pPr>
            <w:r>
              <w:rPr>
                <w:szCs w:val="22"/>
              </w:rPr>
              <w:t>B</w:t>
            </w:r>
            <w:r w:rsidRPr="00E66E96">
              <w:rPr>
                <w:szCs w:val="22"/>
              </w:rPr>
              <w:t>lin</w:t>
            </w:r>
            <w:r>
              <w:rPr>
                <w:szCs w:val="22"/>
              </w:rPr>
              <w:t>ded independent central review</w:t>
            </w:r>
          </w:p>
        </w:tc>
      </w:tr>
      <w:tr w:rsidR="00E72097" w:rsidRPr="00FD119B" w14:paraId="330B86A7" w14:textId="77777777" w:rsidTr="00FD119B">
        <w:tc>
          <w:tcPr>
            <w:tcW w:w="1809" w:type="dxa"/>
          </w:tcPr>
          <w:p w14:paraId="6C12C86B" w14:textId="77777777" w:rsidR="00E72097" w:rsidRPr="00FD119B" w:rsidRDefault="00E72097" w:rsidP="00E66E96">
            <w:pPr>
              <w:ind w:left="0"/>
            </w:pPr>
            <w:r w:rsidRPr="00706F48">
              <w:rPr>
                <w:szCs w:val="22"/>
              </w:rPr>
              <w:t>CAP</w:t>
            </w:r>
          </w:p>
        </w:tc>
        <w:tc>
          <w:tcPr>
            <w:tcW w:w="6911" w:type="dxa"/>
          </w:tcPr>
          <w:p w14:paraId="279FA862" w14:textId="77777777" w:rsidR="00E72097" w:rsidRPr="00706F48" w:rsidRDefault="00E72097" w:rsidP="00E66E96">
            <w:pPr>
              <w:ind w:left="0"/>
              <w:rPr>
                <w:szCs w:val="22"/>
              </w:rPr>
            </w:pPr>
            <w:r>
              <w:rPr>
                <w:szCs w:val="22"/>
              </w:rPr>
              <w:t>P</w:t>
            </w:r>
            <w:r w:rsidRPr="00706F48">
              <w:rPr>
                <w:szCs w:val="22"/>
              </w:rPr>
              <w:t>owder in capsule</w:t>
            </w:r>
          </w:p>
        </w:tc>
      </w:tr>
      <w:tr w:rsidR="00E72097" w:rsidRPr="00FD119B" w14:paraId="303D3D9C" w14:textId="77777777" w:rsidTr="00FD119B">
        <w:tc>
          <w:tcPr>
            <w:tcW w:w="1809" w:type="dxa"/>
          </w:tcPr>
          <w:p w14:paraId="5C398058" w14:textId="77777777" w:rsidR="00E72097" w:rsidRPr="00FD119B" w:rsidRDefault="00E72097" w:rsidP="00E66E96">
            <w:pPr>
              <w:ind w:left="0"/>
            </w:pPr>
            <w:r w:rsidRPr="00E66E96">
              <w:rPr>
                <w:szCs w:val="22"/>
              </w:rPr>
              <w:t>CBR</w:t>
            </w:r>
          </w:p>
        </w:tc>
        <w:tc>
          <w:tcPr>
            <w:tcW w:w="6911" w:type="dxa"/>
          </w:tcPr>
          <w:p w14:paraId="24FD9B58" w14:textId="77777777" w:rsidR="00E72097" w:rsidRPr="00E66E96" w:rsidRDefault="00E72097" w:rsidP="00E66E96">
            <w:pPr>
              <w:ind w:left="0"/>
              <w:rPr>
                <w:szCs w:val="22"/>
              </w:rPr>
            </w:pPr>
            <w:r>
              <w:rPr>
                <w:szCs w:val="22"/>
              </w:rPr>
              <w:t>Clinical benefit rate</w:t>
            </w:r>
          </w:p>
        </w:tc>
      </w:tr>
      <w:tr w:rsidR="00E72097" w:rsidRPr="00FD119B" w14:paraId="6E28F609" w14:textId="77777777" w:rsidTr="00FD119B">
        <w:tc>
          <w:tcPr>
            <w:tcW w:w="1809" w:type="dxa"/>
          </w:tcPr>
          <w:p w14:paraId="38715DD1" w14:textId="77777777" w:rsidR="00E72097" w:rsidRPr="00FD119B" w:rsidRDefault="00E72097" w:rsidP="00E66E96">
            <w:pPr>
              <w:ind w:left="0"/>
            </w:pPr>
            <w:r>
              <w:t>CI</w:t>
            </w:r>
          </w:p>
        </w:tc>
        <w:tc>
          <w:tcPr>
            <w:tcW w:w="6911" w:type="dxa"/>
          </w:tcPr>
          <w:p w14:paraId="7028F416" w14:textId="77777777" w:rsidR="00E72097" w:rsidRPr="00587566" w:rsidRDefault="00E72097" w:rsidP="00E66E96">
            <w:pPr>
              <w:ind w:left="0"/>
              <w:rPr>
                <w:szCs w:val="20"/>
              </w:rPr>
            </w:pPr>
            <w:r w:rsidRPr="00587566">
              <w:rPr>
                <w:szCs w:val="20"/>
              </w:rPr>
              <w:t>Confidence interval</w:t>
            </w:r>
          </w:p>
        </w:tc>
      </w:tr>
      <w:tr w:rsidR="00E72097" w:rsidRPr="00FD119B" w14:paraId="3960B628" w14:textId="77777777" w:rsidTr="00FD119B">
        <w:tc>
          <w:tcPr>
            <w:tcW w:w="1809" w:type="dxa"/>
          </w:tcPr>
          <w:p w14:paraId="3473B5D3" w14:textId="77777777" w:rsidR="00E72097" w:rsidRPr="00FD119B" w:rsidRDefault="00E72097" w:rsidP="00683FE0">
            <w:pPr>
              <w:ind w:left="0"/>
            </w:pPr>
            <w:r w:rsidRPr="00706F48">
              <w:rPr>
                <w:szCs w:val="22"/>
              </w:rPr>
              <w:t>C</w:t>
            </w:r>
            <w:r w:rsidRPr="00706F48">
              <w:rPr>
                <w:szCs w:val="22"/>
                <w:vertAlign w:val="subscript"/>
              </w:rPr>
              <w:t>max</w:t>
            </w:r>
          </w:p>
        </w:tc>
        <w:tc>
          <w:tcPr>
            <w:tcW w:w="6911" w:type="dxa"/>
          </w:tcPr>
          <w:p w14:paraId="5613318C" w14:textId="77777777" w:rsidR="00E72097" w:rsidRPr="00706F48" w:rsidRDefault="00E72097" w:rsidP="00706F48">
            <w:pPr>
              <w:ind w:left="0"/>
              <w:rPr>
                <w:szCs w:val="22"/>
              </w:rPr>
            </w:pPr>
            <w:r>
              <w:rPr>
                <w:szCs w:val="22"/>
              </w:rPr>
              <w:t>Maximum plasma concentration</w:t>
            </w:r>
          </w:p>
        </w:tc>
      </w:tr>
      <w:tr w:rsidR="00E72097" w:rsidRPr="00FD119B" w14:paraId="224EC374" w14:textId="77777777" w:rsidTr="00FD119B">
        <w:tc>
          <w:tcPr>
            <w:tcW w:w="1809" w:type="dxa"/>
          </w:tcPr>
          <w:p w14:paraId="4E38DE65" w14:textId="77777777" w:rsidR="00E72097" w:rsidRPr="00FD119B" w:rsidRDefault="00E72097" w:rsidP="003B200E">
            <w:pPr>
              <w:ind w:left="0"/>
            </w:pPr>
            <w:r>
              <w:t>CMI</w:t>
            </w:r>
          </w:p>
        </w:tc>
        <w:tc>
          <w:tcPr>
            <w:tcW w:w="6911" w:type="dxa"/>
          </w:tcPr>
          <w:p w14:paraId="76B89591" w14:textId="77777777" w:rsidR="00E72097" w:rsidRDefault="00E72097" w:rsidP="003B200E">
            <w:pPr>
              <w:ind w:left="0"/>
            </w:pPr>
            <w:r>
              <w:t>Consumer Medicines Information</w:t>
            </w:r>
          </w:p>
        </w:tc>
      </w:tr>
      <w:tr w:rsidR="00E72097" w:rsidRPr="00FD119B" w14:paraId="1F0A96C9" w14:textId="77777777" w:rsidTr="00FD119B">
        <w:tc>
          <w:tcPr>
            <w:tcW w:w="1809" w:type="dxa"/>
          </w:tcPr>
          <w:p w14:paraId="42AD02A5" w14:textId="77777777" w:rsidR="00E72097" w:rsidRPr="00FD119B" w:rsidRDefault="00E72097" w:rsidP="00E66E96">
            <w:pPr>
              <w:ind w:left="0"/>
            </w:pPr>
            <w:r w:rsidRPr="00E66E96">
              <w:rPr>
                <w:szCs w:val="22"/>
              </w:rPr>
              <w:t>CNS</w:t>
            </w:r>
          </w:p>
        </w:tc>
        <w:tc>
          <w:tcPr>
            <w:tcW w:w="6911" w:type="dxa"/>
          </w:tcPr>
          <w:p w14:paraId="024B550D" w14:textId="77777777" w:rsidR="00E72097" w:rsidRPr="00E66E96" w:rsidRDefault="00E72097" w:rsidP="00E66E96">
            <w:pPr>
              <w:ind w:left="0"/>
              <w:rPr>
                <w:szCs w:val="22"/>
              </w:rPr>
            </w:pPr>
            <w:r>
              <w:rPr>
                <w:szCs w:val="22"/>
              </w:rPr>
              <w:t>Central nervous system</w:t>
            </w:r>
          </w:p>
        </w:tc>
      </w:tr>
      <w:tr w:rsidR="00E72097" w:rsidRPr="00FD119B" w14:paraId="2F7E5A12" w14:textId="77777777" w:rsidTr="00FD119B">
        <w:tc>
          <w:tcPr>
            <w:tcW w:w="1809" w:type="dxa"/>
          </w:tcPr>
          <w:p w14:paraId="7447664D" w14:textId="77777777" w:rsidR="00E72097" w:rsidRPr="00FD119B" w:rsidRDefault="00E72097" w:rsidP="00E66E96">
            <w:pPr>
              <w:ind w:left="0"/>
            </w:pPr>
            <w:proofErr w:type="spellStart"/>
            <w:r w:rsidRPr="00706F48">
              <w:rPr>
                <w:szCs w:val="22"/>
              </w:rPr>
              <w:t>C</w:t>
            </w:r>
            <w:r w:rsidRPr="00706F48">
              <w:rPr>
                <w:szCs w:val="22"/>
                <w:vertAlign w:val="subscript"/>
              </w:rPr>
              <w:t>trough</w:t>
            </w:r>
            <w:proofErr w:type="spellEnd"/>
          </w:p>
        </w:tc>
        <w:tc>
          <w:tcPr>
            <w:tcW w:w="6911" w:type="dxa"/>
          </w:tcPr>
          <w:p w14:paraId="722C7B2D" w14:textId="77777777" w:rsidR="00E72097" w:rsidRPr="00706F48" w:rsidRDefault="00E72097" w:rsidP="00E66E96">
            <w:pPr>
              <w:ind w:left="0"/>
              <w:rPr>
                <w:szCs w:val="22"/>
              </w:rPr>
            </w:pPr>
            <w:r>
              <w:rPr>
                <w:szCs w:val="22"/>
              </w:rPr>
              <w:t>T</w:t>
            </w:r>
            <w:r w:rsidRPr="00706F48">
              <w:rPr>
                <w:szCs w:val="22"/>
              </w:rPr>
              <w:t>rough conc</w:t>
            </w:r>
            <w:r>
              <w:rPr>
                <w:szCs w:val="22"/>
              </w:rPr>
              <w:t>entration</w:t>
            </w:r>
          </w:p>
        </w:tc>
      </w:tr>
      <w:tr w:rsidR="00E72097" w:rsidRPr="00FD119B" w14:paraId="05377C88" w14:textId="77777777" w:rsidTr="00FD119B">
        <w:tc>
          <w:tcPr>
            <w:tcW w:w="1809" w:type="dxa"/>
          </w:tcPr>
          <w:p w14:paraId="1D522D99" w14:textId="77777777" w:rsidR="00E72097" w:rsidRPr="00FD119B" w:rsidRDefault="00E72097" w:rsidP="00683FE0">
            <w:pPr>
              <w:ind w:left="0"/>
            </w:pPr>
            <w:r>
              <w:t>CV</w:t>
            </w:r>
          </w:p>
        </w:tc>
        <w:tc>
          <w:tcPr>
            <w:tcW w:w="6911" w:type="dxa"/>
          </w:tcPr>
          <w:p w14:paraId="74ABFDE0" w14:textId="77777777" w:rsidR="00E72097" w:rsidRPr="00706F48" w:rsidRDefault="00E72097" w:rsidP="00683FE0">
            <w:pPr>
              <w:ind w:left="0"/>
              <w:rPr>
                <w:szCs w:val="22"/>
              </w:rPr>
            </w:pPr>
            <w:r>
              <w:rPr>
                <w:szCs w:val="22"/>
              </w:rPr>
              <w:t>C</w:t>
            </w:r>
            <w:r w:rsidRPr="00706F48">
              <w:rPr>
                <w:szCs w:val="22"/>
              </w:rPr>
              <w:t>oeff</w:t>
            </w:r>
            <w:r>
              <w:rPr>
                <w:szCs w:val="22"/>
              </w:rPr>
              <w:t>icient of variation</w:t>
            </w:r>
          </w:p>
        </w:tc>
      </w:tr>
      <w:tr w:rsidR="00E72097" w:rsidRPr="00FD119B" w14:paraId="0408CFA8" w14:textId="77777777" w:rsidTr="00FD119B">
        <w:tc>
          <w:tcPr>
            <w:tcW w:w="1809" w:type="dxa"/>
          </w:tcPr>
          <w:p w14:paraId="3CB10E27" w14:textId="77777777" w:rsidR="00E72097" w:rsidRPr="00FD119B" w:rsidRDefault="00E72097" w:rsidP="00683FE0">
            <w:pPr>
              <w:ind w:left="0"/>
            </w:pPr>
            <w:r>
              <w:t>CYP</w:t>
            </w:r>
          </w:p>
        </w:tc>
        <w:tc>
          <w:tcPr>
            <w:tcW w:w="6911" w:type="dxa"/>
          </w:tcPr>
          <w:p w14:paraId="6F78B01A" w14:textId="77777777" w:rsidR="00E72097" w:rsidRPr="00FD119B" w:rsidRDefault="00E72097" w:rsidP="00683FE0">
            <w:pPr>
              <w:ind w:left="0"/>
            </w:pPr>
            <w:r>
              <w:t>Cytochrome P450</w:t>
            </w:r>
          </w:p>
        </w:tc>
      </w:tr>
      <w:tr w:rsidR="00E72097" w:rsidRPr="00FD119B" w14:paraId="17827184" w14:textId="77777777" w:rsidTr="00FD119B">
        <w:tc>
          <w:tcPr>
            <w:tcW w:w="1809" w:type="dxa"/>
          </w:tcPr>
          <w:p w14:paraId="61131D65" w14:textId="77777777" w:rsidR="00E72097" w:rsidRPr="00FD119B" w:rsidRDefault="00E72097" w:rsidP="00683FE0">
            <w:pPr>
              <w:ind w:left="0"/>
            </w:pPr>
            <w:r w:rsidRPr="001E0BE3">
              <w:t>DDI</w:t>
            </w:r>
          </w:p>
        </w:tc>
        <w:tc>
          <w:tcPr>
            <w:tcW w:w="6911" w:type="dxa"/>
          </w:tcPr>
          <w:p w14:paraId="355BA2D4" w14:textId="77777777" w:rsidR="00E72097" w:rsidRPr="00FD119B" w:rsidRDefault="00E72097" w:rsidP="001E0BE3">
            <w:pPr>
              <w:ind w:left="0"/>
            </w:pPr>
            <w:r>
              <w:t>Drug-drug interaction</w:t>
            </w:r>
          </w:p>
        </w:tc>
      </w:tr>
      <w:tr w:rsidR="00E72097" w:rsidRPr="00FD119B" w14:paraId="576EFC02" w14:textId="77777777" w:rsidTr="00FD119B">
        <w:tc>
          <w:tcPr>
            <w:tcW w:w="1809" w:type="dxa"/>
          </w:tcPr>
          <w:p w14:paraId="024987E9" w14:textId="77777777" w:rsidR="00E72097" w:rsidRPr="00FD119B" w:rsidRDefault="00E72097" w:rsidP="001C0164">
            <w:pPr>
              <w:ind w:left="0"/>
            </w:pPr>
            <w:r>
              <w:t>DGIEP</w:t>
            </w:r>
          </w:p>
        </w:tc>
        <w:tc>
          <w:tcPr>
            <w:tcW w:w="6911" w:type="dxa"/>
          </w:tcPr>
          <w:p w14:paraId="59EF9689" w14:textId="76141B87" w:rsidR="00E72097" w:rsidRDefault="00E72097" w:rsidP="001C0164">
            <w:pPr>
              <w:ind w:left="0"/>
            </w:pPr>
            <w:r>
              <w:t>Division of Gastroenterology and Inborn Errors Products</w:t>
            </w:r>
            <w:r w:rsidR="003E3DF2">
              <w:t xml:space="preserve"> (Food and Drug Administration, United States)</w:t>
            </w:r>
          </w:p>
        </w:tc>
      </w:tr>
      <w:tr w:rsidR="00E72097" w:rsidRPr="00FD119B" w14:paraId="680932ED" w14:textId="77777777" w:rsidTr="00FD119B">
        <w:tc>
          <w:tcPr>
            <w:tcW w:w="1809" w:type="dxa"/>
          </w:tcPr>
          <w:p w14:paraId="57C6BB55" w14:textId="77777777" w:rsidR="00E72097" w:rsidRPr="00FD119B" w:rsidRDefault="00E72097" w:rsidP="001C0164">
            <w:pPr>
              <w:ind w:left="0"/>
            </w:pPr>
            <w:r>
              <w:t>DILI</w:t>
            </w:r>
          </w:p>
        </w:tc>
        <w:tc>
          <w:tcPr>
            <w:tcW w:w="6911" w:type="dxa"/>
          </w:tcPr>
          <w:p w14:paraId="7E0D8737" w14:textId="77777777" w:rsidR="00E72097" w:rsidRDefault="00E0433A" w:rsidP="001C0164">
            <w:pPr>
              <w:ind w:left="0"/>
            </w:pPr>
            <w:r>
              <w:t>Drug induced liver injury</w:t>
            </w:r>
          </w:p>
        </w:tc>
      </w:tr>
      <w:tr w:rsidR="00E72097" w:rsidRPr="00FD119B" w14:paraId="2E492914" w14:textId="77777777" w:rsidTr="00FD119B">
        <w:tc>
          <w:tcPr>
            <w:tcW w:w="1809" w:type="dxa"/>
          </w:tcPr>
          <w:p w14:paraId="43F3A84E" w14:textId="77777777" w:rsidR="00E72097" w:rsidRPr="00FD119B" w:rsidRDefault="00E72097" w:rsidP="001C0164">
            <w:pPr>
              <w:ind w:left="0"/>
            </w:pPr>
            <w:r>
              <w:t>DLP</w:t>
            </w:r>
          </w:p>
        </w:tc>
        <w:tc>
          <w:tcPr>
            <w:tcW w:w="6911" w:type="dxa"/>
          </w:tcPr>
          <w:p w14:paraId="758C9BFD" w14:textId="77777777" w:rsidR="00E72097" w:rsidRDefault="00E72097" w:rsidP="003B200E">
            <w:pPr>
              <w:ind w:left="0"/>
            </w:pPr>
            <w:r>
              <w:t>Data lock point</w:t>
            </w:r>
          </w:p>
        </w:tc>
      </w:tr>
      <w:tr w:rsidR="00E72097" w:rsidRPr="00FD119B" w14:paraId="0D9C5FAB" w14:textId="77777777" w:rsidTr="00FD119B">
        <w:tc>
          <w:tcPr>
            <w:tcW w:w="1809" w:type="dxa"/>
          </w:tcPr>
          <w:p w14:paraId="47B9BAF5" w14:textId="77777777" w:rsidR="00E72097" w:rsidRPr="00FD119B" w:rsidRDefault="00E72097" w:rsidP="00E66E96">
            <w:pPr>
              <w:ind w:left="0"/>
            </w:pPr>
            <w:r w:rsidRPr="00E66E96">
              <w:rPr>
                <w:szCs w:val="22"/>
              </w:rPr>
              <w:t>DOR</w:t>
            </w:r>
          </w:p>
        </w:tc>
        <w:tc>
          <w:tcPr>
            <w:tcW w:w="6911" w:type="dxa"/>
          </w:tcPr>
          <w:p w14:paraId="3B4628EA" w14:textId="77777777" w:rsidR="00E72097" w:rsidRPr="00E66E96" w:rsidRDefault="00E72097" w:rsidP="00E66E96">
            <w:pPr>
              <w:ind w:left="0"/>
              <w:rPr>
                <w:szCs w:val="22"/>
              </w:rPr>
            </w:pPr>
            <w:r>
              <w:rPr>
                <w:szCs w:val="22"/>
              </w:rPr>
              <w:t>D</w:t>
            </w:r>
            <w:r w:rsidRPr="00E66E96">
              <w:rPr>
                <w:szCs w:val="22"/>
              </w:rPr>
              <w:t>uration of respo</w:t>
            </w:r>
            <w:r>
              <w:rPr>
                <w:szCs w:val="22"/>
              </w:rPr>
              <w:t>nse</w:t>
            </w:r>
          </w:p>
        </w:tc>
      </w:tr>
      <w:tr w:rsidR="00E72097" w:rsidRPr="00FD119B" w14:paraId="5C7FCDEE" w14:textId="77777777" w:rsidTr="00FD119B">
        <w:tc>
          <w:tcPr>
            <w:tcW w:w="1809" w:type="dxa"/>
          </w:tcPr>
          <w:p w14:paraId="430EE19D" w14:textId="77777777" w:rsidR="00E72097" w:rsidRPr="00FD119B" w:rsidRDefault="00E72097" w:rsidP="00E66E96">
            <w:pPr>
              <w:ind w:left="0"/>
            </w:pPr>
            <w:r>
              <w:t>ECOG PS</w:t>
            </w:r>
          </w:p>
        </w:tc>
        <w:tc>
          <w:tcPr>
            <w:tcW w:w="6911" w:type="dxa"/>
          </w:tcPr>
          <w:p w14:paraId="2CF20A3F" w14:textId="77777777" w:rsidR="00E72097" w:rsidRPr="00E66E96" w:rsidRDefault="00E72097" w:rsidP="00E66E96">
            <w:pPr>
              <w:ind w:left="0"/>
              <w:rPr>
                <w:szCs w:val="22"/>
              </w:rPr>
            </w:pPr>
            <w:r w:rsidRPr="00E66E96">
              <w:rPr>
                <w:rFonts w:cs="Arial"/>
                <w:szCs w:val="22"/>
                <w:shd w:val="clear" w:color="auto" w:fill="FFFFFF"/>
              </w:rPr>
              <w:t>Eastern Cooperative Oncology Group</w:t>
            </w:r>
            <w:r w:rsidRPr="00E66E96">
              <w:rPr>
                <w:szCs w:val="22"/>
              </w:rPr>
              <w:t xml:space="preserve"> performance status</w:t>
            </w:r>
          </w:p>
        </w:tc>
      </w:tr>
      <w:tr w:rsidR="00E72097" w:rsidRPr="00FD119B" w14:paraId="1F6767E6" w14:textId="77777777" w:rsidTr="00FD119B">
        <w:tc>
          <w:tcPr>
            <w:tcW w:w="1809" w:type="dxa"/>
          </w:tcPr>
          <w:p w14:paraId="2E0C0266" w14:textId="77777777" w:rsidR="00E72097" w:rsidRPr="00FD119B" w:rsidRDefault="00E72097" w:rsidP="00E66E96">
            <w:pPr>
              <w:ind w:left="0"/>
            </w:pPr>
            <w:r>
              <w:t>EGFR</w:t>
            </w:r>
          </w:p>
        </w:tc>
        <w:tc>
          <w:tcPr>
            <w:tcW w:w="6911" w:type="dxa"/>
          </w:tcPr>
          <w:p w14:paraId="1DC4BBDA" w14:textId="77777777" w:rsidR="00E72097" w:rsidRPr="00E66E96" w:rsidRDefault="00E72097" w:rsidP="00E66E96">
            <w:pPr>
              <w:ind w:left="0"/>
              <w:rPr>
                <w:szCs w:val="22"/>
              </w:rPr>
            </w:pPr>
            <w:r>
              <w:rPr>
                <w:szCs w:val="22"/>
              </w:rPr>
              <w:t>E</w:t>
            </w:r>
            <w:r w:rsidRPr="00E66E96">
              <w:rPr>
                <w:szCs w:val="22"/>
              </w:rPr>
              <w:t>pidermal growth factor receptor</w:t>
            </w:r>
          </w:p>
        </w:tc>
      </w:tr>
      <w:tr w:rsidR="00E72097" w:rsidRPr="00FD119B" w14:paraId="3EF9C6EE" w14:textId="77777777" w:rsidTr="00FD119B">
        <w:tc>
          <w:tcPr>
            <w:tcW w:w="1809" w:type="dxa"/>
          </w:tcPr>
          <w:p w14:paraId="5D09A3E4" w14:textId="77777777" w:rsidR="00E72097" w:rsidRPr="00FD119B" w:rsidRDefault="00E72097" w:rsidP="00E66E96">
            <w:pPr>
              <w:ind w:left="0"/>
            </w:pPr>
            <w:r w:rsidRPr="00C9554B">
              <w:t>EQ-5D-5L</w:t>
            </w:r>
          </w:p>
        </w:tc>
        <w:tc>
          <w:tcPr>
            <w:tcW w:w="6911" w:type="dxa"/>
          </w:tcPr>
          <w:p w14:paraId="55E14AA7" w14:textId="77777777" w:rsidR="00E72097" w:rsidRDefault="00E72097" w:rsidP="00C9554B">
            <w:pPr>
              <w:ind w:left="0"/>
            </w:pPr>
            <w:r>
              <w:t xml:space="preserve">5 level </w:t>
            </w:r>
            <w:proofErr w:type="spellStart"/>
            <w:r>
              <w:t>EuroQol</w:t>
            </w:r>
            <w:proofErr w:type="spellEnd"/>
            <w:r>
              <w:t xml:space="preserve"> - 5 Dimension</w:t>
            </w:r>
          </w:p>
        </w:tc>
      </w:tr>
      <w:tr w:rsidR="00E72097" w:rsidRPr="00FD119B" w14:paraId="5CC0141A" w14:textId="77777777" w:rsidTr="00FD119B">
        <w:tc>
          <w:tcPr>
            <w:tcW w:w="1809" w:type="dxa"/>
          </w:tcPr>
          <w:p w14:paraId="0F515F45" w14:textId="77777777" w:rsidR="00E72097" w:rsidRPr="00FD119B" w:rsidRDefault="00E72097" w:rsidP="00E66E96">
            <w:pPr>
              <w:ind w:left="0"/>
            </w:pPr>
            <w:r>
              <w:t>ER</w:t>
            </w:r>
          </w:p>
        </w:tc>
        <w:tc>
          <w:tcPr>
            <w:tcW w:w="6911" w:type="dxa"/>
          </w:tcPr>
          <w:p w14:paraId="3FC0A67E" w14:textId="77777777" w:rsidR="00E72097" w:rsidRPr="00587566" w:rsidRDefault="00E72097" w:rsidP="00E66E96">
            <w:pPr>
              <w:ind w:left="0"/>
              <w:rPr>
                <w:szCs w:val="20"/>
              </w:rPr>
            </w:pPr>
            <w:proofErr w:type="spellStart"/>
            <w:r w:rsidRPr="00587566">
              <w:rPr>
                <w:szCs w:val="20"/>
                <w:lang w:val="en-US"/>
              </w:rPr>
              <w:t>Oestrogen</w:t>
            </w:r>
            <w:proofErr w:type="spellEnd"/>
            <w:r w:rsidRPr="00587566">
              <w:rPr>
                <w:szCs w:val="20"/>
                <w:lang w:val="en-US"/>
              </w:rPr>
              <w:t xml:space="preserve"> receptor</w:t>
            </w:r>
          </w:p>
        </w:tc>
      </w:tr>
      <w:tr w:rsidR="00E72097" w:rsidRPr="00FD119B" w14:paraId="4392F00E" w14:textId="77777777" w:rsidTr="00FD119B">
        <w:tc>
          <w:tcPr>
            <w:tcW w:w="1809" w:type="dxa"/>
          </w:tcPr>
          <w:p w14:paraId="4FD00B9A" w14:textId="77777777" w:rsidR="00E72097" w:rsidRPr="00FD119B" w:rsidRDefault="00E72097" w:rsidP="00683FE0">
            <w:pPr>
              <w:ind w:left="0"/>
            </w:pPr>
            <w:r>
              <w:t>EU</w:t>
            </w:r>
          </w:p>
        </w:tc>
        <w:tc>
          <w:tcPr>
            <w:tcW w:w="6911" w:type="dxa"/>
          </w:tcPr>
          <w:p w14:paraId="7B59EAD5" w14:textId="77777777" w:rsidR="00E72097" w:rsidRPr="00FD119B" w:rsidRDefault="00E72097" w:rsidP="00683FE0">
            <w:pPr>
              <w:ind w:left="0"/>
            </w:pPr>
            <w:r>
              <w:t>European Union</w:t>
            </w:r>
          </w:p>
        </w:tc>
      </w:tr>
      <w:tr w:rsidR="00E72097" w:rsidRPr="00FD119B" w14:paraId="2C4D9E5A" w14:textId="77777777" w:rsidTr="00FD119B">
        <w:tc>
          <w:tcPr>
            <w:tcW w:w="1809" w:type="dxa"/>
          </w:tcPr>
          <w:p w14:paraId="77101A88" w14:textId="77777777" w:rsidR="00E72097" w:rsidRPr="00FD119B" w:rsidRDefault="00E72097" w:rsidP="00683FE0">
            <w:pPr>
              <w:ind w:left="0"/>
            </w:pPr>
            <w:r>
              <w:t>FDA</w:t>
            </w:r>
          </w:p>
        </w:tc>
        <w:tc>
          <w:tcPr>
            <w:tcW w:w="6911" w:type="dxa"/>
          </w:tcPr>
          <w:p w14:paraId="3FD6BE41" w14:textId="5CCE55C8" w:rsidR="00E72097" w:rsidRPr="00FD119B" w:rsidRDefault="00E72097" w:rsidP="00683FE0">
            <w:pPr>
              <w:ind w:left="0"/>
            </w:pPr>
            <w:r>
              <w:t>Food and Drug Administration</w:t>
            </w:r>
            <w:r w:rsidR="003E3DF2">
              <w:t xml:space="preserve"> (United States)</w:t>
            </w:r>
          </w:p>
        </w:tc>
      </w:tr>
      <w:tr w:rsidR="00E72097" w:rsidRPr="00FD119B" w14:paraId="34E3B14D" w14:textId="77777777" w:rsidTr="00FD119B">
        <w:tc>
          <w:tcPr>
            <w:tcW w:w="1809" w:type="dxa"/>
          </w:tcPr>
          <w:p w14:paraId="38C0BB43" w14:textId="77777777" w:rsidR="00E72097" w:rsidRPr="00FD119B" w:rsidRDefault="00E72097" w:rsidP="00E66E96">
            <w:pPr>
              <w:ind w:left="0"/>
            </w:pPr>
            <w:r w:rsidRPr="00706F48">
              <w:rPr>
                <w:szCs w:val="22"/>
              </w:rPr>
              <w:t>GMR</w:t>
            </w:r>
          </w:p>
        </w:tc>
        <w:tc>
          <w:tcPr>
            <w:tcW w:w="6911" w:type="dxa"/>
          </w:tcPr>
          <w:p w14:paraId="54DCC7A4" w14:textId="77777777" w:rsidR="00E72097" w:rsidRPr="00706F48" w:rsidRDefault="00E72097" w:rsidP="00E66E96">
            <w:pPr>
              <w:ind w:left="0"/>
              <w:rPr>
                <w:szCs w:val="22"/>
              </w:rPr>
            </w:pPr>
            <w:r>
              <w:rPr>
                <w:szCs w:val="22"/>
              </w:rPr>
              <w:t>Geometric mean ratios</w:t>
            </w:r>
          </w:p>
        </w:tc>
      </w:tr>
      <w:tr w:rsidR="00E72097" w:rsidRPr="00FD119B" w14:paraId="1192AA6E" w14:textId="77777777" w:rsidTr="00FD119B">
        <w:tc>
          <w:tcPr>
            <w:tcW w:w="1809" w:type="dxa"/>
          </w:tcPr>
          <w:p w14:paraId="1E159ED5" w14:textId="77777777" w:rsidR="00E72097" w:rsidRPr="00FD119B" w:rsidRDefault="00E72097" w:rsidP="003B200E">
            <w:pPr>
              <w:ind w:left="0"/>
            </w:pPr>
            <w:r>
              <w:rPr>
                <w:iCs/>
              </w:rPr>
              <w:t>GVP</w:t>
            </w:r>
          </w:p>
        </w:tc>
        <w:tc>
          <w:tcPr>
            <w:tcW w:w="6911" w:type="dxa"/>
          </w:tcPr>
          <w:p w14:paraId="3E7B0C46" w14:textId="77777777" w:rsidR="00E72097" w:rsidRDefault="00E72097" w:rsidP="003B200E">
            <w:pPr>
              <w:ind w:left="0"/>
            </w:pPr>
            <w:r>
              <w:rPr>
                <w:iCs/>
              </w:rPr>
              <w:t>Good Pharmacovigilance Practice(s)</w:t>
            </w:r>
          </w:p>
        </w:tc>
      </w:tr>
      <w:tr w:rsidR="00E72097" w:rsidRPr="00FD119B" w14:paraId="42CAAC06" w14:textId="77777777" w:rsidTr="00FD119B">
        <w:tc>
          <w:tcPr>
            <w:tcW w:w="1809" w:type="dxa"/>
          </w:tcPr>
          <w:p w14:paraId="42A0FF00" w14:textId="77777777" w:rsidR="00E72097" w:rsidRPr="00FD119B" w:rsidRDefault="00E72097" w:rsidP="00683FE0">
            <w:pPr>
              <w:ind w:left="0"/>
            </w:pPr>
            <w:r>
              <w:rPr>
                <w:rFonts w:eastAsia="Calibri"/>
              </w:rPr>
              <w:t>HC</w:t>
            </w:r>
          </w:p>
        </w:tc>
        <w:tc>
          <w:tcPr>
            <w:tcW w:w="6911" w:type="dxa"/>
          </w:tcPr>
          <w:p w14:paraId="35636FF4" w14:textId="77777777" w:rsidR="00E72097" w:rsidRPr="00FD119B" w:rsidRDefault="00E72097" w:rsidP="00683FE0">
            <w:pPr>
              <w:ind w:left="0"/>
            </w:pPr>
            <w:r>
              <w:rPr>
                <w:rFonts w:eastAsia="Calibri"/>
              </w:rPr>
              <w:t>Health Canada</w:t>
            </w:r>
          </w:p>
        </w:tc>
      </w:tr>
      <w:tr w:rsidR="00E72097" w:rsidRPr="00FD119B" w14:paraId="781707C1" w14:textId="77777777" w:rsidTr="00FD119B">
        <w:tc>
          <w:tcPr>
            <w:tcW w:w="1809" w:type="dxa"/>
          </w:tcPr>
          <w:p w14:paraId="7436277C" w14:textId="77777777" w:rsidR="00E72097" w:rsidRPr="00FD119B" w:rsidRDefault="00E72097" w:rsidP="00683FE0">
            <w:pPr>
              <w:ind w:left="0" w:right="0"/>
              <w:rPr>
                <w:color w:val="auto"/>
                <w:szCs w:val="22"/>
                <w:lang w:eastAsia="en-US"/>
              </w:rPr>
            </w:pPr>
            <w:r>
              <w:t>HER2</w:t>
            </w:r>
          </w:p>
        </w:tc>
        <w:tc>
          <w:tcPr>
            <w:tcW w:w="6911" w:type="dxa"/>
          </w:tcPr>
          <w:p w14:paraId="5C95C0EC" w14:textId="77777777" w:rsidR="00E72097" w:rsidRPr="00FD119B" w:rsidRDefault="00E72097" w:rsidP="00683FE0">
            <w:pPr>
              <w:ind w:left="0" w:right="0"/>
              <w:rPr>
                <w:color w:val="auto"/>
                <w:szCs w:val="22"/>
                <w:lang w:eastAsia="en-US"/>
              </w:rPr>
            </w:pPr>
            <w:r>
              <w:t>Human epidermal growth factor receptor 2</w:t>
            </w:r>
          </w:p>
        </w:tc>
      </w:tr>
      <w:tr w:rsidR="00E72097" w:rsidRPr="00FD119B" w14:paraId="5A9D5502" w14:textId="77777777" w:rsidTr="00FD119B">
        <w:tc>
          <w:tcPr>
            <w:tcW w:w="1809" w:type="dxa"/>
          </w:tcPr>
          <w:p w14:paraId="26917824" w14:textId="77777777" w:rsidR="00E72097" w:rsidRPr="00FD119B" w:rsidRDefault="00E72097" w:rsidP="00E66E96">
            <w:pPr>
              <w:ind w:left="0"/>
            </w:pPr>
            <w:r w:rsidRPr="00706F48">
              <w:rPr>
                <w:szCs w:val="22"/>
              </w:rPr>
              <w:t>HI</w:t>
            </w:r>
          </w:p>
        </w:tc>
        <w:tc>
          <w:tcPr>
            <w:tcW w:w="6911" w:type="dxa"/>
          </w:tcPr>
          <w:p w14:paraId="35BACED3" w14:textId="77777777" w:rsidR="00E72097" w:rsidRPr="00706F48" w:rsidRDefault="00E72097" w:rsidP="00E66E96">
            <w:pPr>
              <w:ind w:left="0"/>
              <w:rPr>
                <w:szCs w:val="22"/>
              </w:rPr>
            </w:pPr>
            <w:r>
              <w:rPr>
                <w:szCs w:val="22"/>
              </w:rPr>
              <w:t>H</w:t>
            </w:r>
            <w:r w:rsidRPr="00706F48">
              <w:rPr>
                <w:szCs w:val="22"/>
              </w:rPr>
              <w:t>epatic impairment</w:t>
            </w:r>
          </w:p>
        </w:tc>
      </w:tr>
      <w:tr w:rsidR="00E72097" w:rsidRPr="00FD119B" w14:paraId="395B75B4" w14:textId="77777777" w:rsidTr="00FD119B">
        <w:tc>
          <w:tcPr>
            <w:tcW w:w="1809" w:type="dxa"/>
          </w:tcPr>
          <w:p w14:paraId="60D31E31" w14:textId="77777777" w:rsidR="00E72097" w:rsidRPr="00FD119B" w:rsidRDefault="00E72097" w:rsidP="00E66E96">
            <w:pPr>
              <w:ind w:left="0"/>
            </w:pPr>
            <w:r w:rsidRPr="00E66E96">
              <w:rPr>
                <w:szCs w:val="22"/>
                <w:lang w:val="en-US"/>
              </w:rPr>
              <w:t>HR</w:t>
            </w:r>
          </w:p>
        </w:tc>
        <w:tc>
          <w:tcPr>
            <w:tcW w:w="6911" w:type="dxa"/>
          </w:tcPr>
          <w:p w14:paraId="1E3A304B" w14:textId="77777777" w:rsidR="00E72097" w:rsidRPr="00E66E96" w:rsidRDefault="00E72097" w:rsidP="00E66E96">
            <w:pPr>
              <w:ind w:left="0"/>
              <w:rPr>
                <w:szCs w:val="22"/>
              </w:rPr>
            </w:pPr>
            <w:r>
              <w:rPr>
                <w:szCs w:val="22"/>
                <w:lang w:val="en-US"/>
              </w:rPr>
              <w:t>Hazard ratio</w:t>
            </w:r>
          </w:p>
        </w:tc>
      </w:tr>
      <w:tr w:rsidR="00E72097" w:rsidRPr="00FD119B" w14:paraId="58795FFD" w14:textId="77777777" w:rsidTr="00FD119B">
        <w:tc>
          <w:tcPr>
            <w:tcW w:w="1809" w:type="dxa"/>
          </w:tcPr>
          <w:p w14:paraId="04BF46AC" w14:textId="77777777" w:rsidR="00E72097" w:rsidRPr="00FD119B" w:rsidRDefault="00E72097" w:rsidP="00E66E96">
            <w:pPr>
              <w:ind w:left="0"/>
            </w:pPr>
            <w:r w:rsidRPr="00706F48">
              <w:rPr>
                <w:szCs w:val="22"/>
              </w:rPr>
              <w:t>HS</w:t>
            </w:r>
          </w:p>
        </w:tc>
        <w:tc>
          <w:tcPr>
            <w:tcW w:w="6911" w:type="dxa"/>
          </w:tcPr>
          <w:p w14:paraId="3906E484" w14:textId="77777777" w:rsidR="00E72097" w:rsidRPr="00706F48" w:rsidRDefault="00E72097" w:rsidP="00E66E96">
            <w:pPr>
              <w:ind w:left="0"/>
              <w:rPr>
                <w:szCs w:val="22"/>
              </w:rPr>
            </w:pPr>
            <w:r>
              <w:rPr>
                <w:szCs w:val="22"/>
              </w:rPr>
              <w:t>H</w:t>
            </w:r>
            <w:r w:rsidRPr="00706F48">
              <w:rPr>
                <w:szCs w:val="22"/>
              </w:rPr>
              <w:t>ealthy subjects</w:t>
            </w:r>
          </w:p>
        </w:tc>
      </w:tr>
      <w:tr w:rsidR="00E72097" w:rsidRPr="00FD119B" w14:paraId="4F24F58F" w14:textId="77777777" w:rsidTr="00FD119B">
        <w:tc>
          <w:tcPr>
            <w:tcW w:w="1809" w:type="dxa"/>
          </w:tcPr>
          <w:p w14:paraId="4364440D" w14:textId="77777777" w:rsidR="00E72097" w:rsidRPr="00FD119B" w:rsidRDefault="00E72097" w:rsidP="00683FE0">
            <w:pPr>
              <w:ind w:left="0"/>
            </w:pPr>
            <w:r>
              <w:rPr>
                <w:rFonts w:eastAsia="Calibri"/>
              </w:rPr>
              <w:t>HSA</w:t>
            </w:r>
          </w:p>
        </w:tc>
        <w:tc>
          <w:tcPr>
            <w:tcW w:w="6911" w:type="dxa"/>
          </w:tcPr>
          <w:p w14:paraId="78938A13" w14:textId="77777777" w:rsidR="00E72097" w:rsidRPr="00FD119B" w:rsidRDefault="00E72097" w:rsidP="00683FE0">
            <w:pPr>
              <w:ind w:left="0"/>
            </w:pPr>
            <w:r>
              <w:rPr>
                <w:rFonts w:eastAsia="Calibri"/>
              </w:rPr>
              <w:t>Health Sciences Authority (Singapore)</w:t>
            </w:r>
          </w:p>
        </w:tc>
      </w:tr>
      <w:tr w:rsidR="00E72097" w:rsidRPr="00FD119B" w14:paraId="7B8B7603" w14:textId="77777777" w:rsidTr="00FD119B">
        <w:tc>
          <w:tcPr>
            <w:tcW w:w="1809" w:type="dxa"/>
          </w:tcPr>
          <w:p w14:paraId="57ED5620" w14:textId="77777777" w:rsidR="00E72097" w:rsidRPr="00FD119B" w:rsidRDefault="00E72097" w:rsidP="00E66E96">
            <w:pPr>
              <w:ind w:left="0"/>
            </w:pPr>
            <w:r w:rsidRPr="00706F48">
              <w:rPr>
                <w:szCs w:val="22"/>
              </w:rPr>
              <w:t>IC</w:t>
            </w:r>
            <w:r w:rsidRPr="00706F48">
              <w:rPr>
                <w:szCs w:val="22"/>
                <w:vertAlign w:val="subscript"/>
              </w:rPr>
              <w:t>50</w:t>
            </w:r>
          </w:p>
        </w:tc>
        <w:tc>
          <w:tcPr>
            <w:tcW w:w="6911" w:type="dxa"/>
          </w:tcPr>
          <w:p w14:paraId="470DE809" w14:textId="77777777" w:rsidR="00E72097" w:rsidRPr="00706F48" w:rsidRDefault="00E72097" w:rsidP="00E66E96">
            <w:pPr>
              <w:ind w:left="0"/>
              <w:rPr>
                <w:szCs w:val="22"/>
              </w:rPr>
            </w:pPr>
            <w:r>
              <w:rPr>
                <w:szCs w:val="22"/>
              </w:rPr>
              <w:t>H</w:t>
            </w:r>
            <w:r w:rsidRPr="00706F48">
              <w:rPr>
                <w:szCs w:val="22"/>
              </w:rPr>
              <w:t>alf ma</w:t>
            </w:r>
            <w:r>
              <w:rPr>
                <w:szCs w:val="22"/>
              </w:rPr>
              <w:t>ximal inhibitory concentration</w:t>
            </w:r>
          </w:p>
        </w:tc>
      </w:tr>
      <w:tr w:rsidR="00E72097" w:rsidRPr="00FD119B" w14:paraId="1FE8F51A" w14:textId="77777777" w:rsidTr="00FD119B">
        <w:tc>
          <w:tcPr>
            <w:tcW w:w="1809" w:type="dxa"/>
          </w:tcPr>
          <w:p w14:paraId="303B3BA4" w14:textId="77777777" w:rsidR="00E72097" w:rsidRPr="00FD119B" w:rsidRDefault="00E72097" w:rsidP="00E66E96">
            <w:pPr>
              <w:ind w:left="0"/>
            </w:pPr>
            <w:r w:rsidRPr="00E66E96">
              <w:rPr>
                <w:szCs w:val="22"/>
              </w:rPr>
              <w:t>ITT</w:t>
            </w:r>
          </w:p>
        </w:tc>
        <w:tc>
          <w:tcPr>
            <w:tcW w:w="6911" w:type="dxa"/>
          </w:tcPr>
          <w:p w14:paraId="6B6BC171" w14:textId="77777777" w:rsidR="00E72097" w:rsidRPr="00E66E96" w:rsidRDefault="00E72097" w:rsidP="00E66E96">
            <w:pPr>
              <w:ind w:left="0"/>
              <w:rPr>
                <w:szCs w:val="22"/>
              </w:rPr>
            </w:pPr>
            <w:r>
              <w:rPr>
                <w:szCs w:val="22"/>
              </w:rPr>
              <w:t>Intent to treat</w:t>
            </w:r>
          </w:p>
        </w:tc>
      </w:tr>
      <w:tr w:rsidR="00E72097" w:rsidRPr="00FD119B" w14:paraId="0E504600" w14:textId="77777777" w:rsidTr="00FD119B">
        <w:tc>
          <w:tcPr>
            <w:tcW w:w="1809" w:type="dxa"/>
          </w:tcPr>
          <w:p w14:paraId="470FB366" w14:textId="77777777" w:rsidR="00E72097" w:rsidRPr="00FD119B" w:rsidRDefault="00E72097" w:rsidP="00683FE0">
            <w:pPr>
              <w:ind w:left="0"/>
            </w:pPr>
            <w:r w:rsidRPr="00706F48">
              <w:rPr>
                <w:szCs w:val="22"/>
              </w:rPr>
              <w:t>K</w:t>
            </w:r>
            <w:r w:rsidRPr="00706F48">
              <w:rPr>
                <w:szCs w:val="22"/>
                <w:vertAlign w:val="subscript"/>
              </w:rPr>
              <w:t>i</w:t>
            </w:r>
          </w:p>
        </w:tc>
        <w:tc>
          <w:tcPr>
            <w:tcW w:w="6911" w:type="dxa"/>
          </w:tcPr>
          <w:p w14:paraId="40621870" w14:textId="77777777" w:rsidR="00E72097" w:rsidRPr="00706F48" w:rsidRDefault="00E72097" w:rsidP="00706F48">
            <w:pPr>
              <w:ind w:left="0"/>
              <w:rPr>
                <w:szCs w:val="22"/>
              </w:rPr>
            </w:pPr>
            <w:r>
              <w:rPr>
                <w:szCs w:val="22"/>
              </w:rPr>
              <w:t>Inhibitory constant</w:t>
            </w:r>
          </w:p>
        </w:tc>
      </w:tr>
      <w:tr w:rsidR="00E72097" w:rsidRPr="00FD119B" w14:paraId="4E0FA0AE" w14:textId="77777777" w:rsidTr="00FD119B">
        <w:tc>
          <w:tcPr>
            <w:tcW w:w="1809" w:type="dxa"/>
          </w:tcPr>
          <w:p w14:paraId="389A2227" w14:textId="77777777" w:rsidR="00E72097" w:rsidRPr="00FD119B" w:rsidRDefault="00E72097" w:rsidP="00E66E96">
            <w:pPr>
              <w:ind w:left="0"/>
            </w:pPr>
            <w:r w:rsidRPr="00706F48">
              <w:rPr>
                <w:szCs w:val="22"/>
              </w:rPr>
              <w:t>MATE1</w:t>
            </w:r>
          </w:p>
        </w:tc>
        <w:tc>
          <w:tcPr>
            <w:tcW w:w="6911" w:type="dxa"/>
          </w:tcPr>
          <w:p w14:paraId="0C1CF5D5" w14:textId="77777777" w:rsidR="00E72097" w:rsidRPr="00706F48" w:rsidRDefault="00E72097" w:rsidP="00E66E96">
            <w:pPr>
              <w:ind w:left="0"/>
              <w:rPr>
                <w:szCs w:val="22"/>
              </w:rPr>
            </w:pPr>
            <w:r>
              <w:rPr>
                <w:szCs w:val="22"/>
              </w:rPr>
              <w:t>M</w:t>
            </w:r>
            <w:r w:rsidRPr="00706F48">
              <w:rPr>
                <w:szCs w:val="22"/>
              </w:rPr>
              <w:t xml:space="preserve">ultidrug </w:t>
            </w:r>
            <w:r>
              <w:rPr>
                <w:szCs w:val="22"/>
              </w:rPr>
              <w:t>and toxin extrusion protein 1</w:t>
            </w:r>
          </w:p>
        </w:tc>
      </w:tr>
      <w:tr w:rsidR="00E72097" w:rsidRPr="00FD119B" w14:paraId="3B26E51C" w14:textId="77777777" w:rsidTr="00FD119B">
        <w:tc>
          <w:tcPr>
            <w:tcW w:w="1809" w:type="dxa"/>
          </w:tcPr>
          <w:p w14:paraId="489404CF" w14:textId="77777777" w:rsidR="00E72097" w:rsidRPr="00FD119B" w:rsidRDefault="00E72097" w:rsidP="00E66E96">
            <w:pPr>
              <w:ind w:left="0"/>
            </w:pPr>
            <w:r w:rsidRPr="00706F48">
              <w:rPr>
                <w:szCs w:val="22"/>
              </w:rPr>
              <w:t>MATE2-K</w:t>
            </w:r>
          </w:p>
        </w:tc>
        <w:tc>
          <w:tcPr>
            <w:tcW w:w="6911" w:type="dxa"/>
          </w:tcPr>
          <w:p w14:paraId="71894B9E" w14:textId="77777777" w:rsidR="00E72097" w:rsidRPr="00706F48" w:rsidRDefault="00E72097" w:rsidP="00E66E96">
            <w:pPr>
              <w:ind w:left="0"/>
              <w:rPr>
                <w:szCs w:val="22"/>
              </w:rPr>
            </w:pPr>
            <w:r>
              <w:rPr>
                <w:szCs w:val="22"/>
              </w:rPr>
              <w:t>M</w:t>
            </w:r>
            <w:r w:rsidRPr="00706F48">
              <w:rPr>
                <w:szCs w:val="22"/>
              </w:rPr>
              <w:t>ultidrug a</w:t>
            </w:r>
            <w:r>
              <w:rPr>
                <w:szCs w:val="22"/>
              </w:rPr>
              <w:t>nd toxin extrusion protein 2 K</w:t>
            </w:r>
          </w:p>
        </w:tc>
      </w:tr>
      <w:tr w:rsidR="00E72097" w:rsidRPr="00FD119B" w14:paraId="462D4039" w14:textId="77777777" w:rsidTr="00FD119B">
        <w:tc>
          <w:tcPr>
            <w:tcW w:w="1809" w:type="dxa"/>
          </w:tcPr>
          <w:p w14:paraId="5E302EA0" w14:textId="77777777" w:rsidR="00E72097" w:rsidRPr="00FD119B" w:rsidRDefault="00E72097" w:rsidP="00337E2B">
            <w:pPr>
              <w:ind w:left="0"/>
            </w:pPr>
            <w:r>
              <w:t>MedDRA</w:t>
            </w:r>
          </w:p>
        </w:tc>
        <w:tc>
          <w:tcPr>
            <w:tcW w:w="6911" w:type="dxa"/>
          </w:tcPr>
          <w:p w14:paraId="79798697" w14:textId="77777777" w:rsidR="00E72097" w:rsidRDefault="00E72097" w:rsidP="00337E2B">
            <w:pPr>
              <w:ind w:left="0"/>
            </w:pPr>
            <w:r w:rsidRPr="00337E2B">
              <w:t>Medical Dictionary for Regulatory Activities</w:t>
            </w:r>
          </w:p>
        </w:tc>
      </w:tr>
      <w:tr w:rsidR="00E72097" w:rsidRPr="00FD119B" w14:paraId="5970E0A3" w14:textId="77777777" w:rsidTr="00FD119B">
        <w:tc>
          <w:tcPr>
            <w:tcW w:w="1809" w:type="dxa"/>
          </w:tcPr>
          <w:p w14:paraId="51059DCD" w14:textId="77777777" w:rsidR="00E72097" w:rsidRPr="00FD119B" w:rsidRDefault="00E72097" w:rsidP="00E66E96">
            <w:pPr>
              <w:ind w:left="0"/>
            </w:pPr>
            <w:r w:rsidRPr="00E66E96">
              <w:rPr>
                <w:szCs w:val="22"/>
              </w:rPr>
              <w:t>MRI</w:t>
            </w:r>
          </w:p>
        </w:tc>
        <w:tc>
          <w:tcPr>
            <w:tcW w:w="6911" w:type="dxa"/>
          </w:tcPr>
          <w:p w14:paraId="5F83AC2B" w14:textId="77777777" w:rsidR="00E72097" w:rsidRPr="00E66E96" w:rsidRDefault="00E72097" w:rsidP="00E66E96">
            <w:pPr>
              <w:ind w:left="0"/>
              <w:rPr>
                <w:szCs w:val="22"/>
              </w:rPr>
            </w:pPr>
            <w:r>
              <w:rPr>
                <w:szCs w:val="22"/>
              </w:rPr>
              <w:t>M</w:t>
            </w:r>
            <w:r w:rsidRPr="00E66E96">
              <w:rPr>
                <w:szCs w:val="22"/>
              </w:rPr>
              <w:t>agnetic resonance imaging</w:t>
            </w:r>
          </w:p>
        </w:tc>
      </w:tr>
      <w:tr w:rsidR="00E72097" w:rsidRPr="00FD119B" w14:paraId="73A09508" w14:textId="77777777" w:rsidTr="00FD119B">
        <w:tc>
          <w:tcPr>
            <w:tcW w:w="1809" w:type="dxa"/>
          </w:tcPr>
          <w:p w14:paraId="5A66A016" w14:textId="77777777" w:rsidR="00E72097" w:rsidRPr="00FD119B" w:rsidRDefault="00E72097" w:rsidP="00683FE0">
            <w:pPr>
              <w:ind w:left="0"/>
            </w:pPr>
            <w:r>
              <w:rPr>
                <w:rFonts w:eastAsia="Calibri"/>
              </w:rPr>
              <w:t>OCE</w:t>
            </w:r>
          </w:p>
        </w:tc>
        <w:tc>
          <w:tcPr>
            <w:tcW w:w="6911" w:type="dxa"/>
          </w:tcPr>
          <w:p w14:paraId="2E1841C9" w14:textId="77777777" w:rsidR="00E72097" w:rsidRPr="00FD119B" w:rsidRDefault="00E72097" w:rsidP="00683FE0">
            <w:pPr>
              <w:ind w:left="0"/>
            </w:pPr>
            <w:r>
              <w:rPr>
                <w:rFonts w:eastAsia="Calibri"/>
              </w:rPr>
              <w:t xml:space="preserve">Oncology </w:t>
            </w:r>
            <w:proofErr w:type="spellStart"/>
            <w:r>
              <w:rPr>
                <w:rFonts w:eastAsia="Calibri"/>
              </w:rPr>
              <w:t>Center</w:t>
            </w:r>
            <w:proofErr w:type="spellEnd"/>
            <w:r>
              <w:rPr>
                <w:rFonts w:eastAsia="Calibri"/>
              </w:rPr>
              <w:t xml:space="preserve"> of Excellence</w:t>
            </w:r>
            <w:r w:rsidR="00E0433A">
              <w:rPr>
                <w:rFonts w:eastAsia="Calibri"/>
              </w:rPr>
              <w:t xml:space="preserve"> (Food and Drug Administration, United States)</w:t>
            </w:r>
          </w:p>
        </w:tc>
      </w:tr>
      <w:tr w:rsidR="00E72097" w:rsidRPr="00FD119B" w14:paraId="3D73769D" w14:textId="77777777" w:rsidTr="00FD119B">
        <w:tc>
          <w:tcPr>
            <w:tcW w:w="1809" w:type="dxa"/>
          </w:tcPr>
          <w:p w14:paraId="72824C03" w14:textId="77777777" w:rsidR="00E72097" w:rsidRPr="00FD119B" w:rsidRDefault="00E72097" w:rsidP="001C0164">
            <w:pPr>
              <w:ind w:left="0"/>
            </w:pPr>
            <w:r w:rsidRPr="003B200E">
              <w:t>OCT2</w:t>
            </w:r>
          </w:p>
        </w:tc>
        <w:tc>
          <w:tcPr>
            <w:tcW w:w="6911" w:type="dxa"/>
          </w:tcPr>
          <w:p w14:paraId="0BAB15E4" w14:textId="77777777" w:rsidR="00E72097" w:rsidRDefault="00E72097" w:rsidP="003B200E">
            <w:pPr>
              <w:ind w:left="0"/>
            </w:pPr>
            <w:r>
              <w:t>Organic cation transporter 2</w:t>
            </w:r>
          </w:p>
        </w:tc>
      </w:tr>
      <w:tr w:rsidR="00E72097" w:rsidRPr="00FD119B" w14:paraId="5B99509A" w14:textId="77777777" w:rsidTr="00FD119B">
        <w:tc>
          <w:tcPr>
            <w:tcW w:w="1809" w:type="dxa"/>
          </w:tcPr>
          <w:p w14:paraId="119A3403" w14:textId="77777777" w:rsidR="00E72097" w:rsidRPr="00FD119B" w:rsidRDefault="00E72097" w:rsidP="00E66E96">
            <w:pPr>
              <w:ind w:left="0"/>
            </w:pPr>
            <w:r w:rsidRPr="00E66E96">
              <w:rPr>
                <w:szCs w:val="22"/>
              </w:rPr>
              <w:t>ORR</w:t>
            </w:r>
          </w:p>
        </w:tc>
        <w:tc>
          <w:tcPr>
            <w:tcW w:w="6911" w:type="dxa"/>
          </w:tcPr>
          <w:p w14:paraId="63CA1BCC" w14:textId="77777777" w:rsidR="00E72097" w:rsidRPr="00E66E96" w:rsidRDefault="00E72097" w:rsidP="00E66E96">
            <w:pPr>
              <w:ind w:left="0"/>
              <w:rPr>
                <w:szCs w:val="22"/>
              </w:rPr>
            </w:pPr>
            <w:r>
              <w:rPr>
                <w:szCs w:val="22"/>
              </w:rPr>
              <w:t>Overall response rate</w:t>
            </w:r>
          </w:p>
        </w:tc>
      </w:tr>
      <w:tr w:rsidR="00E72097" w:rsidRPr="00FD119B" w14:paraId="09A8C4F3" w14:textId="77777777" w:rsidTr="00FD119B">
        <w:tc>
          <w:tcPr>
            <w:tcW w:w="1809" w:type="dxa"/>
          </w:tcPr>
          <w:p w14:paraId="23B60893" w14:textId="77777777" w:rsidR="00E72097" w:rsidRPr="00FD119B" w:rsidRDefault="00E72097" w:rsidP="00683FE0">
            <w:pPr>
              <w:ind w:left="0"/>
            </w:pPr>
            <w:r>
              <w:t>OS</w:t>
            </w:r>
          </w:p>
        </w:tc>
        <w:tc>
          <w:tcPr>
            <w:tcW w:w="6911" w:type="dxa"/>
          </w:tcPr>
          <w:p w14:paraId="1973C712" w14:textId="77777777" w:rsidR="00E72097" w:rsidRPr="00FD119B" w:rsidRDefault="00E72097" w:rsidP="00683FE0">
            <w:pPr>
              <w:ind w:left="0"/>
            </w:pPr>
            <w:r>
              <w:t>Overall survival</w:t>
            </w:r>
          </w:p>
        </w:tc>
      </w:tr>
      <w:tr w:rsidR="00E72097" w:rsidRPr="00FD119B" w14:paraId="545B269D" w14:textId="77777777" w:rsidTr="00FD119B">
        <w:tc>
          <w:tcPr>
            <w:tcW w:w="1809" w:type="dxa"/>
          </w:tcPr>
          <w:p w14:paraId="2A9855BA" w14:textId="77777777" w:rsidR="00E72097" w:rsidRPr="00FD119B" w:rsidRDefault="00E72097" w:rsidP="00E66E96">
            <w:pPr>
              <w:ind w:left="0"/>
            </w:pPr>
            <w:r w:rsidRPr="00706F48">
              <w:rPr>
                <w:szCs w:val="22"/>
              </w:rPr>
              <w:t>PFS</w:t>
            </w:r>
          </w:p>
        </w:tc>
        <w:tc>
          <w:tcPr>
            <w:tcW w:w="6911" w:type="dxa"/>
          </w:tcPr>
          <w:p w14:paraId="311D83EF" w14:textId="77777777" w:rsidR="00E72097" w:rsidRPr="00706F48" w:rsidRDefault="00E72097" w:rsidP="00E66E96">
            <w:pPr>
              <w:ind w:left="0"/>
              <w:rPr>
                <w:szCs w:val="22"/>
              </w:rPr>
            </w:pPr>
            <w:r>
              <w:rPr>
                <w:szCs w:val="22"/>
              </w:rPr>
              <w:t>Progression free survival</w:t>
            </w:r>
          </w:p>
        </w:tc>
      </w:tr>
      <w:tr w:rsidR="00E72097" w:rsidRPr="00FD119B" w14:paraId="37C33AB9" w14:textId="77777777" w:rsidTr="00FD119B">
        <w:tc>
          <w:tcPr>
            <w:tcW w:w="1809" w:type="dxa"/>
          </w:tcPr>
          <w:p w14:paraId="47E5371E" w14:textId="77777777" w:rsidR="00E72097" w:rsidRPr="00FD119B" w:rsidRDefault="00E72097" w:rsidP="00E66E96">
            <w:pPr>
              <w:ind w:left="0"/>
            </w:pPr>
            <w:proofErr w:type="spellStart"/>
            <w:r w:rsidRPr="00E66E96">
              <w:rPr>
                <w:szCs w:val="22"/>
              </w:rPr>
              <w:t>PFS</w:t>
            </w:r>
            <w:r w:rsidRPr="00E66E96">
              <w:rPr>
                <w:szCs w:val="22"/>
                <w:vertAlign w:val="subscript"/>
              </w:rPr>
              <w:t>BrainMets</w:t>
            </w:r>
            <w:proofErr w:type="spellEnd"/>
          </w:p>
        </w:tc>
        <w:tc>
          <w:tcPr>
            <w:tcW w:w="6911" w:type="dxa"/>
          </w:tcPr>
          <w:p w14:paraId="3F804AD2" w14:textId="77777777" w:rsidR="00E72097" w:rsidRPr="00E66E96" w:rsidRDefault="00E72097" w:rsidP="00E66E96">
            <w:pPr>
              <w:ind w:left="0"/>
              <w:rPr>
                <w:szCs w:val="22"/>
              </w:rPr>
            </w:pPr>
            <w:r>
              <w:rPr>
                <w:szCs w:val="22"/>
              </w:rPr>
              <w:t>Progression free survival</w:t>
            </w:r>
            <w:r w:rsidRPr="00E66E96">
              <w:rPr>
                <w:szCs w:val="22"/>
              </w:rPr>
              <w:t xml:space="preserve"> </w:t>
            </w:r>
            <w:r>
              <w:rPr>
                <w:szCs w:val="22"/>
              </w:rPr>
              <w:t xml:space="preserve">in </w:t>
            </w:r>
            <w:r w:rsidRPr="00E66E96">
              <w:rPr>
                <w:szCs w:val="22"/>
              </w:rPr>
              <w:t>pat</w:t>
            </w:r>
            <w:r w:rsidR="00E0433A">
              <w:rPr>
                <w:szCs w:val="22"/>
              </w:rPr>
              <w:t>ients with brain metastases at B</w:t>
            </w:r>
            <w:r w:rsidRPr="00E66E96">
              <w:rPr>
                <w:szCs w:val="22"/>
              </w:rPr>
              <w:t>aseline</w:t>
            </w:r>
          </w:p>
        </w:tc>
      </w:tr>
      <w:tr w:rsidR="00E72097" w:rsidRPr="00FD119B" w14:paraId="13259A17" w14:textId="77777777" w:rsidTr="00FD119B">
        <w:tc>
          <w:tcPr>
            <w:tcW w:w="1809" w:type="dxa"/>
          </w:tcPr>
          <w:p w14:paraId="57B09C47" w14:textId="77777777" w:rsidR="00E72097" w:rsidRPr="00FD119B" w:rsidRDefault="00E72097" w:rsidP="00683FE0">
            <w:pPr>
              <w:ind w:left="0"/>
            </w:pPr>
            <w:r w:rsidRPr="00706F48">
              <w:rPr>
                <w:szCs w:val="22"/>
              </w:rPr>
              <w:t>P-</w:t>
            </w:r>
            <w:proofErr w:type="spellStart"/>
            <w:r w:rsidRPr="00706F48">
              <w:rPr>
                <w:szCs w:val="22"/>
              </w:rPr>
              <w:t>gp</w:t>
            </w:r>
            <w:proofErr w:type="spellEnd"/>
          </w:p>
        </w:tc>
        <w:tc>
          <w:tcPr>
            <w:tcW w:w="6911" w:type="dxa"/>
          </w:tcPr>
          <w:p w14:paraId="2D683E2A" w14:textId="77777777" w:rsidR="00E72097" w:rsidRPr="00706F48" w:rsidRDefault="00E72097" w:rsidP="00706F48">
            <w:pPr>
              <w:ind w:left="0"/>
              <w:rPr>
                <w:szCs w:val="22"/>
              </w:rPr>
            </w:pPr>
            <w:r>
              <w:rPr>
                <w:szCs w:val="22"/>
              </w:rPr>
              <w:t>P-glycoprotein</w:t>
            </w:r>
          </w:p>
        </w:tc>
      </w:tr>
      <w:tr w:rsidR="00E72097" w:rsidRPr="00FD119B" w14:paraId="6884FD0F" w14:textId="77777777" w:rsidTr="00FD119B">
        <w:tc>
          <w:tcPr>
            <w:tcW w:w="1809" w:type="dxa"/>
          </w:tcPr>
          <w:p w14:paraId="24952D1D" w14:textId="77777777" w:rsidR="00E72097" w:rsidRPr="00FD119B" w:rsidRDefault="00E72097" w:rsidP="00683FE0">
            <w:pPr>
              <w:ind w:left="0"/>
            </w:pPr>
            <w:r>
              <w:t>PI</w:t>
            </w:r>
          </w:p>
        </w:tc>
        <w:tc>
          <w:tcPr>
            <w:tcW w:w="6911" w:type="dxa"/>
          </w:tcPr>
          <w:p w14:paraId="09F07353" w14:textId="77777777" w:rsidR="00E72097" w:rsidRPr="00FD119B" w:rsidRDefault="00E72097" w:rsidP="00683FE0">
            <w:pPr>
              <w:ind w:left="0"/>
            </w:pPr>
            <w:r>
              <w:t>Product Information</w:t>
            </w:r>
          </w:p>
        </w:tc>
      </w:tr>
      <w:tr w:rsidR="00E72097" w:rsidRPr="00FD119B" w14:paraId="521BAAA0" w14:textId="77777777" w:rsidTr="00FD119B">
        <w:tc>
          <w:tcPr>
            <w:tcW w:w="1809" w:type="dxa"/>
          </w:tcPr>
          <w:p w14:paraId="50ED1458" w14:textId="77777777" w:rsidR="00E72097" w:rsidRPr="00FD119B" w:rsidRDefault="00E72097" w:rsidP="00683FE0">
            <w:pPr>
              <w:ind w:left="0"/>
            </w:pPr>
            <w:r>
              <w:t>PIC</w:t>
            </w:r>
          </w:p>
        </w:tc>
        <w:tc>
          <w:tcPr>
            <w:tcW w:w="6911" w:type="dxa"/>
          </w:tcPr>
          <w:p w14:paraId="32326363" w14:textId="77777777" w:rsidR="00E72097" w:rsidRPr="00FD119B" w:rsidRDefault="00E72097" w:rsidP="00683FE0">
            <w:pPr>
              <w:ind w:left="0"/>
            </w:pPr>
            <w:r>
              <w:t>Powder in capsule</w:t>
            </w:r>
          </w:p>
        </w:tc>
      </w:tr>
      <w:tr w:rsidR="00E72097" w:rsidRPr="00FD119B" w14:paraId="570667F7" w14:textId="77777777" w:rsidTr="00FD119B">
        <w:tc>
          <w:tcPr>
            <w:tcW w:w="1809" w:type="dxa"/>
          </w:tcPr>
          <w:p w14:paraId="0A6D97EA" w14:textId="77777777" w:rsidR="00E72097" w:rsidRPr="00FD119B" w:rsidRDefault="00E72097" w:rsidP="00683FE0">
            <w:pPr>
              <w:ind w:left="0"/>
            </w:pPr>
            <w:r w:rsidRPr="00683FE0">
              <w:t>PK</w:t>
            </w:r>
          </w:p>
        </w:tc>
        <w:tc>
          <w:tcPr>
            <w:tcW w:w="6911" w:type="dxa"/>
          </w:tcPr>
          <w:p w14:paraId="2969B30B" w14:textId="77777777" w:rsidR="00E72097" w:rsidRPr="00FD119B" w:rsidRDefault="00E72097" w:rsidP="00683FE0">
            <w:pPr>
              <w:ind w:left="0"/>
            </w:pPr>
            <w:r>
              <w:t>Pharmacokinetic(s)</w:t>
            </w:r>
          </w:p>
        </w:tc>
      </w:tr>
      <w:tr w:rsidR="00E72097" w:rsidRPr="00FD119B" w14:paraId="7E35FA3D" w14:textId="77777777" w:rsidTr="00FD119B">
        <w:tc>
          <w:tcPr>
            <w:tcW w:w="1809" w:type="dxa"/>
          </w:tcPr>
          <w:p w14:paraId="2BCF46B3" w14:textId="77777777" w:rsidR="00E72097" w:rsidRPr="00FD119B" w:rsidRDefault="00E72097" w:rsidP="00E66E96">
            <w:pPr>
              <w:ind w:left="0"/>
            </w:pPr>
            <w:r w:rsidRPr="00E66E96">
              <w:rPr>
                <w:szCs w:val="22"/>
              </w:rPr>
              <w:t>PO</w:t>
            </w:r>
          </w:p>
        </w:tc>
        <w:tc>
          <w:tcPr>
            <w:tcW w:w="6911" w:type="dxa"/>
          </w:tcPr>
          <w:p w14:paraId="49D7FDF2" w14:textId="0B2C4587" w:rsidR="00E72097" w:rsidRPr="00E66E96" w:rsidRDefault="00E72097" w:rsidP="00E66E96">
            <w:pPr>
              <w:ind w:left="0"/>
              <w:rPr>
                <w:szCs w:val="22"/>
              </w:rPr>
            </w:pPr>
            <w:r>
              <w:rPr>
                <w:szCs w:val="22"/>
              </w:rPr>
              <w:t>O</w:t>
            </w:r>
            <w:r w:rsidRPr="00E66E96">
              <w:rPr>
                <w:szCs w:val="22"/>
              </w:rPr>
              <w:t>ral</w:t>
            </w:r>
            <w:r>
              <w:rPr>
                <w:szCs w:val="22"/>
              </w:rPr>
              <w:t xml:space="preserve"> dosing</w:t>
            </w:r>
            <w:r w:rsidR="003E3DF2">
              <w:rPr>
                <w:szCs w:val="22"/>
              </w:rPr>
              <w:t xml:space="preserve"> (</w:t>
            </w:r>
            <w:r>
              <w:rPr>
                <w:szCs w:val="22"/>
              </w:rPr>
              <w:t xml:space="preserve">Latin: </w:t>
            </w:r>
            <w:r w:rsidRPr="00E66E96">
              <w:rPr>
                <w:i/>
                <w:szCs w:val="22"/>
              </w:rPr>
              <w:t xml:space="preserve">per </w:t>
            </w:r>
            <w:proofErr w:type="spellStart"/>
            <w:r w:rsidRPr="00E66E96">
              <w:rPr>
                <w:i/>
                <w:szCs w:val="22"/>
              </w:rPr>
              <w:t>os</w:t>
            </w:r>
            <w:proofErr w:type="spellEnd"/>
            <w:r w:rsidR="003E3DF2" w:rsidRPr="0044586C">
              <w:rPr>
                <w:szCs w:val="22"/>
              </w:rPr>
              <w:t>)</w:t>
            </w:r>
          </w:p>
        </w:tc>
      </w:tr>
      <w:tr w:rsidR="00E72097" w:rsidRPr="00FD119B" w14:paraId="78CFB373" w14:textId="77777777" w:rsidTr="00FD119B">
        <w:tc>
          <w:tcPr>
            <w:tcW w:w="1809" w:type="dxa"/>
          </w:tcPr>
          <w:p w14:paraId="77CDE161" w14:textId="77777777" w:rsidR="00E72097" w:rsidRPr="00FD119B" w:rsidRDefault="00E72097" w:rsidP="00337E2B">
            <w:pPr>
              <w:ind w:left="0"/>
            </w:pPr>
            <w:r>
              <w:t>PPE</w:t>
            </w:r>
          </w:p>
        </w:tc>
        <w:tc>
          <w:tcPr>
            <w:tcW w:w="6911" w:type="dxa"/>
          </w:tcPr>
          <w:p w14:paraId="304C43BF" w14:textId="77777777" w:rsidR="00E72097" w:rsidRDefault="00E72097" w:rsidP="00337E2B">
            <w:pPr>
              <w:ind w:left="0"/>
            </w:pPr>
            <w:r>
              <w:t xml:space="preserve">Palmar-plantar </w:t>
            </w:r>
            <w:proofErr w:type="spellStart"/>
            <w:r>
              <w:t>erythrodysaesthesia</w:t>
            </w:r>
            <w:proofErr w:type="spellEnd"/>
          </w:p>
        </w:tc>
      </w:tr>
      <w:tr w:rsidR="00E72097" w:rsidRPr="00FD119B" w14:paraId="72450E9C" w14:textId="77777777" w:rsidTr="00FD119B">
        <w:tc>
          <w:tcPr>
            <w:tcW w:w="1809" w:type="dxa"/>
          </w:tcPr>
          <w:p w14:paraId="53244467" w14:textId="77777777" w:rsidR="00E72097" w:rsidRPr="00FD119B" w:rsidRDefault="00E72097" w:rsidP="00E66E96">
            <w:pPr>
              <w:ind w:left="0"/>
            </w:pPr>
            <w:r>
              <w:t>PR</w:t>
            </w:r>
          </w:p>
        </w:tc>
        <w:tc>
          <w:tcPr>
            <w:tcW w:w="6911" w:type="dxa"/>
          </w:tcPr>
          <w:p w14:paraId="3161068D" w14:textId="77777777" w:rsidR="00E72097" w:rsidRPr="00587566" w:rsidRDefault="00E72097" w:rsidP="00E66E96">
            <w:pPr>
              <w:ind w:left="0"/>
              <w:rPr>
                <w:szCs w:val="20"/>
              </w:rPr>
            </w:pPr>
            <w:r w:rsidRPr="00587566">
              <w:rPr>
                <w:szCs w:val="20"/>
                <w:lang w:val="en-US"/>
              </w:rPr>
              <w:t>Progesterone receptor</w:t>
            </w:r>
          </w:p>
        </w:tc>
      </w:tr>
      <w:tr w:rsidR="00E72097" w:rsidRPr="00FD119B" w14:paraId="2593D135" w14:textId="77777777" w:rsidTr="00FD119B">
        <w:tc>
          <w:tcPr>
            <w:tcW w:w="1809" w:type="dxa"/>
          </w:tcPr>
          <w:p w14:paraId="5E4E6A23" w14:textId="77777777" w:rsidR="00E72097" w:rsidRPr="00FD119B" w:rsidRDefault="00E72097" w:rsidP="003B200E">
            <w:pPr>
              <w:ind w:left="0"/>
            </w:pPr>
            <w:r>
              <w:rPr>
                <w:iCs/>
              </w:rPr>
              <w:t>PSUR</w:t>
            </w:r>
          </w:p>
        </w:tc>
        <w:tc>
          <w:tcPr>
            <w:tcW w:w="6911" w:type="dxa"/>
          </w:tcPr>
          <w:p w14:paraId="014A971C" w14:textId="77777777" w:rsidR="00E72097" w:rsidRDefault="00E72097" w:rsidP="003B200E">
            <w:pPr>
              <w:ind w:left="0"/>
            </w:pPr>
            <w:r>
              <w:rPr>
                <w:iCs/>
              </w:rPr>
              <w:t>Periodic safety update report</w:t>
            </w:r>
          </w:p>
        </w:tc>
      </w:tr>
      <w:tr w:rsidR="00E72097" w:rsidRPr="00FD119B" w14:paraId="6BFE27CD" w14:textId="77777777" w:rsidTr="00FD119B">
        <w:tc>
          <w:tcPr>
            <w:tcW w:w="1809" w:type="dxa"/>
          </w:tcPr>
          <w:p w14:paraId="32CDB566" w14:textId="77777777" w:rsidR="00E72097" w:rsidRPr="00FD119B" w:rsidRDefault="00E72097" w:rsidP="00E66E96">
            <w:pPr>
              <w:ind w:left="0"/>
            </w:pPr>
            <w:r w:rsidRPr="00E66E96">
              <w:rPr>
                <w:szCs w:val="22"/>
              </w:rPr>
              <w:t>RECIST</w:t>
            </w:r>
          </w:p>
        </w:tc>
        <w:tc>
          <w:tcPr>
            <w:tcW w:w="6911" w:type="dxa"/>
          </w:tcPr>
          <w:p w14:paraId="18B4D28D" w14:textId="77777777" w:rsidR="00E72097" w:rsidRPr="00E66E96" w:rsidRDefault="00E72097" w:rsidP="00E66E96">
            <w:pPr>
              <w:ind w:left="0"/>
              <w:rPr>
                <w:szCs w:val="22"/>
              </w:rPr>
            </w:pPr>
            <w:r w:rsidRPr="00E66E96">
              <w:rPr>
                <w:szCs w:val="22"/>
              </w:rPr>
              <w:t>Response Evalua</w:t>
            </w:r>
            <w:r>
              <w:rPr>
                <w:szCs w:val="22"/>
              </w:rPr>
              <w:t>tion Criteria in Solid Tumours</w:t>
            </w:r>
          </w:p>
        </w:tc>
      </w:tr>
      <w:tr w:rsidR="00E72097" w:rsidRPr="00FD119B" w14:paraId="7C622DAA" w14:textId="77777777" w:rsidTr="00FD119B">
        <w:tc>
          <w:tcPr>
            <w:tcW w:w="1809" w:type="dxa"/>
          </w:tcPr>
          <w:p w14:paraId="1049CAFD" w14:textId="77777777" w:rsidR="00E72097" w:rsidRPr="00FD119B" w:rsidRDefault="00E72097" w:rsidP="001C0164">
            <w:pPr>
              <w:ind w:left="0"/>
            </w:pPr>
            <w:r>
              <w:t>RMP</w:t>
            </w:r>
          </w:p>
        </w:tc>
        <w:tc>
          <w:tcPr>
            <w:tcW w:w="6911" w:type="dxa"/>
          </w:tcPr>
          <w:p w14:paraId="79FD102B" w14:textId="77777777" w:rsidR="00E72097" w:rsidRDefault="00E72097" w:rsidP="003B200E">
            <w:pPr>
              <w:ind w:left="0"/>
            </w:pPr>
            <w:r>
              <w:t>Risk management plan</w:t>
            </w:r>
          </w:p>
        </w:tc>
      </w:tr>
      <w:tr w:rsidR="00E72097" w:rsidRPr="00FD119B" w14:paraId="11CDC9D5" w14:textId="77777777" w:rsidTr="00FD119B">
        <w:tc>
          <w:tcPr>
            <w:tcW w:w="1809" w:type="dxa"/>
          </w:tcPr>
          <w:p w14:paraId="5D7ED043" w14:textId="77777777" w:rsidR="00E72097" w:rsidRPr="00FD119B" w:rsidRDefault="00E72097" w:rsidP="00337E2B">
            <w:pPr>
              <w:ind w:left="0"/>
            </w:pPr>
            <w:r>
              <w:t>SAE</w:t>
            </w:r>
          </w:p>
        </w:tc>
        <w:tc>
          <w:tcPr>
            <w:tcW w:w="6911" w:type="dxa"/>
          </w:tcPr>
          <w:p w14:paraId="65087DC5" w14:textId="77777777" w:rsidR="00E72097" w:rsidRDefault="00E72097" w:rsidP="00337E2B">
            <w:pPr>
              <w:ind w:left="0"/>
            </w:pPr>
            <w:r>
              <w:t>Serious adverse event</w:t>
            </w:r>
          </w:p>
        </w:tc>
      </w:tr>
      <w:tr w:rsidR="00E72097" w:rsidRPr="00FD119B" w14:paraId="4025597C" w14:textId="77777777" w:rsidTr="00FD119B">
        <w:tc>
          <w:tcPr>
            <w:tcW w:w="1809" w:type="dxa"/>
          </w:tcPr>
          <w:p w14:paraId="1EC4AD00" w14:textId="77777777" w:rsidR="00E72097" w:rsidRPr="00FD119B" w:rsidRDefault="00E72097" w:rsidP="00337E2B">
            <w:pPr>
              <w:ind w:left="0"/>
            </w:pPr>
            <w:r w:rsidRPr="00337E2B">
              <w:t>SD</w:t>
            </w:r>
          </w:p>
        </w:tc>
        <w:tc>
          <w:tcPr>
            <w:tcW w:w="6911" w:type="dxa"/>
          </w:tcPr>
          <w:p w14:paraId="7A2D8A73" w14:textId="77777777" w:rsidR="00E72097" w:rsidRDefault="00E72097" w:rsidP="00337E2B">
            <w:pPr>
              <w:ind w:left="0"/>
            </w:pPr>
            <w:r>
              <w:t>Standard deviation</w:t>
            </w:r>
          </w:p>
        </w:tc>
      </w:tr>
      <w:tr w:rsidR="00E72097" w:rsidRPr="00FD119B" w14:paraId="2A98C761" w14:textId="77777777" w:rsidTr="00FD119B">
        <w:tc>
          <w:tcPr>
            <w:tcW w:w="1809" w:type="dxa"/>
          </w:tcPr>
          <w:p w14:paraId="73E6BFB0" w14:textId="77777777" w:rsidR="00E72097" w:rsidRPr="00FD119B" w:rsidRDefault="00E72097" w:rsidP="00E66E96">
            <w:pPr>
              <w:ind w:left="0"/>
            </w:pPr>
            <w:r w:rsidRPr="00706F48">
              <w:rPr>
                <w:szCs w:val="22"/>
              </w:rPr>
              <w:t>TAB</w:t>
            </w:r>
          </w:p>
        </w:tc>
        <w:tc>
          <w:tcPr>
            <w:tcW w:w="6911" w:type="dxa"/>
          </w:tcPr>
          <w:p w14:paraId="7654B460" w14:textId="77777777" w:rsidR="00E72097" w:rsidRPr="00706F48" w:rsidRDefault="00E72097" w:rsidP="00E66E96">
            <w:pPr>
              <w:ind w:left="0"/>
              <w:rPr>
                <w:szCs w:val="22"/>
              </w:rPr>
            </w:pPr>
            <w:r>
              <w:rPr>
                <w:szCs w:val="22"/>
              </w:rPr>
              <w:t>T</w:t>
            </w:r>
            <w:r w:rsidRPr="00706F48">
              <w:rPr>
                <w:szCs w:val="22"/>
              </w:rPr>
              <w:t>ablet</w:t>
            </w:r>
          </w:p>
        </w:tc>
      </w:tr>
      <w:tr w:rsidR="00E72097" w:rsidRPr="00FD119B" w14:paraId="07A469B2" w14:textId="77777777" w:rsidTr="00FD119B">
        <w:tc>
          <w:tcPr>
            <w:tcW w:w="1809" w:type="dxa"/>
          </w:tcPr>
          <w:p w14:paraId="42259B7F" w14:textId="77777777" w:rsidR="00E72097" w:rsidRPr="00FD119B" w:rsidRDefault="00D47EC3" w:rsidP="00683FE0">
            <w:pPr>
              <w:ind w:left="0" w:right="0"/>
              <w:rPr>
                <w:color w:val="auto"/>
                <w:szCs w:val="22"/>
                <w:lang w:eastAsia="en-US"/>
              </w:rPr>
            </w:pPr>
            <w:r>
              <w:t>T-DM1</w:t>
            </w:r>
          </w:p>
        </w:tc>
        <w:tc>
          <w:tcPr>
            <w:tcW w:w="6911" w:type="dxa"/>
          </w:tcPr>
          <w:p w14:paraId="37CB2703" w14:textId="77777777" w:rsidR="00E72097" w:rsidRPr="00FD119B" w:rsidRDefault="00E72097" w:rsidP="00683FE0">
            <w:pPr>
              <w:ind w:left="0" w:right="0"/>
              <w:rPr>
                <w:color w:val="auto"/>
                <w:szCs w:val="22"/>
                <w:lang w:eastAsia="en-US"/>
              </w:rPr>
            </w:pPr>
            <w:r>
              <w:t xml:space="preserve">Trastuzumab </w:t>
            </w:r>
            <w:proofErr w:type="spellStart"/>
            <w:r>
              <w:t>emtansine</w:t>
            </w:r>
            <w:proofErr w:type="spellEnd"/>
          </w:p>
        </w:tc>
      </w:tr>
      <w:tr w:rsidR="00E72097" w:rsidRPr="00FD119B" w14:paraId="089BFCBA" w14:textId="77777777" w:rsidTr="00FD119B">
        <w:tc>
          <w:tcPr>
            <w:tcW w:w="1809" w:type="dxa"/>
          </w:tcPr>
          <w:p w14:paraId="49778FB4" w14:textId="77777777" w:rsidR="00E72097" w:rsidRPr="00FD119B" w:rsidRDefault="00E72097" w:rsidP="00337E2B">
            <w:pPr>
              <w:ind w:left="0"/>
            </w:pPr>
            <w:r>
              <w:t>TEAE</w:t>
            </w:r>
          </w:p>
        </w:tc>
        <w:tc>
          <w:tcPr>
            <w:tcW w:w="6911" w:type="dxa"/>
          </w:tcPr>
          <w:p w14:paraId="0AD0D585" w14:textId="77777777" w:rsidR="00E72097" w:rsidRDefault="00E72097" w:rsidP="00337E2B">
            <w:pPr>
              <w:ind w:left="0"/>
            </w:pPr>
            <w:r>
              <w:t>Treatment emergent adverse event</w:t>
            </w:r>
          </w:p>
        </w:tc>
      </w:tr>
      <w:tr w:rsidR="00E72097" w:rsidRPr="00FD119B" w14:paraId="29938125" w14:textId="77777777" w:rsidTr="00FD119B">
        <w:tc>
          <w:tcPr>
            <w:tcW w:w="1809" w:type="dxa"/>
          </w:tcPr>
          <w:p w14:paraId="633B21E4" w14:textId="77777777" w:rsidR="00E72097" w:rsidRPr="00FD119B" w:rsidRDefault="00E72097" w:rsidP="00683FE0">
            <w:pPr>
              <w:ind w:left="0"/>
            </w:pPr>
            <w:r>
              <w:t>TKI</w:t>
            </w:r>
          </w:p>
        </w:tc>
        <w:tc>
          <w:tcPr>
            <w:tcW w:w="6911" w:type="dxa"/>
          </w:tcPr>
          <w:p w14:paraId="6E901C1D" w14:textId="77777777" w:rsidR="00E72097" w:rsidRPr="00FD119B" w:rsidRDefault="00E72097" w:rsidP="00683FE0">
            <w:pPr>
              <w:ind w:left="0"/>
            </w:pPr>
            <w:r>
              <w:t>Tyrosine kinase inhibitor</w:t>
            </w:r>
          </w:p>
        </w:tc>
      </w:tr>
      <w:tr w:rsidR="00E72097" w:rsidRPr="00FD119B" w14:paraId="7980DB72" w14:textId="77777777" w:rsidTr="00FD119B">
        <w:tc>
          <w:tcPr>
            <w:tcW w:w="1809" w:type="dxa"/>
          </w:tcPr>
          <w:p w14:paraId="1ACE1E9E" w14:textId="77777777" w:rsidR="00E72097" w:rsidRPr="00FD119B" w:rsidRDefault="00E72097" w:rsidP="00683FE0">
            <w:pPr>
              <w:ind w:left="0"/>
            </w:pPr>
            <w:r w:rsidRPr="00706F48">
              <w:rPr>
                <w:szCs w:val="22"/>
              </w:rPr>
              <w:t>T</w:t>
            </w:r>
            <w:r w:rsidRPr="00706F48">
              <w:rPr>
                <w:szCs w:val="22"/>
                <w:vertAlign w:val="subscript"/>
              </w:rPr>
              <w:t>max</w:t>
            </w:r>
          </w:p>
        </w:tc>
        <w:tc>
          <w:tcPr>
            <w:tcW w:w="6911" w:type="dxa"/>
          </w:tcPr>
          <w:p w14:paraId="70795362" w14:textId="77777777" w:rsidR="00E72097" w:rsidRPr="00706F48" w:rsidRDefault="00E72097" w:rsidP="00706F48">
            <w:pPr>
              <w:ind w:left="0"/>
              <w:rPr>
                <w:szCs w:val="22"/>
              </w:rPr>
            </w:pPr>
            <w:r>
              <w:rPr>
                <w:szCs w:val="22"/>
              </w:rPr>
              <w:t>T</w:t>
            </w:r>
            <w:r w:rsidRPr="00706F48">
              <w:rPr>
                <w:szCs w:val="22"/>
              </w:rPr>
              <w:t>ime t</w:t>
            </w:r>
            <w:r>
              <w:rPr>
                <w:szCs w:val="22"/>
              </w:rPr>
              <w:t>o maximum plasma concentration</w:t>
            </w:r>
          </w:p>
        </w:tc>
      </w:tr>
      <w:tr w:rsidR="00E72097" w:rsidRPr="00FD119B" w14:paraId="4C1113F5" w14:textId="77777777" w:rsidTr="00FD119B">
        <w:tc>
          <w:tcPr>
            <w:tcW w:w="1809" w:type="dxa"/>
          </w:tcPr>
          <w:p w14:paraId="5F6FA690" w14:textId="77777777" w:rsidR="00E72097" w:rsidRPr="00FD119B" w:rsidRDefault="00E72097" w:rsidP="00683FE0">
            <w:pPr>
              <w:ind w:left="0"/>
            </w:pPr>
            <w:r w:rsidRPr="00706F48">
              <w:rPr>
                <w:szCs w:val="22"/>
              </w:rPr>
              <w:t>UGT</w:t>
            </w:r>
          </w:p>
        </w:tc>
        <w:tc>
          <w:tcPr>
            <w:tcW w:w="6911" w:type="dxa"/>
          </w:tcPr>
          <w:p w14:paraId="5955CFC8" w14:textId="77777777" w:rsidR="00E72097" w:rsidRPr="00706F48" w:rsidRDefault="00E72097" w:rsidP="00706F48">
            <w:pPr>
              <w:ind w:left="0"/>
              <w:rPr>
                <w:szCs w:val="22"/>
              </w:rPr>
            </w:pPr>
            <w:r>
              <w:rPr>
                <w:szCs w:val="22"/>
              </w:rPr>
              <w:t>U</w:t>
            </w:r>
            <w:r w:rsidRPr="00706F48">
              <w:rPr>
                <w:szCs w:val="22"/>
              </w:rPr>
              <w:t>ridine 5'-dip</w:t>
            </w:r>
            <w:r>
              <w:rPr>
                <w:szCs w:val="22"/>
              </w:rPr>
              <w:t>hospho-glucuronosyltransferase</w:t>
            </w:r>
          </w:p>
        </w:tc>
      </w:tr>
      <w:tr w:rsidR="00E72097" w:rsidRPr="00FD119B" w14:paraId="17030638" w14:textId="77777777" w:rsidTr="00FD119B">
        <w:tc>
          <w:tcPr>
            <w:tcW w:w="1809" w:type="dxa"/>
          </w:tcPr>
          <w:p w14:paraId="463771D9" w14:textId="77777777" w:rsidR="00E72097" w:rsidRPr="00FD119B" w:rsidRDefault="00E72097" w:rsidP="001C0164">
            <w:pPr>
              <w:ind w:left="0"/>
            </w:pPr>
            <w:r>
              <w:t>ULN</w:t>
            </w:r>
          </w:p>
        </w:tc>
        <w:tc>
          <w:tcPr>
            <w:tcW w:w="6911" w:type="dxa"/>
          </w:tcPr>
          <w:p w14:paraId="5817757C" w14:textId="77777777" w:rsidR="00E72097" w:rsidRDefault="00E72097" w:rsidP="001C0164">
            <w:pPr>
              <w:ind w:left="0"/>
            </w:pPr>
            <w:r>
              <w:t>Upper limit of normal</w:t>
            </w:r>
          </w:p>
        </w:tc>
      </w:tr>
      <w:tr w:rsidR="00E72097" w:rsidRPr="00FD119B" w14:paraId="47939F75" w14:textId="77777777" w:rsidTr="00FD119B">
        <w:tc>
          <w:tcPr>
            <w:tcW w:w="1809" w:type="dxa"/>
          </w:tcPr>
          <w:p w14:paraId="6A124298" w14:textId="6B15F2A4" w:rsidR="00E72097" w:rsidRPr="00FD119B" w:rsidRDefault="00E72097" w:rsidP="00683FE0">
            <w:pPr>
              <w:ind w:left="0"/>
            </w:pPr>
            <w:r>
              <w:t>US</w:t>
            </w:r>
            <w:r w:rsidR="003E3DF2">
              <w:t>(A)</w:t>
            </w:r>
          </w:p>
        </w:tc>
        <w:tc>
          <w:tcPr>
            <w:tcW w:w="6911" w:type="dxa"/>
          </w:tcPr>
          <w:p w14:paraId="5991C085" w14:textId="1AB8E3A4" w:rsidR="00E72097" w:rsidRPr="00FD119B" w:rsidRDefault="00E72097" w:rsidP="00683FE0">
            <w:pPr>
              <w:ind w:left="0"/>
            </w:pPr>
            <w:r>
              <w:t>United State</w:t>
            </w:r>
            <w:r w:rsidR="003E3DF2">
              <w:t>s (of America)</w:t>
            </w:r>
          </w:p>
        </w:tc>
      </w:tr>
      <w:tr w:rsidR="00E72097" w:rsidRPr="00FD119B" w14:paraId="191B9372" w14:textId="77777777" w:rsidTr="00FD119B">
        <w:tc>
          <w:tcPr>
            <w:tcW w:w="1809" w:type="dxa"/>
          </w:tcPr>
          <w:p w14:paraId="05592FFD" w14:textId="77777777" w:rsidR="00E72097" w:rsidRPr="00FD119B" w:rsidRDefault="00E72097" w:rsidP="00683FE0">
            <w:pPr>
              <w:ind w:left="0"/>
            </w:pPr>
            <w:proofErr w:type="spellStart"/>
            <w:r w:rsidRPr="00706F48">
              <w:rPr>
                <w:szCs w:val="22"/>
              </w:rPr>
              <w:t>V</w:t>
            </w:r>
            <w:r w:rsidRPr="00706F48">
              <w:rPr>
                <w:szCs w:val="22"/>
                <w:vertAlign w:val="subscript"/>
              </w:rPr>
              <w:t>ss</w:t>
            </w:r>
            <w:proofErr w:type="spellEnd"/>
            <w:r w:rsidRPr="00706F48">
              <w:rPr>
                <w:szCs w:val="22"/>
              </w:rPr>
              <w:t>/F</w:t>
            </w:r>
          </w:p>
        </w:tc>
        <w:tc>
          <w:tcPr>
            <w:tcW w:w="6911" w:type="dxa"/>
          </w:tcPr>
          <w:p w14:paraId="4992A047" w14:textId="77777777" w:rsidR="00E72097" w:rsidRPr="00706F48" w:rsidRDefault="00E72097" w:rsidP="00706F48">
            <w:pPr>
              <w:ind w:left="0"/>
              <w:rPr>
                <w:szCs w:val="22"/>
              </w:rPr>
            </w:pPr>
            <w:r w:rsidRPr="00706F48">
              <w:rPr>
                <w:szCs w:val="22"/>
              </w:rPr>
              <w:t>Apparent volume of d</w:t>
            </w:r>
            <w:r>
              <w:rPr>
                <w:szCs w:val="22"/>
              </w:rPr>
              <w:t>istribution at steady state</w:t>
            </w:r>
          </w:p>
        </w:tc>
      </w:tr>
    </w:tbl>
    <w:p w14:paraId="2059A9F1" w14:textId="47122563" w:rsidR="00FD119B" w:rsidRPr="00FD119B" w:rsidRDefault="00FD119B" w:rsidP="00FD119B">
      <w:pPr>
        <w:spacing w:before="0" w:after="200" w:line="0" w:lineRule="auto"/>
        <w:rPr>
          <w:b/>
          <w:i/>
          <w:sz w:val="24"/>
          <w:szCs w:val="24"/>
        </w:rPr>
      </w:pPr>
    </w:p>
    <w:p w14:paraId="2AD94431" w14:textId="77777777" w:rsidR="008E7846" w:rsidRDefault="00F53C07" w:rsidP="008E7846">
      <w:pPr>
        <w:pStyle w:val="Heading2"/>
      </w:pPr>
      <w:bookmarkStart w:id="9" w:name="_Toc67579140"/>
      <w:r>
        <w:t>I.</w:t>
      </w:r>
      <w:r w:rsidR="008E7846">
        <w:t xml:space="preserve"> Introduction to product submission</w:t>
      </w:r>
      <w:bookmarkEnd w:id="0"/>
      <w:bookmarkEnd w:id="3"/>
      <w:bookmarkEnd w:id="9"/>
    </w:p>
    <w:p w14:paraId="6C19C3C5" w14:textId="77777777" w:rsidR="008E7846" w:rsidRDefault="008E7846" w:rsidP="008E7846">
      <w:pPr>
        <w:pStyle w:val="Heading3"/>
        <w:rPr>
          <w:lang w:eastAsia="en-AU"/>
        </w:rPr>
      </w:pPr>
      <w:bookmarkStart w:id="10" w:name="_Toc247691502"/>
      <w:bookmarkStart w:id="11" w:name="_Toc314842483"/>
      <w:bookmarkStart w:id="12" w:name="_Toc67579141"/>
      <w:r>
        <w:rPr>
          <w:lang w:eastAsia="en-AU"/>
        </w:rPr>
        <w:t>Submission details</w:t>
      </w:r>
      <w:bookmarkEnd w:id="10"/>
      <w:bookmarkEnd w:id="11"/>
      <w:bookmarkEnd w:id="12"/>
    </w:p>
    <w:tbl>
      <w:tblPr>
        <w:tblW w:w="9214" w:type="dxa"/>
        <w:tblInd w:w="108" w:type="dxa"/>
        <w:tblLook w:val="01E0" w:firstRow="1" w:lastRow="1" w:firstColumn="1" w:lastColumn="1" w:noHBand="0" w:noVBand="0"/>
      </w:tblPr>
      <w:tblGrid>
        <w:gridCol w:w="2907"/>
        <w:gridCol w:w="6307"/>
      </w:tblGrid>
      <w:tr w:rsidR="00E119D9" w:rsidRPr="003D1E62" w14:paraId="518AFBE5" w14:textId="77777777" w:rsidTr="003735BC">
        <w:tc>
          <w:tcPr>
            <w:tcW w:w="2907" w:type="dxa"/>
          </w:tcPr>
          <w:p w14:paraId="337850B5" w14:textId="77777777" w:rsidR="00E119D9" w:rsidRPr="003D1E62" w:rsidRDefault="00E119D9" w:rsidP="00E119D9">
            <w:pPr>
              <w:rPr>
                <w:i/>
              </w:rPr>
            </w:pPr>
            <w:r>
              <w:rPr>
                <w:i/>
              </w:rPr>
              <w:t>Type of s</w:t>
            </w:r>
            <w:r w:rsidRPr="003D1E62">
              <w:rPr>
                <w:i/>
              </w:rPr>
              <w:t>ubmission</w:t>
            </w:r>
            <w:r>
              <w:rPr>
                <w:i/>
              </w:rPr>
              <w:t>:</w:t>
            </w:r>
          </w:p>
        </w:tc>
        <w:tc>
          <w:tcPr>
            <w:tcW w:w="6307" w:type="dxa"/>
          </w:tcPr>
          <w:p w14:paraId="29BCF836" w14:textId="77777777" w:rsidR="00E119D9" w:rsidRPr="00C1711F" w:rsidRDefault="00E119D9" w:rsidP="00E119D9">
            <w:r w:rsidRPr="00C1711F">
              <w:t>New chemical entity</w:t>
            </w:r>
          </w:p>
        </w:tc>
      </w:tr>
      <w:tr w:rsidR="00E119D9" w:rsidRPr="003D1E62" w14:paraId="7FC21E2E" w14:textId="77777777" w:rsidTr="003735BC">
        <w:tc>
          <w:tcPr>
            <w:tcW w:w="2907" w:type="dxa"/>
          </w:tcPr>
          <w:p w14:paraId="5BEE5695" w14:textId="77777777" w:rsidR="00E119D9" w:rsidRPr="003D1E62" w:rsidRDefault="00E119D9" w:rsidP="00E119D9">
            <w:pPr>
              <w:rPr>
                <w:i/>
              </w:rPr>
            </w:pPr>
            <w:r>
              <w:rPr>
                <w:i/>
              </w:rPr>
              <w:t>Product name</w:t>
            </w:r>
            <w:r w:rsidRPr="00460036">
              <w:rPr>
                <w:i/>
              </w:rPr>
              <w:t>:</w:t>
            </w:r>
          </w:p>
        </w:tc>
        <w:tc>
          <w:tcPr>
            <w:tcW w:w="6307" w:type="dxa"/>
          </w:tcPr>
          <w:p w14:paraId="617C7C86" w14:textId="77777777" w:rsidR="00E119D9" w:rsidRPr="00C1711F" w:rsidRDefault="00E119D9" w:rsidP="00E119D9">
            <w:r w:rsidRPr="00C1711F">
              <w:t>Tukysa</w:t>
            </w:r>
          </w:p>
        </w:tc>
      </w:tr>
      <w:tr w:rsidR="00E119D9" w:rsidRPr="003D1E62" w14:paraId="3A38E875" w14:textId="77777777" w:rsidTr="003735BC">
        <w:tc>
          <w:tcPr>
            <w:tcW w:w="2907" w:type="dxa"/>
          </w:tcPr>
          <w:p w14:paraId="550CD46E" w14:textId="77777777" w:rsidR="00E119D9" w:rsidRPr="003D1E62" w:rsidRDefault="00E119D9" w:rsidP="00E119D9">
            <w:pPr>
              <w:rPr>
                <w:i/>
              </w:rPr>
            </w:pPr>
            <w:r>
              <w:rPr>
                <w:i/>
              </w:rPr>
              <w:t>Active ingredient</w:t>
            </w:r>
            <w:r w:rsidRPr="00460036">
              <w:rPr>
                <w:i/>
              </w:rPr>
              <w:t>:</w:t>
            </w:r>
          </w:p>
        </w:tc>
        <w:tc>
          <w:tcPr>
            <w:tcW w:w="6307" w:type="dxa"/>
          </w:tcPr>
          <w:p w14:paraId="683E5467" w14:textId="77777777" w:rsidR="00E119D9" w:rsidRDefault="00E119D9" w:rsidP="00E119D9">
            <w:r w:rsidRPr="00C1711F">
              <w:t>Tucatinib</w:t>
            </w:r>
          </w:p>
        </w:tc>
      </w:tr>
      <w:tr w:rsidR="008E7846" w:rsidRPr="003D1E62" w14:paraId="4C40877E" w14:textId="77777777" w:rsidTr="003735BC">
        <w:tc>
          <w:tcPr>
            <w:tcW w:w="2907" w:type="dxa"/>
          </w:tcPr>
          <w:p w14:paraId="343A9FB4" w14:textId="77777777" w:rsidR="008E7846" w:rsidRPr="003D1E62" w:rsidRDefault="008E7846" w:rsidP="003D1E62">
            <w:r w:rsidRPr="003D1E62">
              <w:rPr>
                <w:i/>
              </w:rPr>
              <w:t>Decision</w:t>
            </w:r>
            <w:r w:rsidRPr="003D1E62">
              <w:t>:</w:t>
            </w:r>
          </w:p>
        </w:tc>
        <w:tc>
          <w:tcPr>
            <w:tcW w:w="6307" w:type="dxa"/>
          </w:tcPr>
          <w:p w14:paraId="480D9601" w14:textId="77777777" w:rsidR="008E7846" w:rsidRPr="003D1E62" w:rsidRDefault="00E119D9" w:rsidP="00E119D9">
            <w:r>
              <w:t>Approved</w:t>
            </w:r>
          </w:p>
        </w:tc>
      </w:tr>
      <w:tr w:rsidR="00E119D9" w:rsidRPr="003D1E62" w14:paraId="43DB2BC2" w14:textId="77777777" w:rsidTr="003735BC">
        <w:tc>
          <w:tcPr>
            <w:tcW w:w="2907" w:type="dxa"/>
          </w:tcPr>
          <w:p w14:paraId="629AD286" w14:textId="77777777" w:rsidR="00E119D9" w:rsidRPr="003D1E62" w:rsidRDefault="00E119D9" w:rsidP="00E119D9">
            <w:pPr>
              <w:rPr>
                <w:i/>
              </w:rPr>
            </w:pPr>
            <w:r w:rsidRPr="003D1E62">
              <w:rPr>
                <w:i/>
              </w:rPr>
              <w:t xml:space="preserve">Date of </w:t>
            </w:r>
            <w:r>
              <w:rPr>
                <w:i/>
              </w:rPr>
              <w:t>d</w:t>
            </w:r>
            <w:r w:rsidRPr="003D1E62">
              <w:rPr>
                <w:i/>
              </w:rPr>
              <w:t>ecision:</w:t>
            </w:r>
          </w:p>
        </w:tc>
        <w:tc>
          <w:tcPr>
            <w:tcW w:w="6307" w:type="dxa"/>
          </w:tcPr>
          <w:p w14:paraId="688B5224" w14:textId="77777777" w:rsidR="00E119D9" w:rsidRPr="00CD0EB7" w:rsidRDefault="00E119D9" w:rsidP="00E119D9">
            <w:r w:rsidRPr="00CD0EB7">
              <w:t>10 August 2020</w:t>
            </w:r>
          </w:p>
        </w:tc>
      </w:tr>
      <w:tr w:rsidR="00E119D9" w:rsidRPr="003D1E62" w14:paraId="23BAAE7A" w14:textId="77777777" w:rsidTr="003735BC">
        <w:tc>
          <w:tcPr>
            <w:tcW w:w="2907" w:type="dxa"/>
          </w:tcPr>
          <w:p w14:paraId="4A2A94E8" w14:textId="77777777" w:rsidR="00E119D9" w:rsidRPr="00441C3F" w:rsidRDefault="00E119D9" w:rsidP="00E119D9">
            <w:pPr>
              <w:rPr>
                <w:i/>
              </w:rPr>
            </w:pPr>
            <w:r w:rsidRPr="00441C3F">
              <w:rPr>
                <w:i/>
              </w:rPr>
              <w:t>Date of entry onto ARTG</w:t>
            </w:r>
            <w:r>
              <w:rPr>
                <w:i/>
              </w:rPr>
              <w:t>:</w:t>
            </w:r>
          </w:p>
        </w:tc>
        <w:tc>
          <w:tcPr>
            <w:tcW w:w="6307" w:type="dxa"/>
          </w:tcPr>
          <w:p w14:paraId="5E9F638B" w14:textId="77777777" w:rsidR="00E119D9" w:rsidRPr="00CD0EB7" w:rsidRDefault="00E119D9" w:rsidP="00E119D9">
            <w:r w:rsidRPr="00CD0EB7">
              <w:t>13 August 2020</w:t>
            </w:r>
          </w:p>
        </w:tc>
      </w:tr>
      <w:tr w:rsidR="00E119D9" w:rsidRPr="003D1E62" w14:paraId="3A3DDF05" w14:textId="77777777" w:rsidTr="003735BC">
        <w:tc>
          <w:tcPr>
            <w:tcW w:w="2907" w:type="dxa"/>
          </w:tcPr>
          <w:p w14:paraId="4BC45623" w14:textId="77777777" w:rsidR="00E119D9" w:rsidRPr="00441C3F" w:rsidRDefault="00E119D9" w:rsidP="00E119D9">
            <w:pPr>
              <w:rPr>
                <w:i/>
              </w:rPr>
            </w:pPr>
            <w:r>
              <w:rPr>
                <w:i/>
              </w:rPr>
              <w:t>ARTG numbers:</w:t>
            </w:r>
          </w:p>
        </w:tc>
        <w:tc>
          <w:tcPr>
            <w:tcW w:w="6307" w:type="dxa"/>
          </w:tcPr>
          <w:p w14:paraId="4629520F" w14:textId="77777777" w:rsidR="00E119D9" w:rsidRPr="00CD0EB7" w:rsidRDefault="00E119D9" w:rsidP="00E119D9">
            <w:r w:rsidRPr="00CD0EB7">
              <w:t>328525, 328526</w:t>
            </w:r>
          </w:p>
        </w:tc>
      </w:tr>
      <w:tr w:rsidR="00E119D9" w:rsidRPr="003D1E62" w14:paraId="64F4A07C" w14:textId="77777777" w:rsidTr="003735BC">
        <w:tc>
          <w:tcPr>
            <w:tcW w:w="2907" w:type="dxa"/>
          </w:tcPr>
          <w:p w14:paraId="72A186EC" w14:textId="77777777" w:rsidR="00E119D9" w:rsidRDefault="00E119D9" w:rsidP="00E119D9">
            <w:pPr>
              <w:rPr>
                <w:i/>
              </w:rPr>
            </w:pPr>
            <w:r>
              <w:rPr>
                <w:rFonts w:ascii="Wingdings 3" w:hAnsi="Wingdings 3"/>
                <w:sz w:val="34"/>
                <w:szCs w:val="34"/>
                <w:lang w:eastAsia="en-AU"/>
              </w:rPr>
              <w:t></w:t>
            </w:r>
            <w:r w:rsidRPr="003735BC">
              <w:rPr>
                <w:i/>
              </w:rPr>
              <w:t>Black Triangle Scheme</w:t>
            </w:r>
            <w:r>
              <w:rPr>
                <w:i/>
              </w:rPr>
              <w:t>:</w:t>
            </w:r>
            <w:r>
              <w:rPr>
                <w:rStyle w:val="FootnoteReference"/>
                <w:i/>
              </w:rPr>
              <w:footnoteReference w:id="2"/>
            </w:r>
          </w:p>
        </w:tc>
        <w:tc>
          <w:tcPr>
            <w:tcW w:w="6307" w:type="dxa"/>
          </w:tcPr>
          <w:p w14:paraId="39C21035" w14:textId="77777777" w:rsidR="00E119D9" w:rsidRDefault="00E119D9" w:rsidP="00E119D9">
            <w:r w:rsidRPr="00CD0EB7">
              <w:t>Yes. This product will remain in the scheme for 5 years, starting on the date the product is first supplied in Australia</w:t>
            </w:r>
          </w:p>
        </w:tc>
      </w:tr>
      <w:tr w:rsidR="00E119D9" w:rsidRPr="00487162" w14:paraId="1707B8B7" w14:textId="77777777" w:rsidTr="00BF1190">
        <w:tc>
          <w:tcPr>
            <w:tcW w:w="2907" w:type="dxa"/>
          </w:tcPr>
          <w:p w14:paraId="6318D2D8" w14:textId="77777777" w:rsidR="00E119D9" w:rsidRPr="00E119D9" w:rsidRDefault="00E119D9" w:rsidP="00E119D9">
            <w:pPr>
              <w:rPr>
                <w:i/>
              </w:rPr>
            </w:pPr>
            <w:r w:rsidRPr="00E119D9">
              <w:rPr>
                <w:i/>
              </w:rPr>
              <w:t>Sponsor’s name and address:</w:t>
            </w:r>
          </w:p>
        </w:tc>
        <w:tc>
          <w:tcPr>
            <w:tcW w:w="6307" w:type="dxa"/>
          </w:tcPr>
          <w:p w14:paraId="4A5D91AB" w14:textId="77777777" w:rsidR="00E119D9" w:rsidRPr="00A27EE2" w:rsidRDefault="00E119D9" w:rsidP="00E119D9">
            <w:pPr>
              <w:rPr>
                <w:rFonts w:eastAsia="Calibri"/>
                <w:lang w:val="es-ES"/>
              </w:rPr>
            </w:pPr>
            <w:r w:rsidRPr="00A27EE2">
              <w:rPr>
                <w:rFonts w:eastAsia="Calibri"/>
                <w:lang w:val="es-ES"/>
              </w:rPr>
              <w:t>AA-</w:t>
            </w:r>
            <w:proofErr w:type="spellStart"/>
            <w:r w:rsidRPr="00A27EE2">
              <w:rPr>
                <w:rFonts w:eastAsia="Calibri"/>
                <w:lang w:val="es-ES"/>
              </w:rPr>
              <w:t>Med</w:t>
            </w:r>
            <w:proofErr w:type="spellEnd"/>
            <w:r w:rsidRPr="00A27EE2">
              <w:rPr>
                <w:rFonts w:eastAsia="Calibri"/>
                <w:lang w:val="es-ES"/>
              </w:rPr>
              <w:t xml:space="preserve"> </w:t>
            </w:r>
            <w:proofErr w:type="spellStart"/>
            <w:r w:rsidRPr="00A27EE2">
              <w:rPr>
                <w:rFonts w:eastAsia="Calibri"/>
                <w:lang w:val="es-ES"/>
              </w:rPr>
              <w:t>Pty</w:t>
            </w:r>
            <w:proofErr w:type="spellEnd"/>
            <w:r w:rsidRPr="00A27EE2">
              <w:rPr>
                <w:rFonts w:eastAsia="Calibri"/>
                <w:lang w:val="es-ES"/>
              </w:rPr>
              <w:t xml:space="preserve"> </w:t>
            </w:r>
            <w:proofErr w:type="spellStart"/>
            <w:r w:rsidRPr="00A27EE2">
              <w:rPr>
                <w:rFonts w:eastAsia="Calibri"/>
                <w:lang w:val="es-ES"/>
              </w:rPr>
              <w:t>Ltd</w:t>
            </w:r>
            <w:proofErr w:type="spellEnd"/>
          </w:p>
          <w:p w14:paraId="02AA27DD" w14:textId="77777777" w:rsidR="00E119D9" w:rsidRPr="00A27EE2" w:rsidRDefault="00E119D9" w:rsidP="00E119D9">
            <w:pPr>
              <w:rPr>
                <w:rFonts w:eastAsia="Calibri"/>
                <w:lang w:val="es-ES"/>
              </w:rPr>
            </w:pPr>
            <w:proofErr w:type="spellStart"/>
            <w:r w:rsidRPr="00A27EE2">
              <w:rPr>
                <w:rFonts w:eastAsia="Calibri"/>
                <w:lang w:val="es-ES"/>
              </w:rPr>
              <w:t>Level</w:t>
            </w:r>
            <w:proofErr w:type="spellEnd"/>
            <w:r w:rsidRPr="00A27EE2">
              <w:rPr>
                <w:rFonts w:eastAsia="Calibri"/>
                <w:lang w:val="es-ES"/>
              </w:rPr>
              <w:t xml:space="preserve"> 8, 1 </w:t>
            </w:r>
            <w:proofErr w:type="spellStart"/>
            <w:r w:rsidRPr="00A27EE2">
              <w:rPr>
                <w:rFonts w:eastAsia="Calibri"/>
                <w:lang w:val="es-ES"/>
              </w:rPr>
              <w:t>Chandos</w:t>
            </w:r>
            <w:proofErr w:type="spellEnd"/>
            <w:r w:rsidRPr="00A27EE2">
              <w:rPr>
                <w:rFonts w:eastAsia="Calibri"/>
                <w:lang w:val="es-ES"/>
              </w:rPr>
              <w:t xml:space="preserve"> </w:t>
            </w:r>
            <w:proofErr w:type="spellStart"/>
            <w:r w:rsidRPr="00A27EE2">
              <w:rPr>
                <w:rFonts w:eastAsia="Calibri"/>
                <w:lang w:val="es-ES"/>
              </w:rPr>
              <w:t>St</w:t>
            </w:r>
            <w:proofErr w:type="spellEnd"/>
          </w:p>
          <w:p w14:paraId="54C7FB7C" w14:textId="77777777" w:rsidR="00E119D9" w:rsidRPr="00A27EE2" w:rsidRDefault="00E119D9" w:rsidP="00E119D9">
            <w:pPr>
              <w:rPr>
                <w:rFonts w:eastAsia="Calibri"/>
                <w:lang w:val="es-ES"/>
              </w:rPr>
            </w:pPr>
            <w:proofErr w:type="spellStart"/>
            <w:r w:rsidRPr="00A27EE2">
              <w:rPr>
                <w:rFonts w:eastAsia="Calibri"/>
                <w:lang w:val="es-ES"/>
              </w:rPr>
              <w:t>St</w:t>
            </w:r>
            <w:proofErr w:type="spellEnd"/>
            <w:r w:rsidRPr="00A27EE2">
              <w:rPr>
                <w:rFonts w:eastAsia="Calibri"/>
                <w:lang w:val="es-ES"/>
              </w:rPr>
              <w:t xml:space="preserve"> </w:t>
            </w:r>
            <w:proofErr w:type="spellStart"/>
            <w:r w:rsidRPr="00A27EE2">
              <w:rPr>
                <w:rFonts w:eastAsia="Calibri"/>
                <w:lang w:val="es-ES"/>
              </w:rPr>
              <w:t>Leonards</w:t>
            </w:r>
            <w:proofErr w:type="spellEnd"/>
            <w:r w:rsidRPr="00A27EE2">
              <w:rPr>
                <w:rFonts w:eastAsia="Calibri"/>
                <w:lang w:val="es-ES"/>
              </w:rPr>
              <w:t>, NSW, 2065</w:t>
            </w:r>
          </w:p>
        </w:tc>
      </w:tr>
      <w:tr w:rsidR="00E119D9" w:rsidRPr="00487162" w14:paraId="5DEECE0E" w14:textId="77777777" w:rsidTr="00BF1190">
        <w:tc>
          <w:tcPr>
            <w:tcW w:w="2907" w:type="dxa"/>
          </w:tcPr>
          <w:p w14:paraId="1E4607D8" w14:textId="77777777" w:rsidR="00E119D9" w:rsidRPr="00E119D9" w:rsidRDefault="00E119D9" w:rsidP="00E119D9">
            <w:pPr>
              <w:rPr>
                <w:i/>
              </w:rPr>
            </w:pPr>
            <w:r>
              <w:rPr>
                <w:i/>
              </w:rPr>
              <w:t>Dose form</w:t>
            </w:r>
            <w:r w:rsidRPr="00E119D9">
              <w:rPr>
                <w:i/>
              </w:rPr>
              <w:t>:</w:t>
            </w:r>
          </w:p>
        </w:tc>
        <w:tc>
          <w:tcPr>
            <w:tcW w:w="6307" w:type="dxa"/>
          </w:tcPr>
          <w:p w14:paraId="7FA7A841" w14:textId="77777777" w:rsidR="00E119D9" w:rsidRPr="00A27EE2" w:rsidRDefault="00E119D9" w:rsidP="00E119D9">
            <w:pPr>
              <w:rPr>
                <w:rFonts w:eastAsia="Calibri"/>
              </w:rPr>
            </w:pPr>
            <w:r w:rsidRPr="00A27EE2">
              <w:rPr>
                <w:rFonts w:eastAsia="Calibri"/>
              </w:rPr>
              <w:t>Film</w:t>
            </w:r>
            <w:r w:rsidRPr="00B20291">
              <w:rPr>
                <w:rFonts w:eastAsia="Calibri"/>
              </w:rPr>
              <w:t xml:space="preserve"> </w:t>
            </w:r>
            <w:r w:rsidRPr="00A27EE2">
              <w:rPr>
                <w:rFonts w:eastAsia="Calibri"/>
              </w:rPr>
              <w:t>coated tablet</w:t>
            </w:r>
          </w:p>
        </w:tc>
      </w:tr>
      <w:tr w:rsidR="00E119D9" w:rsidRPr="00487162" w14:paraId="66B640E0" w14:textId="77777777" w:rsidTr="00BF1190">
        <w:tc>
          <w:tcPr>
            <w:tcW w:w="2907" w:type="dxa"/>
          </w:tcPr>
          <w:p w14:paraId="2D63E673" w14:textId="77777777" w:rsidR="00E119D9" w:rsidRPr="00E119D9" w:rsidRDefault="00E119D9" w:rsidP="00E119D9">
            <w:pPr>
              <w:rPr>
                <w:i/>
              </w:rPr>
            </w:pPr>
            <w:r>
              <w:rPr>
                <w:i/>
              </w:rPr>
              <w:t>Strengths</w:t>
            </w:r>
            <w:r w:rsidRPr="00E119D9">
              <w:rPr>
                <w:i/>
              </w:rPr>
              <w:t>:</w:t>
            </w:r>
          </w:p>
        </w:tc>
        <w:tc>
          <w:tcPr>
            <w:tcW w:w="6307" w:type="dxa"/>
          </w:tcPr>
          <w:p w14:paraId="6C8C8AD0" w14:textId="77777777" w:rsidR="00E119D9" w:rsidRPr="00A27EE2" w:rsidRDefault="00E119D9" w:rsidP="00E119D9">
            <w:pPr>
              <w:rPr>
                <w:rFonts w:eastAsia="Calibri"/>
              </w:rPr>
            </w:pPr>
            <w:r w:rsidRPr="00A27EE2">
              <w:rPr>
                <w:rFonts w:eastAsia="Calibri"/>
              </w:rPr>
              <w:t>50 mg, 150 mg</w:t>
            </w:r>
          </w:p>
        </w:tc>
      </w:tr>
      <w:tr w:rsidR="00E119D9" w:rsidRPr="00487162" w14:paraId="440A6798" w14:textId="77777777" w:rsidTr="00BF1190">
        <w:tc>
          <w:tcPr>
            <w:tcW w:w="2907" w:type="dxa"/>
          </w:tcPr>
          <w:p w14:paraId="78E3C031" w14:textId="77777777" w:rsidR="00E119D9" w:rsidRPr="00487162" w:rsidRDefault="00E119D9" w:rsidP="00E119D9">
            <w:pPr>
              <w:rPr>
                <w:i/>
              </w:rPr>
            </w:pPr>
            <w:r>
              <w:rPr>
                <w:i/>
              </w:rPr>
              <w:t>Container</w:t>
            </w:r>
            <w:r w:rsidRPr="00487162">
              <w:rPr>
                <w:i/>
              </w:rPr>
              <w:t>:</w:t>
            </w:r>
          </w:p>
        </w:tc>
        <w:tc>
          <w:tcPr>
            <w:tcW w:w="6307" w:type="dxa"/>
          </w:tcPr>
          <w:p w14:paraId="54510A71" w14:textId="77777777" w:rsidR="00E119D9" w:rsidRPr="00BF0E4C" w:rsidRDefault="00E119D9" w:rsidP="00E119D9">
            <w:r w:rsidRPr="00BF0E4C">
              <w:t>Blister pack</w:t>
            </w:r>
          </w:p>
        </w:tc>
      </w:tr>
      <w:tr w:rsidR="00E119D9" w:rsidRPr="00487162" w14:paraId="06B1A923" w14:textId="77777777" w:rsidTr="00BF1190">
        <w:tc>
          <w:tcPr>
            <w:tcW w:w="2907" w:type="dxa"/>
          </w:tcPr>
          <w:p w14:paraId="5E350430" w14:textId="77777777" w:rsidR="00E119D9" w:rsidRPr="00487162" w:rsidRDefault="00E119D9" w:rsidP="00E119D9">
            <w:pPr>
              <w:rPr>
                <w:i/>
              </w:rPr>
            </w:pPr>
            <w:r>
              <w:rPr>
                <w:i/>
              </w:rPr>
              <w:t>Pack sizes</w:t>
            </w:r>
            <w:r w:rsidRPr="00487162">
              <w:rPr>
                <w:i/>
              </w:rPr>
              <w:t>:</w:t>
            </w:r>
          </w:p>
        </w:tc>
        <w:tc>
          <w:tcPr>
            <w:tcW w:w="6307" w:type="dxa"/>
          </w:tcPr>
          <w:p w14:paraId="32EE9AB4" w14:textId="77777777" w:rsidR="00E119D9" w:rsidRDefault="00E119D9" w:rsidP="00E119D9">
            <w:r w:rsidRPr="00BF0E4C">
              <w:t>88 tablets (50 mg), 84 tablets (150 mg)</w:t>
            </w:r>
          </w:p>
        </w:tc>
      </w:tr>
      <w:tr w:rsidR="008E7846" w:rsidRPr="00487162" w14:paraId="5893B1B7" w14:textId="77777777" w:rsidTr="00BF1190">
        <w:tc>
          <w:tcPr>
            <w:tcW w:w="2907" w:type="dxa"/>
          </w:tcPr>
          <w:p w14:paraId="68B24A9A" w14:textId="77777777"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14:paraId="1AE4DA34" w14:textId="77777777" w:rsidR="008E7846" w:rsidRPr="00E119D9" w:rsidRDefault="00E119D9" w:rsidP="00E45619">
            <w:pPr>
              <w:rPr>
                <w:rFonts w:eastAsia="MS Mincho"/>
                <w:i/>
                <w:lang w:eastAsia="ja-JP"/>
              </w:rPr>
            </w:pPr>
            <w:r w:rsidRPr="00E119D9">
              <w:rPr>
                <w:i/>
              </w:rPr>
              <w:t>Tukysa is indicated in combination with trastuzumab and capecitabine for treatment of patients with advanced unresectable or metastatic HER2-positive breast cancer, including patients with brain metastases, who have received one or more prior anti-HER2-based regimens in the metastatic setting.</w:t>
            </w:r>
          </w:p>
        </w:tc>
      </w:tr>
      <w:tr w:rsidR="00E119D9" w:rsidRPr="00487162" w14:paraId="73B0C115" w14:textId="77777777" w:rsidTr="00BF1190">
        <w:tc>
          <w:tcPr>
            <w:tcW w:w="2907" w:type="dxa"/>
          </w:tcPr>
          <w:p w14:paraId="3515957E" w14:textId="77777777" w:rsidR="00E119D9" w:rsidRPr="00487162" w:rsidRDefault="00E119D9" w:rsidP="00E119D9">
            <w:pPr>
              <w:rPr>
                <w:i/>
              </w:rPr>
            </w:pPr>
            <w:r>
              <w:rPr>
                <w:i/>
              </w:rPr>
              <w:t>Route</w:t>
            </w:r>
            <w:r w:rsidRPr="00487162">
              <w:rPr>
                <w:i/>
              </w:rPr>
              <w:t xml:space="preserve"> of administration:</w:t>
            </w:r>
          </w:p>
        </w:tc>
        <w:tc>
          <w:tcPr>
            <w:tcW w:w="6307" w:type="dxa"/>
          </w:tcPr>
          <w:p w14:paraId="1814DEB7" w14:textId="77777777" w:rsidR="00E119D9" w:rsidRPr="00A27EE2" w:rsidRDefault="00E119D9" w:rsidP="00E119D9">
            <w:r w:rsidRPr="00A27EE2">
              <w:t>Oral</w:t>
            </w:r>
          </w:p>
        </w:tc>
      </w:tr>
      <w:tr w:rsidR="00E119D9" w:rsidRPr="00487162" w14:paraId="2C3E781C" w14:textId="77777777" w:rsidTr="00BF1190">
        <w:tc>
          <w:tcPr>
            <w:tcW w:w="2907" w:type="dxa"/>
          </w:tcPr>
          <w:p w14:paraId="5EEC4215" w14:textId="77777777" w:rsidR="00E119D9" w:rsidRPr="00487162" w:rsidRDefault="00E119D9" w:rsidP="00E119D9">
            <w:pPr>
              <w:rPr>
                <w:i/>
              </w:rPr>
            </w:pPr>
            <w:r w:rsidRPr="00487162">
              <w:rPr>
                <w:i/>
              </w:rPr>
              <w:t>Dosage:</w:t>
            </w:r>
          </w:p>
        </w:tc>
        <w:tc>
          <w:tcPr>
            <w:tcW w:w="6307" w:type="dxa"/>
          </w:tcPr>
          <w:p w14:paraId="28AFF86C" w14:textId="77777777" w:rsidR="00E119D9" w:rsidRPr="00A27EE2" w:rsidRDefault="00E119D9" w:rsidP="00E119D9">
            <w:r w:rsidRPr="00A27EE2">
              <w:t>Tukysa treatment should be initiated and supervised by a physician experienced in the administration of anti-cancer medicinal products.</w:t>
            </w:r>
          </w:p>
          <w:p w14:paraId="01DA0415" w14:textId="77777777" w:rsidR="00E119D9" w:rsidRPr="00A27EE2" w:rsidRDefault="00E119D9" w:rsidP="00E119D9">
            <w:r w:rsidRPr="00A27EE2">
              <w:t>The recommended dose of Tukysa is 300 mg taken orally twice daily in combination with trastuzumab and capecitabine until disease progression or unacceptable toxicity.</w:t>
            </w:r>
          </w:p>
          <w:p w14:paraId="23DB39A0" w14:textId="77777777" w:rsidR="00E119D9" w:rsidRPr="00A27EE2" w:rsidRDefault="00E119D9" w:rsidP="00E119D9">
            <w:r w:rsidRPr="00A27EE2">
              <w:t>For further information refer to the Product Information.</w:t>
            </w:r>
          </w:p>
        </w:tc>
      </w:tr>
      <w:tr w:rsidR="00E119D9" w:rsidRPr="00487162" w14:paraId="4E0007E5" w14:textId="77777777" w:rsidTr="00BF1190">
        <w:tc>
          <w:tcPr>
            <w:tcW w:w="2907" w:type="dxa"/>
          </w:tcPr>
          <w:p w14:paraId="73929180" w14:textId="77777777" w:rsidR="00E119D9" w:rsidRPr="00487162" w:rsidRDefault="00E119D9" w:rsidP="00E119D9">
            <w:pPr>
              <w:rPr>
                <w:i/>
              </w:rPr>
            </w:pPr>
            <w:r w:rsidRPr="00460036">
              <w:rPr>
                <w:i/>
              </w:rPr>
              <w:t>Pregnancy category</w:t>
            </w:r>
            <w:r>
              <w:rPr>
                <w:i/>
              </w:rPr>
              <w:t>:</w:t>
            </w:r>
          </w:p>
        </w:tc>
        <w:tc>
          <w:tcPr>
            <w:tcW w:w="6307" w:type="dxa"/>
          </w:tcPr>
          <w:p w14:paraId="58E4D8B4" w14:textId="77777777" w:rsidR="00E119D9" w:rsidRPr="00A27EE2" w:rsidRDefault="00E119D9" w:rsidP="00E119D9">
            <w:r w:rsidRPr="00A27EE2">
              <w:t>D</w:t>
            </w:r>
          </w:p>
          <w:p w14:paraId="5E5A5F4F" w14:textId="77777777" w:rsidR="00E119D9" w:rsidRPr="00A27EE2" w:rsidRDefault="00E119D9" w:rsidP="00E119D9">
            <w:r w:rsidRPr="00A27EE2">
              <w:t>Drugs which have caused, are suspected to have caused or may be expected to cause, an increased incidence of human fetal malformations or irreversible damage. These drugs may also have adverse pharmacological effects. Accompanying texts should be consulted for further details.</w:t>
            </w:r>
          </w:p>
          <w:p w14:paraId="4C074572" w14:textId="77777777" w:rsidR="00E119D9" w:rsidRPr="00A27EE2" w:rsidRDefault="00E119D9" w:rsidP="00E119D9">
            <w:r w:rsidRPr="00A27EE2">
              <w:t>The use of any medicine during pregnancy requires careful consideration of both risks and benefits by the treating health professional. This must not be used as the sole basis of decision making in the use of medicines during pregnancy. The TGA does not provide advice on the use of medicines in pregnancy for specific cases. More information is available from obstetric drug information services in your State or Territory.</w:t>
            </w:r>
          </w:p>
        </w:tc>
      </w:tr>
    </w:tbl>
    <w:p w14:paraId="723BC217" w14:textId="77777777" w:rsidR="008E7846" w:rsidRDefault="008E7846" w:rsidP="008E7846">
      <w:pPr>
        <w:pStyle w:val="Heading3"/>
      </w:pPr>
      <w:bookmarkStart w:id="13" w:name="_Toc247691503"/>
      <w:bookmarkStart w:id="14" w:name="_Toc314842484"/>
      <w:bookmarkStart w:id="15" w:name="_Toc67579142"/>
      <w:r>
        <w:t>Product background</w:t>
      </w:r>
      <w:bookmarkEnd w:id="13"/>
      <w:bookmarkEnd w:id="14"/>
      <w:bookmarkEnd w:id="15"/>
    </w:p>
    <w:p w14:paraId="7991EDC1" w14:textId="34905949" w:rsidR="008E7846" w:rsidRDefault="00250271" w:rsidP="00940A89">
      <w:r w:rsidRPr="00250271">
        <w:t xml:space="preserve">This AusPAR describes the application by </w:t>
      </w:r>
      <w:r w:rsidR="00E119D9" w:rsidRPr="00A27EE2">
        <w:rPr>
          <w:rFonts w:eastAsia="Calibri"/>
          <w:lang w:val="es-ES"/>
        </w:rPr>
        <w:t>AA-</w:t>
      </w:r>
      <w:proofErr w:type="spellStart"/>
      <w:r w:rsidR="00E119D9" w:rsidRPr="00A27EE2">
        <w:rPr>
          <w:rFonts w:eastAsia="Calibri"/>
          <w:lang w:val="es-ES"/>
        </w:rPr>
        <w:t>Med</w:t>
      </w:r>
      <w:proofErr w:type="spellEnd"/>
      <w:r w:rsidR="00E119D9" w:rsidRPr="00A27EE2">
        <w:rPr>
          <w:rFonts w:eastAsia="Calibri"/>
          <w:lang w:val="es-ES"/>
        </w:rPr>
        <w:t xml:space="preserve"> </w:t>
      </w:r>
      <w:proofErr w:type="spellStart"/>
      <w:r w:rsidR="00E119D9" w:rsidRPr="00A27EE2">
        <w:rPr>
          <w:rFonts w:eastAsia="Calibri"/>
          <w:lang w:val="es-ES"/>
        </w:rPr>
        <w:t>Pty</w:t>
      </w:r>
      <w:proofErr w:type="spellEnd"/>
      <w:r w:rsidR="00E119D9" w:rsidRPr="00A27EE2">
        <w:rPr>
          <w:rFonts w:eastAsia="Calibri"/>
          <w:lang w:val="es-ES"/>
        </w:rPr>
        <w:t xml:space="preserve"> </w:t>
      </w:r>
      <w:proofErr w:type="spellStart"/>
      <w:r w:rsidR="00E119D9" w:rsidRPr="00A27EE2">
        <w:rPr>
          <w:rFonts w:eastAsia="Calibri"/>
          <w:lang w:val="es-ES"/>
        </w:rPr>
        <w:t>Ltd</w:t>
      </w:r>
      <w:proofErr w:type="spellEnd"/>
      <w:r w:rsidRPr="00250271">
        <w:t xml:space="preserve"> (the sponsor) to register </w:t>
      </w:r>
      <w:r w:rsidR="00E119D9" w:rsidRPr="00A27EE2">
        <w:rPr>
          <w:rFonts w:eastAsia="Calibri"/>
        </w:rPr>
        <w:t>Tukysa (tucatinib)</w:t>
      </w:r>
      <w:r w:rsidRPr="00250271">
        <w:t xml:space="preserve"> </w:t>
      </w:r>
      <w:r w:rsidR="00E119D9" w:rsidRPr="00A27EE2">
        <w:rPr>
          <w:rFonts w:eastAsia="Calibri"/>
        </w:rPr>
        <w:t>50 mg,</w:t>
      </w:r>
      <w:r w:rsidR="003E3DF2">
        <w:rPr>
          <w:rFonts w:eastAsia="Calibri"/>
        </w:rPr>
        <w:t xml:space="preserve"> and</w:t>
      </w:r>
      <w:r w:rsidR="00E119D9" w:rsidRPr="00A27EE2">
        <w:rPr>
          <w:rFonts w:eastAsia="Calibri"/>
        </w:rPr>
        <w:t xml:space="preserve"> 150 mg</w:t>
      </w:r>
      <w:r w:rsidR="00E119D9" w:rsidRPr="00250271">
        <w:t xml:space="preserve"> </w:t>
      </w:r>
      <w:r w:rsidR="00E119D9">
        <w:t>film coated tablet</w:t>
      </w:r>
      <w:r w:rsidR="00174507">
        <w:t>s</w:t>
      </w:r>
      <w:r w:rsidR="00E119D9">
        <w:t xml:space="preserve"> </w:t>
      </w:r>
      <w:r w:rsidRPr="00250271">
        <w:t>for the following proposed indi</w:t>
      </w:r>
      <w:r w:rsidR="00E119D9">
        <w:t>cation</w:t>
      </w:r>
      <w:r w:rsidR="00B51ED1">
        <w:t>:</w:t>
      </w:r>
    </w:p>
    <w:p w14:paraId="6E5AF9A0" w14:textId="77777777" w:rsidR="00B51ED1" w:rsidRPr="00B51ED1" w:rsidRDefault="00B51ED1" w:rsidP="00B51ED1">
      <w:pPr>
        <w:ind w:left="720"/>
        <w:rPr>
          <w:i/>
        </w:rPr>
      </w:pPr>
      <w:r w:rsidRPr="00B51ED1">
        <w:rPr>
          <w:i/>
        </w:rPr>
        <w:t xml:space="preserve">Tukysa is indicated in combination with trastuzumab and capecitabine for treatment of patients with locally advanced unresectable or metastatic HER2-positive breast cancer, including patients with brain metastases, who have received at least 3 prior HER2-directed agents separately or in combination, in the </w:t>
      </w:r>
      <w:proofErr w:type="spellStart"/>
      <w:r w:rsidRPr="00B51ED1">
        <w:rPr>
          <w:i/>
        </w:rPr>
        <w:t>neoadjuvant</w:t>
      </w:r>
      <w:proofErr w:type="spellEnd"/>
      <w:r w:rsidRPr="00B51ED1">
        <w:rPr>
          <w:i/>
        </w:rPr>
        <w:t>, adjuvant, or metastatic setting.</w:t>
      </w:r>
    </w:p>
    <w:p w14:paraId="33275A59" w14:textId="77777777" w:rsidR="00962BBE" w:rsidRDefault="00962BBE" w:rsidP="00962BBE">
      <w:r>
        <w:t>B</w:t>
      </w:r>
      <w:r w:rsidRPr="006C2247">
        <w:t xml:space="preserve">reast cancer </w:t>
      </w:r>
      <w:r>
        <w:t xml:space="preserve">that harbours amplification or overexpression of the </w:t>
      </w:r>
      <w:r w:rsidR="00CE5EF1" w:rsidRPr="00CE5EF1">
        <w:t xml:space="preserve">human epidermal growth factor receptor 2 </w:t>
      </w:r>
      <w:r w:rsidR="00CE5EF1">
        <w:t>(</w:t>
      </w:r>
      <w:r>
        <w:t>HER2</w:t>
      </w:r>
      <w:r w:rsidR="00E72097">
        <w:t xml:space="preserve">), that </w:t>
      </w:r>
      <w:r w:rsidR="00871790">
        <w:t xml:space="preserve">is </w:t>
      </w:r>
      <w:r>
        <w:t>HER</w:t>
      </w:r>
      <w:r w:rsidR="00CE5EF1">
        <w:t>2-positive</w:t>
      </w:r>
      <w:r w:rsidR="00871790">
        <w:t>/HER+,</w:t>
      </w:r>
      <w:r w:rsidR="008F20BB">
        <w:t xml:space="preserve"> makes up around 15 to </w:t>
      </w:r>
      <w:r>
        <w:t>20%</w:t>
      </w:r>
      <w:r w:rsidRPr="006C2247">
        <w:t xml:space="preserve"> of </w:t>
      </w:r>
      <w:r w:rsidRPr="00CE6792">
        <w:t>breast cancers</w:t>
      </w:r>
      <w:r>
        <w:t xml:space="preserve"> and is associated with earlier age at diagnosis and aggressive phenotype</w:t>
      </w:r>
      <w:r w:rsidRPr="00CE6792">
        <w:t>.</w:t>
      </w:r>
      <w:r w:rsidR="00CE5EF1">
        <w:rPr>
          <w:rStyle w:val="FootnoteReference"/>
        </w:rPr>
        <w:footnoteReference w:id="3"/>
      </w:r>
      <w:r w:rsidRPr="00CE6792">
        <w:t xml:space="preserve"> </w:t>
      </w:r>
      <w:r w:rsidR="00E6400A">
        <w:rPr>
          <w:rStyle w:val="FootnoteReference"/>
        </w:rPr>
        <w:footnoteReference w:id="4"/>
      </w:r>
      <w:r w:rsidR="00E6400A">
        <w:t xml:space="preserve"> </w:t>
      </w:r>
      <w:r w:rsidRPr="00CE6792">
        <w:t>Most patients receive an anti-HER2 regimen including trastuzumab in th</w:t>
      </w:r>
      <w:r w:rsidR="005F6228">
        <w:t xml:space="preserve">e </w:t>
      </w:r>
      <w:proofErr w:type="spellStart"/>
      <w:r w:rsidR="005F6228">
        <w:t>neoadjuvant</w:t>
      </w:r>
      <w:proofErr w:type="spellEnd"/>
      <w:r w:rsidR="005F6228">
        <w:t xml:space="preserve">/adjuvant setting. </w:t>
      </w:r>
      <w:r w:rsidR="005F6228" w:rsidRPr="00CE6792">
        <w:t>For patients with metastatic disease</w:t>
      </w:r>
      <w:r w:rsidR="005F6228">
        <w:t xml:space="preserve">, or locally advanced disease that remains unresectable despite </w:t>
      </w:r>
      <w:proofErr w:type="spellStart"/>
      <w:r w:rsidR="005F6228">
        <w:t>neoadjuvant</w:t>
      </w:r>
      <w:proofErr w:type="spellEnd"/>
      <w:r w:rsidR="005F6228">
        <w:t xml:space="preserve"> HER2</w:t>
      </w:r>
      <w:r w:rsidR="005F6228">
        <w:noBreakHyphen/>
        <w:t>directed/chemotherapy treatment</w:t>
      </w:r>
      <w:r w:rsidR="005F6228" w:rsidRPr="00CE6792">
        <w:t>, a surgical cure is not possible and palliative systemic therapy is indicated.</w:t>
      </w:r>
    </w:p>
    <w:p w14:paraId="07C1DF7A" w14:textId="77777777" w:rsidR="009C7615" w:rsidRDefault="00962BBE" w:rsidP="00962BBE">
      <w:r>
        <w:t>Patients with</w:t>
      </w:r>
      <w:r w:rsidRPr="00CE6792">
        <w:t xml:space="preserve"> metastatic disease</w:t>
      </w:r>
      <w:r>
        <w:t xml:space="preserve"> usually receive </w:t>
      </w:r>
      <w:r w:rsidRPr="00CE6792">
        <w:t xml:space="preserve">trastuzumab, </w:t>
      </w:r>
      <w:proofErr w:type="spellStart"/>
      <w:r w:rsidRPr="00CE6792">
        <w:t>pertuzumab</w:t>
      </w:r>
      <w:proofErr w:type="spellEnd"/>
      <w:r w:rsidRPr="00CE6792">
        <w:t xml:space="preserve"> and a </w:t>
      </w:r>
      <w:proofErr w:type="spellStart"/>
      <w:r w:rsidRPr="00CE6792">
        <w:t>taxane</w:t>
      </w:r>
      <w:proofErr w:type="spellEnd"/>
      <w:r>
        <w:t xml:space="preserve"> as first-line systemic therapy</w:t>
      </w:r>
      <w:r w:rsidRPr="00CE6792">
        <w:t xml:space="preserve">. </w:t>
      </w:r>
      <w:r>
        <w:t xml:space="preserve">Patients who progress on or within 6 months of a </w:t>
      </w:r>
      <w:proofErr w:type="spellStart"/>
      <w:r>
        <w:t>neoadjuvant</w:t>
      </w:r>
      <w:proofErr w:type="spellEnd"/>
      <w:r>
        <w:t>/adjuvant trastuzumab-containing regimen may instead receive</w:t>
      </w:r>
      <w:r w:rsidRPr="00CE6792">
        <w:t xml:space="preserve"> trastuzumab </w:t>
      </w:r>
      <w:proofErr w:type="spellStart"/>
      <w:r w:rsidRPr="00CE6792">
        <w:t>emtansi</w:t>
      </w:r>
      <w:r>
        <w:t>ne</w:t>
      </w:r>
      <w:proofErr w:type="spellEnd"/>
      <w:r>
        <w:t xml:space="preserve"> </w:t>
      </w:r>
      <w:r w:rsidRPr="00CE6792">
        <w:t>(</w:t>
      </w:r>
      <w:r w:rsidR="00D47EC3">
        <w:t>T-DM1</w:t>
      </w:r>
      <w:r w:rsidRPr="00CE6792">
        <w:t>)</w:t>
      </w:r>
      <w:r>
        <w:t xml:space="preserve"> in the first line metastatic setting, which is otherwise used in the second-line metastatic setting</w:t>
      </w:r>
      <w:r w:rsidRPr="00CE6792">
        <w:t xml:space="preserve">. After progression on </w:t>
      </w:r>
      <w:r w:rsidR="00D47EC3">
        <w:t>T-DM1</w:t>
      </w:r>
      <w:r w:rsidR="009C7615">
        <w:t>, there was</w:t>
      </w:r>
      <w:r w:rsidRPr="00CE6792">
        <w:t xml:space="preserve"> no standard therapy</w:t>
      </w:r>
      <w:r w:rsidR="009C7615">
        <w:t>, and the prognosis of these patients remains poor.</w:t>
      </w:r>
    </w:p>
    <w:p w14:paraId="33A70850" w14:textId="77777777" w:rsidR="009C7615" w:rsidRDefault="007D3046" w:rsidP="009C7615">
      <w:r>
        <w:t>At the time the submission described in this AusPAR was under consideration, o</w:t>
      </w:r>
      <w:r w:rsidR="009C7615">
        <w:t>ptions for treatment include</w:t>
      </w:r>
      <w:r>
        <w:t>d</w:t>
      </w:r>
      <w:r w:rsidR="009C7615">
        <w:t>:</w:t>
      </w:r>
    </w:p>
    <w:p w14:paraId="29F6B95C" w14:textId="77777777" w:rsidR="009C7615" w:rsidRDefault="009C7615" w:rsidP="00A33D6C">
      <w:pPr>
        <w:pStyle w:val="ListBullet"/>
      </w:pPr>
      <w:r>
        <w:t xml:space="preserve">Continuation of HER2 targeted therapy with trastuzumab or </w:t>
      </w:r>
      <w:proofErr w:type="spellStart"/>
      <w:r>
        <w:t>lapatinib</w:t>
      </w:r>
      <w:proofErr w:type="spellEnd"/>
      <w:r>
        <w:t xml:space="preserve"> in combination with cytotoxic chem</w:t>
      </w:r>
      <w:r w:rsidR="00A33D6C">
        <w:t>otherapy, such as capecitabine.</w:t>
      </w:r>
    </w:p>
    <w:p w14:paraId="7931BF28" w14:textId="77777777" w:rsidR="009C7615" w:rsidRDefault="009C7615" w:rsidP="00A33D6C">
      <w:pPr>
        <w:pStyle w:val="ListBullet"/>
      </w:pPr>
      <w:proofErr w:type="spellStart"/>
      <w:r>
        <w:t>Lapatinib</w:t>
      </w:r>
      <w:proofErr w:type="spellEnd"/>
      <w:r>
        <w:t xml:space="preserve"> is used (and funded) in Australia in combination with capecitabine following progression on or intolerance precluding continuation of trastuzumab/</w:t>
      </w:r>
      <w:proofErr w:type="spellStart"/>
      <w:r>
        <w:t>pertuzumab</w:t>
      </w:r>
      <w:proofErr w:type="spellEnd"/>
      <w:r>
        <w:t>/</w:t>
      </w:r>
      <w:proofErr w:type="spellStart"/>
      <w:r>
        <w:t>taxane</w:t>
      </w:r>
      <w:proofErr w:type="spellEnd"/>
      <w:r>
        <w:t xml:space="preserve"> or </w:t>
      </w:r>
      <w:r w:rsidR="00D47EC3">
        <w:t>T-DM1</w:t>
      </w:r>
      <w:r>
        <w:t xml:space="preserve">. </w:t>
      </w:r>
      <w:r w:rsidR="00871790">
        <w:t>Note that u</w:t>
      </w:r>
      <w:r>
        <w:t xml:space="preserve">se of </w:t>
      </w:r>
      <w:proofErr w:type="spellStart"/>
      <w:r>
        <w:t>lap</w:t>
      </w:r>
      <w:r w:rsidR="00871790">
        <w:t>atinib</w:t>
      </w:r>
      <w:proofErr w:type="spellEnd"/>
      <w:r w:rsidR="00871790">
        <w:t xml:space="preserve"> within 12 </w:t>
      </w:r>
      <w:r>
        <w:t>months of starting study treatment was an exclusion criterion from the pivotal trial for the submission</w:t>
      </w:r>
      <w:r w:rsidR="00E6400A">
        <w:t xml:space="preserve"> described in this AusPAR</w:t>
      </w:r>
      <w:r>
        <w:t>.</w:t>
      </w:r>
    </w:p>
    <w:p w14:paraId="047F5F57" w14:textId="77777777" w:rsidR="009C7615" w:rsidRDefault="009C7615" w:rsidP="00A33D6C">
      <w:pPr>
        <w:pStyle w:val="ListBullet"/>
      </w:pPr>
      <w:r>
        <w:t xml:space="preserve">Neratinib in combination with capecitabine is registered by the </w:t>
      </w:r>
      <w:r w:rsidR="00871790">
        <w:t>United Stated (US) Food and Drug Administration (</w:t>
      </w:r>
      <w:r>
        <w:t>FDA</w:t>
      </w:r>
      <w:r w:rsidR="00871790">
        <w:t>)</w:t>
      </w:r>
      <w:r w:rsidR="00A33D6C">
        <w:t>,</w:t>
      </w:r>
      <w:r>
        <w:t xml:space="preserve"> but this indication for </w:t>
      </w:r>
      <w:proofErr w:type="spellStart"/>
      <w:r>
        <w:t>neratinib</w:t>
      </w:r>
      <w:proofErr w:type="spellEnd"/>
      <w:r>
        <w:t xml:space="preserve"> </w:t>
      </w:r>
      <w:r w:rsidR="00A33D6C">
        <w:t>is not registered in Australia.</w:t>
      </w:r>
    </w:p>
    <w:p w14:paraId="25793F2F" w14:textId="67D5FBBE" w:rsidR="009C7615" w:rsidRDefault="009C7615" w:rsidP="00A33D6C">
      <w:pPr>
        <w:pStyle w:val="ListBullet"/>
      </w:pPr>
      <w:r>
        <w:t xml:space="preserve">Trastuzumab </w:t>
      </w:r>
      <w:proofErr w:type="spellStart"/>
      <w:r>
        <w:t>deruxtecan</w:t>
      </w:r>
      <w:proofErr w:type="spellEnd"/>
      <w:r>
        <w:t xml:space="preserve"> holds an</w:t>
      </w:r>
      <w:r w:rsidR="00871790">
        <w:t xml:space="preserve"> </w:t>
      </w:r>
      <w:r w:rsidR="003E3DF2">
        <w:t>A</w:t>
      </w:r>
      <w:r w:rsidR="00871790">
        <w:t xml:space="preserve">ccelerated </w:t>
      </w:r>
      <w:r w:rsidR="003E3DF2">
        <w:t>A</w:t>
      </w:r>
      <w:r w:rsidR="00871790">
        <w:t xml:space="preserve">pproval </w:t>
      </w:r>
      <w:r w:rsidR="003E3DF2">
        <w:t xml:space="preserve">status </w:t>
      </w:r>
      <w:r w:rsidR="00871790">
        <w:t>in the US</w:t>
      </w:r>
      <w:r>
        <w:t>,</w:t>
      </w:r>
      <w:r w:rsidR="003E3DF2">
        <w:rPr>
          <w:rStyle w:val="FootnoteReference"/>
        </w:rPr>
        <w:footnoteReference w:id="5"/>
      </w:r>
      <w:r>
        <w:t xml:space="preserve"> but not Australia to date.</w:t>
      </w:r>
    </w:p>
    <w:p w14:paraId="3779B8DA" w14:textId="77777777" w:rsidR="00962BBE" w:rsidRDefault="005F6228" w:rsidP="00962BBE">
      <w:r>
        <w:t xml:space="preserve">Metastases to the brain occur in </w:t>
      </w:r>
      <w:r w:rsidR="00E6400A">
        <w:t xml:space="preserve">approximately </w:t>
      </w:r>
      <w:r>
        <w:t>20 to 50% of patients with HER2-posit</w:t>
      </w:r>
      <w:r w:rsidR="009C7615">
        <w:t>ive breast cancer,</w:t>
      </w:r>
      <w:r w:rsidR="00E6400A">
        <w:rPr>
          <w:rStyle w:val="FootnoteReference"/>
        </w:rPr>
        <w:footnoteReference w:id="6"/>
      </w:r>
      <w:r w:rsidR="00E6400A">
        <w:t xml:space="preserve"> </w:t>
      </w:r>
      <w:r w:rsidR="00E6400A">
        <w:rPr>
          <w:rStyle w:val="FootnoteReference"/>
        </w:rPr>
        <w:footnoteReference w:id="7"/>
      </w:r>
      <w:r w:rsidR="009C7615" w:rsidRPr="009C7615">
        <w:t xml:space="preserve"> </w:t>
      </w:r>
      <w:r w:rsidR="009C7615">
        <w:t xml:space="preserve">and is associated with a very </w:t>
      </w:r>
      <w:r w:rsidR="00886669">
        <w:t xml:space="preserve">poor prognosis; with a median survival of approximately </w:t>
      </w:r>
      <w:r w:rsidR="00CE5EF1">
        <w:t>2</w:t>
      </w:r>
      <w:r w:rsidR="00886669">
        <w:t xml:space="preserve"> years</w:t>
      </w:r>
      <w:r w:rsidR="009C7615" w:rsidRPr="009C7615">
        <w:t>.</w:t>
      </w:r>
      <w:r w:rsidR="00CE5EF1">
        <w:rPr>
          <w:rStyle w:val="FootnoteReference"/>
        </w:rPr>
        <w:footnoteReference w:id="8"/>
      </w:r>
    </w:p>
    <w:p w14:paraId="53B567AC" w14:textId="77777777" w:rsidR="00962BBE" w:rsidRDefault="00962BBE" w:rsidP="00B51ED1">
      <w:r>
        <w:t>Tucatinib is a small molecule, orally administered tyrosine kinase inhibitor (TKI) of HER2.</w:t>
      </w:r>
      <w:r w:rsidR="009C7615">
        <w:t xml:space="preserve"> Until the pivotal study for the current submission, </w:t>
      </w:r>
      <w:r w:rsidR="00E72097">
        <w:t xml:space="preserve">the </w:t>
      </w:r>
      <w:r w:rsidR="009C7615">
        <w:t>HER2CLIMB</w:t>
      </w:r>
      <w:r w:rsidR="00E72097">
        <w:t xml:space="preserve"> trial</w:t>
      </w:r>
      <w:r w:rsidR="009C7615">
        <w:t xml:space="preserve">, no treatment had shown a clinically meaningful and statistically significant </w:t>
      </w:r>
      <w:r w:rsidR="00871790">
        <w:t>overall survival (</w:t>
      </w:r>
      <w:r w:rsidR="009C7615">
        <w:t>OS</w:t>
      </w:r>
      <w:r w:rsidR="00E72097">
        <w:t>) benefit in the post-</w:t>
      </w:r>
      <w:r w:rsidR="00D47EC3">
        <w:t>T-DM1</w:t>
      </w:r>
      <w:r w:rsidR="009C7615">
        <w:t xml:space="preserve"> setting. And</w:t>
      </w:r>
      <w:r w:rsidR="00E72097">
        <w:t xml:space="preserve"> while</w:t>
      </w:r>
      <w:r w:rsidR="009C7615">
        <w:t xml:space="preserve"> </w:t>
      </w:r>
      <w:proofErr w:type="spellStart"/>
      <w:r w:rsidR="009C7615" w:rsidRPr="00923B98">
        <w:t>lapatinib</w:t>
      </w:r>
      <w:proofErr w:type="spellEnd"/>
      <w:r w:rsidR="009C7615" w:rsidRPr="00923B98">
        <w:t xml:space="preserve"> demonstrated some modest activity against</w:t>
      </w:r>
      <w:r w:rsidR="00871790">
        <w:t xml:space="preserve"> brain metastases in the Phase II single arm LANDSCAPE trial</w:t>
      </w:r>
      <w:r w:rsidR="005D0EEE">
        <w:t>,</w:t>
      </w:r>
      <w:r w:rsidR="00EE3732">
        <w:rPr>
          <w:rStyle w:val="FootnoteReference"/>
        </w:rPr>
        <w:footnoteReference w:id="9"/>
      </w:r>
      <w:r w:rsidR="005D0EEE">
        <w:t xml:space="preserve"> there were</w:t>
      </w:r>
      <w:r w:rsidR="009C7615">
        <w:t xml:space="preserve"> no therapies registered specifically for patients with brain metastases (studies have not </w:t>
      </w:r>
      <w:r w:rsidR="00E0433A">
        <w:t>traditionally</w:t>
      </w:r>
      <w:r w:rsidR="009C7615">
        <w:t xml:space="preserve"> been designed with this as a major endpoint)</w:t>
      </w:r>
      <w:r w:rsidR="009C7615" w:rsidRPr="00923B98">
        <w:t>.</w:t>
      </w:r>
    </w:p>
    <w:p w14:paraId="71572193" w14:textId="77777777" w:rsidR="00E119D9" w:rsidRPr="00A27EE2" w:rsidRDefault="00E119D9" w:rsidP="00E119D9">
      <w:pPr>
        <w:rPr>
          <w:rFonts w:eastAsia="Calibri"/>
        </w:rPr>
      </w:pPr>
      <w:r w:rsidRPr="00A27EE2">
        <w:rPr>
          <w:rFonts w:eastAsia="Calibri"/>
        </w:rPr>
        <w:t>This evaluation was facilitated through Project Orbis, an i</w:t>
      </w:r>
      <w:r w:rsidR="00871790">
        <w:rPr>
          <w:rFonts w:eastAsia="Calibri"/>
        </w:rPr>
        <w:t>nitiative of the US</w:t>
      </w:r>
      <w:r w:rsidRPr="00A27EE2">
        <w:rPr>
          <w:rFonts w:eastAsia="Calibri"/>
        </w:rPr>
        <w:t xml:space="preserve"> </w:t>
      </w:r>
      <w:r w:rsidR="00871790">
        <w:rPr>
          <w:rFonts w:eastAsia="Calibri"/>
        </w:rPr>
        <w:t>FDA</w:t>
      </w:r>
      <w:r w:rsidRPr="00A27EE2">
        <w:rPr>
          <w:rFonts w:eastAsia="Calibri"/>
        </w:rPr>
        <w:t xml:space="preserve"> Oncology </w:t>
      </w:r>
      <w:proofErr w:type="spellStart"/>
      <w:r w:rsidRPr="00A27EE2">
        <w:rPr>
          <w:rFonts w:eastAsia="Calibri"/>
        </w:rPr>
        <w:t>Center</w:t>
      </w:r>
      <w:proofErr w:type="spellEnd"/>
      <w:r w:rsidRPr="00A27EE2">
        <w:rPr>
          <w:rFonts w:eastAsia="Calibri"/>
        </w:rPr>
        <w:t xml:space="preserve"> of Excellence (OCE).</w:t>
      </w:r>
      <w:r w:rsidR="00D47EC3">
        <w:rPr>
          <w:rStyle w:val="FootnoteReference"/>
          <w:rFonts w:eastAsia="Calibri"/>
        </w:rPr>
        <w:footnoteReference w:id="10"/>
      </w:r>
      <w:r w:rsidRPr="00A27EE2">
        <w:rPr>
          <w:rFonts w:eastAsia="Calibri"/>
        </w:rPr>
        <w:t xml:space="preserve"> Under this project, the FDA, Health Canada (HC), Health Sciences Authority (HSA, Singapore), Swissmedic (Switzerland) and the TGA collaboratively reviewed the application. This innovative evaluation process provided a framework for process alignment and management of evaluation issues in real-time across jurisdictions.</w:t>
      </w:r>
    </w:p>
    <w:p w14:paraId="36AFFA6A" w14:textId="77777777" w:rsidR="00250271" w:rsidRPr="00E119D9" w:rsidRDefault="00E119D9" w:rsidP="00250271">
      <w:pPr>
        <w:rPr>
          <w:rFonts w:eastAsia="Calibri"/>
        </w:rPr>
      </w:pPr>
      <w:r w:rsidRPr="00A27EE2">
        <w:rPr>
          <w:rFonts w:eastAsia="Calibri"/>
        </w:rPr>
        <w:t>Each regulator agency maintained its regulatory process to make independent decisions about the approval (market authorisation).</w:t>
      </w:r>
    </w:p>
    <w:p w14:paraId="182691A5" w14:textId="77777777" w:rsidR="008E7846" w:rsidRPr="003F31A2" w:rsidRDefault="00386150" w:rsidP="007E6EF0">
      <w:pPr>
        <w:pStyle w:val="Heading3"/>
        <w:pageBreakBefore/>
      </w:pPr>
      <w:bookmarkStart w:id="16" w:name="_Toc314842485"/>
      <w:bookmarkStart w:id="17" w:name="_Toc247691504"/>
      <w:bookmarkStart w:id="18" w:name="_Toc67579143"/>
      <w:r>
        <w:t>Regulatory s</w:t>
      </w:r>
      <w:r w:rsidR="008E7846">
        <w:t>tatus</w:t>
      </w:r>
      <w:bookmarkEnd w:id="16"/>
      <w:bookmarkEnd w:id="17"/>
      <w:bookmarkEnd w:id="18"/>
    </w:p>
    <w:p w14:paraId="1AAE3851" w14:textId="77777777" w:rsidR="00940A89" w:rsidRDefault="00006FAB" w:rsidP="007E6EF0">
      <w:bookmarkStart w:id="19" w:name="_Toc247691505"/>
      <w:bookmarkStart w:id="20" w:name="_Toc314842486"/>
      <w:r w:rsidRPr="00006FAB">
        <w:t>This product is considered a new chemical entity for Australian regulatory purposes.</w:t>
      </w:r>
    </w:p>
    <w:p w14:paraId="28B338F2" w14:textId="5D558366" w:rsidR="00006FAB" w:rsidRDefault="00006FAB" w:rsidP="007E6EF0">
      <w:r>
        <w:t>At the time the TGA considered this application, a similar</w:t>
      </w:r>
      <w:r w:rsidR="007127FB">
        <w:t xml:space="preserve"> application had been approved in the </w:t>
      </w:r>
      <w:r w:rsidR="00871790">
        <w:t>US</w:t>
      </w:r>
      <w:r w:rsidR="007127FB">
        <w:t>, Singapore, Canada, and Switzerland, and</w:t>
      </w:r>
      <w:r>
        <w:t xml:space="preserve"> was under consideration in </w:t>
      </w:r>
      <w:r w:rsidR="007127FB">
        <w:t xml:space="preserve">the European Union (EU), see </w:t>
      </w:r>
      <w:r w:rsidR="007127FB">
        <w:fldChar w:fldCharType="begin"/>
      </w:r>
      <w:r w:rsidR="007127FB">
        <w:instrText xml:space="preserve"> REF _Ref62135024 \h </w:instrText>
      </w:r>
      <w:r w:rsidR="007127FB">
        <w:fldChar w:fldCharType="separate"/>
      </w:r>
      <w:r w:rsidR="00F979FB">
        <w:t xml:space="preserve">Table </w:t>
      </w:r>
      <w:r w:rsidR="00F979FB">
        <w:rPr>
          <w:noProof/>
        </w:rPr>
        <w:t>1</w:t>
      </w:r>
      <w:r w:rsidR="007127FB">
        <w:fldChar w:fldCharType="end"/>
      </w:r>
      <w:r>
        <w:t>.</w:t>
      </w:r>
    </w:p>
    <w:p w14:paraId="7E9C5442" w14:textId="67AEA6EA" w:rsidR="00324E45" w:rsidRPr="00F0146F" w:rsidRDefault="00324E45" w:rsidP="00324E45">
      <w:pPr>
        <w:pStyle w:val="TableTitle"/>
      </w:pPr>
      <w:bookmarkStart w:id="21" w:name="_Ref62135024"/>
      <w:r>
        <w:t xml:space="preserve">Table </w:t>
      </w:r>
      <w:fldSimple w:instr=" SEQ Table \* ARABIC ">
        <w:r w:rsidR="00F979FB">
          <w:rPr>
            <w:noProof/>
          </w:rPr>
          <w:t>1</w:t>
        </w:r>
      </w:fldSimple>
      <w:bookmarkEnd w:id="21"/>
      <w:r>
        <w:t>: International regulatory status</w:t>
      </w:r>
      <w:r w:rsidR="00382E95">
        <w:t xml:space="preserve"> as of July 2020</w:t>
      </w:r>
    </w:p>
    <w:tbl>
      <w:tblPr>
        <w:tblStyle w:val="TableTGAblue"/>
        <w:tblW w:w="0" w:type="auto"/>
        <w:tblLook w:val="04A0" w:firstRow="1" w:lastRow="0" w:firstColumn="1" w:lastColumn="0" w:noHBand="0" w:noVBand="1"/>
      </w:tblPr>
      <w:tblGrid>
        <w:gridCol w:w="1376"/>
        <w:gridCol w:w="2003"/>
        <w:gridCol w:w="1698"/>
        <w:gridCol w:w="3417"/>
      </w:tblGrid>
      <w:tr w:rsidR="00006FAB" w14:paraId="1D9A31B5" w14:textId="77777777" w:rsidTr="00DC5056">
        <w:trPr>
          <w:cnfStyle w:val="100000000000" w:firstRow="1" w:lastRow="0" w:firstColumn="0" w:lastColumn="0" w:oddVBand="0" w:evenVBand="0" w:oddHBand="0" w:evenHBand="0" w:firstRowFirstColumn="0" w:firstRowLastColumn="0" w:lastRowFirstColumn="0" w:lastRowLastColumn="0"/>
        </w:trPr>
        <w:tc>
          <w:tcPr>
            <w:tcW w:w="1384" w:type="dxa"/>
            <w:tcBorders>
              <w:top w:val="single" w:sz="4" w:space="0" w:color="auto"/>
              <w:left w:val="single" w:sz="4" w:space="0" w:color="auto"/>
              <w:bottom w:val="single" w:sz="4" w:space="0" w:color="auto"/>
              <w:right w:val="single" w:sz="4" w:space="0" w:color="auto"/>
            </w:tcBorders>
          </w:tcPr>
          <w:p w14:paraId="4E595898" w14:textId="77777777" w:rsidR="00006FAB" w:rsidRDefault="00006FAB" w:rsidP="00DC5056">
            <w:pPr>
              <w:ind w:left="0" w:right="0"/>
            </w:pPr>
            <w:r>
              <w:t>Region</w:t>
            </w:r>
          </w:p>
        </w:tc>
        <w:tc>
          <w:tcPr>
            <w:tcW w:w="1843" w:type="dxa"/>
            <w:tcBorders>
              <w:top w:val="single" w:sz="4" w:space="0" w:color="auto"/>
              <w:left w:val="single" w:sz="4" w:space="0" w:color="auto"/>
              <w:bottom w:val="single" w:sz="4" w:space="0" w:color="auto"/>
              <w:right w:val="single" w:sz="4" w:space="0" w:color="auto"/>
            </w:tcBorders>
          </w:tcPr>
          <w:p w14:paraId="54A8995B" w14:textId="77777777" w:rsidR="00006FAB" w:rsidRDefault="00006FAB" w:rsidP="00DC5056">
            <w:pPr>
              <w:ind w:left="0" w:right="0"/>
            </w:pPr>
            <w:r>
              <w:t>Submission date</w:t>
            </w:r>
          </w:p>
        </w:tc>
        <w:tc>
          <w:tcPr>
            <w:tcW w:w="1701" w:type="dxa"/>
            <w:tcBorders>
              <w:top w:val="single" w:sz="4" w:space="0" w:color="auto"/>
              <w:left w:val="single" w:sz="4" w:space="0" w:color="auto"/>
              <w:bottom w:val="single" w:sz="4" w:space="0" w:color="auto"/>
              <w:right w:val="single" w:sz="4" w:space="0" w:color="auto"/>
            </w:tcBorders>
          </w:tcPr>
          <w:p w14:paraId="6310259A" w14:textId="77777777" w:rsidR="00006FAB" w:rsidRDefault="00006FAB" w:rsidP="00DC5056">
            <w:pPr>
              <w:ind w:left="0" w:right="0"/>
            </w:pPr>
            <w:r>
              <w:t>Status</w:t>
            </w:r>
          </w:p>
        </w:tc>
        <w:tc>
          <w:tcPr>
            <w:tcW w:w="3792" w:type="dxa"/>
            <w:tcBorders>
              <w:top w:val="single" w:sz="4" w:space="0" w:color="auto"/>
              <w:left w:val="single" w:sz="4" w:space="0" w:color="auto"/>
              <w:bottom w:val="single" w:sz="4" w:space="0" w:color="auto"/>
              <w:right w:val="single" w:sz="4" w:space="0" w:color="auto"/>
            </w:tcBorders>
          </w:tcPr>
          <w:p w14:paraId="7D7F7436" w14:textId="77777777" w:rsidR="00006FAB" w:rsidRDefault="00006FAB" w:rsidP="00DC5056">
            <w:pPr>
              <w:ind w:left="0" w:right="0"/>
            </w:pPr>
            <w:r>
              <w:t>Approved indications</w:t>
            </w:r>
          </w:p>
        </w:tc>
      </w:tr>
      <w:tr w:rsidR="001F1705" w14:paraId="55E2460C" w14:textId="77777777" w:rsidTr="00DC5056">
        <w:tc>
          <w:tcPr>
            <w:tcW w:w="1384" w:type="dxa"/>
            <w:tcBorders>
              <w:top w:val="single" w:sz="4" w:space="0" w:color="auto"/>
            </w:tcBorders>
          </w:tcPr>
          <w:p w14:paraId="3F71AA6C" w14:textId="77777777" w:rsidR="001F1705" w:rsidRPr="00467393" w:rsidRDefault="001F1705" w:rsidP="00DC5056">
            <w:pPr>
              <w:ind w:left="0" w:right="0"/>
            </w:pPr>
            <w:r>
              <w:t>US</w:t>
            </w:r>
          </w:p>
        </w:tc>
        <w:tc>
          <w:tcPr>
            <w:tcW w:w="1843" w:type="dxa"/>
            <w:tcBorders>
              <w:top w:val="single" w:sz="4" w:space="0" w:color="auto"/>
            </w:tcBorders>
          </w:tcPr>
          <w:p w14:paraId="06A3B785" w14:textId="77777777" w:rsidR="001F1705" w:rsidRDefault="001F1705" w:rsidP="00DC5056">
            <w:pPr>
              <w:ind w:left="0" w:right="0"/>
            </w:pPr>
            <w:r w:rsidRPr="001F1705">
              <w:t>20</w:t>
            </w:r>
            <w:r w:rsidR="00E72097">
              <w:t> </w:t>
            </w:r>
            <w:r w:rsidRPr="001F1705">
              <w:t>Dec</w:t>
            </w:r>
            <w:r>
              <w:t>ember</w:t>
            </w:r>
            <w:r w:rsidR="00E72097">
              <w:t> </w:t>
            </w:r>
            <w:r w:rsidRPr="001F1705">
              <w:t>2019</w:t>
            </w:r>
          </w:p>
        </w:tc>
        <w:tc>
          <w:tcPr>
            <w:tcW w:w="1701" w:type="dxa"/>
            <w:tcBorders>
              <w:top w:val="single" w:sz="4" w:space="0" w:color="auto"/>
            </w:tcBorders>
          </w:tcPr>
          <w:p w14:paraId="51C42B54" w14:textId="77777777" w:rsidR="001F1705" w:rsidRDefault="00DC5056" w:rsidP="00DC5056">
            <w:pPr>
              <w:ind w:left="0" w:right="0"/>
            </w:pPr>
            <w:r>
              <w:t>Approved on 17 April 2020</w:t>
            </w:r>
          </w:p>
        </w:tc>
        <w:tc>
          <w:tcPr>
            <w:tcW w:w="3792" w:type="dxa"/>
            <w:tcBorders>
              <w:top w:val="single" w:sz="4" w:space="0" w:color="auto"/>
            </w:tcBorders>
          </w:tcPr>
          <w:p w14:paraId="6DBF1054" w14:textId="77777777" w:rsidR="001F1705" w:rsidRPr="007127FB" w:rsidRDefault="00DC5056" w:rsidP="00DC5056">
            <w:pPr>
              <w:ind w:left="0" w:right="0"/>
              <w:rPr>
                <w:i/>
              </w:rPr>
            </w:pPr>
            <w:r w:rsidRPr="007127FB">
              <w:rPr>
                <w:i/>
              </w:rPr>
              <w:t>Tukysa</w:t>
            </w:r>
            <w:r w:rsidR="001F1705" w:rsidRPr="007127FB">
              <w:rPr>
                <w:i/>
              </w:rPr>
              <w:t xml:space="preserve"> (tucatinib) is indicated in combination with trastuzumab and capecitabine for treatment of adult patients with advanced unresectable or metastatic HER2-positive breast cancer, including patients with brain metastases, who have received one or more prior anti-HER2-based regimens in the metastatic setting.</w:t>
            </w:r>
          </w:p>
        </w:tc>
      </w:tr>
      <w:tr w:rsidR="001F1705" w14:paraId="64EB1182" w14:textId="77777777" w:rsidTr="00DC5056">
        <w:tc>
          <w:tcPr>
            <w:tcW w:w="1384" w:type="dxa"/>
          </w:tcPr>
          <w:p w14:paraId="64A62AFA" w14:textId="77777777" w:rsidR="001F1705" w:rsidRDefault="001F1705" w:rsidP="00DC5056">
            <w:pPr>
              <w:ind w:left="0" w:right="0"/>
            </w:pPr>
            <w:r>
              <w:t>Singapore</w:t>
            </w:r>
          </w:p>
        </w:tc>
        <w:tc>
          <w:tcPr>
            <w:tcW w:w="1843" w:type="dxa"/>
          </w:tcPr>
          <w:p w14:paraId="55CB92E2" w14:textId="5B487339" w:rsidR="001F1705" w:rsidRDefault="00962CB5" w:rsidP="00DC5056">
            <w:pPr>
              <w:ind w:left="0" w:right="0"/>
            </w:pPr>
            <w:r>
              <w:t xml:space="preserve">20 </w:t>
            </w:r>
            <w:r w:rsidR="00DC5056">
              <w:t>January 2020</w:t>
            </w:r>
          </w:p>
        </w:tc>
        <w:tc>
          <w:tcPr>
            <w:tcW w:w="1701" w:type="dxa"/>
          </w:tcPr>
          <w:p w14:paraId="7DCECEAD" w14:textId="77777777" w:rsidR="001F1705" w:rsidRDefault="00DC5056" w:rsidP="00DC5056">
            <w:pPr>
              <w:ind w:left="0" w:right="0"/>
            </w:pPr>
            <w:r>
              <w:t xml:space="preserve">Approved on </w:t>
            </w:r>
            <w:r w:rsidR="001F1705">
              <w:t>19 May 2020</w:t>
            </w:r>
          </w:p>
        </w:tc>
        <w:tc>
          <w:tcPr>
            <w:tcW w:w="3792" w:type="dxa"/>
          </w:tcPr>
          <w:p w14:paraId="01DBB63E" w14:textId="77777777" w:rsidR="001F1705" w:rsidRPr="007127FB" w:rsidRDefault="008711A4" w:rsidP="00DC5056">
            <w:pPr>
              <w:ind w:left="0" w:right="0"/>
              <w:rPr>
                <w:i/>
              </w:rPr>
            </w:pPr>
            <w:r w:rsidRPr="008711A4">
              <w:rPr>
                <w:i/>
              </w:rPr>
              <w:t>Tukysa is indicated in combination with trastuzumab and capecitabine for treatment of patients with locally advanced unresectable or metastatic HER2-positive breast cancer, including patients with brain metastases, who have received one or more prior anti-HER2-based regimens in the metastatic setting.</w:t>
            </w:r>
          </w:p>
        </w:tc>
      </w:tr>
      <w:tr w:rsidR="001F1705" w14:paraId="3D11F4E7" w14:textId="77777777" w:rsidTr="00DC5056">
        <w:tc>
          <w:tcPr>
            <w:tcW w:w="1384" w:type="dxa"/>
          </w:tcPr>
          <w:p w14:paraId="290B8FC8" w14:textId="77777777" w:rsidR="001F1705" w:rsidRPr="00467393" w:rsidRDefault="001F1705" w:rsidP="00DC5056">
            <w:pPr>
              <w:ind w:left="0" w:right="0"/>
            </w:pPr>
            <w:r>
              <w:t>Canada</w:t>
            </w:r>
          </w:p>
        </w:tc>
        <w:tc>
          <w:tcPr>
            <w:tcW w:w="1843" w:type="dxa"/>
          </w:tcPr>
          <w:p w14:paraId="3B97B72F" w14:textId="77777777" w:rsidR="001F1705" w:rsidRDefault="001F1705" w:rsidP="00DC5056">
            <w:pPr>
              <w:ind w:left="0" w:right="0"/>
            </w:pPr>
            <w:r>
              <w:t>20 January 2020</w:t>
            </w:r>
          </w:p>
        </w:tc>
        <w:tc>
          <w:tcPr>
            <w:tcW w:w="1701" w:type="dxa"/>
          </w:tcPr>
          <w:p w14:paraId="465B6382" w14:textId="77777777" w:rsidR="001F1705" w:rsidRPr="00006FAB" w:rsidRDefault="00DC5056" w:rsidP="00DC5056">
            <w:pPr>
              <w:ind w:left="0" w:right="0"/>
            </w:pPr>
            <w:r>
              <w:t xml:space="preserve">Approved on </w:t>
            </w:r>
            <w:r w:rsidR="00F13686">
              <w:t>5 </w:t>
            </w:r>
            <w:r w:rsidR="001F1705">
              <w:t>June 2020</w:t>
            </w:r>
          </w:p>
        </w:tc>
        <w:tc>
          <w:tcPr>
            <w:tcW w:w="3792" w:type="dxa"/>
          </w:tcPr>
          <w:p w14:paraId="3B055F79" w14:textId="77777777" w:rsidR="001F1705" w:rsidRPr="007127FB" w:rsidRDefault="00DC5056" w:rsidP="00DC5056">
            <w:pPr>
              <w:ind w:left="0" w:right="0"/>
              <w:rPr>
                <w:i/>
              </w:rPr>
            </w:pPr>
            <w:r w:rsidRPr="007127FB">
              <w:rPr>
                <w:i/>
              </w:rPr>
              <w:t>Tukysa</w:t>
            </w:r>
            <w:r w:rsidR="001F1705" w:rsidRPr="007127FB">
              <w:rPr>
                <w:i/>
              </w:rPr>
              <w:t xml:space="preserve"> (tucatinib) is indicated in combination with trastuzumab and capecitabine for treatment of patients with locally advanced unresectable or metastatic HER2-positive breast cancer, including patients with brain metastases, who have received prior treatment with trastuzumab, </w:t>
            </w:r>
            <w:proofErr w:type="spellStart"/>
            <w:r w:rsidR="001F1705" w:rsidRPr="007127FB">
              <w:rPr>
                <w:i/>
              </w:rPr>
              <w:t>pertuzumab</w:t>
            </w:r>
            <w:proofErr w:type="spellEnd"/>
            <w:r w:rsidR="001F1705" w:rsidRPr="007127FB">
              <w:rPr>
                <w:i/>
              </w:rPr>
              <w:t xml:space="preserve">, and trastuzumab </w:t>
            </w:r>
            <w:proofErr w:type="spellStart"/>
            <w:r w:rsidR="001F1705" w:rsidRPr="007127FB">
              <w:rPr>
                <w:i/>
              </w:rPr>
              <w:t>emtansine</w:t>
            </w:r>
            <w:proofErr w:type="spellEnd"/>
            <w:r w:rsidR="001F1705" w:rsidRPr="007127FB">
              <w:rPr>
                <w:i/>
              </w:rPr>
              <w:t>, separately or in combination.</w:t>
            </w:r>
          </w:p>
          <w:p w14:paraId="582C785A" w14:textId="77777777" w:rsidR="001F1705" w:rsidRPr="007127FB" w:rsidRDefault="001F1705" w:rsidP="00DC5056">
            <w:pPr>
              <w:ind w:left="0" w:right="0"/>
              <w:rPr>
                <w:i/>
              </w:rPr>
            </w:pPr>
            <w:r w:rsidRPr="007127FB">
              <w:rPr>
                <w:i/>
              </w:rPr>
              <w:t xml:space="preserve">Clinical trial data supporting the effectiveness of </w:t>
            </w:r>
            <w:r w:rsidR="00DC5056" w:rsidRPr="007127FB">
              <w:rPr>
                <w:i/>
              </w:rPr>
              <w:t>Tukysa</w:t>
            </w:r>
            <w:r w:rsidRPr="007127FB">
              <w:rPr>
                <w:i/>
              </w:rPr>
              <w:t xml:space="preserve"> in combination with trastuzumab and capecitabine are limited to patients who had received at least one prior HER2-directed therapy in the metastatic setting.</w:t>
            </w:r>
          </w:p>
        </w:tc>
      </w:tr>
      <w:tr w:rsidR="001F1705" w14:paraId="62C170AA" w14:textId="77777777" w:rsidTr="00DC5056">
        <w:tc>
          <w:tcPr>
            <w:tcW w:w="1384" w:type="dxa"/>
          </w:tcPr>
          <w:p w14:paraId="74ED2472" w14:textId="77777777" w:rsidR="001F1705" w:rsidRPr="00467393" w:rsidRDefault="001F1705" w:rsidP="00EE3732">
            <w:pPr>
              <w:keepNext/>
              <w:ind w:left="0" w:right="0"/>
            </w:pPr>
            <w:r>
              <w:t>Switzerland</w:t>
            </w:r>
          </w:p>
        </w:tc>
        <w:tc>
          <w:tcPr>
            <w:tcW w:w="1843" w:type="dxa"/>
          </w:tcPr>
          <w:p w14:paraId="489C2425" w14:textId="77777777" w:rsidR="001F1705" w:rsidRDefault="001F1705" w:rsidP="00EE3732">
            <w:pPr>
              <w:keepNext/>
              <w:ind w:left="0" w:right="0"/>
            </w:pPr>
            <w:r w:rsidRPr="001F1705">
              <w:t>6 Jan</w:t>
            </w:r>
            <w:r>
              <w:t>uary</w:t>
            </w:r>
            <w:r w:rsidRPr="001F1705">
              <w:t xml:space="preserve"> 2020</w:t>
            </w:r>
          </w:p>
        </w:tc>
        <w:tc>
          <w:tcPr>
            <w:tcW w:w="1701" w:type="dxa"/>
          </w:tcPr>
          <w:p w14:paraId="29238DAA" w14:textId="77777777" w:rsidR="001F1705" w:rsidRPr="00006FAB" w:rsidRDefault="00F13686" w:rsidP="00EE3732">
            <w:pPr>
              <w:keepNext/>
              <w:ind w:left="0" w:right="0"/>
            </w:pPr>
            <w:r>
              <w:t>Approved on 7 </w:t>
            </w:r>
            <w:r w:rsidR="00DC5056">
              <w:t>May 2020</w:t>
            </w:r>
          </w:p>
        </w:tc>
        <w:tc>
          <w:tcPr>
            <w:tcW w:w="3792" w:type="dxa"/>
          </w:tcPr>
          <w:p w14:paraId="53FE6DA7" w14:textId="77777777" w:rsidR="001F1705" w:rsidRPr="007127FB" w:rsidRDefault="00DC5056" w:rsidP="00EE3732">
            <w:pPr>
              <w:keepNext/>
              <w:ind w:left="0" w:right="0"/>
              <w:rPr>
                <w:i/>
              </w:rPr>
            </w:pPr>
            <w:r w:rsidRPr="007127FB">
              <w:rPr>
                <w:i/>
                <w:lang w:val="en-GB"/>
              </w:rPr>
              <w:t>Tukysa</w:t>
            </w:r>
            <w:r w:rsidR="001F1705" w:rsidRPr="007127FB">
              <w:rPr>
                <w:i/>
                <w:lang w:val="en-GB"/>
              </w:rPr>
              <w:t xml:space="preserve"> is indicated in combination with trastuzumab and capecitabine for the treatment of patients with metastatic HER2-positive breast cancer who previously received 2 or more prior anti HER2 regimens in any setting, including trastuzu</w:t>
            </w:r>
            <w:r w:rsidRPr="007127FB">
              <w:rPr>
                <w:i/>
                <w:lang w:val="en-GB"/>
              </w:rPr>
              <w:t xml:space="preserve">mab, </w:t>
            </w:r>
            <w:proofErr w:type="spellStart"/>
            <w:r w:rsidRPr="007127FB">
              <w:rPr>
                <w:i/>
                <w:lang w:val="en-GB"/>
              </w:rPr>
              <w:t>pertuzumab</w:t>
            </w:r>
            <w:proofErr w:type="spellEnd"/>
            <w:r w:rsidRPr="007127FB">
              <w:rPr>
                <w:i/>
                <w:lang w:val="en-GB"/>
              </w:rPr>
              <w:t xml:space="preserve"> and T–DM1 (see ‘Clinical Efficacy’</w:t>
            </w:r>
            <w:r w:rsidR="001F1705" w:rsidRPr="007127FB">
              <w:rPr>
                <w:i/>
                <w:lang w:val="en-GB"/>
              </w:rPr>
              <w:t>).</w:t>
            </w:r>
          </w:p>
        </w:tc>
      </w:tr>
      <w:tr w:rsidR="007127FB" w14:paraId="18EE1366" w14:textId="77777777" w:rsidTr="0044586C">
        <w:tc>
          <w:tcPr>
            <w:tcW w:w="1384" w:type="dxa"/>
          </w:tcPr>
          <w:p w14:paraId="320C1129" w14:textId="77777777" w:rsidR="007127FB" w:rsidRPr="008E5124" w:rsidRDefault="007127FB" w:rsidP="00EE3732">
            <w:pPr>
              <w:keepNext/>
              <w:ind w:left="0"/>
            </w:pPr>
            <w:r w:rsidRPr="008E5124">
              <w:t>EU</w:t>
            </w:r>
          </w:p>
        </w:tc>
        <w:tc>
          <w:tcPr>
            <w:tcW w:w="1843" w:type="dxa"/>
          </w:tcPr>
          <w:p w14:paraId="13FB1ED9" w14:textId="5DAB3EB1" w:rsidR="007127FB" w:rsidRPr="008E5124" w:rsidRDefault="003221BC" w:rsidP="00EE3732">
            <w:pPr>
              <w:keepNext/>
              <w:ind w:left="0"/>
            </w:pPr>
            <w:r>
              <w:t xml:space="preserve">9 </w:t>
            </w:r>
            <w:r w:rsidR="008E5124" w:rsidRPr="008E5124">
              <w:t>January 2020</w:t>
            </w:r>
          </w:p>
        </w:tc>
        <w:tc>
          <w:tcPr>
            <w:tcW w:w="1701" w:type="dxa"/>
          </w:tcPr>
          <w:p w14:paraId="23DB3337" w14:textId="6795C83F" w:rsidR="00AD0A2B" w:rsidRPr="008E5124" w:rsidRDefault="007127FB" w:rsidP="00EE3732">
            <w:pPr>
              <w:keepNext/>
              <w:ind w:left="0"/>
            </w:pPr>
            <w:r w:rsidRPr="008E5124">
              <w:t>Under consideration</w:t>
            </w:r>
          </w:p>
        </w:tc>
        <w:tc>
          <w:tcPr>
            <w:tcW w:w="3792" w:type="dxa"/>
          </w:tcPr>
          <w:p w14:paraId="2B488A4A" w14:textId="6373D5C3" w:rsidR="007127FB" w:rsidRPr="001F58F4" w:rsidRDefault="007127FB" w:rsidP="0044586C">
            <w:pPr>
              <w:autoSpaceDE w:val="0"/>
              <w:autoSpaceDN w:val="0"/>
              <w:adjustRightInd w:val="0"/>
              <w:spacing w:after="0" w:line="240" w:lineRule="auto"/>
              <w:ind w:left="28"/>
              <w:rPr>
                <w:rFonts w:ascii="Times New Roman" w:eastAsiaTheme="minorHAnsi" w:hAnsi="Times New Roman"/>
                <w:lang w:val="en-US"/>
              </w:rPr>
            </w:pPr>
            <w:r w:rsidRPr="008E5124">
              <w:rPr>
                <w:lang w:val="en-GB"/>
              </w:rPr>
              <w:t>Under consideration</w:t>
            </w:r>
          </w:p>
        </w:tc>
      </w:tr>
    </w:tbl>
    <w:p w14:paraId="006AF3B8" w14:textId="77777777" w:rsidR="008E7846" w:rsidRDefault="008E7846" w:rsidP="00940A89">
      <w:pPr>
        <w:pStyle w:val="Heading3"/>
      </w:pPr>
      <w:bookmarkStart w:id="22" w:name="_Toc67579144"/>
      <w:r>
        <w:t>Product Information</w:t>
      </w:r>
      <w:bookmarkEnd w:id="19"/>
      <w:bookmarkEnd w:id="20"/>
      <w:bookmarkEnd w:id="22"/>
    </w:p>
    <w:p w14:paraId="22148E25" w14:textId="349ED94A" w:rsidR="00940A89" w:rsidRDefault="006136D7" w:rsidP="00940A89">
      <w:bookmarkStart w:id="23" w:name="_Toc247691506"/>
      <w:bookmarkStart w:id="24" w:name="_Toc314842487"/>
      <w:r w:rsidRPr="00940A89">
        <w:t xml:space="preserve">The Product Information (PI) </w:t>
      </w:r>
      <w:r>
        <w:t xml:space="preserve">approved with the submission which is described in </w:t>
      </w:r>
      <w:r w:rsidRPr="00940A89">
        <w:t xml:space="preserve">this AusPAR can be found as Attachment 1. For the most recent </w:t>
      </w:r>
      <w:r>
        <w:t>PI,</w:t>
      </w:r>
      <w:r w:rsidRPr="00940A89">
        <w:t xml:space="preserve"> ple</w:t>
      </w:r>
      <w:r>
        <w:t>ase refer to the TGA website</w:t>
      </w:r>
      <w:r w:rsidRPr="00441C3F">
        <w:t xml:space="preserve"> at </w:t>
      </w:r>
      <w:r w:rsidR="00441C3F" w:rsidRPr="00441C3F">
        <w:t>&lt;</w:t>
      </w:r>
      <w:hyperlink r:id="rId20" w:history="1">
        <w:r w:rsidR="00441C3F" w:rsidRPr="00441C3F">
          <w:rPr>
            <w:rStyle w:val="Hyperlink"/>
          </w:rPr>
          <w:t>https://www.tga.gov.au/product-information-pi</w:t>
        </w:r>
      </w:hyperlink>
      <w:r w:rsidR="00441C3F">
        <w:t>&gt;</w:t>
      </w:r>
      <w:r w:rsidR="00940A89" w:rsidRPr="00940A89">
        <w:t>.</w:t>
      </w:r>
    </w:p>
    <w:p w14:paraId="099DF30B" w14:textId="77777777" w:rsidR="00500337" w:rsidRDefault="00500337" w:rsidP="00500337">
      <w:pPr>
        <w:pStyle w:val="Heading2"/>
      </w:pPr>
      <w:bookmarkStart w:id="25" w:name="_Toc504480011"/>
      <w:bookmarkStart w:id="26" w:name="_Toc67579145"/>
      <w:r>
        <w:t>II. Registration timeline</w:t>
      </w:r>
      <w:bookmarkEnd w:id="25"/>
      <w:bookmarkEnd w:id="26"/>
    </w:p>
    <w:p w14:paraId="0B81A48F" w14:textId="77777777" w:rsidR="00500337" w:rsidRDefault="00500337" w:rsidP="00500337">
      <w:r>
        <w:t>The following table captures the key steps and dates for this application and which are detailed and discussed in this AusPAR.</w:t>
      </w:r>
    </w:p>
    <w:p w14:paraId="0792BC96" w14:textId="7315B556" w:rsidR="00500337" w:rsidRDefault="00B51ED1" w:rsidP="00B51ED1">
      <w:pPr>
        <w:pStyle w:val="TableTitle"/>
      </w:pPr>
      <w:r>
        <w:t xml:space="preserve">Table </w:t>
      </w:r>
      <w:fldSimple w:instr=" SEQ Table \* ARABIC ">
        <w:r w:rsidR="00F979FB">
          <w:rPr>
            <w:noProof/>
          </w:rPr>
          <w:t>2</w:t>
        </w:r>
      </w:fldSimple>
      <w:r w:rsidR="00006FAB">
        <w:t>:</w:t>
      </w:r>
      <w:r w:rsidR="006A58A8" w:rsidRPr="006A58A8">
        <w:t xml:space="preserve"> Timeline for Submission </w:t>
      </w:r>
      <w:r w:rsidRPr="00E119D9">
        <w:t>PM-2020-00066-1-4</w:t>
      </w:r>
    </w:p>
    <w:tbl>
      <w:tblPr>
        <w:tblStyle w:val="TableTGAblue"/>
        <w:tblW w:w="0" w:type="auto"/>
        <w:tblLook w:val="04A0" w:firstRow="1" w:lastRow="0" w:firstColumn="1" w:lastColumn="0" w:noHBand="0" w:noVBand="1"/>
      </w:tblPr>
      <w:tblGrid>
        <w:gridCol w:w="6232"/>
        <w:gridCol w:w="2262"/>
      </w:tblGrid>
      <w:tr w:rsidR="00500337" w14:paraId="3996DA18" w14:textId="77777777" w:rsidTr="007E6EF0">
        <w:trPr>
          <w:cnfStyle w:val="100000000000" w:firstRow="1" w:lastRow="0" w:firstColumn="0" w:lastColumn="0" w:oddVBand="0" w:evenVBand="0" w:oddHBand="0" w:evenHBand="0" w:firstRowFirstColumn="0" w:firstRowLastColumn="0" w:lastRowFirstColumn="0" w:lastRowLastColumn="0"/>
          <w:cantSplit/>
        </w:trPr>
        <w:tc>
          <w:tcPr>
            <w:tcW w:w="6232" w:type="dxa"/>
            <w:tcBorders>
              <w:top w:val="single" w:sz="4" w:space="0" w:color="auto"/>
              <w:left w:val="single" w:sz="4" w:space="0" w:color="auto"/>
              <w:bottom w:val="single" w:sz="4" w:space="0" w:color="auto"/>
              <w:right w:val="single" w:sz="4" w:space="0" w:color="auto"/>
            </w:tcBorders>
          </w:tcPr>
          <w:p w14:paraId="23596BEC" w14:textId="77777777" w:rsidR="00500337" w:rsidRDefault="00500337" w:rsidP="00500337">
            <w:pPr>
              <w:ind w:left="0" w:right="0"/>
            </w:pPr>
            <w:r>
              <w:t>Description</w:t>
            </w:r>
          </w:p>
        </w:tc>
        <w:tc>
          <w:tcPr>
            <w:tcW w:w="2262" w:type="dxa"/>
            <w:tcBorders>
              <w:top w:val="single" w:sz="4" w:space="0" w:color="auto"/>
              <w:left w:val="single" w:sz="4" w:space="0" w:color="auto"/>
              <w:bottom w:val="single" w:sz="4" w:space="0" w:color="auto"/>
              <w:right w:val="single" w:sz="4" w:space="0" w:color="auto"/>
            </w:tcBorders>
          </w:tcPr>
          <w:p w14:paraId="388DF904" w14:textId="77777777" w:rsidR="00500337" w:rsidRDefault="00500337" w:rsidP="00500337">
            <w:pPr>
              <w:ind w:left="0" w:right="0"/>
            </w:pPr>
            <w:r>
              <w:t>Date</w:t>
            </w:r>
          </w:p>
        </w:tc>
      </w:tr>
      <w:tr w:rsidR="00E119D9" w14:paraId="6D4AC9C5" w14:textId="77777777" w:rsidTr="007E6EF0">
        <w:tc>
          <w:tcPr>
            <w:tcW w:w="6232" w:type="dxa"/>
          </w:tcPr>
          <w:p w14:paraId="6B399F63" w14:textId="77777777" w:rsidR="00E119D9" w:rsidRDefault="00E119D9" w:rsidP="00E119D9">
            <w:pPr>
              <w:ind w:left="0" w:right="0"/>
            </w:pPr>
            <w:r>
              <w:t>Submission dossier accepted and first round evaluation commenced</w:t>
            </w:r>
          </w:p>
        </w:tc>
        <w:tc>
          <w:tcPr>
            <w:tcW w:w="2262" w:type="dxa"/>
          </w:tcPr>
          <w:p w14:paraId="1CA47C8C" w14:textId="77777777" w:rsidR="00E119D9" w:rsidRPr="00B52B87" w:rsidRDefault="00E119D9" w:rsidP="00E119D9">
            <w:pPr>
              <w:ind w:left="0"/>
            </w:pPr>
            <w:r w:rsidRPr="00B52B87">
              <w:t>2 March 2020</w:t>
            </w:r>
          </w:p>
        </w:tc>
      </w:tr>
      <w:tr w:rsidR="00E119D9" w14:paraId="1E80990D" w14:textId="77777777" w:rsidTr="007E6EF0">
        <w:tc>
          <w:tcPr>
            <w:tcW w:w="6232" w:type="dxa"/>
          </w:tcPr>
          <w:p w14:paraId="692B6C45" w14:textId="77777777" w:rsidR="00E119D9" w:rsidRDefault="00E119D9" w:rsidP="00E119D9">
            <w:pPr>
              <w:ind w:left="0" w:right="0"/>
            </w:pPr>
            <w:r>
              <w:t>Evaluation completed</w:t>
            </w:r>
          </w:p>
        </w:tc>
        <w:tc>
          <w:tcPr>
            <w:tcW w:w="2262" w:type="dxa"/>
          </w:tcPr>
          <w:p w14:paraId="41E58DE0" w14:textId="77777777" w:rsidR="00E119D9" w:rsidRPr="00B52B87" w:rsidRDefault="00E119D9" w:rsidP="00E119D9">
            <w:pPr>
              <w:ind w:left="0"/>
            </w:pPr>
            <w:r w:rsidRPr="00B52B87">
              <w:t>29 June 2020</w:t>
            </w:r>
          </w:p>
        </w:tc>
      </w:tr>
      <w:tr w:rsidR="00E119D9" w14:paraId="70E5BA76" w14:textId="77777777" w:rsidTr="007E6EF0">
        <w:tc>
          <w:tcPr>
            <w:tcW w:w="6232" w:type="dxa"/>
          </w:tcPr>
          <w:p w14:paraId="467C56EC" w14:textId="77777777" w:rsidR="00E119D9" w:rsidRDefault="00E119D9" w:rsidP="00B51ED1">
            <w:pPr>
              <w:ind w:left="0" w:right="0"/>
            </w:pPr>
            <w:r>
              <w:t xml:space="preserve">Delegate’s </w:t>
            </w:r>
            <w:r w:rsidR="00B51ED1">
              <w:t>Overall benefit-risk assessment</w:t>
            </w:r>
          </w:p>
        </w:tc>
        <w:tc>
          <w:tcPr>
            <w:tcW w:w="2262" w:type="dxa"/>
          </w:tcPr>
          <w:p w14:paraId="2B1F755A" w14:textId="77777777" w:rsidR="00E119D9" w:rsidRPr="00B52B87" w:rsidRDefault="00E119D9" w:rsidP="00E119D9">
            <w:pPr>
              <w:ind w:left="0"/>
            </w:pPr>
            <w:r w:rsidRPr="00B52B87">
              <w:t>27 July 2020</w:t>
            </w:r>
          </w:p>
        </w:tc>
      </w:tr>
      <w:tr w:rsidR="00E119D9" w14:paraId="2D54AA58" w14:textId="77777777" w:rsidTr="007E6EF0">
        <w:tc>
          <w:tcPr>
            <w:tcW w:w="6232" w:type="dxa"/>
          </w:tcPr>
          <w:p w14:paraId="382F269F" w14:textId="77777777" w:rsidR="00E119D9" w:rsidRDefault="00E119D9" w:rsidP="00E119D9">
            <w:pPr>
              <w:ind w:left="0" w:right="0"/>
            </w:pPr>
            <w:r>
              <w:t>Sponsor’s pre-Advisory Committee response</w:t>
            </w:r>
          </w:p>
        </w:tc>
        <w:tc>
          <w:tcPr>
            <w:tcW w:w="2262" w:type="dxa"/>
          </w:tcPr>
          <w:p w14:paraId="03E96F04" w14:textId="77777777" w:rsidR="00E119D9" w:rsidRPr="00B52B87" w:rsidRDefault="00E119D9" w:rsidP="00E119D9">
            <w:pPr>
              <w:ind w:left="0"/>
            </w:pPr>
            <w:r w:rsidRPr="00B52B87">
              <w:t>Not applicable</w:t>
            </w:r>
          </w:p>
        </w:tc>
      </w:tr>
      <w:tr w:rsidR="00E119D9" w14:paraId="195FD770" w14:textId="77777777" w:rsidTr="007E6EF0">
        <w:tc>
          <w:tcPr>
            <w:tcW w:w="6232" w:type="dxa"/>
          </w:tcPr>
          <w:p w14:paraId="2417CD29" w14:textId="77777777" w:rsidR="00E119D9" w:rsidRDefault="00E119D9" w:rsidP="00E119D9">
            <w:pPr>
              <w:ind w:left="0" w:right="0"/>
            </w:pPr>
            <w:r>
              <w:t>Advisory Committee meeting</w:t>
            </w:r>
          </w:p>
        </w:tc>
        <w:tc>
          <w:tcPr>
            <w:tcW w:w="2262" w:type="dxa"/>
          </w:tcPr>
          <w:p w14:paraId="4026538B" w14:textId="77777777" w:rsidR="00E119D9" w:rsidRPr="00B52B87" w:rsidRDefault="00E119D9" w:rsidP="00E119D9">
            <w:pPr>
              <w:ind w:left="0"/>
            </w:pPr>
            <w:r w:rsidRPr="00B52B87">
              <w:t>Not applicable</w:t>
            </w:r>
          </w:p>
        </w:tc>
      </w:tr>
      <w:tr w:rsidR="00E119D9" w14:paraId="6DF25BF4" w14:textId="77777777" w:rsidTr="007E6EF0">
        <w:tc>
          <w:tcPr>
            <w:tcW w:w="6232" w:type="dxa"/>
          </w:tcPr>
          <w:p w14:paraId="0CD8924C" w14:textId="77777777" w:rsidR="00E119D9" w:rsidRDefault="00E119D9" w:rsidP="00E119D9">
            <w:pPr>
              <w:ind w:left="0" w:right="0"/>
            </w:pPr>
            <w:r>
              <w:t>Registration decision (Outcome)</w:t>
            </w:r>
          </w:p>
        </w:tc>
        <w:tc>
          <w:tcPr>
            <w:tcW w:w="2262" w:type="dxa"/>
          </w:tcPr>
          <w:p w14:paraId="6B712055" w14:textId="77777777" w:rsidR="00E119D9" w:rsidRPr="00B52B87" w:rsidRDefault="00E119D9" w:rsidP="00E119D9">
            <w:pPr>
              <w:ind w:left="0"/>
            </w:pPr>
            <w:r w:rsidRPr="00B52B87">
              <w:t>10 August 2020</w:t>
            </w:r>
          </w:p>
        </w:tc>
      </w:tr>
      <w:tr w:rsidR="00E119D9" w14:paraId="577AA1D7" w14:textId="77777777" w:rsidTr="007E6EF0">
        <w:tc>
          <w:tcPr>
            <w:tcW w:w="6232" w:type="dxa"/>
          </w:tcPr>
          <w:p w14:paraId="05BEA23F" w14:textId="77777777" w:rsidR="00E119D9" w:rsidRDefault="00E119D9" w:rsidP="00E119D9">
            <w:pPr>
              <w:ind w:left="0" w:right="0"/>
            </w:pPr>
            <w:r>
              <w:t>Completion of administrative activities and registration on the ARTG</w:t>
            </w:r>
          </w:p>
        </w:tc>
        <w:tc>
          <w:tcPr>
            <w:tcW w:w="2262" w:type="dxa"/>
          </w:tcPr>
          <w:p w14:paraId="7D62EF13" w14:textId="77777777" w:rsidR="00E119D9" w:rsidRPr="00B52B87" w:rsidRDefault="00E119D9" w:rsidP="00E119D9">
            <w:pPr>
              <w:ind w:left="0"/>
            </w:pPr>
            <w:r w:rsidRPr="00B52B87">
              <w:t>13 August 2020</w:t>
            </w:r>
          </w:p>
        </w:tc>
      </w:tr>
      <w:tr w:rsidR="00E119D9" w14:paraId="18FE9822" w14:textId="77777777" w:rsidTr="007E6EF0">
        <w:tc>
          <w:tcPr>
            <w:tcW w:w="6232" w:type="dxa"/>
          </w:tcPr>
          <w:p w14:paraId="169F8B5A" w14:textId="77777777" w:rsidR="00E119D9" w:rsidRDefault="00E119D9" w:rsidP="00E119D9">
            <w:pPr>
              <w:ind w:left="0" w:right="0"/>
            </w:pPr>
            <w:r>
              <w:t>Number of working days from submission dossier acceptance to registration decision*</w:t>
            </w:r>
          </w:p>
        </w:tc>
        <w:tc>
          <w:tcPr>
            <w:tcW w:w="2262" w:type="dxa"/>
          </w:tcPr>
          <w:p w14:paraId="01B1B1CC" w14:textId="77777777" w:rsidR="00E119D9" w:rsidRDefault="00E119D9" w:rsidP="00E119D9">
            <w:pPr>
              <w:ind w:left="0"/>
            </w:pPr>
            <w:r w:rsidRPr="00B52B87">
              <w:t>113</w:t>
            </w:r>
          </w:p>
        </w:tc>
      </w:tr>
    </w:tbl>
    <w:p w14:paraId="7A1F0C98" w14:textId="77777777" w:rsidR="00500337" w:rsidRDefault="00500337" w:rsidP="00500337">
      <w:pPr>
        <w:pStyle w:val="TableDescription"/>
      </w:pPr>
      <w:r>
        <w:t>*Target timeframe for priority applications is 150 working days from acceptance for evaluation to the decision.</w:t>
      </w:r>
    </w:p>
    <w:p w14:paraId="14331590" w14:textId="77777777" w:rsidR="008E7846" w:rsidRPr="00792A32" w:rsidRDefault="00456765" w:rsidP="008E7846">
      <w:pPr>
        <w:pStyle w:val="Heading2"/>
      </w:pPr>
      <w:bookmarkStart w:id="27" w:name="_Toc196046504"/>
      <w:bookmarkStart w:id="28" w:name="_Toc247691527"/>
      <w:bookmarkStart w:id="29" w:name="_Toc314842510"/>
      <w:bookmarkStart w:id="30" w:name="_Toc163441390"/>
      <w:bookmarkStart w:id="31" w:name="_Toc67579146"/>
      <w:bookmarkEnd w:id="1"/>
      <w:bookmarkEnd w:id="23"/>
      <w:bookmarkEnd w:id="24"/>
      <w:r>
        <w:t>I</w:t>
      </w:r>
      <w:r w:rsidR="00DA64CB">
        <w:t>I</w:t>
      </w:r>
      <w:r w:rsidR="008E7846">
        <w:t xml:space="preserve">I. </w:t>
      </w:r>
      <w:r w:rsidR="00006FAB" w:rsidRPr="00006FAB">
        <w:t xml:space="preserve">Submission overview </w:t>
      </w:r>
      <w:r w:rsidR="008E7846" w:rsidRPr="00792A32">
        <w:t xml:space="preserve">and </w:t>
      </w:r>
      <w:r w:rsidR="008E7846">
        <w:t>r</w:t>
      </w:r>
      <w:r w:rsidR="008E7846" w:rsidRPr="00792A32">
        <w:t>isk/</w:t>
      </w:r>
      <w:r w:rsidR="008E7846">
        <w:t>b</w:t>
      </w:r>
      <w:r w:rsidR="008E7846" w:rsidRPr="00792A32">
        <w:t xml:space="preserve">enefit </w:t>
      </w:r>
      <w:r w:rsidR="008E7846">
        <w:t>a</w:t>
      </w:r>
      <w:r w:rsidR="008E7846" w:rsidRPr="00792A32">
        <w:t>ssessment</w:t>
      </w:r>
      <w:bookmarkEnd w:id="27"/>
      <w:bookmarkEnd w:id="28"/>
      <w:bookmarkEnd w:id="29"/>
      <w:bookmarkEnd w:id="31"/>
    </w:p>
    <w:p w14:paraId="06CEEFFC" w14:textId="77777777" w:rsidR="00006FAB" w:rsidRDefault="00006FAB" w:rsidP="00006FAB">
      <w:bookmarkStart w:id="32" w:name="_Toc247691528"/>
      <w:r>
        <w:t>The submission was summarised in the following Delegate’s overview and recommendations.</w:t>
      </w:r>
    </w:p>
    <w:p w14:paraId="4BD952A4" w14:textId="77777777" w:rsidR="00006FAB" w:rsidRDefault="00006FAB" w:rsidP="00006FAB">
      <w:r>
        <w:t>This section is a TGA summary of wording used in TGA’s evaluation report</w:t>
      </w:r>
      <w:r w:rsidR="00EE3732">
        <w:t>s</w:t>
      </w:r>
      <w:r>
        <w:t>, which discussed numerous aspects of overseas evaluation reports and included some information that was commercial-in-confidence.</w:t>
      </w:r>
    </w:p>
    <w:p w14:paraId="6B442AFA" w14:textId="068C5039" w:rsidR="00174507" w:rsidRDefault="009C7615" w:rsidP="00006FAB">
      <w:r>
        <w:t xml:space="preserve">The dossier content is substantially the same as the dossier submitted to the other regulatory authorities. </w:t>
      </w:r>
      <w:r w:rsidR="00174507">
        <w:t xml:space="preserve">The Delegate made reference to the FDA’s publically available </w:t>
      </w:r>
      <w:r w:rsidR="00174507" w:rsidRPr="006C2247">
        <w:t>Multi-Discipline Review document</w:t>
      </w:r>
      <w:r w:rsidR="00174507">
        <w:t>.</w:t>
      </w:r>
      <w:bookmarkStart w:id="33" w:name="_Ref64226828"/>
      <w:r w:rsidR="00174507">
        <w:rPr>
          <w:rStyle w:val="FootnoteReference"/>
        </w:rPr>
        <w:footnoteReference w:id="11"/>
      </w:r>
      <w:bookmarkEnd w:id="33"/>
    </w:p>
    <w:p w14:paraId="3131AB03" w14:textId="77777777" w:rsidR="008E7846" w:rsidRDefault="008E7846" w:rsidP="008E7846">
      <w:pPr>
        <w:pStyle w:val="Heading3"/>
      </w:pPr>
      <w:bookmarkStart w:id="34" w:name="_Toc314842511"/>
      <w:bookmarkStart w:id="35" w:name="_Toc67579147"/>
      <w:r>
        <w:t>Quality</w:t>
      </w:r>
      <w:bookmarkEnd w:id="32"/>
      <w:bookmarkEnd w:id="34"/>
      <w:bookmarkEnd w:id="35"/>
    </w:p>
    <w:p w14:paraId="597A6509" w14:textId="77777777" w:rsidR="00B51ED1" w:rsidRDefault="00871790" w:rsidP="00B51ED1">
      <w:r>
        <w:t>The m</w:t>
      </w:r>
      <w:r w:rsidR="00B51ED1">
        <w:t xml:space="preserve">ajor physicochemical properties </w:t>
      </w:r>
      <w:r w:rsidR="00B55DE1">
        <w:t>of tucatinib</w:t>
      </w:r>
      <w:r>
        <w:t xml:space="preserve"> are</w:t>
      </w:r>
      <w:r w:rsidR="00B55DE1">
        <w:t>:</w:t>
      </w:r>
    </w:p>
    <w:p w14:paraId="4782E708" w14:textId="77777777" w:rsidR="00B51ED1" w:rsidRPr="00737C66" w:rsidRDefault="00B51ED1" w:rsidP="00F13686">
      <w:pPr>
        <w:pStyle w:val="ListBullet"/>
      </w:pPr>
      <w:r w:rsidRPr="00737C66">
        <w:rPr>
          <w:b/>
        </w:rPr>
        <w:t xml:space="preserve">Chemical </w:t>
      </w:r>
      <w:r>
        <w:rPr>
          <w:b/>
        </w:rPr>
        <w:t>n</w:t>
      </w:r>
      <w:r w:rsidRPr="00737C66">
        <w:rPr>
          <w:b/>
        </w:rPr>
        <w:t>ame:</w:t>
      </w:r>
      <w:r w:rsidRPr="00737C66">
        <w:t xml:space="preserve"> (N4-(4-([1,2,4]triazolo[1,5-a]pyridin-7-yloxy)-3-methylphenyl)N6-(4,4-dimethyl-4,5-dihydrooxazo</w:t>
      </w:r>
      <w:r w:rsidR="00F13686">
        <w:t>l-2-yl)quinazoline-4,6-diamine</w:t>
      </w:r>
      <w:r w:rsidR="00871790">
        <w:t>.</w:t>
      </w:r>
    </w:p>
    <w:p w14:paraId="03E5F2CE" w14:textId="2FB071BE" w:rsidR="00B51ED1" w:rsidRPr="00F979FB" w:rsidRDefault="00B51ED1" w:rsidP="00F13686">
      <w:pPr>
        <w:pStyle w:val="ListBullet"/>
      </w:pPr>
      <w:r>
        <w:rPr>
          <w:b/>
        </w:rPr>
        <w:t>Molecular f</w:t>
      </w:r>
      <w:r w:rsidRPr="00737C66">
        <w:rPr>
          <w:b/>
        </w:rPr>
        <w:t>ormula:</w:t>
      </w:r>
      <w:r w:rsidRPr="00737C66">
        <w:t xml:space="preserve"> C</w:t>
      </w:r>
      <w:r w:rsidRPr="00737C66">
        <w:rPr>
          <w:vertAlign w:val="subscript"/>
        </w:rPr>
        <w:t>26</w:t>
      </w:r>
      <w:r w:rsidRPr="00737C66">
        <w:t>H</w:t>
      </w:r>
      <w:r w:rsidRPr="00737C66">
        <w:rPr>
          <w:vertAlign w:val="subscript"/>
        </w:rPr>
        <w:t>24</w:t>
      </w:r>
      <w:r w:rsidRPr="00737C66">
        <w:t>N</w:t>
      </w:r>
      <w:r w:rsidRPr="00737C66">
        <w:rPr>
          <w:vertAlign w:val="subscript"/>
        </w:rPr>
        <w:t>8</w:t>
      </w:r>
      <w:r w:rsidRPr="00737C66">
        <w:t>O</w:t>
      </w:r>
      <w:r w:rsidRPr="00737C66">
        <w:rPr>
          <w:vertAlign w:val="subscript"/>
        </w:rPr>
        <w:t>2</w:t>
      </w:r>
      <w:r w:rsidR="00871790">
        <w:rPr>
          <w:vertAlign w:val="subscript"/>
        </w:rPr>
        <w:t>.</w:t>
      </w:r>
    </w:p>
    <w:p w14:paraId="5F82E2EE" w14:textId="77777777" w:rsidR="00A90F5F" w:rsidRPr="00737C66" w:rsidRDefault="00A90F5F" w:rsidP="00A90F5F">
      <w:pPr>
        <w:pStyle w:val="ListBullet"/>
      </w:pPr>
      <w:r>
        <w:rPr>
          <w:b/>
        </w:rPr>
        <w:t>Molecular w</w:t>
      </w:r>
      <w:r w:rsidRPr="00737C66">
        <w:rPr>
          <w:b/>
        </w:rPr>
        <w:t>eight</w:t>
      </w:r>
      <w:r w:rsidRPr="00737C66">
        <w:t xml:space="preserve"> (</w:t>
      </w:r>
      <w:proofErr w:type="spellStart"/>
      <w:r w:rsidRPr="00737C66">
        <w:t>unsolvated</w:t>
      </w:r>
      <w:proofErr w:type="spellEnd"/>
      <w:r w:rsidRPr="00737C66">
        <w:t xml:space="preserve"> free base): 48</w:t>
      </w:r>
      <w:r>
        <w:t>0.52 g/mol.</w:t>
      </w:r>
    </w:p>
    <w:p w14:paraId="1F0849C3" w14:textId="3CB4344C" w:rsidR="00A90F5F" w:rsidRPr="00A90F5F" w:rsidRDefault="00A90F5F" w:rsidP="00A90F5F">
      <w:r>
        <w:t>The chemical structure of tucatinib is shown in Figure 1, below.</w:t>
      </w:r>
    </w:p>
    <w:p w14:paraId="27A07499" w14:textId="118DADE3" w:rsidR="00F13686" w:rsidRPr="00F13686" w:rsidRDefault="00F13686" w:rsidP="00F13686">
      <w:pPr>
        <w:pStyle w:val="FigureTitle"/>
      </w:pPr>
      <w:r>
        <w:t xml:space="preserve">Figure </w:t>
      </w:r>
      <w:fldSimple w:instr=" SEQ Figure \* ARABIC ">
        <w:r w:rsidR="00F979FB">
          <w:rPr>
            <w:noProof/>
          </w:rPr>
          <w:t>1</w:t>
        </w:r>
      </w:fldSimple>
      <w:r>
        <w:t>: Chemical structure of tucatinib</w:t>
      </w:r>
    </w:p>
    <w:p w14:paraId="51A5C80E" w14:textId="77777777" w:rsidR="00B51ED1" w:rsidRPr="00737C66" w:rsidRDefault="00B51ED1" w:rsidP="00F13686">
      <w:pPr>
        <w:rPr>
          <w:b/>
        </w:rPr>
      </w:pPr>
      <w:r w:rsidRPr="00737C66">
        <w:rPr>
          <w:noProof/>
          <w:lang w:eastAsia="en-AU"/>
        </w:rPr>
        <w:drawing>
          <wp:inline distT="0" distB="0" distL="0" distR="0" wp14:anchorId="56029AAB" wp14:editId="3CF46CEF">
            <wp:extent cx="3816626" cy="1518699"/>
            <wp:effectExtent l="0" t="0" r="0" b="5715"/>
            <wp:docPr id="21620" name="Picture 21620" descr="Chemical structure of tucatinib"/>
            <wp:cNvGraphicFramePr/>
            <a:graphic xmlns:a="http://schemas.openxmlformats.org/drawingml/2006/main">
              <a:graphicData uri="http://schemas.openxmlformats.org/drawingml/2006/picture">
                <pic:pic xmlns:pic="http://schemas.openxmlformats.org/drawingml/2006/picture">
                  <pic:nvPicPr>
                    <pic:cNvPr id="21620" name="Picture 21620"/>
                    <pic:cNvPicPr/>
                  </pic:nvPicPr>
                  <pic:blipFill>
                    <a:blip r:embed="rId21"/>
                    <a:stretch>
                      <a:fillRect/>
                    </a:stretch>
                  </pic:blipFill>
                  <pic:spPr>
                    <a:xfrm>
                      <a:off x="0" y="0"/>
                      <a:ext cx="3825580" cy="1522262"/>
                    </a:xfrm>
                    <a:prstGeom prst="rect">
                      <a:avLst/>
                    </a:prstGeom>
                  </pic:spPr>
                </pic:pic>
              </a:graphicData>
            </a:graphic>
          </wp:inline>
        </w:drawing>
      </w:r>
    </w:p>
    <w:p w14:paraId="5FA9E447" w14:textId="77777777" w:rsidR="00B55DE1" w:rsidRDefault="00B55DE1" w:rsidP="00B51ED1">
      <w:r>
        <w:t>The proposed Australian presentation is foil blister packs, containing either 84 x 150 mg tablets or 88 x 50 mg tablets.</w:t>
      </w:r>
    </w:p>
    <w:p w14:paraId="13A75502" w14:textId="77777777" w:rsidR="00B55DE1" w:rsidRDefault="00B55DE1" w:rsidP="00B51ED1">
      <w:r w:rsidRPr="00B55DE1">
        <w:t>The application and the supporting data relating to the composition, development, manufacture, quality control, stability and bioavailability of the product have been assessed and checked for compliance, as applicable, with Australian legislation and requirements for new medicines and in accordance with pharmacopoeial standards and the technical guidelines adopted by the TGA.</w:t>
      </w:r>
    </w:p>
    <w:p w14:paraId="1574DFB5" w14:textId="77777777" w:rsidR="00E45619" w:rsidRPr="00B51ED1" w:rsidRDefault="00B51ED1" w:rsidP="00B51ED1">
      <w:pPr>
        <w:rPr>
          <w:lang w:val="en-US"/>
        </w:rPr>
      </w:pPr>
      <w:r>
        <w:t xml:space="preserve">The </w:t>
      </w:r>
      <w:r w:rsidR="00B55DE1">
        <w:t>quality</w:t>
      </w:r>
      <w:r>
        <w:t xml:space="preserve"> evaluator had no outstanding concerns</w:t>
      </w:r>
      <w:r w:rsidR="00871790">
        <w:t>,</w:t>
      </w:r>
      <w:r>
        <w:t xml:space="preserve"> and had no objections to the approval of </w:t>
      </w:r>
      <w:r>
        <w:rPr>
          <w:lang w:val="en-US"/>
        </w:rPr>
        <w:t>tucatinib.</w:t>
      </w:r>
    </w:p>
    <w:p w14:paraId="3FB6DC26" w14:textId="77777777" w:rsidR="008E7846" w:rsidRDefault="008E7846" w:rsidP="008E7846">
      <w:pPr>
        <w:pStyle w:val="Heading3"/>
      </w:pPr>
      <w:bookmarkStart w:id="36" w:name="_Toc314842512"/>
      <w:bookmarkStart w:id="37" w:name="_Toc67579148"/>
      <w:r>
        <w:t>Nonclinical</w:t>
      </w:r>
      <w:bookmarkEnd w:id="36"/>
      <w:bookmarkEnd w:id="37"/>
    </w:p>
    <w:p w14:paraId="65287CE3" w14:textId="77777777" w:rsidR="00B51ED1" w:rsidRDefault="00B51ED1" w:rsidP="00B51ED1">
      <w:r>
        <w:t xml:space="preserve">The </w:t>
      </w:r>
      <w:r w:rsidR="00174507">
        <w:t>nonclinical</w:t>
      </w:r>
      <w:r>
        <w:t xml:space="preserve"> evaluator had</w:t>
      </w:r>
      <w:r w:rsidRPr="00F54083">
        <w:t xml:space="preserve"> no objections to the approval </w:t>
      </w:r>
      <w:r w:rsidR="00E72097">
        <w:t xml:space="preserve">of </w:t>
      </w:r>
      <w:r w:rsidRPr="00F54083">
        <w:t>tucatinib for the proposed indication provided</w:t>
      </w:r>
      <w:r>
        <w:t xml:space="preserve"> the safety of the combination wa</w:t>
      </w:r>
      <w:r w:rsidRPr="00F54083">
        <w:t>s adequately addressed by clinical data</w:t>
      </w:r>
      <w:r>
        <w:t xml:space="preserve"> as t</w:t>
      </w:r>
      <w:r w:rsidRPr="00334824">
        <w:t>oxicological interactions between tucatinib and trastuzumab and capecitabine were not</w:t>
      </w:r>
      <w:r>
        <w:t xml:space="preserve"> investigated in animal studies</w:t>
      </w:r>
      <w:r w:rsidRPr="00F54083">
        <w:t>.</w:t>
      </w:r>
    </w:p>
    <w:p w14:paraId="5D4BFD8F" w14:textId="1F147A8D" w:rsidR="00B51ED1" w:rsidRDefault="009C7615" w:rsidP="00B51ED1">
      <w:r>
        <w:t>Nonclinical</w:t>
      </w:r>
      <w:r w:rsidR="00B51ED1">
        <w:t xml:space="preserve"> review findings were congruent with the clinical finding that hepatic and gastrointestinal adverse effects predominate the tucatinib safety profile, and predicted some pharmacokinetic </w:t>
      </w:r>
      <w:r w:rsidR="00E72097">
        <w:t xml:space="preserve">(PK) </w:t>
      </w:r>
      <w:r w:rsidR="00B51ED1">
        <w:t>drug interactions, including t</w:t>
      </w:r>
      <w:r w:rsidR="00A33D6C">
        <w:t xml:space="preserve">hose based on </w:t>
      </w:r>
      <w:r w:rsidR="00871790">
        <w:t>cytochrome P450 (</w:t>
      </w:r>
      <w:r w:rsidR="00A33D6C">
        <w:t>CYP</w:t>
      </w:r>
      <w:r w:rsidR="00871790">
        <w:t>)</w:t>
      </w:r>
      <w:r w:rsidR="00A33D6C">
        <w:t>2C8 and CYP3A.</w:t>
      </w:r>
      <w:r w:rsidR="00A90F5F">
        <w:rPr>
          <w:rStyle w:val="FootnoteReference"/>
        </w:rPr>
        <w:footnoteReference w:id="12"/>
      </w:r>
    </w:p>
    <w:p w14:paraId="474B42C5" w14:textId="77777777" w:rsidR="00B51ED1" w:rsidRPr="00BE42F2" w:rsidRDefault="00B51ED1" w:rsidP="00B51ED1">
      <w:pPr>
        <w:rPr>
          <w:kern w:val="2"/>
        </w:rPr>
      </w:pPr>
      <w:r>
        <w:t xml:space="preserve">Animal data raised concerns regarding tachycardia, lymphoid depletion and </w:t>
      </w:r>
      <w:r>
        <w:rPr>
          <w:kern w:val="2"/>
          <w:szCs w:val="20"/>
        </w:rPr>
        <w:t>ef</w:t>
      </w:r>
      <w:r w:rsidR="009C7615">
        <w:rPr>
          <w:kern w:val="2"/>
          <w:szCs w:val="20"/>
        </w:rPr>
        <w:t>fects on reproductive organs, however,</w:t>
      </w:r>
      <w:r>
        <w:rPr>
          <w:kern w:val="2"/>
          <w:szCs w:val="20"/>
        </w:rPr>
        <w:t xml:space="preserve"> these were not e</w:t>
      </w:r>
      <w:r w:rsidR="00174507">
        <w:rPr>
          <w:kern w:val="2"/>
          <w:szCs w:val="20"/>
        </w:rPr>
        <w:t xml:space="preserve">vident in the </w:t>
      </w:r>
      <w:r w:rsidR="00871790">
        <w:rPr>
          <w:kern w:val="2"/>
          <w:szCs w:val="20"/>
        </w:rPr>
        <w:t xml:space="preserve">pivotal </w:t>
      </w:r>
      <w:r w:rsidR="00174507">
        <w:rPr>
          <w:kern w:val="2"/>
          <w:szCs w:val="20"/>
        </w:rPr>
        <w:t>HER2CLIMB trial.</w:t>
      </w:r>
    </w:p>
    <w:p w14:paraId="2D4D6805" w14:textId="77777777" w:rsidR="008E7846" w:rsidRPr="00B51ED1" w:rsidRDefault="00B51ED1" w:rsidP="00B51ED1">
      <w:pPr>
        <w:pStyle w:val="Bulletpoint"/>
        <w:numPr>
          <w:ilvl w:val="0"/>
          <w:numId w:val="0"/>
        </w:numPr>
        <w:rPr>
          <w:kern w:val="2"/>
        </w:rPr>
      </w:pPr>
      <w:r w:rsidRPr="00C451B8">
        <w:rPr>
          <w:kern w:val="2"/>
        </w:rPr>
        <w:t>Given the role of HER2 in implantation and embryofetal development</w:t>
      </w:r>
      <w:r>
        <w:rPr>
          <w:kern w:val="2"/>
        </w:rPr>
        <w:t xml:space="preserve"> and the teratogenicity observed in toxicology studies</w:t>
      </w:r>
      <w:r w:rsidRPr="00C451B8">
        <w:rPr>
          <w:kern w:val="2"/>
        </w:rPr>
        <w:t>, tucatinib should not be used during pregnancy.</w:t>
      </w:r>
      <w:r w:rsidR="00EE3732">
        <w:rPr>
          <w:kern w:val="2"/>
        </w:rPr>
        <w:t xml:space="preserve"> </w:t>
      </w:r>
      <w:r w:rsidR="00EE3732">
        <w:rPr>
          <w:color w:val="000000" w:themeColor="text1"/>
          <w:kern w:val="2"/>
          <w:szCs w:val="20"/>
        </w:rPr>
        <w:t>Pregnancy Category D is considered appropriate for this drug.</w:t>
      </w:r>
      <w:r w:rsidR="00EE3732">
        <w:rPr>
          <w:rStyle w:val="FootnoteReference"/>
          <w:color w:val="000000" w:themeColor="text1"/>
          <w:kern w:val="2"/>
          <w:szCs w:val="20"/>
        </w:rPr>
        <w:footnoteReference w:id="13"/>
      </w:r>
    </w:p>
    <w:p w14:paraId="0D9C433D" w14:textId="77777777" w:rsidR="008E7846" w:rsidRDefault="008E7846" w:rsidP="008E7846">
      <w:pPr>
        <w:pStyle w:val="Heading3"/>
      </w:pPr>
      <w:bookmarkStart w:id="38" w:name="_Toc247691530"/>
      <w:bookmarkStart w:id="39" w:name="_Toc314842513"/>
      <w:bookmarkStart w:id="40" w:name="_Toc67579149"/>
      <w:r>
        <w:t>Clinical</w:t>
      </w:r>
      <w:bookmarkEnd w:id="38"/>
      <w:bookmarkEnd w:id="39"/>
      <w:bookmarkEnd w:id="40"/>
    </w:p>
    <w:p w14:paraId="3ECC3036" w14:textId="5E092D53" w:rsidR="00B51ED1" w:rsidRPr="00330DAC" w:rsidRDefault="00B51ED1" w:rsidP="00B51ED1">
      <w:bookmarkStart w:id="41" w:name="_Toc314842514"/>
      <w:r w:rsidRPr="00330DAC">
        <w:t xml:space="preserve">The efficacy and safety of tucatinib in combination with trastuzumab and capecitabine in the treatment of HER2+ advanced breast cancer after three prior anti-HER2 therapies is based on </w:t>
      </w:r>
      <w:r>
        <w:t xml:space="preserve">the </w:t>
      </w:r>
      <w:r w:rsidR="00871790">
        <w:t>pivotal HER2CLIMB trial</w:t>
      </w:r>
      <w:r w:rsidRPr="00330DAC">
        <w:t xml:space="preserve">. </w:t>
      </w:r>
      <w:r>
        <w:t>Supporting data came from p</w:t>
      </w:r>
      <w:r w:rsidRPr="00330DAC">
        <w:t xml:space="preserve">atients with HER2+ metastatic breast cancer treated with tucatinib </w:t>
      </w:r>
      <w:r w:rsidR="00871790">
        <w:t>in single-arm S</w:t>
      </w:r>
      <w:r>
        <w:t xml:space="preserve">tudies </w:t>
      </w:r>
      <w:r w:rsidRPr="00330DAC">
        <w:t>ONT-380-005</w:t>
      </w:r>
      <w:r>
        <w:t xml:space="preserve"> and ARRAY-380-101 (safety only). </w:t>
      </w:r>
      <w:r w:rsidRPr="00330DAC">
        <w:t xml:space="preserve">Further supporting data for safety </w:t>
      </w:r>
      <w:r>
        <w:t xml:space="preserve">in healthy subjects was submitted </w:t>
      </w:r>
      <w:r w:rsidRPr="00330DAC">
        <w:t xml:space="preserve">from eight </w:t>
      </w:r>
      <w:r>
        <w:t>early phase</w:t>
      </w:r>
      <w:r w:rsidRPr="00330DAC">
        <w:t xml:space="preserve"> studies of tucatinib</w:t>
      </w:r>
      <w:r>
        <w:t xml:space="preserve">. The clinical studies included in the dossier are summarised in </w:t>
      </w:r>
      <w:r>
        <w:fldChar w:fldCharType="begin"/>
      </w:r>
      <w:r>
        <w:instrText xml:space="preserve"> REF _Ref8660512 \h </w:instrText>
      </w:r>
      <w:r>
        <w:fldChar w:fldCharType="separate"/>
      </w:r>
      <w:r w:rsidR="00F979FB">
        <w:t xml:space="preserve">Table </w:t>
      </w:r>
      <w:r w:rsidR="00F979FB">
        <w:rPr>
          <w:noProof/>
        </w:rPr>
        <w:t>3</w:t>
      </w:r>
      <w:r>
        <w:fldChar w:fldCharType="end"/>
      </w:r>
      <w:r w:rsidRPr="00330DAC">
        <w:t>.</w:t>
      </w:r>
    </w:p>
    <w:p w14:paraId="3A62522C" w14:textId="519E6811" w:rsidR="00B51ED1" w:rsidRDefault="00B51ED1" w:rsidP="00886669">
      <w:pPr>
        <w:pStyle w:val="TableTitle"/>
      </w:pPr>
      <w:bookmarkStart w:id="42" w:name="_Ref8660512"/>
      <w:r>
        <w:t xml:space="preserve">Table </w:t>
      </w:r>
      <w:fldSimple w:instr=" SEQ Table \* ARABIC ">
        <w:r w:rsidR="00F979FB">
          <w:rPr>
            <w:noProof/>
          </w:rPr>
          <w:t>3</w:t>
        </w:r>
      </w:fldSimple>
      <w:bookmarkEnd w:id="42"/>
      <w:r w:rsidR="00886669">
        <w:t>:</w:t>
      </w:r>
      <w:r>
        <w:t xml:space="preserve"> Overview of the clinical studies submitted and how they contributed to the collaborative health au</w:t>
      </w:r>
      <w:r w:rsidR="00886669">
        <w:t>thorities’ clinical evaluation</w:t>
      </w:r>
    </w:p>
    <w:tbl>
      <w:tblPr>
        <w:tblStyle w:val="TableTGAblue1"/>
        <w:tblW w:w="8354" w:type="dxa"/>
        <w:tblLayout w:type="fixed"/>
        <w:tblLook w:val="04A0" w:firstRow="1" w:lastRow="0" w:firstColumn="1" w:lastColumn="0" w:noHBand="0" w:noVBand="1"/>
      </w:tblPr>
      <w:tblGrid>
        <w:gridCol w:w="1266"/>
        <w:gridCol w:w="2268"/>
        <w:gridCol w:w="1843"/>
        <w:gridCol w:w="2977"/>
      </w:tblGrid>
      <w:tr w:rsidR="00B51ED1" w:rsidRPr="007E6EF0" w14:paraId="6B0AC968" w14:textId="77777777" w:rsidTr="007E6EF0">
        <w:trPr>
          <w:cnfStyle w:val="100000000000" w:firstRow="1" w:lastRow="0" w:firstColumn="0" w:lastColumn="0" w:oddVBand="0" w:evenVBand="0" w:oddHBand="0" w:evenHBand="0" w:firstRowFirstColumn="0" w:firstRowLastColumn="0" w:lastRowFirstColumn="0" w:lastRowLastColumn="0"/>
          <w:trHeight w:val="118"/>
        </w:trPr>
        <w:tc>
          <w:tcPr>
            <w:tcW w:w="1266" w:type="dxa"/>
          </w:tcPr>
          <w:p w14:paraId="68F7318E" w14:textId="77777777" w:rsidR="00B51ED1" w:rsidRPr="007E6EF0" w:rsidRDefault="00B51ED1" w:rsidP="007E6EF0">
            <w:pPr>
              <w:spacing w:before="0"/>
              <w:rPr>
                <w:sz w:val="20"/>
                <w:szCs w:val="20"/>
              </w:rPr>
            </w:pPr>
            <w:r w:rsidRPr="007E6EF0">
              <w:rPr>
                <w:sz w:val="20"/>
                <w:szCs w:val="20"/>
              </w:rPr>
              <w:t>#</w:t>
            </w:r>
          </w:p>
        </w:tc>
        <w:tc>
          <w:tcPr>
            <w:tcW w:w="2268" w:type="dxa"/>
          </w:tcPr>
          <w:p w14:paraId="6E35110A" w14:textId="77777777" w:rsidR="00B51ED1" w:rsidRPr="007E6EF0" w:rsidRDefault="00B51ED1" w:rsidP="007E6EF0">
            <w:pPr>
              <w:spacing w:before="0"/>
              <w:rPr>
                <w:sz w:val="20"/>
                <w:szCs w:val="20"/>
              </w:rPr>
            </w:pPr>
            <w:r w:rsidRPr="007E6EF0">
              <w:rPr>
                <w:sz w:val="20"/>
                <w:szCs w:val="20"/>
              </w:rPr>
              <w:t>Design</w:t>
            </w:r>
          </w:p>
        </w:tc>
        <w:tc>
          <w:tcPr>
            <w:tcW w:w="1843" w:type="dxa"/>
          </w:tcPr>
          <w:p w14:paraId="04DBA186" w14:textId="77777777" w:rsidR="00B51ED1" w:rsidRPr="007E6EF0" w:rsidRDefault="00B51ED1" w:rsidP="007E6EF0">
            <w:pPr>
              <w:spacing w:before="0"/>
              <w:rPr>
                <w:sz w:val="20"/>
                <w:szCs w:val="20"/>
              </w:rPr>
            </w:pPr>
            <w:r w:rsidRPr="007E6EF0">
              <w:rPr>
                <w:sz w:val="20"/>
                <w:szCs w:val="20"/>
              </w:rPr>
              <w:t>Subjects treated with tucatinib</w:t>
            </w:r>
          </w:p>
        </w:tc>
        <w:tc>
          <w:tcPr>
            <w:tcW w:w="2977" w:type="dxa"/>
          </w:tcPr>
          <w:p w14:paraId="78D052F0" w14:textId="77777777" w:rsidR="00B51ED1" w:rsidRPr="007E6EF0" w:rsidRDefault="00B51ED1" w:rsidP="007E6EF0">
            <w:pPr>
              <w:spacing w:before="0"/>
              <w:rPr>
                <w:sz w:val="20"/>
                <w:szCs w:val="20"/>
              </w:rPr>
            </w:pPr>
            <w:r w:rsidRPr="007E6EF0">
              <w:rPr>
                <w:sz w:val="20"/>
                <w:szCs w:val="20"/>
              </w:rPr>
              <w:t>Data contributed to health agencies’ evaluation</w:t>
            </w:r>
          </w:p>
        </w:tc>
      </w:tr>
      <w:tr w:rsidR="00B51ED1" w:rsidRPr="007E6EF0" w14:paraId="271D3A82" w14:textId="77777777" w:rsidTr="007E6EF0">
        <w:trPr>
          <w:trHeight w:val="118"/>
        </w:trPr>
        <w:tc>
          <w:tcPr>
            <w:tcW w:w="8354" w:type="dxa"/>
            <w:gridSpan w:val="4"/>
          </w:tcPr>
          <w:p w14:paraId="17DD7D51" w14:textId="77777777" w:rsidR="00B51ED1" w:rsidRPr="007E6EF0" w:rsidRDefault="00886669" w:rsidP="007E6EF0">
            <w:pPr>
              <w:rPr>
                <w:sz w:val="20"/>
                <w:szCs w:val="20"/>
              </w:rPr>
            </w:pPr>
            <w:r w:rsidRPr="007E6EF0">
              <w:rPr>
                <w:sz w:val="20"/>
                <w:szCs w:val="20"/>
              </w:rPr>
              <w:t>Clinical efficacy and safety</w:t>
            </w:r>
          </w:p>
        </w:tc>
      </w:tr>
      <w:tr w:rsidR="00B51ED1" w:rsidRPr="007E6EF0" w14:paraId="479CF099" w14:textId="77777777" w:rsidTr="007E6EF0">
        <w:trPr>
          <w:trHeight w:val="118"/>
        </w:trPr>
        <w:tc>
          <w:tcPr>
            <w:tcW w:w="1266" w:type="dxa"/>
          </w:tcPr>
          <w:p w14:paraId="275A5BE7" w14:textId="2C018CDE" w:rsidR="00B51ED1" w:rsidRPr="007E6EF0" w:rsidRDefault="00B51ED1" w:rsidP="007E6EF0">
            <w:pPr>
              <w:rPr>
                <w:sz w:val="20"/>
                <w:szCs w:val="20"/>
              </w:rPr>
            </w:pPr>
            <w:r w:rsidRPr="007E6EF0">
              <w:rPr>
                <w:sz w:val="20"/>
                <w:szCs w:val="20"/>
              </w:rPr>
              <w:t xml:space="preserve">HER2CLIMB </w:t>
            </w:r>
            <w:r w:rsidR="00886669" w:rsidRPr="007E6EF0">
              <w:rPr>
                <w:sz w:val="20"/>
                <w:szCs w:val="20"/>
              </w:rPr>
              <w:t>trial</w:t>
            </w:r>
            <w:r w:rsidR="007E6EF0">
              <w:rPr>
                <w:sz w:val="20"/>
                <w:szCs w:val="20"/>
              </w:rPr>
              <w:t xml:space="preserve"> </w:t>
            </w:r>
            <w:r w:rsidRPr="007E6EF0">
              <w:rPr>
                <w:sz w:val="20"/>
                <w:szCs w:val="20"/>
              </w:rPr>
              <w:t>(</w:t>
            </w:r>
            <w:r w:rsidR="00886669" w:rsidRPr="007E6EF0">
              <w:rPr>
                <w:sz w:val="20"/>
                <w:szCs w:val="20"/>
              </w:rPr>
              <w:t xml:space="preserve">Study </w:t>
            </w:r>
            <w:r w:rsidR="00E72097" w:rsidRPr="007E6EF0">
              <w:rPr>
                <w:sz w:val="20"/>
                <w:szCs w:val="20"/>
              </w:rPr>
              <w:t>ONT</w:t>
            </w:r>
            <w:r w:rsidR="00E72097" w:rsidRPr="007E6EF0">
              <w:rPr>
                <w:sz w:val="20"/>
                <w:szCs w:val="20"/>
              </w:rPr>
              <w:noBreakHyphen/>
              <w:t>380</w:t>
            </w:r>
            <w:r w:rsidR="00E72097" w:rsidRPr="007E6EF0">
              <w:rPr>
                <w:sz w:val="20"/>
                <w:szCs w:val="20"/>
              </w:rPr>
              <w:noBreakHyphen/>
            </w:r>
            <w:r w:rsidR="00683FE0" w:rsidRPr="007E6EF0">
              <w:rPr>
                <w:sz w:val="20"/>
                <w:szCs w:val="20"/>
              </w:rPr>
              <w:t>206)</w:t>
            </w:r>
          </w:p>
        </w:tc>
        <w:tc>
          <w:tcPr>
            <w:tcW w:w="2268" w:type="dxa"/>
          </w:tcPr>
          <w:p w14:paraId="50847C1E" w14:textId="77777777" w:rsidR="00B51ED1" w:rsidRPr="007E6EF0" w:rsidRDefault="00683FE0" w:rsidP="007E6EF0">
            <w:pPr>
              <w:rPr>
                <w:sz w:val="20"/>
                <w:szCs w:val="20"/>
              </w:rPr>
            </w:pPr>
            <w:r w:rsidRPr="007E6EF0">
              <w:rPr>
                <w:sz w:val="20"/>
                <w:szCs w:val="20"/>
              </w:rPr>
              <w:t>Randomised, double </w:t>
            </w:r>
            <w:r w:rsidR="00B51ED1" w:rsidRPr="007E6EF0">
              <w:rPr>
                <w:sz w:val="20"/>
                <w:szCs w:val="20"/>
              </w:rPr>
              <w:t>blind, placebo</w:t>
            </w:r>
            <w:r w:rsidRPr="007E6EF0">
              <w:rPr>
                <w:sz w:val="20"/>
                <w:szCs w:val="20"/>
              </w:rPr>
              <w:t> controlled, active comparator</w:t>
            </w:r>
          </w:p>
        </w:tc>
        <w:tc>
          <w:tcPr>
            <w:tcW w:w="1843" w:type="dxa"/>
          </w:tcPr>
          <w:p w14:paraId="059A6484" w14:textId="77777777" w:rsidR="00B51ED1" w:rsidRPr="007E6EF0" w:rsidRDefault="00B51ED1" w:rsidP="007E6EF0">
            <w:pPr>
              <w:rPr>
                <w:sz w:val="20"/>
                <w:szCs w:val="20"/>
              </w:rPr>
            </w:pPr>
            <w:r w:rsidRPr="007E6EF0">
              <w:rPr>
                <w:sz w:val="20"/>
                <w:szCs w:val="20"/>
              </w:rPr>
              <w:t>404 patients (of 410 randomised to tucatinib)</w:t>
            </w:r>
          </w:p>
        </w:tc>
        <w:tc>
          <w:tcPr>
            <w:tcW w:w="2977" w:type="dxa"/>
          </w:tcPr>
          <w:p w14:paraId="0F0ED8B9" w14:textId="77777777" w:rsidR="00B51ED1" w:rsidRPr="007E6EF0" w:rsidRDefault="00B51ED1" w:rsidP="007E6EF0">
            <w:pPr>
              <w:rPr>
                <w:sz w:val="20"/>
                <w:szCs w:val="20"/>
              </w:rPr>
            </w:pPr>
            <w:r w:rsidRPr="007E6EF0">
              <w:rPr>
                <w:sz w:val="20"/>
                <w:szCs w:val="20"/>
              </w:rPr>
              <w:t>Pivotal: efficacy and safety of tucatinib</w:t>
            </w:r>
            <w:r w:rsidR="00683FE0" w:rsidRPr="007E6EF0">
              <w:rPr>
                <w:sz w:val="20"/>
                <w:szCs w:val="20"/>
              </w:rPr>
              <w:t xml:space="preserve"> </w:t>
            </w:r>
            <w:r w:rsidRPr="007E6EF0">
              <w:rPr>
                <w:sz w:val="20"/>
                <w:szCs w:val="20"/>
              </w:rPr>
              <w:t>+</w:t>
            </w:r>
            <w:r w:rsidR="00683FE0" w:rsidRPr="007E6EF0">
              <w:rPr>
                <w:sz w:val="20"/>
                <w:szCs w:val="20"/>
              </w:rPr>
              <w:t xml:space="preserve"> </w:t>
            </w:r>
            <w:r w:rsidRPr="007E6EF0">
              <w:rPr>
                <w:sz w:val="20"/>
                <w:szCs w:val="20"/>
              </w:rPr>
              <w:t>trastuzumab</w:t>
            </w:r>
            <w:r w:rsidR="00683FE0" w:rsidRPr="007E6EF0">
              <w:rPr>
                <w:sz w:val="20"/>
                <w:szCs w:val="20"/>
              </w:rPr>
              <w:t xml:space="preserve"> </w:t>
            </w:r>
            <w:r w:rsidRPr="007E6EF0">
              <w:rPr>
                <w:sz w:val="20"/>
                <w:szCs w:val="20"/>
              </w:rPr>
              <w:t>+</w:t>
            </w:r>
            <w:r w:rsidR="00683FE0" w:rsidRPr="007E6EF0">
              <w:rPr>
                <w:sz w:val="20"/>
                <w:szCs w:val="20"/>
              </w:rPr>
              <w:t xml:space="preserve"> </w:t>
            </w:r>
            <w:r w:rsidRPr="007E6EF0">
              <w:rPr>
                <w:sz w:val="20"/>
                <w:szCs w:val="20"/>
              </w:rPr>
              <w:t xml:space="preserve">capecitabine in HER2+ advanced breast cancer after trastuzumab, </w:t>
            </w:r>
            <w:proofErr w:type="spellStart"/>
            <w:r w:rsidRPr="007E6EF0">
              <w:rPr>
                <w:sz w:val="20"/>
                <w:szCs w:val="20"/>
              </w:rPr>
              <w:t>pertuzumab</w:t>
            </w:r>
            <w:proofErr w:type="spellEnd"/>
            <w:r w:rsidRPr="007E6EF0">
              <w:rPr>
                <w:sz w:val="20"/>
                <w:szCs w:val="20"/>
              </w:rPr>
              <w:t xml:space="preserve"> and </w:t>
            </w:r>
            <w:r w:rsidR="00D47EC3" w:rsidRPr="007E6EF0">
              <w:rPr>
                <w:sz w:val="20"/>
                <w:szCs w:val="20"/>
              </w:rPr>
              <w:t>T-DM1</w:t>
            </w:r>
            <w:r w:rsidRPr="007E6EF0">
              <w:rPr>
                <w:sz w:val="20"/>
                <w:szCs w:val="20"/>
              </w:rPr>
              <w:t xml:space="preserve"> in any setting</w:t>
            </w:r>
          </w:p>
        </w:tc>
      </w:tr>
      <w:tr w:rsidR="00B51ED1" w:rsidRPr="007E6EF0" w14:paraId="37049D03" w14:textId="77777777" w:rsidTr="007E6EF0">
        <w:trPr>
          <w:trHeight w:val="118"/>
        </w:trPr>
        <w:tc>
          <w:tcPr>
            <w:tcW w:w="1266" w:type="dxa"/>
          </w:tcPr>
          <w:p w14:paraId="6AC6EAAE" w14:textId="77777777" w:rsidR="00B51ED1" w:rsidRPr="007E6EF0" w:rsidRDefault="00886669" w:rsidP="007E6EF0">
            <w:pPr>
              <w:rPr>
                <w:sz w:val="20"/>
                <w:szCs w:val="20"/>
              </w:rPr>
            </w:pPr>
            <w:r w:rsidRPr="007E6EF0">
              <w:rPr>
                <w:sz w:val="20"/>
                <w:szCs w:val="20"/>
              </w:rPr>
              <w:t xml:space="preserve">Study </w:t>
            </w:r>
            <w:r w:rsidR="00E72097" w:rsidRPr="007E6EF0">
              <w:rPr>
                <w:sz w:val="20"/>
                <w:szCs w:val="20"/>
              </w:rPr>
              <w:t>ONT</w:t>
            </w:r>
            <w:r w:rsidR="00E72097" w:rsidRPr="007E6EF0">
              <w:rPr>
                <w:sz w:val="20"/>
                <w:szCs w:val="20"/>
              </w:rPr>
              <w:noBreakHyphen/>
              <w:t>380</w:t>
            </w:r>
            <w:r w:rsidR="00E72097" w:rsidRPr="007E6EF0">
              <w:rPr>
                <w:sz w:val="20"/>
                <w:szCs w:val="20"/>
              </w:rPr>
              <w:noBreakHyphen/>
            </w:r>
            <w:r w:rsidR="00B51ED1" w:rsidRPr="007E6EF0">
              <w:rPr>
                <w:sz w:val="20"/>
                <w:szCs w:val="20"/>
              </w:rPr>
              <w:t>005</w:t>
            </w:r>
          </w:p>
        </w:tc>
        <w:tc>
          <w:tcPr>
            <w:tcW w:w="2268" w:type="dxa"/>
          </w:tcPr>
          <w:p w14:paraId="6C2611E4" w14:textId="77777777" w:rsidR="00B51ED1" w:rsidRPr="007E6EF0" w:rsidRDefault="00B51ED1" w:rsidP="007E6EF0">
            <w:pPr>
              <w:rPr>
                <w:sz w:val="20"/>
                <w:szCs w:val="20"/>
              </w:rPr>
            </w:pPr>
            <w:r w:rsidRPr="007E6EF0">
              <w:rPr>
                <w:sz w:val="20"/>
                <w:szCs w:val="20"/>
              </w:rPr>
              <w:t xml:space="preserve">Open </w:t>
            </w:r>
            <w:r w:rsidR="00683FE0" w:rsidRPr="007E6EF0">
              <w:rPr>
                <w:sz w:val="20"/>
                <w:szCs w:val="20"/>
              </w:rPr>
              <w:t>label, non</w:t>
            </w:r>
            <w:r w:rsidR="00683FE0" w:rsidRPr="007E6EF0">
              <w:rPr>
                <w:sz w:val="20"/>
                <w:szCs w:val="20"/>
              </w:rPr>
              <w:noBreakHyphen/>
            </w:r>
            <w:r w:rsidRPr="007E6EF0">
              <w:rPr>
                <w:sz w:val="20"/>
                <w:szCs w:val="20"/>
              </w:rPr>
              <w:t xml:space="preserve">controlled study of combinations </w:t>
            </w:r>
          </w:p>
        </w:tc>
        <w:tc>
          <w:tcPr>
            <w:tcW w:w="1843" w:type="dxa"/>
          </w:tcPr>
          <w:p w14:paraId="0B893B43" w14:textId="77777777" w:rsidR="00B51ED1" w:rsidRPr="007E6EF0" w:rsidRDefault="00B51ED1" w:rsidP="007E6EF0">
            <w:pPr>
              <w:rPr>
                <w:sz w:val="20"/>
                <w:szCs w:val="20"/>
              </w:rPr>
            </w:pPr>
            <w:r w:rsidRPr="007E6EF0">
              <w:rPr>
                <w:sz w:val="20"/>
                <w:szCs w:val="20"/>
              </w:rPr>
              <w:t>60 patients</w:t>
            </w:r>
          </w:p>
        </w:tc>
        <w:tc>
          <w:tcPr>
            <w:tcW w:w="2977" w:type="dxa"/>
          </w:tcPr>
          <w:p w14:paraId="2AB32E51" w14:textId="77777777" w:rsidR="00B51ED1" w:rsidRPr="007E6EF0" w:rsidRDefault="00B51ED1" w:rsidP="007E6EF0">
            <w:pPr>
              <w:rPr>
                <w:sz w:val="20"/>
                <w:szCs w:val="20"/>
              </w:rPr>
            </w:pPr>
            <w:r w:rsidRPr="007E6EF0">
              <w:rPr>
                <w:sz w:val="20"/>
                <w:szCs w:val="20"/>
              </w:rPr>
              <w:t>Supporting: efficacy and safety of tucatinib plus either trastuzumab and/or capecitabine (triplet, n</w:t>
            </w:r>
            <w:r w:rsidR="00683FE0" w:rsidRPr="007E6EF0">
              <w:rPr>
                <w:sz w:val="20"/>
                <w:szCs w:val="20"/>
              </w:rPr>
              <w:t xml:space="preserve"> </w:t>
            </w:r>
            <w:r w:rsidRPr="007E6EF0">
              <w:rPr>
                <w:sz w:val="20"/>
                <w:szCs w:val="20"/>
              </w:rPr>
              <w:t>=</w:t>
            </w:r>
            <w:r w:rsidR="00683FE0" w:rsidRPr="007E6EF0">
              <w:rPr>
                <w:sz w:val="20"/>
                <w:szCs w:val="20"/>
              </w:rPr>
              <w:t xml:space="preserve"> </w:t>
            </w:r>
            <w:r w:rsidRPr="007E6EF0">
              <w:rPr>
                <w:sz w:val="20"/>
                <w:szCs w:val="20"/>
              </w:rPr>
              <w:t xml:space="preserve">27) in HER2+ metastatic breast cancer after trastuzumab and </w:t>
            </w:r>
            <w:r w:rsidR="00D47EC3" w:rsidRPr="007E6EF0">
              <w:rPr>
                <w:sz w:val="20"/>
                <w:szCs w:val="20"/>
              </w:rPr>
              <w:t>T-DM1</w:t>
            </w:r>
            <w:r w:rsidRPr="007E6EF0">
              <w:rPr>
                <w:sz w:val="20"/>
                <w:szCs w:val="20"/>
              </w:rPr>
              <w:t xml:space="preserve"> in metastatic setting</w:t>
            </w:r>
          </w:p>
        </w:tc>
      </w:tr>
      <w:tr w:rsidR="00B51ED1" w:rsidRPr="007E6EF0" w14:paraId="5DF03BBE" w14:textId="77777777" w:rsidTr="007E6EF0">
        <w:trPr>
          <w:trHeight w:val="118"/>
        </w:trPr>
        <w:tc>
          <w:tcPr>
            <w:tcW w:w="1266" w:type="dxa"/>
          </w:tcPr>
          <w:p w14:paraId="47084FC9" w14:textId="77777777" w:rsidR="00B51ED1" w:rsidRPr="007E6EF0" w:rsidRDefault="00E72097" w:rsidP="007E6EF0">
            <w:pPr>
              <w:rPr>
                <w:sz w:val="20"/>
                <w:szCs w:val="20"/>
              </w:rPr>
            </w:pPr>
            <w:r w:rsidRPr="007E6EF0">
              <w:rPr>
                <w:sz w:val="20"/>
                <w:szCs w:val="20"/>
              </w:rPr>
              <w:t>Study ARRAY</w:t>
            </w:r>
            <w:r w:rsidRPr="007E6EF0">
              <w:rPr>
                <w:sz w:val="20"/>
                <w:szCs w:val="20"/>
              </w:rPr>
              <w:noBreakHyphen/>
            </w:r>
            <w:r w:rsidR="00B51ED1" w:rsidRPr="007E6EF0">
              <w:rPr>
                <w:sz w:val="20"/>
                <w:szCs w:val="20"/>
              </w:rPr>
              <w:t>380-101</w:t>
            </w:r>
          </w:p>
        </w:tc>
        <w:tc>
          <w:tcPr>
            <w:tcW w:w="2268" w:type="dxa"/>
          </w:tcPr>
          <w:p w14:paraId="24E9A7BD" w14:textId="77777777" w:rsidR="00B51ED1" w:rsidRPr="007E6EF0" w:rsidRDefault="00B51ED1" w:rsidP="007E6EF0">
            <w:pPr>
              <w:rPr>
                <w:sz w:val="20"/>
                <w:szCs w:val="20"/>
              </w:rPr>
            </w:pPr>
            <w:r w:rsidRPr="007E6EF0">
              <w:rPr>
                <w:sz w:val="20"/>
                <w:szCs w:val="20"/>
              </w:rPr>
              <w:t>Open label, non</w:t>
            </w:r>
            <w:r w:rsidR="00683FE0" w:rsidRPr="007E6EF0">
              <w:rPr>
                <w:sz w:val="20"/>
                <w:szCs w:val="20"/>
              </w:rPr>
              <w:noBreakHyphen/>
              <w:t>controlled: dose escalation and</w:t>
            </w:r>
            <w:r w:rsidRPr="007E6EF0">
              <w:rPr>
                <w:sz w:val="20"/>
                <w:szCs w:val="20"/>
              </w:rPr>
              <w:t xml:space="preserve"> expansion</w:t>
            </w:r>
          </w:p>
        </w:tc>
        <w:tc>
          <w:tcPr>
            <w:tcW w:w="1843" w:type="dxa"/>
          </w:tcPr>
          <w:p w14:paraId="32D4CFB5" w14:textId="77777777" w:rsidR="00B51ED1" w:rsidRPr="007E6EF0" w:rsidRDefault="00B51ED1" w:rsidP="007E6EF0">
            <w:pPr>
              <w:rPr>
                <w:sz w:val="20"/>
                <w:szCs w:val="20"/>
              </w:rPr>
            </w:pPr>
            <w:r w:rsidRPr="007E6EF0">
              <w:rPr>
                <w:sz w:val="20"/>
                <w:szCs w:val="20"/>
              </w:rPr>
              <w:t>50 patients</w:t>
            </w:r>
          </w:p>
        </w:tc>
        <w:tc>
          <w:tcPr>
            <w:tcW w:w="2977" w:type="dxa"/>
          </w:tcPr>
          <w:p w14:paraId="293128A0" w14:textId="77777777" w:rsidR="00B51ED1" w:rsidRPr="007E6EF0" w:rsidRDefault="00B51ED1" w:rsidP="007E6EF0">
            <w:pPr>
              <w:rPr>
                <w:sz w:val="20"/>
                <w:szCs w:val="20"/>
              </w:rPr>
            </w:pPr>
            <w:r w:rsidRPr="007E6EF0">
              <w:rPr>
                <w:sz w:val="20"/>
                <w:szCs w:val="20"/>
              </w:rPr>
              <w:t>Supporting: safety of tucatinib monotherapy in advanced solid tumours</w:t>
            </w:r>
          </w:p>
        </w:tc>
      </w:tr>
      <w:tr w:rsidR="00B51ED1" w:rsidRPr="007E6EF0" w14:paraId="017CF0F4" w14:textId="77777777" w:rsidTr="007E6EF0">
        <w:trPr>
          <w:trHeight w:val="118"/>
        </w:trPr>
        <w:tc>
          <w:tcPr>
            <w:tcW w:w="1266" w:type="dxa"/>
          </w:tcPr>
          <w:p w14:paraId="6430DC03" w14:textId="77777777" w:rsidR="00B51ED1" w:rsidRPr="007E6EF0" w:rsidRDefault="00886669" w:rsidP="007E6EF0">
            <w:pPr>
              <w:rPr>
                <w:i/>
                <w:sz w:val="20"/>
                <w:szCs w:val="20"/>
              </w:rPr>
            </w:pPr>
            <w:r w:rsidRPr="007E6EF0">
              <w:rPr>
                <w:i/>
                <w:sz w:val="20"/>
                <w:szCs w:val="20"/>
              </w:rPr>
              <w:t xml:space="preserve">Study </w:t>
            </w:r>
            <w:r w:rsidR="00E72097" w:rsidRPr="007E6EF0">
              <w:rPr>
                <w:i/>
                <w:sz w:val="20"/>
                <w:szCs w:val="20"/>
              </w:rPr>
              <w:t>ONT</w:t>
            </w:r>
            <w:r w:rsidR="00E72097" w:rsidRPr="007E6EF0">
              <w:rPr>
                <w:i/>
                <w:sz w:val="20"/>
                <w:szCs w:val="20"/>
              </w:rPr>
              <w:noBreakHyphen/>
            </w:r>
            <w:r w:rsidR="00B51ED1" w:rsidRPr="007E6EF0">
              <w:rPr>
                <w:i/>
                <w:sz w:val="20"/>
                <w:szCs w:val="20"/>
              </w:rPr>
              <w:t>380</w:t>
            </w:r>
            <w:r w:rsidR="00E72097" w:rsidRPr="007E6EF0">
              <w:rPr>
                <w:i/>
                <w:sz w:val="20"/>
                <w:szCs w:val="20"/>
              </w:rPr>
              <w:noBreakHyphen/>
            </w:r>
            <w:r w:rsidR="00B51ED1" w:rsidRPr="007E6EF0">
              <w:rPr>
                <w:i/>
                <w:sz w:val="20"/>
                <w:szCs w:val="20"/>
              </w:rPr>
              <w:t>004</w:t>
            </w:r>
          </w:p>
        </w:tc>
        <w:tc>
          <w:tcPr>
            <w:tcW w:w="2268" w:type="dxa"/>
          </w:tcPr>
          <w:p w14:paraId="41753FD3" w14:textId="77777777" w:rsidR="00B51ED1" w:rsidRPr="007E6EF0" w:rsidRDefault="00B51ED1" w:rsidP="007E6EF0">
            <w:pPr>
              <w:rPr>
                <w:i/>
                <w:sz w:val="20"/>
                <w:szCs w:val="20"/>
              </w:rPr>
            </w:pPr>
            <w:r w:rsidRPr="007E6EF0">
              <w:rPr>
                <w:i/>
                <w:sz w:val="20"/>
                <w:szCs w:val="20"/>
              </w:rPr>
              <w:t>Open label, non</w:t>
            </w:r>
            <w:r w:rsidR="00683FE0" w:rsidRPr="007E6EF0">
              <w:rPr>
                <w:i/>
                <w:sz w:val="20"/>
                <w:szCs w:val="20"/>
              </w:rPr>
              <w:noBreakHyphen/>
              <w:t>controlled: dose escalation and</w:t>
            </w:r>
            <w:r w:rsidRPr="007E6EF0">
              <w:rPr>
                <w:i/>
                <w:sz w:val="20"/>
                <w:szCs w:val="20"/>
              </w:rPr>
              <w:t xml:space="preserve"> expansion</w:t>
            </w:r>
          </w:p>
        </w:tc>
        <w:tc>
          <w:tcPr>
            <w:tcW w:w="1843" w:type="dxa"/>
          </w:tcPr>
          <w:p w14:paraId="4A1E483C" w14:textId="77777777" w:rsidR="00B51ED1" w:rsidRPr="007E6EF0" w:rsidRDefault="00B51ED1" w:rsidP="007E6EF0">
            <w:pPr>
              <w:rPr>
                <w:i/>
                <w:sz w:val="20"/>
                <w:szCs w:val="20"/>
              </w:rPr>
            </w:pPr>
            <w:r w:rsidRPr="007E6EF0">
              <w:rPr>
                <w:i/>
                <w:sz w:val="20"/>
                <w:szCs w:val="20"/>
              </w:rPr>
              <w:t>57 patients</w:t>
            </w:r>
          </w:p>
        </w:tc>
        <w:tc>
          <w:tcPr>
            <w:tcW w:w="2977" w:type="dxa"/>
          </w:tcPr>
          <w:p w14:paraId="06C603B0" w14:textId="77777777" w:rsidR="00B51ED1" w:rsidRPr="007E6EF0" w:rsidRDefault="00683FE0" w:rsidP="007E6EF0">
            <w:pPr>
              <w:rPr>
                <w:i/>
                <w:sz w:val="20"/>
                <w:szCs w:val="20"/>
              </w:rPr>
            </w:pPr>
            <w:r w:rsidRPr="007E6EF0">
              <w:rPr>
                <w:i/>
                <w:sz w:val="20"/>
                <w:szCs w:val="20"/>
              </w:rPr>
              <w:t>Not applicable</w:t>
            </w:r>
          </w:p>
          <w:p w14:paraId="75881AE6" w14:textId="77777777" w:rsidR="00B51ED1" w:rsidRPr="007E6EF0" w:rsidRDefault="00B51ED1" w:rsidP="007E6EF0">
            <w:pPr>
              <w:rPr>
                <w:i/>
                <w:sz w:val="20"/>
                <w:szCs w:val="20"/>
              </w:rPr>
            </w:pPr>
            <w:r w:rsidRPr="007E6EF0">
              <w:rPr>
                <w:i/>
                <w:sz w:val="20"/>
                <w:szCs w:val="20"/>
              </w:rPr>
              <w:t>(tucatinib combin</w:t>
            </w:r>
            <w:r w:rsidR="00E72097" w:rsidRPr="007E6EF0">
              <w:rPr>
                <w:i/>
                <w:sz w:val="20"/>
                <w:szCs w:val="20"/>
              </w:rPr>
              <w:t xml:space="preserve">ation with </w:t>
            </w:r>
            <w:r w:rsidR="00D47EC3" w:rsidRPr="007E6EF0">
              <w:rPr>
                <w:i/>
                <w:sz w:val="20"/>
                <w:szCs w:val="20"/>
              </w:rPr>
              <w:t>T-DM1</w:t>
            </w:r>
            <w:r w:rsidR="00683FE0" w:rsidRPr="007E6EF0">
              <w:rPr>
                <w:i/>
                <w:sz w:val="20"/>
                <w:szCs w:val="20"/>
              </w:rPr>
              <w:t xml:space="preserve"> in HER2+ metastatic breast cancer</w:t>
            </w:r>
            <w:r w:rsidRPr="007E6EF0">
              <w:rPr>
                <w:i/>
                <w:sz w:val="20"/>
                <w:szCs w:val="20"/>
              </w:rPr>
              <w:t xml:space="preserve"> after trastuzumab and </w:t>
            </w:r>
            <w:proofErr w:type="spellStart"/>
            <w:r w:rsidRPr="007E6EF0">
              <w:rPr>
                <w:i/>
                <w:sz w:val="20"/>
                <w:szCs w:val="20"/>
              </w:rPr>
              <w:t>taxane</w:t>
            </w:r>
            <w:proofErr w:type="spellEnd"/>
            <w:r w:rsidRPr="007E6EF0">
              <w:rPr>
                <w:i/>
                <w:sz w:val="20"/>
                <w:szCs w:val="20"/>
              </w:rPr>
              <w:t xml:space="preserve"> in metastatic setting)</w:t>
            </w:r>
          </w:p>
        </w:tc>
      </w:tr>
      <w:tr w:rsidR="00B51ED1" w:rsidRPr="007E6EF0" w14:paraId="45A4E592" w14:textId="77777777" w:rsidTr="007E6EF0">
        <w:trPr>
          <w:trHeight w:val="118"/>
        </w:trPr>
        <w:tc>
          <w:tcPr>
            <w:tcW w:w="8354" w:type="dxa"/>
            <w:gridSpan w:val="4"/>
          </w:tcPr>
          <w:p w14:paraId="31347CCF" w14:textId="77777777" w:rsidR="00B51ED1" w:rsidRPr="007E6EF0" w:rsidRDefault="00886669" w:rsidP="007E6EF0">
            <w:pPr>
              <w:rPr>
                <w:sz w:val="20"/>
                <w:szCs w:val="20"/>
              </w:rPr>
            </w:pPr>
            <w:r w:rsidRPr="007E6EF0">
              <w:rPr>
                <w:sz w:val="20"/>
                <w:szCs w:val="20"/>
              </w:rPr>
              <w:t>Clinical pharmacology</w:t>
            </w:r>
          </w:p>
        </w:tc>
      </w:tr>
      <w:tr w:rsidR="00B51ED1" w:rsidRPr="007E6EF0" w14:paraId="545F1C55" w14:textId="77777777" w:rsidTr="007E6EF0">
        <w:trPr>
          <w:trHeight w:val="118"/>
        </w:trPr>
        <w:tc>
          <w:tcPr>
            <w:tcW w:w="1266" w:type="dxa"/>
          </w:tcPr>
          <w:p w14:paraId="6207E53F" w14:textId="77777777" w:rsidR="00B51ED1" w:rsidRPr="007E6EF0" w:rsidRDefault="00B51ED1" w:rsidP="007E6EF0">
            <w:pPr>
              <w:rPr>
                <w:sz w:val="20"/>
                <w:szCs w:val="20"/>
              </w:rPr>
            </w:pPr>
            <w:r w:rsidRPr="007E6EF0">
              <w:rPr>
                <w:sz w:val="20"/>
                <w:szCs w:val="20"/>
              </w:rPr>
              <w:t>ARRAY-380-102</w:t>
            </w:r>
          </w:p>
        </w:tc>
        <w:tc>
          <w:tcPr>
            <w:tcW w:w="2268" w:type="dxa"/>
          </w:tcPr>
          <w:p w14:paraId="63F283E4" w14:textId="77777777" w:rsidR="00B51ED1" w:rsidRPr="007E6EF0" w:rsidRDefault="00B51ED1" w:rsidP="007E6EF0">
            <w:pPr>
              <w:rPr>
                <w:sz w:val="20"/>
                <w:szCs w:val="20"/>
              </w:rPr>
            </w:pPr>
            <w:r w:rsidRPr="007E6EF0">
              <w:rPr>
                <w:sz w:val="20"/>
                <w:szCs w:val="20"/>
              </w:rPr>
              <w:t>Open label, single dose</w:t>
            </w:r>
          </w:p>
        </w:tc>
        <w:tc>
          <w:tcPr>
            <w:tcW w:w="1843" w:type="dxa"/>
          </w:tcPr>
          <w:p w14:paraId="69BAB225" w14:textId="77777777" w:rsidR="00B51ED1" w:rsidRPr="007E6EF0" w:rsidRDefault="00B51ED1" w:rsidP="007E6EF0">
            <w:pPr>
              <w:rPr>
                <w:sz w:val="20"/>
                <w:szCs w:val="20"/>
              </w:rPr>
            </w:pPr>
            <w:r w:rsidRPr="007E6EF0">
              <w:rPr>
                <w:sz w:val="20"/>
                <w:szCs w:val="20"/>
              </w:rPr>
              <w:t>14 healthy subjects</w:t>
            </w:r>
          </w:p>
        </w:tc>
        <w:tc>
          <w:tcPr>
            <w:tcW w:w="2977" w:type="dxa"/>
          </w:tcPr>
          <w:p w14:paraId="3A5119FF" w14:textId="77777777" w:rsidR="00B51ED1" w:rsidRPr="007E6EF0" w:rsidRDefault="00B51ED1" w:rsidP="007E6EF0">
            <w:pPr>
              <w:rPr>
                <w:sz w:val="20"/>
                <w:szCs w:val="20"/>
              </w:rPr>
            </w:pPr>
            <w:r w:rsidRPr="007E6EF0">
              <w:rPr>
                <w:sz w:val="20"/>
                <w:szCs w:val="20"/>
              </w:rPr>
              <w:t>Effect of various formulations, relative bioavailability</w:t>
            </w:r>
          </w:p>
        </w:tc>
      </w:tr>
      <w:tr w:rsidR="00B51ED1" w:rsidRPr="007E6EF0" w14:paraId="4B275C5D" w14:textId="77777777" w:rsidTr="007E6EF0">
        <w:trPr>
          <w:trHeight w:val="118"/>
        </w:trPr>
        <w:tc>
          <w:tcPr>
            <w:tcW w:w="1266" w:type="dxa"/>
          </w:tcPr>
          <w:p w14:paraId="5FCEDAC5" w14:textId="77777777" w:rsidR="00B51ED1" w:rsidRPr="007E6EF0" w:rsidRDefault="00B51ED1" w:rsidP="007E6EF0">
            <w:pPr>
              <w:rPr>
                <w:sz w:val="20"/>
                <w:szCs w:val="20"/>
              </w:rPr>
            </w:pPr>
            <w:r w:rsidRPr="007E6EF0">
              <w:rPr>
                <w:sz w:val="20"/>
                <w:szCs w:val="20"/>
              </w:rPr>
              <w:t>ARRAY-380-103</w:t>
            </w:r>
          </w:p>
        </w:tc>
        <w:tc>
          <w:tcPr>
            <w:tcW w:w="2268" w:type="dxa"/>
          </w:tcPr>
          <w:p w14:paraId="1DAB9501" w14:textId="77777777" w:rsidR="00B51ED1" w:rsidRPr="007E6EF0" w:rsidRDefault="00B51ED1" w:rsidP="007E6EF0">
            <w:pPr>
              <w:rPr>
                <w:sz w:val="20"/>
                <w:szCs w:val="20"/>
              </w:rPr>
            </w:pPr>
            <w:r w:rsidRPr="007E6EF0">
              <w:rPr>
                <w:sz w:val="20"/>
                <w:szCs w:val="20"/>
              </w:rPr>
              <w:t>Open label, single dose (crossover), open label</w:t>
            </w:r>
          </w:p>
        </w:tc>
        <w:tc>
          <w:tcPr>
            <w:tcW w:w="1843" w:type="dxa"/>
          </w:tcPr>
          <w:p w14:paraId="5A800E3F" w14:textId="77777777" w:rsidR="00B51ED1" w:rsidRPr="007E6EF0" w:rsidRDefault="00B51ED1" w:rsidP="007E6EF0">
            <w:pPr>
              <w:rPr>
                <w:sz w:val="20"/>
                <w:szCs w:val="20"/>
              </w:rPr>
            </w:pPr>
            <w:r w:rsidRPr="007E6EF0">
              <w:rPr>
                <w:sz w:val="20"/>
                <w:szCs w:val="20"/>
              </w:rPr>
              <w:t>12 healthy subjects</w:t>
            </w:r>
          </w:p>
        </w:tc>
        <w:tc>
          <w:tcPr>
            <w:tcW w:w="2977" w:type="dxa"/>
          </w:tcPr>
          <w:p w14:paraId="7DAF5A47" w14:textId="77777777" w:rsidR="00B51ED1" w:rsidRPr="007E6EF0" w:rsidRDefault="00683FE0" w:rsidP="007E6EF0">
            <w:pPr>
              <w:rPr>
                <w:sz w:val="20"/>
                <w:szCs w:val="20"/>
              </w:rPr>
            </w:pPr>
            <w:r w:rsidRPr="007E6EF0">
              <w:rPr>
                <w:sz w:val="20"/>
                <w:szCs w:val="20"/>
              </w:rPr>
              <w:t>Effect of food, effect of proton pump inhibitors</w:t>
            </w:r>
          </w:p>
        </w:tc>
      </w:tr>
      <w:tr w:rsidR="00B51ED1" w:rsidRPr="007E6EF0" w14:paraId="10340D21" w14:textId="77777777" w:rsidTr="007E6EF0">
        <w:trPr>
          <w:trHeight w:val="118"/>
        </w:trPr>
        <w:tc>
          <w:tcPr>
            <w:tcW w:w="1266" w:type="dxa"/>
          </w:tcPr>
          <w:p w14:paraId="400F3E51" w14:textId="77777777" w:rsidR="00B51ED1" w:rsidRPr="007E6EF0" w:rsidRDefault="00B51ED1" w:rsidP="007E6EF0">
            <w:pPr>
              <w:rPr>
                <w:sz w:val="20"/>
                <w:szCs w:val="20"/>
              </w:rPr>
            </w:pPr>
            <w:r w:rsidRPr="007E6EF0">
              <w:rPr>
                <w:sz w:val="20"/>
                <w:szCs w:val="20"/>
              </w:rPr>
              <w:t>ONT-380-008</w:t>
            </w:r>
          </w:p>
        </w:tc>
        <w:tc>
          <w:tcPr>
            <w:tcW w:w="2268" w:type="dxa"/>
          </w:tcPr>
          <w:p w14:paraId="23D67DCC" w14:textId="77777777" w:rsidR="00B51ED1" w:rsidRPr="007E6EF0" w:rsidRDefault="00B51ED1" w:rsidP="007E6EF0">
            <w:pPr>
              <w:rPr>
                <w:sz w:val="20"/>
                <w:szCs w:val="20"/>
              </w:rPr>
            </w:pPr>
            <w:r w:rsidRPr="007E6EF0">
              <w:rPr>
                <w:sz w:val="20"/>
                <w:szCs w:val="20"/>
              </w:rPr>
              <w:t>Open label, single dose</w:t>
            </w:r>
          </w:p>
        </w:tc>
        <w:tc>
          <w:tcPr>
            <w:tcW w:w="1843" w:type="dxa"/>
          </w:tcPr>
          <w:p w14:paraId="76A4C2D0" w14:textId="77777777" w:rsidR="00B51ED1" w:rsidRPr="007E6EF0" w:rsidRDefault="00B51ED1" w:rsidP="007E6EF0">
            <w:pPr>
              <w:rPr>
                <w:sz w:val="20"/>
                <w:szCs w:val="20"/>
              </w:rPr>
            </w:pPr>
            <w:r w:rsidRPr="007E6EF0">
              <w:rPr>
                <w:sz w:val="20"/>
                <w:szCs w:val="20"/>
              </w:rPr>
              <w:t>8 healthy subjects</w:t>
            </w:r>
          </w:p>
        </w:tc>
        <w:tc>
          <w:tcPr>
            <w:tcW w:w="2977" w:type="dxa"/>
          </w:tcPr>
          <w:p w14:paraId="29D29F3F" w14:textId="77777777" w:rsidR="00B51ED1" w:rsidRPr="007E6EF0" w:rsidRDefault="00683FE0" w:rsidP="007E6EF0">
            <w:pPr>
              <w:rPr>
                <w:sz w:val="20"/>
                <w:szCs w:val="20"/>
              </w:rPr>
            </w:pPr>
            <w:r w:rsidRPr="007E6EF0">
              <w:rPr>
                <w:sz w:val="20"/>
                <w:szCs w:val="20"/>
              </w:rPr>
              <w:t>Absorption, distribution, metabolism and excretion</w:t>
            </w:r>
          </w:p>
        </w:tc>
      </w:tr>
      <w:tr w:rsidR="00B51ED1" w:rsidRPr="007E6EF0" w14:paraId="62DB2AF2" w14:textId="77777777" w:rsidTr="007E6EF0">
        <w:trPr>
          <w:trHeight w:val="118"/>
        </w:trPr>
        <w:tc>
          <w:tcPr>
            <w:tcW w:w="1266" w:type="dxa"/>
          </w:tcPr>
          <w:p w14:paraId="37E86B47" w14:textId="77777777" w:rsidR="00B51ED1" w:rsidRPr="007E6EF0" w:rsidRDefault="00B51ED1" w:rsidP="007E6EF0">
            <w:pPr>
              <w:rPr>
                <w:sz w:val="20"/>
                <w:szCs w:val="20"/>
              </w:rPr>
            </w:pPr>
            <w:r w:rsidRPr="007E6EF0">
              <w:rPr>
                <w:sz w:val="20"/>
                <w:szCs w:val="20"/>
              </w:rPr>
              <w:t>ONT-380-009</w:t>
            </w:r>
          </w:p>
        </w:tc>
        <w:tc>
          <w:tcPr>
            <w:tcW w:w="2268" w:type="dxa"/>
          </w:tcPr>
          <w:p w14:paraId="6A6856C9" w14:textId="77777777" w:rsidR="00B51ED1" w:rsidRPr="007E6EF0" w:rsidRDefault="00B51ED1" w:rsidP="007E6EF0">
            <w:pPr>
              <w:rPr>
                <w:sz w:val="20"/>
                <w:szCs w:val="20"/>
              </w:rPr>
            </w:pPr>
            <w:r w:rsidRPr="007E6EF0">
              <w:rPr>
                <w:sz w:val="20"/>
                <w:szCs w:val="20"/>
              </w:rPr>
              <w:t>Open label, single dose (parallel group)</w:t>
            </w:r>
          </w:p>
        </w:tc>
        <w:tc>
          <w:tcPr>
            <w:tcW w:w="1843" w:type="dxa"/>
          </w:tcPr>
          <w:p w14:paraId="3FD64E9C" w14:textId="77777777" w:rsidR="00B51ED1" w:rsidRPr="007E6EF0" w:rsidRDefault="00B51ED1" w:rsidP="007E6EF0">
            <w:pPr>
              <w:rPr>
                <w:sz w:val="20"/>
                <w:szCs w:val="20"/>
              </w:rPr>
            </w:pPr>
            <w:r w:rsidRPr="007E6EF0">
              <w:rPr>
                <w:sz w:val="20"/>
                <w:szCs w:val="20"/>
              </w:rPr>
              <w:t>37 healthy (except hepatic impairment) subjects</w:t>
            </w:r>
          </w:p>
        </w:tc>
        <w:tc>
          <w:tcPr>
            <w:tcW w:w="2977" w:type="dxa"/>
          </w:tcPr>
          <w:p w14:paraId="1B929E9A" w14:textId="77777777" w:rsidR="00B51ED1" w:rsidRPr="007E6EF0" w:rsidRDefault="001E0BE3" w:rsidP="007E6EF0">
            <w:pPr>
              <w:rPr>
                <w:sz w:val="20"/>
                <w:szCs w:val="20"/>
              </w:rPr>
            </w:pPr>
            <w:r w:rsidRPr="007E6EF0">
              <w:rPr>
                <w:sz w:val="20"/>
                <w:szCs w:val="20"/>
              </w:rPr>
              <w:t>H</w:t>
            </w:r>
            <w:r w:rsidR="00B51ED1" w:rsidRPr="007E6EF0">
              <w:rPr>
                <w:sz w:val="20"/>
                <w:szCs w:val="20"/>
              </w:rPr>
              <w:t>epatic impairment</w:t>
            </w:r>
          </w:p>
        </w:tc>
      </w:tr>
      <w:tr w:rsidR="00B51ED1" w:rsidRPr="007E6EF0" w14:paraId="4DD9B213" w14:textId="77777777" w:rsidTr="007E6EF0">
        <w:trPr>
          <w:trHeight w:val="118"/>
        </w:trPr>
        <w:tc>
          <w:tcPr>
            <w:tcW w:w="1266" w:type="dxa"/>
          </w:tcPr>
          <w:p w14:paraId="0D0B7E2D" w14:textId="77777777" w:rsidR="00B51ED1" w:rsidRPr="007E6EF0" w:rsidRDefault="00B51ED1" w:rsidP="007E6EF0">
            <w:pPr>
              <w:rPr>
                <w:sz w:val="20"/>
                <w:szCs w:val="20"/>
              </w:rPr>
            </w:pPr>
            <w:r w:rsidRPr="007E6EF0">
              <w:rPr>
                <w:sz w:val="20"/>
                <w:szCs w:val="20"/>
              </w:rPr>
              <w:t>ONT-380-011</w:t>
            </w:r>
          </w:p>
        </w:tc>
        <w:tc>
          <w:tcPr>
            <w:tcW w:w="2268" w:type="dxa"/>
          </w:tcPr>
          <w:p w14:paraId="0CF44C48" w14:textId="77777777" w:rsidR="00B51ED1" w:rsidRPr="007E6EF0" w:rsidRDefault="00B51ED1" w:rsidP="007E6EF0">
            <w:pPr>
              <w:rPr>
                <w:sz w:val="20"/>
                <w:szCs w:val="20"/>
              </w:rPr>
            </w:pPr>
            <w:r w:rsidRPr="007E6EF0">
              <w:rPr>
                <w:sz w:val="20"/>
                <w:szCs w:val="20"/>
              </w:rPr>
              <w:t>Randomised, partially double-blind (placebo and positive controlled), 9 doses</w:t>
            </w:r>
          </w:p>
        </w:tc>
        <w:tc>
          <w:tcPr>
            <w:tcW w:w="1843" w:type="dxa"/>
          </w:tcPr>
          <w:p w14:paraId="131F2805" w14:textId="77777777" w:rsidR="00B51ED1" w:rsidRPr="007E6EF0" w:rsidRDefault="00B51ED1" w:rsidP="007E6EF0">
            <w:pPr>
              <w:rPr>
                <w:sz w:val="20"/>
                <w:szCs w:val="20"/>
              </w:rPr>
            </w:pPr>
            <w:r w:rsidRPr="007E6EF0">
              <w:rPr>
                <w:sz w:val="20"/>
                <w:szCs w:val="20"/>
              </w:rPr>
              <w:t>53 healthy subjects</w:t>
            </w:r>
          </w:p>
        </w:tc>
        <w:tc>
          <w:tcPr>
            <w:tcW w:w="2977" w:type="dxa"/>
          </w:tcPr>
          <w:p w14:paraId="2D4F14B2" w14:textId="77777777" w:rsidR="00B51ED1" w:rsidRPr="007E6EF0" w:rsidRDefault="00B51ED1" w:rsidP="007E6EF0">
            <w:pPr>
              <w:rPr>
                <w:sz w:val="20"/>
                <w:szCs w:val="20"/>
              </w:rPr>
            </w:pPr>
            <w:r w:rsidRPr="007E6EF0">
              <w:rPr>
                <w:sz w:val="20"/>
                <w:szCs w:val="20"/>
              </w:rPr>
              <w:t>QT study</w:t>
            </w:r>
          </w:p>
        </w:tc>
      </w:tr>
      <w:tr w:rsidR="00B51ED1" w:rsidRPr="007E6EF0" w14:paraId="132DB6AD" w14:textId="77777777" w:rsidTr="007E6EF0">
        <w:trPr>
          <w:trHeight w:val="118"/>
        </w:trPr>
        <w:tc>
          <w:tcPr>
            <w:tcW w:w="1266" w:type="dxa"/>
          </w:tcPr>
          <w:p w14:paraId="339172B2" w14:textId="77777777" w:rsidR="00B51ED1" w:rsidRPr="007E6EF0" w:rsidRDefault="00B51ED1" w:rsidP="007E6EF0">
            <w:pPr>
              <w:rPr>
                <w:sz w:val="20"/>
                <w:szCs w:val="20"/>
              </w:rPr>
            </w:pPr>
            <w:r w:rsidRPr="007E6EF0">
              <w:rPr>
                <w:sz w:val="20"/>
                <w:szCs w:val="20"/>
              </w:rPr>
              <w:t>ONT-380-012</w:t>
            </w:r>
          </w:p>
        </w:tc>
        <w:tc>
          <w:tcPr>
            <w:tcW w:w="2268" w:type="dxa"/>
          </w:tcPr>
          <w:p w14:paraId="6DE9F0CD" w14:textId="77777777" w:rsidR="00B51ED1" w:rsidRPr="007E6EF0" w:rsidRDefault="00B51ED1" w:rsidP="007E6EF0">
            <w:pPr>
              <w:rPr>
                <w:sz w:val="20"/>
                <w:szCs w:val="20"/>
              </w:rPr>
            </w:pPr>
            <w:r w:rsidRPr="007E6EF0">
              <w:rPr>
                <w:sz w:val="20"/>
                <w:szCs w:val="20"/>
              </w:rPr>
              <w:t>Open label, fixed sequence, five part</w:t>
            </w:r>
          </w:p>
        </w:tc>
        <w:tc>
          <w:tcPr>
            <w:tcW w:w="1843" w:type="dxa"/>
          </w:tcPr>
          <w:p w14:paraId="42C7D605" w14:textId="77777777" w:rsidR="00B51ED1" w:rsidRPr="007E6EF0" w:rsidRDefault="00B51ED1" w:rsidP="007E6EF0">
            <w:pPr>
              <w:rPr>
                <w:sz w:val="20"/>
                <w:szCs w:val="20"/>
              </w:rPr>
            </w:pPr>
            <w:r w:rsidRPr="007E6EF0">
              <w:rPr>
                <w:sz w:val="20"/>
                <w:szCs w:val="20"/>
              </w:rPr>
              <w:t>114 healthy subjects</w:t>
            </w:r>
          </w:p>
        </w:tc>
        <w:tc>
          <w:tcPr>
            <w:tcW w:w="2977" w:type="dxa"/>
          </w:tcPr>
          <w:p w14:paraId="076A46E0" w14:textId="77777777" w:rsidR="00B51ED1" w:rsidRPr="007E6EF0" w:rsidRDefault="00B51ED1" w:rsidP="007E6EF0">
            <w:pPr>
              <w:rPr>
                <w:sz w:val="20"/>
                <w:szCs w:val="20"/>
              </w:rPr>
            </w:pPr>
            <w:r w:rsidRPr="007E6EF0">
              <w:rPr>
                <w:sz w:val="20"/>
                <w:szCs w:val="20"/>
              </w:rPr>
              <w:t xml:space="preserve">Drug-drug interactions: </w:t>
            </w:r>
            <w:proofErr w:type="spellStart"/>
            <w:r w:rsidRPr="007E6EF0">
              <w:rPr>
                <w:sz w:val="20"/>
                <w:szCs w:val="20"/>
              </w:rPr>
              <w:t>itraconazole</w:t>
            </w:r>
            <w:proofErr w:type="spellEnd"/>
            <w:r w:rsidRPr="007E6EF0">
              <w:rPr>
                <w:sz w:val="20"/>
                <w:szCs w:val="20"/>
              </w:rPr>
              <w:t xml:space="preserve">, </w:t>
            </w:r>
            <w:proofErr w:type="spellStart"/>
            <w:r w:rsidRPr="007E6EF0">
              <w:rPr>
                <w:sz w:val="20"/>
                <w:szCs w:val="20"/>
              </w:rPr>
              <w:t>rifampin</w:t>
            </w:r>
            <w:proofErr w:type="spellEnd"/>
            <w:r w:rsidRPr="007E6EF0">
              <w:rPr>
                <w:sz w:val="20"/>
                <w:szCs w:val="20"/>
              </w:rPr>
              <w:t xml:space="preserve">, gemfibrozil, </w:t>
            </w:r>
            <w:proofErr w:type="spellStart"/>
            <w:r w:rsidRPr="007E6EF0">
              <w:rPr>
                <w:sz w:val="20"/>
                <w:szCs w:val="20"/>
              </w:rPr>
              <w:t>repaglinide</w:t>
            </w:r>
            <w:proofErr w:type="spellEnd"/>
            <w:r w:rsidRPr="007E6EF0">
              <w:rPr>
                <w:sz w:val="20"/>
                <w:szCs w:val="20"/>
              </w:rPr>
              <w:t>/</w:t>
            </w:r>
            <w:proofErr w:type="spellStart"/>
            <w:r w:rsidRPr="007E6EF0">
              <w:rPr>
                <w:sz w:val="20"/>
                <w:szCs w:val="20"/>
              </w:rPr>
              <w:t>tolbutamide</w:t>
            </w:r>
            <w:proofErr w:type="spellEnd"/>
            <w:r w:rsidRPr="007E6EF0">
              <w:rPr>
                <w:sz w:val="20"/>
                <w:szCs w:val="20"/>
              </w:rPr>
              <w:t>/midazolam and digoxin</w:t>
            </w:r>
          </w:p>
        </w:tc>
      </w:tr>
      <w:tr w:rsidR="00B51ED1" w:rsidRPr="007E6EF0" w14:paraId="048DF50F" w14:textId="77777777" w:rsidTr="007E6EF0">
        <w:trPr>
          <w:trHeight w:val="118"/>
        </w:trPr>
        <w:tc>
          <w:tcPr>
            <w:tcW w:w="1266" w:type="dxa"/>
          </w:tcPr>
          <w:p w14:paraId="5BC5C045" w14:textId="77777777" w:rsidR="00B51ED1" w:rsidRPr="007E6EF0" w:rsidRDefault="00B51ED1" w:rsidP="007E6EF0">
            <w:pPr>
              <w:rPr>
                <w:sz w:val="20"/>
                <w:szCs w:val="20"/>
              </w:rPr>
            </w:pPr>
            <w:r w:rsidRPr="007E6EF0">
              <w:rPr>
                <w:sz w:val="20"/>
                <w:szCs w:val="20"/>
              </w:rPr>
              <w:t>SGNTUC-015</w:t>
            </w:r>
          </w:p>
        </w:tc>
        <w:tc>
          <w:tcPr>
            <w:tcW w:w="2268" w:type="dxa"/>
          </w:tcPr>
          <w:p w14:paraId="4C6E0476" w14:textId="77777777" w:rsidR="00B51ED1" w:rsidRPr="007E6EF0" w:rsidRDefault="00B51ED1" w:rsidP="007E6EF0">
            <w:pPr>
              <w:rPr>
                <w:sz w:val="20"/>
                <w:szCs w:val="20"/>
              </w:rPr>
            </w:pPr>
            <w:r w:rsidRPr="007E6EF0">
              <w:rPr>
                <w:sz w:val="20"/>
                <w:szCs w:val="20"/>
              </w:rPr>
              <w:t>Open label, fixed sequence, 27 doses</w:t>
            </w:r>
          </w:p>
        </w:tc>
        <w:tc>
          <w:tcPr>
            <w:tcW w:w="1843" w:type="dxa"/>
          </w:tcPr>
          <w:p w14:paraId="33AE0433" w14:textId="77777777" w:rsidR="00B51ED1" w:rsidRPr="007E6EF0" w:rsidRDefault="00B51ED1" w:rsidP="007E6EF0">
            <w:pPr>
              <w:rPr>
                <w:sz w:val="20"/>
                <w:szCs w:val="20"/>
              </w:rPr>
            </w:pPr>
            <w:r w:rsidRPr="007E6EF0">
              <w:rPr>
                <w:sz w:val="20"/>
                <w:szCs w:val="20"/>
              </w:rPr>
              <w:t>36 healthy subjects</w:t>
            </w:r>
          </w:p>
        </w:tc>
        <w:tc>
          <w:tcPr>
            <w:tcW w:w="2977" w:type="dxa"/>
          </w:tcPr>
          <w:p w14:paraId="35E3F07E" w14:textId="77777777" w:rsidR="00B51ED1" w:rsidRPr="007E6EF0" w:rsidRDefault="00886669" w:rsidP="007E6EF0">
            <w:pPr>
              <w:rPr>
                <w:sz w:val="20"/>
                <w:szCs w:val="20"/>
              </w:rPr>
            </w:pPr>
            <w:r w:rsidRPr="007E6EF0">
              <w:rPr>
                <w:sz w:val="20"/>
                <w:szCs w:val="20"/>
              </w:rPr>
              <w:t>E</w:t>
            </w:r>
            <w:r w:rsidR="00B51ED1" w:rsidRPr="007E6EF0">
              <w:rPr>
                <w:sz w:val="20"/>
                <w:szCs w:val="20"/>
              </w:rPr>
              <w:t>ffect o</w:t>
            </w:r>
            <w:r w:rsidRPr="007E6EF0">
              <w:rPr>
                <w:sz w:val="20"/>
                <w:szCs w:val="20"/>
              </w:rPr>
              <w:t>f race (Caucasian and Japanese)</w:t>
            </w:r>
          </w:p>
        </w:tc>
      </w:tr>
      <w:tr w:rsidR="00B51ED1" w:rsidRPr="007E6EF0" w14:paraId="71D14FA3" w14:textId="77777777" w:rsidTr="007E6EF0">
        <w:trPr>
          <w:trHeight w:val="118"/>
        </w:trPr>
        <w:tc>
          <w:tcPr>
            <w:tcW w:w="1266" w:type="dxa"/>
          </w:tcPr>
          <w:p w14:paraId="54FEE769" w14:textId="77777777" w:rsidR="00B51ED1" w:rsidRPr="007E6EF0" w:rsidRDefault="00B51ED1" w:rsidP="007E6EF0">
            <w:pPr>
              <w:rPr>
                <w:sz w:val="20"/>
                <w:szCs w:val="20"/>
              </w:rPr>
            </w:pPr>
            <w:r w:rsidRPr="007E6EF0">
              <w:rPr>
                <w:sz w:val="20"/>
                <w:szCs w:val="20"/>
              </w:rPr>
              <w:t>SGNTUC-020</w:t>
            </w:r>
          </w:p>
        </w:tc>
        <w:tc>
          <w:tcPr>
            <w:tcW w:w="2268" w:type="dxa"/>
          </w:tcPr>
          <w:p w14:paraId="5200925E" w14:textId="77777777" w:rsidR="00B51ED1" w:rsidRPr="007E6EF0" w:rsidRDefault="00B51ED1" w:rsidP="007E6EF0">
            <w:pPr>
              <w:rPr>
                <w:sz w:val="20"/>
                <w:szCs w:val="20"/>
              </w:rPr>
            </w:pPr>
            <w:r w:rsidRPr="007E6EF0">
              <w:rPr>
                <w:sz w:val="20"/>
                <w:szCs w:val="20"/>
              </w:rPr>
              <w:t>Open label, fixed sequence, drug-drug interaction</w:t>
            </w:r>
            <w:r w:rsidR="001E0BE3" w:rsidRPr="007E6EF0">
              <w:rPr>
                <w:sz w:val="20"/>
                <w:szCs w:val="20"/>
              </w:rPr>
              <w:t xml:space="preserve"> (DDI)</w:t>
            </w:r>
            <w:r w:rsidRPr="007E6EF0">
              <w:rPr>
                <w:sz w:val="20"/>
                <w:szCs w:val="20"/>
              </w:rPr>
              <w:t>, 14 doses</w:t>
            </w:r>
          </w:p>
        </w:tc>
        <w:tc>
          <w:tcPr>
            <w:tcW w:w="1843" w:type="dxa"/>
          </w:tcPr>
          <w:p w14:paraId="7AFBF736" w14:textId="77777777" w:rsidR="00B51ED1" w:rsidRPr="007E6EF0" w:rsidRDefault="00B51ED1" w:rsidP="007E6EF0">
            <w:pPr>
              <w:rPr>
                <w:sz w:val="20"/>
                <w:szCs w:val="20"/>
              </w:rPr>
            </w:pPr>
            <w:r w:rsidRPr="007E6EF0">
              <w:rPr>
                <w:sz w:val="20"/>
                <w:szCs w:val="20"/>
              </w:rPr>
              <w:t>18 healthy subjects</w:t>
            </w:r>
          </w:p>
        </w:tc>
        <w:tc>
          <w:tcPr>
            <w:tcW w:w="2977" w:type="dxa"/>
          </w:tcPr>
          <w:p w14:paraId="2F47D55E" w14:textId="77777777" w:rsidR="00B51ED1" w:rsidRPr="007E6EF0" w:rsidRDefault="00886669" w:rsidP="007E6EF0">
            <w:pPr>
              <w:rPr>
                <w:sz w:val="20"/>
                <w:szCs w:val="20"/>
              </w:rPr>
            </w:pPr>
            <w:r w:rsidRPr="007E6EF0">
              <w:rPr>
                <w:sz w:val="20"/>
                <w:szCs w:val="20"/>
              </w:rPr>
              <w:t>E</w:t>
            </w:r>
            <w:r w:rsidR="00B51ED1" w:rsidRPr="007E6EF0">
              <w:rPr>
                <w:sz w:val="20"/>
                <w:szCs w:val="20"/>
              </w:rPr>
              <w:t xml:space="preserve">ffect of tucatinib on metformin </w:t>
            </w:r>
            <w:r w:rsidR="00683FE0" w:rsidRPr="007E6EF0">
              <w:rPr>
                <w:sz w:val="20"/>
                <w:szCs w:val="20"/>
              </w:rPr>
              <w:t>pharmacokinetics (</w:t>
            </w:r>
            <w:r w:rsidR="00B51ED1" w:rsidRPr="007E6EF0">
              <w:rPr>
                <w:sz w:val="20"/>
                <w:szCs w:val="20"/>
              </w:rPr>
              <w:t>PK</w:t>
            </w:r>
            <w:r w:rsidR="00683FE0" w:rsidRPr="007E6EF0">
              <w:rPr>
                <w:sz w:val="20"/>
                <w:szCs w:val="20"/>
              </w:rPr>
              <w:t>)</w:t>
            </w:r>
          </w:p>
        </w:tc>
      </w:tr>
    </w:tbl>
    <w:p w14:paraId="05E90DEA" w14:textId="77777777" w:rsidR="00B51ED1" w:rsidRDefault="00B51ED1" w:rsidP="00B51ED1">
      <w:pPr>
        <w:pStyle w:val="Heading4"/>
      </w:pPr>
      <w:r w:rsidRPr="00AA53F4">
        <w:t>Pharmacology</w:t>
      </w:r>
    </w:p>
    <w:p w14:paraId="58C77A7C" w14:textId="77777777" w:rsidR="00B51ED1" w:rsidRDefault="00B51ED1" w:rsidP="00B51ED1">
      <w:pPr>
        <w:pStyle w:val="Heading5"/>
      </w:pPr>
      <w:r>
        <w:t>Dose finding</w:t>
      </w:r>
    </w:p>
    <w:p w14:paraId="77B2D4E4" w14:textId="3ACF70CA" w:rsidR="00EE3732" w:rsidRDefault="00EE3732" w:rsidP="00B51ED1">
      <w:r>
        <w:t xml:space="preserve">A summary of the clinical dose findings is shown in </w:t>
      </w:r>
      <w:r>
        <w:fldChar w:fldCharType="begin"/>
      </w:r>
      <w:r>
        <w:instrText xml:space="preserve"> REF _Ref39052206 \h </w:instrText>
      </w:r>
      <w:r>
        <w:fldChar w:fldCharType="separate"/>
      </w:r>
      <w:r w:rsidR="00F979FB">
        <w:t xml:space="preserve">Table </w:t>
      </w:r>
      <w:r w:rsidR="00F979FB">
        <w:rPr>
          <w:noProof/>
        </w:rPr>
        <w:t>4</w:t>
      </w:r>
      <w:r>
        <w:fldChar w:fldCharType="end"/>
      </w:r>
      <w:r>
        <w:t>.</w:t>
      </w:r>
    </w:p>
    <w:p w14:paraId="229E139C" w14:textId="77777777" w:rsidR="00B51ED1" w:rsidRDefault="00B51ED1" w:rsidP="00B51ED1">
      <w:r>
        <w:t xml:space="preserve">A powder in capsule (PIC) formulation preceded the tablet that </w:t>
      </w:r>
      <w:r w:rsidR="00683FE0">
        <w:t>is intended for marketing, and PK</w:t>
      </w:r>
      <w:r>
        <w:t xml:space="preserve"> data were obtained with both. Exposure with the tablet at 300 mg </w:t>
      </w:r>
      <w:r w:rsidR="00683FE0">
        <w:t>twice daily (</w:t>
      </w:r>
      <w:r>
        <w:t>BD</w:t>
      </w:r>
      <w:r w:rsidR="00683FE0">
        <w:t>)</w:t>
      </w:r>
      <w:r>
        <w:t xml:space="preserve"> was comparable to exposure with the PIC formulation at 600 mg BD.</w:t>
      </w:r>
    </w:p>
    <w:p w14:paraId="256306FD" w14:textId="77777777" w:rsidR="00B51ED1" w:rsidRPr="00FB2D4A" w:rsidRDefault="00B51ED1" w:rsidP="00B51ED1">
      <w:r>
        <w:t xml:space="preserve">The tablet formulation was used in the pivotal HER2CLIMB </w:t>
      </w:r>
      <w:r w:rsidR="00886669">
        <w:t>trial</w:t>
      </w:r>
      <w:r>
        <w:t>.</w:t>
      </w:r>
    </w:p>
    <w:p w14:paraId="630FDE0B" w14:textId="7D07CF50" w:rsidR="00B51ED1" w:rsidRDefault="00B51ED1" w:rsidP="00886669">
      <w:pPr>
        <w:pStyle w:val="TableTitle"/>
      </w:pPr>
      <w:bookmarkStart w:id="43" w:name="_Ref39052206"/>
      <w:r>
        <w:t xml:space="preserve">Table </w:t>
      </w:r>
      <w:fldSimple w:instr=" SEQ Table \* ARABIC ">
        <w:r w:rsidR="00F979FB">
          <w:rPr>
            <w:noProof/>
          </w:rPr>
          <w:t>4</w:t>
        </w:r>
      </w:fldSimple>
      <w:bookmarkEnd w:id="43"/>
      <w:r w:rsidR="00886669">
        <w:t>:</w:t>
      </w:r>
      <w:r>
        <w:t xml:space="preserve"> S</w:t>
      </w:r>
      <w:r w:rsidR="00886669">
        <w:t>ummary of clinical dose findings</w:t>
      </w:r>
    </w:p>
    <w:tbl>
      <w:tblPr>
        <w:tblStyle w:val="TableTGAblue"/>
        <w:tblW w:w="5000" w:type="pct"/>
        <w:tblCellMar>
          <w:left w:w="57" w:type="dxa"/>
          <w:right w:w="57" w:type="dxa"/>
        </w:tblCellMar>
        <w:tblLook w:val="04A0" w:firstRow="1" w:lastRow="0" w:firstColumn="1" w:lastColumn="0" w:noHBand="0" w:noVBand="1"/>
      </w:tblPr>
      <w:tblGrid>
        <w:gridCol w:w="3818"/>
        <w:gridCol w:w="4666"/>
      </w:tblGrid>
      <w:tr w:rsidR="00B51ED1" w:rsidRPr="00FB1752" w14:paraId="18348F2D" w14:textId="77777777" w:rsidTr="007E6EF0">
        <w:trPr>
          <w:cnfStyle w:val="100000000000" w:firstRow="1" w:lastRow="0" w:firstColumn="0" w:lastColumn="0" w:oddVBand="0" w:evenVBand="0" w:oddHBand="0" w:evenHBand="0" w:firstRowFirstColumn="0" w:firstRowLastColumn="0" w:lastRowFirstColumn="0" w:lastRowLastColumn="0"/>
          <w:trHeight w:val="211"/>
        </w:trPr>
        <w:tc>
          <w:tcPr>
            <w:tcW w:w="2250" w:type="pct"/>
          </w:tcPr>
          <w:p w14:paraId="72C6266F" w14:textId="77777777" w:rsidR="00B51ED1" w:rsidRPr="00FB1752" w:rsidRDefault="00B51ED1" w:rsidP="00FB1752">
            <w:pPr>
              <w:rPr>
                <w:sz w:val="20"/>
                <w:szCs w:val="20"/>
              </w:rPr>
            </w:pPr>
            <w:r w:rsidRPr="00FB1752">
              <w:rPr>
                <w:sz w:val="20"/>
                <w:szCs w:val="20"/>
              </w:rPr>
              <w:t>Parameter</w:t>
            </w:r>
          </w:p>
        </w:tc>
        <w:tc>
          <w:tcPr>
            <w:tcW w:w="2750" w:type="pct"/>
          </w:tcPr>
          <w:p w14:paraId="36BD5361" w14:textId="77777777" w:rsidR="00B51ED1" w:rsidRPr="00FB1752" w:rsidRDefault="00B51ED1" w:rsidP="00FB1752">
            <w:pPr>
              <w:rPr>
                <w:sz w:val="20"/>
                <w:szCs w:val="20"/>
              </w:rPr>
            </w:pPr>
            <w:r w:rsidRPr="00FB1752">
              <w:rPr>
                <w:sz w:val="20"/>
                <w:szCs w:val="20"/>
              </w:rPr>
              <w:t>Details</w:t>
            </w:r>
          </w:p>
        </w:tc>
      </w:tr>
      <w:tr w:rsidR="00B51ED1" w:rsidRPr="00FB1752" w14:paraId="79D4DBC7" w14:textId="77777777" w:rsidTr="007E6EF0">
        <w:trPr>
          <w:trHeight w:val="208"/>
        </w:trPr>
        <w:tc>
          <w:tcPr>
            <w:tcW w:w="2250" w:type="pct"/>
          </w:tcPr>
          <w:p w14:paraId="33656A25" w14:textId="77777777" w:rsidR="00B51ED1" w:rsidRPr="00FB1752" w:rsidRDefault="00B51ED1" w:rsidP="00FB1752">
            <w:pPr>
              <w:rPr>
                <w:b/>
                <w:sz w:val="20"/>
                <w:szCs w:val="20"/>
              </w:rPr>
            </w:pPr>
            <w:r w:rsidRPr="00FB1752">
              <w:rPr>
                <w:b/>
                <w:sz w:val="20"/>
                <w:szCs w:val="20"/>
              </w:rPr>
              <w:t>Proposed dose regimen</w:t>
            </w:r>
          </w:p>
        </w:tc>
        <w:tc>
          <w:tcPr>
            <w:tcW w:w="2750" w:type="pct"/>
          </w:tcPr>
          <w:p w14:paraId="54A5DB24" w14:textId="77777777" w:rsidR="00B51ED1" w:rsidRPr="00FB1752" w:rsidRDefault="00B51ED1" w:rsidP="00FB1752">
            <w:pPr>
              <w:rPr>
                <w:sz w:val="20"/>
                <w:szCs w:val="20"/>
              </w:rPr>
            </w:pPr>
            <w:r w:rsidRPr="00FB1752">
              <w:rPr>
                <w:sz w:val="20"/>
                <w:szCs w:val="20"/>
              </w:rPr>
              <w:t>300 mg BD (tablet)</w:t>
            </w:r>
          </w:p>
        </w:tc>
      </w:tr>
      <w:tr w:rsidR="00B51ED1" w:rsidRPr="00FB1752" w14:paraId="170EAEA6" w14:textId="77777777" w:rsidTr="007E6EF0">
        <w:trPr>
          <w:trHeight w:val="75"/>
        </w:trPr>
        <w:tc>
          <w:tcPr>
            <w:tcW w:w="2250" w:type="pct"/>
          </w:tcPr>
          <w:p w14:paraId="76004A1D" w14:textId="77777777" w:rsidR="00B51ED1" w:rsidRPr="00FB1752" w:rsidRDefault="00B51ED1" w:rsidP="00FB1752">
            <w:pPr>
              <w:rPr>
                <w:b/>
                <w:sz w:val="20"/>
                <w:szCs w:val="20"/>
              </w:rPr>
            </w:pPr>
            <w:r w:rsidRPr="00FB1752">
              <w:rPr>
                <w:b/>
                <w:sz w:val="20"/>
                <w:szCs w:val="20"/>
              </w:rPr>
              <w:t>Maximum dose tested</w:t>
            </w:r>
          </w:p>
        </w:tc>
        <w:tc>
          <w:tcPr>
            <w:tcW w:w="2750" w:type="pct"/>
          </w:tcPr>
          <w:p w14:paraId="04283F3D" w14:textId="77777777" w:rsidR="00B51ED1" w:rsidRPr="00FB1752" w:rsidRDefault="00B51ED1" w:rsidP="00FB1752">
            <w:pPr>
              <w:rPr>
                <w:sz w:val="20"/>
                <w:szCs w:val="20"/>
              </w:rPr>
            </w:pPr>
            <w:r w:rsidRPr="00FB1752">
              <w:rPr>
                <w:sz w:val="20"/>
                <w:szCs w:val="20"/>
              </w:rPr>
              <w:t>350 mg BD (tablet) / 800 mg BD (PIC)</w:t>
            </w:r>
          </w:p>
        </w:tc>
      </w:tr>
      <w:tr w:rsidR="00B51ED1" w:rsidRPr="00FB1752" w14:paraId="33ED1858" w14:textId="77777777" w:rsidTr="007E6EF0">
        <w:trPr>
          <w:trHeight w:val="252"/>
        </w:trPr>
        <w:tc>
          <w:tcPr>
            <w:tcW w:w="2250" w:type="pct"/>
          </w:tcPr>
          <w:p w14:paraId="294EE595" w14:textId="77777777" w:rsidR="00B51ED1" w:rsidRPr="00FB1752" w:rsidRDefault="00B51ED1" w:rsidP="00FB1752">
            <w:pPr>
              <w:rPr>
                <w:b/>
                <w:sz w:val="20"/>
                <w:szCs w:val="20"/>
              </w:rPr>
            </w:pPr>
            <w:r w:rsidRPr="00FB1752">
              <w:rPr>
                <w:b/>
                <w:sz w:val="20"/>
                <w:szCs w:val="20"/>
              </w:rPr>
              <w:t xml:space="preserve">Maximum tolerated clinical dose </w:t>
            </w:r>
          </w:p>
        </w:tc>
        <w:tc>
          <w:tcPr>
            <w:tcW w:w="2750" w:type="pct"/>
          </w:tcPr>
          <w:p w14:paraId="52CA3F59" w14:textId="77777777" w:rsidR="00B51ED1" w:rsidRPr="00FB1752" w:rsidRDefault="00B51ED1" w:rsidP="00FB1752">
            <w:pPr>
              <w:rPr>
                <w:sz w:val="20"/>
                <w:szCs w:val="20"/>
              </w:rPr>
            </w:pPr>
            <w:r w:rsidRPr="00FB1752">
              <w:rPr>
                <w:sz w:val="20"/>
                <w:szCs w:val="20"/>
              </w:rPr>
              <w:t>300 mg BD (tablet) / 600 mg BD (PIC)</w:t>
            </w:r>
          </w:p>
        </w:tc>
      </w:tr>
      <w:tr w:rsidR="00B51ED1" w:rsidRPr="00FB1752" w14:paraId="4C71B614" w14:textId="77777777" w:rsidTr="007E6EF0">
        <w:trPr>
          <w:trHeight w:val="334"/>
        </w:trPr>
        <w:tc>
          <w:tcPr>
            <w:tcW w:w="2250" w:type="pct"/>
          </w:tcPr>
          <w:p w14:paraId="29CBA7BC" w14:textId="77777777" w:rsidR="00B51ED1" w:rsidRPr="00FB1752" w:rsidRDefault="00B51ED1" w:rsidP="00FB1752">
            <w:pPr>
              <w:rPr>
                <w:b/>
                <w:sz w:val="20"/>
                <w:szCs w:val="20"/>
              </w:rPr>
            </w:pPr>
            <w:r w:rsidRPr="00FB1752">
              <w:rPr>
                <w:b/>
                <w:sz w:val="20"/>
                <w:szCs w:val="20"/>
              </w:rPr>
              <w:t>Principal adverse events</w:t>
            </w:r>
          </w:p>
        </w:tc>
        <w:tc>
          <w:tcPr>
            <w:tcW w:w="2750" w:type="pct"/>
          </w:tcPr>
          <w:p w14:paraId="04EEA0E1" w14:textId="77777777" w:rsidR="00B51ED1" w:rsidRPr="00FB1752" w:rsidRDefault="00B51ED1" w:rsidP="00FB1752">
            <w:pPr>
              <w:rPr>
                <w:sz w:val="20"/>
                <w:szCs w:val="20"/>
              </w:rPr>
            </w:pPr>
            <w:r w:rsidRPr="00FB1752">
              <w:rPr>
                <w:sz w:val="20"/>
                <w:szCs w:val="20"/>
              </w:rPr>
              <w:t>Most common: diarrhoea, nausea, f</w:t>
            </w:r>
            <w:r w:rsidR="001E0BE3" w:rsidRPr="00FB1752">
              <w:rPr>
                <w:sz w:val="20"/>
                <w:szCs w:val="20"/>
              </w:rPr>
              <w:t>atigue</w:t>
            </w:r>
          </w:p>
          <w:p w14:paraId="519E9973" w14:textId="77777777" w:rsidR="00B51ED1" w:rsidRPr="00FB1752" w:rsidRDefault="00B51ED1" w:rsidP="00FB1752">
            <w:pPr>
              <w:rPr>
                <w:sz w:val="20"/>
                <w:szCs w:val="20"/>
              </w:rPr>
            </w:pPr>
            <w:r w:rsidRPr="00FB1752">
              <w:rPr>
                <w:sz w:val="20"/>
                <w:szCs w:val="20"/>
              </w:rPr>
              <w:t>Dose limiting: elevated liver transaminases</w:t>
            </w:r>
          </w:p>
        </w:tc>
      </w:tr>
    </w:tbl>
    <w:p w14:paraId="41630D49" w14:textId="77777777" w:rsidR="00B51ED1" w:rsidRDefault="00FB0B92" w:rsidP="00B51ED1">
      <w:pPr>
        <w:pStyle w:val="Heading5"/>
      </w:pPr>
      <w:r>
        <w:t>Pharmacokinetics</w:t>
      </w:r>
    </w:p>
    <w:p w14:paraId="10017234" w14:textId="1FE8E592" w:rsidR="00EE3732" w:rsidRPr="00EE3732" w:rsidRDefault="00EE3732" w:rsidP="00EE3732">
      <w:r>
        <w:t xml:space="preserve">A summary of the PK findings is shown in </w:t>
      </w:r>
      <w:r>
        <w:fldChar w:fldCharType="begin"/>
      </w:r>
      <w:r>
        <w:instrText xml:space="preserve"> REF _Ref65583004 \h </w:instrText>
      </w:r>
      <w:r>
        <w:fldChar w:fldCharType="separate"/>
      </w:r>
      <w:r w:rsidR="00F979FB">
        <w:t xml:space="preserve">Table </w:t>
      </w:r>
      <w:r w:rsidR="00F979FB">
        <w:rPr>
          <w:noProof/>
        </w:rPr>
        <w:t>5</w:t>
      </w:r>
      <w:r>
        <w:fldChar w:fldCharType="end"/>
      </w:r>
      <w:r>
        <w:t>.</w:t>
      </w:r>
    </w:p>
    <w:p w14:paraId="2286EFB6" w14:textId="2FB93362" w:rsidR="00ED2CCD" w:rsidRPr="00886669" w:rsidRDefault="00FB0B92" w:rsidP="00FB0B92">
      <w:pPr>
        <w:pStyle w:val="TableTitle"/>
      </w:pPr>
      <w:bookmarkStart w:id="44" w:name="_Ref65583004"/>
      <w:r>
        <w:t xml:space="preserve">Table </w:t>
      </w:r>
      <w:fldSimple w:instr=" SEQ Table \* ARABIC ">
        <w:r w:rsidR="00F979FB">
          <w:rPr>
            <w:noProof/>
          </w:rPr>
          <w:t>5</w:t>
        </w:r>
      </w:fldSimple>
      <w:bookmarkEnd w:id="44"/>
      <w:r>
        <w:t xml:space="preserve">: </w:t>
      </w:r>
      <w:r w:rsidR="00ED2CCD" w:rsidRPr="00ED2CCD">
        <w:t>Pharmac</w:t>
      </w:r>
      <w:r>
        <w:t>okinetics summary for tucatinib</w:t>
      </w:r>
    </w:p>
    <w:tbl>
      <w:tblPr>
        <w:tblStyle w:val="TableTGAblue"/>
        <w:tblW w:w="5000" w:type="pct"/>
        <w:tblLook w:val="04A0" w:firstRow="1" w:lastRow="0" w:firstColumn="1" w:lastColumn="0" w:noHBand="0" w:noVBand="1"/>
      </w:tblPr>
      <w:tblGrid>
        <w:gridCol w:w="1660"/>
        <w:gridCol w:w="6824"/>
      </w:tblGrid>
      <w:tr w:rsidR="00B51ED1" w:rsidRPr="005D0EEE" w14:paraId="1909E94F" w14:textId="77777777" w:rsidTr="007E6EF0">
        <w:trPr>
          <w:cnfStyle w:val="100000000000" w:firstRow="1" w:lastRow="0" w:firstColumn="0" w:lastColumn="0" w:oddVBand="0" w:evenVBand="0" w:oddHBand="0" w:evenHBand="0" w:firstRowFirstColumn="0" w:firstRowLastColumn="0" w:lastRowFirstColumn="0" w:lastRowLastColumn="0"/>
          <w:trHeight w:val="211"/>
        </w:trPr>
        <w:tc>
          <w:tcPr>
            <w:tcW w:w="978" w:type="pct"/>
          </w:tcPr>
          <w:p w14:paraId="2DA6E326" w14:textId="77777777" w:rsidR="00B51ED1" w:rsidRPr="001E0BE3" w:rsidRDefault="00B51ED1" w:rsidP="00F979FB">
            <w:r w:rsidRPr="00A90F5F">
              <w:t>Parameter</w:t>
            </w:r>
          </w:p>
        </w:tc>
        <w:tc>
          <w:tcPr>
            <w:tcW w:w="4022" w:type="pct"/>
          </w:tcPr>
          <w:p w14:paraId="7664EDF6" w14:textId="77777777" w:rsidR="00B51ED1" w:rsidRPr="005D0EEE" w:rsidRDefault="00B51ED1" w:rsidP="00F979FB">
            <w:r w:rsidRPr="00A90F5F">
              <w:t>Details</w:t>
            </w:r>
          </w:p>
        </w:tc>
      </w:tr>
      <w:tr w:rsidR="00B51ED1" w:rsidRPr="005D0EEE" w14:paraId="08501853" w14:textId="77777777" w:rsidTr="007E6EF0">
        <w:trPr>
          <w:trHeight w:val="2068"/>
        </w:trPr>
        <w:tc>
          <w:tcPr>
            <w:tcW w:w="978" w:type="pct"/>
          </w:tcPr>
          <w:p w14:paraId="2C4847C1" w14:textId="77777777" w:rsidR="00B51ED1" w:rsidRPr="001E0BE3" w:rsidRDefault="00B51ED1" w:rsidP="001E0BE3">
            <w:pPr>
              <w:ind w:left="0"/>
              <w:rPr>
                <w:b/>
                <w:sz w:val="20"/>
                <w:szCs w:val="20"/>
              </w:rPr>
            </w:pPr>
            <w:r w:rsidRPr="001E0BE3">
              <w:rPr>
                <w:b/>
                <w:sz w:val="20"/>
                <w:szCs w:val="20"/>
              </w:rPr>
              <w:t>Exposure at the therapeutic dose</w:t>
            </w:r>
          </w:p>
        </w:tc>
        <w:tc>
          <w:tcPr>
            <w:tcW w:w="4022" w:type="pct"/>
          </w:tcPr>
          <w:p w14:paraId="6BF57899" w14:textId="77777777" w:rsidR="00B51ED1" w:rsidRPr="00EE52B7" w:rsidRDefault="00B51ED1" w:rsidP="00EE52B7">
            <w:pPr>
              <w:ind w:left="0"/>
              <w:rPr>
                <w:sz w:val="20"/>
                <w:szCs w:val="20"/>
              </w:rPr>
            </w:pPr>
            <w:r w:rsidRPr="00EE52B7">
              <w:rPr>
                <w:sz w:val="20"/>
                <w:szCs w:val="20"/>
              </w:rPr>
              <w:t>Geometric mean exposure with the tablet formulation at a 300 mg dose:</w:t>
            </w:r>
          </w:p>
          <w:p w14:paraId="43207C58" w14:textId="77777777" w:rsidR="00B51ED1" w:rsidRPr="00EE52B7" w:rsidRDefault="0047148F" w:rsidP="001E0BE3">
            <w:pPr>
              <w:pStyle w:val="ListBullet"/>
              <w:rPr>
                <w:sz w:val="20"/>
                <w:szCs w:val="20"/>
              </w:rPr>
            </w:pPr>
            <w:r w:rsidRPr="00EE52B7">
              <w:rPr>
                <w:sz w:val="20"/>
                <w:szCs w:val="20"/>
              </w:rPr>
              <w:t>Single dose:</w:t>
            </w:r>
          </w:p>
          <w:p w14:paraId="504F1210" w14:textId="77777777" w:rsidR="00B51ED1" w:rsidRPr="00EE52B7" w:rsidRDefault="0047148F" w:rsidP="001E0BE3">
            <w:pPr>
              <w:pStyle w:val="ListBullet2"/>
              <w:rPr>
                <w:sz w:val="20"/>
                <w:szCs w:val="20"/>
              </w:rPr>
            </w:pPr>
            <w:r w:rsidRPr="00EE52B7">
              <w:rPr>
                <w:sz w:val="20"/>
                <w:szCs w:val="20"/>
              </w:rPr>
              <w:t>Area under the plasma concentration time curve from time zero to infinity (</w:t>
            </w:r>
            <w:r w:rsidR="00B51ED1" w:rsidRPr="00EE52B7">
              <w:rPr>
                <w:sz w:val="20"/>
                <w:szCs w:val="20"/>
              </w:rPr>
              <w:t>AUC</w:t>
            </w:r>
            <w:r w:rsidR="00B51ED1" w:rsidRPr="00EE52B7">
              <w:rPr>
                <w:sz w:val="20"/>
                <w:szCs w:val="20"/>
                <w:vertAlign w:val="subscript"/>
              </w:rPr>
              <w:t>inf</w:t>
            </w:r>
            <w:r w:rsidRPr="00EE52B7">
              <w:rPr>
                <w:sz w:val="20"/>
                <w:szCs w:val="20"/>
              </w:rPr>
              <w:t>)</w:t>
            </w:r>
            <w:r w:rsidR="00B51ED1" w:rsidRPr="00EE52B7">
              <w:rPr>
                <w:sz w:val="20"/>
                <w:szCs w:val="20"/>
              </w:rPr>
              <w:t xml:space="preserve"> (</w:t>
            </w:r>
            <w:r w:rsidRPr="00EE52B7">
              <w:rPr>
                <w:sz w:val="20"/>
                <w:szCs w:val="20"/>
              </w:rPr>
              <w:t>coefficient of variation (</w:t>
            </w:r>
            <w:r w:rsidR="00B51ED1" w:rsidRPr="00EE52B7">
              <w:rPr>
                <w:sz w:val="20"/>
                <w:szCs w:val="20"/>
              </w:rPr>
              <w:t>CV</w:t>
            </w:r>
            <w:r w:rsidRPr="00EE52B7">
              <w:rPr>
                <w:sz w:val="20"/>
                <w:szCs w:val="20"/>
              </w:rPr>
              <w:t>)): 2480 </w:t>
            </w:r>
            <w:r w:rsidR="00B51ED1" w:rsidRPr="00EE52B7">
              <w:rPr>
                <w:sz w:val="20"/>
                <w:szCs w:val="20"/>
              </w:rPr>
              <w:t>h*ng/mL (38.5%)</w:t>
            </w:r>
          </w:p>
          <w:p w14:paraId="0474BE57" w14:textId="77777777" w:rsidR="00B51ED1" w:rsidRPr="00EE52B7" w:rsidRDefault="0047148F" w:rsidP="001E0BE3">
            <w:pPr>
              <w:pStyle w:val="ListBullet2"/>
              <w:rPr>
                <w:sz w:val="20"/>
                <w:szCs w:val="20"/>
              </w:rPr>
            </w:pPr>
            <w:r w:rsidRPr="00EE52B7">
              <w:rPr>
                <w:sz w:val="20"/>
                <w:szCs w:val="20"/>
              </w:rPr>
              <w:t xml:space="preserve">Maximum plasma concentration </w:t>
            </w:r>
            <w:r w:rsidR="00F42805">
              <w:rPr>
                <w:sz w:val="20"/>
                <w:szCs w:val="20"/>
              </w:rPr>
              <w:t>(</w:t>
            </w:r>
            <w:r w:rsidR="00B51ED1" w:rsidRPr="00EE52B7">
              <w:rPr>
                <w:sz w:val="20"/>
                <w:szCs w:val="20"/>
              </w:rPr>
              <w:t>C</w:t>
            </w:r>
            <w:r w:rsidR="00B51ED1" w:rsidRPr="00EE52B7">
              <w:rPr>
                <w:sz w:val="20"/>
                <w:szCs w:val="20"/>
                <w:vertAlign w:val="subscript"/>
              </w:rPr>
              <w:t>max</w:t>
            </w:r>
            <w:r w:rsidR="00F42805">
              <w:rPr>
                <w:sz w:val="20"/>
                <w:szCs w:val="20"/>
              </w:rPr>
              <w:t>)</w:t>
            </w:r>
            <w:r w:rsidR="00EE52B7">
              <w:rPr>
                <w:sz w:val="20"/>
                <w:szCs w:val="20"/>
              </w:rPr>
              <w:t xml:space="preserve"> (CV): 410 ng/mL (42.3%)</w:t>
            </w:r>
          </w:p>
          <w:p w14:paraId="0DB6D0DF" w14:textId="77777777" w:rsidR="00B51ED1" w:rsidRPr="00EE52B7" w:rsidRDefault="00B51ED1" w:rsidP="001E0BE3">
            <w:pPr>
              <w:pStyle w:val="ListBullet"/>
              <w:rPr>
                <w:sz w:val="20"/>
                <w:szCs w:val="20"/>
              </w:rPr>
            </w:pPr>
            <w:r w:rsidRPr="00EE52B7">
              <w:rPr>
                <w:sz w:val="20"/>
                <w:szCs w:val="20"/>
              </w:rPr>
              <w:t>At steady state with BD dosing (modelled):</w:t>
            </w:r>
          </w:p>
          <w:p w14:paraId="3977B681" w14:textId="77777777" w:rsidR="00B51ED1" w:rsidRPr="00EE52B7" w:rsidRDefault="0047148F" w:rsidP="0047148F">
            <w:pPr>
              <w:pStyle w:val="ListBullet2"/>
              <w:rPr>
                <w:sz w:val="20"/>
                <w:szCs w:val="20"/>
              </w:rPr>
            </w:pPr>
            <w:r w:rsidRPr="00EE52B7">
              <w:rPr>
                <w:sz w:val="20"/>
                <w:szCs w:val="20"/>
              </w:rPr>
              <w:t>Area under plasma concentration-time curve over dosing interval (</w:t>
            </w:r>
            <w:proofErr w:type="spellStart"/>
            <w:r w:rsidR="00B51ED1" w:rsidRPr="00EE52B7">
              <w:rPr>
                <w:sz w:val="20"/>
                <w:szCs w:val="20"/>
              </w:rPr>
              <w:t>AUC</w:t>
            </w:r>
            <w:r w:rsidR="00B51ED1" w:rsidRPr="00EE52B7">
              <w:rPr>
                <w:sz w:val="20"/>
                <w:szCs w:val="20"/>
                <w:vertAlign w:val="subscript"/>
              </w:rPr>
              <w:t>tau</w:t>
            </w:r>
            <w:proofErr w:type="spellEnd"/>
            <w:r w:rsidRPr="00EE52B7">
              <w:rPr>
                <w:sz w:val="20"/>
                <w:szCs w:val="20"/>
              </w:rPr>
              <w:t>)</w:t>
            </w:r>
            <w:r w:rsidR="001E0BE3" w:rsidRPr="00EE52B7">
              <w:rPr>
                <w:sz w:val="20"/>
                <w:szCs w:val="20"/>
              </w:rPr>
              <w:t>: 5234 h*ng/mL</w:t>
            </w:r>
          </w:p>
          <w:p w14:paraId="40A1553F" w14:textId="77777777" w:rsidR="00B51ED1" w:rsidRPr="00EE52B7" w:rsidRDefault="00B51ED1" w:rsidP="001E0BE3">
            <w:pPr>
              <w:pStyle w:val="ListBullet2"/>
              <w:rPr>
                <w:sz w:val="20"/>
                <w:szCs w:val="20"/>
              </w:rPr>
            </w:pPr>
            <w:r w:rsidRPr="00EE52B7">
              <w:rPr>
                <w:sz w:val="20"/>
                <w:szCs w:val="20"/>
              </w:rPr>
              <w:t>C</w:t>
            </w:r>
            <w:r w:rsidRPr="00EE52B7">
              <w:rPr>
                <w:sz w:val="20"/>
                <w:szCs w:val="20"/>
                <w:vertAlign w:val="subscript"/>
              </w:rPr>
              <w:t>max</w:t>
            </w:r>
            <w:r w:rsidRPr="00EE52B7">
              <w:rPr>
                <w:sz w:val="20"/>
                <w:szCs w:val="20"/>
              </w:rPr>
              <w:t>: 630 ng/mL</w:t>
            </w:r>
          </w:p>
        </w:tc>
      </w:tr>
      <w:tr w:rsidR="00B51ED1" w:rsidRPr="005D0EEE" w14:paraId="0E0041B8" w14:textId="77777777" w:rsidTr="007E6EF0">
        <w:trPr>
          <w:trHeight w:val="75"/>
        </w:trPr>
        <w:tc>
          <w:tcPr>
            <w:tcW w:w="978" w:type="pct"/>
          </w:tcPr>
          <w:p w14:paraId="03C1D1BE" w14:textId="77777777" w:rsidR="00B51ED1" w:rsidRPr="001E0BE3" w:rsidRDefault="00B51ED1" w:rsidP="001E0BE3">
            <w:pPr>
              <w:ind w:left="0"/>
              <w:rPr>
                <w:b/>
                <w:sz w:val="20"/>
                <w:szCs w:val="20"/>
              </w:rPr>
            </w:pPr>
            <w:r w:rsidRPr="001E0BE3">
              <w:rPr>
                <w:b/>
                <w:sz w:val="20"/>
                <w:szCs w:val="20"/>
              </w:rPr>
              <w:t>Range of linear PK</w:t>
            </w:r>
          </w:p>
        </w:tc>
        <w:tc>
          <w:tcPr>
            <w:tcW w:w="4022" w:type="pct"/>
          </w:tcPr>
          <w:p w14:paraId="3D98123B" w14:textId="77777777" w:rsidR="00B51ED1" w:rsidRPr="00EE52B7" w:rsidRDefault="001E0BE3" w:rsidP="00EE52B7">
            <w:pPr>
              <w:ind w:left="0"/>
              <w:rPr>
                <w:sz w:val="20"/>
                <w:szCs w:val="20"/>
              </w:rPr>
            </w:pPr>
            <w:r w:rsidRPr="00EE52B7">
              <w:rPr>
                <w:sz w:val="20"/>
                <w:szCs w:val="20"/>
              </w:rPr>
              <w:t>25 to</w:t>
            </w:r>
            <w:r w:rsidR="00B51ED1" w:rsidRPr="00EE52B7">
              <w:rPr>
                <w:sz w:val="20"/>
                <w:szCs w:val="20"/>
              </w:rPr>
              <w:t xml:space="preserve"> 800 mg (PIC) / 50 to 300 mg (tablet)</w:t>
            </w:r>
          </w:p>
        </w:tc>
      </w:tr>
      <w:tr w:rsidR="00B51ED1" w:rsidRPr="005D0EEE" w14:paraId="08D20569" w14:textId="77777777" w:rsidTr="007E6EF0">
        <w:trPr>
          <w:trHeight w:val="252"/>
        </w:trPr>
        <w:tc>
          <w:tcPr>
            <w:tcW w:w="978" w:type="pct"/>
          </w:tcPr>
          <w:p w14:paraId="3AE5F2FB" w14:textId="77777777" w:rsidR="00B51ED1" w:rsidRPr="001E0BE3" w:rsidRDefault="00B51ED1" w:rsidP="001E0BE3">
            <w:pPr>
              <w:ind w:left="0"/>
              <w:rPr>
                <w:b/>
                <w:sz w:val="20"/>
                <w:szCs w:val="20"/>
              </w:rPr>
            </w:pPr>
            <w:r w:rsidRPr="001E0BE3">
              <w:rPr>
                <w:b/>
                <w:sz w:val="20"/>
                <w:szCs w:val="20"/>
              </w:rPr>
              <w:t xml:space="preserve">Accumulation at steady-state </w:t>
            </w:r>
          </w:p>
        </w:tc>
        <w:tc>
          <w:tcPr>
            <w:tcW w:w="4022" w:type="pct"/>
          </w:tcPr>
          <w:p w14:paraId="22A7576F" w14:textId="4D8F7AE1" w:rsidR="00B51ED1" w:rsidRPr="00EE52B7" w:rsidRDefault="001E0BE3" w:rsidP="00EE52B7">
            <w:pPr>
              <w:ind w:left="0"/>
              <w:rPr>
                <w:sz w:val="20"/>
                <w:szCs w:val="20"/>
              </w:rPr>
            </w:pPr>
            <w:r w:rsidRPr="00EE52B7">
              <w:rPr>
                <w:sz w:val="20"/>
                <w:szCs w:val="20"/>
              </w:rPr>
              <w:t>Area under the plasma concentration time curve (</w:t>
            </w:r>
            <w:r w:rsidR="00B51ED1" w:rsidRPr="00EE52B7">
              <w:rPr>
                <w:sz w:val="20"/>
                <w:szCs w:val="20"/>
              </w:rPr>
              <w:t>AUC</w:t>
            </w:r>
            <w:r w:rsidRPr="00EE52B7">
              <w:rPr>
                <w:sz w:val="20"/>
                <w:szCs w:val="20"/>
              </w:rPr>
              <w:t xml:space="preserve">) </w:t>
            </w:r>
            <w:r w:rsidR="00B51ED1" w:rsidRPr="00EE52B7">
              <w:rPr>
                <w:sz w:val="20"/>
                <w:szCs w:val="20"/>
              </w:rPr>
              <w:t>=</w:t>
            </w:r>
            <w:r w:rsidRPr="00EE52B7">
              <w:rPr>
                <w:sz w:val="20"/>
                <w:szCs w:val="20"/>
              </w:rPr>
              <w:t xml:space="preserve"> 1.72 </w:t>
            </w:r>
            <w:r w:rsidR="00B51ED1" w:rsidRPr="00EE52B7">
              <w:rPr>
                <w:sz w:val="20"/>
                <w:szCs w:val="20"/>
              </w:rPr>
              <w:t>fold; C</w:t>
            </w:r>
            <w:r w:rsidR="00B51ED1" w:rsidRPr="00EE52B7">
              <w:rPr>
                <w:sz w:val="20"/>
                <w:szCs w:val="20"/>
                <w:vertAlign w:val="subscript"/>
              </w:rPr>
              <w:t>max</w:t>
            </w:r>
            <w:r w:rsidR="00A90F5F">
              <w:rPr>
                <w:sz w:val="20"/>
                <w:szCs w:val="20"/>
              </w:rPr>
              <w:t> </w:t>
            </w:r>
            <w:r w:rsidRPr="00EE52B7">
              <w:rPr>
                <w:sz w:val="20"/>
                <w:szCs w:val="20"/>
              </w:rPr>
              <w:t>=</w:t>
            </w:r>
            <w:r w:rsidR="00A90F5F">
              <w:rPr>
                <w:sz w:val="20"/>
                <w:szCs w:val="20"/>
              </w:rPr>
              <w:t> </w:t>
            </w:r>
            <w:r w:rsidRPr="00EE52B7">
              <w:rPr>
                <w:sz w:val="20"/>
                <w:szCs w:val="20"/>
              </w:rPr>
              <w:t xml:space="preserve">1.52 </w:t>
            </w:r>
            <w:r w:rsidR="00B51ED1" w:rsidRPr="00EE52B7">
              <w:rPr>
                <w:sz w:val="20"/>
                <w:szCs w:val="20"/>
              </w:rPr>
              <w:t>fold (300 mg BD tablet)</w:t>
            </w:r>
          </w:p>
        </w:tc>
      </w:tr>
      <w:tr w:rsidR="00B51ED1" w:rsidRPr="005D0EEE" w14:paraId="2283BB89" w14:textId="77777777" w:rsidTr="007E6EF0">
        <w:trPr>
          <w:trHeight w:val="252"/>
        </w:trPr>
        <w:tc>
          <w:tcPr>
            <w:tcW w:w="978" w:type="pct"/>
          </w:tcPr>
          <w:p w14:paraId="7C263694" w14:textId="77777777" w:rsidR="00B51ED1" w:rsidRPr="001E0BE3" w:rsidRDefault="00B51ED1" w:rsidP="001E0BE3">
            <w:pPr>
              <w:ind w:left="0"/>
              <w:rPr>
                <w:b/>
                <w:sz w:val="20"/>
                <w:szCs w:val="20"/>
              </w:rPr>
            </w:pPr>
            <w:r w:rsidRPr="001E0BE3">
              <w:rPr>
                <w:b/>
                <w:sz w:val="20"/>
                <w:szCs w:val="20"/>
              </w:rPr>
              <w:t>Absorption</w:t>
            </w:r>
          </w:p>
        </w:tc>
        <w:tc>
          <w:tcPr>
            <w:tcW w:w="4022" w:type="pct"/>
          </w:tcPr>
          <w:p w14:paraId="6108B6C3" w14:textId="77777777" w:rsidR="00B51ED1" w:rsidRPr="00EE52B7" w:rsidRDefault="004F5578" w:rsidP="00EE52B7">
            <w:pPr>
              <w:ind w:left="0"/>
              <w:rPr>
                <w:sz w:val="20"/>
                <w:szCs w:val="20"/>
              </w:rPr>
            </w:pPr>
            <w:r w:rsidRPr="00EE52B7">
              <w:rPr>
                <w:sz w:val="20"/>
                <w:szCs w:val="20"/>
              </w:rPr>
              <w:t>Absolute bioavailability</w:t>
            </w:r>
            <w:r w:rsidR="00B51ED1" w:rsidRPr="00EE52B7">
              <w:rPr>
                <w:sz w:val="20"/>
                <w:szCs w:val="20"/>
              </w:rPr>
              <w:t xml:space="preserve"> not known (</w:t>
            </w:r>
            <w:r w:rsidR="00D47EC3" w:rsidRPr="00EE52B7">
              <w:rPr>
                <w:sz w:val="20"/>
                <w:szCs w:val="20"/>
              </w:rPr>
              <w:t xml:space="preserve">intravenous </w:t>
            </w:r>
            <w:r w:rsidR="00B51ED1" w:rsidRPr="00EE52B7">
              <w:rPr>
                <w:sz w:val="20"/>
                <w:szCs w:val="20"/>
              </w:rPr>
              <w:t>tu</w:t>
            </w:r>
            <w:r w:rsidRPr="00EE52B7">
              <w:rPr>
                <w:sz w:val="20"/>
                <w:szCs w:val="20"/>
              </w:rPr>
              <w:t xml:space="preserve">catinib </w:t>
            </w:r>
            <w:r w:rsidR="00B51ED1" w:rsidRPr="00EE52B7">
              <w:rPr>
                <w:sz w:val="20"/>
                <w:szCs w:val="20"/>
              </w:rPr>
              <w:t>not studied).</w:t>
            </w:r>
          </w:p>
          <w:p w14:paraId="26583F5E" w14:textId="77777777" w:rsidR="00B51ED1" w:rsidRPr="00EE52B7" w:rsidRDefault="004F5578" w:rsidP="00EE52B7">
            <w:pPr>
              <w:ind w:left="0"/>
              <w:rPr>
                <w:sz w:val="20"/>
                <w:szCs w:val="20"/>
              </w:rPr>
            </w:pPr>
            <w:r w:rsidRPr="00EE52B7">
              <w:rPr>
                <w:sz w:val="20"/>
                <w:szCs w:val="20"/>
              </w:rPr>
              <w:t>Median (range)</w:t>
            </w:r>
            <w:r w:rsidR="00B51ED1" w:rsidRPr="00EE52B7">
              <w:rPr>
                <w:sz w:val="20"/>
                <w:szCs w:val="20"/>
              </w:rPr>
              <w:t xml:space="preserve"> </w:t>
            </w:r>
            <w:r w:rsidRPr="00EE52B7">
              <w:rPr>
                <w:sz w:val="20"/>
                <w:szCs w:val="20"/>
              </w:rPr>
              <w:t>time to maximum plasma concentration (</w:t>
            </w:r>
            <w:r w:rsidR="00B51ED1" w:rsidRPr="00EE52B7">
              <w:rPr>
                <w:sz w:val="20"/>
                <w:szCs w:val="20"/>
              </w:rPr>
              <w:t>T</w:t>
            </w:r>
            <w:r w:rsidR="00B51ED1" w:rsidRPr="00EE52B7">
              <w:rPr>
                <w:sz w:val="20"/>
                <w:szCs w:val="20"/>
                <w:vertAlign w:val="subscript"/>
              </w:rPr>
              <w:t>max</w:t>
            </w:r>
            <w:r w:rsidRPr="00EE52B7">
              <w:rPr>
                <w:sz w:val="20"/>
                <w:szCs w:val="20"/>
              </w:rPr>
              <w:t>) = 2 (1 to 4)</w:t>
            </w:r>
            <w:r w:rsidR="00B51ED1" w:rsidRPr="00EE52B7">
              <w:rPr>
                <w:sz w:val="20"/>
                <w:szCs w:val="20"/>
              </w:rPr>
              <w:t xml:space="preserve"> hours (300 mg tablet)</w:t>
            </w:r>
          </w:p>
        </w:tc>
      </w:tr>
      <w:tr w:rsidR="00B51ED1" w:rsidRPr="005D0EEE" w14:paraId="535007C1" w14:textId="77777777" w:rsidTr="007E6EF0">
        <w:trPr>
          <w:trHeight w:val="252"/>
        </w:trPr>
        <w:tc>
          <w:tcPr>
            <w:tcW w:w="978" w:type="pct"/>
          </w:tcPr>
          <w:p w14:paraId="32BE4E10" w14:textId="77777777" w:rsidR="00B51ED1" w:rsidRPr="001E0BE3" w:rsidRDefault="00B51ED1" w:rsidP="001E0BE3">
            <w:pPr>
              <w:ind w:left="0"/>
              <w:rPr>
                <w:b/>
                <w:sz w:val="20"/>
                <w:szCs w:val="20"/>
              </w:rPr>
            </w:pPr>
            <w:r w:rsidRPr="001E0BE3">
              <w:rPr>
                <w:b/>
                <w:sz w:val="20"/>
                <w:szCs w:val="20"/>
              </w:rPr>
              <w:t>Distribution</w:t>
            </w:r>
          </w:p>
        </w:tc>
        <w:tc>
          <w:tcPr>
            <w:tcW w:w="4022" w:type="pct"/>
          </w:tcPr>
          <w:p w14:paraId="49C586BE" w14:textId="77777777" w:rsidR="00B51ED1" w:rsidRPr="00EE52B7" w:rsidRDefault="0047148F" w:rsidP="00EE52B7">
            <w:pPr>
              <w:ind w:left="0"/>
              <w:rPr>
                <w:sz w:val="20"/>
                <w:szCs w:val="20"/>
              </w:rPr>
            </w:pPr>
            <w:r w:rsidRPr="00EE52B7">
              <w:rPr>
                <w:sz w:val="20"/>
                <w:szCs w:val="20"/>
              </w:rPr>
              <w:t>Apparent volume of distribution at steady state (</w:t>
            </w:r>
            <w:proofErr w:type="spellStart"/>
            <w:r w:rsidR="00B51ED1" w:rsidRPr="00EE52B7">
              <w:rPr>
                <w:sz w:val="20"/>
                <w:szCs w:val="20"/>
              </w:rPr>
              <w:t>V</w:t>
            </w:r>
            <w:r w:rsidR="00B51ED1" w:rsidRPr="00EE52B7">
              <w:rPr>
                <w:sz w:val="20"/>
                <w:szCs w:val="20"/>
                <w:vertAlign w:val="subscript"/>
              </w:rPr>
              <w:t>ss</w:t>
            </w:r>
            <w:proofErr w:type="spellEnd"/>
            <w:r w:rsidR="00B51ED1" w:rsidRPr="00EE52B7">
              <w:rPr>
                <w:sz w:val="20"/>
                <w:szCs w:val="20"/>
              </w:rPr>
              <w:t>/F</w:t>
            </w:r>
            <w:r w:rsidRPr="00EE52B7">
              <w:rPr>
                <w:sz w:val="20"/>
                <w:szCs w:val="20"/>
              </w:rPr>
              <w:t>)</w:t>
            </w:r>
            <w:r w:rsidR="00B51ED1" w:rsidRPr="00EE52B7">
              <w:rPr>
                <w:sz w:val="20"/>
                <w:szCs w:val="20"/>
              </w:rPr>
              <w:t>: 730 L (300 mg tablet)</w:t>
            </w:r>
          </w:p>
          <w:p w14:paraId="39CEF314" w14:textId="77777777" w:rsidR="00B51ED1" w:rsidRPr="00EE52B7" w:rsidRDefault="00B51ED1" w:rsidP="00EE52B7">
            <w:pPr>
              <w:ind w:left="0"/>
              <w:rPr>
                <w:sz w:val="20"/>
                <w:szCs w:val="20"/>
              </w:rPr>
            </w:pPr>
            <w:r w:rsidRPr="00EE52B7">
              <w:rPr>
                <w:sz w:val="20"/>
                <w:szCs w:val="20"/>
              </w:rPr>
              <w:t>97.1% bound in human plasma</w:t>
            </w:r>
          </w:p>
        </w:tc>
      </w:tr>
      <w:tr w:rsidR="00B51ED1" w:rsidRPr="005D0EEE" w14:paraId="7F049C9C" w14:textId="77777777" w:rsidTr="007E6EF0">
        <w:trPr>
          <w:trHeight w:val="252"/>
        </w:trPr>
        <w:tc>
          <w:tcPr>
            <w:tcW w:w="978" w:type="pct"/>
          </w:tcPr>
          <w:p w14:paraId="40464783" w14:textId="77777777" w:rsidR="00B51ED1" w:rsidRPr="001E0BE3" w:rsidRDefault="00B51ED1" w:rsidP="001E0BE3">
            <w:pPr>
              <w:ind w:left="0"/>
              <w:rPr>
                <w:b/>
                <w:sz w:val="20"/>
                <w:szCs w:val="20"/>
              </w:rPr>
            </w:pPr>
            <w:r w:rsidRPr="001E0BE3">
              <w:rPr>
                <w:b/>
                <w:sz w:val="20"/>
                <w:szCs w:val="20"/>
              </w:rPr>
              <w:t>Metabolism</w:t>
            </w:r>
          </w:p>
        </w:tc>
        <w:tc>
          <w:tcPr>
            <w:tcW w:w="4022" w:type="pct"/>
          </w:tcPr>
          <w:p w14:paraId="6332429B" w14:textId="77777777" w:rsidR="00B51ED1" w:rsidRPr="00EE52B7" w:rsidRDefault="0047148F" w:rsidP="00EE52B7">
            <w:pPr>
              <w:ind w:left="0"/>
              <w:rPr>
                <w:sz w:val="20"/>
                <w:szCs w:val="20"/>
              </w:rPr>
            </w:pPr>
            <w:r w:rsidRPr="00EE52B7">
              <w:rPr>
                <w:sz w:val="20"/>
                <w:szCs w:val="20"/>
              </w:rPr>
              <w:t>Metabolised by: CYP2C8 (approximately 75%), CYP3A (approximately</w:t>
            </w:r>
            <w:r w:rsidR="00B51ED1" w:rsidRPr="00EE52B7">
              <w:rPr>
                <w:sz w:val="20"/>
                <w:szCs w:val="20"/>
              </w:rPr>
              <w:t>10%), aldehyde oxidase.</w:t>
            </w:r>
          </w:p>
          <w:p w14:paraId="1A32223B" w14:textId="77777777" w:rsidR="00B51ED1" w:rsidRPr="00EE52B7" w:rsidRDefault="00B51ED1" w:rsidP="00EE52B7">
            <w:pPr>
              <w:ind w:left="0"/>
              <w:rPr>
                <w:sz w:val="20"/>
                <w:szCs w:val="20"/>
              </w:rPr>
            </w:pPr>
            <w:r w:rsidRPr="00EE52B7">
              <w:rPr>
                <w:sz w:val="20"/>
                <w:szCs w:val="20"/>
              </w:rPr>
              <w:t>Enzymes tucatinib inhibits (</w:t>
            </w:r>
            <w:r w:rsidR="0047148F" w:rsidRPr="00EE52B7">
              <w:rPr>
                <w:sz w:val="20"/>
                <w:szCs w:val="20"/>
              </w:rPr>
              <w:t>inhibitory constant (</w:t>
            </w:r>
            <w:r w:rsidRPr="00EE52B7">
              <w:rPr>
                <w:sz w:val="20"/>
                <w:szCs w:val="20"/>
              </w:rPr>
              <w:t>K</w:t>
            </w:r>
            <w:r w:rsidRPr="00EE52B7">
              <w:rPr>
                <w:sz w:val="20"/>
                <w:szCs w:val="20"/>
                <w:vertAlign w:val="subscript"/>
              </w:rPr>
              <w:t>i</w:t>
            </w:r>
            <w:r w:rsidR="0047148F" w:rsidRPr="00EE52B7">
              <w:rPr>
                <w:sz w:val="20"/>
                <w:szCs w:val="20"/>
              </w:rPr>
              <w:t>)</w:t>
            </w:r>
            <w:r w:rsidRPr="00EE52B7">
              <w:rPr>
                <w:sz w:val="20"/>
                <w:szCs w:val="20"/>
              </w:rPr>
              <w:t xml:space="preserve"> in μM): CYP3A (0.8; 0.5 w</w:t>
            </w:r>
            <w:r w:rsidR="0047148F" w:rsidRPr="00EE52B7">
              <w:rPr>
                <w:sz w:val="20"/>
                <w:szCs w:val="20"/>
              </w:rPr>
              <w:t>ith</w:t>
            </w:r>
            <w:r w:rsidRPr="00EE52B7">
              <w:rPr>
                <w:sz w:val="20"/>
                <w:szCs w:val="20"/>
              </w:rPr>
              <w:t xml:space="preserve"> metabolism-dependent inactivation), CYP2C8 (0.2), CYP2C9 (4.6), </w:t>
            </w:r>
            <w:r w:rsidR="0047148F" w:rsidRPr="00EE52B7">
              <w:rPr>
                <w:sz w:val="20"/>
                <w:szCs w:val="20"/>
              </w:rPr>
              <w:t>uridine 5'-diphospho-glucuronosyltransferase (</w:t>
            </w:r>
            <w:r w:rsidRPr="00EE52B7">
              <w:rPr>
                <w:sz w:val="20"/>
                <w:szCs w:val="20"/>
              </w:rPr>
              <w:t>UGT</w:t>
            </w:r>
            <w:r w:rsidR="0047148F" w:rsidRPr="00EE52B7">
              <w:rPr>
                <w:sz w:val="20"/>
                <w:szCs w:val="20"/>
              </w:rPr>
              <w:t>)</w:t>
            </w:r>
            <w:r w:rsidRPr="00EE52B7">
              <w:rPr>
                <w:sz w:val="20"/>
                <w:szCs w:val="20"/>
              </w:rPr>
              <w:t>1A1 (1.8)</w:t>
            </w:r>
          </w:p>
          <w:p w14:paraId="1057F6D2" w14:textId="77777777" w:rsidR="00B51ED1" w:rsidRPr="00EE52B7" w:rsidRDefault="00B51ED1" w:rsidP="00EE52B7">
            <w:pPr>
              <w:ind w:left="0"/>
              <w:rPr>
                <w:sz w:val="20"/>
                <w:szCs w:val="20"/>
              </w:rPr>
            </w:pPr>
            <w:r w:rsidRPr="00EE52B7">
              <w:rPr>
                <w:sz w:val="20"/>
                <w:szCs w:val="20"/>
              </w:rPr>
              <w:t xml:space="preserve">Transported by: </w:t>
            </w:r>
            <w:r w:rsidR="0047148F" w:rsidRPr="00EE52B7">
              <w:rPr>
                <w:sz w:val="20"/>
                <w:szCs w:val="20"/>
              </w:rPr>
              <w:t>P-glycoprotein (P-</w:t>
            </w:r>
            <w:proofErr w:type="spellStart"/>
            <w:r w:rsidR="0047148F" w:rsidRPr="00EE52B7">
              <w:rPr>
                <w:sz w:val="20"/>
                <w:szCs w:val="20"/>
              </w:rPr>
              <w:t>gp</w:t>
            </w:r>
            <w:proofErr w:type="spellEnd"/>
            <w:r w:rsidR="0047148F" w:rsidRPr="00EE52B7">
              <w:rPr>
                <w:sz w:val="20"/>
                <w:szCs w:val="20"/>
              </w:rPr>
              <w:t>)</w:t>
            </w:r>
            <w:r w:rsidRPr="00EE52B7">
              <w:rPr>
                <w:sz w:val="20"/>
                <w:szCs w:val="20"/>
              </w:rPr>
              <w:t xml:space="preserve">, </w:t>
            </w:r>
            <w:r w:rsidR="0047148F" w:rsidRPr="00EE52B7">
              <w:rPr>
                <w:sz w:val="20"/>
                <w:szCs w:val="20"/>
              </w:rPr>
              <w:t>breast cancer resistance protein</w:t>
            </w:r>
          </w:p>
          <w:p w14:paraId="19A49169" w14:textId="77777777" w:rsidR="00B51ED1" w:rsidRPr="00EE52B7" w:rsidRDefault="00B51ED1" w:rsidP="00EE52B7">
            <w:pPr>
              <w:ind w:left="0"/>
              <w:rPr>
                <w:sz w:val="20"/>
                <w:szCs w:val="20"/>
              </w:rPr>
            </w:pPr>
            <w:r w:rsidRPr="00EE52B7">
              <w:rPr>
                <w:sz w:val="20"/>
                <w:szCs w:val="20"/>
              </w:rPr>
              <w:t>Trans</w:t>
            </w:r>
            <w:r w:rsidR="0047148F" w:rsidRPr="00EE52B7">
              <w:rPr>
                <w:sz w:val="20"/>
                <w:szCs w:val="20"/>
              </w:rPr>
              <w:t>porters tucatinib inhibits (for example, substrate)</w:t>
            </w:r>
            <w:r w:rsidRPr="00EE52B7">
              <w:rPr>
                <w:sz w:val="20"/>
                <w:szCs w:val="20"/>
              </w:rPr>
              <w:t xml:space="preserve"> (</w:t>
            </w:r>
            <w:r w:rsidR="0047148F" w:rsidRPr="00EE52B7">
              <w:rPr>
                <w:sz w:val="20"/>
                <w:szCs w:val="20"/>
              </w:rPr>
              <w:t>half maximal inhibitory concentration (</w:t>
            </w:r>
            <w:r w:rsidRPr="00EE52B7">
              <w:rPr>
                <w:sz w:val="20"/>
                <w:szCs w:val="20"/>
              </w:rPr>
              <w:t>IC</w:t>
            </w:r>
            <w:r w:rsidRPr="00EE52B7">
              <w:rPr>
                <w:sz w:val="20"/>
                <w:szCs w:val="20"/>
                <w:vertAlign w:val="subscript"/>
              </w:rPr>
              <w:t>50</w:t>
            </w:r>
            <w:r w:rsidR="0047148F" w:rsidRPr="00EE52B7">
              <w:rPr>
                <w:sz w:val="20"/>
                <w:szCs w:val="20"/>
              </w:rPr>
              <w:t xml:space="preserve">) in μM): </w:t>
            </w:r>
            <w:r w:rsidR="00EA2BA2" w:rsidRPr="00EE52B7">
              <w:rPr>
                <w:sz w:val="20"/>
                <w:szCs w:val="20"/>
              </w:rPr>
              <w:t>organic cation transporter 2</w:t>
            </w:r>
            <w:r w:rsidR="003B200E">
              <w:rPr>
                <w:sz w:val="20"/>
                <w:szCs w:val="20"/>
              </w:rPr>
              <w:t xml:space="preserve"> (OCT2)</w:t>
            </w:r>
            <w:r w:rsidR="0047148F" w:rsidRPr="00EE52B7">
              <w:rPr>
                <w:sz w:val="20"/>
                <w:szCs w:val="20"/>
              </w:rPr>
              <w:t xml:space="preserve"> (metformin) (14.7), multidrug and toxin extrusion protein 1 </w:t>
            </w:r>
            <w:r w:rsidR="00EE52B7" w:rsidRPr="00EE52B7">
              <w:rPr>
                <w:sz w:val="20"/>
                <w:szCs w:val="20"/>
              </w:rPr>
              <w:t>(MATE1)</w:t>
            </w:r>
            <w:r w:rsidR="0047148F" w:rsidRPr="00EE52B7">
              <w:rPr>
                <w:sz w:val="20"/>
                <w:szCs w:val="20"/>
              </w:rPr>
              <w:t>(metformin) (0.3), multidrug and toxin extrusion protein 2 K</w:t>
            </w:r>
            <w:r w:rsidR="00EE52B7" w:rsidRPr="00EE52B7">
              <w:rPr>
                <w:sz w:val="20"/>
                <w:szCs w:val="20"/>
              </w:rPr>
              <w:t xml:space="preserve"> (MATE2-K) </w:t>
            </w:r>
            <w:r w:rsidR="0047148F" w:rsidRPr="00EE52B7">
              <w:rPr>
                <w:sz w:val="20"/>
                <w:szCs w:val="20"/>
              </w:rPr>
              <w:t>(</w:t>
            </w:r>
            <w:r w:rsidRPr="00EE52B7">
              <w:rPr>
                <w:sz w:val="20"/>
                <w:szCs w:val="20"/>
              </w:rPr>
              <w:t>met</w:t>
            </w:r>
            <w:r w:rsidR="0047148F" w:rsidRPr="00EE52B7">
              <w:rPr>
                <w:sz w:val="20"/>
                <w:szCs w:val="20"/>
              </w:rPr>
              <w:t>formin) (0.1), P-</w:t>
            </w:r>
            <w:proofErr w:type="spellStart"/>
            <w:r w:rsidR="0047148F" w:rsidRPr="00EE52B7">
              <w:rPr>
                <w:sz w:val="20"/>
                <w:szCs w:val="20"/>
              </w:rPr>
              <w:t>gp</w:t>
            </w:r>
            <w:proofErr w:type="spellEnd"/>
            <w:r w:rsidR="0047148F" w:rsidRPr="00EE52B7">
              <w:rPr>
                <w:sz w:val="20"/>
                <w:szCs w:val="20"/>
              </w:rPr>
              <w:t xml:space="preserve"> (10 to </w:t>
            </w:r>
            <w:r w:rsidRPr="00EE52B7">
              <w:rPr>
                <w:sz w:val="20"/>
                <w:szCs w:val="20"/>
              </w:rPr>
              <w:t>30)</w:t>
            </w:r>
          </w:p>
          <w:p w14:paraId="596B28AF" w14:textId="77777777" w:rsidR="00B51ED1" w:rsidRPr="00EE52B7" w:rsidRDefault="00B51ED1" w:rsidP="00EE52B7">
            <w:pPr>
              <w:ind w:left="0"/>
              <w:rPr>
                <w:sz w:val="20"/>
                <w:szCs w:val="20"/>
              </w:rPr>
            </w:pPr>
            <w:r w:rsidRPr="00EE52B7">
              <w:rPr>
                <w:sz w:val="20"/>
                <w:szCs w:val="20"/>
              </w:rPr>
              <w:t>There is no major active metabolite in humans. The predominant metabolite (ONT-993) is 2 to 3 times less potent than parent tucatinib as a cytotoxic agent, and the potency-adjusted exposure of ONT-993 is &lt;</w:t>
            </w:r>
            <w:r w:rsidR="00EA2BA2" w:rsidRPr="00EE52B7">
              <w:rPr>
                <w:sz w:val="20"/>
                <w:szCs w:val="20"/>
              </w:rPr>
              <w:t xml:space="preserve"> </w:t>
            </w:r>
            <w:r w:rsidRPr="00EE52B7">
              <w:rPr>
                <w:sz w:val="20"/>
                <w:szCs w:val="20"/>
              </w:rPr>
              <w:t>10% of total pharmacological activity.</w:t>
            </w:r>
          </w:p>
        </w:tc>
      </w:tr>
      <w:tr w:rsidR="00B51ED1" w:rsidRPr="005D0EEE" w14:paraId="49785702" w14:textId="77777777" w:rsidTr="007E6EF0">
        <w:trPr>
          <w:trHeight w:val="252"/>
        </w:trPr>
        <w:tc>
          <w:tcPr>
            <w:tcW w:w="978" w:type="pct"/>
          </w:tcPr>
          <w:p w14:paraId="6EF9011C" w14:textId="77777777" w:rsidR="00B51ED1" w:rsidRPr="001E0BE3" w:rsidRDefault="00B51ED1" w:rsidP="001E0BE3">
            <w:pPr>
              <w:ind w:left="0"/>
              <w:rPr>
                <w:b/>
                <w:sz w:val="20"/>
                <w:szCs w:val="20"/>
              </w:rPr>
            </w:pPr>
            <w:r w:rsidRPr="001E0BE3">
              <w:rPr>
                <w:b/>
                <w:sz w:val="20"/>
                <w:szCs w:val="20"/>
              </w:rPr>
              <w:t>Excretion</w:t>
            </w:r>
          </w:p>
        </w:tc>
        <w:tc>
          <w:tcPr>
            <w:tcW w:w="4022" w:type="pct"/>
          </w:tcPr>
          <w:p w14:paraId="61AC7380" w14:textId="77777777" w:rsidR="00B51ED1" w:rsidRPr="00EE52B7" w:rsidRDefault="00B51ED1" w:rsidP="00EE52B7">
            <w:pPr>
              <w:ind w:left="0"/>
              <w:rPr>
                <w:sz w:val="20"/>
                <w:szCs w:val="20"/>
              </w:rPr>
            </w:pPr>
            <w:r w:rsidRPr="00EE52B7">
              <w:rPr>
                <w:sz w:val="20"/>
                <w:szCs w:val="20"/>
              </w:rPr>
              <w:t>Following administration of nominal 300 mg [</w:t>
            </w:r>
            <w:r w:rsidRPr="00EE52B7">
              <w:rPr>
                <w:sz w:val="20"/>
                <w:szCs w:val="20"/>
                <w:vertAlign w:val="superscript"/>
              </w:rPr>
              <w:t>14</w:t>
            </w:r>
            <w:r w:rsidRPr="00EE52B7">
              <w:rPr>
                <w:sz w:val="20"/>
                <w:szCs w:val="20"/>
              </w:rPr>
              <w:t>C]-tucatinib single oral solution, 85.8% (mean) of dosed radioactivity recovered in faeces and 4.09% (mean) of dosed radioactivity recovered in urine.</w:t>
            </w:r>
          </w:p>
          <w:p w14:paraId="2FD7D7BB" w14:textId="77777777" w:rsidR="00B51ED1" w:rsidRPr="00EE52B7" w:rsidRDefault="00B51ED1" w:rsidP="00EE52B7">
            <w:pPr>
              <w:ind w:left="0"/>
              <w:rPr>
                <w:sz w:val="20"/>
                <w:szCs w:val="20"/>
              </w:rPr>
            </w:pPr>
            <w:r w:rsidRPr="00EE52B7">
              <w:rPr>
                <w:sz w:val="20"/>
                <w:szCs w:val="20"/>
              </w:rPr>
              <w:t>Terminal elimination half-life = 14.9 hours (300 mg tablet)</w:t>
            </w:r>
          </w:p>
          <w:p w14:paraId="067BFFCC" w14:textId="77777777" w:rsidR="00B51ED1" w:rsidRPr="00EE52B7" w:rsidRDefault="00B51ED1" w:rsidP="00EE52B7">
            <w:pPr>
              <w:ind w:left="0"/>
              <w:rPr>
                <w:sz w:val="20"/>
                <w:szCs w:val="20"/>
              </w:rPr>
            </w:pPr>
            <w:r w:rsidRPr="00EE52B7">
              <w:rPr>
                <w:sz w:val="20"/>
                <w:szCs w:val="20"/>
              </w:rPr>
              <w:t>Effective elimination half-life = 9.55 hours (300 mg tablet BD)</w:t>
            </w:r>
          </w:p>
          <w:p w14:paraId="5E10E6EF" w14:textId="77777777" w:rsidR="00B51ED1" w:rsidRPr="00EE52B7" w:rsidRDefault="0043798E" w:rsidP="00EE52B7">
            <w:pPr>
              <w:ind w:left="0"/>
              <w:rPr>
                <w:sz w:val="20"/>
                <w:szCs w:val="20"/>
              </w:rPr>
            </w:pPr>
            <w:r w:rsidRPr="00EE52B7">
              <w:rPr>
                <w:sz w:val="20"/>
                <w:szCs w:val="20"/>
              </w:rPr>
              <w:t>Oral clearance</w:t>
            </w:r>
            <w:r w:rsidR="00B51ED1" w:rsidRPr="00EE52B7">
              <w:rPr>
                <w:sz w:val="20"/>
                <w:szCs w:val="20"/>
              </w:rPr>
              <w:t xml:space="preserve"> = 57.3 L/h (300 mg tablet)</w:t>
            </w:r>
          </w:p>
        </w:tc>
      </w:tr>
      <w:tr w:rsidR="00B51ED1" w:rsidRPr="005D0EEE" w14:paraId="133FE791" w14:textId="77777777" w:rsidTr="007E6EF0">
        <w:trPr>
          <w:trHeight w:val="252"/>
        </w:trPr>
        <w:tc>
          <w:tcPr>
            <w:tcW w:w="978" w:type="pct"/>
          </w:tcPr>
          <w:p w14:paraId="28AECF0E" w14:textId="77777777" w:rsidR="00B51ED1" w:rsidRPr="001E0BE3" w:rsidRDefault="00B51ED1" w:rsidP="001E0BE3">
            <w:pPr>
              <w:ind w:left="0"/>
              <w:rPr>
                <w:b/>
                <w:sz w:val="20"/>
                <w:szCs w:val="20"/>
              </w:rPr>
            </w:pPr>
            <w:r w:rsidRPr="001E0BE3">
              <w:rPr>
                <w:b/>
                <w:sz w:val="20"/>
                <w:szCs w:val="20"/>
              </w:rPr>
              <w:t>Intrinsic factors</w:t>
            </w:r>
          </w:p>
        </w:tc>
        <w:tc>
          <w:tcPr>
            <w:tcW w:w="4022" w:type="pct"/>
          </w:tcPr>
          <w:p w14:paraId="554A1211" w14:textId="77777777" w:rsidR="00B51ED1" w:rsidRPr="00EE52B7" w:rsidRDefault="00B51ED1" w:rsidP="00EE52B7">
            <w:pPr>
              <w:ind w:left="0"/>
              <w:rPr>
                <w:sz w:val="20"/>
                <w:szCs w:val="20"/>
              </w:rPr>
            </w:pPr>
            <w:r w:rsidRPr="00EE52B7">
              <w:rPr>
                <w:sz w:val="20"/>
                <w:szCs w:val="20"/>
              </w:rPr>
              <w:t>No clinically significant effect of age, sex or race.</w:t>
            </w:r>
          </w:p>
          <w:p w14:paraId="15A4090B" w14:textId="77777777" w:rsidR="00B51ED1" w:rsidRPr="00EE52B7" w:rsidRDefault="00B51ED1" w:rsidP="00EE52B7">
            <w:pPr>
              <w:ind w:left="0"/>
              <w:rPr>
                <w:sz w:val="20"/>
                <w:szCs w:val="20"/>
              </w:rPr>
            </w:pPr>
            <w:r w:rsidRPr="00EE52B7">
              <w:rPr>
                <w:sz w:val="20"/>
                <w:szCs w:val="20"/>
              </w:rPr>
              <w:t>Renal impairment: no dedicated study (&lt;</w:t>
            </w:r>
            <w:r w:rsidR="0043798E" w:rsidRPr="00EE52B7">
              <w:rPr>
                <w:sz w:val="20"/>
                <w:szCs w:val="20"/>
              </w:rPr>
              <w:t xml:space="preserve"> </w:t>
            </w:r>
            <w:r w:rsidRPr="00EE52B7">
              <w:rPr>
                <w:sz w:val="20"/>
                <w:szCs w:val="20"/>
              </w:rPr>
              <w:t>5% of excretion).</w:t>
            </w:r>
          </w:p>
          <w:p w14:paraId="50FBAFEE" w14:textId="5AE5EC99" w:rsidR="00B51ED1" w:rsidRPr="00EE52B7" w:rsidRDefault="00B51ED1" w:rsidP="00F979FB">
            <w:pPr>
              <w:ind w:left="0"/>
              <w:rPr>
                <w:sz w:val="20"/>
                <w:szCs w:val="20"/>
              </w:rPr>
            </w:pPr>
            <w:r w:rsidRPr="00EE52B7">
              <w:rPr>
                <w:sz w:val="20"/>
                <w:szCs w:val="20"/>
              </w:rPr>
              <w:t>Hepatic impairment: Study ONT-380-009 (t</w:t>
            </w:r>
            <w:r w:rsidR="00D47EC3">
              <w:rPr>
                <w:sz w:val="20"/>
                <w:szCs w:val="20"/>
              </w:rPr>
              <w:t>ucatinib exposure to single 300 </w:t>
            </w:r>
            <w:r w:rsidRPr="00EE52B7">
              <w:rPr>
                <w:sz w:val="20"/>
                <w:szCs w:val="20"/>
              </w:rPr>
              <w:t>mg dose in patients with hepatic impairment compared to healthy matched controls). Results are summarised in</w:t>
            </w:r>
            <w:r w:rsidR="00F979FB">
              <w:rPr>
                <w:sz w:val="20"/>
                <w:szCs w:val="20"/>
              </w:rPr>
              <w:t xml:space="preserve"> </w:t>
            </w:r>
            <w:r w:rsidR="00F979FB" w:rsidRPr="00F979FB">
              <w:rPr>
                <w:sz w:val="18"/>
                <w:szCs w:val="20"/>
              </w:rPr>
              <w:fldChar w:fldCharType="begin"/>
            </w:r>
            <w:r w:rsidR="00F979FB" w:rsidRPr="00F979FB">
              <w:rPr>
                <w:sz w:val="18"/>
                <w:szCs w:val="20"/>
              </w:rPr>
              <w:instrText xml:space="preserve"> REF _Ref66869078 \h </w:instrText>
            </w:r>
            <w:r w:rsidR="00F979FB">
              <w:rPr>
                <w:sz w:val="18"/>
                <w:szCs w:val="20"/>
              </w:rPr>
              <w:instrText xml:space="preserve"> \* MERGEFORMAT </w:instrText>
            </w:r>
            <w:r w:rsidR="00F979FB" w:rsidRPr="00F979FB">
              <w:rPr>
                <w:sz w:val="18"/>
                <w:szCs w:val="20"/>
              </w:rPr>
            </w:r>
            <w:r w:rsidR="00F979FB" w:rsidRPr="00F979FB">
              <w:rPr>
                <w:sz w:val="18"/>
                <w:szCs w:val="20"/>
              </w:rPr>
              <w:fldChar w:fldCharType="separate"/>
            </w:r>
            <w:r w:rsidR="00F979FB" w:rsidRPr="00F979FB">
              <w:rPr>
                <w:sz w:val="20"/>
              </w:rPr>
              <w:t xml:space="preserve">Figure </w:t>
            </w:r>
            <w:r w:rsidR="00F979FB" w:rsidRPr="00F979FB">
              <w:rPr>
                <w:noProof/>
                <w:sz w:val="20"/>
              </w:rPr>
              <w:t>2</w:t>
            </w:r>
            <w:r w:rsidR="00F979FB" w:rsidRPr="00F979FB">
              <w:rPr>
                <w:sz w:val="18"/>
                <w:szCs w:val="20"/>
              </w:rPr>
              <w:fldChar w:fldCharType="end"/>
            </w:r>
            <w:r w:rsidR="00F979FB" w:rsidRPr="00F979FB">
              <w:rPr>
                <w:sz w:val="18"/>
                <w:szCs w:val="20"/>
              </w:rPr>
              <w:t>.</w:t>
            </w:r>
          </w:p>
          <w:p w14:paraId="62991B7F" w14:textId="77777777" w:rsidR="00B51ED1" w:rsidRPr="00EE52B7" w:rsidRDefault="00B51ED1" w:rsidP="00EE52B7">
            <w:pPr>
              <w:ind w:left="0"/>
              <w:rPr>
                <w:sz w:val="20"/>
                <w:szCs w:val="20"/>
              </w:rPr>
            </w:pPr>
            <w:r w:rsidRPr="00EE52B7">
              <w:rPr>
                <w:sz w:val="20"/>
                <w:szCs w:val="20"/>
              </w:rPr>
              <w:t>The geometric m</w:t>
            </w:r>
            <w:r w:rsidR="0043798E" w:rsidRPr="00EE52B7">
              <w:rPr>
                <w:sz w:val="20"/>
                <w:szCs w:val="20"/>
              </w:rPr>
              <w:t>ean ratios (GMR)</w:t>
            </w:r>
            <w:r w:rsidRPr="00EE52B7">
              <w:rPr>
                <w:sz w:val="20"/>
                <w:szCs w:val="20"/>
              </w:rPr>
              <w:t xml:space="preserve"> of exposure in patients with hepatic impairment versus healthy subjects were:</w:t>
            </w:r>
          </w:p>
          <w:p w14:paraId="26C0AF67" w14:textId="77777777" w:rsidR="00B51ED1" w:rsidRPr="00EE52B7" w:rsidRDefault="00B51ED1" w:rsidP="0043798E">
            <w:pPr>
              <w:pStyle w:val="ListBullet"/>
              <w:rPr>
                <w:sz w:val="20"/>
                <w:szCs w:val="20"/>
              </w:rPr>
            </w:pPr>
            <w:r w:rsidRPr="00EE52B7">
              <w:rPr>
                <w:sz w:val="20"/>
                <w:szCs w:val="20"/>
              </w:rPr>
              <w:t>Mild (Child-Pugh A):</w:t>
            </w:r>
            <w:r w:rsidR="00D47EC3">
              <w:rPr>
                <w:rStyle w:val="FootnoteReference"/>
                <w:sz w:val="20"/>
                <w:szCs w:val="20"/>
              </w:rPr>
              <w:footnoteReference w:id="14"/>
            </w:r>
            <w:r w:rsidRPr="00EE52B7">
              <w:rPr>
                <w:sz w:val="20"/>
                <w:szCs w:val="20"/>
              </w:rPr>
              <w:t xml:space="preserve"> AUC</w:t>
            </w:r>
            <w:r w:rsidRPr="00EE52B7">
              <w:rPr>
                <w:sz w:val="20"/>
                <w:szCs w:val="20"/>
                <w:vertAlign w:val="subscript"/>
              </w:rPr>
              <w:t>inf</w:t>
            </w:r>
            <w:r w:rsidRPr="00EE52B7">
              <w:rPr>
                <w:sz w:val="20"/>
                <w:szCs w:val="20"/>
              </w:rPr>
              <w:t xml:space="preserve"> GMR: 0.99; C</w:t>
            </w:r>
            <w:r w:rsidRPr="00EE52B7">
              <w:rPr>
                <w:sz w:val="20"/>
                <w:szCs w:val="20"/>
                <w:vertAlign w:val="subscript"/>
              </w:rPr>
              <w:t>max</w:t>
            </w:r>
            <w:r w:rsidR="0043798E" w:rsidRPr="00EE52B7">
              <w:rPr>
                <w:sz w:val="20"/>
                <w:szCs w:val="20"/>
              </w:rPr>
              <w:t xml:space="preserve"> GMR: 1.04</w:t>
            </w:r>
          </w:p>
          <w:p w14:paraId="4915DB35" w14:textId="77777777" w:rsidR="00B51ED1" w:rsidRPr="00EE52B7" w:rsidRDefault="00B51ED1" w:rsidP="0043798E">
            <w:pPr>
              <w:pStyle w:val="ListBullet"/>
              <w:rPr>
                <w:sz w:val="20"/>
                <w:szCs w:val="20"/>
              </w:rPr>
            </w:pPr>
            <w:r w:rsidRPr="00EE52B7">
              <w:rPr>
                <w:sz w:val="20"/>
                <w:szCs w:val="20"/>
              </w:rPr>
              <w:t>Moderate (Child-Pugh B): AUC</w:t>
            </w:r>
            <w:r w:rsidRPr="00EE52B7">
              <w:rPr>
                <w:sz w:val="20"/>
                <w:szCs w:val="20"/>
                <w:vertAlign w:val="subscript"/>
              </w:rPr>
              <w:t>inf</w:t>
            </w:r>
            <w:r w:rsidRPr="00EE52B7">
              <w:rPr>
                <w:sz w:val="20"/>
                <w:szCs w:val="20"/>
              </w:rPr>
              <w:t xml:space="preserve"> GMR: 1.15; C</w:t>
            </w:r>
            <w:r w:rsidRPr="00EE52B7">
              <w:rPr>
                <w:sz w:val="20"/>
                <w:szCs w:val="20"/>
                <w:vertAlign w:val="subscript"/>
              </w:rPr>
              <w:t>max</w:t>
            </w:r>
            <w:r w:rsidR="0043798E" w:rsidRPr="00EE52B7">
              <w:rPr>
                <w:sz w:val="20"/>
                <w:szCs w:val="20"/>
              </w:rPr>
              <w:t xml:space="preserve"> GMR: 0.89</w:t>
            </w:r>
          </w:p>
          <w:p w14:paraId="66876375" w14:textId="77777777" w:rsidR="00B51ED1" w:rsidRPr="00EE52B7" w:rsidRDefault="00B51ED1" w:rsidP="0043798E">
            <w:pPr>
              <w:pStyle w:val="ListBullet"/>
              <w:rPr>
                <w:sz w:val="20"/>
                <w:szCs w:val="20"/>
              </w:rPr>
            </w:pPr>
            <w:r w:rsidRPr="00EE52B7">
              <w:rPr>
                <w:sz w:val="20"/>
                <w:szCs w:val="20"/>
              </w:rPr>
              <w:t>Severe (Child-Pugh C): AUC</w:t>
            </w:r>
            <w:r w:rsidRPr="00EE52B7">
              <w:rPr>
                <w:sz w:val="20"/>
                <w:szCs w:val="20"/>
                <w:vertAlign w:val="subscript"/>
              </w:rPr>
              <w:t>inf</w:t>
            </w:r>
            <w:r w:rsidRPr="00EE52B7">
              <w:rPr>
                <w:sz w:val="20"/>
                <w:szCs w:val="20"/>
              </w:rPr>
              <w:t xml:space="preserve"> GMR: 1.61; C</w:t>
            </w:r>
            <w:r w:rsidRPr="00EE52B7">
              <w:rPr>
                <w:sz w:val="20"/>
                <w:szCs w:val="20"/>
                <w:vertAlign w:val="subscript"/>
              </w:rPr>
              <w:t>max</w:t>
            </w:r>
            <w:r w:rsidRPr="00EE52B7">
              <w:rPr>
                <w:sz w:val="20"/>
                <w:szCs w:val="20"/>
              </w:rPr>
              <w:t xml:space="preserve"> G</w:t>
            </w:r>
            <w:r w:rsidR="0043798E" w:rsidRPr="00EE52B7">
              <w:rPr>
                <w:sz w:val="20"/>
                <w:szCs w:val="20"/>
              </w:rPr>
              <w:t>MR: 1.17</w:t>
            </w:r>
          </w:p>
          <w:p w14:paraId="72FF6C39" w14:textId="77777777" w:rsidR="00B51ED1" w:rsidRPr="00EE52B7" w:rsidRDefault="00B51ED1" w:rsidP="00EE52B7">
            <w:pPr>
              <w:ind w:left="0"/>
              <w:rPr>
                <w:sz w:val="20"/>
                <w:szCs w:val="20"/>
              </w:rPr>
            </w:pPr>
            <w:r w:rsidRPr="00EE52B7">
              <w:rPr>
                <w:sz w:val="20"/>
                <w:szCs w:val="20"/>
              </w:rPr>
              <w:t xml:space="preserve">There was high inter-subject variability in the moderate impairment cohort, but the range of exposure in this cohort was comparable to that seen at the </w:t>
            </w:r>
            <w:r w:rsidR="0043798E" w:rsidRPr="00EE52B7">
              <w:rPr>
                <w:sz w:val="20"/>
                <w:szCs w:val="20"/>
              </w:rPr>
              <w:t>maximu</w:t>
            </w:r>
            <w:r w:rsidR="00F42805">
              <w:rPr>
                <w:sz w:val="20"/>
                <w:szCs w:val="20"/>
              </w:rPr>
              <w:t>m tolerated dose</w:t>
            </w:r>
            <w:r w:rsidRPr="00EE52B7">
              <w:rPr>
                <w:sz w:val="20"/>
                <w:szCs w:val="20"/>
              </w:rPr>
              <w:t xml:space="preserve"> of 600 mg BD (PIC formulation) in early dose-finding study (</w:t>
            </w:r>
            <w:r w:rsidR="0043798E" w:rsidRPr="00EE52B7">
              <w:rPr>
                <w:sz w:val="20"/>
                <w:szCs w:val="20"/>
              </w:rPr>
              <w:t xml:space="preserve">Study </w:t>
            </w:r>
            <w:r w:rsidRPr="00EE52B7">
              <w:rPr>
                <w:sz w:val="20"/>
                <w:szCs w:val="20"/>
              </w:rPr>
              <w:t>ARR-101).</w:t>
            </w:r>
          </w:p>
          <w:p w14:paraId="4BE7B60D" w14:textId="6990C057" w:rsidR="00B51ED1" w:rsidRPr="00EE52B7" w:rsidRDefault="00EE52B7" w:rsidP="00EE52B7">
            <w:pPr>
              <w:ind w:left="0"/>
              <w:rPr>
                <w:sz w:val="20"/>
                <w:szCs w:val="20"/>
              </w:rPr>
            </w:pPr>
            <w:r w:rsidRPr="00EE52B7">
              <w:rPr>
                <w:sz w:val="20"/>
                <w:szCs w:val="20"/>
              </w:rPr>
              <w:t xml:space="preserve">See </w:t>
            </w:r>
            <w:r w:rsidRPr="00EE52B7">
              <w:rPr>
                <w:sz w:val="20"/>
                <w:szCs w:val="20"/>
              </w:rPr>
              <w:fldChar w:fldCharType="begin"/>
            </w:r>
            <w:r w:rsidRPr="00EE52B7">
              <w:rPr>
                <w:sz w:val="20"/>
                <w:szCs w:val="20"/>
              </w:rPr>
              <w:instrText xml:space="preserve"> REF _Ref64215084 \h </w:instrText>
            </w:r>
            <w:r>
              <w:rPr>
                <w:sz w:val="20"/>
                <w:szCs w:val="20"/>
              </w:rPr>
              <w:instrText xml:space="preserve"> \* MERGEFORMAT </w:instrText>
            </w:r>
            <w:r w:rsidRPr="00EE52B7">
              <w:rPr>
                <w:sz w:val="20"/>
                <w:szCs w:val="20"/>
              </w:rPr>
            </w:r>
            <w:r w:rsidRPr="00EE52B7">
              <w:rPr>
                <w:sz w:val="20"/>
                <w:szCs w:val="20"/>
              </w:rPr>
              <w:fldChar w:fldCharType="separate"/>
            </w:r>
            <w:r w:rsidR="00F979FB" w:rsidRPr="00F979FB">
              <w:rPr>
                <w:sz w:val="20"/>
                <w:szCs w:val="20"/>
              </w:rPr>
              <w:t xml:space="preserve">Figure </w:t>
            </w:r>
            <w:r w:rsidR="00F979FB" w:rsidRPr="00F979FB">
              <w:rPr>
                <w:noProof/>
                <w:sz w:val="20"/>
                <w:szCs w:val="20"/>
              </w:rPr>
              <w:t>3</w:t>
            </w:r>
            <w:r w:rsidRPr="00EE52B7">
              <w:rPr>
                <w:sz w:val="20"/>
                <w:szCs w:val="20"/>
              </w:rPr>
              <w:fldChar w:fldCharType="end"/>
            </w:r>
            <w:r w:rsidRPr="00EE52B7">
              <w:rPr>
                <w:sz w:val="20"/>
                <w:szCs w:val="20"/>
              </w:rPr>
              <w:t xml:space="preserve"> for the </w:t>
            </w:r>
            <w:proofErr w:type="spellStart"/>
            <w:r w:rsidRPr="00EE52B7">
              <w:rPr>
                <w:sz w:val="20"/>
                <w:szCs w:val="20"/>
              </w:rPr>
              <w:t>AUC</w:t>
            </w:r>
            <w:r w:rsidRPr="00EE52B7">
              <w:rPr>
                <w:sz w:val="20"/>
                <w:szCs w:val="20"/>
                <w:vertAlign w:val="subscript"/>
              </w:rPr>
              <w:t>inf</w:t>
            </w:r>
            <w:proofErr w:type="spellEnd"/>
            <w:r w:rsidRPr="00EE52B7">
              <w:rPr>
                <w:sz w:val="20"/>
                <w:szCs w:val="20"/>
              </w:rPr>
              <w:t xml:space="preserve"> distribution in dose-finding, food effect and dedicated hepatic impairment studies. The </w:t>
            </w:r>
            <w:r w:rsidR="00B51ED1" w:rsidRPr="00EE52B7">
              <w:rPr>
                <w:sz w:val="20"/>
                <w:szCs w:val="20"/>
              </w:rPr>
              <w:t xml:space="preserve">data </w:t>
            </w:r>
            <w:r w:rsidRPr="00EE52B7">
              <w:rPr>
                <w:sz w:val="20"/>
                <w:szCs w:val="20"/>
              </w:rPr>
              <w:t xml:space="preserve">in </w:t>
            </w:r>
            <w:r w:rsidRPr="00EE52B7">
              <w:rPr>
                <w:sz w:val="20"/>
                <w:szCs w:val="20"/>
              </w:rPr>
              <w:fldChar w:fldCharType="begin"/>
            </w:r>
            <w:r w:rsidRPr="00EE52B7">
              <w:rPr>
                <w:sz w:val="20"/>
                <w:szCs w:val="20"/>
              </w:rPr>
              <w:instrText xml:space="preserve"> REF _Ref64215084 \h </w:instrText>
            </w:r>
            <w:r>
              <w:rPr>
                <w:sz w:val="20"/>
                <w:szCs w:val="20"/>
              </w:rPr>
              <w:instrText xml:space="preserve"> \* MERGEFORMAT </w:instrText>
            </w:r>
            <w:r w:rsidRPr="00EE52B7">
              <w:rPr>
                <w:sz w:val="20"/>
                <w:szCs w:val="20"/>
              </w:rPr>
            </w:r>
            <w:r w:rsidRPr="00EE52B7">
              <w:rPr>
                <w:sz w:val="20"/>
                <w:szCs w:val="20"/>
              </w:rPr>
              <w:fldChar w:fldCharType="separate"/>
            </w:r>
            <w:r w:rsidR="00F979FB" w:rsidRPr="00F979FB">
              <w:rPr>
                <w:sz w:val="20"/>
                <w:szCs w:val="20"/>
              </w:rPr>
              <w:t xml:space="preserve">Figure </w:t>
            </w:r>
            <w:r w:rsidR="00F979FB" w:rsidRPr="00F979FB">
              <w:rPr>
                <w:noProof/>
                <w:sz w:val="20"/>
                <w:szCs w:val="20"/>
              </w:rPr>
              <w:t>3</w:t>
            </w:r>
            <w:r w:rsidRPr="00EE52B7">
              <w:rPr>
                <w:sz w:val="20"/>
                <w:szCs w:val="20"/>
              </w:rPr>
              <w:fldChar w:fldCharType="end"/>
            </w:r>
            <w:r w:rsidRPr="00EE52B7">
              <w:rPr>
                <w:sz w:val="20"/>
                <w:szCs w:val="20"/>
              </w:rPr>
              <w:t xml:space="preserve"> </w:t>
            </w:r>
            <w:r w:rsidR="00B51ED1" w:rsidRPr="00EE52B7">
              <w:rPr>
                <w:sz w:val="20"/>
                <w:szCs w:val="20"/>
              </w:rPr>
              <w:t>support a recommendation for no starting dose adjustment for the moderate hepatic impairment population, and a reduced starting dose for patients with severe hepatic impairment to 200 mg.</w:t>
            </w:r>
          </w:p>
        </w:tc>
      </w:tr>
      <w:tr w:rsidR="005D0EEE" w:rsidRPr="005D0EEE" w14:paraId="3670C84E" w14:textId="77777777" w:rsidTr="007E6EF0">
        <w:trPr>
          <w:trHeight w:val="334"/>
        </w:trPr>
        <w:tc>
          <w:tcPr>
            <w:tcW w:w="978" w:type="pct"/>
          </w:tcPr>
          <w:p w14:paraId="15A36D29" w14:textId="77777777" w:rsidR="005D0EEE" w:rsidRPr="001E0BE3" w:rsidRDefault="005D0EEE" w:rsidP="001E0BE3">
            <w:pPr>
              <w:ind w:left="0"/>
              <w:rPr>
                <w:b/>
                <w:sz w:val="20"/>
                <w:szCs w:val="20"/>
              </w:rPr>
            </w:pPr>
            <w:r w:rsidRPr="001E0BE3">
              <w:rPr>
                <w:b/>
                <w:sz w:val="20"/>
                <w:szCs w:val="20"/>
              </w:rPr>
              <w:t>Extrinsic: DDI</w:t>
            </w:r>
          </w:p>
        </w:tc>
        <w:tc>
          <w:tcPr>
            <w:tcW w:w="4022" w:type="pct"/>
          </w:tcPr>
          <w:p w14:paraId="399F7C4F" w14:textId="43F22AE9" w:rsidR="005D0EEE" w:rsidRPr="00EE52B7" w:rsidRDefault="005D0EEE" w:rsidP="00EE52B7">
            <w:pPr>
              <w:ind w:left="0"/>
              <w:rPr>
                <w:sz w:val="20"/>
                <w:szCs w:val="20"/>
              </w:rPr>
            </w:pPr>
            <w:r w:rsidRPr="00EE52B7">
              <w:rPr>
                <w:sz w:val="20"/>
                <w:szCs w:val="20"/>
              </w:rPr>
              <w:t xml:space="preserve">See </w:t>
            </w:r>
            <w:r w:rsidRPr="00EE52B7">
              <w:rPr>
                <w:sz w:val="20"/>
                <w:szCs w:val="20"/>
              </w:rPr>
              <w:fldChar w:fldCharType="begin"/>
            </w:r>
            <w:r w:rsidRPr="00EE52B7">
              <w:rPr>
                <w:sz w:val="20"/>
                <w:szCs w:val="20"/>
              </w:rPr>
              <w:instrText xml:space="preserve"> REF _Ref63623063 \h </w:instrText>
            </w:r>
            <w:r w:rsidR="001E0BE3" w:rsidRPr="00EE52B7">
              <w:rPr>
                <w:sz w:val="20"/>
                <w:szCs w:val="20"/>
              </w:rPr>
              <w:instrText xml:space="preserve"> \* MERGEFORMAT </w:instrText>
            </w:r>
            <w:r w:rsidRPr="00EE52B7">
              <w:rPr>
                <w:sz w:val="20"/>
                <w:szCs w:val="20"/>
              </w:rPr>
            </w:r>
            <w:r w:rsidRPr="00EE52B7">
              <w:rPr>
                <w:sz w:val="20"/>
                <w:szCs w:val="20"/>
              </w:rPr>
              <w:fldChar w:fldCharType="separate"/>
            </w:r>
            <w:r w:rsidR="00F979FB" w:rsidRPr="00F979FB">
              <w:rPr>
                <w:sz w:val="20"/>
                <w:szCs w:val="20"/>
              </w:rPr>
              <w:t xml:space="preserve">Table </w:t>
            </w:r>
            <w:r w:rsidR="00F979FB" w:rsidRPr="00F979FB">
              <w:rPr>
                <w:noProof/>
                <w:sz w:val="20"/>
                <w:szCs w:val="20"/>
              </w:rPr>
              <w:t>6</w:t>
            </w:r>
            <w:r w:rsidRPr="00EE52B7">
              <w:rPr>
                <w:sz w:val="20"/>
                <w:szCs w:val="20"/>
              </w:rPr>
              <w:fldChar w:fldCharType="end"/>
            </w:r>
            <w:r w:rsidRPr="00EE52B7">
              <w:rPr>
                <w:sz w:val="20"/>
                <w:szCs w:val="20"/>
              </w:rPr>
              <w:t>, below.</w:t>
            </w:r>
          </w:p>
        </w:tc>
      </w:tr>
      <w:tr w:rsidR="00B51ED1" w:rsidRPr="005D0EEE" w14:paraId="5D37EA21" w14:textId="77777777" w:rsidTr="007E6EF0">
        <w:trPr>
          <w:trHeight w:val="334"/>
        </w:trPr>
        <w:tc>
          <w:tcPr>
            <w:tcW w:w="978" w:type="pct"/>
          </w:tcPr>
          <w:p w14:paraId="1FC11781" w14:textId="77777777" w:rsidR="00B51ED1" w:rsidRPr="001E0BE3" w:rsidRDefault="00B51ED1" w:rsidP="001E0BE3">
            <w:pPr>
              <w:ind w:left="0"/>
              <w:rPr>
                <w:b/>
                <w:sz w:val="20"/>
                <w:szCs w:val="20"/>
              </w:rPr>
            </w:pPr>
            <w:r w:rsidRPr="001E0BE3">
              <w:rPr>
                <w:b/>
                <w:sz w:val="20"/>
                <w:szCs w:val="20"/>
              </w:rPr>
              <w:t xml:space="preserve">Extrinsic: food </w:t>
            </w:r>
          </w:p>
        </w:tc>
        <w:tc>
          <w:tcPr>
            <w:tcW w:w="4022" w:type="pct"/>
          </w:tcPr>
          <w:p w14:paraId="4DAF680F" w14:textId="77777777" w:rsidR="00B51ED1" w:rsidRPr="00EE52B7" w:rsidRDefault="00B51ED1" w:rsidP="00EE52B7">
            <w:pPr>
              <w:ind w:left="0"/>
              <w:rPr>
                <w:sz w:val="20"/>
                <w:szCs w:val="20"/>
              </w:rPr>
            </w:pPr>
            <w:r w:rsidRPr="00EE52B7">
              <w:rPr>
                <w:sz w:val="20"/>
                <w:szCs w:val="20"/>
              </w:rPr>
              <w:t xml:space="preserve">In the presence of a high-fat meal, geometric mean tucatinib </w:t>
            </w:r>
            <w:proofErr w:type="spellStart"/>
            <w:r w:rsidRPr="00EE52B7">
              <w:rPr>
                <w:sz w:val="20"/>
                <w:szCs w:val="20"/>
              </w:rPr>
              <w:t>C</w:t>
            </w:r>
            <w:r w:rsidRPr="00EE52B7">
              <w:rPr>
                <w:sz w:val="20"/>
                <w:szCs w:val="20"/>
                <w:vertAlign w:val="subscript"/>
              </w:rPr>
              <w:t>max</w:t>
            </w:r>
            <w:proofErr w:type="spellEnd"/>
            <w:r w:rsidRPr="00EE52B7">
              <w:rPr>
                <w:sz w:val="20"/>
                <w:szCs w:val="20"/>
              </w:rPr>
              <w:t xml:space="preserve"> was unchanged and AUC</w:t>
            </w:r>
            <w:r w:rsidRPr="00EE52B7">
              <w:rPr>
                <w:sz w:val="20"/>
                <w:szCs w:val="20"/>
                <w:vertAlign w:val="subscript"/>
              </w:rPr>
              <w:t>inf</w:t>
            </w:r>
            <w:r w:rsidR="00EE52B7" w:rsidRPr="00EE52B7">
              <w:rPr>
                <w:sz w:val="20"/>
                <w:szCs w:val="20"/>
              </w:rPr>
              <w:t xml:space="preserve"> increased approximately </w:t>
            </w:r>
            <w:r w:rsidRPr="00EE52B7">
              <w:rPr>
                <w:sz w:val="20"/>
                <w:szCs w:val="20"/>
              </w:rPr>
              <w:t>49%.</w:t>
            </w:r>
          </w:p>
        </w:tc>
      </w:tr>
      <w:tr w:rsidR="00B51ED1" w:rsidRPr="005D0EEE" w14:paraId="7D7169F8" w14:textId="77777777" w:rsidTr="007E6EF0">
        <w:trPr>
          <w:trHeight w:val="584"/>
        </w:trPr>
        <w:tc>
          <w:tcPr>
            <w:tcW w:w="978" w:type="pct"/>
          </w:tcPr>
          <w:p w14:paraId="451DD64B" w14:textId="77777777" w:rsidR="00B51ED1" w:rsidRPr="001E0BE3" w:rsidRDefault="00B51ED1" w:rsidP="001E0BE3">
            <w:pPr>
              <w:ind w:left="0"/>
              <w:rPr>
                <w:b/>
                <w:sz w:val="20"/>
                <w:szCs w:val="20"/>
              </w:rPr>
            </w:pPr>
            <w:r w:rsidRPr="001E0BE3">
              <w:rPr>
                <w:b/>
                <w:sz w:val="20"/>
                <w:szCs w:val="20"/>
              </w:rPr>
              <w:t>Pop</w:t>
            </w:r>
            <w:r w:rsidR="003262C1">
              <w:rPr>
                <w:b/>
                <w:sz w:val="20"/>
                <w:szCs w:val="20"/>
              </w:rPr>
              <w:t xml:space="preserve">ulation </w:t>
            </w:r>
            <w:r w:rsidRPr="001E0BE3">
              <w:rPr>
                <w:b/>
                <w:sz w:val="20"/>
                <w:szCs w:val="20"/>
              </w:rPr>
              <w:t>PK</w:t>
            </w:r>
          </w:p>
        </w:tc>
        <w:tc>
          <w:tcPr>
            <w:tcW w:w="4022" w:type="pct"/>
          </w:tcPr>
          <w:p w14:paraId="24B2E113" w14:textId="77777777" w:rsidR="00B51ED1" w:rsidRPr="00EE52B7" w:rsidRDefault="00B51ED1" w:rsidP="00EE52B7">
            <w:pPr>
              <w:ind w:left="0"/>
              <w:rPr>
                <w:sz w:val="20"/>
                <w:szCs w:val="20"/>
              </w:rPr>
            </w:pPr>
            <w:r w:rsidRPr="00EE52B7">
              <w:rPr>
                <w:sz w:val="20"/>
                <w:szCs w:val="20"/>
              </w:rPr>
              <w:t>Age, creatinine clearance, and race were not identified as covariates. Body weight and albumin were identified as covariates, but impact on tucatinib PK was not clinically meaningful.</w:t>
            </w:r>
          </w:p>
        </w:tc>
      </w:tr>
    </w:tbl>
    <w:bookmarkStart w:id="45" w:name="_Ref39148032"/>
    <w:p w14:paraId="61D325DC" w14:textId="66168B58" w:rsidR="00A90F5F" w:rsidRPr="00A90F5F" w:rsidRDefault="00F979FB" w:rsidP="00F979FB">
      <w:r>
        <w:fldChar w:fldCharType="begin"/>
      </w:r>
      <w:r>
        <w:instrText xml:space="preserve"> REF _Ref66869078 \h </w:instrText>
      </w:r>
      <w:r>
        <w:fldChar w:fldCharType="separate"/>
      </w:r>
      <w:r w:rsidRPr="000F1006">
        <w:t xml:space="preserve">Figure </w:t>
      </w:r>
      <w:r>
        <w:rPr>
          <w:noProof/>
        </w:rPr>
        <w:t>2</w:t>
      </w:r>
      <w:r>
        <w:fldChar w:fldCharType="end"/>
      </w:r>
      <w:r w:rsidR="00A90F5F">
        <w:t>, shown below, gives the results of Study ONT-380-009 (AUC</w:t>
      </w:r>
      <w:r w:rsidR="00A90F5F" w:rsidRPr="00F979FB">
        <w:rPr>
          <w:vertAlign w:val="subscript"/>
        </w:rPr>
        <w:t>inf</w:t>
      </w:r>
      <w:r w:rsidR="00A90F5F">
        <w:t xml:space="preserve"> (h*ng/mL)) according to hepatic impairment.</w:t>
      </w:r>
    </w:p>
    <w:p w14:paraId="02FB47A8" w14:textId="73A9A094" w:rsidR="00ED2CCD" w:rsidRPr="000F1006" w:rsidRDefault="00ED2CCD" w:rsidP="007F2AE5">
      <w:pPr>
        <w:pStyle w:val="FigureTitle"/>
      </w:pPr>
      <w:bookmarkStart w:id="46" w:name="_Ref66869078"/>
      <w:r w:rsidRPr="000F1006">
        <w:t xml:space="preserve">Figure </w:t>
      </w:r>
      <w:fldSimple w:instr=" SEQ Figure \* ARABIC ">
        <w:r w:rsidR="00F979FB">
          <w:rPr>
            <w:noProof/>
          </w:rPr>
          <w:t>2</w:t>
        </w:r>
      </w:fldSimple>
      <w:bookmarkEnd w:id="45"/>
      <w:bookmarkEnd w:id="46"/>
      <w:r w:rsidR="0043798E">
        <w:t>: Results of S</w:t>
      </w:r>
      <w:r w:rsidRPr="000F1006">
        <w:t>tudy ONT-380-009</w:t>
      </w:r>
      <w:r w:rsidR="0043798E">
        <w:t>, hepatic impairment</w:t>
      </w:r>
    </w:p>
    <w:p w14:paraId="7CF8B58B" w14:textId="77777777" w:rsidR="00ED2CCD" w:rsidRDefault="00ED2CCD" w:rsidP="00ED2CCD">
      <w:pPr>
        <w:spacing w:before="0" w:after="0" w:line="240" w:lineRule="auto"/>
        <w:rPr>
          <w:sz w:val="20"/>
        </w:rPr>
      </w:pPr>
      <w:r w:rsidRPr="000F1006">
        <w:rPr>
          <w:noProof/>
          <w:sz w:val="20"/>
          <w:lang w:eastAsia="en-AU"/>
        </w:rPr>
        <w:drawing>
          <wp:inline distT="0" distB="0" distL="0" distR="0" wp14:anchorId="0803EC5D" wp14:editId="1440F5FA">
            <wp:extent cx="3990975" cy="2158806"/>
            <wp:effectExtent l="0" t="0" r="0" b="0"/>
            <wp:docPr id="3" name="Picture 3" descr="Results of Study ONT-380-009, hepatic impair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019245" cy="2174098"/>
                    </a:xfrm>
                    <a:prstGeom prst="rect">
                      <a:avLst/>
                    </a:prstGeom>
                  </pic:spPr>
                </pic:pic>
              </a:graphicData>
            </a:graphic>
          </wp:inline>
        </w:drawing>
      </w:r>
    </w:p>
    <w:p w14:paraId="6C599A92" w14:textId="77777777" w:rsidR="007F2AE5" w:rsidRPr="00FB1752" w:rsidRDefault="007F2AE5" w:rsidP="00FB1752">
      <w:pPr>
        <w:pStyle w:val="FigureDescription"/>
      </w:pPr>
      <w:r w:rsidRPr="00FB1752">
        <w:t>The right-hand group on the plot represents exposures simulated by the FDA for a reduced 200 mg (tablet) dose in patients with severe hepatic impairment.</w:t>
      </w:r>
    </w:p>
    <w:p w14:paraId="448BB45F" w14:textId="069351CF" w:rsidR="00ED2CCD" w:rsidRPr="000F1006" w:rsidRDefault="00ED2CCD" w:rsidP="007F2AE5">
      <w:pPr>
        <w:pStyle w:val="FigureTitle"/>
      </w:pPr>
      <w:bookmarkStart w:id="47" w:name="_Ref64215084"/>
      <w:r w:rsidRPr="000F1006">
        <w:t xml:space="preserve">Figure </w:t>
      </w:r>
      <w:fldSimple w:instr=" SEQ Figure \* ARABIC ">
        <w:r w:rsidR="00F979FB">
          <w:rPr>
            <w:noProof/>
          </w:rPr>
          <w:t>3</w:t>
        </w:r>
      </w:fldSimple>
      <w:bookmarkEnd w:id="47"/>
      <w:r w:rsidR="00F42805">
        <w:t>:</w:t>
      </w:r>
      <w:r w:rsidRPr="000F1006">
        <w:t xml:space="preserve"> </w:t>
      </w:r>
      <w:r w:rsidR="00F42805">
        <w:t>Area under the plasma concentration time curve from time zero to infinity</w:t>
      </w:r>
      <w:r w:rsidRPr="000F1006">
        <w:t xml:space="preserve"> distribution in dose-finding, food effect and dedic</w:t>
      </w:r>
      <w:r w:rsidR="007F2AE5">
        <w:t>ated hepatic impairment studies</w:t>
      </w:r>
    </w:p>
    <w:p w14:paraId="3E93788E" w14:textId="77777777" w:rsidR="00ED2CCD" w:rsidRDefault="00ED2CCD" w:rsidP="00ED2CCD">
      <w:pPr>
        <w:spacing w:before="0" w:after="0" w:line="240" w:lineRule="auto"/>
      </w:pPr>
      <w:r w:rsidRPr="000F1006">
        <w:rPr>
          <w:noProof/>
          <w:sz w:val="20"/>
          <w:lang w:eastAsia="en-AU"/>
        </w:rPr>
        <w:drawing>
          <wp:inline distT="0" distB="0" distL="0" distR="0" wp14:anchorId="29ED9A0B" wp14:editId="1B3B5C55">
            <wp:extent cx="4602123" cy="2152650"/>
            <wp:effectExtent l="0" t="0" r="8255" b="0"/>
            <wp:docPr id="2" name="Picture 2" descr="Area under the plasma concentration time curve from time zero to infinity distribution in dose-finding, food effect and dedicated hepatic impairment 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11192" cy="2156892"/>
                    </a:xfrm>
                    <a:prstGeom prst="rect">
                      <a:avLst/>
                    </a:prstGeom>
                    <a:noFill/>
                    <a:ln>
                      <a:noFill/>
                    </a:ln>
                  </pic:spPr>
                </pic:pic>
              </a:graphicData>
            </a:graphic>
          </wp:inline>
        </w:drawing>
      </w:r>
    </w:p>
    <w:p w14:paraId="3A84A379" w14:textId="77777777" w:rsidR="00F42805" w:rsidRPr="00EE52B7" w:rsidRDefault="00F42805" w:rsidP="00FB1752">
      <w:pPr>
        <w:pStyle w:val="FigureDescription"/>
      </w:pPr>
      <w:r>
        <w:t>CAP = powder in capsule, HI = hepatic impairment, HS = healthy subjects, TAB = tablet.</w:t>
      </w:r>
    </w:p>
    <w:p w14:paraId="0D80222A" w14:textId="23CD894A" w:rsidR="00ED2CCD" w:rsidRPr="000F1006" w:rsidRDefault="00ED2CCD" w:rsidP="00ED2CCD">
      <w:pPr>
        <w:pStyle w:val="TableTitle"/>
      </w:pPr>
      <w:bookmarkStart w:id="48" w:name="_Ref63623063"/>
      <w:r>
        <w:t xml:space="preserve">Table </w:t>
      </w:r>
      <w:fldSimple w:instr=" SEQ Table \* ARABIC ">
        <w:r w:rsidR="00F979FB">
          <w:rPr>
            <w:noProof/>
          </w:rPr>
          <w:t>6</w:t>
        </w:r>
      </w:fldSimple>
      <w:bookmarkEnd w:id="48"/>
      <w:r>
        <w:t>: Extrinsic parameters, drug-drug interactions</w:t>
      </w:r>
    </w:p>
    <w:tbl>
      <w:tblPr>
        <w:tblStyle w:val="TableTGAblue"/>
        <w:tblW w:w="5000" w:type="pct"/>
        <w:tblLook w:val="04A0" w:firstRow="1" w:lastRow="0" w:firstColumn="1" w:lastColumn="0" w:noHBand="0" w:noVBand="1"/>
      </w:tblPr>
      <w:tblGrid>
        <w:gridCol w:w="1930"/>
        <w:gridCol w:w="2581"/>
        <w:gridCol w:w="1956"/>
        <w:gridCol w:w="2017"/>
      </w:tblGrid>
      <w:tr w:rsidR="00ED2CCD" w:rsidRPr="00EE52B7" w14:paraId="56213751" w14:textId="77777777" w:rsidTr="00EE52B7">
        <w:trPr>
          <w:cnfStyle w:val="100000000000" w:firstRow="1" w:lastRow="0" w:firstColumn="0" w:lastColumn="0" w:oddVBand="0" w:evenVBand="0" w:oddHBand="0" w:evenHBand="0" w:firstRowFirstColumn="0" w:firstRowLastColumn="0" w:lastRowFirstColumn="0" w:lastRowLastColumn="0"/>
          <w:trHeight w:val="44"/>
        </w:trPr>
        <w:tc>
          <w:tcPr>
            <w:tcW w:w="5000" w:type="pct"/>
            <w:gridSpan w:val="4"/>
          </w:tcPr>
          <w:p w14:paraId="07AB6A7F" w14:textId="77777777" w:rsidR="00ED2CCD" w:rsidRPr="00EE52B7" w:rsidRDefault="00ED2CCD" w:rsidP="003262C1">
            <w:pPr>
              <w:ind w:left="0"/>
              <w:rPr>
                <w:sz w:val="20"/>
                <w:szCs w:val="20"/>
              </w:rPr>
            </w:pPr>
            <w:r w:rsidRPr="00EE52B7">
              <w:rPr>
                <w:sz w:val="20"/>
                <w:szCs w:val="20"/>
              </w:rPr>
              <w:t>Drug-drug interactions</w:t>
            </w:r>
          </w:p>
        </w:tc>
      </w:tr>
      <w:tr w:rsidR="00ED2CCD" w:rsidRPr="00EE52B7" w14:paraId="0C52C6A3" w14:textId="77777777" w:rsidTr="00EE52B7">
        <w:trPr>
          <w:trHeight w:val="44"/>
        </w:trPr>
        <w:tc>
          <w:tcPr>
            <w:tcW w:w="5000" w:type="pct"/>
            <w:gridSpan w:val="4"/>
          </w:tcPr>
          <w:p w14:paraId="53540C92" w14:textId="77777777" w:rsidR="00ED2CCD" w:rsidRPr="00EE52B7" w:rsidRDefault="00ED2CCD" w:rsidP="003262C1">
            <w:pPr>
              <w:keepNext/>
              <w:ind w:left="0"/>
              <w:rPr>
                <w:sz w:val="20"/>
                <w:szCs w:val="20"/>
              </w:rPr>
            </w:pPr>
            <w:r w:rsidRPr="00EE52B7">
              <w:rPr>
                <w:sz w:val="20"/>
                <w:szCs w:val="20"/>
              </w:rPr>
              <w:t>Impact of other drugs on tucatinib</w:t>
            </w:r>
          </w:p>
          <w:p w14:paraId="5A731754" w14:textId="77777777" w:rsidR="00ED2CCD" w:rsidRPr="00EE52B7" w:rsidRDefault="00ED2CCD" w:rsidP="003262C1">
            <w:pPr>
              <w:keepNext/>
              <w:ind w:left="0"/>
              <w:rPr>
                <w:sz w:val="20"/>
                <w:szCs w:val="20"/>
              </w:rPr>
            </w:pPr>
            <w:r w:rsidRPr="00EE52B7">
              <w:rPr>
                <w:sz w:val="20"/>
                <w:szCs w:val="20"/>
              </w:rPr>
              <w:t>Approximate change i</w:t>
            </w:r>
            <w:r w:rsidR="00F42805">
              <w:rPr>
                <w:sz w:val="20"/>
                <w:szCs w:val="20"/>
              </w:rPr>
              <w:t>n geometric mean PK parameters (300 mg tablet)</w:t>
            </w:r>
            <w:r w:rsidRPr="00EE52B7">
              <w:rPr>
                <w:sz w:val="20"/>
                <w:szCs w:val="20"/>
              </w:rPr>
              <w:t>:</w:t>
            </w:r>
          </w:p>
        </w:tc>
      </w:tr>
      <w:tr w:rsidR="00ED2CCD" w:rsidRPr="00EE52B7" w14:paraId="150B7505" w14:textId="77777777" w:rsidTr="00EE52B7">
        <w:trPr>
          <w:trHeight w:val="131"/>
        </w:trPr>
        <w:tc>
          <w:tcPr>
            <w:tcW w:w="1137" w:type="pct"/>
          </w:tcPr>
          <w:p w14:paraId="5E9B1BE0" w14:textId="77777777" w:rsidR="00ED2CCD" w:rsidRPr="00EE52B7" w:rsidRDefault="00EE52B7" w:rsidP="003262C1">
            <w:pPr>
              <w:keepNext/>
              <w:ind w:left="0"/>
              <w:rPr>
                <w:b/>
                <w:i/>
                <w:sz w:val="20"/>
                <w:szCs w:val="20"/>
              </w:rPr>
            </w:pPr>
            <w:r w:rsidRPr="00EE52B7">
              <w:rPr>
                <w:b/>
                <w:i/>
                <w:sz w:val="20"/>
                <w:szCs w:val="20"/>
              </w:rPr>
              <w:t>drug</w:t>
            </w:r>
          </w:p>
        </w:tc>
        <w:tc>
          <w:tcPr>
            <w:tcW w:w="1521" w:type="pct"/>
          </w:tcPr>
          <w:p w14:paraId="7F895735" w14:textId="77777777" w:rsidR="00ED2CCD" w:rsidRPr="00EE52B7" w:rsidRDefault="00ED2CCD" w:rsidP="003262C1">
            <w:pPr>
              <w:keepNext/>
              <w:ind w:left="0"/>
              <w:rPr>
                <w:b/>
                <w:i/>
                <w:sz w:val="20"/>
                <w:szCs w:val="20"/>
              </w:rPr>
            </w:pPr>
            <w:r w:rsidRPr="00EE52B7">
              <w:rPr>
                <w:b/>
                <w:i/>
                <w:sz w:val="20"/>
                <w:szCs w:val="20"/>
              </w:rPr>
              <w:t>mechanism</w:t>
            </w:r>
          </w:p>
        </w:tc>
        <w:tc>
          <w:tcPr>
            <w:tcW w:w="1153" w:type="pct"/>
          </w:tcPr>
          <w:p w14:paraId="52E38F9A" w14:textId="77777777" w:rsidR="00ED2CCD" w:rsidRPr="00EE52B7" w:rsidRDefault="00ED2CCD" w:rsidP="003262C1">
            <w:pPr>
              <w:keepNext/>
              <w:ind w:left="0"/>
              <w:rPr>
                <w:b/>
                <w:i/>
                <w:sz w:val="20"/>
                <w:szCs w:val="20"/>
              </w:rPr>
            </w:pPr>
            <w:r w:rsidRPr="00EE52B7">
              <w:rPr>
                <w:b/>
                <w:i/>
                <w:sz w:val="20"/>
                <w:szCs w:val="20"/>
              </w:rPr>
              <w:t xml:space="preserve">tucatinib </w:t>
            </w:r>
            <w:proofErr w:type="spellStart"/>
            <w:r w:rsidRPr="00EE52B7">
              <w:rPr>
                <w:b/>
                <w:i/>
                <w:sz w:val="20"/>
                <w:szCs w:val="20"/>
              </w:rPr>
              <w:t>C</w:t>
            </w:r>
            <w:r w:rsidRPr="00EE52B7">
              <w:rPr>
                <w:b/>
                <w:i/>
                <w:sz w:val="20"/>
                <w:szCs w:val="20"/>
                <w:vertAlign w:val="subscript"/>
              </w:rPr>
              <w:t>max</w:t>
            </w:r>
            <w:proofErr w:type="spellEnd"/>
          </w:p>
        </w:tc>
        <w:tc>
          <w:tcPr>
            <w:tcW w:w="1189" w:type="pct"/>
          </w:tcPr>
          <w:p w14:paraId="7F08F0D1" w14:textId="77777777" w:rsidR="00ED2CCD" w:rsidRPr="00EE52B7" w:rsidRDefault="00ED2CCD" w:rsidP="003262C1">
            <w:pPr>
              <w:keepNext/>
              <w:ind w:left="0"/>
              <w:rPr>
                <w:b/>
                <w:i/>
                <w:sz w:val="20"/>
                <w:szCs w:val="20"/>
                <w:vertAlign w:val="subscript"/>
              </w:rPr>
            </w:pPr>
            <w:r w:rsidRPr="00EE52B7">
              <w:rPr>
                <w:b/>
                <w:i/>
                <w:sz w:val="20"/>
                <w:szCs w:val="20"/>
              </w:rPr>
              <w:t xml:space="preserve">tucatinib </w:t>
            </w:r>
            <w:proofErr w:type="spellStart"/>
            <w:r w:rsidRPr="00EE52B7">
              <w:rPr>
                <w:b/>
                <w:i/>
                <w:sz w:val="20"/>
                <w:szCs w:val="20"/>
              </w:rPr>
              <w:t>AUC</w:t>
            </w:r>
            <w:r w:rsidRPr="00EE52B7">
              <w:rPr>
                <w:b/>
                <w:i/>
                <w:sz w:val="20"/>
                <w:szCs w:val="20"/>
                <w:vertAlign w:val="subscript"/>
              </w:rPr>
              <w:t>inf</w:t>
            </w:r>
            <w:proofErr w:type="spellEnd"/>
          </w:p>
        </w:tc>
      </w:tr>
      <w:tr w:rsidR="00ED2CCD" w:rsidRPr="00EE52B7" w14:paraId="7EA6C0B5" w14:textId="77777777" w:rsidTr="00EE52B7">
        <w:trPr>
          <w:trHeight w:val="131"/>
        </w:trPr>
        <w:tc>
          <w:tcPr>
            <w:tcW w:w="1137" w:type="pct"/>
          </w:tcPr>
          <w:p w14:paraId="7394F44A" w14:textId="77777777" w:rsidR="00ED2CCD" w:rsidRPr="00EE52B7" w:rsidRDefault="00ED2CCD" w:rsidP="003262C1">
            <w:pPr>
              <w:keepNext/>
              <w:ind w:left="0"/>
              <w:rPr>
                <w:sz w:val="20"/>
                <w:szCs w:val="20"/>
              </w:rPr>
            </w:pPr>
            <w:proofErr w:type="spellStart"/>
            <w:r w:rsidRPr="00EE52B7">
              <w:rPr>
                <w:sz w:val="20"/>
                <w:szCs w:val="20"/>
              </w:rPr>
              <w:t>itraconazole</w:t>
            </w:r>
            <w:proofErr w:type="spellEnd"/>
          </w:p>
        </w:tc>
        <w:tc>
          <w:tcPr>
            <w:tcW w:w="1521" w:type="pct"/>
          </w:tcPr>
          <w:p w14:paraId="346CB2EB" w14:textId="77777777" w:rsidR="00ED2CCD" w:rsidRPr="00EE52B7" w:rsidRDefault="00ED2CCD" w:rsidP="003262C1">
            <w:pPr>
              <w:keepNext/>
              <w:ind w:left="0"/>
              <w:rPr>
                <w:sz w:val="20"/>
                <w:szCs w:val="20"/>
              </w:rPr>
            </w:pPr>
            <w:r w:rsidRPr="00EE52B7">
              <w:rPr>
                <w:sz w:val="20"/>
                <w:szCs w:val="20"/>
              </w:rPr>
              <w:t>CYP3A inhibition</w:t>
            </w:r>
          </w:p>
        </w:tc>
        <w:tc>
          <w:tcPr>
            <w:tcW w:w="1153" w:type="pct"/>
          </w:tcPr>
          <w:p w14:paraId="4918BAE9" w14:textId="77777777" w:rsidR="00ED2CCD" w:rsidRPr="00EE52B7" w:rsidRDefault="00EE52B7" w:rsidP="003262C1">
            <w:pPr>
              <w:keepNext/>
              <w:ind w:left="0"/>
              <w:rPr>
                <w:sz w:val="20"/>
                <w:szCs w:val="20"/>
              </w:rPr>
            </w:pPr>
            <w:r w:rsidRPr="00EE52B7">
              <w:rPr>
                <w:sz w:val="20"/>
                <w:szCs w:val="20"/>
              </w:rPr>
              <w:t>increased 1.3 </w:t>
            </w:r>
            <w:r w:rsidR="00ED2CCD" w:rsidRPr="00EE52B7">
              <w:rPr>
                <w:sz w:val="20"/>
                <w:szCs w:val="20"/>
              </w:rPr>
              <w:t>fold</w:t>
            </w:r>
          </w:p>
        </w:tc>
        <w:tc>
          <w:tcPr>
            <w:tcW w:w="1189" w:type="pct"/>
          </w:tcPr>
          <w:p w14:paraId="54C758CE" w14:textId="77777777" w:rsidR="00ED2CCD" w:rsidRPr="00EE52B7" w:rsidRDefault="00EE52B7" w:rsidP="003262C1">
            <w:pPr>
              <w:keepNext/>
              <w:ind w:left="0"/>
              <w:rPr>
                <w:sz w:val="20"/>
                <w:szCs w:val="20"/>
              </w:rPr>
            </w:pPr>
            <w:r w:rsidRPr="00EE52B7">
              <w:rPr>
                <w:sz w:val="20"/>
                <w:szCs w:val="20"/>
              </w:rPr>
              <w:t>increased 1.3 </w:t>
            </w:r>
            <w:r w:rsidR="00ED2CCD" w:rsidRPr="00EE52B7">
              <w:rPr>
                <w:sz w:val="20"/>
                <w:szCs w:val="20"/>
              </w:rPr>
              <w:t>fold</w:t>
            </w:r>
          </w:p>
        </w:tc>
      </w:tr>
      <w:tr w:rsidR="00ED2CCD" w:rsidRPr="00EE52B7" w14:paraId="0F7E7F25" w14:textId="77777777" w:rsidTr="00EE52B7">
        <w:trPr>
          <w:trHeight w:val="131"/>
        </w:trPr>
        <w:tc>
          <w:tcPr>
            <w:tcW w:w="1137" w:type="pct"/>
          </w:tcPr>
          <w:p w14:paraId="5E3BD2D8" w14:textId="77777777" w:rsidR="00ED2CCD" w:rsidRPr="00EE52B7" w:rsidRDefault="00ED2CCD" w:rsidP="003262C1">
            <w:pPr>
              <w:keepNext/>
              <w:ind w:left="0"/>
              <w:rPr>
                <w:sz w:val="20"/>
                <w:szCs w:val="20"/>
              </w:rPr>
            </w:pPr>
            <w:proofErr w:type="spellStart"/>
            <w:r w:rsidRPr="00EE52B7">
              <w:rPr>
                <w:sz w:val="20"/>
                <w:szCs w:val="20"/>
              </w:rPr>
              <w:t>rifampin</w:t>
            </w:r>
            <w:proofErr w:type="spellEnd"/>
          </w:p>
        </w:tc>
        <w:tc>
          <w:tcPr>
            <w:tcW w:w="1521" w:type="pct"/>
          </w:tcPr>
          <w:p w14:paraId="3814824F" w14:textId="77777777" w:rsidR="00ED2CCD" w:rsidRPr="00EE52B7" w:rsidRDefault="00ED2CCD" w:rsidP="003262C1">
            <w:pPr>
              <w:keepNext/>
              <w:ind w:left="0"/>
              <w:rPr>
                <w:sz w:val="20"/>
                <w:szCs w:val="20"/>
              </w:rPr>
            </w:pPr>
            <w:r w:rsidRPr="00EE52B7">
              <w:rPr>
                <w:sz w:val="20"/>
                <w:szCs w:val="20"/>
              </w:rPr>
              <w:t>CYP3A/CYP2C8 induction</w:t>
            </w:r>
          </w:p>
        </w:tc>
        <w:tc>
          <w:tcPr>
            <w:tcW w:w="1153" w:type="pct"/>
          </w:tcPr>
          <w:p w14:paraId="05D7E260" w14:textId="77777777" w:rsidR="00ED2CCD" w:rsidRPr="00EE52B7" w:rsidRDefault="00ED2CCD" w:rsidP="003262C1">
            <w:pPr>
              <w:keepNext/>
              <w:ind w:left="0"/>
              <w:rPr>
                <w:sz w:val="20"/>
                <w:szCs w:val="20"/>
              </w:rPr>
            </w:pPr>
            <w:r w:rsidRPr="00EE52B7">
              <w:rPr>
                <w:sz w:val="20"/>
                <w:szCs w:val="20"/>
              </w:rPr>
              <w:t>decreased 37%</w:t>
            </w:r>
          </w:p>
        </w:tc>
        <w:tc>
          <w:tcPr>
            <w:tcW w:w="1189" w:type="pct"/>
          </w:tcPr>
          <w:p w14:paraId="46142FE7" w14:textId="77777777" w:rsidR="00ED2CCD" w:rsidRPr="00EE52B7" w:rsidRDefault="00ED2CCD" w:rsidP="003262C1">
            <w:pPr>
              <w:keepNext/>
              <w:ind w:left="0"/>
              <w:rPr>
                <w:sz w:val="20"/>
                <w:szCs w:val="20"/>
              </w:rPr>
            </w:pPr>
            <w:r w:rsidRPr="00EE52B7">
              <w:rPr>
                <w:sz w:val="20"/>
                <w:szCs w:val="20"/>
              </w:rPr>
              <w:t>decreased 48%</w:t>
            </w:r>
          </w:p>
        </w:tc>
      </w:tr>
      <w:tr w:rsidR="00ED2CCD" w:rsidRPr="00EE52B7" w14:paraId="62CCD87A" w14:textId="77777777" w:rsidTr="00EE52B7">
        <w:trPr>
          <w:trHeight w:val="43"/>
        </w:trPr>
        <w:tc>
          <w:tcPr>
            <w:tcW w:w="1137" w:type="pct"/>
          </w:tcPr>
          <w:p w14:paraId="02E07A33" w14:textId="77777777" w:rsidR="00ED2CCD" w:rsidRPr="00EE52B7" w:rsidRDefault="00ED2CCD" w:rsidP="003262C1">
            <w:pPr>
              <w:keepNext/>
              <w:ind w:left="0"/>
              <w:rPr>
                <w:sz w:val="20"/>
                <w:szCs w:val="20"/>
              </w:rPr>
            </w:pPr>
            <w:r w:rsidRPr="00EE52B7">
              <w:rPr>
                <w:sz w:val="20"/>
                <w:szCs w:val="20"/>
              </w:rPr>
              <w:t>gemfibrozil</w:t>
            </w:r>
          </w:p>
        </w:tc>
        <w:tc>
          <w:tcPr>
            <w:tcW w:w="1521" w:type="pct"/>
          </w:tcPr>
          <w:p w14:paraId="78BC9C23" w14:textId="77777777" w:rsidR="00ED2CCD" w:rsidRPr="00EE52B7" w:rsidRDefault="00ED2CCD" w:rsidP="003262C1">
            <w:pPr>
              <w:keepNext/>
              <w:ind w:left="0"/>
              <w:rPr>
                <w:sz w:val="20"/>
                <w:szCs w:val="20"/>
              </w:rPr>
            </w:pPr>
            <w:r w:rsidRPr="00EE52B7">
              <w:rPr>
                <w:sz w:val="20"/>
                <w:szCs w:val="20"/>
              </w:rPr>
              <w:t>CYP2C8 inhibition</w:t>
            </w:r>
          </w:p>
        </w:tc>
        <w:tc>
          <w:tcPr>
            <w:tcW w:w="1153" w:type="pct"/>
          </w:tcPr>
          <w:p w14:paraId="76BEF1F6" w14:textId="77777777" w:rsidR="00ED2CCD" w:rsidRPr="00EE52B7" w:rsidRDefault="00EE52B7" w:rsidP="003262C1">
            <w:pPr>
              <w:keepNext/>
              <w:ind w:left="0"/>
              <w:rPr>
                <w:sz w:val="20"/>
                <w:szCs w:val="20"/>
              </w:rPr>
            </w:pPr>
            <w:r w:rsidRPr="00EE52B7">
              <w:rPr>
                <w:sz w:val="20"/>
                <w:szCs w:val="20"/>
              </w:rPr>
              <w:t>increased 1.6 </w:t>
            </w:r>
            <w:r w:rsidR="00ED2CCD" w:rsidRPr="00EE52B7">
              <w:rPr>
                <w:sz w:val="20"/>
                <w:szCs w:val="20"/>
              </w:rPr>
              <w:t>fold</w:t>
            </w:r>
          </w:p>
        </w:tc>
        <w:tc>
          <w:tcPr>
            <w:tcW w:w="1189" w:type="pct"/>
          </w:tcPr>
          <w:p w14:paraId="165555E4" w14:textId="77777777" w:rsidR="00ED2CCD" w:rsidRPr="00EE52B7" w:rsidRDefault="00EE52B7" w:rsidP="003262C1">
            <w:pPr>
              <w:keepNext/>
              <w:ind w:left="0"/>
              <w:rPr>
                <w:sz w:val="20"/>
                <w:szCs w:val="20"/>
              </w:rPr>
            </w:pPr>
            <w:r w:rsidRPr="00EE52B7">
              <w:rPr>
                <w:sz w:val="20"/>
                <w:szCs w:val="20"/>
              </w:rPr>
              <w:t>increased 3.0 </w:t>
            </w:r>
            <w:r w:rsidR="00ED2CCD" w:rsidRPr="00EE52B7">
              <w:rPr>
                <w:sz w:val="20"/>
                <w:szCs w:val="20"/>
              </w:rPr>
              <w:t>fold</w:t>
            </w:r>
          </w:p>
        </w:tc>
      </w:tr>
      <w:tr w:rsidR="00ED2CCD" w:rsidRPr="00EE52B7" w14:paraId="0CA228C8" w14:textId="77777777" w:rsidTr="00EE52B7">
        <w:trPr>
          <w:trHeight w:val="43"/>
        </w:trPr>
        <w:tc>
          <w:tcPr>
            <w:tcW w:w="1137" w:type="pct"/>
          </w:tcPr>
          <w:p w14:paraId="6799B98D" w14:textId="77777777" w:rsidR="00ED2CCD" w:rsidRPr="00EE52B7" w:rsidRDefault="00ED2CCD" w:rsidP="003262C1">
            <w:pPr>
              <w:keepNext/>
              <w:ind w:left="0"/>
              <w:rPr>
                <w:sz w:val="20"/>
                <w:szCs w:val="20"/>
              </w:rPr>
            </w:pPr>
            <w:r w:rsidRPr="00EE52B7">
              <w:rPr>
                <w:sz w:val="20"/>
                <w:szCs w:val="20"/>
              </w:rPr>
              <w:t>omeprazole</w:t>
            </w:r>
          </w:p>
        </w:tc>
        <w:tc>
          <w:tcPr>
            <w:tcW w:w="1521" w:type="pct"/>
          </w:tcPr>
          <w:p w14:paraId="0F705262" w14:textId="77777777" w:rsidR="00ED2CCD" w:rsidRPr="00EE52B7" w:rsidRDefault="00EE52B7" w:rsidP="003262C1">
            <w:pPr>
              <w:keepNext/>
              <w:ind w:left="0"/>
              <w:rPr>
                <w:sz w:val="20"/>
                <w:szCs w:val="20"/>
              </w:rPr>
            </w:pPr>
            <w:r w:rsidRPr="00EE52B7">
              <w:rPr>
                <w:sz w:val="20"/>
                <w:szCs w:val="20"/>
              </w:rPr>
              <w:t>proton pump inhibition</w:t>
            </w:r>
          </w:p>
        </w:tc>
        <w:tc>
          <w:tcPr>
            <w:tcW w:w="1153" w:type="pct"/>
          </w:tcPr>
          <w:p w14:paraId="63152C40" w14:textId="77777777" w:rsidR="00ED2CCD" w:rsidRPr="00EE52B7" w:rsidRDefault="00ED2CCD" w:rsidP="003262C1">
            <w:pPr>
              <w:keepNext/>
              <w:ind w:left="0"/>
              <w:rPr>
                <w:sz w:val="20"/>
                <w:szCs w:val="20"/>
              </w:rPr>
            </w:pPr>
            <w:r w:rsidRPr="00EE52B7">
              <w:rPr>
                <w:sz w:val="20"/>
                <w:szCs w:val="20"/>
              </w:rPr>
              <w:t>decreased 13%</w:t>
            </w:r>
          </w:p>
        </w:tc>
        <w:tc>
          <w:tcPr>
            <w:tcW w:w="1189" w:type="pct"/>
          </w:tcPr>
          <w:p w14:paraId="3E4F8B5C" w14:textId="77777777" w:rsidR="00ED2CCD" w:rsidRPr="00EE52B7" w:rsidRDefault="00ED2CCD" w:rsidP="003262C1">
            <w:pPr>
              <w:keepNext/>
              <w:ind w:left="0"/>
              <w:rPr>
                <w:sz w:val="20"/>
                <w:szCs w:val="20"/>
              </w:rPr>
            </w:pPr>
            <w:r w:rsidRPr="00EE52B7">
              <w:rPr>
                <w:sz w:val="20"/>
                <w:szCs w:val="20"/>
              </w:rPr>
              <w:t>decreased 13%</w:t>
            </w:r>
          </w:p>
        </w:tc>
      </w:tr>
      <w:tr w:rsidR="00ED2CCD" w:rsidRPr="00EE52B7" w14:paraId="4044808D" w14:textId="77777777" w:rsidTr="00EE52B7">
        <w:trPr>
          <w:trHeight w:val="43"/>
        </w:trPr>
        <w:tc>
          <w:tcPr>
            <w:tcW w:w="5000" w:type="pct"/>
            <w:gridSpan w:val="4"/>
          </w:tcPr>
          <w:p w14:paraId="44034AC3" w14:textId="77777777" w:rsidR="00ED2CCD" w:rsidRPr="00EE52B7" w:rsidRDefault="00ED2CCD" w:rsidP="003262C1">
            <w:pPr>
              <w:keepNext/>
              <w:ind w:left="0"/>
              <w:rPr>
                <w:sz w:val="20"/>
                <w:szCs w:val="20"/>
              </w:rPr>
            </w:pPr>
            <w:r w:rsidRPr="00EE52B7">
              <w:rPr>
                <w:sz w:val="20"/>
                <w:szCs w:val="20"/>
              </w:rPr>
              <w:t>Imp</w:t>
            </w:r>
            <w:r w:rsidR="007F2AE5" w:rsidRPr="00EE52B7">
              <w:rPr>
                <w:sz w:val="20"/>
                <w:szCs w:val="20"/>
              </w:rPr>
              <w:t>act of tucatinib on other drugs</w:t>
            </w:r>
          </w:p>
          <w:p w14:paraId="4D57E6F7" w14:textId="77777777" w:rsidR="00ED2CCD" w:rsidRPr="00EE52B7" w:rsidRDefault="00ED2CCD" w:rsidP="003262C1">
            <w:pPr>
              <w:keepNext/>
              <w:ind w:left="0"/>
              <w:rPr>
                <w:sz w:val="20"/>
                <w:szCs w:val="20"/>
              </w:rPr>
            </w:pPr>
            <w:r w:rsidRPr="00EE52B7">
              <w:rPr>
                <w:sz w:val="20"/>
                <w:szCs w:val="20"/>
              </w:rPr>
              <w:t>Approximate change in geometric mean PK parameters of the other drug</w:t>
            </w:r>
            <w:r w:rsidR="00F42805">
              <w:rPr>
                <w:sz w:val="20"/>
                <w:szCs w:val="20"/>
              </w:rPr>
              <w:t>:</w:t>
            </w:r>
          </w:p>
        </w:tc>
      </w:tr>
      <w:tr w:rsidR="00ED2CCD" w:rsidRPr="00EE52B7" w14:paraId="7AC7F0F8" w14:textId="77777777" w:rsidTr="00EE52B7">
        <w:trPr>
          <w:trHeight w:val="43"/>
        </w:trPr>
        <w:tc>
          <w:tcPr>
            <w:tcW w:w="1137" w:type="pct"/>
          </w:tcPr>
          <w:p w14:paraId="1F046D81" w14:textId="77777777" w:rsidR="00ED2CCD" w:rsidRPr="00EE52B7" w:rsidRDefault="00EE52B7" w:rsidP="003262C1">
            <w:pPr>
              <w:keepNext/>
              <w:ind w:left="0"/>
              <w:rPr>
                <w:b/>
                <w:sz w:val="20"/>
                <w:szCs w:val="20"/>
              </w:rPr>
            </w:pPr>
            <w:r w:rsidRPr="00EE52B7">
              <w:rPr>
                <w:b/>
                <w:i/>
                <w:sz w:val="20"/>
                <w:szCs w:val="20"/>
              </w:rPr>
              <w:t>drug</w:t>
            </w:r>
          </w:p>
        </w:tc>
        <w:tc>
          <w:tcPr>
            <w:tcW w:w="1521" w:type="pct"/>
          </w:tcPr>
          <w:p w14:paraId="07E99DE5" w14:textId="77777777" w:rsidR="00ED2CCD" w:rsidRPr="00EE52B7" w:rsidRDefault="00ED2CCD" w:rsidP="003262C1">
            <w:pPr>
              <w:keepNext/>
              <w:ind w:left="0"/>
              <w:rPr>
                <w:b/>
                <w:sz w:val="20"/>
                <w:szCs w:val="20"/>
              </w:rPr>
            </w:pPr>
            <w:r w:rsidRPr="00EE52B7">
              <w:rPr>
                <w:b/>
                <w:i/>
                <w:sz w:val="20"/>
                <w:szCs w:val="20"/>
              </w:rPr>
              <w:t>mechanism</w:t>
            </w:r>
          </w:p>
        </w:tc>
        <w:tc>
          <w:tcPr>
            <w:tcW w:w="1153" w:type="pct"/>
          </w:tcPr>
          <w:p w14:paraId="285B1E3A" w14:textId="77777777" w:rsidR="00ED2CCD" w:rsidRPr="00EE52B7" w:rsidRDefault="00ED2CCD" w:rsidP="003262C1">
            <w:pPr>
              <w:keepNext/>
              <w:ind w:left="0"/>
              <w:rPr>
                <w:b/>
                <w:sz w:val="20"/>
                <w:szCs w:val="20"/>
              </w:rPr>
            </w:pPr>
            <w:r w:rsidRPr="00EE52B7">
              <w:rPr>
                <w:b/>
                <w:i/>
                <w:sz w:val="20"/>
                <w:szCs w:val="20"/>
              </w:rPr>
              <w:t>other drug C</w:t>
            </w:r>
            <w:r w:rsidRPr="00EE52B7">
              <w:rPr>
                <w:b/>
                <w:i/>
                <w:sz w:val="20"/>
                <w:szCs w:val="20"/>
                <w:vertAlign w:val="subscript"/>
              </w:rPr>
              <w:t>max</w:t>
            </w:r>
          </w:p>
        </w:tc>
        <w:tc>
          <w:tcPr>
            <w:tcW w:w="1189" w:type="pct"/>
          </w:tcPr>
          <w:p w14:paraId="4AA36E36" w14:textId="77777777" w:rsidR="00ED2CCD" w:rsidRPr="00EE52B7" w:rsidRDefault="00ED2CCD" w:rsidP="003262C1">
            <w:pPr>
              <w:keepNext/>
              <w:ind w:left="0"/>
              <w:rPr>
                <w:b/>
                <w:sz w:val="20"/>
                <w:szCs w:val="20"/>
              </w:rPr>
            </w:pPr>
            <w:r w:rsidRPr="00EE52B7">
              <w:rPr>
                <w:b/>
                <w:i/>
                <w:sz w:val="20"/>
                <w:szCs w:val="20"/>
              </w:rPr>
              <w:t>other drug AUC</w:t>
            </w:r>
            <w:r w:rsidRPr="00EE52B7">
              <w:rPr>
                <w:b/>
                <w:i/>
                <w:sz w:val="20"/>
                <w:szCs w:val="20"/>
                <w:vertAlign w:val="subscript"/>
              </w:rPr>
              <w:t>inf</w:t>
            </w:r>
          </w:p>
        </w:tc>
      </w:tr>
      <w:tr w:rsidR="00ED2CCD" w:rsidRPr="00EE52B7" w14:paraId="4AF4B51B" w14:textId="77777777" w:rsidTr="00EE52B7">
        <w:trPr>
          <w:trHeight w:val="43"/>
        </w:trPr>
        <w:tc>
          <w:tcPr>
            <w:tcW w:w="1137" w:type="pct"/>
          </w:tcPr>
          <w:p w14:paraId="637454C0" w14:textId="77777777" w:rsidR="00ED2CCD" w:rsidRPr="00EE52B7" w:rsidRDefault="00ED2CCD" w:rsidP="003262C1">
            <w:pPr>
              <w:keepNext/>
              <w:ind w:left="0"/>
              <w:rPr>
                <w:sz w:val="20"/>
                <w:szCs w:val="20"/>
              </w:rPr>
            </w:pPr>
            <w:r w:rsidRPr="00EE52B7">
              <w:rPr>
                <w:sz w:val="20"/>
                <w:szCs w:val="20"/>
              </w:rPr>
              <w:t>midazolam</w:t>
            </w:r>
          </w:p>
        </w:tc>
        <w:tc>
          <w:tcPr>
            <w:tcW w:w="1521" w:type="pct"/>
          </w:tcPr>
          <w:p w14:paraId="00E430EE" w14:textId="77777777" w:rsidR="00ED2CCD" w:rsidRPr="00EE52B7" w:rsidRDefault="00ED2CCD" w:rsidP="003262C1">
            <w:pPr>
              <w:keepNext/>
              <w:ind w:left="0"/>
              <w:rPr>
                <w:sz w:val="20"/>
                <w:szCs w:val="20"/>
              </w:rPr>
            </w:pPr>
            <w:r w:rsidRPr="00EE52B7">
              <w:rPr>
                <w:sz w:val="20"/>
                <w:szCs w:val="20"/>
              </w:rPr>
              <w:t>CYP3A inhibition</w:t>
            </w:r>
          </w:p>
        </w:tc>
        <w:tc>
          <w:tcPr>
            <w:tcW w:w="1153" w:type="pct"/>
          </w:tcPr>
          <w:p w14:paraId="4D35D282" w14:textId="77777777" w:rsidR="00ED2CCD" w:rsidRPr="00EE52B7" w:rsidRDefault="00F42805" w:rsidP="003262C1">
            <w:pPr>
              <w:keepNext/>
              <w:ind w:left="0"/>
              <w:rPr>
                <w:sz w:val="20"/>
                <w:szCs w:val="20"/>
              </w:rPr>
            </w:pPr>
            <w:r>
              <w:rPr>
                <w:sz w:val="20"/>
                <w:szCs w:val="20"/>
              </w:rPr>
              <w:t>increased 3.0 fold</w:t>
            </w:r>
          </w:p>
        </w:tc>
        <w:tc>
          <w:tcPr>
            <w:tcW w:w="1189" w:type="pct"/>
          </w:tcPr>
          <w:p w14:paraId="24D999F9" w14:textId="77777777" w:rsidR="00ED2CCD" w:rsidRPr="00EE52B7" w:rsidRDefault="00F42805" w:rsidP="003262C1">
            <w:pPr>
              <w:keepNext/>
              <w:ind w:left="0"/>
              <w:rPr>
                <w:sz w:val="20"/>
                <w:szCs w:val="20"/>
              </w:rPr>
            </w:pPr>
            <w:r>
              <w:rPr>
                <w:sz w:val="20"/>
                <w:szCs w:val="20"/>
              </w:rPr>
              <w:t xml:space="preserve">increased 5.7 </w:t>
            </w:r>
            <w:r w:rsidR="00ED2CCD" w:rsidRPr="00EE52B7">
              <w:rPr>
                <w:sz w:val="20"/>
                <w:szCs w:val="20"/>
              </w:rPr>
              <w:t>fold</w:t>
            </w:r>
          </w:p>
        </w:tc>
      </w:tr>
      <w:tr w:rsidR="00ED2CCD" w:rsidRPr="00EE52B7" w14:paraId="59C15EB3" w14:textId="77777777" w:rsidTr="00EE52B7">
        <w:trPr>
          <w:trHeight w:val="43"/>
        </w:trPr>
        <w:tc>
          <w:tcPr>
            <w:tcW w:w="1137" w:type="pct"/>
          </w:tcPr>
          <w:p w14:paraId="28D4A9DF" w14:textId="77777777" w:rsidR="00ED2CCD" w:rsidRPr="00EE52B7" w:rsidRDefault="00ED2CCD" w:rsidP="003262C1">
            <w:pPr>
              <w:keepNext/>
              <w:ind w:left="0"/>
              <w:rPr>
                <w:sz w:val="20"/>
                <w:szCs w:val="20"/>
              </w:rPr>
            </w:pPr>
            <w:proofErr w:type="spellStart"/>
            <w:r w:rsidRPr="00EE52B7">
              <w:rPr>
                <w:sz w:val="20"/>
                <w:szCs w:val="20"/>
              </w:rPr>
              <w:t>repaglinide</w:t>
            </w:r>
            <w:proofErr w:type="spellEnd"/>
          </w:p>
        </w:tc>
        <w:tc>
          <w:tcPr>
            <w:tcW w:w="1521" w:type="pct"/>
          </w:tcPr>
          <w:p w14:paraId="01859A6B" w14:textId="77777777" w:rsidR="00ED2CCD" w:rsidRPr="00EE52B7" w:rsidRDefault="00ED2CCD" w:rsidP="003262C1">
            <w:pPr>
              <w:keepNext/>
              <w:ind w:left="0"/>
              <w:rPr>
                <w:sz w:val="20"/>
                <w:szCs w:val="20"/>
              </w:rPr>
            </w:pPr>
            <w:r w:rsidRPr="00EE52B7">
              <w:rPr>
                <w:sz w:val="20"/>
                <w:szCs w:val="20"/>
              </w:rPr>
              <w:t>CYP2C8 inhibition</w:t>
            </w:r>
          </w:p>
        </w:tc>
        <w:tc>
          <w:tcPr>
            <w:tcW w:w="1153" w:type="pct"/>
          </w:tcPr>
          <w:p w14:paraId="7D81BC81" w14:textId="77777777" w:rsidR="00ED2CCD" w:rsidRPr="00EE52B7" w:rsidRDefault="00F42805" w:rsidP="003262C1">
            <w:pPr>
              <w:keepNext/>
              <w:ind w:left="0"/>
              <w:rPr>
                <w:sz w:val="20"/>
                <w:szCs w:val="20"/>
              </w:rPr>
            </w:pPr>
            <w:r>
              <w:rPr>
                <w:sz w:val="20"/>
                <w:szCs w:val="20"/>
              </w:rPr>
              <w:t xml:space="preserve">increased 1.7 </w:t>
            </w:r>
            <w:r w:rsidR="00ED2CCD" w:rsidRPr="00EE52B7">
              <w:rPr>
                <w:sz w:val="20"/>
                <w:szCs w:val="20"/>
              </w:rPr>
              <w:t>fold</w:t>
            </w:r>
          </w:p>
        </w:tc>
        <w:tc>
          <w:tcPr>
            <w:tcW w:w="1189" w:type="pct"/>
          </w:tcPr>
          <w:p w14:paraId="7529A58F" w14:textId="77777777" w:rsidR="00ED2CCD" w:rsidRPr="00EE52B7" w:rsidRDefault="00F42805" w:rsidP="003262C1">
            <w:pPr>
              <w:keepNext/>
              <w:ind w:left="0"/>
              <w:rPr>
                <w:sz w:val="20"/>
                <w:szCs w:val="20"/>
              </w:rPr>
            </w:pPr>
            <w:r>
              <w:rPr>
                <w:sz w:val="20"/>
                <w:szCs w:val="20"/>
              </w:rPr>
              <w:t xml:space="preserve">increased 1.7 </w:t>
            </w:r>
            <w:r w:rsidR="00ED2CCD" w:rsidRPr="00EE52B7">
              <w:rPr>
                <w:sz w:val="20"/>
                <w:szCs w:val="20"/>
              </w:rPr>
              <w:t>fold</w:t>
            </w:r>
          </w:p>
        </w:tc>
      </w:tr>
      <w:tr w:rsidR="00ED2CCD" w:rsidRPr="00EE52B7" w14:paraId="5EFEF60A" w14:textId="77777777" w:rsidTr="00EE52B7">
        <w:trPr>
          <w:trHeight w:val="43"/>
        </w:trPr>
        <w:tc>
          <w:tcPr>
            <w:tcW w:w="1137" w:type="pct"/>
          </w:tcPr>
          <w:p w14:paraId="6A5AEDB0" w14:textId="77777777" w:rsidR="00ED2CCD" w:rsidRPr="00EE52B7" w:rsidRDefault="00ED2CCD" w:rsidP="003262C1">
            <w:pPr>
              <w:keepNext/>
              <w:ind w:left="0"/>
              <w:rPr>
                <w:sz w:val="20"/>
                <w:szCs w:val="20"/>
              </w:rPr>
            </w:pPr>
            <w:proofErr w:type="spellStart"/>
            <w:r w:rsidRPr="00EE52B7">
              <w:rPr>
                <w:sz w:val="20"/>
                <w:szCs w:val="20"/>
              </w:rPr>
              <w:t>tolbutamide</w:t>
            </w:r>
            <w:proofErr w:type="spellEnd"/>
          </w:p>
        </w:tc>
        <w:tc>
          <w:tcPr>
            <w:tcW w:w="1521" w:type="pct"/>
          </w:tcPr>
          <w:p w14:paraId="3D5D7206" w14:textId="77777777" w:rsidR="00ED2CCD" w:rsidRPr="00EE52B7" w:rsidRDefault="00ED2CCD" w:rsidP="003262C1">
            <w:pPr>
              <w:keepNext/>
              <w:ind w:left="0"/>
              <w:rPr>
                <w:sz w:val="20"/>
                <w:szCs w:val="20"/>
              </w:rPr>
            </w:pPr>
            <w:r w:rsidRPr="00EE52B7">
              <w:rPr>
                <w:sz w:val="20"/>
                <w:szCs w:val="20"/>
              </w:rPr>
              <w:t>CYP2C9 inhibition</w:t>
            </w:r>
          </w:p>
        </w:tc>
        <w:tc>
          <w:tcPr>
            <w:tcW w:w="1153" w:type="pct"/>
          </w:tcPr>
          <w:p w14:paraId="44EC1809" w14:textId="77777777" w:rsidR="00ED2CCD" w:rsidRPr="00EE52B7" w:rsidRDefault="00ED2CCD" w:rsidP="003262C1">
            <w:pPr>
              <w:keepNext/>
              <w:ind w:left="0"/>
              <w:rPr>
                <w:sz w:val="20"/>
                <w:szCs w:val="20"/>
              </w:rPr>
            </w:pPr>
            <w:r w:rsidRPr="00EE52B7">
              <w:rPr>
                <w:sz w:val="20"/>
                <w:szCs w:val="20"/>
              </w:rPr>
              <w:t>no effect</w:t>
            </w:r>
          </w:p>
        </w:tc>
        <w:tc>
          <w:tcPr>
            <w:tcW w:w="1189" w:type="pct"/>
          </w:tcPr>
          <w:p w14:paraId="3062F287" w14:textId="77777777" w:rsidR="00ED2CCD" w:rsidRPr="00EE52B7" w:rsidRDefault="00ED2CCD" w:rsidP="003262C1">
            <w:pPr>
              <w:keepNext/>
              <w:ind w:left="0"/>
              <w:rPr>
                <w:sz w:val="20"/>
                <w:szCs w:val="20"/>
              </w:rPr>
            </w:pPr>
            <w:r w:rsidRPr="00EE52B7">
              <w:rPr>
                <w:sz w:val="20"/>
                <w:szCs w:val="20"/>
              </w:rPr>
              <w:t>no effect</w:t>
            </w:r>
          </w:p>
        </w:tc>
      </w:tr>
      <w:tr w:rsidR="00ED2CCD" w:rsidRPr="00EE52B7" w14:paraId="415E5708" w14:textId="77777777" w:rsidTr="00EE52B7">
        <w:trPr>
          <w:trHeight w:val="43"/>
        </w:trPr>
        <w:tc>
          <w:tcPr>
            <w:tcW w:w="1137" w:type="pct"/>
          </w:tcPr>
          <w:p w14:paraId="7631C508" w14:textId="77777777" w:rsidR="00ED2CCD" w:rsidRPr="00EE52B7" w:rsidRDefault="00ED2CCD" w:rsidP="003262C1">
            <w:pPr>
              <w:keepNext/>
              <w:ind w:left="0"/>
              <w:rPr>
                <w:sz w:val="20"/>
                <w:szCs w:val="20"/>
              </w:rPr>
            </w:pPr>
            <w:r w:rsidRPr="00EE52B7">
              <w:rPr>
                <w:sz w:val="20"/>
                <w:szCs w:val="20"/>
              </w:rPr>
              <w:t>digoxin</w:t>
            </w:r>
          </w:p>
        </w:tc>
        <w:tc>
          <w:tcPr>
            <w:tcW w:w="1521" w:type="pct"/>
          </w:tcPr>
          <w:p w14:paraId="6E60B738" w14:textId="77777777" w:rsidR="00ED2CCD" w:rsidRPr="00EE52B7" w:rsidRDefault="00ED2CCD" w:rsidP="003262C1">
            <w:pPr>
              <w:keepNext/>
              <w:ind w:left="0"/>
              <w:rPr>
                <w:sz w:val="20"/>
                <w:szCs w:val="20"/>
              </w:rPr>
            </w:pPr>
            <w:r w:rsidRPr="00EE52B7">
              <w:rPr>
                <w:sz w:val="20"/>
                <w:szCs w:val="20"/>
              </w:rPr>
              <w:t>P-</w:t>
            </w:r>
            <w:proofErr w:type="spellStart"/>
            <w:r w:rsidRPr="00EE52B7">
              <w:rPr>
                <w:sz w:val="20"/>
                <w:szCs w:val="20"/>
              </w:rPr>
              <w:t>gp</w:t>
            </w:r>
            <w:proofErr w:type="spellEnd"/>
            <w:r w:rsidRPr="00EE52B7">
              <w:rPr>
                <w:sz w:val="20"/>
                <w:szCs w:val="20"/>
              </w:rPr>
              <w:t xml:space="preserve"> inhibition</w:t>
            </w:r>
          </w:p>
        </w:tc>
        <w:tc>
          <w:tcPr>
            <w:tcW w:w="1153" w:type="pct"/>
          </w:tcPr>
          <w:p w14:paraId="0F61CE2A" w14:textId="77777777" w:rsidR="00ED2CCD" w:rsidRPr="00EE52B7" w:rsidRDefault="00F42805" w:rsidP="003262C1">
            <w:pPr>
              <w:keepNext/>
              <w:ind w:left="0"/>
              <w:rPr>
                <w:sz w:val="20"/>
                <w:szCs w:val="20"/>
              </w:rPr>
            </w:pPr>
            <w:r>
              <w:rPr>
                <w:sz w:val="20"/>
                <w:szCs w:val="20"/>
              </w:rPr>
              <w:t xml:space="preserve">increased 2.4 </w:t>
            </w:r>
            <w:r w:rsidR="00ED2CCD" w:rsidRPr="00EE52B7">
              <w:rPr>
                <w:sz w:val="20"/>
                <w:szCs w:val="20"/>
              </w:rPr>
              <w:t>fold</w:t>
            </w:r>
          </w:p>
        </w:tc>
        <w:tc>
          <w:tcPr>
            <w:tcW w:w="1189" w:type="pct"/>
          </w:tcPr>
          <w:p w14:paraId="362EED9C" w14:textId="77777777" w:rsidR="00ED2CCD" w:rsidRPr="00EE52B7" w:rsidRDefault="00F42805" w:rsidP="003262C1">
            <w:pPr>
              <w:keepNext/>
              <w:ind w:left="0"/>
              <w:rPr>
                <w:sz w:val="20"/>
                <w:szCs w:val="20"/>
              </w:rPr>
            </w:pPr>
            <w:r>
              <w:rPr>
                <w:sz w:val="20"/>
                <w:szCs w:val="20"/>
              </w:rPr>
              <w:t xml:space="preserve">increased 1.5 </w:t>
            </w:r>
            <w:r w:rsidR="00ED2CCD" w:rsidRPr="00EE52B7">
              <w:rPr>
                <w:sz w:val="20"/>
                <w:szCs w:val="20"/>
              </w:rPr>
              <w:t>fold</w:t>
            </w:r>
          </w:p>
        </w:tc>
      </w:tr>
      <w:tr w:rsidR="00ED2CCD" w:rsidRPr="00EE52B7" w14:paraId="77D3C1E2" w14:textId="77777777" w:rsidTr="00EE52B7">
        <w:trPr>
          <w:trHeight w:val="43"/>
        </w:trPr>
        <w:tc>
          <w:tcPr>
            <w:tcW w:w="1137" w:type="pct"/>
          </w:tcPr>
          <w:p w14:paraId="5B3DB42F" w14:textId="77777777" w:rsidR="00ED2CCD" w:rsidRPr="00EE52B7" w:rsidRDefault="00ED2CCD" w:rsidP="003262C1">
            <w:pPr>
              <w:keepNext/>
              <w:ind w:left="0"/>
              <w:rPr>
                <w:sz w:val="20"/>
                <w:szCs w:val="20"/>
              </w:rPr>
            </w:pPr>
            <w:r w:rsidRPr="00EE52B7">
              <w:rPr>
                <w:sz w:val="20"/>
                <w:szCs w:val="20"/>
              </w:rPr>
              <w:t>metformin</w:t>
            </w:r>
          </w:p>
        </w:tc>
        <w:tc>
          <w:tcPr>
            <w:tcW w:w="1521" w:type="pct"/>
          </w:tcPr>
          <w:p w14:paraId="69364697" w14:textId="77777777" w:rsidR="00ED2CCD" w:rsidRPr="00EE52B7" w:rsidRDefault="00ED2CCD" w:rsidP="003262C1">
            <w:pPr>
              <w:keepNext/>
              <w:ind w:left="0"/>
              <w:rPr>
                <w:sz w:val="20"/>
                <w:szCs w:val="20"/>
              </w:rPr>
            </w:pPr>
            <w:r w:rsidRPr="00EE52B7">
              <w:rPr>
                <w:sz w:val="20"/>
                <w:szCs w:val="20"/>
              </w:rPr>
              <w:t>MATE 1/2-K inhibition</w:t>
            </w:r>
          </w:p>
        </w:tc>
        <w:tc>
          <w:tcPr>
            <w:tcW w:w="1153" w:type="pct"/>
          </w:tcPr>
          <w:p w14:paraId="623EEEB0" w14:textId="77777777" w:rsidR="00ED2CCD" w:rsidRPr="00EE52B7" w:rsidRDefault="00F42805" w:rsidP="003262C1">
            <w:pPr>
              <w:keepNext/>
              <w:ind w:left="0"/>
              <w:rPr>
                <w:sz w:val="20"/>
                <w:szCs w:val="20"/>
              </w:rPr>
            </w:pPr>
            <w:r>
              <w:rPr>
                <w:sz w:val="20"/>
                <w:szCs w:val="20"/>
              </w:rPr>
              <w:t xml:space="preserve">increased 1.1 </w:t>
            </w:r>
            <w:r w:rsidR="00ED2CCD" w:rsidRPr="00EE52B7">
              <w:rPr>
                <w:sz w:val="20"/>
                <w:szCs w:val="20"/>
              </w:rPr>
              <w:t>fold</w:t>
            </w:r>
          </w:p>
        </w:tc>
        <w:tc>
          <w:tcPr>
            <w:tcW w:w="1189" w:type="pct"/>
          </w:tcPr>
          <w:p w14:paraId="2357BBFE" w14:textId="77777777" w:rsidR="00ED2CCD" w:rsidRPr="00EE52B7" w:rsidRDefault="00F42805" w:rsidP="003262C1">
            <w:pPr>
              <w:keepNext/>
              <w:ind w:left="0"/>
              <w:rPr>
                <w:sz w:val="20"/>
                <w:szCs w:val="20"/>
              </w:rPr>
            </w:pPr>
            <w:r>
              <w:rPr>
                <w:sz w:val="20"/>
                <w:szCs w:val="20"/>
              </w:rPr>
              <w:t xml:space="preserve">increased 1.4 </w:t>
            </w:r>
            <w:r w:rsidR="00ED2CCD" w:rsidRPr="00EE52B7">
              <w:rPr>
                <w:sz w:val="20"/>
                <w:szCs w:val="20"/>
              </w:rPr>
              <w:t>fold</w:t>
            </w:r>
          </w:p>
        </w:tc>
      </w:tr>
    </w:tbl>
    <w:p w14:paraId="11C1E74D" w14:textId="77777777" w:rsidR="00B51ED1" w:rsidRDefault="00FB0B92" w:rsidP="00B51ED1">
      <w:pPr>
        <w:pStyle w:val="Heading5"/>
      </w:pPr>
      <w:r>
        <w:t>Pharmacodynamics</w:t>
      </w:r>
    </w:p>
    <w:p w14:paraId="56D33389" w14:textId="6BB277FE" w:rsidR="003262C1" w:rsidRPr="003262C1" w:rsidRDefault="003262C1" w:rsidP="003262C1">
      <w:r>
        <w:t xml:space="preserve">A summary of the pharmacodynamic findings is shown in </w:t>
      </w:r>
      <w:r>
        <w:fldChar w:fldCharType="begin"/>
      </w:r>
      <w:r>
        <w:instrText xml:space="preserve"> REF _Ref65583232 \h </w:instrText>
      </w:r>
      <w:r>
        <w:fldChar w:fldCharType="separate"/>
      </w:r>
      <w:r w:rsidR="00F979FB">
        <w:t xml:space="preserve">Table </w:t>
      </w:r>
      <w:r w:rsidR="00F979FB">
        <w:rPr>
          <w:noProof/>
        </w:rPr>
        <w:t>7</w:t>
      </w:r>
      <w:r>
        <w:fldChar w:fldCharType="end"/>
      </w:r>
      <w:r>
        <w:t>.</w:t>
      </w:r>
    </w:p>
    <w:p w14:paraId="7F6D024E" w14:textId="5D6D6076" w:rsidR="00FB0B92" w:rsidRPr="00FB0B92" w:rsidRDefault="00FB0B92" w:rsidP="00FB0B92">
      <w:pPr>
        <w:pStyle w:val="TableTitle"/>
      </w:pPr>
      <w:bookmarkStart w:id="49" w:name="_Ref65583232"/>
      <w:r>
        <w:t xml:space="preserve">Table </w:t>
      </w:r>
      <w:fldSimple w:instr=" SEQ Table \* ARABIC ">
        <w:r w:rsidR="00F979FB">
          <w:rPr>
            <w:noProof/>
          </w:rPr>
          <w:t>7</w:t>
        </w:r>
      </w:fldSimple>
      <w:bookmarkEnd w:id="49"/>
      <w:r>
        <w:t>: Pharmacodynamics</w:t>
      </w:r>
      <w:r w:rsidRPr="00ED2CCD">
        <w:t xml:space="preserve"> summary for tucatinib</w:t>
      </w:r>
    </w:p>
    <w:tbl>
      <w:tblPr>
        <w:tblStyle w:val="TableTGAblue"/>
        <w:tblW w:w="8781" w:type="dxa"/>
        <w:tblCellMar>
          <w:left w:w="57" w:type="dxa"/>
          <w:right w:w="57" w:type="dxa"/>
        </w:tblCellMar>
        <w:tblLook w:val="04A0" w:firstRow="1" w:lastRow="0" w:firstColumn="1" w:lastColumn="0" w:noHBand="0" w:noVBand="1"/>
      </w:tblPr>
      <w:tblGrid>
        <w:gridCol w:w="1691"/>
        <w:gridCol w:w="7090"/>
      </w:tblGrid>
      <w:tr w:rsidR="00B51ED1" w:rsidRPr="007F2AE5" w14:paraId="5CDDFC11" w14:textId="77777777" w:rsidTr="00B51ED1">
        <w:trPr>
          <w:cnfStyle w:val="100000000000" w:firstRow="1" w:lastRow="0" w:firstColumn="0" w:lastColumn="0" w:oddVBand="0" w:evenVBand="0" w:oddHBand="0" w:evenHBand="0" w:firstRowFirstColumn="0" w:firstRowLastColumn="0" w:lastRowFirstColumn="0" w:lastRowLastColumn="0"/>
          <w:trHeight w:val="211"/>
        </w:trPr>
        <w:tc>
          <w:tcPr>
            <w:tcW w:w="1691" w:type="dxa"/>
          </w:tcPr>
          <w:p w14:paraId="13FE6DFD" w14:textId="77777777" w:rsidR="00B51ED1" w:rsidRPr="007F2AE5" w:rsidRDefault="00B51ED1" w:rsidP="00B51ED1">
            <w:pPr>
              <w:pStyle w:val="Tabletext"/>
              <w:ind w:left="0" w:right="0"/>
              <w:rPr>
                <w:sz w:val="20"/>
                <w:szCs w:val="20"/>
              </w:rPr>
            </w:pPr>
            <w:r w:rsidRPr="007F2AE5">
              <w:rPr>
                <w:sz w:val="20"/>
                <w:szCs w:val="20"/>
              </w:rPr>
              <w:t>Parameter</w:t>
            </w:r>
          </w:p>
        </w:tc>
        <w:tc>
          <w:tcPr>
            <w:tcW w:w="7090" w:type="dxa"/>
          </w:tcPr>
          <w:p w14:paraId="22CE3BEF" w14:textId="77777777" w:rsidR="00B51ED1" w:rsidRPr="007F2AE5" w:rsidRDefault="00B51ED1" w:rsidP="00B51ED1">
            <w:pPr>
              <w:pStyle w:val="Tabletext"/>
              <w:ind w:left="0" w:right="0"/>
              <w:rPr>
                <w:sz w:val="20"/>
                <w:szCs w:val="20"/>
              </w:rPr>
            </w:pPr>
            <w:r w:rsidRPr="007F2AE5">
              <w:rPr>
                <w:sz w:val="20"/>
                <w:szCs w:val="20"/>
              </w:rPr>
              <w:t>Details</w:t>
            </w:r>
          </w:p>
        </w:tc>
      </w:tr>
      <w:tr w:rsidR="00B51ED1" w:rsidRPr="007F2AE5" w14:paraId="32EECBD4" w14:textId="77777777" w:rsidTr="00B51ED1">
        <w:trPr>
          <w:trHeight w:val="1113"/>
        </w:trPr>
        <w:tc>
          <w:tcPr>
            <w:tcW w:w="1691" w:type="dxa"/>
          </w:tcPr>
          <w:p w14:paraId="4B1BF383" w14:textId="77777777" w:rsidR="00B51ED1" w:rsidRPr="007F2AE5" w:rsidRDefault="00B51ED1" w:rsidP="00B51ED1">
            <w:pPr>
              <w:pStyle w:val="Tabletext"/>
              <w:keepNext/>
              <w:ind w:left="0" w:right="0"/>
              <w:rPr>
                <w:b/>
                <w:sz w:val="20"/>
                <w:szCs w:val="20"/>
              </w:rPr>
            </w:pPr>
            <w:r w:rsidRPr="007F2AE5">
              <w:rPr>
                <w:b/>
                <w:sz w:val="20"/>
                <w:szCs w:val="20"/>
              </w:rPr>
              <w:t>Exposure-response analysis</w:t>
            </w:r>
          </w:p>
        </w:tc>
        <w:tc>
          <w:tcPr>
            <w:tcW w:w="7090" w:type="dxa"/>
          </w:tcPr>
          <w:p w14:paraId="0A59D28B" w14:textId="77777777" w:rsidR="00B51ED1" w:rsidRPr="007F2AE5" w:rsidRDefault="00B51ED1" w:rsidP="00B51ED1">
            <w:pPr>
              <w:pStyle w:val="Tabletext"/>
              <w:keepNext/>
              <w:ind w:left="0"/>
              <w:rPr>
                <w:sz w:val="20"/>
                <w:szCs w:val="20"/>
              </w:rPr>
            </w:pPr>
            <w:r w:rsidRPr="007F2AE5">
              <w:rPr>
                <w:sz w:val="20"/>
                <w:szCs w:val="20"/>
              </w:rPr>
              <w:t xml:space="preserve">Exploratory analyses were conducted comparing </w:t>
            </w:r>
            <w:r w:rsidR="00F42805">
              <w:rPr>
                <w:sz w:val="20"/>
                <w:szCs w:val="20"/>
              </w:rPr>
              <w:t>progression free survival (</w:t>
            </w:r>
            <w:r w:rsidRPr="007F2AE5">
              <w:rPr>
                <w:sz w:val="20"/>
                <w:szCs w:val="20"/>
              </w:rPr>
              <w:t>PFS</w:t>
            </w:r>
            <w:r w:rsidR="00F42805">
              <w:rPr>
                <w:sz w:val="20"/>
                <w:szCs w:val="20"/>
              </w:rPr>
              <w:t>)</w:t>
            </w:r>
            <w:r w:rsidRPr="007F2AE5">
              <w:rPr>
                <w:sz w:val="20"/>
                <w:szCs w:val="20"/>
              </w:rPr>
              <w:t xml:space="preserve"> between subgroups of patients based on tucatinib exposure (</w:t>
            </w:r>
            <w:r w:rsidR="00F42805">
              <w:rPr>
                <w:sz w:val="20"/>
                <w:szCs w:val="20"/>
              </w:rPr>
              <w:t>trough concentration (</w:t>
            </w:r>
            <w:proofErr w:type="spellStart"/>
            <w:r w:rsidRPr="007F2AE5">
              <w:rPr>
                <w:sz w:val="20"/>
                <w:szCs w:val="20"/>
              </w:rPr>
              <w:t>C</w:t>
            </w:r>
            <w:r w:rsidRPr="007F2AE5">
              <w:rPr>
                <w:sz w:val="20"/>
                <w:szCs w:val="20"/>
                <w:vertAlign w:val="subscript"/>
              </w:rPr>
              <w:t>trough</w:t>
            </w:r>
            <w:proofErr w:type="spellEnd"/>
            <w:r w:rsidR="00F42805">
              <w:rPr>
                <w:sz w:val="20"/>
                <w:szCs w:val="20"/>
              </w:rPr>
              <w:t>)</w:t>
            </w:r>
            <w:r w:rsidRPr="007F2AE5">
              <w:rPr>
                <w:sz w:val="20"/>
                <w:szCs w:val="20"/>
              </w:rPr>
              <w:t>). Both by binary (above versus below the median) and by quartile-based comparison, there was a slight trend toward increased PFS with increased exposure.</w:t>
            </w:r>
          </w:p>
        </w:tc>
      </w:tr>
      <w:tr w:rsidR="00B51ED1" w:rsidRPr="007F2AE5" w14:paraId="16AB2CD7" w14:textId="77777777" w:rsidTr="00B51ED1">
        <w:trPr>
          <w:trHeight w:val="75"/>
        </w:trPr>
        <w:tc>
          <w:tcPr>
            <w:tcW w:w="1691" w:type="dxa"/>
          </w:tcPr>
          <w:p w14:paraId="0E0E59BD" w14:textId="77777777" w:rsidR="00B51ED1" w:rsidRPr="007F2AE5" w:rsidRDefault="00B51ED1" w:rsidP="00B51ED1">
            <w:pPr>
              <w:pStyle w:val="Tabletext"/>
              <w:keepNext/>
              <w:ind w:left="0"/>
              <w:rPr>
                <w:sz w:val="20"/>
                <w:szCs w:val="20"/>
              </w:rPr>
            </w:pPr>
            <w:r w:rsidRPr="007F2AE5">
              <w:rPr>
                <w:b/>
                <w:sz w:val="20"/>
                <w:szCs w:val="20"/>
              </w:rPr>
              <w:t>QT</w:t>
            </w:r>
          </w:p>
        </w:tc>
        <w:tc>
          <w:tcPr>
            <w:tcW w:w="7090" w:type="dxa"/>
          </w:tcPr>
          <w:p w14:paraId="57955358" w14:textId="6CC67357" w:rsidR="00B51ED1" w:rsidRPr="007F2AE5" w:rsidRDefault="00B51ED1" w:rsidP="00B51ED1">
            <w:pPr>
              <w:pStyle w:val="Tabletext"/>
              <w:keepNext/>
              <w:ind w:left="0"/>
              <w:rPr>
                <w:sz w:val="20"/>
                <w:szCs w:val="20"/>
              </w:rPr>
            </w:pPr>
            <w:r w:rsidRPr="007F2AE5">
              <w:rPr>
                <w:sz w:val="20"/>
                <w:szCs w:val="20"/>
              </w:rPr>
              <w:t>A thorough, dedicated QT study showed tucatinib does not cause significant change in QT.</w:t>
            </w:r>
            <w:r w:rsidR="00AC422B">
              <w:rPr>
                <w:rStyle w:val="FootnoteReference"/>
                <w:sz w:val="20"/>
                <w:szCs w:val="20"/>
              </w:rPr>
              <w:footnoteReference w:id="15"/>
            </w:r>
          </w:p>
        </w:tc>
      </w:tr>
      <w:tr w:rsidR="00B51ED1" w:rsidRPr="007F2AE5" w14:paraId="45774CE5" w14:textId="77777777" w:rsidTr="00B51ED1">
        <w:trPr>
          <w:trHeight w:val="252"/>
        </w:trPr>
        <w:tc>
          <w:tcPr>
            <w:tcW w:w="1691" w:type="dxa"/>
          </w:tcPr>
          <w:p w14:paraId="3FE3EDBA" w14:textId="77777777" w:rsidR="00B51ED1" w:rsidRPr="007F2AE5" w:rsidRDefault="00B51ED1" w:rsidP="00B51ED1">
            <w:pPr>
              <w:pStyle w:val="Tabletext"/>
              <w:keepNext/>
              <w:ind w:left="0" w:right="0"/>
              <w:rPr>
                <w:b/>
                <w:sz w:val="20"/>
                <w:szCs w:val="20"/>
              </w:rPr>
            </w:pPr>
            <w:r w:rsidRPr="007F2AE5">
              <w:rPr>
                <w:b/>
                <w:sz w:val="20"/>
                <w:szCs w:val="20"/>
              </w:rPr>
              <w:t>Creatinine elevation</w:t>
            </w:r>
          </w:p>
        </w:tc>
        <w:tc>
          <w:tcPr>
            <w:tcW w:w="7090" w:type="dxa"/>
          </w:tcPr>
          <w:p w14:paraId="2623C633" w14:textId="2E18275A" w:rsidR="00B51ED1" w:rsidRPr="007F2AE5" w:rsidRDefault="00B51ED1" w:rsidP="00B51ED1">
            <w:pPr>
              <w:pStyle w:val="Tabletext"/>
              <w:keepNext/>
              <w:ind w:left="0" w:right="0"/>
              <w:rPr>
                <w:sz w:val="20"/>
                <w:szCs w:val="20"/>
              </w:rPr>
            </w:pPr>
            <w:r w:rsidRPr="007F2AE5">
              <w:rPr>
                <w:sz w:val="20"/>
                <w:szCs w:val="20"/>
              </w:rPr>
              <w:t xml:space="preserve">Creatinine increase (mean 30%) occurred within the first cycle of tucatinib, remained elevated but stable throughout treatment and was </w:t>
            </w:r>
            <w:r w:rsidR="00AC422B" w:rsidRPr="007F2AE5">
              <w:rPr>
                <w:sz w:val="20"/>
                <w:szCs w:val="20"/>
              </w:rPr>
              <w:t>reversible</w:t>
            </w:r>
            <w:r w:rsidRPr="007F2AE5">
              <w:rPr>
                <w:sz w:val="20"/>
                <w:szCs w:val="20"/>
              </w:rPr>
              <w:t xml:space="preserve"> upon discontinuation. This is attributable to inhibition of renal tubular </w:t>
            </w:r>
            <w:r w:rsidR="00F42805">
              <w:rPr>
                <w:sz w:val="20"/>
                <w:szCs w:val="20"/>
              </w:rPr>
              <w:t>creatinine secretion and does not</w:t>
            </w:r>
            <w:r w:rsidRPr="007F2AE5">
              <w:rPr>
                <w:sz w:val="20"/>
                <w:szCs w:val="20"/>
              </w:rPr>
              <w:t xml:space="preserve"> affect glomerular function.</w:t>
            </w:r>
          </w:p>
        </w:tc>
      </w:tr>
    </w:tbl>
    <w:p w14:paraId="0CCDDA24" w14:textId="77777777" w:rsidR="00B51ED1" w:rsidRDefault="00B51ED1" w:rsidP="00B51ED1">
      <w:pPr>
        <w:pStyle w:val="Heading5"/>
      </w:pPr>
      <w:r>
        <w:t>P</w:t>
      </w:r>
      <w:r w:rsidR="007F2AE5">
        <w:t>harmacology-related conclusions</w:t>
      </w:r>
    </w:p>
    <w:p w14:paraId="50364E99" w14:textId="77777777" w:rsidR="00B51ED1" w:rsidRPr="003E6925" w:rsidRDefault="00B51ED1" w:rsidP="00FB0B92">
      <w:pPr>
        <w:pStyle w:val="ListBullet"/>
      </w:pPr>
      <w:r>
        <w:t>The starting dose for patients with severe hepatic impairment should be 200 mg.</w:t>
      </w:r>
    </w:p>
    <w:p w14:paraId="4E723446" w14:textId="77777777" w:rsidR="00B51ED1" w:rsidRDefault="00B51ED1" w:rsidP="00FB0B92">
      <w:pPr>
        <w:pStyle w:val="ListBullet"/>
      </w:pPr>
      <w:r>
        <w:t>Tucatinib</w:t>
      </w:r>
      <w:r w:rsidR="00F42805">
        <w:t xml:space="preserve"> </w:t>
      </w:r>
      <w:r>
        <w:t>+</w:t>
      </w:r>
      <w:r w:rsidR="00F42805">
        <w:t xml:space="preserve"> </w:t>
      </w:r>
      <w:r>
        <w:t>capecitabine</w:t>
      </w:r>
      <w:r w:rsidR="00F42805">
        <w:t xml:space="preserve"> </w:t>
      </w:r>
      <w:r>
        <w:t>+</w:t>
      </w:r>
      <w:r w:rsidR="00F42805">
        <w:t xml:space="preserve"> </w:t>
      </w:r>
      <w:r>
        <w:t>trastuzumab is not appropriate for patients with severe renal failure</w:t>
      </w:r>
      <w:r w:rsidRPr="00296788">
        <w:t xml:space="preserve"> </w:t>
      </w:r>
      <w:r>
        <w:t>as capecitabine use is co</w:t>
      </w:r>
      <w:r w:rsidR="00F42805">
        <w:t>ntraindicated in such patients.</w:t>
      </w:r>
    </w:p>
    <w:p w14:paraId="0E4C4277" w14:textId="5186C04A" w:rsidR="00B51ED1" w:rsidRDefault="00AC422B" w:rsidP="00FB0B92">
      <w:pPr>
        <w:pStyle w:val="ListBullet"/>
      </w:pPr>
      <w:r>
        <w:t>Drug-drug interactions (</w:t>
      </w:r>
      <w:r w:rsidR="00B51ED1">
        <w:t>DDI</w:t>
      </w:r>
      <w:r>
        <w:t>)</w:t>
      </w:r>
      <w:r w:rsidR="00B51ED1">
        <w:t>:</w:t>
      </w:r>
    </w:p>
    <w:p w14:paraId="1E9E8B53" w14:textId="77777777" w:rsidR="00B51ED1" w:rsidRDefault="00B51ED1" w:rsidP="00FB0B92">
      <w:pPr>
        <w:pStyle w:val="ListBullet2"/>
      </w:pPr>
      <w:r>
        <w:t>Effects of other drugs on tucatinib:</w:t>
      </w:r>
    </w:p>
    <w:p w14:paraId="4353BC8E" w14:textId="77777777" w:rsidR="00B51ED1" w:rsidRDefault="00B51ED1" w:rsidP="00FB0B92">
      <w:pPr>
        <w:pStyle w:val="ListBullet3"/>
      </w:pPr>
      <w:r>
        <w:t>Avoid concomitant use of s</w:t>
      </w:r>
      <w:r w:rsidRPr="00296788">
        <w:t>trong CYP2C8 inhibitor</w:t>
      </w:r>
      <w:r>
        <w:t>s. If not possible to avoid, reduce the tucatinib dose to 100 mg.</w:t>
      </w:r>
    </w:p>
    <w:p w14:paraId="7E755F69" w14:textId="77777777" w:rsidR="00B51ED1" w:rsidRDefault="00B51ED1" w:rsidP="00FB0B92">
      <w:pPr>
        <w:pStyle w:val="ListBullet3"/>
      </w:pPr>
      <w:r>
        <w:t>In case of concomitant use of moderate</w:t>
      </w:r>
      <w:r w:rsidRPr="00296788">
        <w:t xml:space="preserve"> CYP2C8 inhibitor</w:t>
      </w:r>
      <w:r>
        <w:t>s, increase monitoring for adverse reactions.</w:t>
      </w:r>
    </w:p>
    <w:p w14:paraId="77DA3873" w14:textId="77777777" w:rsidR="00B51ED1" w:rsidRDefault="00B51ED1" w:rsidP="00FB0B92">
      <w:pPr>
        <w:pStyle w:val="ListBullet3"/>
      </w:pPr>
      <w:r>
        <w:t>A</w:t>
      </w:r>
      <w:r w:rsidRPr="004525A0">
        <w:t>void concomitant use of strong CYP3A4 induc</w:t>
      </w:r>
      <w:r>
        <w:t>ers or moderate CYP2C8 inducers.</w:t>
      </w:r>
    </w:p>
    <w:p w14:paraId="09B496FB" w14:textId="70A9D9C6" w:rsidR="00B51ED1" w:rsidRDefault="00B51ED1" w:rsidP="00FB0B92">
      <w:pPr>
        <w:pStyle w:val="ListBullet2"/>
      </w:pPr>
      <w:r>
        <w:t>Effects of tucatinib on other drugs</w:t>
      </w:r>
      <w:r w:rsidR="00AC422B">
        <w:t>:</w:t>
      </w:r>
    </w:p>
    <w:p w14:paraId="7010D0C1" w14:textId="77777777" w:rsidR="00B51ED1" w:rsidRPr="00FB0B92" w:rsidRDefault="00B51ED1" w:rsidP="00FB0B92">
      <w:pPr>
        <w:pStyle w:val="ListBullet3"/>
      </w:pPr>
      <w:r w:rsidRPr="00FB0B92">
        <w:t>Avoid concomitant use of sensitive CYP3A substrates. If not possible to avoid, consider reducing substrate dose (if narrow therapeutic index) and/or increase mo</w:t>
      </w:r>
      <w:r w:rsidR="00706F48">
        <w:t>nitoring for adverse reactions.</w:t>
      </w:r>
    </w:p>
    <w:p w14:paraId="50257772" w14:textId="1EB261D1" w:rsidR="00B51ED1" w:rsidRDefault="00B51ED1" w:rsidP="00FB0B92">
      <w:pPr>
        <w:pStyle w:val="ListBullet3"/>
      </w:pPr>
      <w:r>
        <w:t>Consider reducing dose of P-</w:t>
      </w:r>
      <w:r w:rsidR="00AC422B">
        <w:t>glycoprotein (P-</w:t>
      </w:r>
      <w:proofErr w:type="spellStart"/>
      <w:r>
        <w:t>gp</w:t>
      </w:r>
      <w:proofErr w:type="spellEnd"/>
      <w:r w:rsidR="00AC422B">
        <w:t>)</w:t>
      </w:r>
      <w:r>
        <w:t xml:space="preserve"> substrates wit</w:t>
      </w:r>
      <w:r w:rsidR="00F42805">
        <w:t>h narrow therapeutic index (for example,</w:t>
      </w:r>
      <w:r>
        <w:t xml:space="preserve"> digoxin)</w:t>
      </w:r>
    </w:p>
    <w:p w14:paraId="486429A7" w14:textId="77777777" w:rsidR="00B51ED1" w:rsidRPr="00465169" w:rsidRDefault="00B51ED1" w:rsidP="00FB0B92">
      <w:pPr>
        <w:pStyle w:val="ListBullet"/>
      </w:pPr>
      <w:r>
        <w:t xml:space="preserve">Exploratory exposure-response analysis suggested slight trend towards better PFS with increased </w:t>
      </w:r>
      <w:proofErr w:type="spellStart"/>
      <w:r>
        <w:t>C</w:t>
      </w:r>
      <w:r w:rsidRPr="0087713B">
        <w:rPr>
          <w:vertAlign w:val="subscript"/>
        </w:rPr>
        <w:t>trough</w:t>
      </w:r>
      <w:proofErr w:type="spellEnd"/>
      <w:r>
        <w:t>.</w:t>
      </w:r>
    </w:p>
    <w:p w14:paraId="459ED252" w14:textId="77777777" w:rsidR="00B51ED1" w:rsidRPr="00AA53F4" w:rsidRDefault="00B51ED1" w:rsidP="00B51ED1">
      <w:pPr>
        <w:pStyle w:val="Heading4"/>
      </w:pPr>
      <w:r w:rsidRPr="00AA53F4">
        <w:t>Efficacy</w:t>
      </w:r>
    </w:p>
    <w:p w14:paraId="78F767C8" w14:textId="77777777" w:rsidR="00B51ED1" w:rsidRDefault="00B51ED1" w:rsidP="00B51ED1">
      <w:pPr>
        <w:pStyle w:val="Heading5"/>
      </w:pPr>
      <w:bookmarkStart w:id="50" w:name="_Ref44516121"/>
      <w:r>
        <w:t xml:space="preserve">HER2CLIMB </w:t>
      </w:r>
      <w:r w:rsidR="00FB0B92">
        <w:t xml:space="preserve">trial </w:t>
      </w:r>
      <w:r>
        <w:t>(pivotal study)</w:t>
      </w:r>
      <w:bookmarkEnd w:id="50"/>
    </w:p>
    <w:p w14:paraId="4655553F" w14:textId="636C9196" w:rsidR="00B51ED1" w:rsidRPr="00FB0B92" w:rsidRDefault="00F47268" w:rsidP="00F42805">
      <w:pPr>
        <w:rPr>
          <w:sz w:val="19"/>
        </w:rPr>
      </w:pPr>
      <w:r>
        <w:t xml:space="preserve">The </w:t>
      </w:r>
      <w:r w:rsidR="00B51ED1" w:rsidRPr="00BE1BD5">
        <w:t>HER2CLIMB</w:t>
      </w:r>
      <w:r>
        <w:t xml:space="preserve"> trial</w:t>
      </w:r>
      <w:r w:rsidR="00B51ED1" w:rsidRPr="00BE1BD5">
        <w:t xml:space="preserve"> is</w:t>
      </w:r>
      <w:r w:rsidR="00706F48">
        <w:t xml:space="preserve"> an ongoing, randomised, double </w:t>
      </w:r>
      <w:r w:rsidR="00B51ED1" w:rsidRPr="00BE1BD5">
        <w:t>blind, placebo-controlled study. The study design is summarised in</w:t>
      </w:r>
      <w:r w:rsidR="00B51ED1">
        <w:rPr>
          <w:sz w:val="19"/>
        </w:rPr>
        <w:t xml:space="preserve"> </w:t>
      </w:r>
      <w:r w:rsidR="00B51ED1">
        <w:rPr>
          <w:sz w:val="19"/>
        </w:rPr>
        <w:fldChar w:fldCharType="begin"/>
      </w:r>
      <w:r w:rsidR="00B51ED1">
        <w:rPr>
          <w:sz w:val="19"/>
        </w:rPr>
        <w:instrText xml:space="preserve"> REF _Ref41982279 \h </w:instrText>
      </w:r>
      <w:r w:rsidR="00F42805">
        <w:rPr>
          <w:sz w:val="19"/>
        </w:rPr>
        <w:instrText xml:space="preserve"> \* MERGEFORMAT </w:instrText>
      </w:r>
      <w:r w:rsidR="00B51ED1">
        <w:rPr>
          <w:sz w:val="19"/>
        </w:rPr>
      </w:r>
      <w:r w:rsidR="00B51ED1">
        <w:rPr>
          <w:sz w:val="19"/>
        </w:rPr>
        <w:fldChar w:fldCharType="separate"/>
      </w:r>
      <w:r w:rsidR="00F979FB">
        <w:t xml:space="preserve">Table </w:t>
      </w:r>
      <w:r w:rsidR="00F979FB">
        <w:rPr>
          <w:noProof/>
        </w:rPr>
        <w:t>8</w:t>
      </w:r>
      <w:r w:rsidR="00B51ED1">
        <w:rPr>
          <w:sz w:val="19"/>
        </w:rPr>
        <w:fldChar w:fldCharType="end"/>
      </w:r>
      <w:r w:rsidR="00B51ED1">
        <w:rPr>
          <w:sz w:val="19"/>
        </w:rPr>
        <w:t>.</w:t>
      </w:r>
    </w:p>
    <w:p w14:paraId="52B439D0" w14:textId="305610DE" w:rsidR="00B51ED1" w:rsidRDefault="00B51ED1" w:rsidP="00FB0B92">
      <w:pPr>
        <w:pStyle w:val="TableTitle"/>
      </w:pPr>
      <w:bookmarkStart w:id="51" w:name="_Ref41982279"/>
      <w:bookmarkStart w:id="52" w:name="_Ref41982275"/>
      <w:r>
        <w:t xml:space="preserve">Table </w:t>
      </w:r>
      <w:fldSimple w:instr=" SEQ Table \* ARABIC ">
        <w:r w:rsidR="00F979FB">
          <w:rPr>
            <w:noProof/>
          </w:rPr>
          <w:t>8</w:t>
        </w:r>
      </w:fldSimple>
      <w:bookmarkEnd w:id="51"/>
      <w:r w:rsidR="00FB0B92">
        <w:t>:</w:t>
      </w:r>
      <w:r>
        <w:t xml:space="preserve"> Description of the design of the pivotal study (HER2CLIMB</w:t>
      </w:r>
      <w:bookmarkEnd w:id="52"/>
      <w:r w:rsidR="00F47268">
        <w:t xml:space="preserve"> trial</w:t>
      </w:r>
      <w:r>
        <w:t>)</w:t>
      </w:r>
    </w:p>
    <w:tbl>
      <w:tblPr>
        <w:tblStyle w:val="TableTGAblue"/>
        <w:tblW w:w="5000" w:type="pct"/>
        <w:tblLook w:val="04A0" w:firstRow="1" w:lastRow="0" w:firstColumn="1" w:lastColumn="0" w:noHBand="0" w:noVBand="1"/>
      </w:tblPr>
      <w:tblGrid>
        <w:gridCol w:w="1773"/>
        <w:gridCol w:w="3200"/>
        <w:gridCol w:w="3511"/>
      </w:tblGrid>
      <w:tr w:rsidR="00FB0B92" w:rsidRPr="00FB0B92" w14:paraId="64344C5A" w14:textId="77777777" w:rsidTr="0044586C">
        <w:trPr>
          <w:cnfStyle w:val="100000000000" w:firstRow="1" w:lastRow="0" w:firstColumn="0" w:lastColumn="0" w:oddVBand="0" w:evenVBand="0" w:oddHBand="0" w:evenHBand="0" w:firstRowFirstColumn="0" w:firstRowLastColumn="0" w:lastRowFirstColumn="0" w:lastRowLastColumn="0"/>
        </w:trPr>
        <w:tc>
          <w:tcPr>
            <w:tcW w:w="989" w:type="pct"/>
          </w:tcPr>
          <w:p w14:paraId="671AB7ED" w14:textId="77777777" w:rsidR="00FB0B92" w:rsidRPr="00706F48" w:rsidRDefault="00FB0B92" w:rsidP="00706F48">
            <w:pPr>
              <w:ind w:left="0"/>
              <w:rPr>
                <w:b w:val="0"/>
                <w:sz w:val="20"/>
                <w:szCs w:val="20"/>
              </w:rPr>
            </w:pPr>
            <w:r w:rsidRPr="00706F48">
              <w:rPr>
                <w:sz w:val="20"/>
                <w:szCs w:val="20"/>
                <w:lang w:eastAsia="en-US"/>
              </w:rPr>
              <w:t>Component</w:t>
            </w:r>
          </w:p>
        </w:tc>
        <w:tc>
          <w:tcPr>
            <w:tcW w:w="4011" w:type="pct"/>
            <w:gridSpan w:val="2"/>
          </w:tcPr>
          <w:p w14:paraId="070EF75D" w14:textId="77777777" w:rsidR="00FB0B92" w:rsidRPr="00706F48" w:rsidRDefault="00FB0B92" w:rsidP="00706F48">
            <w:pPr>
              <w:ind w:left="0"/>
              <w:rPr>
                <w:color w:val="auto"/>
                <w:sz w:val="20"/>
                <w:szCs w:val="20"/>
                <w:lang w:eastAsia="en-US"/>
              </w:rPr>
            </w:pPr>
            <w:r w:rsidRPr="00706F48">
              <w:rPr>
                <w:sz w:val="20"/>
                <w:szCs w:val="20"/>
                <w:lang w:eastAsia="en-US"/>
              </w:rPr>
              <w:t>Description</w:t>
            </w:r>
          </w:p>
        </w:tc>
      </w:tr>
      <w:tr w:rsidR="00B51ED1" w:rsidRPr="00FB0B92" w14:paraId="04303C4A" w14:textId="77777777" w:rsidTr="0044586C">
        <w:tc>
          <w:tcPr>
            <w:tcW w:w="989" w:type="pct"/>
          </w:tcPr>
          <w:p w14:paraId="456200EC" w14:textId="77777777" w:rsidR="00B51ED1" w:rsidRPr="003262C1" w:rsidRDefault="00B51ED1" w:rsidP="00706F48">
            <w:pPr>
              <w:ind w:left="0"/>
              <w:rPr>
                <w:b/>
                <w:sz w:val="20"/>
                <w:szCs w:val="20"/>
                <w:highlight w:val="yellow"/>
                <w:lang w:eastAsia="en-US"/>
              </w:rPr>
            </w:pPr>
            <w:r w:rsidRPr="003262C1">
              <w:rPr>
                <w:b/>
                <w:sz w:val="20"/>
                <w:szCs w:val="20"/>
                <w:lang w:eastAsia="en-US"/>
              </w:rPr>
              <w:t>Administrative</w:t>
            </w:r>
          </w:p>
        </w:tc>
        <w:tc>
          <w:tcPr>
            <w:tcW w:w="4011" w:type="pct"/>
            <w:gridSpan w:val="2"/>
          </w:tcPr>
          <w:p w14:paraId="5BCA2A9C" w14:textId="77777777" w:rsidR="00B51ED1" w:rsidRPr="00706F48" w:rsidRDefault="00130658" w:rsidP="00706F48">
            <w:pPr>
              <w:ind w:left="0"/>
              <w:rPr>
                <w:sz w:val="20"/>
                <w:szCs w:val="20"/>
                <w:lang w:eastAsia="en-US"/>
              </w:rPr>
            </w:pPr>
            <w:r>
              <w:rPr>
                <w:sz w:val="20"/>
                <w:szCs w:val="20"/>
                <w:lang w:eastAsia="en-US"/>
              </w:rPr>
              <w:t xml:space="preserve">First subject randomised: 23 February </w:t>
            </w:r>
            <w:r w:rsidR="00B51ED1" w:rsidRPr="00706F48">
              <w:rPr>
                <w:sz w:val="20"/>
                <w:szCs w:val="20"/>
                <w:lang w:eastAsia="en-US"/>
              </w:rPr>
              <w:t>2016</w:t>
            </w:r>
          </w:p>
          <w:p w14:paraId="75D18A72" w14:textId="77777777" w:rsidR="00B51ED1" w:rsidRPr="00706F48" w:rsidRDefault="00B51ED1" w:rsidP="00706F48">
            <w:pPr>
              <w:ind w:left="0"/>
              <w:rPr>
                <w:sz w:val="20"/>
                <w:szCs w:val="20"/>
                <w:lang w:eastAsia="en-US"/>
              </w:rPr>
            </w:pPr>
            <w:r w:rsidRPr="00706F48">
              <w:rPr>
                <w:sz w:val="20"/>
                <w:szCs w:val="20"/>
                <w:lang w:eastAsia="en-US"/>
              </w:rPr>
              <w:t>Last sub</w:t>
            </w:r>
            <w:r w:rsidR="00130658">
              <w:rPr>
                <w:sz w:val="20"/>
                <w:szCs w:val="20"/>
                <w:lang w:eastAsia="en-US"/>
              </w:rPr>
              <w:t xml:space="preserve">ject randomised: 3 May </w:t>
            </w:r>
            <w:r w:rsidRPr="00706F48">
              <w:rPr>
                <w:sz w:val="20"/>
                <w:szCs w:val="20"/>
                <w:lang w:eastAsia="en-US"/>
              </w:rPr>
              <w:t>2019</w:t>
            </w:r>
          </w:p>
          <w:p w14:paraId="02B92736" w14:textId="77777777" w:rsidR="00B51ED1" w:rsidRPr="00706F48" w:rsidRDefault="00130658" w:rsidP="00706F48">
            <w:pPr>
              <w:ind w:left="0"/>
              <w:rPr>
                <w:sz w:val="20"/>
                <w:szCs w:val="20"/>
                <w:lang w:eastAsia="en-US"/>
              </w:rPr>
            </w:pPr>
            <w:r>
              <w:rPr>
                <w:sz w:val="20"/>
                <w:szCs w:val="20"/>
                <w:lang w:eastAsia="en-US"/>
              </w:rPr>
              <w:t xml:space="preserve">Data cut-off date for primary analysis: 4 September </w:t>
            </w:r>
            <w:r w:rsidR="00B51ED1" w:rsidRPr="00706F48">
              <w:rPr>
                <w:sz w:val="20"/>
                <w:szCs w:val="20"/>
                <w:lang w:eastAsia="en-US"/>
              </w:rPr>
              <w:t>2019</w:t>
            </w:r>
          </w:p>
          <w:p w14:paraId="1421F665" w14:textId="77777777" w:rsidR="00B51ED1" w:rsidRPr="00706F48" w:rsidRDefault="00130658" w:rsidP="00706F48">
            <w:pPr>
              <w:ind w:left="0"/>
              <w:rPr>
                <w:sz w:val="20"/>
                <w:szCs w:val="20"/>
                <w:highlight w:val="yellow"/>
                <w:lang w:eastAsia="en-US"/>
              </w:rPr>
            </w:pPr>
            <w:r>
              <w:rPr>
                <w:sz w:val="20"/>
                <w:szCs w:val="20"/>
                <w:lang w:eastAsia="en-US"/>
              </w:rPr>
              <w:t xml:space="preserve">Clinical study report date: 7 November </w:t>
            </w:r>
            <w:r w:rsidR="00B51ED1" w:rsidRPr="00706F48">
              <w:rPr>
                <w:sz w:val="20"/>
                <w:szCs w:val="20"/>
                <w:lang w:eastAsia="en-US"/>
              </w:rPr>
              <w:t>2019</w:t>
            </w:r>
          </w:p>
          <w:p w14:paraId="75F647DF" w14:textId="77777777" w:rsidR="00B51ED1" w:rsidRPr="00706F48" w:rsidRDefault="00B51ED1" w:rsidP="00706F48">
            <w:pPr>
              <w:ind w:left="0"/>
              <w:rPr>
                <w:sz w:val="20"/>
                <w:szCs w:val="20"/>
                <w:lang w:eastAsia="en-US"/>
              </w:rPr>
            </w:pPr>
            <w:r w:rsidRPr="00706F48">
              <w:rPr>
                <w:sz w:val="20"/>
                <w:szCs w:val="20"/>
                <w:lang w:eastAsia="en-US"/>
              </w:rPr>
              <w:t>A total of 15</w:t>
            </w:r>
            <w:r w:rsidR="00B21FD6">
              <w:rPr>
                <w:sz w:val="20"/>
                <w:szCs w:val="20"/>
                <w:lang w:eastAsia="en-US"/>
              </w:rPr>
              <w:t>5 sites across 15 countries: US</w:t>
            </w:r>
            <w:r w:rsidRPr="00706F48">
              <w:rPr>
                <w:sz w:val="20"/>
                <w:szCs w:val="20"/>
                <w:lang w:eastAsia="en-US"/>
              </w:rPr>
              <w:t>, Canada, Denmark, Belgium, United Kingdom, France, Spain, Portugal, Germany, Switzerland, Czech Republic, Austria, Italy, Israel, and Australia.</w:t>
            </w:r>
          </w:p>
        </w:tc>
      </w:tr>
      <w:tr w:rsidR="00FB0B92" w:rsidRPr="00FB0B92" w14:paraId="297128F2" w14:textId="77777777" w:rsidTr="0044586C">
        <w:tc>
          <w:tcPr>
            <w:tcW w:w="989" w:type="pct"/>
          </w:tcPr>
          <w:p w14:paraId="4985832D" w14:textId="77777777" w:rsidR="00FB0B92" w:rsidRPr="003262C1" w:rsidRDefault="00FB0B92" w:rsidP="00706F48">
            <w:pPr>
              <w:ind w:left="0"/>
              <w:rPr>
                <w:b/>
                <w:color w:val="auto"/>
                <w:sz w:val="20"/>
                <w:szCs w:val="20"/>
                <w:lang w:eastAsia="en-US"/>
              </w:rPr>
            </w:pPr>
            <w:r w:rsidRPr="003262C1">
              <w:rPr>
                <w:b/>
                <w:sz w:val="20"/>
                <w:szCs w:val="20"/>
              </w:rPr>
              <w:t>Summary schema</w:t>
            </w:r>
          </w:p>
        </w:tc>
        <w:tc>
          <w:tcPr>
            <w:tcW w:w="4011" w:type="pct"/>
            <w:gridSpan w:val="2"/>
          </w:tcPr>
          <w:p w14:paraId="22063A34" w14:textId="5BDA530A" w:rsidR="00FB0B92" w:rsidRPr="00706F48" w:rsidRDefault="00FB0B92" w:rsidP="00FB0B92">
            <w:pPr>
              <w:pStyle w:val="ListBullet"/>
              <w:rPr>
                <w:sz w:val="20"/>
                <w:szCs w:val="20"/>
              </w:rPr>
            </w:pPr>
            <w:r w:rsidRPr="00706F48">
              <w:rPr>
                <w:sz w:val="20"/>
                <w:szCs w:val="20"/>
              </w:rPr>
              <w:t>Study design shown in</w:t>
            </w:r>
            <w:r w:rsidR="00706F48" w:rsidRPr="00706F48">
              <w:rPr>
                <w:sz w:val="20"/>
                <w:szCs w:val="20"/>
              </w:rPr>
              <w:t xml:space="preserve"> </w:t>
            </w:r>
            <w:r w:rsidR="00706F48" w:rsidRPr="00706F48">
              <w:rPr>
                <w:sz w:val="20"/>
                <w:szCs w:val="20"/>
              </w:rPr>
              <w:fldChar w:fldCharType="begin"/>
            </w:r>
            <w:r w:rsidR="00706F48" w:rsidRPr="00706F48">
              <w:rPr>
                <w:sz w:val="20"/>
                <w:szCs w:val="20"/>
              </w:rPr>
              <w:instrText xml:space="preserve"> REF _Ref64226011 \h  \* MERGEFORMAT </w:instrText>
            </w:r>
            <w:r w:rsidR="00706F48" w:rsidRPr="00706F48">
              <w:rPr>
                <w:sz w:val="20"/>
                <w:szCs w:val="20"/>
              </w:rPr>
            </w:r>
            <w:r w:rsidR="00706F48" w:rsidRPr="00706F48">
              <w:rPr>
                <w:sz w:val="20"/>
                <w:szCs w:val="20"/>
              </w:rPr>
              <w:fldChar w:fldCharType="separate"/>
            </w:r>
            <w:r w:rsidR="00F979FB" w:rsidRPr="00F979FB">
              <w:rPr>
                <w:sz w:val="20"/>
                <w:szCs w:val="20"/>
              </w:rPr>
              <w:t xml:space="preserve">Figure </w:t>
            </w:r>
            <w:r w:rsidR="00F979FB" w:rsidRPr="00F979FB">
              <w:rPr>
                <w:noProof/>
                <w:sz w:val="20"/>
                <w:szCs w:val="20"/>
              </w:rPr>
              <w:t>4</w:t>
            </w:r>
            <w:r w:rsidR="00706F48" w:rsidRPr="00706F48">
              <w:rPr>
                <w:sz w:val="20"/>
                <w:szCs w:val="20"/>
              </w:rPr>
              <w:fldChar w:fldCharType="end"/>
            </w:r>
            <w:r w:rsidRPr="00706F48">
              <w:rPr>
                <w:sz w:val="20"/>
                <w:szCs w:val="20"/>
              </w:rPr>
              <w:t>, below</w:t>
            </w:r>
            <w:r w:rsidR="005D0EEE" w:rsidRPr="00706F48">
              <w:rPr>
                <w:sz w:val="20"/>
                <w:szCs w:val="20"/>
              </w:rPr>
              <w:t>.</w:t>
            </w:r>
          </w:p>
          <w:p w14:paraId="63F3A319" w14:textId="77777777" w:rsidR="00FB0B92" w:rsidRPr="00706F48" w:rsidRDefault="00FB0B92" w:rsidP="00FB0B92">
            <w:pPr>
              <w:pStyle w:val="ListBullet"/>
              <w:rPr>
                <w:sz w:val="20"/>
                <w:szCs w:val="20"/>
              </w:rPr>
            </w:pPr>
            <w:r w:rsidRPr="00706F48">
              <w:rPr>
                <w:sz w:val="20"/>
                <w:szCs w:val="20"/>
              </w:rPr>
              <w:t>Crossover was not permitted.</w:t>
            </w:r>
          </w:p>
          <w:p w14:paraId="14C4D77E" w14:textId="77777777" w:rsidR="00FB0B92" w:rsidRPr="00706F48" w:rsidRDefault="00FB0B92" w:rsidP="00706F48">
            <w:pPr>
              <w:pStyle w:val="ListBullet2"/>
              <w:rPr>
                <w:sz w:val="20"/>
                <w:szCs w:val="20"/>
              </w:rPr>
            </w:pPr>
            <w:r w:rsidRPr="00706F48">
              <w:rPr>
                <w:sz w:val="20"/>
                <w:szCs w:val="20"/>
              </w:rPr>
              <w:t xml:space="preserve">Dose selection was based on doses studied in </w:t>
            </w:r>
            <w:r w:rsidR="00706F48" w:rsidRPr="00706F48">
              <w:rPr>
                <w:sz w:val="20"/>
                <w:szCs w:val="20"/>
              </w:rPr>
              <w:t xml:space="preserve">Study </w:t>
            </w:r>
            <w:r w:rsidR="00130658">
              <w:rPr>
                <w:sz w:val="20"/>
                <w:szCs w:val="20"/>
              </w:rPr>
              <w:t xml:space="preserve">ONT-380-005. For tucatinib </w:t>
            </w:r>
            <w:r w:rsidRPr="00706F48">
              <w:rPr>
                <w:sz w:val="20"/>
                <w:szCs w:val="20"/>
              </w:rPr>
              <w:t xml:space="preserve">this was the </w:t>
            </w:r>
            <w:r w:rsidR="00706F48">
              <w:rPr>
                <w:sz w:val="20"/>
                <w:szCs w:val="20"/>
              </w:rPr>
              <w:t>recommended Phase II</w:t>
            </w:r>
            <w:r w:rsidR="00706F48" w:rsidRPr="00706F48">
              <w:rPr>
                <w:sz w:val="20"/>
                <w:szCs w:val="20"/>
              </w:rPr>
              <w:t xml:space="preserve"> dose</w:t>
            </w:r>
            <w:r w:rsidR="00706F48">
              <w:rPr>
                <w:sz w:val="20"/>
                <w:szCs w:val="20"/>
              </w:rPr>
              <w:t xml:space="preserve"> from Study</w:t>
            </w:r>
            <w:r w:rsidR="00D47EC3">
              <w:rPr>
                <w:sz w:val="20"/>
                <w:szCs w:val="20"/>
              </w:rPr>
              <w:t> ONT</w:t>
            </w:r>
            <w:r w:rsidR="00D47EC3">
              <w:rPr>
                <w:sz w:val="20"/>
                <w:szCs w:val="20"/>
              </w:rPr>
              <w:noBreakHyphen/>
              <w:t>380</w:t>
            </w:r>
            <w:r w:rsidR="00D47EC3">
              <w:rPr>
                <w:sz w:val="20"/>
                <w:szCs w:val="20"/>
              </w:rPr>
              <w:noBreakHyphen/>
            </w:r>
            <w:r w:rsidRPr="00706F48">
              <w:rPr>
                <w:sz w:val="20"/>
                <w:szCs w:val="20"/>
              </w:rPr>
              <w:t>005. The selected trastuzumab and capecitabine dose regimens are consistent with those used in Australian clinical practice.</w:t>
            </w:r>
          </w:p>
          <w:p w14:paraId="5E8BB558" w14:textId="77777777" w:rsidR="00FB0B92" w:rsidRPr="00706F48" w:rsidRDefault="00FB0B92" w:rsidP="00FB0B92">
            <w:pPr>
              <w:pStyle w:val="ListBullet"/>
              <w:rPr>
                <w:sz w:val="20"/>
                <w:szCs w:val="20"/>
              </w:rPr>
            </w:pPr>
            <w:r w:rsidRPr="00706F48">
              <w:rPr>
                <w:sz w:val="20"/>
                <w:szCs w:val="20"/>
              </w:rPr>
              <w:t>Anti-diarrhoeal prophylaxis was not specified in the protocol, so was at investigator discretion.</w:t>
            </w:r>
          </w:p>
          <w:p w14:paraId="30B8D021" w14:textId="77777777" w:rsidR="00FB0B92" w:rsidRPr="00706F48" w:rsidRDefault="00FB0B92" w:rsidP="00FB0B92">
            <w:pPr>
              <w:pStyle w:val="ListBullet"/>
              <w:rPr>
                <w:sz w:val="20"/>
                <w:szCs w:val="20"/>
              </w:rPr>
            </w:pPr>
            <w:r w:rsidRPr="00706F48">
              <w:rPr>
                <w:sz w:val="20"/>
                <w:szCs w:val="20"/>
              </w:rPr>
              <w:t>No reductions</w:t>
            </w:r>
            <w:r w:rsidR="00D47EC3">
              <w:rPr>
                <w:sz w:val="20"/>
                <w:szCs w:val="20"/>
              </w:rPr>
              <w:t xml:space="preserve"> of trastuzumab were permitted.</w:t>
            </w:r>
          </w:p>
          <w:p w14:paraId="3D154FB0" w14:textId="77777777" w:rsidR="00FB0B92" w:rsidRPr="00706F48" w:rsidRDefault="00FB0B92" w:rsidP="00FB0B92">
            <w:pPr>
              <w:pStyle w:val="ListBullet"/>
              <w:rPr>
                <w:sz w:val="20"/>
                <w:szCs w:val="20"/>
              </w:rPr>
            </w:pPr>
            <w:r w:rsidRPr="00706F48">
              <w:rPr>
                <w:sz w:val="20"/>
                <w:szCs w:val="20"/>
              </w:rPr>
              <w:t>Discontinuation entailed discontinuation of all study treatment, unless only capecitabine or only trastuzumab was discontinued.</w:t>
            </w:r>
          </w:p>
          <w:p w14:paraId="759EFAA3" w14:textId="77777777" w:rsidR="00FB0B92" w:rsidRPr="00706F48" w:rsidRDefault="00FB0B92" w:rsidP="00FB0B92">
            <w:pPr>
              <w:pStyle w:val="ListBullet"/>
              <w:rPr>
                <w:sz w:val="20"/>
                <w:szCs w:val="20"/>
              </w:rPr>
            </w:pPr>
            <w:r w:rsidRPr="00706F48">
              <w:rPr>
                <w:sz w:val="20"/>
                <w:szCs w:val="20"/>
              </w:rPr>
              <w:t>Dosing was with food for capecitabine and otherwise unrestricted</w:t>
            </w:r>
            <w:r w:rsidR="00D47EC3">
              <w:rPr>
                <w:sz w:val="20"/>
                <w:szCs w:val="20"/>
              </w:rPr>
              <w:t>.</w:t>
            </w:r>
          </w:p>
          <w:p w14:paraId="6F022809" w14:textId="77777777" w:rsidR="00FB0B92" w:rsidRPr="00706F48" w:rsidRDefault="00FB0B92" w:rsidP="00FB0B92">
            <w:pPr>
              <w:pStyle w:val="ListBullet"/>
              <w:rPr>
                <w:sz w:val="20"/>
                <w:szCs w:val="20"/>
              </w:rPr>
            </w:pPr>
            <w:r w:rsidRPr="00706F48">
              <w:rPr>
                <w:sz w:val="20"/>
                <w:szCs w:val="20"/>
              </w:rPr>
              <w:t>Concurrent use of strong CYP2C8 or CYP3A4 inhibitors or inducers was not allowed. If the use of sensitive CYP3A substrates was unavoidable, dose reduction of CYP3A substrates with narrow therapeutic indices and/or increased monitoring was recommended.</w:t>
            </w:r>
          </w:p>
          <w:p w14:paraId="40C6E5F8" w14:textId="77777777" w:rsidR="00FB0B92" w:rsidRPr="00706F48" w:rsidRDefault="00706F48" w:rsidP="00FB0B92">
            <w:pPr>
              <w:pStyle w:val="ListBullet"/>
              <w:rPr>
                <w:sz w:val="20"/>
                <w:szCs w:val="20"/>
              </w:rPr>
            </w:pPr>
            <w:r>
              <w:rPr>
                <w:sz w:val="20"/>
                <w:szCs w:val="20"/>
              </w:rPr>
              <w:t>Imaging: at B</w:t>
            </w:r>
            <w:r w:rsidR="00FB0B92" w:rsidRPr="00706F48">
              <w:rPr>
                <w:sz w:val="20"/>
                <w:szCs w:val="20"/>
              </w:rPr>
              <w:t>aseline, every 6 weeks for the first 24 weeks, every</w:t>
            </w:r>
            <w:r>
              <w:rPr>
                <w:sz w:val="20"/>
                <w:szCs w:val="20"/>
              </w:rPr>
              <w:t xml:space="preserve"> 9 weeks thereafter, and at end</w:t>
            </w:r>
            <w:r w:rsidR="003262C1">
              <w:rPr>
                <w:sz w:val="20"/>
                <w:szCs w:val="20"/>
              </w:rPr>
              <w:t xml:space="preserve"> of treatment to</w:t>
            </w:r>
            <w:r>
              <w:rPr>
                <w:sz w:val="20"/>
                <w:szCs w:val="20"/>
              </w:rPr>
              <w:t xml:space="preserve"> </w:t>
            </w:r>
            <w:r w:rsidR="00FB0B92" w:rsidRPr="00706F48">
              <w:rPr>
                <w:sz w:val="20"/>
                <w:szCs w:val="20"/>
              </w:rPr>
              <w:t>30 days after last study treatment dose.</w:t>
            </w:r>
          </w:p>
        </w:tc>
      </w:tr>
      <w:tr w:rsidR="00B51ED1" w:rsidRPr="00FB0B92" w14:paraId="7CAB8DD6" w14:textId="77777777" w:rsidTr="0044586C">
        <w:tc>
          <w:tcPr>
            <w:tcW w:w="989" w:type="pct"/>
            <w:vMerge w:val="restart"/>
          </w:tcPr>
          <w:p w14:paraId="753C9B2F" w14:textId="77777777" w:rsidR="00B51ED1" w:rsidRPr="003262C1" w:rsidRDefault="00B51ED1" w:rsidP="00706F48">
            <w:pPr>
              <w:ind w:left="0"/>
              <w:rPr>
                <w:b/>
                <w:sz w:val="20"/>
                <w:szCs w:val="20"/>
                <w:lang w:eastAsia="en-US"/>
              </w:rPr>
            </w:pPr>
            <w:r w:rsidRPr="003262C1">
              <w:rPr>
                <w:b/>
                <w:sz w:val="20"/>
                <w:szCs w:val="20"/>
                <w:lang w:eastAsia="en-US"/>
              </w:rPr>
              <w:t>Eligibility</w:t>
            </w:r>
          </w:p>
        </w:tc>
        <w:tc>
          <w:tcPr>
            <w:tcW w:w="1914" w:type="pct"/>
          </w:tcPr>
          <w:p w14:paraId="311A6105" w14:textId="77777777" w:rsidR="00B51ED1" w:rsidRPr="00130658" w:rsidRDefault="00B51ED1" w:rsidP="00706F48">
            <w:pPr>
              <w:ind w:left="0"/>
              <w:rPr>
                <w:b/>
                <w:sz w:val="20"/>
                <w:szCs w:val="20"/>
                <w:lang w:eastAsia="en-US"/>
              </w:rPr>
            </w:pPr>
            <w:r w:rsidRPr="00130658">
              <w:rPr>
                <w:b/>
                <w:sz w:val="20"/>
                <w:szCs w:val="20"/>
                <w:lang w:eastAsia="en-US"/>
              </w:rPr>
              <w:t>Key inclusion criteria</w:t>
            </w:r>
          </w:p>
          <w:p w14:paraId="5C08DBE6" w14:textId="77777777" w:rsidR="00B51ED1" w:rsidRPr="00706F48" w:rsidRDefault="00B51ED1" w:rsidP="00706F48">
            <w:pPr>
              <w:pStyle w:val="ListBullet"/>
              <w:rPr>
                <w:sz w:val="20"/>
                <w:szCs w:val="20"/>
              </w:rPr>
            </w:pPr>
            <w:r w:rsidRPr="00706F48">
              <w:rPr>
                <w:sz w:val="20"/>
                <w:szCs w:val="20"/>
              </w:rPr>
              <w:t xml:space="preserve">Histologically confirmed breast cancer that is HER2-positive by </w:t>
            </w:r>
            <w:r w:rsidR="00706F48" w:rsidRPr="00706F48">
              <w:rPr>
                <w:rFonts w:cs="Arial"/>
                <w:i/>
                <w:iCs/>
                <w:color w:val="000000"/>
                <w:sz w:val="20"/>
                <w:szCs w:val="20"/>
                <w:shd w:val="clear" w:color="auto" w:fill="FFFFFF"/>
              </w:rPr>
              <w:t>in situ</w:t>
            </w:r>
            <w:r w:rsidR="00706F48" w:rsidRPr="00706F48">
              <w:rPr>
                <w:rFonts w:cs="Arial"/>
                <w:color w:val="000000"/>
                <w:sz w:val="20"/>
                <w:szCs w:val="20"/>
                <w:shd w:val="clear" w:color="auto" w:fill="FFFFFF"/>
              </w:rPr>
              <w:t> hybridisation</w:t>
            </w:r>
            <w:r w:rsidR="00706F48" w:rsidRPr="00706F48">
              <w:rPr>
                <w:sz w:val="20"/>
                <w:szCs w:val="20"/>
              </w:rPr>
              <w:t xml:space="preserve">, fluorescence </w:t>
            </w:r>
            <w:r w:rsidR="00706F48" w:rsidRPr="00706F48">
              <w:rPr>
                <w:rFonts w:cs="Arial"/>
                <w:i/>
                <w:iCs/>
                <w:color w:val="000000"/>
                <w:sz w:val="20"/>
                <w:szCs w:val="20"/>
                <w:shd w:val="clear" w:color="auto" w:fill="FFFFFF"/>
              </w:rPr>
              <w:t>in situ</w:t>
            </w:r>
            <w:r w:rsidR="00706F48" w:rsidRPr="00706F48">
              <w:rPr>
                <w:rFonts w:cs="Arial"/>
                <w:color w:val="000000"/>
                <w:sz w:val="20"/>
                <w:szCs w:val="20"/>
                <w:shd w:val="clear" w:color="auto" w:fill="FFFFFF"/>
              </w:rPr>
              <w:t> hybridisation </w:t>
            </w:r>
            <w:r w:rsidRPr="00706F48">
              <w:rPr>
                <w:sz w:val="20"/>
                <w:szCs w:val="20"/>
              </w:rPr>
              <w:t xml:space="preserve"> or </w:t>
            </w:r>
            <w:r w:rsidR="00706F48" w:rsidRPr="00706F48">
              <w:rPr>
                <w:rFonts w:cs="Arial"/>
                <w:color w:val="000000"/>
                <w:sz w:val="20"/>
                <w:szCs w:val="20"/>
                <w:shd w:val="clear" w:color="auto" w:fill="FFFFFF"/>
              </w:rPr>
              <w:t>immunohistochemistry</w:t>
            </w:r>
            <w:r w:rsidRPr="00706F48">
              <w:rPr>
                <w:sz w:val="20"/>
                <w:szCs w:val="20"/>
              </w:rPr>
              <w:t xml:space="preserve"> (centrally confirmed following </w:t>
            </w:r>
            <w:r w:rsidR="00706F48" w:rsidRPr="00706F48">
              <w:rPr>
                <w:sz w:val="20"/>
                <w:szCs w:val="20"/>
              </w:rPr>
              <w:t>American Society of Clinical Oncology</w:t>
            </w:r>
            <w:r w:rsidRPr="00706F48">
              <w:rPr>
                <w:sz w:val="20"/>
                <w:szCs w:val="20"/>
              </w:rPr>
              <w:t xml:space="preserve"> guidelines)</w:t>
            </w:r>
          </w:p>
          <w:p w14:paraId="5AE8F3A6" w14:textId="77777777" w:rsidR="00B51ED1" w:rsidRPr="00706F48" w:rsidRDefault="00B51ED1" w:rsidP="00D267C1">
            <w:pPr>
              <w:pStyle w:val="ListBullet"/>
              <w:rPr>
                <w:sz w:val="20"/>
                <w:szCs w:val="20"/>
              </w:rPr>
            </w:pPr>
            <w:r w:rsidRPr="00706F48">
              <w:rPr>
                <w:sz w:val="20"/>
                <w:szCs w:val="20"/>
              </w:rPr>
              <w:t xml:space="preserve">Previous treatment with trastuzumab, </w:t>
            </w:r>
            <w:proofErr w:type="spellStart"/>
            <w:r w:rsidRPr="00706F48">
              <w:rPr>
                <w:sz w:val="20"/>
                <w:szCs w:val="20"/>
              </w:rPr>
              <w:t>pertuzumab</w:t>
            </w:r>
            <w:proofErr w:type="spellEnd"/>
            <w:r w:rsidRPr="00706F48">
              <w:rPr>
                <w:sz w:val="20"/>
                <w:szCs w:val="20"/>
              </w:rPr>
              <w:t xml:space="preserve">, and T-DM1 in the </w:t>
            </w:r>
            <w:proofErr w:type="spellStart"/>
            <w:r w:rsidRPr="00706F48">
              <w:rPr>
                <w:sz w:val="20"/>
                <w:szCs w:val="20"/>
              </w:rPr>
              <w:t>neoadjuvant</w:t>
            </w:r>
            <w:proofErr w:type="spellEnd"/>
            <w:r w:rsidRPr="00706F48">
              <w:rPr>
                <w:sz w:val="20"/>
                <w:szCs w:val="20"/>
              </w:rPr>
              <w:t>, adjuvant or metastatic setting</w:t>
            </w:r>
          </w:p>
          <w:p w14:paraId="35D81321" w14:textId="77777777" w:rsidR="00B51ED1" w:rsidRPr="00706F48" w:rsidRDefault="00B51ED1" w:rsidP="00D267C1">
            <w:pPr>
              <w:pStyle w:val="ListBullet"/>
              <w:rPr>
                <w:sz w:val="20"/>
                <w:szCs w:val="20"/>
              </w:rPr>
            </w:pPr>
            <w:r w:rsidRPr="00706F48">
              <w:rPr>
                <w:sz w:val="20"/>
                <w:szCs w:val="20"/>
              </w:rPr>
              <w:t xml:space="preserve">Progression of locally advanced unresectable or </w:t>
            </w:r>
            <w:r w:rsidR="00683FE0" w:rsidRPr="00706F48">
              <w:rPr>
                <w:sz w:val="20"/>
                <w:szCs w:val="20"/>
              </w:rPr>
              <w:t>metastatic breast cancer</w:t>
            </w:r>
            <w:r w:rsidRPr="00706F48">
              <w:rPr>
                <w:sz w:val="20"/>
                <w:szCs w:val="20"/>
              </w:rPr>
              <w:t xml:space="preserve"> after last systemic therapy (as confirmed by investigator), or was intolerant of last systemic therapy</w:t>
            </w:r>
          </w:p>
          <w:p w14:paraId="3D629B13" w14:textId="77777777" w:rsidR="00B51ED1" w:rsidRPr="00706F48" w:rsidRDefault="00B51ED1" w:rsidP="00D267C1">
            <w:pPr>
              <w:pStyle w:val="ListBullet"/>
              <w:rPr>
                <w:sz w:val="20"/>
                <w:szCs w:val="20"/>
              </w:rPr>
            </w:pPr>
            <w:r w:rsidRPr="00706F48">
              <w:rPr>
                <w:sz w:val="20"/>
                <w:szCs w:val="20"/>
              </w:rPr>
              <w:t>Consenting adults ≥</w:t>
            </w:r>
            <w:r w:rsidR="00130658">
              <w:rPr>
                <w:sz w:val="20"/>
                <w:szCs w:val="20"/>
              </w:rPr>
              <w:t xml:space="preserve"> </w:t>
            </w:r>
            <w:r w:rsidRPr="00706F48">
              <w:rPr>
                <w:sz w:val="20"/>
                <w:szCs w:val="20"/>
              </w:rPr>
              <w:t>18 years of age</w:t>
            </w:r>
          </w:p>
          <w:p w14:paraId="0AE409B0" w14:textId="77777777" w:rsidR="00B51ED1" w:rsidRPr="00130658" w:rsidRDefault="00B51ED1" w:rsidP="00130658">
            <w:pPr>
              <w:pStyle w:val="ListBullet"/>
              <w:rPr>
                <w:sz w:val="20"/>
                <w:szCs w:val="20"/>
              </w:rPr>
            </w:pPr>
            <w:r w:rsidRPr="00130658">
              <w:rPr>
                <w:sz w:val="20"/>
                <w:szCs w:val="20"/>
              </w:rPr>
              <w:t xml:space="preserve">Measurable or unmeasurable disease per </w:t>
            </w:r>
            <w:r w:rsidR="00130658" w:rsidRPr="00130658">
              <w:rPr>
                <w:sz w:val="20"/>
                <w:szCs w:val="20"/>
              </w:rPr>
              <w:t>Response Evaluation Criteria in Solid Tumours (</w:t>
            </w:r>
            <w:r w:rsidRPr="00130658">
              <w:rPr>
                <w:sz w:val="20"/>
                <w:szCs w:val="20"/>
              </w:rPr>
              <w:t>RECIST</w:t>
            </w:r>
            <w:r w:rsidR="00130658" w:rsidRPr="00130658">
              <w:rPr>
                <w:sz w:val="20"/>
                <w:szCs w:val="20"/>
              </w:rPr>
              <w:t>) V</w:t>
            </w:r>
            <w:r w:rsidR="00130658">
              <w:rPr>
                <w:sz w:val="20"/>
                <w:szCs w:val="20"/>
              </w:rPr>
              <w:t>1.1</w:t>
            </w:r>
          </w:p>
          <w:p w14:paraId="695459FC" w14:textId="77777777" w:rsidR="00B51ED1" w:rsidRPr="00706F48" w:rsidRDefault="00130658" w:rsidP="00D267C1">
            <w:pPr>
              <w:pStyle w:val="ListBullet"/>
              <w:rPr>
                <w:sz w:val="20"/>
                <w:szCs w:val="20"/>
              </w:rPr>
            </w:pPr>
            <w:r w:rsidRPr="00130658">
              <w:rPr>
                <w:rFonts w:cs="Arial"/>
                <w:color w:val="auto"/>
                <w:sz w:val="20"/>
                <w:szCs w:val="20"/>
                <w:shd w:val="clear" w:color="auto" w:fill="FFFFFF"/>
              </w:rPr>
              <w:t>Eastern Cooperative Oncology Group</w:t>
            </w:r>
            <w:r w:rsidRPr="00130658">
              <w:rPr>
                <w:color w:val="auto"/>
                <w:sz w:val="20"/>
                <w:szCs w:val="20"/>
              </w:rPr>
              <w:t xml:space="preserve"> </w:t>
            </w:r>
            <w:r>
              <w:rPr>
                <w:sz w:val="20"/>
                <w:szCs w:val="20"/>
              </w:rPr>
              <w:t>performance status (</w:t>
            </w:r>
            <w:r w:rsidR="00B51ED1" w:rsidRPr="00706F48">
              <w:rPr>
                <w:sz w:val="20"/>
                <w:szCs w:val="20"/>
              </w:rPr>
              <w:t>ECOG PS</w:t>
            </w:r>
            <w:r>
              <w:rPr>
                <w:sz w:val="20"/>
                <w:szCs w:val="20"/>
              </w:rPr>
              <w:t>)</w:t>
            </w:r>
            <w:r w:rsidR="00B51ED1" w:rsidRPr="00706F48">
              <w:rPr>
                <w:sz w:val="20"/>
                <w:szCs w:val="20"/>
              </w:rPr>
              <w:t xml:space="preserve"> 0 or 1</w:t>
            </w:r>
          </w:p>
        </w:tc>
        <w:tc>
          <w:tcPr>
            <w:tcW w:w="2097" w:type="pct"/>
          </w:tcPr>
          <w:p w14:paraId="640D0976" w14:textId="77777777" w:rsidR="00B51ED1" w:rsidRPr="00130658" w:rsidRDefault="00B51ED1" w:rsidP="00706F48">
            <w:pPr>
              <w:ind w:left="0"/>
              <w:rPr>
                <w:b/>
                <w:sz w:val="20"/>
                <w:szCs w:val="20"/>
                <w:lang w:eastAsia="en-US"/>
              </w:rPr>
            </w:pPr>
            <w:r w:rsidRPr="00130658">
              <w:rPr>
                <w:b/>
                <w:sz w:val="20"/>
                <w:szCs w:val="20"/>
                <w:lang w:eastAsia="en-US"/>
              </w:rPr>
              <w:t>Key exclusion criteria</w:t>
            </w:r>
          </w:p>
          <w:p w14:paraId="6330E9CD" w14:textId="77777777" w:rsidR="00B51ED1" w:rsidRPr="00706F48" w:rsidRDefault="00B51ED1" w:rsidP="00706F48">
            <w:pPr>
              <w:ind w:left="0"/>
              <w:rPr>
                <w:rFonts w:eastAsia="Times New Roman"/>
                <w:kern w:val="16"/>
                <w:sz w:val="20"/>
                <w:szCs w:val="20"/>
              </w:rPr>
            </w:pPr>
            <w:r w:rsidRPr="00706F48">
              <w:rPr>
                <w:rFonts w:eastAsia="Times New Roman"/>
                <w:kern w:val="16"/>
                <w:sz w:val="20"/>
                <w:szCs w:val="20"/>
              </w:rPr>
              <w:t>Previously treated with:</w:t>
            </w:r>
          </w:p>
          <w:p w14:paraId="668659ED" w14:textId="77777777" w:rsidR="00B51ED1" w:rsidRPr="00706F48" w:rsidRDefault="00B51ED1" w:rsidP="00D267C1">
            <w:pPr>
              <w:pStyle w:val="ListBullet"/>
              <w:rPr>
                <w:sz w:val="20"/>
                <w:szCs w:val="20"/>
              </w:rPr>
            </w:pPr>
            <w:proofErr w:type="spellStart"/>
            <w:r w:rsidRPr="00706F48">
              <w:rPr>
                <w:sz w:val="20"/>
                <w:szCs w:val="20"/>
              </w:rPr>
              <w:t>Lapatinib</w:t>
            </w:r>
            <w:proofErr w:type="spellEnd"/>
            <w:r w:rsidRPr="00706F48">
              <w:rPr>
                <w:sz w:val="20"/>
                <w:szCs w:val="20"/>
              </w:rPr>
              <w:t xml:space="preserve"> within 12 months of starting study treatment (except in cases where </w:t>
            </w:r>
            <w:proofErr w:type="spellStart"/>
            <w:r w:rsidRPr="00706F48">
              <w:rPr>
                <w:sz w:val="20"/>
                <w:szCs w:val="20"/>
              </w:rPr>
              <w:t>lapatinib</w:t>
            </w:r>
            <w:proofErr w:type="spellEnd"/>
            <w:r w:rsidRPr="00706F48">
              <w:rPr>
                <w:sz w:val="20"/>
                <w:szCs w:val="20"/>
              </w:rPr>
              <w:t xml:space="preserve"> was given for ≤</w:t>
            </w:r>
            <w:r w:rsidR="00130658">
              <w:rPr>
                <w:sz w:val="20"/>
                <w:szCs w:val="20"/>
              </w:rPr>
              <w:t> </w:t>
            </w:r>
            <w:r w:rsidRPr="00706F48">
              <w:rPr>
                <w:sz w:val="20"/>
                <w:szCs w:val="20"/>
              </w:rPr>
              <w:t>21 days and was discontinued for reasons other than disease progression or severe toxicity)</w:t>
            </w:r>
          </w:p>
          <w:p w14:paraId="4B34CDFC" w14:textId="77777777" w:rsidR="00B51ED1" w:rsidRPr="00130658" w:rsidRDefault="00B51ED1" w:rsidP="00130658">
            <w:pPr>
              <w:pStyle w:val="ListBullet"/>
              <w:rPr>
                <w:sz w:val="20"/>
                <w:szCs w:val="20"/>
              </w:rPr>
            </w:pPr>
            <w:r w:rsidRPr="00130658">
              <w:rPr>
                <w:sz w:val="20"/>
                <w:szCs w:val="20"/>
              </w:rPr>
              <w:t xml:space="preserve">Neratinib, </w:t>
            </w:r>
            <w:proofErr w:type="spellStart"/>
            <w:r w:rsidRPr="00130658">
              <w:rPr>
                <w:sz w:val="20"/>
                <w:szCs w:val="20"/>
              </w:rPr>
              <w:t>afatinib</w:t>
            </w:r>
            <w:proofErr w:type="spellEnd"/>
            <w:r w:rsidRPr="00130658">
              <w:rPr>
                <w:sz w:val="20"/>
                <w:szCs w:val="20"/>
              </w:rPr>
              <w:t>, or other investigational HER2/</w:t>
            </w:r>
            <w:r w:rsidR="00130658" w:rsidRPr="00130658">
              <w:rPr>
                <w:sz w:val="20"/>
                <w:szCs w:val="20"/>
              </w:rPr>
              <w:t xml:space="preserve"> epidermal growth factor receptor (</w:t>
            </w:r>
            <w:r w:rsidRPr="00130658">
              <w:rPr>
                <w:sz w:val="20"/>
                <w:szCs w:val="20"/>
              </w:rPr>
              <w:t>EGFR</w:t>
            </w:r>
            <w:r w:rsidR="00130658" w:rsidRPr="00130658">
              <w:rPr>
                <w:sz w:val="20"/>
                <w:szCs w:val="20"/>
              </w:rPr>
              <w:t>)</w:t>
            </w:r>
            <w:r w:rsidR="00130658">
              <w:rPr>
                <w:sz w:val="20"/>
                <w:szCs w:val="20"/>
              </w:rPr>
              <w:t xml:space="preserve"> or HER2 TKI at any time</w:t>
            </w:r>
          </w:p>
          <w:p w14:paraId="43CF242C" w14:textId="77777777" w:rsidR="00B51ED1" w:rsidRPr="00706F48" w:rsidRDefault="00B51ED1" w:rsidP="00D267C1">
            <w:pPr>
              <w:pStyle w:val="ListBullet"/>
              <w:rPr>
                <w:sz w:val="20"/>
                <w:szCs w:val="20"/>
              </w:rPr>
            </w:pPr>
            <w:r w:rsidRPr="00706F48">
              <w:rPr>
                <w:sz w:val="20"/>
                <w:szCs w:val="20"/>
              </w:rPr>
              <w:t>Capecitab</w:t>
            </w:r>
            <w:r w:rsidR="00130658">
              <w:rPr>
                <w:sz w:val="20"/>
                <w:szCs w:val="20"/>
              </w:rPr>
              <w:t xml:space="preserve">ine (or other </w:t>
            </w:r>
            <w:proofErr w:type="spellStart"/>
            <w:r w:rsidR="00130658">
              <w:rPr>
                <w:sz w:val="20"/>
                <w:szCs w:val="20"/>
              </w:rPr>
              <w:t>f</w:t>
            </w:r>
            <w:r w:rsidR="00B21FD6">
              <w:rPr>
                <w:sz w:val="20"/>
                <w:szCs w:val="20"/>
              </w:rPr>
              <w:t>luoropyrimidine</w:t>
            </w:r>
            <w:proofErr w:type="spellEnd"/>
            <w:r w:rsidR="00B21FD6">
              <w:rPr>
                <w:sz w:val="20"/>
                <w:szCs w:val="20"/>
              </w:rPr>
              <w:t xml:space="preserve"> (for example, 5</w:t>
            </w:r>
            <w:r w:rsidR="00B21FD6">
              <w:rPr>
                <w:sz w:val="20"/>
                <w:szCs w:val="20"/>
              </w:rPr>
              <w:noBreakHyphen/>
            </w:r>
            <w:r w:rsidR="00130658">
              <w:rPr>
                <w:sz w:val="20"/>
                <w:szCs w:val="20"/>
              </w:rPr>
              <w:t>fluorouracil)</w:t>
            </w:r>
            <w:r w:rsidRPr="00706F48">
              <w:rPr>
                <w:sz w:val="20"/>
                <w:szCs w:val="20"/>
              </w:rPr>
              <w:t>) for metastatic disease (except in cases where capecitabine was given for ≤</w:t>
            </w:r>
            <w:r w:rsidR="00D47EC3">
              <w:rPr>
                <w:sz w:val="20"/>
                <w:szCs w:val="20"/>
              </w:rPr>
              <w:t> 21 </w:t>
            </w:r>
            <w:r w:rsidRPr="00706F48">
              <w:rPr>
                <w:sz w:val="20"/>
                <w:szCs w:val="20"/>
              </w:rPr>
              <w:t xml:space="preserve">days and was discontinued for reasons other than disease </w:t>
            </w:r>
            <w:r w:rsidR="00D267C1" w:rsidRPr="00706F48">
              <w:rPr>
                <w:sz w:val="20"/>
                <w:szCs w:val="20"/>
              </w:rPr>
              <w:t>progression or severe toxicity)</w:t>
            </w:r>
          </w:p>
        </w:tc>
      </w:tr>
      <w:tr w:rsidR="00B51ED1" w:rsidRPr="00FB0B92" w14:paraId="57E51649" w14:textId="77777777" w:rsidTr="0044586C">
        <w:tc>
          <w:tcPr>
            <w:tcW w:w="989" w:type="pct"/>
            <w:vMerge/>
          </w:tcPr>
          <w:p w14:paraId="5C6D537C" w14:textId="77777777" w:rsidR="00B51ED1" w:rsidRPr="003262C1" w:rsidRDefault="00B51ED1" w:rsidP="00706F48">
            <w:pPr>
              <w:spacing w:before="0" w:after="0" w:line="240" w:lineRule="auto"/>
              <w:ind w:left="0"/>
              <w:contextualSpacing/>
              <w:rPr>
                <w:b/>
                <w:sz w:val="20"/>
                <w:szCs w:val="20"/>
                <w:highlight w:val="yellow"/>
              </w:rPr>
            </w:pPr>
          </w:p>
        </w:tc>
        <w:tc>
          <w:tcPr>
            <w:tcW w:w="4011" w:type="pct"/>
            <w:gridSpan w:val="2"/>
          </w:tcPr>
          <w:p w14:paraId="6928A8EA" w14:textId="77777777" w:rsidR="00B51ED1" w:rsidRPr="00706F48" w:rsidRDefault="00B51ED1" w:rsidP="00130658">
            <w:pPr>
              <w:ind w:left="0"/>
              <w:rPr>
                <w:b/>
                <w:sz w:val="20"/>
                <w:szCs w:val="20"/>
              </w:rPr>
            </w:pPr>
            <w:r w:rsidRPr="00706F48">
              <w:rPr>
                <w:b/>
                <w:sz w:val="20"/>
                <w:szCs w:val="20"/>
              </w:rPr>
              <w:t xml:space="preserve">Contrast brain MRI at baseline for additional </w:t>
            </w:r>
            <w:r w:rsidR="00B21FD6">
              <w:rPr>
                <w:b/>
                <w:sz w:val="20"/>
                <w:szCs w:val="20"/>
              </w:rPr>
              <w:t>central nervous system (</w:t>
            </w:r>
            <w:r w:rsidRPr="00706F48">
              <w:rPr>
                <w:b/>
                <w:sz w:val="20"/>
                <w:szCs w:val="20"/>
              </w:rPr>
              <w:t>C</w:t>
            </w:r>
            <w:r w:rsidR="00D267C1" w:rsidRPr="00706F48">
              <w:rPr>
                <w:b/>
                <w:sz w:val="20"/>
                <w:szCs w:val="20"/>
              </w:rPr>
              <w:t>NS</w:t>
            </w:r>
            <w:r w:rsidR="00B21FD6">
              <w:rPr>
                <w:b/>
                <w:sz w:val="20"/>
                <w:szCs w:val="20"/>
              </w:rPr>
              <w:t>)</w:t>
            </w:r>
            <w:r w:rsidR="00D267C1" w:rsidRPr="00706F48">
              <w:rPr>
                <w:b/>
                <w:sz w:val="20"/>
                <w:szCs w:val="20"/>
              </w:rPr>
              <w:t>-specific inclusion/exclusion</w:t>
            </w:r>
          </w:p>
        </w:tc>
      </w:tr>
      <w:tr w:rsidR="00B51ED1" w:rsidRPr="00FB0B92" w14:paraId="59255859" w14:textId="77777777" w:rsidTr="0044586C">
        <w:tc>
          <w:tcPr>
            <w:tcW w:w="989" w:type="pct"/>
            <w:vMerge/>
          </w:tcPr>
          <w:p w14:paraId="0A94E356" w14:textId="77777777" w:rsidR="00B51ED1" w:rsidRPr="003262C1" w:rsidRDefault="00B51ED1" w:rsidP="00706F48">
            <w:pPr>
              <w:spacing w:before="0" w:after="0" w:line="240" w:lineRule="auto"/>
              <w:ind w:left="0"/>
              <w:contextualSpacing/>
              <w:rPr>
                <w:b/>
                <w:sz w:val="20"/>
                <w:szCs w:val="20"/>
                <w:highlight w:val="yellow"/>
              </w:rPr>
            </w:pPr>
          </w:p>
        </w:tc>
        <w:tc>
          <w:tcPr>
            <w:tcW w:w="1914" w:type="pct"/>
          </w:tcPr>
          <w:p w14:paraId="0CE2148A" w14:textId="77777777" w:rsidR="00B51ED1" w:rsidRPr="00706F48" w:rsidRDefault="00B51ED1" w:rsidP="00130658">
            <w:pPr>
              <w:ind w:left="0"/>
              <w:rPr>
                <w:b/>
                <w:sz w:val="20"/>
                <w:szCs w:val="20"/>
              </w:rPr>
            </w:pPr>
            <w:r w:rsidRPr="00706F48">
              <w:rPr>
                <w:b/>
                <w:sz w:val="20"/>
                <w:szCs w:val="20"/>
              </w:rPr>
              <w:t>CNS inclusion</w:t>
            </w:r>
          </w:p>
          <w:p w14:paraId="583AB1BF" w14:textId="77777777" w:rsidR="00B51ED1" w:rsidRPr="00706F48" w:rsidRDefault="00B51ED1" w:rsidP="00130658">
            <w:pPr>
              <w:ind w:left="0"/>
              <w:rPr>
                <w:sz w:val="20"/>
                <w:szCs w:val="20"/>
              </w:rPr>
            </w:pPr>
            <w:r w:rsidRPr="00706F48">
              <w:rPr>
                <w:sz w:val="20"/>
                <w:szCs w:val="20"/>
              </w:rPr>
              <w:t>Any of:</w:t>
            </w:r>
          </w:p>
          <w:p w14:paraId="5EC1CE64" w14:textId="77777777" w:rsidR="00B51ED1" w:rsidRPr="00706F48" w:rsidRDefault="00B51ED1" w:rsidP="00D267C1">
            <w:pPr>
              <w:pStyle w:val="ListBullet"/>
              <w:rPr>
                <w:sz w:val="20"/>
                <w:szCs w:val="20"/>
              </w:rPr>
            </w:pPr>
            <w:r w:rsidRPr="00706F48">
              <w:rPr>
                <w:sz w:val="20"/>
                <w:szCs w:val="20"/>
              </w:rPr>
              <w:t>No brain metastases</w:t>
            </w:r>
          </w:p>
          <w:p w14:paraId="4C17C2A5" w14:textId="77777777" w:rsidR="00B51ED1" w:rsidRPr="00706F48" w:rsidRDefault="00B51ED1" w:rsidP="00D267C1">
            <w:pPr>
              <w:pStyle w:val="ListBullet"/>
              <w:rPr>
                <w:sz w:val="20"/>
                <w:szCs w:val="20"/>
              </w:rPr>
            </w:pPr>
            <w:r w:rsidRPr="00706F48">
              <w:rPr>
                <w:sz w:val="20"/>
                <w:szCs w:val="20"/>
              </w:rPr>
              <w:t>Untreated brain lesions not needing immediate local therapy, &lt; 2</w:t>
            </w:r>
            <w:r w:rsidR="00130658">
              <w:rPr>
                <w:sz w:val="20"/>
                <w:szCs w:val="20"/>
              </w:rPr>
              <w:t xml:space="preserve"> </w:t>
            </w:r>
            <w:r w:rsidRPr="00706F48">
              <w:rPr>
                <w:sz w:val="20"/>
                <w:szCs w:val="20"/>
              </w:rPr>
              <w:t>cm diameter (unless medical monitor approved)</w:t>
            </w:r>
          </w:p>
          <w:p w14:paraId="4693187F" w14:textId="77777777" w:rsidR="00B51ED1" w:rsidRPr="00706F48" w:rsidRDefault="00B51ED1" w:rsidP="00D267C1">
            <w:pPr>
              <w:pStyle w:val="ListBullet"/>
              <w:rPr>
                <w:sz w:val="20"/>
                <w:szCs w:val="20"/>
              </w:rPr>
            </w:pPr>
            <w:r w:rsidRPr="00706F48">
              <w:rPr>
                <w:sz w:val="20"/>
                <w:szCs w:val="20"/>
              </w:rPr>
              <w:t>Previously treated brain metastases</w:t>
            </w:r>
          </w:p>
          <w:p w14:paraId="141F90D6" w14:textId="77777777" w:rsidR="00B51ED1" w:rsidRPr="00706F48" w:rsidRDefault="00B51ED1" w:rsidP="00D267C1">
            <w:pPr>
              <w:pStyle w:val="ListBullet2"/>
              <w:rPr>
                <w:sz w:val="20"/>
                <w:szCs w:val="20"/>
              </w:rPr>
            </w:pPr>
            <w:r w:rsidRPr="00706F48">
              <w:rPr>
                <w:sz w:val="20"/>
                <w:szCs w:val="20"/>
              </w:rPr>
              <w:t>If found and treated on initial study screening, both:</w:t>
            </w:r>
          </w:p>
          <w:p w14:paraId="1A042D46" w14:textId="77777777" w:rsidR="00B51ED1" w:rsidRPr="00706F48" w:rsidRDefault="00B51ED1" w:rsidP="00D267C1">
            <w:pPr>
              <w:pStyle w:val="ListBullet3"/>
              <w:rPr>
                <w:sz w:val="20"/>
                <w:szCs w:val="20"/>
              </w:rPr>
            </w:pPr>
            <w:r w:rsidRPr="00706F48">
              <w:rPr>
                <w:sz w:val="20"/>
                <w:szCs w:val="20"/>
              </w:rPr>
              <w:t>First dose of study treatment had to be at least 21 days after whole brain radiation, at least 7 days after stereotactic radiosurgery, and at least 28 days after surgical resection.</w:t>
            </w:r>
          </w:p>
          <w:p w14:paraId="2D498D81" w14:textId="77777777" w:rsidR="00B51ED1" w:rsidRPr="00706F48" w:rsidRDefault="00B51ED1" w:rsidP="00D267C1">
            <w:pPr>
              <w:pStyle w:val="ListBullet3"/>
              <w:rPr>
                <w:sz w:val="20"/>
                <w:szCs w:val="20"/>
              </w:rPr>
            </w:pPr>
            <w:r w:rsidRPr="00706F48">
              <w:rPr>
                <w:sz w:val="20"/>
                <w:szCs w:val="20"/>
              </w:rPr>
              <w:t>Other sites of disease assessable by RECIST v1.1 had to be present</w:t>
            </w:r>
          </w:p>
        </w:tc>
        <w:tc>
          <w:tcPr>
            <w:tcW w:w="2097" w:type="pct"/>
          </w:tcPr>
          <w:p w14:paraId="79C654BE" w14:textId="77777777" w:rsidR="00B51ED1" w:rsidRPr="00706F48" w:rsidRDefault="00B51ED1" w:rsidP="00130658">
            <w:pPr>
              <w:ind w:left="0"/>
              <w:rPr>
                <w:b/>
                <w:sz w:val="20"/>
                <w:szCs w:val="20"/>
              </w:rPr>
            </w:pPr>
            <w:r w:rsidRPr="00706F48">
              <w:rPr>
                <w:b/>
                <w:sz w:val="20"/>
                <w:szCs w:val="20"/>
              </w:rPr>
              <w:t>CNS exclusion</w:t>
            </w:r>
          </w:p>
          <w:p w14:paraId="48ADF6C8" w14:textId="77777777" w:rsidR="00B51ED1" w:rsidRPr="00706F48" w:rsidRDefault="00B51ED1" w:rsidP="00130658">
            <w:pPr>
              <w:ind w:left="0"/>
              <w:rPr>
                <w:sz w:val="20"/>
                <w:szCs w:val="20"/>
              </w:rPr>
            </w:pPr>
            <w:r w:rsidRPr="00706F48">
              <w:rPr>
                <w:sz w:val="20"/>
                <w:szCs w:val="20"/>
              </w:rPr>
              <w:t>Any of:</w:t>
            </w:r>
          </w:p>
          <w:p w14:paraId="54E136F0" w14:textId="77777777" w:rsidR="00B51ED1" w:rsidRPr="00706F48" w:rsidRDefault="00B51ED1" w:rsidP="00D267C1">
            <w:pPr>
              <w:pStyle w:val="ListBullet"/>
              <w:rPr>
                <w:sz w:val="20"/>
                <w:szCs w:val="20"/>
              </w:rPr>
            </w:pPr>
            <w:r w:rsidRPr="00706F48">
              <w:rPr>
                <w:sz w:val="20"/>
                <w:szCs w:val="20"/>
              </w:rPr>
              <w:t>Untreated brain lesions &gt;</w:t>
            </w:r>
            <w:r w:rsidR="00130658">
              <w:rPr>
                <w:sz w:val="20"/>
                <w:szCs w:val="20"/>
              </w:rPr>
              <w:t xml:space="preserve"> </w:t>
            </w:r>
            <w:r w:rsidRPr="00706F48">
              <w:rPr>
                <w:sz w:val="20"/>
                <w:szCs w:val="20"/>
              </w:rPr>
              <w:t>2 cm diameter (unless medical monitor approved)</w:t>
            </w:r>
          </w:p>
          <w:p w14:paraId="5F057EAF" w14:textId="77777777" w:rsidR="00B51ED1" w:rsidRPr="00706F48" w:rsidRDefault="00B51ED1" w:rsidP="00D267C1">
            <w:pPr>
              <w:pStyle w:val="ListBullet"/>
              <w:rPr>
                <w:sz w:val="20"/>
                <w:szCs w:val="20"/>
              </w:rPr>
            </w:pPr>
            <w:r w:rsidRPr="00706F48">
              <w:rPr>
                <w:sz w:val="20"/>
                <w:szCs w:val="20"/>
              </w:rPr>
              <w:t>Ongoing use of systemic corticosteroids for control of symptoms at equivalent of &gt;</w:t>
            </w:r>
            <w:r w:rsidR="00130658">
              <w:rPr>
                <w:sz w:val="20"/>
                <w:szCs w:val="20"/>
              </w:rPr>
              <w:t xml:space="preserve"> </w:t>
            </w:r>
            <w:r w:rsidRPr="00706F48">
              <w:rPr>
                <w:sz w:val="20"/>
                <w:szCs w:val="20"/>
              </w:rPr>
              <w:t xml:space="preserve">2 mg dexamethasone </w:t>
            </w:r>
          </w:p>
          <w:p w14:paraId="70D9F62F" w14:textId="77777777" w:rsidR="00B51ED1" w:rsidRPr="00706F48" w:rsidRDefault="00B51ED1" w:rsidP="00D267C1">
            <w:pPr>
              <w:pStyle w:val="ListBullet"/>
              <w:rPr>
                <w:sz w:val="20"/>
                <w:szCs w:val="20"/>
              </w:rPr>
            </w:pPr>
            <w:r w:rsidRPr="00706F48">
              <w:rPr>
                <w:sz w:val="20"/>
                <w:szCs w:val="20"/>
              </w:rPr>
              <w:t>Any brain lesion requiring immediate local therapy</w:t>
            </w:r>
          </w:p>
          <w:p w14:paraId="74C65784" w14:textId="77777777" w:rsidR="00B51ED1" w:rsidRPr="00706F48" w:rsidRDefault="00B51ED1" w:rsidP="00D267C1">
            <w:pPr>
              <w:pStyle w:val="ListBullet"/>
              <w:rPr>
                <w:sz w:val="20"/>
                <w:szCs w:val="20"/>
              </w:rPr>
            </w:pPr>
            <w:r w:rsidRPr="00706F48">
              <w:rPr>
                <w:sz w:val="20"/>
                <w:szCs w:val="20"/>
              </w:rPr>
              <w:t>Known or suspected leptomeningeal disease (per investigator)</w:t>
            </w:r>
          </w:p>
          <w:p w14:paraId="78185943" w14:textId="77777777" w:rsidR="00B51ED1" w:rsidRPr="00706F48" w:rsidRDefault="00B51ED1" w:rsidP="00B21FD6">
            <w:pPr>
              <w:pStyle w:val="ListBullet"/>
              <w:rPr>
                <w:sz w:val="20"/>
                <w:szCs w:val="20"/>
              </w:rPr>
            </w:pPr>
            <w:r w:rsidRPr="00706F48">
              <w:rPr>
                <w:sz w:val="20"/>
                <w:szCs w:val="20"/>
              </w:rPr>
              <w:t>Have poorly</w:t>
            </w:r>
            <w:r w:rsidR="00130658">
              <w:rPr>
                <w:sz w:val="20"/>
                <w:szCs w:val="20"/>
              </w:rPr>
              <w:t xml:space="preserve"> controlled (&gt; 1/week) generalis</w:t>
            </w:r>
            <w:r w:rsidRPr="00706F48">
              <w:rPr>
                <w:sz w:val="20"/>
                <w:szCs w:val="20"/>
              </w:rPr>
              <w:t>ed or complex partial seizures, or manifest neurologic progression due to brain</w:t>
            </w:r>
            <w:r w:rsidR="00130658">
              <w:rPr>
                <w:sz w:val="20"/>
                <w:szCs w:val="20"/>
              </w:rPr>
              <w:t xml:space="preserve"> metastases notwithstanding </w:t>
            </w:r>
            <w:r w:rsidR="00B21FD6">
              <w:rPr>
                <w:sz w:val="20"/>
                <w:szCs w:val="20"/>
              </w:rPr>
              <w:t>CNS</w:t>
            </w:r>
            <w:r w:rsidR="00130658">
              <w:rPr>
                <w:sz w:val="20"/>
                <w:szCs w:val="20"/>
              </w:rPr>
              <w:t> </w:t>
            </w:r>
            <w:r w:rsidRPr="00706F48">
              <w:rPr>
                <w:sz w:val="20"/>
                <w:szCs w:val="20"/>
              </w:rPr>
              <w:t>directed therapy</w:t>
            </w:r>
          </w:p>
        </w:tc>
      </w:tr>
      <w:tr w:rsidR="00B51ED1" w:rsidRPr="00FB0B92" w14:paraId="75637823" w14:textId="77777777" w:rsidTr="0044586C">
        <w:tc>
          <w:tcPr>
            <w:tcW w:w="989" w:type="pct"/>
          </w:tcPr>
          <w:p w14:paraId="08BB35A9" w14:textId="77777777" w:rsidR="00B51ED1" w:rsidRPr="003262C1" w:rsidRDefault="00B51ED1" w:rsidP="00706F48">
            <w:pPr>
              <w:ind w:left="0"/>
              <w:rPr>
                <w:b/>
                <w:sz w:val="20"/>
                <w:szCs w:val="20"/>
                <w:lang w:eastAsia="en-US"/>
              </w:rPr>
            </w:pPr>
            <w:r w:rsidRPr="003262C1">
              <w:rPr>
                <w:b/>
                <w:sz w:val="20"/>
                <w:szCs w:val="20"/>
                <w:lang w:eastAsia="en-US"/>
              </w:rPr>
              <w:t>Endpoints</w:t>
            </w:r>
          </w:p>
        </w:tc>
        <w:tc>
          <w:tcPr>
            <w:tcW w:w="4011" w:type="pct"/>
            <w:gridSpan w:val="2"/>
          </w:tcPr>
          <w:p w14:paraId="11065A61" w14:textId="77777777" w:rsidR="00B51ED1" w:rsidRPr="00706F48" w:rsidRDefault="00B51ED1" w:rsidP="00D267C1">
            <w:pPr>
              <w:pStyle w:val="ListBullet"/>
              <w:rPr>
                <w:b/>
                <w:color w:val="auto"/>
                <w:sz w:val="20"/>
                <w:szCs w:val="20"/>
                <w:lang w:eastAsia="en-US"/>
              </w:rPr>
            </w:pPr>
            <w:r w:rsidRPr="00706F48">
              <w:rPr>
                <w:b/>
                <w:sz w:val="20"/>
                <w:szCs w:val="20"/>
                <w:lang w:val="en-US"/>
              </w:rPr>
              <w:t>Primary</w:t>
            </w:r>
            <w:r w:rsidR="00D267C1" w:rsidRPr="00706F48">
              <w:rPr>
                <w:b/>
                <w:color w:val="auto"/>
                <w:sz w:val="20"/>
                <w:szCs w:val="20"/>
                <w:lang w:eastAsia="en-US"/>
              </w:rPr>
              <w:t>:</w:t>
            </w:r>
          </w:p>
          <w:p w14:paraId="3BC607BE" w14:textId="77777777" w:rsidR="00B51ED1" w:rsidRPr="00130658" w:rsidRDefault="00B51ED1" w:rsidP="00130658">
            <w:pPr>
              <w:pStyle w:val="ListBullet2"/>
              <w:rPr>
                <w:sz w:val="20"/>
                <w:szCs w:val="20"/>
                <w:lang w:eastAsia="en-US"/>
              </w:rPr>
            </w:pPr>
            <w:r w:rsidRPr="00130658">
              <w:rPr>
                <w:sz w:val="20"/>
                <w:szCs w:val="20"/>
                <w:lang w:eastAsia="en-US"/>
              </w:rPr>
              <w:t xml:space="preserve">PFS by </w:t>
            </w:r>
            <w:r w:rsidR="00130658" w:rsidRPr="00130658">
              <w:rPr>
                <w:sz w:val="20"/>
                <w:szCs w:val="20"/>
                <w:lang w:eastAsia="en-US"/>
              </w:rPr>
              <w:t>blinded independent central review (</w:t>
            </w:r>
            <w:r w:rsidRPr="00130658">
              <w:rPr>
                <w:sz w:val="20"/>
                <w:szCs w:val="20"/>
                <w:lang w:eastAsia="en-US"/>
              </w:rPr>
              <w:t>BICR</w:t>
            </w:r>
            <w:r w:rsidR="00130658" w:rsidRPr="00130658">
              <w:rPr>
                <w:sz w:val="20"/>
                <w:szCs w:val="20"/>
                <w:lang w:eastAsia="en-US"/>
              </w:rPr>
              <w:t>)</w:t>
            </w:r>
            <w:r w:rsidRPr="00130658">
              <w:rPr>
                <w:sz w:val="20"/>
                <w:szCs w:val="20"/>
                <w:lang w:eastAsia="en-US"/>
              </w:rPr>
              <w:t xml:space="preserve"> per RECIST v1.1 in the first 480 randomised patients (</w:t>
            </w:r>
            <w:r w:rsidR="00130658">
              <w:rPr>
                <w:sz w:val="20"/>
                <w:szCs w:val="20"/>
                <w:lang w:eastAsia="en-US"/>
              </w:rPr>
              <w:t>intent to treat (</w:t>
            </w:r>
            <w:r w:rsidRPr="00130658">
              <w:rPr>
                <w:sz w:val="20"/>
                <w:szCs w:val="20"/>
                <w:lang w:eastAsia="en-US"/>
              </w:rPr>
              <w:t>ITT</w:t>
            </w:r>
            <w:r w:rsidR="00130658">
              <w:rPr>
                <w:sz w:val="20"/>
                <w:szCs w:val="20"/>
                <w:lang w:eastAsia="en-US"/>
              </w:rPr>
              <w:t>)</w:t>
            </w:r>
            <w:r w:rsidRPr="00130658">
              <w:rPr>
                <w:sz w:val="20"/>
                <w:szCs w:val="20"/>
                <w:lang w:eastAsia="en-US"/>
              </w:rPr>
              <w:t>-PFS)</w:t>
            </w:r>
          </w:p>
          <w:p w14:paraId="3723C8F5" w14:textId="77777777" w:rsidR="00B51ED1" w:rsidRPr="00706F48" w:rsidRDefault="00B51ED1" w:rsidP="00D267C1">
            <w:pPr>
              <w:pStyle w:val="ListBullet3"/>
              <w:rPr>
                <w:sz w:val="20"/>
                <w:szCs w:val="20"/>
                <w:lang w:eastAsia="en-US"/>
              </w:rPr>
            </w:pPr>
            <w:r w:rsidRPr="00706F48">
              <w:rPr>
                <w:sz w:val="20"/>
                <w:szCs w:val="20"/>
                <w:lang w:eastAsia="en-US"/>
              </w:rPr>
              <w:t>Subgroup analyses were pre-specified but not alpha-controlled</w:t>
            </w:r>
          </w:p>
          <w:p w14:paraId="72E13D09" w14:textId="77777777" w:rsidR="00B51ED1" w:rsidRPr="00706F48" w:rsidRDefault="00B51ED1" w:rsidP="00D267C1">
            <w:pPr>
              <w:pStyle w:val="ListBullet"/>
              <w:rPr>
                <w:sz w:val="20"/>
                <w:szCs w:val="20"/>
                <w:lang w:eastAsia="en-US"/>
              </w:rPr>
            </w:pPr>
            <w:r w:rsidRPr="00706F48">
              <w:rPr>
                <w:b/>
                <w:sz w:val="20"/>
                <w:szCs w:val="20"/>
                <w:lang w:eastAsia="en-US"/>
              </w:rPr>
              <w:t>Key</w:t>
            </w:r>
            <w:r w:rsidRPr="00706F48">
              <w:rPr>
                <w:sz w:val="20"/>
                <w:szCs w:val="20"/>
                <w:lang w:eastAsia="en-US"/>
              </w:rPr>
              <w:t xml:space="preserve"> </w:t>
            </w:r>
            <w:r w:rsidRPr="00706F48">
              <w:rPr>
                <w:b/>
                <w:bCs/>
                <w:sz w:val="20"/>
                <w:szCs w:val="20"/>
                <w:lang w:val="en-US"/>
              </w:rPr>
              <w:t>secondary</w:t>
            </w:r>
            <w:r w:rsidRPr="00706F48">
              <w:rPr>
                <w:sz w:val="20"/>
                <w:szCs w:val="20"/>
                <w:lang w:eastAsia="en-US"/>
              </w:rPr>
              <w:t xml:space="preserve"> (alpha-controlled):</w:t>
            </w:r>
          </w:p>
          <w:p w14:paraId="45EF80E6" w14:textId="77777777" w:rsidR="00B51ED1" w:rsidRPr="00706F48" w:rsidRDefault="00B51ED1" w:rsidP="00D267C1">
            <w:pPr>
              <w:pStyle w:val="ListBullet2"/>
              <w:rPr>
                <w:sz w:val="20"/>
                <w:szCs w:val="20"/>
                <w:lang w:eastAsia="en-US"/>
              </w:rPr>
            </w:pPr>
            <w:r w:rsidRPr="00706F48">
              <w:rPr>
                <w:sz w:val="20"/>
                <w:szCs w:val="20"/>
                <w:lang w:eastAsia="en-US"/>
              </w:rPr>
              <w:t>OS in all randomised patients (ITT-OS)</w:t>
            </w:r>
          </w:p>
          <w:p w14:paraId="1030D07F" w14:textId="77777777" w:rsidR="00B51ED1" w:rsidRPr="00706F48" w:rsidRDefault="00B51ED1" w:rsidP="00D267C1">
            <w:pPr>
              <w:pStyle w:val="ListBullet2"/>
              <w:rPr>
                <w:sz w:val="20"/>
                <w:szCs w:val="20"/>
                <w:lang w:eastAsia="en-US"/>
              </w:rPr>
            </w:pPr>
            <w:proofErr w:type="spellStart"/>
            <w:r w:rsidRPr="00706F48">
              <w:rPr>
                <w:sz w:val="20"/>
                <w:szCs w:val="20"/>
                <w:lang w:eastAsia="en-US"/>
              </w:rPr>
              <w:t>PFS</w:t>
            </w:r>
            <w:r w:rsidRPr="00706F48">
              <w:rPr>
                <w:sz w:val="20"/>
                <w:szCs w:val="20"/>
                <w:vertAlign w:val="subscript"/>
                <w:lang w:eastAsia="en-US"/>
              </w:rPr>
              <w:t>BrainMets</w:t>
            </w:r>
            <w:proofErr w:type="spellEnd"/>
            <w:r w:rsidRPr="00706F48">
              <w:rPr>
                <w:sz w:val="20"/>
                <w:szCs w:val="20"/>
                <w:lang w:eastAsia="en-US"/>
              </w:rPr>
              <w:t>: PFS by BICR per RECIST v1.1 in all randomised patients with brain metastases at baseline (ITT-</w:t>
            </w:r>
            <w:proofErr w:type="spellStart"/>
            <w:r w:rsidRPr="00706F48">
              <w:rPr>
                <w:sz w:val="20"/>
                <w:szCs w:val="20"/>
                <w:lang w:eastAsia="en-US"/>
              </w:rPr>
              <w:t>PFS</w:t>
            </w:r>
            <w:r w:rsidRPr="00706F48">
              <w:rPr>
                <w:sz w:val="20"/>
                <w:szCs w:val="20"/>
                <w:vertAlign w:val="subscript"/>
                <w:lang w:eastAsia="en-US"/>
              </w:rPr>
              <w:t>BrainMets</w:t>
            </w:r>
            <w:proofErr w:type="spellEnd"/>
            <w:r w:rsidRPr="00706F48">
              <w:rPr>
                <w:sz w:val="20"/>
                <w:szCs w:val="20"/>
                <w:lang w:eastAsia="en-US"/>
              </w:rPr>
              <w:t>, a subgroup of ITT-OS)</w:t>
            </w:r>
          </w:p>
          <w:p w14:paraId="3BBB62EA" w14:textId="4C2EE8C4" w:rsidR="00B51ED1" w:rsidRPr="00706F48" w:rsidRDefault="00B51ED1" w:rsidP="00D267C1">
            <w:pPr>
              <w:pStyle w:val="ListBullet"/>
              <w:rPr>
                <w:sz w:val="20"/>
                <w:szCs w:val="20"/>
                <w:lang w:eastAsia="en-US"/>
              </w:rPr>
            </w:pPr>
            <w:r w:rsidRPr="00706F48">
              <w:rPr>
                <w:b/>
                <w:sz w:val="20"/>
                <w:szCs w:val="20"/>
                <w:lang w:eastAsia="en-US"/>
              </w:rPr>
              <w:t>Other</w:t>
            </w:r>
            <w:r w:rsidRPr="00706F48">
              <w:rPr>
                <w:sz w:val="20"/>
                <w:szCs w:val="20"/>
                <w:lang w:eastAsia="en-US"/>
              </w:rPr>
              <w:t xml:space="preserve"> </w:t>
            </w:r>
            <w:r w:rsidRPr="00706F48">
              <w:rPr>
                <w:b/>
                <w:bCs/>
                <w:sz w:val="20"/>
                <w:szCs w:val="20"/>
                <w:lang w:val="en-US"/>
              </w:rPr>
              <w:t>secondary</w:t>
            </w:r>
            <w:r w:rsidRPr="00706F48">
              <w:rPr>
                <w:sz w:val="20"/>
                <w:szCs w:val="20"/>
                <w:lang w:eastAsia="en-US"/>
              </w:rPr>
              <w:t xml:space="preserve">: </w:t>
            </w:r>
            <w:r w:rsidR="003201DC">
              <w:rPr>
                <w:sz w:val="20"/>
                <w:szCs w:val="20"/>
                <w:lang w:eastAsia="en-US"/>
              </w:rPr>
              <w:t>objective</w:t>
            </w:r>
            <w:r w:rsidR="00130658">
              <w:rPr>
                <w:sz w:val="20"/>
                <w:szCs w:val="20"/>
                <w:lang w:eastAsia="en-US"/>
              </w:rPr>
              <w:t xml:space="preserve"> response rate (</w:t>
            </w:r>
            <w:r w:rsidRPr="00706F48">
              <w:rPr>
                <w:sz w:val="20"/>
                <w:szCs w:val="20"/>
                <w:lang w:eastAsia="en-US"/>
              </w:rPr>
              <w:t>ORR</w:t>
            </w:r>
            <w:r w:rsidR="00130658">
              <w:rPr>
                <w:sz w:val="20"/>
                <w:szCs w:val="20"/>
                <w:lang w:eastAsia="en-US"/>
              </w:rPr>
              <w:t>)</w:t>
            </w:r>
            <w:r w:rsidRPr="00706F48">
              <w:rPr>
                <w:sz w:val="20"/>
                <w:szCs w:val="20"/>
                <w:lang w:eastAsia="en-US"/>
              </w:rPr>
              <w:t xml:space="preserve"> by BICR per RECIST v1.1 in all randomised patients who had measurable disease (subgroup of ITT-OS, but not a stratification fact</w:t>
            </w:r>
            <w:r w:rsidR="00130658">
              <w:rPr>
                <w:sz w:val="20"/>
                <w:szCs w:val="20"/>
                <w:lang w:eastAsia="en-US"/>
              </w:rPr>
              <w:t>or: included as ‘key’ in the clinical study report</w:t>
            </w:r>
            <w:r w:rsidRPr="00706F48">
              <w:rPr>
                <w:sz w:val="20"/>
                <w:szCs w:val="20"/>
                <w:lang w:eastAsia="en-US"/>
              </w:rPr>
              <w:t xml:space="preserve"> but not considered ‘key’ in the Multi-Discipline Review for this reason),</w:t>
            </w:r>
            <w:r w:rsidR="00130658">
              <w:rPr>
                <w:sz w:val="20"/>
                <w:szCs w:val="20"/>
              </w:rPr>
              <w:fldChar w:fldCharType="begin"/>
            </w:r>
            <w:r w:rsidR="00130658">
              <w:rPr>
                <w:sz w:val="20"/>
                <w:szCs w:val="20"/>
                <w:lang w:eastAsia="en-US"/>
              </w:rPr>
              <w:instrText xml:space="preserve"> NOTEREF _Ref64226828 \f \h </w:instrText>
            </w:r>
            <w:r w:rsidR="003262C1">
              <w:rPr>
                <w:sz w:val="20"/>
                <w:szCs w:val="20"/>
              </w:rPr>
              <w:instrText xml:space="preserve"> \* MERGEFORMAT </w:instrText>
            </w:r>
            <w:r w:rsidR="00130658">
              <w:rPr>
                <w:sz w:val="20"/>
                <w:szCs w:val="20"/>
              </w:rPr>
            </w:r>
            <w:r w:rsidR="00130658">
              <w:rPr>
                <w:sz w:val="20"/>
                <w:szCs w:val="20"/>
              </w:rPr>
              <w:fldChar w:fldCharType="separate"/>
            </w:r>
            <w:r w:rsidR="00F979FB" w:rsidRPr="00F979FB">
              <w:rPr>
                <w:rStyle w:val="FootnoteReference"/>
              </w:rPr>
              <w:t>10</w:t>
            </w:r>
            <w:r w:rsidR="00130658">
              <w:rPr>
                <w:sz w:val="20"/>
                <w:szCs w:val="20"/>
              </w:rPr>
              <w:fldChar w:fldCharType="end"/>
            </w:r>
            <w:r w:rsidRPr="00706F48">
              <w:rPr>
                <w:sz w:val="20"/>
                <w:szCs w:val="20"/>
                <w:lang w:eastAsia="en-US"/>
              </w:rPr>
              <w:t xml:space="preserve"> investigator-assessed PFS and ORR, BICR and investigator-assessed </w:t>
            </w:r>
            <w:r w:rsidR="00130658">
              <w:rPr>
                <w:sz w:val="20"/>
                <w:szCs w:val="20"/>
                <w:lang w:eastAsia="en-US"/>
              </w:rPr>
              <w:t>duration of response (</w:t>
            </w:r>
            <w:r w:rsidRPr="00706F48">
              <w:rPr>
                <w:sz w:val="20"/>
                <w:szCs w:val="20"/>
                <w:lang w:eastAsia="en-US"/>
              </w:rPr>
              <w:t>DOR</w:t>
            </w:r>
            <w:r w:rsidR="00130658">
              <w:rPr>
                <w:sz w:val="20"/>
                <w:szCs w:val="20"/>
                <w:lang w:eastAsia="en-US"/>
              </w:rPr>
              <w:t>)</w:t>
            </w:r>
            <w:r w:rsidRPr="00706F48">
              <w:rPr>
                <w:sz w:val="20"/>
                <w:szCs w:val="20"/>
                <w:lang w:eastAsia="en-US"/>
              </w:rPr>
              <w:t xml:space="preserve"> and </w:t>
            </w:r>
            <w:r w:rsidR="00130658">
              <w:rPr>
                <w:sz w:val="20"/>
                <w:szCs w:val="20"/>
                <w:lang w:eastAsia="en-US"/>
              </w:rPr>
              <w:t>clinical benefit rate (</w:t>
            </w:r>
            <w:r w:rsidRPr="00706F48">
              <w:rPr>
                <w:sz w:val="20"/>
                <w:szCs w:val="20"/>
                <w:lang w:eastAsia="en-US"/>
              </w:rPr>
              <w:t>CBR</w:t>
            </w:r>
            <w:r w:rsidR="00130658">
              <w:rPr>
                <w:sz w:val="20"/>
                <w:szCs w:val="20"/>
                <w:lang w:eastAsia="en-US"/>
              </w:rPr>
              <w:t>)</w:t>
            </w:r>
          </w:p>
          <w:p w14:paraId="1ECE8F7D" w14:textId="77777777" w:rsidR="00B51ED1" w:rsidRPr="00C9554B" w:rsidRDefault="00B51ED1" w:rsidP="00C9554B">
            <w:pPr>
              <w:pStyle w:val="ListBullet"/>
              <w:rPr>
                <w:sz w:val="20"/>
                <w:szCs w:val="20"/>
              </w:rPr>
            </w:pPr>
            <w:r w:rsidRPr="00C9554B">
              <w:rPr>
                <w:b/>
                <w:sz w:val="20"/>
                <w:szCs w:val="20"/>
                <w:lang w:eastAsia="en-US"/>
              </w:rPr>
              <w:t xml:space="preserve">Safety, PK, health economics and </w:t>
            </w:r>
            <w:r w:rsidR="00130658" w:rsidRPr="00C9554B">
              <w:rPr>
                <w:b/>
                <w:sz w:val="20"/>
                <w:szCs w:val="20"/>
                <w:lang w:eastAsia="en-US"/>
              </w:rPr>
              <w:t>patient rep</w:t>
            </w:r>
            <w:r w:rsidR="00B21FD6" w:rsidRPr="00C9554B">
              <w:rPr>
                <w:b/>
                <w:sz w:val="20"/>
                <w:szCs w:val="20"/>
                <w:lang w:eastAsia="en-US"/>
              </w:rPr>
              <w:t>orted outcomes</w:t>
            </w:r>
            <w:r w:rsidRPr="00C9554B">
              <w:rPr>
                <w:sz w:val="20"/>
                <w:szCs w:val="20"/>
                <w:lang w:eastAsia="en-US"/>
              </w:rPr>
              <w:t xml:space="preserve"> (</w:t>
            </w:r>
            <w:r w:rsidR="00B21FD6" w:rsidRPr="00C9554B">
              <w:rPr>
                <w:sz w:val="20"/>
                <w:szCs w:val="20"/>
                <w:lang w:eastAsia="en-US"/>
              </w:rPr>
              <w:t xml:space="preserve">5 level </w:t>
            </w:r>
            <w:proofErr w:type="spellStart"/>
            <w:r w:rsidR="00C9554B" w:rsidRPr="00C9554B">
              <w:rPr>
                <w:sz w:val="20"/>
                <w:szCs w:val="20"/>
                <w:lang w:eastAsia="en-US"/>
              </w:rPr>
              <w:t>EuroQol</w:t>
            </w:r>
            <w:proofErr w:type="spellEnd"/>
            <w:r w:rsidR="00C9554B" w:rsidRPr="00C9554B">
              <w:rPr>
                <w:sz w:val="20"/>
                <w:szCs w:val="20"/>
                <w:lang w:eastAsia="en-US"/>
              </w:rPr>
              <w:t>- 5 Dimension</w:t>
            </w:r>
            <w:r w:rsidR="00B21FD6" w:rsidRPr="00C9554B">
              <w:rPr>
                <w:sz w:val="20"/>
                <w:szCs w:val="20"/>
                <w:lang w:eastAsia="en-US"/>
              </w:rPr>
              <w:t xml:space="preserve"> (</w:t>
            </w:r>
            <w:r w:rsidRPr="00C9554B">
              <w:rPr>
                <w:sz w:val="20"/>
                <w:szCs w:val="20"/>
                <w:lang w:eastAsia="en-US"/>
              </w:rPr>
              <w:t>EQ-5D-5L</w:t>
            </w:r>
            <w:r w:rsidR="00B21FD6" w:rsidRPr="00C9554B">
              <w:rPr>
                <w:sz w:val="20"/>
                <w:szCs w:val="20"/>
                <w:lang w:eastAsia="en-US"/>
              </w:rPr>
              <w:t>)</w:t>
            </w:r>
            <w:r w:rsidRPr="00C9554B">
              <w:rPr>
                <w:sz w:val="20"/>
                <w:szCs w:val="20"/>
                <w:lang w:eastAsia="en-US"/>
              </w:rPr>
              <w:t>, healthcare utilisation)</w:t>
            </w:r>
          </w:p>
        </w:tc>
      </w:tr>
      <w:tr w:rsidR="00B51ED1" w:rsidRPr="00FB0B92" w14:paraId="05B4BF5D" w14:textId="77777777" w:rsidTr="0044586C">
        <w:tc>
          <w:tcPr>
            <w:tcW w:w="989" w:type="pct"/>
          </w:tcPr>
          <w:p w14:paraId="0404CCBB" w14:textId="77777777" w:rsidR="00B51ED1" w:rsidRPr="003262C1" w:rsidRDefault="00B51ED1" w:rsidP="00706F48">
            <w:pPr>
              <w:spacing w:before="0" w:after="0" w:line="240" w:lineRule="auto"/>
              <w:ind w:left="0" w:right="0"/>
              <w:contextualSpacing/>
              <w:rPr>
                <w:b/>
                <w:color w:val="FF0000"/>
                <w:sz w:val="20"/>
                <w:szCs w:val="20"/>
                <w:lang w:eastAsia="en-US"/>
              </w:rPr>
            </w:pPr>
            <w:r w:rsidRPr="003262C1">
              <w:rPr>
                <w:b/>
                <w:color w:val="auto"/>
                <w:sz w:val="20"/>
                <w:szCs w:val="20"/>
                <w:lang w:eastAsia="en-US"/>
              </w:rPr>
              <w:t>Statistical analysis plan</w:t>
            </w:r>
          </w:p>
        </w:tc>
        <w:tc>
          <w:tcPr>
            <w:tcW w:w="4011" w:type="pct"/>
            <w:gridSpan w:val="2"/>
          </w:tcPr>
          <w:p w14:paraId="472ED8B5" w14:textId="77777777" w:rsidR="00B51ED1" w:rsidRPr="00706F48" w:rsidRDefault="00B51ED1" w:rsidP="00B21FD6">
            <w:pPr>
              <w:ind w:left="0"/>
              <w:rPr>
                <w:sz w:val="20"/>
                <w:szCs w:val="20"/>
              </w:rPr>
            </w:pPr>
            <w:r w:rsidRPr="00706F48">
              <w:rPr>
                <w:b/>
                <w:bCs/>
                <w:sz w:val="20"/>
                <w:szCs w:val="20"/>
                <w:lang w:val="en-US"/>
              </w:rPr>
              <w:t xml:space="preserve">Sample size: </w:t>
            </w:r>
            <w:r w:rsidR="00B21FD6">
              <w:rPr>
                <w:sz w:val="20"/>
                <w:szCs w:val="20"/>
                <w:lang w:val="en-US"/>
              </w:rPr>
              <w:t xml:space="preserve">n = approximately </w:t>
            </w:r>
            <w:r w:rsidRPr="00706F48">
              <w:rPr>
                <w:sz w:val="20"/>
                <w:szCs w:val="20"/>
                <w:lang w:val="en-US"/>
              </w:rPr>
              <w:t xml:space="preserve">600 </w:t>
            </w:r>
            <w:proofErr w:type="spellStart"/>
            <w:r w:rsidRPr="00706F48">
              <w:rPr>
                <w:sz w:val="20"/>
                <w:szCs w:val="20"/>
                <w:lang w:val="en-US"/>
              </w:rPr>
              <w:t>randomised</w:t>
            </w:r>
            <w:proofErr w:type="spellEnd"/>
          </w:p>
          <w:p w14:paraId="6B3C6920" w14:textId="77777777" w:rsidR="00B51ED1" w:rsidRPr="00706F48" w:rsidRDefault="00B51ED1" w:rsidP="00B21FD6">
            <w:pPr>
              <w:ind w:left="0"/>
              <w:rPr>
                <w:sz w:val="20"/>
                <w:szCs w:val="20"/>
              </w:rPr>
            </w:pPr>
            <w:r w:rsidRPr="00706F48">
              <w:rPr>
                <w:b/>
                <w:bCs/>
                <w:sz w:val="20"/>
                <w:szCs w:val="20"/>
                <w:lang w:val="en-US"/>
              </w:rPr>
              <w:t xml:space="preserve">Primary endpoint: </w:t>
            </w:r>
            <w:r w:rsidRPr="00706F48">
              <w:rPr>
                <w:sz w:val="20"/>
                <w:szCs w:val="20"/>
                <w:lang w:val="en-US"/>
              </w:rPr>
              <w:t xml:space="preserve">288 events to detect </w:t>
            </w:r>
            <w:r w:rsidR="00B21FD6">
              <w:rPr>
                <w:sz w:val="20"/>
                <w:szCs w:val="20"/>
                <w:lang w:val="en-US"/>
              </w:rPr>
              <w:t>hazard ratio (</w:t>
            </w:r>
            <w:r w:rsidRPr="00706F48">
              <w:rPr>
                <w:sz w:val="20"/>
                <w:szCs w:val="20"/>
                <w:lang w:val="en-US"/>
              </w:rPr>
              <w:t>HR</w:t>
            </w:r>
            <w:r w:rsidR="00B21FD6">
              <w:rPr>
                <w:sz w:val="20"/>
                <w:szCs w:val="20"/>
                <w:lang w:val="en-US"/>
              </w:rPr>
              <w:t xml:space="preserve">) </w:t>
            </w:r>
            <w:r w:rsidRPr="00706F48">
              <w:rPr>
                <w:sz w:val="20"/>
                <w:szCs w:val="20"/>
                <w:lang w:val="en-US"/>
              </w:rPr>
              <w:t>=</w:t>
            </w:r>
            <w:r w:rsidR="00B21FD6">
              <w:rPr>
                <w:sz w:val="20"/>
                <w:szCs w:val="20"/>
                <w:lang w:val="en-US"/>
              </w:rPr>
              <w:t xml:space="preserve"> 0.67 with</w:t>
            </w:r>
            <w:r w:rsidRPr="00706F48">
              <w:rPr>
                <w:sz w:val="20"/>
                <w:szCs w:val="20"/>
                <w:lang w:val="en-US"/>
              </w:rPr>
              <w:t xml:space="preserve"> 90% power, alpha</w:t>
            </w:r>
            <w:r w:rsidR="00B21FD6">
              <w:rPr>
                <w:sz w:val="20"/>
                <w:szCs w:val="20"/>
                <w:lang w:val="en-US"/>
              </w:rPr>
              <w:t xml:space="preserve"> </w:t>
            </w:r>
            <w:r w:rsidRPr="00706F48">
              <w:rPr>
                <w:sz w:val="20"/>
                <w:szCs w:val="20"/>
                <w:lang w:val="en-US"/>
              </w:rPr>
              <w:t>=</w:t>
            </w:r>
            <w:r w:rsidR="00B21FD6">
              <w:rPr>
                <w:sz w:val="20"/>
                <w:szCs w:val="20"/>
                <w:lang w:val="en-US"/>
              </w:rPr>
              <w:t xml:space="preserve"> 0.05 (2 </w:t>
            </w:r>
            <w:r w:rsidRPr="00706F48">
              <w:rPr>
                <w:sz w:val="20"/>
                <w:szCs w:val="20"/>
                <w:lang w:val="en-US"/>
              </w:rPr>
              <w:t>sided)</w:t>
            </w:r>
          </w:p>
          <w:p w14:paraId="0799D482" w14:textId="77777777" w:rsidR="00B51ED1" w:rsidRPr="00706F48" w:rsidRDefault="00B51ED1" w:rsidP="00B21FD6">
            <w:pPr>
              <w:ind w:left="0"/>
              <w:rPr>
                <w:sz w:val="20"/>
                <w:szCs w:val="20"/>
              </w:rPr>
            </w:pPr>
            <w:r w:rsidRPr="00706F48">
              <w:rPr>
                <w:b/>
                <w:bCs/>
                <w:sz w:val="20"/>
                <w:szCs w:val="20"/>
                <w:lang w:val="en-US"/>
              </w:rPr>
              <w:t>Key secondary endpoints:</w:t>
            </w:r>
          </w:p>
          <w:p w14:paraId="337A37A6" w14:textId="77777777" w:rsidR="00B51ED1" w:rsidRPr="00706F48" w:rsidRDefault="00B51ED1" w:rsidP="00D267C1">
            <w:pPr>
              <w:pStyle w:val="ListBullet"/>
              <w:rPr>
                <w:sz w:val="20"/>
                <w:szCs w:val="20"/>
              </w:rPr>
            </w:pPr>
            <w:r w:rsidRPr="00706F48">
              <w:rPr>
                <w:sz w:val="20"/>
                <w:szCs w:val="20"/>
                <w:lang w:val="en-US"/>
              </w:rPr>
              <w:t>OS: 361 events to detect HR</w:t>
            </w:r>
            <w:r w:rsidR="00B21FD6">
              <w:rPr>
                <w:sz w:val="20"/>
                <w:szCs w:val="20"/>
                <w:lang w:val="en-US"/>
              </w:rPr>
              <w:t xml:space="preserve"> </w:t>
            </w:r>
            <w:r w:rsidRPr="00706F48">
              <w:rPr>
                <w:sz w:val="20"/>
                <w:szCs w:val="20"/>
                <w:lang w:val="en-US"/>
              </w:rPr>
              <w:t>=</w:t>
            </w:r>
            <w:r w:rsidR="00B21FD6">
              <w:rPr>
                <w:sz w:val="20"/>
                <w:szCs w:val="20"/>
                <w:lang w:val="en-US"/>
              </w:rPr>
              <w:t xml:space="preserve"> </w:t>
            </w:r>
            <w:r w:rsidRPr="00706F48">
              <w:rPr>
                <w:sz w:val="20"/>
                <w:szCs w:val="20"/>
                <w:lang w:val="en-US"/>
              </w:rPr>
              <w:t xml:space="preserve">0.70 </w:t>
            </w:r>
            <w:r w:rsidR="00B21FD6">
              <w:rPr>
                <w:sz w:val="20"/>
                <w:szCs w:val="20"/>
                <w:lang w:val="en-US"/>
              </w:rPr>
              <w:t>with</w:t>
            </w:r>
            <w:r w:rsidRPr="00706F48">
              <w:rPr>
                <w:sz w:val="20"/>
                <w:szCs w:val="20"/>
                <w:lang w:val="en-US"/>
              </w:rPr>
              <w:t xml:space="preserve"> 80% power, alpha</w:t>
            </w:r>
            <w:r w:rsidR="00B21FD6">
              <w:rPr>
                <w:sz w:val="20"/>
                <w:szCs w:val="20"/>
                <w:lang w:val="en-US"/>
              </w:rPr>
              <w:t xml:space="preserve"> </w:t>
            </w:r>
            <w:r w:rsidRPr="00706F48">
              <w:rPr>
                <w:sz w:val="20"/>
                <w:szCs w:val="20"/>
                <w:lang w:val="en-US"/>
              </w:rPr>
              <w:t>=</w:t>
            </w:r>
            <w:r w:rsidR="00B21FD6">
              <w:rPr>
                <w:sz w:val="20"/>
                <w:szCs w:val="20"/>
                <w:lang w:val="en-US"/>
              </w:rPr>
              <w:t xml:space="preserve"> 0.02 (2 </w:t>
            </w:r>
            <w:r w:rsidRPr="00706F48">
              <w:rPr>
                <w:sz w:val="20"/>
                <w:szCs w:val="20"/>
                <w:lang w:val="en-US"/>
              </w:rPr>
              <w:t>sided)</w:t>
            </w:r>
          </w:p>
          <w:p w14:paraId="72B5AC86" w14:textId="77777777" w:rsidR="00B51ED1" w:rsidRPr="00706F48" w:rsidRDefault="00B51ED1" w:rsidP="00D267C1">
            <w:pPr>
              <w:pStyle w:val="ListBullet"/>
              <w:rPr>
                <w:sz w:val="20"/>
                <w:szCs w:val="20"/>
              </w:rPr>
            </w:pPr>
            <w:proofErr w:type="spellStart"/>
            <w:r w:rsidRPr="00706F48">
              <w:rPr>
                <w:sz w:val="20"/>
                <w:szCs w:val="20"/>
                <w:lang w:val="en-US"/>
              </w:rPr>
              <w:t>PFS</w:t>
            </w:r>
            <w:r w:rsidRPr="00706F48">
              <w:rPr>
                <w:sz w:val="20"/>
                <w:szCs w:val="20"/>
                <w:vertAlign w:val="subscript"/>
                <w:lang w:val="en-US"/>
              </w:rPr>
              <w:t>BrainMets</w:t>
            </w:r>
            <w:proofErr w:type="spellEnd"/>
            <w:r w:rsidRPr="00706F48">
              <w:rPr>
                <w:sz w:val="20"/>
                <w:szCs w:val="20"/>
                <w:lang w:val="en-US"/>
              </w:rPr>
              <w:t>: 220 events to detect HR</w:t>
            </w:r>
            <w:r w:rsidR="00B21FD6">
              <w:rPr>
                <w:sz w:val="20"/>
                <w:szCs w:val="20"/>
                <w:lang w:val="en-US"/>
              </w:rPr>
              <w:t xml:space="preserve"> </w:t>
            </w:r>
            <w:r w:rsidRPr="00706F48">
              <w:rPr>
                <w:sz w:val="20"/>
                <w:szCs w:val="20"/>
                <w:lang w:val="en-US"/>
              </w:rPr>
              <w:t>=</w:t>
            </w:r>
            <w:r w:rsidR="00B21FD6">
              <w:rPr>
                <w:sz w:val="20"/>
                <w:szCs w:val="20"/>
                <w:lang w:val="en-US"/>
              </w:rPr>
              <w:t xml:space="preserve"> 0.67 with</w:t>
            </w:r>
            <w:r w:rsidRPr="00706F48">
              <w:rPr>
                <w:sz w:val="20"/>
                <w:szCs w:val="20"/>
                <w:lang w:val="en-US"/>
              </w:rPr>
              <w:t xml:space="preserve"> 74% power, alpha</w:t>
            </w:r>
            <w:r w:rsidR="00B21FD6">
              <w:rPr>
                <w:sz w:val="20"/>
                <w:szCs w:val="20"/>
                <w:lang w:val="en-US"/>
              </w:rPr>
              <w:t xml:space="preserve"> </w:t>
            </w:r>
            <w:r w:rsidRPr="00706F48">
              <w:rPr>
                <w:sz w:val="20"/>
                <w:szCs w:val="20"/>
                <w:lang w:val="en-US"/>
              </w:rPr>
              <w:t>=</w:t>
            </w:r>
            <w:r w:rsidR="00B21FD6">
              <w:rPr>
                <w:sz w:val="20"/>
                <w:szCs w:val="20"/>
                <w:lang w:val="en-US"/>
              </w:rPr>
              <w:t xml:space="preserve"> 0.03 (2 </w:t>
            </w:r>
            <w:r w:rsidRPr="00706F48">
              <w:rPr>
                <w:sz w:val="20"/>
                <w:szCs w:val="20"/>
                <w:lang w:val="en-US"/>
              </w:rPr>
              <w:t>sided)</w:t>
            </w:r>
          </w:p>
          <w:p w14:paraId="3EA88CFC" w14:textId="77777777" w:rsidR="00B51ED1" w:rsidRPr="00706F48" w:rsidRDefault="00B51ED1" w:rsidP="00B21FD6">
            <w:pPr>
              <w:ind w:left="0"/>
              <w:rPr>
                <w:sz w:val="20"/>
                <w:szCs w:val="20"/>
              </w:rPr>
            </w:pPr>
            <w:r w:rsidRPr="00706F48">
              <w:rPr>
                <w:b/>
                <w:bCs/>
                <w:sz w:val="20"/>
                <w:szCs w:val="20"/>
                <w:lang w:val="en-US"/>
              </w:rPr>
              <w:t xml:space="preserve">Methods: </w:t>
            </w:r>
            <w:r w:rsidR="00B21FD6">
              <w:rPr>
                <w:sz w:val="20"/>
                <w:szCs w:val="20"/>
                <w:lang w:val="en-US"/>
              </w:rPr>
              <w:t xml:space="preserve">HR estimated by Cox regression, p </w:t>
            </w:r>
            <w:r w:rsidRPr="00706F48">
              <w:rPr>
                <w:sz w:val="20"/>
                <w:szCs w:val="20"/>
                <w:lang w:val="en-US"/>
              </w:rPr>
              <w:t>value using re-</w:t>
            </w:r>
            <w:proofErr w:type="spellStart"/>
            <w:r w:rsidRPr="00706F48">
              <w:rPr>
                <w:sz w:val="20"/>
                <w:szCs w:val="20"/>
                <w:lang w:val="en-US"/>
              </w:rPr>
              <w:t>randomisation</w:t>
            </w:r>
            <w:proofErr w:type="spellEnd"/>
            <w:r w:rsidRPr="00706F48">
              <w:rPr>
                <w:sz w:val="20"/>
                <w:szCs w:val="20"/>
                <w:lang w:val="en-US"/>
              </w:rPr>
              <w:t xml:space="preserve"> procedure (due to dynamic </w:t>
            </w:r>
            <w:proofErr w:type="spellStart"/>
            <w:r w:rsidRPr="00706F48">
              <w:rPr>
                <w:sz w:val="20"/>
                <w:szCs w:val="20"/>
                <w:lang w:val="en-US"/>
              </w:rPr>
              <w:t>randomisation</w:t>
            </w:r>
            <w:proofErr w:type="spellEnd"/>
            <w:r w:rsidRPr="00706F48">
              <w:rPr>
                <w:sz w:val="20"/>
                <w:szCs w:val="20"/>
                <w:lang w:val="en-US"/>
              </w:rPr>
              <w:t xml:space="preserve">), stratified </w:t>
            </w:r>
            <w:r w:rsidR="00B21FD6" w:rsidRPr="00B21FD6">
              <w:rPr>
                <w:rStyle w:val="Emphasis"/>
                <w:rFonts w:cs="Arial"/>
                <w:bCs/>
                <w:i w:val="0"/>
                <w:iCs w:val="0"/>
                <w:color w:val="auto"/>
                <w:sz w:val="20"/>
                <w:szCs w:val="20"/>
                <w:shd w:val="clear" w:color="auto" w:fill="FFFFFF"/>
              </w:rPr>
              <w:t xml:space="preserve">Cochran–Mantel–Haenszel </w:t>
            </w:r>
            <w:r w:rsidRPr="00B21FD6">
              <w:rPr>
                <w:color w:val="auto"/>
                <w:sz w:val="20"/>
                <w:szCs w:val="20"/>
                <w:lang w:val="en-US"/>
              </w:rPr>
              <w:t>t</w:t>
            </w:r>
            <w:r w:rsidRPr="00706F48">
              <w:rPr>
                <w:sz w:val="20"/>
                <w:szCs w:val="20"/>
                <w:lang w:val="en-US"/>
              </w:rPr>
              <w:t>est</w:t>
            </w:r>
          </w:p>
          <w:p w14:paraId="63358692" w14:textId="77777777" w:rsidR="00B51ED1" w:rsidRPr="00706F48" w:rsidRDefault="00B51ED1" w:rsidP="00B21FD6">
            <w:pPr>
              <w:ind w:left="0"/>
              <w:rPr>
                <w:sz w:val="20"/>
                <w:szCs w:val="20"/>
              </w:rPr>
            </w:pPr>
            <w:r w:rsidRPr="00706F48">
              <w:rPr>
                <w:b/>
                <w:bCs/>
                <w:sz w:val="20"/>
                <w:szCs w:val="20"/>
                <w:lang w:val="en-US"/>
              </w:rPr>
              <w:t xml:space="preserve">Interim analyses: </w:t>
            </w:r>
            <w:r w:rsidRPr="00706F48">
              <w:rPr>
                <w:sz w:val="20"/>
                <w:szCs w:val="20"/>
                <w:lang w:val="en-US"/>
              </w:rPr>
              <w:t xml:space="preserve">none for PFS, one for </w:t>
            </w:r>
            <w:proofErr w:type="spellStart"/>
            <w:r w:rsidRPr="00706F48">
              <w:rPr>
                <w:sz w:val="20"/>
                <w:szCs w:val="20"/>
                <w:lang w:val="en-US"/>
              </w:rPr>
              <w:t>PFS</w:t>
            </w:r>
            <w:r w:rsidRPr="00706F48">
              <w:rPr>
                <w:sz w:val="20"/>
                <w:szCs w:val="20"/>
                <w:vertAlign w:val="subscript"/>
                <w:lang w:val="en-US"/>
              </w:rPr>
              <w:t>BrainMets</w:t>
            </w:r>
            <w:proofErr w:type="spellEnd"/>
            <w:r w:rsidR="00B21FD6">
              <w:rPr>
                <w:sz w:val="20"/>
                <w:szCs w:val="20"/>
                <w:lang w:val="en-US"/>
              </w:rPr>
              <w:t>, up to two for OS</w:t>
            </w:r>
          </w:p>
          <w:p w14:paraId="177885E1" w14:textId="77777777" w:rsidR="00B51ED1" w:rsidRPr="00706F48" w:rsidRDefault="00B51ED1" w:rsidP="00D267C1">
            <w:pPr>
              <w:pStyle w:val="ListBullet"/>
              <w:rPr>
                <w:color w:val="auto"/>
                <w:sz w:val="20"/>
                <w:szCs w:val="20"/>
                <w:lang w:eastAsia="en-US"/>
              </w:rPr>
            </w:pPr>
            <w:r w:rsidRPr="00706F48">
              <w:rPr>
                <w:b/>
                <w:bCs/>
                <w:sz w:val="20"/>
                <w:szCs w:val="20"/>
                <w:lang w:val="en-US"/>
              </w:rPr>
              <w:t xml:space="preserve">Multiplicity: </w:t>
            </w:r>
            <w:r w:rsidR="00B21FD6">
              <w:rPr>
                <w:sz w:val="20"/>
                <w:szCs w:val="20"/>
                <w:lang w:val="en-US"/>
              </w:rPr>
              <w:t xml:space="preserve">PFS at 0.05 (2-sided) to </w:t>
            </w:r>
            <w:proofErr w:type="spellStart"/>
            <w:r w:rsidRPr="00706F48">
              <w:rPr>
                <w:sz w:val="20"/>
                <w:szCs w:val="20"/>
                <w:lang w:val="en-US"/>
              </w:rPr>
              <w:t>PFS</w:t>
            </w:r>
            <w:r w:rsidRPr="00706F48">
              <w:rPr>
                <w:sz w:val="20"/>
                <w:szCs w:val="20"/>
                <w:vertAlign w:val="subscript"/>
                <w:lang w:val="en-US"/>
              </w:rPr>
              <w:t>BrainMets</w:t>
            </w:r>
            <w:proofErr w:type="spellEnd"/>
            <w:r w:rsidRPr="00706F48">
              <w:rPr>
                <w:sz w:val="20"/>
                <w:szCs w:val="20"/>
                <w:lang w:val="en-US"/>
              </w:rPr>
              <w:t xml:space="preserve"> at 0</w:t>
            </w:r>
            <w:r w:rsidR="00B21FD6">
              <w:rPr>
                <w:sz w:val="20"/>
                <w:szCs w:val="20"/>
                <w:lang w:val="en-US"/>
              </w:rPr>
              <w:t xml:space="preserve">.03 (2 sided) and OS at 0.02 (2 </w:t>
            </w:r>
            <w:r w:rsidRPr="00706F48">
              <w:rPr>
                <w:sz w:val="20"/>
                <w:szCs w:val="20"/>
                <w:lang w:val="en-US"/>
              </w:rPr>
              <w:t>sided) with ad</w:t>
            </w:r>
            <w:r w:rsidR="00B21FD6">
              <w:rPr>
                <w:sz w:val="20"/>
                <w:szCs w:val="20"/>
                <w:lang w:val="en-US"/>
              </w:rPr>
              <w:t>justments for interim analyses and</w:t>
            </w:r>
            <w:r w:rsidRPr="00706F48">
              <w:rPr>
                <w:sz w:val="20"/>
                <w:szCs w:val="20"/>
                <w:lang w:val="en-US"/>
              </w:rPr>
              <w:t xml:space="preserve"> re-allocation </w:t>
            </w:r>
            <w:r w:rsidR="00B21FD6">
              <w:rPr>
                <w:sz w:val="20"/>
                <w:szCs w:val="20"/>
                <w:lang w:val="en-US"/>
              </w:rPr>
              <w:t xml:space="preserve">to ORR at 0.05 (2 </w:t>
            </w:r>
            <w:r w:rsidRPr="00706F48">
              <w:rPr>
                <w:sz w:val="20"/>
                <w:szCs w:val="20"/>
                <w:lang w:val="en-US"/>
              </w:rPr>
              <w:t>sided)</w:t>
            </w:r>
          </w:p>
        </w:tc>
      </w:tr>
    </w:tbl>
    <w:p w14:paraId="021E163A" w14:textId="2C104C67" w:rsidR="00FB0B92" w:rsidRDefault="00FB0B92" w:rsidP="00FB0B92">
      <w:pPr>
        <w:pStyle w:val="FigureTitle"/>
        <w:rPr>
          <w:noProof/>
          <w:lang w:eastAsia="en-AU"/>
        </w:rPr>
      </w:pPr>
      <w:bookmarkStart w:id="53" w:name="_Ref64226011"/>
      <w:r>
        <w:t xml:space="preserve">Figure </w:t>
      </w:r>
      <w:fldSimple w:instr=" SEQ Figure \* ARABIC ">
        <w:r w:rsidR="00F979FB">
          <w:rPr>
            <w:noProof/>
          </w:rPr>
          <w:t>4</w:t>
        </w:r>
      </w:fldSimple>
      <w:bookmarkEnd w:id="53"/>
      <w:r>
        <w:t xml:space="preserve">: </w:t>
      </w:r>
      <w:r>
        <w:rPr>
          <w:noProof/>
          <w:lang w:eastAsia="en-AU"/>
        </w:rPr>
        <w:t>Study design of HER2CLIMB trial</w:t>
      </w:r>
    </w:p>
    <w:p w14:paraId="57474E77" w14:textId="77777777" w:rsidR="00FB0B92" w:rsidRDefault="00FB0B92" w:rsidP="00FB0B92">
      <w:r>
        <w:rPr>
          <w:noProof/>
          <w:lang w:eastAsia="en-AU"/>
        </w:rPr>
        <w:drawing>
          <wp:inline distT="0" distB="0" distL="0" distR="0" wp14:anchorId="4F51F588" wp14:editId="1E689B9F">
            <wp:extent cx="5400040" cy="2507897"/>
            <wp:effectExtent l="0" t="0" r="0" b="6985"/>
            <wp:docPr id="1" name="Picture 1" descr="After meeting key elgiliblity criteria, patients were randomised 2:1 into 300 mg PO BD tucatinib + 6 mg/kg 3 times per week trastuzumab + 1000 mg/m2 PO BD capecitabine for 21 day cycle (n = 410), or placebo + trastuzumab + capecitabine for 21 days cycle (n =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00040" cy="2507897"/>
                    </a:xfrm>
                    <a:prstGeom prst="rect">
                      <a:avLst/>
                    </a:prstGeom>
                    <a:noFill/>
                  </pic:spPr>
                </pic:pic>
              </a:graphicData>
            </a:graphic>
          </wp:inline>
        </w:drawing>
      </w:r>
    </w:p>
    <w:p w14:paraId="659A0931" w14:textId="77777777" w:rsidR="00E66E96" w:rsidRDefault="00E66E96" w:rsidP="00FB1752">
      <w:pPr>
        <w:pStyle w:val="FigureDescription"/>
      </w:pPr>
      <w:r>
        <w:t>MRI = magnetic resonance imaging, PO = oral.</w:t>
      </w:r>
    </w:p>
    <w:p w14:paraId="615F8519" w14:textId="77777777" w:rsidR="00B51ED1" w:rsidRDefault="00D267C1" w:rsidP="00B51ED1">
      <w:pPr>
        <w:pStyle w:val="Heading6"/>
      </w:pPr>
      <w:r>
        <w:t>Protocol amendments</w:t>
      </w:r>
    </w:p>
    <w:p w14:paraId="28820A4B" w14:textId="77777777" w:rsidR="00B51ED1" w:rsidRPr="006627E2" w:rsidRDefault="00B51ED1" w:rsidP="00B51ED1">
      <w:r w:rsidRPr="00912A6C">
        <w:rPr>
          <w:lang w:val="en-US"/>
        </w:rPr>
        <w:t>Sample size was increased from 480 to 600 under protocol version 8 to increase power for key secondary endpoints, but the primary analysis of PFS by BICR was kept to the first 4</w:t>
      </w:r>
      <w:r w:rsidR="00C9554B">
        <w:rPr>
          <w:lang w:val="en-US"/>
        </w:rPr>
        <w:t>80 </w:t>
      </w:r>
      <w:r w:rsidRPr="00912A6C">
        <w:rPr>
          <w:lang w:val="en-US"/>
        </w:rPr>
        <w:t>patients to reduce potential bias due to early progression events.</w:t>
      </w:r>
    </w:p>
    <w:p w14:paraId="1FD19C8A" w14:textId="47C396FF" w:rsidR="00B51ED1" w:rsidRDefault="00B51ED1" w:rsidP="00B51ED1">
      <w:r>
        <w:rPr>
          <w:lang w:val="en-US"/>
        </w:rPr>
        <w:t>Other k</w:t>
      </w:r>
      <w:r w:rsidRPr="00451C08">
        <w:rPr>
          <w:lang w:val="en-US"/>
        </w:rPr>
        <w:t xml:space="preserve">ey protocol amendments </w:t>
      </w:r>
      <w:r>
        <w:rPr>
          <w:lang w:val="en-US"/>
        </w:rPr>
        <w:t>are described in the Multi-Discipline Review.</w:t>
      </w:r>
      <w:r w:rsidR="00C9554B">
        <w:rPr>
          <w:lang w:val="en-US"/>
        </w:rPr>
        <w:fldChar w:fldCharType="begin"/>
      </w:r>
      <w:r w:rsidR="00C9554B">
        <w:rPr>
          <w:lang w:val="en-US"/>
        </w:rPr>
        <w:instrText xml:space="preserve"> NOTEREF _Ref64226828 \f \h </w:instrText>
      </w:r>
      <w:r w:rsidR="00C9554B">
        <w:rPr>
          <w:lang w:val="en-US"/>
        </w:rPr>
      </w:r>
      <w:r w:rsidR="00C9554B">
        <w:rPr>
          <w:lang w:val="en-US"/>
        </w:rPr>
        <w:fldChar w:fldCharType="separate"/>
      </w:r>
      <w:r w:rsidR="00F979FB" w:rsidRPr="00F979FB">
        <w:rPr>
          <w:rStyle w:val="FootnoteReference"/>
        </w:rPr>
        <w:t>10</w:t>
      </w:r>
      <w:r w:rsidR="00C9554B">
        <w:rPr>
          <w:lang w:val="en-US"/>
        </w:rPr>
        <w:fldChar w:fldCharType="end"/>
      </w:r>
    </w:p>
    <w:p w14:paraId="476F23F0" w14:textId="77777777" w:rsidR="00B51ED1" w:rsidRPr="006E2909" w:rsidRDefault="00B51ED1" w:rsidP="00B51ED1">
      <w:pPr>
        <w:pStyle w:val="Heading6"/>
      </w:pPr>
      <w:r>
        <w:t>Populations and b</w:t>
      </w:r>
      <w:r w:rsidRPr="006E2909">
        <w:t xml:space="preserve">aseline </w:t>
      </w:r>
      <w:r>
        <w:t>characteristics</w:t>
      </w:r>
    </w:p>
    <w:p w14:paraId="0DC284CF" w14:textId="4899EF78" w:rsidR="00B51ED1" w:rsidRDefault="00B51ED1" w:rsidP="00C9554B">
      <w:r>
        <w:t>The distribution of demographics (</w:t>
      </w:r>
      <w:r w:rsidR="00C9554B">
        <w:t xml:space="preserve">see </w:t>
      </w:r>
      <w:r>
        <w:fldChar w:fldCharType="begin"/>
      </w:r>
      <w:r>
        <w:instrText xml:space="preserve"> REF _Ref36217125 \h </w:instrText>
      </w:r>
      <w:r w:rsidR="00C9554B">
        <w:instrText xml:space="preserve"> \* MERGEFORMAT </w:instrText>
      </w:r>
      <w:r>
        <w:fldChar w:fldCharType="separate"/>
      </w:r>
      <w:r w:rsidR="00F979FB">
        <w:t xml:space="preserve">Table </w:t>
      </w:r>
      <w:r w:rsidR="00F979FB">
        <w:rPr>
          <w:noProof/>
        </w:rPr>
        <w:t>9</w:t>
      </w:r>
      <w:r>
        <w:fldChar w:fldCharType="end"/>
      </w:r>
      <w:r>
        <w:t>) a</w:t>
      </w:r>
      <w:r w:rsidR="00C9554B">
        <w:t>nd disease characteristics at B</w:t>
      </w:r>
      <w:r>
        <w:t>aseline (</w:t>
      </w:r>
      <w:r w:rsidR="00822A5F">
        <w:t>see </w:t>
      </w:r>
      <w:r>
        <w:fldChar w:fldCharType="begin"/>
      </w:r>
      <w:r>
        <w:instrText xml:space="preserve"> REF _Ref36217129 \h </w:instrText>
      </w:r>
      <w:r w:rsidR="00C9554B">
        <w:instrText xml:space="preserve"> \* MERGEFORMAT </w:instrText>
      </w:r>
      <w:r>
        <w:fldChar w:fldCharType="separate"/>
      </w:r>
      <w:r w:rsidR="00F979FB">
        <w:t xml:space="preserve">Table </w:t>
      </w:r>
      <w:r w:rsidR="00F979FB">
        <w:rPr>
          <w:noProof/>
        </w:rPr>
        <w:t>10</w:t>
      </w:r>
      <w:r>
        <w:fldChar w:fldCharType="end"/>
      </w:r>
      <w:r>
        <w:t xml:space="preserve">) between arms was consistent with successful randomisation in the three analysis populations in which the </w:t>
      </w:r>
      <w:r w:rsidRPr="009E516B">
        <w:t>primary and key secondary endpoints were analysed</w:t>
      </w:r>
      <w:r>
        <w:t>.</w:t>
      </w:r>
    </w:p>
    <w:p w14:paraId="7A6DABC6" w14:textId="13B4CBE0" w:rsidR="00B51ED1" w:rsidRDefault="00B51ED1" w:rsidP="00822A5F">
      <w:pPr>
        <w:pStyle w:val="TableTitle"/>
      </w:pPr>
      <w:bookmarkStart w:id="54" w:name="_Ref36217125"/>
      <w:r>
        <w:t xml:space="preserve">Table </w:t>
      </w:r>
      <w:fldSimple w:instr=" SEQ Table \* ARABIC ">
        <w:r w:rsidR="00F979FB">
          <w:rPr>
            <w:noProof/>
          </w:rPr>
          <w:t>9</w:t>
        </w:r>
      </w:fldSimple>
      <w:bookmarkEnd w:id="54"/>
      <w:r w:rsidR="00D267C1">
        <w:t>:</w:t>
      </w:r>
      <w:r>
        <w:t xml:space="preserve"> Baseline demographics in</w:t>
      </w:r>
      <w:r w:rsidR="00305E60">
        <w:t xml:space="preserve"> the</w:t>
      </w:r>
      <w:r>
        <w:t xml:space="preserve"> HER2CLIMB</w:t>
      </w:r>
      <w:r w:rsidR="00305E60">
        <w:t xml:space="preserve"> trial</w:t>
      </w:r>
      <w:r>
        <w:t xml:space="preserve"> (</w:t>
      </w:r>
      <w:r w:rsidR="00305E60">
        <w:t>intent to treat overall survival population</w:t>
      </w:r>
      <w:r>
        <w:t>)</w:t>
      </w:r>
    </w:p>
    <w:tbl>
      <w:tblPr>
        <w:tblStyle w:val="TableTGAblue1"/>
        <w:tblW w:w="5000" w:type="pct"/>
        <w:tblLook w:val="0420" w:firstRow="1" w:lastRow="0" w:firstColumn="0" w:lastColumn="0" w:noHBand="0" w:noVBand="1"/>
      </w:tblPr>
      <w:tblGrid>
        <w:gridCol w:w="1191"/>
        <w:gridCol w:w="2172"/>
        <w:gridCol w:w="3003"/>
        <w:gridCol w:w="2118"/>
      </w:tblGrid>
      <w:tr w:rsidR="00B51ED1" w:rsidRPr="007E6EF0" w14:paraId="5B61C5BD" w14:textId="77777777" w:rsidTr="007E6EF0">
        <w:trPr>
          <w:cnfStyle w:val="100000000000" w:firstRow="1" w:lastRow="0" w:firstColumn="0" w:lastColumn="0" w:oddVBand="0" w:evenVBand="0" w:oddHBand="0" w:evenHBand="0" w:firstRowFirstColumn="0" w:firstRowLastColumn="0" w:lastRowFirstColumn="0" w:lastRowLastColumn="0"/>
          <w:trHeight w:val="20"/>
        </w:trPr>
        <w:tc>
          <w:tcPr>
            <w:tcW w:w="702" w:type="pct"/>
            <w:hideMark/>
          </w:tcPr>
          <w:p w14:paraId="5C63BC12" w14:textId="77777777" w:rsidR="00B51ED1" w:rsidRPr="007E6EF0" w:rsidRDefault="00B51ED1" w:rsidP="007E6EF0">
            <w:pPr>
              <w:ind w:left="26" w:right="161"/>
              <w:rPr>
                <w:sz w:val="20"/>
                <w:szCs w:val="20"/>
              </w:rPr>
            </w:pPr>
          </w:p>
        </w:tc>
        <w:tc>
          <w:tcPr>
            <w:tcW w:w="1280" w:type="pct"/>
          </w:tcPr>
          <w:p w14:paraId="7932E32A" w14:textId="77777777" w:rsidR="00B51ED1" w:rsidRPr="007E6EF0" w:rsidRDefault="00B51ED1" w:rsidP="007E6EF0">
            <w:pPr>
              <w:ind w:left="0"/>
              <w:rPr>
                <w:sz w:val="20"/>
                <w:szCs w:val="20"/>
              </w:rPr>
            </w:pPr>
          </w:p>
        </w:tc>
        <w:tc>
          <w:tcPr>
            <w:tcW w:w="1770" w:type="pct"/>
            <w:hideMark/>
          </w:tcPr>
          <w:p w14:paraId="3041C04A" w14:textId="6D690471" w:rsidR="00B51ED1" w:rsidRPr="007E6EF0" w:rsidRDefault="00C9554B" w:rsidP="007E6EF0">
            <w:pPr>
              <w:ind w:left="64"/>
              <w:rPr>
                <w:bCs/>
                <w:sz w:val="20"/>
                <w:szCs w:val="20"/>
                <w:lang w:val="en-US"/>
              </w:rPr>
            </w:pPr>
            <w:r w:rsidRPr="007E6EF0">
              <w:rPr>
                <w:sz w:val="20"/>
                <w:szCs w:val="20"/>
              </w:rPr>
              <w:t>Tucatinib + trastuzumab + capecitabine</w:t>
            </w:r>
            <w:r w:rsidRPr="007E6EF0">
              <w:rPr>
                <w:bCs/>
                <w:sz w:val="20"/>
                <w:szCs w:val="20"/>
                <w:lang w:val="en-US"/>
              </w:rPr>
              <w:t xml:space="preserve"> </w:t>
            </w:r>
            <w:r w:rsidR="00B51ED1" w:rsidRPr="007E6EF0">
              <w:rPr>
                <w:bCs/>
                <w:sz w:val="20"/>
                <w:szCs w:val="20"/>
                <w:lang w:val="en-US"/>
              </w:rPr>
              <w:t>(n</w:t>
            </w:r>
            <w:r w:rsidRPr="007E6EF0">
              <w:rPr>
                <w:bCs/>
                <w:sz w:val="20"/>
                <w:szCs w:val="20"/>
                <w:lang w:val="en-US"/>
              </w:rPr>
              <w:t xml:space="preserve"> </w:t>
            </w:r>
            <w:r w:rsidR="00B51ED1" w:rsidRPr="007E6EF0">
              <w:rPr>
                <w:bCs/>
                <w:sz w:val="20"/>
                <w:szCs w:val="20"/>
                <w:lang w:val="en-US"/>
              </w:rPr>
              <w:t>=</w:t>
            </w:r>
            <w:r w:rsidRPr="007E6EF0">
              <w:rPr>
                <w:bCs/>
                <w:sz w:val="20"/>
                <w:szCs w:val="20"/>
                <w:lang w:val="en-US"/>
              </w:rPr>
              <w:t xml:space="preserve"> </w:t>
            </w:r>
            <w:r w:rsidR="00B51ED1" w:rsidRPr="007E6EF0">
              <w:rPr>
                <w:bCs/>
                <w:sz w:val="20"/>
                <w:szCs w:val="20"/>
                <w:lang w:val="en-US"/>
              </w:rPr>
              <w:t>410)</w:t>
            </w:r>
            <w:r w:rsidR="007E6EF0">
              <w:rPr>
                <w:bCs/>
                <w:sz w:val="20"/>
                <w:szCs w:val="20"/>
                <w:lang w:val="en-US"/>
              </w:rPr>
              <w:t xml:space="preserve"> </w:t>
            </w:r>
          </w:p>
          <w:p w14:paraId="657A9E70" w14:textId="77777777" w:rsidR="00B51ED1" w:rsidRPr="007E6EF0" w:rsidRDefault="00B51ED1" w:rsidP="007E6EF0">
            <w:pPr>
              <w:ind w:left="64"/>
              <w:rPr>
                <w:bCs/>
                <w:sz w:val="20"/>
                <w:szCs w:val="20"/>
                <w:lang w:val="en-US"/>
              </w:rPr>
            </w:pPr>
            <w:r w:rsidRPr="007E6EF0">
              <w:rPr>
                <w:bCs/>
                <w:sz w:val="20"/>
                <w:szCs w:val="20"/>
                <w:lang w:val="en-US"/>
              </w:rPr>
              <w:t>n (%)</w:t>
            </w:r>
          </w:p>
        </w:tc>
        <w:tc>
          <w:tcPr>
            <w:tcW w:w="1248" w:type="pct"/>
            <w:hideMark/>
          </w:tcPr>
          <w:p w14:paraId="2C1D1A70" w14:textId="77777777" w:rsidR="00B51ED1" w:rsidRPr="007E6EF0" w:rsidRDefault="00C9554B" w:rsidP="007E6EF0">
            <w:pPr>
              <w:rPr>
                <w:bCs/>
                <w:sz w:val="20"/>
                <w:szCs w:val="20"/>
                <w:lang w:val="en-US"/>
              </w:rPr>
            </w:pPr>
            <w:r w:rsidRPr="007E6EF0">
              <w:rPr>
                <w:sz w:val="20"/>
                <w:szCs w:val="20"/>
              </w:rPr>
              <w:t>Placebo + trastuzumab + capecitabine</w:t>
            </w:r>
            <w:r w:rsidRPr="007E6EF0">
              <w:rPr>
                <w:bCs/>
                <w:sz w:val="20"/>
                <w:szCs w:val="20"/>
                <w:lang w:val="en-US"/>
              </w:rPr>
              <w:t xml:space="preserve"> </w:t>
            </w:r>
            <w:r w:rsidR="00B51ED1" w:rsidRPr="007E6EF0">
              <w:rPr>
                <w:bCs/>
                <w:sz w:val="20"/>
                <w:szCs w:val="20"/>
                <w:lang w:val="en-US"/>
              </w:rPr>
              <w:t>(n</w:t>
            </w:r>
            <w:r w:rsidRPr="007E6EF0">
              <w:rPr>
                <w:bCs/>
                <w:sz w:val="20"/>
                <w:szCs w:val="20"/>
                <w:lang w:val="en-US"/>
              </w:rPr>
              <w:t xml:space="preserve"> </w:t>
            </w:r>
            <w:r w:rsidR="00B51ED1" w:rsidRPr="007E6EF0">
              <w:rPr>
                <w:bCs/>
                <w:sz w:val="20"/>
                <w:szCs w:val="20"/>
                <w:lang w:val="en-US"/>
              </w:rPr>
              <w:t>=</w:t>
            </w:r>
            <w:r w:rsidRPr="007E6EF0">
              <w:rPr>
                <w:bCs/>
                <w:sz w:val="20"/>
                <w:szCs w:val="20"/>
                <w:lang w:val="en-US"/>
              </w:rPr>
              <w:t xml:space="preserve"> </w:t>
            </w:r>
            <w:r w:rsidR="00B51ED1" w:rsidRPr="007E6EF0">
              <w:rPr>
                <w:bCs/>
                <w:sz w:val="20"/>
                <w:szCs w:val="20"/>
                <w:lang w:val="en-US"/>
              </w:rPr>
              <w:t>202)</w:t>
            </w:r>
          </w:p>
          <w:p w14:paraId="738BF5CE" w14:textId="77777777" w:rsidR="00B51ED1" w:rsidRPr="007E6EF0" w:rsidRDefault="00B51ED1" w:rsidP="007E6EF0">
            <w:pPr>
              <w:rPr>
                <w:bCs/>
                <w:sz w:val="20"/>
                <w:szCs w:val="20"/>
                <w:lang w:val="en-US"/>
              </w:rPr>
            </w:pPr>
            <w:r w:rsidRPr="007E6EF0">
              <w:rPr>
                <w:bCs/>
                <w:sz w:val="20"/>
                <w:szCs w:val="20"/>
                <w:lang w:val="en-US"/>
              </w:rPr>
              <w:t>n (%)</w:t>
            </w:r>
          </w:p>
        </w:tc>
      </w:tr>
      <w:tr w:rsidR="00B51ED1" w:rsidRPr="007E6EF0" w14:paraId="6418D9F8" w14:textId="77777777" w:rsidTr="007E6EF0">
        <w:trPr>
          <w:trHeight w:val="20"/>
        </w:trPr>
        <w:tc>
          <w:tcPr>
            <w:tcW w:w="702" w:type="pct"/>
            <w:hideMark/>
          </w:tcPr>
          <w:p w14:paraId="50EBBEB3" w14:textId="77777777" w:rsidR="00B51ED1" w:rsidRPr="007E6EF0" w:rsidRDefault="00B51ED1" w:rsidP="007E6EF0">
            <w:pPr>
              <w:ind w:left="26" w:right="161"/>
              <w:rPr>
                <w:b/>
                <w:bCs/>
                <w:sz w:val="20"/>
                <w:szCs w:val="20"/>
                <w:lang w:val="en-US"/>
              </w:rPr>
            </w:pPr>
            <w:r w:rsidRPr="007E6EF0">
              <w:rPr>
                <w:b/>
                <w:bCs/>
                <w:sz w:val="20"/>
                <w:szCs w:val="20"/>
                <w:lang w:val="en-US"/>
              </w:rPr>
              <w:t>Age</w:t>
            </w:r>
          </w:p>
        </w:tc>
        <w:tc>
          <w:tcPr>
            <w:tcW w:w="1280" w:type="pct"/>
          </w:tcPr>
          <w:p w14:paraId="7EFFA719" w14:textId="77777777" w:rsidR="00B51ED1" w:rsidRPr="007E6EF0" w:rsidRDefault="00B51ED1" w:rsidP="007E6EF0">
            <w:pPr>
              <w:ind w:left="0"/>
              <w:rPr>
                <w:sz w:val="20"/>
                <w:szCs w:val="20"/>
                <w:lang w:val="en-US"/>
              </w:rPr>
            </w:pPr>
            <w:r w:rsidRPr="007E6EF0">
              <w:rPr>
                <w:sz w:val="20"/>
                <w:szCs w:val="20"/>
                <w:lang w:val="en-US"/>
              </w:rPr>
              <w:t>Median (range)</w:t>
            </w:r>
          </w:p>
        </w:tc>
        <w:tc>
          <w:tcPr>
            <w:tcW w:w="1770" w:type="pct"/>
            <w:hideMark/>
          </w:tcPr>
          <w:p w14:paraId="30BA74A0" w14:textId="77777777" w:rsidR="00B51ED1" w:rsidRPr="007E6EF0" w:rsidRDefault="00B51ED1" w:rsidP="007E6EF0">
            <w:pPr>
              <w:ind w:left="64"/>
              <w:rPr>
                <w:sz w:val="20"/>
                <w:szCs w:val="20"/>
              </w:rPr>
            </w:pPr>
            <w:r w:rsidRPr="007E6EF0">
              <w:rPr>
                <w:sz w:val="20"/>
                <w:szCs w:val="20"/>
              </w:rPr>
              <w:t>55 (22</w:t>
            </w:r>
            <w:r w:rsidR="00C9554B" w:rsidRPr="007E6EF0">
              <w:rPr>
                <w:sz w:val="20"/>
                <w:szCs w:val="20"/>
              </w:rPr>
              <w:t xml:space="preserve"> to </w:t>
            </w:r>
            <w:r w:rsidRPr="007E6EF0">
              <w:rPr>
                <w:sz w:val="20"/>
                <w:szCs w:val="20"/>
              </w:rPr>
              <w:t>80)</w:t>
            </w:r>
          </w:p>
        </w:tc>
        <w:tc>
          <w:tcPr>
            <w:tcW w:w="1248" w:type="pct"/>
            <w:hideMark/>
          </w:tcPr>
          <w:p w14:paraId="7C18F26A" w14:textId="77E4812A" w:rsidR="00B51ED1" w:rsidRPr="007E6EF0" w:rsidRDefault="00B51ED1" w:rsidP="007E6EF0">
            <w:pPr>
              <w:rPr>
                <w:sz w:val="20"/>
                <w:szCs w:val="20"/>
              </w:rPr>
            </w:pPr>
            <w:r w:rsidRPr="007E6EF0">
              <w:rPr>
                <w:sz w:val="20"/>
                <w:szCs w:val="20"/>
              </w:rPr>
              <w:t>5</w:t>
            </w:r>
            <w:r w:rsidR="00C9554B" w:rsidRPr="007E6EF0">
              <w:rPr>
                <w:sz w:val="20"/>
                <w:szCs w:val="20"/>
              </w:rPr>
              <w:t>4 (</w:t>
            </w:r>
            <w:r w:rsidR="007479AE" w:rsidRPr="007E6EF0">
              <w:rPr>
                <w:sz w:val="20"/>
                <w:szCs w:val="20"/>
              </w:rPr>
              <w:t>25</w:t>
            </w:r>
            <w:r w:rsidR="00C9554B" w:rsidRPr="007E6EF0">
              <w:rPr>
                <w:sz w:val="20"/>
                <w:szCs w:val="20"/>
              </w:rPr>
              <w:t xml:space="preserve"> to </w:t>
            </w:r>
            <w:r w:rsidR="00E1109A" w:rsidRPr="007E6EF0">
              <w:rPr>
                <w:sz w:val="20"/>
                <w:szCs w:val="20"/>
              </w:rPr>
              <w:t>82</w:t>
            </w:r>
            <w:r w:rsidRPr="007E6EF0">
              <w:rPr>
                <w:sz w:val="20"/>
                <w:szCs w:val="20"/>
              </w:rPr>
              <w:t>)</w:t>
            </w:r>
          </w:p>
        </w:tc>
      </w:tr>
      <w:tr w:rsidR="00B51ED1" w:rsidRPr="007E6EF0" w14:paraId="6D10B9B0" w14:textId="77777777" w:rsidTr="007E6EF0">
        <w:trPr>
          <w:trHeight w:val="20"/>
        </w:trPr>
        <w:tc>
          <w:tcPr>
            <w:tcW w:w="702" w:type="pct"/>
            <w:hideMark/>
          </w:tcPr>
          <w:p w14:paraId="44E8DC6B" w14:textId="696B156F" w:rsidR="00B51ED1" w:rsidRPr="007E6EF0" w:rsidRDefault="00B51ED1" w:rsidP="007E6EF0">
            <w:pPr>
              <w:ind w:left="26" w:right="161"/>
              <w:rPr>
                <w:b/>
                <w:bCs/>
                <w:sz w:val="20"/>
                <w:szCs w:val="20"/>
                <w:lang w:val="en-US"/>
              </w:rPr>
            </w:pPr>
            <w:r w:rsidRPr="007E6EF0">
              <w:rPr>
                <w:b/>
                <w:bCs/>
                <w:sz w:val="20"/>
                <w:szCs w:val="20"/>
                <w:lang w:val="en-US"/>
              </w:rPr>
              <w:t>Age group</w:t>
            </w:r>
          </w:p>
        </w:tc>
        <w:tc>
          <w:tcPr>
            <w:tcW w:w="1280" w:type="pct"/>
          </w:tcPr>
          <w:p w14:paraId="345CDF0C" w14:textId="77777777" w:rsidR="00B51ED1" w:rsidRPr="007E6EF0" w:rsidRDefault="00B51ED1" w:rsidP="007E6EF0">
            <w:pPr>
              <w:ind w:left="0"/>
              <w:rPr>
                <w:sz w:val="20"/>
                <w:szCs w:val="20"/>
                <w:lang w:val="en-US"/>
              </w:rPr>
            </w:pPr>
            <w:r w:rsidRPr="007E6EF0">
              <w:rPr>
                <w:sz w:val="20"/>
                <w:szCs w:val="20"/>
                <w:lang w:val="en-US"/>
              </w:rPr>
              <w:t>&lt;</w:t>
            </w:r>
            <w:r w:rsidR="00C9554B" w:rsidRPr="007E6EF0">
              <w:rPr>
                <w:sz w:val="20"/>
                <w:szCs w:val="20"/>
                <w:lang w:val="en-US"/>
              </w:rPr>
              <w:t xml:space="preserve"> </w:t>
            </w:r>
            <w:r w:rsidRPr="007E6EF0">
              <w:rPr>
                <w:sz w:val="20"/>
                <w:szCs w:val="20"/>
                <w:lang w:val="en-US"/>
              </w:rPr>
              <w:t>65 years</w:t>
            </w:r>
          </w:p>
          <w:p w14:paraId="69E59198" w14:textId="77777777" w:rsidR="00B51ED1" w:rsidRPr="007E6EF0" w:rsidRDefault="00B51ED1" w:rsidP="007E6EF0">
            <w:pPr>
              <w:ind w:left="0"/>
              <w:rPr>
                <w:sz w:val="20"/>
                <w:szCs w:val="20"/>
                <w:lang w:val="en-US"/>
              </w:rPr>
            </w:pPr>
            <w:r w:rsidRPr="007E6EF0">
              <w:rPr>
                <w:sz w:val="20"/>
                <w:szCs w:val="20"/>
                <w:lang w:val="en-US"/>
              </w:rPr>
              <w:t>≥</w:t>
            </w:r>
            <w:r w:rsidR="00C9554B" w:rsidRPr="007E6EF0">
              <w:rPr>
                <w:sz w:val="20"/>
                <w:szCs w:val="20"/>
                <w:lang w:val="en-US"/>
              </w:rPr>
              <w:t xml:space="preserve"> </w:t>
            </w:r>
            <w:r w:rsidRPr="007E6EF0">
              <w:rPr>
                <w:sz w:val="20"/>
                <w:szCs w:val="20"/>
                <w:lang w:val="en-US"/>
              </w:rPr>
              <w:t>65 years</w:t>
            </w:r>
          </w:p>
        </w:tc>
        <w:tc>
          <w:tcPr>
            <w:tcW w:w="1770" w:type="pct"/>
            <w:hideMark/>
          </w:tcPr>
          <w:p w14:paraId="270F63F0" w14:textId="77777777" w:rsidR="00B51ED1" w:rsidRPr="007E6EF0" w:rsidRDefault="00B51ED1" w:rsidP="007E6EF0">
            <w:pPr>
              <w:ind w:left="64"/>
              <w:rPr>
                <w:sz w:val="20"/>
                <w:szCs w:val="20"/>
              </w:rPr>
            </w:pPr>
            <w:r w:rsidRPr="007E6EF0">
              <w:rPr>
                <w:sz w:val="20"/>
                <w:szCs w:val="20"/>
              </w:rPr>
              <w:t>328 (80)</w:t>
            </w:r>
          </w:p>
          <w:p w14:paraId="1479C15C" w14:textId="77777777" w:rsidR="00B51ED1" w:rsidRPr="007E6EF0" w:rsidRDefault="00B51ED1" w:rsidP="007E6EF0">
            <w:pPr>
              <w:ind w:left="64"/>
              <w:rPr>
                <w:sz w:val="20"/>
                <w:szCs w:val="20"/>
              </w:rPr>
            </w:pPr>
            <w:r w:rsidRPr="007E6EF0">
              <w:rPr>
                <w:sz w:val="20"/>
                <w:szCs w:val="20"/>
              </w:rPr>
              <w:t>82 (20)</w:t>
            </w:r>
          </w:p>
        </w:tc>
        <w:tc>
          <w:tcPr>
            <w:tcW w:w="1248" w:type="pct"/>
            <w:hideMark/>
          </w:tcPr>
          <w:p w14:paraId="1DFBB1BA" w14:textId="77777777" w:rsidR="00B51ED1" w:rsidRPr="007E6EF0" w:rsidRDefault="00B51ED1" w:rsidP="007E6EF0">
            <w:pPr>
              <w:rPr>
                <w:sz w:val="20"/>
                <w:szCs w:val="20"/>
              </w:rPr>
            </w:pPr>
            <w:r w:rsidRPr="007E6EF0">
              <w:rPr>
                <w:sz w:val="20"/>
                <w:szCs w:val="20"/>
              </w:rPr>
              <w:t>168 (83)</w:t>
            </w:r>
          </w:p>
          <w:p w14:paraId="5BDDF519" w14:textId="77777777" w:rsidR="00B51ED1" w:rsidRPr="007E6EF0" w:rsidRDefault="00B51ED1" w:rsidP="007E6EF0">
            <w:pPr>
              <w:rPr>
                <w:sz w:val="20"/>
                <w:szCs w:val="20"/>
              </w:rPr>
            </w:pPr>
            <w:r w:rsidRPr="007E6EF0">
              <w:rPr>
                <w:sz w:val="20"/>
                <w:szCs w:val="20"/>
              </w:rPr>
              <w:t>34 (16)</w:t>
            </w:r>
          </w:p>
        </w:tc>
      </w:tr>
      <w:tr w:rsidR="00B51ED1" w:rsidRPr="007E6EF0" w14:paraId="0123353B" w14:textId="77777777" w:rsidTr="007E6EF0">
        <w:trPr>
          <w:trHeight w:val="20"/>
        </w:trPr>
        <w:tc>
          <w:tcPr>
            <w:tcW w:w="702" w:type="pct"/>
            <w:hideMark/>
          </w:tcPr>
          <w:p w14:paraId="35B08D93" w14:textId="77777777" w:rsidR="00B51ED1" w:rsidRPr="007E6EF0" w:rsidRDefault="00B51ED1" w:rsidP="007E6EF0">
            <w:pPr>
              <w:ind w:left="26" w:right="161"/>
              <w:rPr>
                <w:b/>
                <w:bCs/>
                <w:sz w:val="20"/>
                <w:szCs w:val="20"/>
                <w:lang w:val="en-US"/>
              </w:rPr>
            </w:pPr>
            <w:r w:rsidRPr="007E6EF0">
              <w:rPr>
                <w:b/>
                <w:bCs/>
                <w:sz w:val="20"/>
                <w:szCs w:val="20"/>
                <w:lang w:val="en-US"/>
              </w:rPr>
              <w:t>Sex</w:t>
            </w:r>
          </w:p>
        </w:tc>
        <w:tc>
          <w:tcPr>
            <w:tcW w:w="1280" w:type="pct"/>
          </w:tcPr>
          <w:p w14:paraId="513404F6" w14:textId="77777777" w:rsidR="00B51ED1" w:rsidRPr="007E6EF0" w:rsidRDefault="00B51ED1" w:rsidP="007E6EF0">
            <w:pPr>
              <w:ind w:left="0"/>
              <w:rPr>
                <w:sz w:val="20"/>
                <w:szCs w:val="20"/>
                <w:lang w:val="en-US"/>
              </w:rPr>
            </w:pPr>
            <w:r w:rsidRPr="007E6EF0">
              <w:rPr>
                <w:sz w:val="20"/>
                <w:szCs w:val="20"/>
                <w:lang w:val="en-US"/>
              </w:rPr>
              <w:t>Female</w:t>
            </w:r>
          </w:p>
        </w:tc>
        <w:tc>
          <w:tcPr>
            <w:tcW w:w="1770" w:type="pct"/>
            <w:hideMark/>
          </w:tcPr>
          <w:p w14:paraId="53AF32EC" w14:textId="77777777" w:rsidR="00B51ED1" w:rsidRPr="007E6EF0" w:rsidRDefault="00B51ED1" w:rsidP="007E6EF0">
            <w:pPr>
              <w:ind w:left="64"/>
              <w:rPr>
                <w:sz w:val="20"/>
                <w:szCs w:val="20"/>
              </w:rPr>
            </w:pPr>
            <w:r w:rsidRPr="007E6EF0">
              <w:rPr>
                <w:sz w:val="20"/>
                <w:szCs w:val="20"/>
              </w:rPr>
              <w:t>407 (99)</w:t>
            </w:r>
          </w:p>
        </w:tc>
        <w:tc>
          <w:tcPr>
            <w:tcW w:w="1248" w:type="pct"/>
            <w:hideMark/>
          </w:tcPr>
          <w:p w14:paraId="0341749C" w14:textId="77777777" w:rsidR="00B51ED1" w:rsidRPr="007E6EF0" w:rsidRDefault="00B51ED1" w:rsidP="007E6EF0">
            <w:pPr>
              <w:rPr>
                <w:sz w:val="20"/>
                <w:szCs w:val="20"/>
              </w:rPr>
            </w:pPr>
            <w:r w:rsidRPr="007E6EF0">
              <w:rPr>
                <w:sz w:val="20"/>
                <w:szCs w:val="20"/>
              </w:rPr>
              <w:t>200 (99)</w:t>
            </w:r>
          </w:p>
        </w:tc>
      </w:tr>
      <w:tr w:rsidR="00B51ED1" w:rsidRPr="007E6EF0" w14:paraId="4C302439" w14:textId="77777777" w:rsidTr="007E6EF0">
        <w:trPr>
          <w:trHeight w:val="20"/>
        </w:trPr>
        <w:tc>
          <w:tcPr>
            <w:tcW w:w="702" w:type="pct"/>
            <w:hideMark/>
          </w:tcPr>
          <w:p w14:paraId="108FA5F9" w14:textId="0B8EE9E4" w:rsidR="00B51ED1" w:rsidRPr="007E6EF0" w:rsidRDefault="00B51ED1" w:rsidP="007E6EF0">
            <w:pPr>
              <w:ind w:left="26" w:right="161"/>
              <w:rPr>
                <w:b/>
                <w:bCs/>
                <w:sz w:val="20"/>
                <w:szCs w:val="20"/>
                <w:lang w:val="en-US"/>
              </w:rPr>
            </w:pPr>
            <w:r w:rsidRPr="007E6EF0">
              <w:rPr>
                <w:b/>
                <w:bCs/>
                <w:sz w:val="20"/>
                <w:szCs w:val="20"/>
                <w:lang w:val="en-US"/>
              </w:rPr>
              <w:t>Race</w:t>
            </w:r>
          </w:p>
        </w:tc>
        <w:tc>
          <w:tcPr>
            <w:tcW w:w="1280" w:type="pct"/>
          </w:tcPr>
          <w:p w14:paraId="71DF0B42" w14:textId="77777777" w:rsidR="00B51ED1" w:rsidRPr="007E6EF0" w:rsidRDefault="00B51ED1" w:rsidP="007E6EF0">
            <w:pPr>
              <w:ind w:left="0"/>
              <w:rPr>
                <w:sz w:val="20"/>
                <w:szCs w:val="20"/>
                <w:lang w:val="en-US"/>
              </w:rPr>
            </w:pPr>
            <w:r w:rsidRPr="007E6EF0">
              <w:rPr>
                <w:sz w:val="20"/>
                <w:szCs w:val="20"/>
                <w:lang w:val="en-US"/>
              </w:rPr>
              <w:t>White</w:t>
            </w:r>
          </w:p>
          <w:p w14:paraId="14BFDFF6" w14:textId="77777777" w:rsidR="00B51ED1" w:rsidRPr="007E6EF0" w:rsidRDefault="00B51ED1" w:rsidP="007E6EF0">
            <w:pPr>
              <w:ind w:left="0"/>
              <w:rPr>
                <w:sz w:val="20"/>
                <w:szCs w:val="20"/>
                <w:lang w:val="en-US"/>
              </w:rPr>
            </w:pPr>
            <w:r w:rsidRPr="007E6EF0">
              <w:rPr>
                <w:sz w:val="20"/>
                <w:szCs w:val="20"/>
                <w:lang w:val="en-US"/>
              </w:rPr>
              <w:t>Black</w:t>
            </w:r>
          </w:p>
          <w:p w14:paraId="1FFF92F2" w14:textId="77777777" w:rsidR="00B51ED1" w:rsidRPr="007E6EF0" w:rsidRDefault="00B51ED1" w:rsidP="007E6EF0">
            <w:pPr>
              <w:ind w:left="0"/>
              <w:rPr>
                <w:sz w:val="20"/>
                <w:szCs w:val="20"/>
                <w:lang w:val="en-US"/>
              </w:rPr>
            </w:pPr>
            <w:r w:rsidRPr="007E6EF0">
              <w:rPr>
                <w:sz w:val="20"/>
                <w:szCs w:val="20"/>
                <w:lang w:val="en-US"/>
              </w:rPr>
              <w:t>Asian</w:t>
            </w:r>
          </w:p>
          <w:p w14:paraId="2AB518B2" w14:textId="77777777" w:rsidR="00B51ED1" w:rsidRPr="007E6EF0" w:rsidRDefault="00C9554B" w:rsidP="007E6EF0">
            <w:pPr>
              <w:ind w:left="0"/>
              <w:rPr>
                <w:sz w:val="20"/>
                <w:szCs w:val="20"/>
                <w:lang w:val="en-US"/>
              </w:rPr>
            </w:pPr>
            <w:r w:rsidRPr="007E6EF0">
              <w:rPr>
                <w:sz w:val="20"/>
                <w:szCs w:val="20"/>
                <w:lang w:val="en-US"/>
              </w:rPr>
              <w:t>Unknown/o</w:t>
            </w:r>
            <w:r w:rsidR="00B51ED1" w:rsidRPr="007E6EF0">
              <w:rPr>
                <w:sz w:val="20"/>
                <w:szCs w:val="20"/>
                <w:lang w:val="en-US"/>
              </w:rPr>
              <w:t>ther</w:t>
            </w:r>
          </w:p>
        </w:tc>
        <w:tc>
          <w:tcPr>
            <w:tcW w:w="1770" w:type="pct"/>
            <w:hideMark/>
          </w:tcPr>
          <w:p w14:paraId="008122C9" w14:textId="77777777" w:rsidR="00B51ED1" w:rsidRPr="007E6EF0" w:rsidRDefault="00B51ED1" w:rsidP="007E6EF0">
            <w:pPr>
              <w:ind w:left="64"/>
              <w:rPr>
                <w:sz w:val="20"/>
                <w:szCs w:val="20"/>
              </w:rPr>
            </w:pPr>
            <w:r w:rsidRPr="007E6EF0">
              <w:rPr>
                <w:sz w:val="20"/>
                <w:szCs w:val="20"/>
              </w:rPr>
              <w:t>287 (70)</w:t>
            </w:r>
          </w:p>
          <w:p w14:paraId="75201C62" w14:textId="77777777" w:rsidR="00B51ED1" w:rsidRPr="007E6EF0" w:rsidRDefault="00B51ED1" w:rsidP="007E6EF0">
            <w:pPr>
              <w:ind w:left="64"/>
              <w:rPr>
                <w:sz w:val="20"/>
                <w:szCs w:val="20"/>
              </w:rPr>
            </w:pPr>
            <w:r w:rsidRPr="007E6EF0">
              <w:rPr>
                <w:sz w:val="20"/>
                <w:szCs w:val="20"/>
              </w:rPr>
              <w:t>41 (10)</w:t>
            </w:r>
          </w:p>
          <w:p w14:paraId="6BEDD19D" w14:textId="77777777" w:rsidR="00B51ED1" w:rsidRPr="007E6EF0" w:rsidRDefault="00B51ED1" w:rsidP="007E6EF0">
            <w:pPr>
              <w:ind w:left="64"/>
              <w:rPr>
                <w:sz w:val="20"/>
                <w:szCs w:val="20"/>
              </w:rPr>
            </w:pPr>
            <w:r w:rsidRPr="007E6EF0">
              <w:rPr>
                <w:sz w:val="20"/>
                <w:szCs w:val="20"/>
              </w:rPr>
              <w:t>18 (4)</w:t>
            </w:r>
          </w:p>
          <w:p w14:paraId="1D8F5CB6" w14:textId="77777777" w:rsidR="00B51ED1" w:rsidRPr="007E6EF0" w:rsidRDefault="00B51ED1" w:rsidP="007E6EF0">
            <w:pPr>
              <w:ind w:left="64"/>
              <w:rPr>
                <w:sz w:val="20"/>
                <w:szCs w:val="20"/>
              </w:rPr>
            </w:pPr>
            <w:r w:rsidRPr="007E6EF0">
              <w:rPr>
                <w:sz w:val="20"/>
                <w:szCs w:val="20"/>
              </w:rPr>
              <w:t>64 (15)</w:t>
            </w:r>
          </w:p>
        </w:tc>
        <w:tc>
          <w:tcPr>
            <w:tcW w:w="1248" w:type="pct"/>
            <w:hideMark/>
          </w:tcPr>
          <w:p w14:paraId="1FE48284" w14:textId="77777777" w:rsidR="00B51ED1" w:rsidRPr="007E6EF0" w:rsidRDefault="00B51ED1" w:rsidP="007E6EF0">
            <w:pPr>
              <w:rPr>
                <w:sz w:val="20"/>
                <w:szCs w:val="20"/>
              </w:rPr>
            </w:pPr>
            <w:r w:rsidRPr="007E6EF0">
              <w:rPr>
                <w:sz w:val="20"/>
                <w:szCs w:val="20"/>
              </w:rPr>
              <w:t>157 (77)</w:t>
            </w:r>
          </w:p>
          <w:p w14:paraId="1C6FD7F9" w14:textId="77777777" w:rsidR="00B51ED1" w:rsidRPr="007E6EF0" w:rsidRDefault="00B51ED1" w:rsidP="007E6EF0">
            <w:pPr>
              <w:rPr>
                <w:sz w:val="20"/>
                <w:szCs w:val="20"/>
              </w:rPr>
            </w:pPr>
            <w:r w:rsidRPr="007E6EF0">
              <w:rPr>
                <w:sz w:val="20"/>
                <w:szCs w:val="20"/>
              </w:rPr>
              <w:t>14 (6)</w:t>
            </w:r>
          </w:p>
          <w:p w14:paraId="09BD3304" w14:textId="77777777" w:rsidR="00B51ED1" w:rsidRPr="007E6EF0" w:rsidRDefault="00B51ED1" w:rsidP="007E6EF0">
            <w:pPr>
              <w:rPr>
                <w:sz w:val="20"/>
                <w:szCs w:val="20"/>
              </w:rPr>
            </w:pPr>
            <w:r w:rsidRPr="007E6EF0">
              <w:rPr>
                <w:sz w:val="20"/>
                <w:szCs w:val="20"/>
              </w:rPr>
              <w:t>5 (2)</w:t>
            </w:r>
          </w:p>
          <w:p w14:paraId="3A5AE5D6" w14:textId="77777777" w:rsidR="00B51ED1" w:rsidRPr="007E6EF0" w:rsidRDefault="00B51ED1" w:rsidP="007E6EF0">
            <w:pPr>
              <w:rPr>
                <w:sz w:val="20"/>
                <w:szCs w:val="20"/>
              </w:rPr>
            </w:pPr>
            <w:r w:rsidRPr="007E6EF0">
              <w:rPr>
                <w:sz w:val="20"/>
                <w:szCs w:val="20"/>
              </w:rPr>
              <w:t>26 (12)</w:t>
            </w:r>
          </w:p>
        </w:tc>
      </w:tr>
      <w:tr w:rsidR="00B51ED1" w:rsidRPr="007E6EF0" w14:paraId="0E63FA14" w14:textId="77777777" w:rsidTr="007E6EF0">
        <w:trPr>
          <w:trHeight w:val="20"/>
        </w:trPr>
        <w:tc>
          <w:tcPr>
            <w:tcW w:w="702" w:type="pct"/>
            <w:hideMark/>
          </w:tcPr>
          <w:p w14:paraId="58EE2FB5" w14:textId="48888E3E" w:rsidR="00B51ED1" w:rsidRPr="007E6EF0" w:rsidRDefault="00B51ED1" w:rsidP="007E6EF0">
            <w:pPr>
              <w:ind w:left="26" w:right="161"/>
              <w:rPr>
                <w:b/>
                <w:bCs/>
                <w:sz w:val="20"/>
                <w:szCs w:val="20"/>
                <w:lang w:val="en-US"/>
              </w:rPr>
            </w:pPr>
            <w:r w:rsidRPr="007E6EF0">
              <w:rPr>
                <w:b/>
                <w:bCs/>
                <w:sz w:val="20"/>
                <w:szCs w:val="20"/>
                <w:lang w:val="en-US"/>
              </w:rPr>
              <w:t>ECOG</w:t>
            </w:r>
            <w:r w:rsidR="00305E60" w:rsidRPr="007E6EF0">
              <w:rPr>
                <w:b/>
                <w:bCs/>
                <w:sz w:val="20"/>
                <w:szCs w:val="20"/>
                <w:lang w:val="en-US"/>
              </w:rPr>
              <w:t xml:space="preserve"> PS score</w:t>
            </w:r>
          </w:p>
        </w:tc>
        <w:tc>
          <w:tcPr>
            <w:tcW w:w="1280" w:type="pct"/>
          </w:tcPr>
          <w:p w14:paraId="44A92744" w14:textId="77777777" w:rsidR="00B51ED1" w:rsidRPr="007E6EF0" w:rsidRDefault="00B51ED1" w:rsidP="007E6EF0">
            <w:pPr>
              <w:ind w:left="0"/>
              <w:rPr>
                <w:sz w:val="20"/>
                <w:szCs w:val="20"/>
                <w:lang w:val="en-US"/>
              </w:rPr>
            </w:pPr>
            <w:r w:rsidRPr="007E6EF0">
              <w:rPr>
                <w:sz w:val="20"/>
                <w:szCs w:val="20"/>
                <w:lang w:val="en-US"/>
              </w:rPr>
              <w:t>0</w:t>
            </w:r>
          </w:p>
          <w:p w14:paraId="285446DA" w14:textId="77777777" w:rsidR="00B51ED1" w:rsidRPr="007E6EF0" w:rsidRDefault="00B51ED1" w:rsidP="007E6EF0">
            <w:pPr>
              <w:ind w:left="0"/>
              <w:rPr>
                <w:sz w:val="20"/>
                <w:szCs w:val="20"/>
                <w:lang w:val="en-US"/>
              </w:rPr>
            </w:pPr>
            <w:r w:rsidRPr="007E6EF0">
              <w:rPr>
                <w:sz w:val="20"/>
                <w:szCs w:val="20"/>
                <w:lang w:val="en-US"/>
              </w:rPr>
              <w:t>1</w:t>
            </w:r>
          </w:p>
        </w:tc>
        <w:tc>
          <w:tcPr>
            <w:tcW w:w="1770" w:type="pct"/>
            <w:hideMark/>
          </w:tcPr>
          <w:p w14:paraId="442EE94B" w14:textId="77777777" w:rsidR="00B51ED1" w:rsidRPr="007E6EF0" w:rsidRDefault="00B51ED1" w:rsidP="007E6EF0">
            <w:pPr>
              <w:ind w:left="64"/>
              <w:rPr>
                <w:sz w:val="20"/>
                <w:szCs w:val="20"/>
              </w:rPr>
            </w:pPr>
            <w:r w:rsidRPr="007E6EF0">
              <w:rPr>
                <w:sz w:val="20"/>
                <w:szCs w:val="20"/>
              </w:rPr>
              <w:t>204 (49)</w:t>
            </w:r>
          </w:p>
          <w:p w14:paraId="56B8C2C1" w14:textId="77777777" w:rsidR="00B51ED1" w:rsidRPr="007E6EF0" w:rsidRDefault="00B51ED1" w:rsidP="007E6EF0">
            <w:pPr>
              <w:ind w:left="64"/>
              <w:rPr>
                <w:sz w:val="20"/>
                <w:szCs w:val="20"/>
              </w:rPr>
            </w:pPr>
            <w:r w:rsidRPr="007E6EF0">
              <w:rPr>
                <w:sz w:val="20"/>
                <w:szCs w:val="20"/>
              </w:rPr>
              <w:t>206 (50)</w:t>
            </w:r>
          </w:p>
        </w:tc>
        <w:tc>
          <w:tcPr>
            <w:tcW w:w="1248" w:type="pct"/>
            <w:hideMark/>
          </w:tcPr>
          <w:p w14:paraId="09143E28" w14:textId="77777777" w:rsidR="00B51ED1" w:rsidRPr="007E6EF0" w:rsidRDefault="00B51ED1" w:rsidP="007E6EF0">
            <w:pPr>
              <w:rPr>
                <w:sz w:val="20"/>
                <w:szCs w:val="20"/>
              </w:rPr>
            </w:pPr>
            <w:r w:rsidRPr="007E6EF0">
              <w:rPr>
                <w:sz w:val="20"/>
                <w:szCs w:val="20"/>
              </w:rPr>
              <w:t>94 (46)</w:t>
            </w:r>
          </w:p>
          <w:p w14:paraId="68A1486A" w14:textId="20A99E90" w:rsidR="00B51ED1" w:rsidRPr="007E6EF0" w:rsidRDefault="002D7AEE" w:rsidP="007E6EF0">
            <w:pPr>
              <w:rPr>
                <w:sz w:val="20"/>
                <w:szCs w:val="20"/>
              </w:rPr>
            </w:pPr>
            <w:r w:rsidRPr="007E6EF0">
              <w:rPr>
                <w:sz w:val="20"/>
                <w:szCs w:val="20"/>
              </w:rPr>
              <w:t>108</w:t>
            </w:r>
            <w:r w:rsidR="00B51ED1" w:rsidRPr="007E6EF0">
              <w:rPr>
                <w:sz w:val="20"/>
                <w:szCs w:val="20"/>
              </w:rPr>
              <w:t xml:space="preserve"> (53)</w:t>
            </w:r>
          </w:p>
        </w:tc>
      </w:tr>
      <w:tr w:rsidR="00B51ED1" w:rsidRPr="007E6EF0" w14:paraId="2E787D39" w14:textId="77777777" w:rsidTr="007E6EF0">
        <w:trPr>
          <w:trHeight w:val="20"/>
        </w:trPr>
        <w:tc>
          <w:tcPr>
            <w:tcW w:w="702" w:type="pct"/>
            <w:hideMark/>
          </w:tcPr>
          <w:p w14:paraId="2C7D9680" w14:textId="77777777" w:rsidR="00B51ED1" w:rsidRPr="007E6EF0" w:rsidRDefault="00D267C1" w:rsidP="007E6EF0">
            <w:pPr>
              <w:ind w:left="26" w:right="161"/>
              <w:rPr>
                <w:b/>
                <w:bCs/>
                <w:sz w:val="20"/>
                <w:szCs w:val="20"/>
                <w:lang w:val="en-US"/>
              </w:rPr>
            </w:pPr>
            <w:r w:rsidRPr="007E6EF0">
              <w:rPr>
                <w:b/>
                <w:bCs/>
                <w:sz w:val="20"/>
                <w:szCs w:val="20"/>
                <w:lang w:val="en-US"/>
              </w:rPr>
              <w:t>Region</w:t>
            </w:r>
          </w:p>
        </w:tc>
        <w:tc>
          <w:tcPr>
            <w:tcW w:w="1280" w:type="pct"/>
          </w:tcPr>
          <w:p w14:paraId="6903800B" w14:textId="77777777" w:rsidR="00B51ED1" w:rsidRPr="007E6EF0" w:rsidRDefault="00B51ED1" w:rsidP="007E6EF0">
            <w:pPr>
              <w:ind w:left="0"/>
              <w:rPr>
                <w:sz w:val="20"/>
                <w:szCs w:val="20"/>
                <w:lang w:val="en-US"/>
              </w:rPr>
            </w:pPr>
            <w:r w:rsidRPr="007E6EF0">
              <w:rPr>
                <w:sz w:val="20"/>
                <w:szCs w:val="20"/>
                <w:lang w:val="en-US"/>
              </w:rPr>
              <w:t>US</w:t>
            </w:r>
          </w:p>
          <w:p w14:paraId="46541424" w14:textId="77777777" w:rsidR="00B51ED1" w:rsidRPr="007E6EF0" w:rsidRDefault="00B51ED1" w:rsidP="007E6EF0">
            <w:pPr>
              <w:ind w:left="0"/>
              <w:rPr>
                <w:sz w:val="20"/>
                <w:szCs w:val="20"/>
                <w:lang w:val="en-US"/>
              </w:rPr>
            </w:pPr>
            <w:r w:rsidRPr="007E6EF0">
              <w:rPr>
                <w:sz w:val="20"/>
                <w:szCs w:val="20"/>
                <w:lang w:val="en-US"/>
              </w:rPr>
              <w:t>Canada</w:t>
            </w:r>
          </w:p>
          <w:p w14:paraId="2295835E" w14:textId="77777777" w:rsidR="00B51ED1" w:rsidRPr="007E6EF0" w:rsidRDefault="00B51ED1" w:rsidP="007E6EF0">
            <w:pPr>
              <w:ind w:left="0"/>
              <w:rPr>
                <w:sz w:val="20"/>
                <w:szCs w:val="20"/>
                <w:lang w:val="en-US"/>
              </w:rPr>
            </w:pPr>
            <w:r w:rsidRPr="007E6EF0">
              <w:rPr>
                <w:sz w:val="20"/>
                <w:szCs w:val="20"/>
                <w:lang w:val="en-US"/>
              </w:rPr>
              <w:t>Rest of World</w:t>
            </w:r>
          </w:p>
        </w:tc>
        <w:tc>
          <w:tcPr>
            <w:tcW w:w="1770" w:type="pct"/>
            <w:hideMark/>
          </w:tcPr>
          <w:p w14:paraId="5CDD8244" w14:textId="77777777" w:rsidR="00B51ED1" w:rsidRPr="007E6EF0" w:rsidRDefault="00B51ED1" w:rsidP="007E6EF0">
            <w:pPr>
              <w:ind w:left="64"/>
              <w:rPr>
                <w:sz w:val="20"/>
                <w:szCs w:val="20"/>
              </w:rPr>
            </w:pPr>
            <w:r w:rsidRPr="007E6EF0">
              <w:rPr>
                <w:sz w:val="20"/>
                <w:szCs w:val="20"/>
              </w:rPr>
              <w:t>220 (53)</w:t>
            </w:r>
          </w:p>
          <w:p w14:paraId="38DB51BB" w14:textId="77777777" w:rsidR="00B51ED1" w:rsidRPr="007E6EF0" w:rsidRDefault="00B51ED1" w:rsidP="007E6EF0">
            <w:pPr>
              <w:ind w:left="64"/>
              <w:rPr>
                <w:sz w:val="20"/>
                <w:szCs w:val="20"/>
              </w:rPr>
            </w:pPr>
            <w:r w:rsidRPr="007E6EF0">
              <w:rPr>
                <w:sz w:val="20"/>
                <w:szCs w:val="20"/>
              </w:rPr>
              <w:t>26 (6)</w:t>
            </w:r>
          </w:p>
          <w:p w14:paraId="50DB4368" w14:textId="77777777" w:rsidR="00B51ED1" w:rsidRPr="007E6EF0" w:rsidRDefault="00B51ED1" w:rsidP="007E6EF0">
            <w:pPr>
              <w:ind w:left="64"/>
              <w:rPr>
                <w:sz w:val="20"/>
                <w:szCs w:val="20"/>
              </w:rPr>
            </w:pPr>
            <w:r w:rsidRPr="007E6EF0">
              <w:rPr>
                <w:sz w:val="20"/>
                <w:szCs w:val="20"/>
              </w:rPr>
              <w:t>164 (40)</w:t>
            </w:r>
          </w:p>
        </w:tc>
        <w:tc>
          <w:tcPr>
            <w:tcW w:w="1248" w:type="pct"/>
            <w:hideMark/>
          </w:tcPr>
          <w:p w14:paraId="06B5C9C5" w14:textId="77777777" w:rsidR="00B51ED1" w:rsidRPr="007E6EF0" w:rsidRDefault="00B51ED1" w:rsidP="007E6EF0">
            <w:pPr>
              <w:rPr>
                <w:sz w:val="20"/>
                <w:szCs w:val="20"/>
              </w:rPr>
            </w:pPr>
            <w:r w:rsidRPr="007E6EF0">
              <w:rPr>
                <w:sz w:val="20"/>
                <w:szCs w:val="20"/>
              </w:rPr>
              <w:t>111 (55)</w:t>
            </w:r>
          </w:p>
          <w:p w14:paraId="070A4E01" w14:textId="77777777" w:rsidR="00B51ED1" w:rsidRPr="007E6EF0" w:rsidRDefault="00B51ED1" w:rsidP="007E6EF0">
            <w:pPr>
              <w:rPr>
                <w:sz w:val="20"/>
                <w:szCs w:val="20"/>
              </w:rPr>
            </w:pPr>
            <w:r w:rsidRPr="007E6EF0">
              <w:rPr>
                <w:sz w:val="20"/>
                <w:szCs w:val="20"/>
              </w:rPr>
              <w:t>12 (5)</w:t>
            </w:r>
          </w:p>
          <w:p w14:paraId="315F421F" w14:textId="77777777" w:rsidR="00B51ED1" w:rsidRPr="007E6EF0" w:rsidRDefault="00B51ED1" w:rsidP="007E6EF0">
            <w:pPr>
              <w:rPr>
                <w:sz w:val="20"/>
                <w:szCs w:val="20"/>
              </w:rPr>
            </w:pPr>
            <w:r w:rsidRPr="007E6EF0">
              <w:rPr>
                <w:sz w:val="20"/>
                <w:szCs w:val="20"/>
              </w:rPr>
              <w:t>79 (39)</w:t>
            </w:r>
          </w:p>
        </w:tc>
      </w:tr>
    </w:tbl>
    <w:p w14:paraId="5F68C501" w14:textId="29D6E0C4" w:rsidR="00B51ED1" w:rsidRDefault="00B51ED1" w:rsidP="00D267C1">
      <w:pPr>
        <w:pStyle w:val="TableTitle"/>
      </w:pPr>
      <w:bookmarkStart w:id="55" w:name="_Ref36217129"/>
      <w:r>
        <w:t xml:space="preserve">Table </w:t>
      </w:r>
      <w:fldSimple w:instr=" SEQ Table \* ARABIC ">
        <w:r w:rsidR="00F979FB">
          <w:rPr>
            <w:noProof/>
          </w:rPr>
          <w:t>10</w:t>
        </w:r>
      </w:fldSimple>
      <w:bookmarkEnd w:id="55"/>
      <w:r w:rsidR="00D267C1">
        <w:t>:</w:t>
      </w:r>
      <w:r>
        <w:t xml:space="preserve"> Baseline disease characteristics in </w:t>
      </w:r>
      <w:r w:rsidR="00305E60">
        <w:t xml:space="preserve">the </w:t>
      </w:r>
      <w:r>
        <w:t>HER2CLIMB</w:t>
      </w:r>
      <w:r w:rsidR="00305E60">
        <w:t xml:space="preserve"> trial</w:t>
      </w:r>
      <w:r>
        <w:t xml:space="preserve"> (</w:t>
      </w:r>
      <w:r w:rsidR="00C9554B">
        <w:t>intent to treat overall survival population</w:t>
      </w:r>
      <w:r>
        <w:t>)</w:t>
      </w:r>
    </w:p>
    <w:tbl>
      <w:tblPr>
        <w:tblStyle w:val="TableTGAblue"/>
        <w:tblW w:w="5000" w:type="pct"/>
        <w:tblCellMar>
          <w:left w:w="57" w:type="dxa"/>
          <w:right w:w="57" w:type="dxa"/>
        </w:tblCellMar>
        <w:tblLook w:val="0420" w:firstRow="1" w:lastRow="0" w:firstColumn="0" w:lastColumn="0" w:noHBand="0" w:noVBand="1"/>
      </w:tblPr>
      <w:tblGrid>
        <w:gridCol w:w="1772"/>
        <w:gridCol w:w="1644"/>
        <w:gridCol w:w="1023"/>
        <w:gridCol w:w="2055"/>
        <w:gridCol w:w="1990"/>
      </w:tblGrid>
      <w:tr w:rsidR="00B51ED1" w:rsidRPr="007E6EF0" w14:paraId="49FC3CA8" w14:textId="77777777" w:rsidTr="0044586C">
        <w:trPr>
          <w:cnfStyle w:val="100000000000" w:firstRow="1" w:lastRow="0" w:firstColumn="0" w:lastColumn="0" w:oddVBand="0" w:evenVBand="0" w:oddHBand="0" w:evenHBand="0" w:firstRowFirstColumn="0" w:firstRowLastColumn="0" w:lastRowFirstColumn="0" w:lastRowLastColumn="0"/>
          <w:trHeight w:val="20"/>
        </w:trPr>
        <w:tc>
          <w:tcPr>
            <w:tcW w:w="1044" w:type="pct"/>
            <w:hideMark/>
          </w:tcPr>
          <w:p w14:paraId="515A9446" w14:textId="77777777" w:rsidR="00B51ED1" w:rsidRPr="007E6EF0" w:rsidRDefault="00B51ED1" w:rsidP="007E6EF0">
            <w:pPr>
              <w:rPr>
                <w:sz w:val="20"/>
                <w:szCs w:val="20"/>
              </w:rPr>
            </w:pPr>
          </w:p>
        </w:tc>
        <w:tc>
          <w:tcPr>
            <w:tcW w:w="1572" w:type="pct"/>
            <w:gridSpan w:val="2"/>
          </w:tcPr>
          <w:p w14:paraId="1AF72443" w14:textId="77777777" w:rsidR="00B51ED1" w:rsidRPr="007E6EF0" w:rsidRDefault="00B51ED1" w:rsidP="007E6EF0">
            <w:pPr>
              <w:rPr>
                <w:bCs/>
                <w:sz w:val="20"/>
                <w:szCs w:val="20"/>
                <w:lang w:val="en-US"/>
              </w:rPr>
            </w:pPr>
          </w:p>
        </w:tc>
        <w:tc>
          <w:tcPr>
            <w:tcW w:w="1211" w:type="pct"/>
            <w:hideMark/>
          </w:tcPr>
          <w:p w14:paraId="1636E839" w14:textId="77777777" w:rsidR="00C9554B" w:rsidRPr="007E6EF0" w:rsidRDefault="00C9554B" w:rsidP="007E6EF0">
            <w:pPr>
              <w:rPr>
                <w:sz w:val="20"/>
                <w:szCs w:val="20"/>
              </w:rPr>
            </w:pPr>
            <w:r w:rsidRPr="007E6EF0">
              <w:rPr>
                <w:sz w:val="20"/>
                <w:szCs w:val="20"/>
              </w:rPr>
              <w:t>Tucatinib + trastuzumab + capecitabine</w:t>
            </w:r>
          </w:p>
          <w:p w14:paraId="537789EE" w14:textId="77777777" w:rsidR="00B51ED1" w:rsidRPr="007E6EF0" w:rsidRDefault="00B51ED1" w:rsidP="007E6EF0">
            <w:pPr>
              <w:rPr>
                <w:sz w:val="20"/>
                <w:szCs w:val="20"/>
              </w:rPr>
            </w:pPr>
            <w:r w:rsidRPr="007E6EF0">
              <w:rPr>
                <w:sz w:val="20"/>
                <w:szCs w:val="20"/>
              </w:rPr>
              <w:t>(</w:t>
            </w:r>
            <w:r w:rsidRPr="007E6EF0">
              <w:rPr>
                <w:bCs/>
                <w:sz w:val="20"/>
                <w:szCs w:val="20"/>
                <w:lang w:val="en-US"/>
              </w:rPr>
              <w:t>n</w:t>
            </w:r>
            <w:r w:rsidR="00C9554B" w:rsidRPr="007E6EF0">
              <w:rPr>
                <w:bCs/>
                <w:sz w:val="20"/>
                <w:szCs w:val="20"/>
                <w:lang w:val="en-US"/>
              </w:rPr>
              <w:t> </w:t>
            </w:r>
            <w:r w:rsidRPr="007E6EF0">
              <w:rPr>
                <w:bCs/>
                <w:sz w:val="20"/>
                <w:szCs w:val="20"/>
                <w:lang w:val="en-US"/>
              </w:rPr>
              <w:t>=</w:t>
            </w:r>
            <w:r w:rsidR="00C9554B" w:rsidRPr="007E6EF0">
              <w:rPr>
                <w:bCs/>
                <w:sz w:val="20"/>
                <w:szCs w:val="20"/>
                <w:lang w:val="en-US"/>
              </w:rPr>
              <w:t> </w:t>
            </w:r>
            <w:r w:rsidRPr="007E6EF0">
              <w:rPr>
                <w:bCs/>
                <w:sz w:val="20"/>
                <w:szCs w:val="20"/>
                <w:lang w:val="en-US"/>
              </w:rPr>
              <w:t>410)</w:t>
            </w:r>
          </w:p>
        </w:tc>
        <w:tc>
          <w:tcPr>
            <w:tcW w:w="1173" w:type="pct"/>
            <w:hideMark/>
          </w:tcPr>
          <w:p w14:paraId="2BF34448" w14:textId="77777777" w:rsidR="00C9554B" w:rsidRPr="007E6EF0" w:rsidRDefault="00C9554B" w:rsidP="007E6EF0">
            <w:pPr>
              <w:rPr>
                <w:sz w:val="20"/>
                <w:szCs w:val="20"/>
              </w:rPr>
            </w:pPr>
            <w:r w:rsidRPr="007E6EF0">
              <w:rPr>
                <w:sz w:val="20"/>
                <w:szCs w:val="20"/>
              </w:rPr>
              <w:t>Placebo + trastuzumab + capecitabine</w:t>
            </w:r>
          </w:p>
          <w:p w14:paraId="2E8F4950" w14:textId="77777777" w:rsidR="00B51ED1" w:rsidRPr="007E6EF0" w:rsidRDefault="00B51ED1" w:rsidP="007E6EF0">
            <w:pPr>
              <w:rPr>
                <w:sz w:val="20"/>
                <w:szCs w:val="20"/>
              </w:rPr>
            </w:pPr>
            <w:r w:rsidRPr="007E6EF0">
              <w:rPr>
                <w:sz w:val="20"/>
                <w:szCs w:val="20"/>
              </w:rPr>
              <w:t>(</w:t>
            </w:r>
            <w:r w:rsidRPr="007E6EF0">
              <w:rPr>
                <w:bCs/>
                <w:sz w:val="20"/>
                <w:szCs w:val="20"/>
                <w:lang w:val="en-US"/>
              </w:rPr>
              <w:t>n</w:t>
            </w:r>
            <w:r w:rsidR="00C9554B" w:rsidRPr="007E6EF0">
              <w:rPr>
                <w:bCs/>
                <w:sz w:val="20"/>
                <w:szCs w:val="20"/>
                <w:lang w:val="en-US"/>
              </w:rPr>
              <w:t> </w:t>
            </w:r>
            <w:r w:rsidRPr="007E6EF0">
              <w:rPr>
                <w:bCs/>
                <w:sz w:val="20"/>
                <w:szCs w:val="20"/>
                <w:lang w:val="en-US"/>
              </w:rPr>
              <w:t>=</w:t>
            </w:r>
            <w:r w:rsidR="00C9554B" w:rsidRPr="007E6EF0">
              <w:rPr>
                <w:bCs/>
                <w:sz w:val="20"/>
                <w:szCs w:val="20"/>
                <w:lang w:val="en-US"/>
              </w:rPr>
              <w:t> </w:t>
            </w:r>
            <w:r w:rsidRPr="007E6EF0">
              <w:rPr>
                <w:bCs/>
                <w:sz w:val="20"/>
                <w:szCs w:val="20"/>
                <w:lang w:val="en-US"/>
              </w:rPr>
              <w:t>202)</w:t>
            </w:r>
          </w:p>
        </w:tc>
      </w:tr>
      <w:tr w:rsidR="00B51ED1" w:rsidRPr="007E6EF0" w14:paraId="2E48EF38" w14:textId="77777777" w:rsidTr="0044586C">
        <w:trPr>
          <w:trHeight w:val="20"/>
        </w:trPr>
        <w:tc>
          <w:tcPr>
            <w:tcW w:w="1044" w:type="pct"/>
            <w:hideMark/>
          </w:tcPr>
          <w:p w14:paraId="6CAFD484" w14:textId="77777777" w:rsidR="00B51ED1" w:rsidRPr="007E6EF0" w:rsidRDefault="00D267C1" w:rsidP="007E6EF0">
            <w:pPr>
              <w:rPr>
                <w:sz w:val="20"/>
                <w:szCs w:val="20"/>
              </w:rPr>
            </w:pPr>
            <w:r w:rsidRPr="007E6EF0">
              <w:rPr>
                <w:bCs/>
                <w:sz w:val="20"/>
                <w:szCs w:val="20"/>
                <w:lang w:val="en-US"/>
              </w:rPr>
              <w:t>Hormone r</w:t>
            </w:r>
            <w:r w:rsidR="00B51ED1" w:rsidRPr="007E6EF0">
              <w:rPr>
                <w:bCs/>
                <w:sz w:val="20"/>
                <w:szCs w:val="20"/>
                <w:lang w:val="en-US"/>
              </w:rPr>
              <w:t>eceptor</w:t>
            </w:r>
          </w:p>
        </w:tc>
        <w:tc>
          <w:tcPr>
            <w:tcW w:w="1572" w:type="pct"/>
            <w:gridSpan w:val="2"/>
          </w:tcPr>
          <w:p w14:paraId="3078C3D7" w14:textId="77777777" w:rsidR="00B51ED1" w:rsidRPr="007E6EF0" w:rsidRDefault="00B51ED1" w:rsidP="007E6EF0">
            <w:pPr>
              <w:rPr>
                <w:sz w:val="20"/>
                <w:szCs w:val="20"/>
                <w:lang w:val="en-US"/>
              </w:rPr>
            </w:pPr>
            <w:r w:rsidRPr="007E6EF0">
              <w:rPr>
                <w:sz w:val="20"/>
                <w:szCs w:val="20"/>
                <w:lang w:val="en-US"/>
              </w:rPr>
              <w:t>Positive, n(%)</w:t>
            </w:r>
          </w:p>
          <w:p w14:paraId="23FDDA8F" w14:textId="77777777" w:rsidR="00B51ED1" w:rsidRPr="007E6EF0" w:rsidRDefault="00B51ED1" w:rsidP="007E6EF0">
            <w:pPr>
              <w:rPr>
                <w:sz w:val="20"/>
                <w:szCs w:val="20"/>
                <w:lang w:val="en-US"/>
              </w:rPr>
            </w:pPr>
            <w:r w:rsidRPr="007E6EF0">
              <w:rPr>
                <w:sz w:val="20"/>
                <w:szCs w:val="20"/>
                <w:lang w:val="en-US"/>
              </w:rPr>
              <w:t>Negative, n(%)</w:t>
            </w:r>
          </w:p>
          <w:p w14:paraId="5CB6766A" w14:textId="77777777" w:rsidR="00B51ED1" w:rsidRPr="007E6EF0" w:rsidRDefault="00B51ED1" w:rsidP="007E6EF0">
            <w:pPr>
              <w:rPr>
                <w:sz w:val="20"/>
                <w:szCs w:val="20"/>
                <w:lang w:val="en-US"/>
              </w:rPr>
            </w:pPr>
            <w:r w:rsidRPr="007E6EF0">
              <w:rPr>
                <w:sz w:val="20"/>
                <w:szCs w:val="20"/>
                <w:lang w:val="en-US"/>
              </w:rPr>
              <w:t>Unknown, n(%)</w:t>
            </w:r>
          </w:p>
        </w:tc>
        <w:tc>
          <w:tcPr>
            <w:tcW w:w="1211" w:type="pct"/>
            <w:hideMark/>
          </w:tcPr>
          <w:p w14:paraId="5EE9B1DF" w14:textId="77777777" w:rsidR="00B51ED1" w:rsidRPr="007E6EF0" w:rsidRDefault="00B51ED1" w:rsidP="007E6EF0">
            <w:pPr>
              <w:rPr>
                <w:sz w:val="20"/>
                <w:szCs w:val="20"/>
              </w:rPr>
            </w:pPr>
            <w:r w:rsidRPr="007E6EF0">
              <w:rPr>
                <w:sz w:val="20"/>
                <w:szCs w:val="20"/>
                <w:lang w:val="en-US"/>
              </w:rPr>
              <w:t>243 (59)</w:t>
            </w:r>
          </w:p>
          <w:p w14:paraId="4659B165" w14:textId="77777777" w:rsidR="00B51ED1" w:rsidRPr="007E6EF0" w:rsidRDefault="00B51ED1" w:rsidP="007E6EF0">
            <w:pPr>
              <w:rPr>
                <w:sz w:val="20"/>
                <w:szCs w:val="20"/>
              </w:rPr>
            </w:pPr>
            <w:r w:rsidRPr="007E6EF0">
              <w:rPr>
                <w:sz w:val="20"/>
                <w:szCs w:val="20"/>
                <w:lang w:val="en-US"/>
              </w:rPr>
              <w:t>161 (39)</w:t>
            </w:r>
          </w:p>
          <w:p w14:paraId="79F7536B" w14:textId="77777777" w:rsidR="00B51ED1" w:rsidRPr="007E6EF0" w:rsidRDefault="00B51ED1" w:rsidP="007E6EF0">
            <w:pPr>
              <w:rPr>
                <w:sz w:val="20"/>
                <w:szCs w:val="20"/>
              </w:rPr>
            </w:pPr>
            <w:r w:rsidRPr="007E6EF0">
              <w:rPr>
                <w:sz w:val="20"/>
                <w:szCs w:val="20"/>
                <w:lang w:val="en-US"/>
              </w:rPr>
              <w:t>6 (2)</w:t>
            </w:r>
          </w:p>
        </w:tc>
        <w:tc>
          <w:tcPr>
            <w:tcW w:w="1173" w:type="pct"/>
            <w:hideMark/>
          </w:tcPr>
          <w:p w14:paraId="20482702" w14:textId="77777777" w:rsidR="00B51ED1" w:rsidRPr="007E6EF0" w:rsidRDefault="00B51ED1" w:rsidP="007E6EF0">
            <w:pPr>
              <w:rPr>
                <w:sz w:val="20"/>
                <w:szCs w:val="20"/>
              </w:rPr>
            </w:pPr>
            <w:r w:rsidRPr="007E6EF0">
              <w:rPr>
                <w:sz w:val="20"/>
                <w:szCs w:val="20"/>
                <w:lang w:val="en-US"/>
              </w:rPr>
              <w:t>127 (63)</w:t>
            </w:r>
          </w:p>
          <w:p w14:paraId="0B0D4A60" w14:textId="77777777" w:rsidR="00B51ED1" w:rsidRPr="007E6EF0" w:rsidRDefault="00B51ED1" w:rsidP="007E6EF0">
            <w:pPr>
              <w:rPr>
                <w:sz w:val="20"/>
                <w:szCs w:val="20"/>
              </w:rPr>
            </w:pPr>
            <w:r w:rsidRPr="007E6EF0">
              <w:rPr>
                <w:sz w:val="20"/>
                <w:szCs w:val="20"/>
                <w:lang w:val="en-US"/>
              </w:rPr>
              <w:t>75 (37)</w:t>
            </w:r>
          </w:p>
          <w:p w14:paraId="17EB05C4" w14:textId="77777777" w:rsidR="00B51ED1" w:rsidRPr="007E6EF0" w:rsidRDefault="00B51ED1" w:rsidP="007E6EF0">
            <w:pPr>
              <w:rPr>
                <w:sz w:val="20"/>
                <w:szCs w:val="20"/>
              </w:rPr>
            </w:pPr>
            <w:r w:rsidRPr="007E6EF0">
              <w:rPr>
                <w:sz w:val="20"/>
                <w:szCs w:val="20"/>
                <w:lang w:val="en-US"/>
              </w:rPr>
              <w:t>0</w:t>
            </w:r>
          </w:p>
        </w:tc>
      </w:tr>
      <w:tr w:rsidR="00B51ED1" w:rsidRPr="007E6EF0" w14:paraId="11D69092" w14:textId="77777777" w:rsidTr="0044586C">
        <w:trPr>
          <w:trHeight w:val="20"/>
        </w:trPr>
        <w:tc>
          <w:tcPr>
            <w:tcW w:w="1044" w:type="pct"/>
            <w:vMerge w:val="restart"/>
            <w:hideMark/>
          </w:tcPr>
          <w:p w14:paraId="3F0E07F8" w14:textId="77777777" w:rsidR="00B51ED1" w:rsidRPr="007E6EF0" w:rsidRDefault="00B51ED1" w:rsidP="007E6EF0">
            <w:pPr>
              <w:rPr>
                <w:sz w:val="20"/>
                <w:szCs w:val="20"/>
              </w:rPr>
            </w:pPr>
            <w:r w:rsidRPr="007E6EF0">
              <w:rPr>
                <w:bCs/>
                <w:sz w:val="20"/>
                <w:szCs w:val="20"/>
                <w:lang w:val="en-US"/>
              </w:rPr>
              <w:t xml:space="preserve">Brain metastases </w:t>
            </w:r>
          </w:p>
        </w:tc>
        <w:tc>
          <w:tcPr>
            <w:tcW w:w="1572" w:type="pct"/>
            <w:gridSpan w:val="2"/>
          </w:tcPr>
          <w:p w14:paraId="185479A8" w14:textId="77777777" w:rsidR="00B51ED1" w:rsidRPr="007E6EF0" w:rsidRDefault="00B51ED1" w:rsidP="007E6EF0">
            <w:pPr>
              <w:rPr>
                <w:bCs/>
                <w:sz w:val="20"/>
                <w:szCs w:val="20"/>
                <w:lang w:val="en-US"/>
              </w:rPr>
            </w:pPr>
            <w:r w:rsidRPr="007E6EF0">
              <w:rPr>
                <w:bCs/>
                <w:sz w:val="20"/>
                <w:szCs w:val="20"/>
                <w:lang w:val="en-US"/>
              </w:rPr>
              <w:t>Total</w:t>
            </w:r>
            <w:r w:rsidRPr="007E6EF0">
              <w:rPr>
                <w:sz w:val="20"/>
                <w:szCs w:val="20"/>
                <w:lang w:val="en-US"/>
              </w:rPr>
              <w:t>, n(%)</w:t>
            </w:r>
          </w:p>
          <w:p w14:paraId="7BCBDD39" w14:textId="77777777" w:rsidR="00B51ED1" w:rsidRPr="007E6EF0" w:rsidRDefault="00B51ED1" w:rsidP="007E6EF0">
            <w:pPr>
              <w:rPr>
                <w:i/>
                <w:sz w:val="20"/>
                <w:szCs w:val="20"/>
              </w:rPr>
            </w:pPr>
            <w:r w:rsidRPr="007E6EF0">
              <w:rPr>
                <w:i/>
                <w:sz w:val="20"/>
                <w:szCs w:val="20"/>
                <w:lang w:val="en-US"/>
              </w:rPr>
              <w:t>Treated and stable,</w:t>
            </w:r>
            <w:r w:rsidRPr="007E6EF0">
              <w:rPr>
                <w:sz w:val="20"/>
                <w:szCs w:val="20"/>
                <w:lang w:val="en-US"/>
              </w:rPr>
              <w:t xml:space="preserve"> n(%)</w:t>
            </w:r>
            <w:r w:rsidRPr="007E6EF0">
              <w:rPr>
                <w:i/>
                <w:sz w:val="20"/>
                <w:szCs w:val="20"/>
                <w:lang w:val="en-US"/>
              </w:rPr>
              <w:t>^</w:t>
            </w:r>
          </w:p>
          <w:p w14:paraId="56F2C094" w14:textId="77777777" w:rsidR="00B51ED1" w:rsidRPr="007E6EF0" w:rsidRDefault="00B51ED1" w:rsidP="007E6EF0">
            <w:pPr>
              <w:rPr>
                <w:i/>
                <w:sz w:val="20"/>
                <w:szCs w:val="20"/>
                <w:lang w:val="en-US"/>
              </w:rPr>
            </w:pPr>
            <w:r w:rsidRPr="007E6EF0">
              <w:rPr>
                <w:i/>
                <w:sz w:val="20"/>
                <w:szCs w:val="20"/>
                <w:lang w:val="en-US"/>
              </w:rPr>
              <w:t>Treated and progressing</w:t>
            </w:r>
            <w:r w:rsidRPr="007E6EF0">
              <w:rPr>
                <w:sz w:val="20"/>
                <w:szCs w:val="20"/>
                <w:lang w:val="en-US"/>
              </w:rPr>
              <w:t>, n(%)</w:t>
            </w:r>
            <w:r w:rsidRPr="007E6EF0">
              <w:rPr>
                <w:i/>
                <w:sz w:val="20"/>
                <w:szCs w:val="20"/>
                <w:lang w:val="en-US"/>
              </w:rPr>
              <w:t>^</w:t>
            </w:r>
            <w:r w:rsidRPr="007E6EF0">
              <w:rPr>
                <w:sz w:val="20"/>
                <w:szCs w:val="20"/>
                <w:lang w:val="en-US"/>
              </w:rPr>
              <w:t xml:space="preserve"> </w:t>
            </w:r>
          </w:p>
          <w:p w14:paraId="39D2C4C2" w14:textId="77777777" w:rsidR="00B51ED1" w:rsidRPr="007E6EF0" w:rsidRDefault="00B51ED1" w:rsidP="007E6EF0">
            <w:pPr>
              <w:rPr>
                <w:sz w:val="20"/>
                <w:szCs w:val="20"/>
                <w:lang w:val="en-US"/>
              </w:rPr>
            </w:pPr>
            <w:r w:rsidRPr="007E6EF0">
              <w:rPr>
                <w:i/>
                <w:sz w:val="20"/>
                <w:szCs w:val="20"/>
                <w:lang w:val="en-US"/>
              </w:rPr>
              <w:t>Untreated,</w:t>
            </w:r>
            <w:r w:rsidRPr="007E6EF0">
              <w:rPr>
                <w:sz w:val="20"/>
                <w:szCs w:val="20"/>
                <w:lang w:val="en-US"/>
              </w:rPr>
              <w:t xml:space="preserve"> n(%)</w:t>
            </w:r>
            <w:r w:rsidRPr="007E6EF0">
              <w:rPr>
                <w:i/>
                <w:sz w:val="20"/>
                <w:szCs w:val="20"/>
                <w:lang w:val="en-US"/>
              </w:rPr>
              <w:t>^</w:t>
            </w:r>
            <w:r w:rsidRPr="007E6EF0">
              <w:rPr>
                <w:sz w:val="20"/>
                <w:szCs w:val="20"/>
                <w:lang w:val="en-US"/>
              </w:rPr>
              <w:t xml:space="preserve"> </w:t>
            </w:r>
          </w:p>
        </w:tc>
        <w:tc>
          <w:tcPr>
            <w:tcW w:w="1211" w:type="pct"/>
            <w:hideMark/>
          </w:tcPr>
          <w:p w14:paraId="65D31BE5" w14:textId="77777777" w:rsidR="00B51ED1" w:rsidRPr="007E6EF0" w:rsidRDefault="00B51ED1" w:rsidP="007E6EF0">
            <w:pPr>
              <w:rPr>
                <w:sz w:val="20"/>
                <w:szCs w:val="20"/>
              </w:rPr>
            </w:pPr>
            <w:r w:rsidRPr="007E6EF0">
              <w:rPr>
                <w:sz w:val="20"/>
                <w:szCs w:val="20"/>
                <w:lang w:val="en-US"/>
              </w:rPr>
              <w:t>198 (48)</w:t>
            </w:r>
          </w:p>
          <w:p w14:paraId="6EE1FCBA" w14:textId="77777777" w:rsidR="00B51ED1" w:rsidRPr="007E6EF0" w:rsidRDefault="00B51ED1" w:rsidP="007E6EF0">
            <w:pPr>
              <w:rPr>
                <w:i/>
                <w:sz w:val="20"/>
                <w:szCs w:val="20"/>
              </w:rPr>
            </w:pPr>
            <w:r w:rsidRPr="007E6EF0">
              <w:rPr>
                <w:i/>
                <w:sz w:val="20"/>
                <w:szCs w:val="20"/>
                <w:lang w:val="en-US"/>
              </w:rPr>
              <w:t>80 (40)</w:t>
            </w:r>
          </w:p>
          <w:p w14:paraId="6EA951EB" w14:textId="77777777" w:rsidR="00B51ED1" w:rsidRPr="007E6EF0" w:rsidRDefault="00B51ED1" w:rsidP="007E6EF0">
            <w:pPr>
              <w:rPr>
                <w:i/>
                <w:sz w:val="20"/>
                <w:szCs w:val="20"/>
              </w:rPr>
            </w:pPr>
            <w:r w:rsidRPr="007E6EF0">
              <w:rPr>
                <w:i/>
                <w:sz w:val="20"/>
                <w:szCs w:val="20"/>
                <w:lang w:val="en-US"/>
              </w:rPr>
              <w:t>74 (37)</w:t>
            </w:r>
          </w:p>
          <w:p w14:paraId="70B8A95E" w14:textId="77777777" w:rsidR="00B51ED1" w:rsidRPr="007E6EF0" w:rsidRDefault="00B51ED1" w:rsidP="007E6EF0">
            <w:pPr>
              <w:rPr>
                <w:sz w:val="20"/>
                <w:szCs w:val="20"/>
              </w:rPr>
            </w:pPr>
            <w:r w:rsidRPr="007E6EF0">
              <w:rPr>
                <w:i/>
                <w:sz w:val="20"/>
                <w:szCs w:val="20"/>
                <w:lang w:val="en-US"/>
              </w:rPr>
              <w:t>44 (22)</w:t>
            </w:r>
          </w:p>
        </w:tc>
        <w:tc>
          <w:tcPr>
            <w:tcW w:w="1173" w:type="pct"/>
            <w:hideMark/>
          </w:tcPr>
          <w:p w14:paraId="774664DF" w14:textId="77777777" w:rsidR="00B51ED1" w:rsidRPr="007E6EF0" w:rsidRDefault="00B51ED1" w:rsidP="007E6EF0">
            <w:pPr>
              <w:rPr>
                <w:sz w:val="20"/>
                <w:szCs w:val="20"/>
              </w:rPr>
            </w:pPr>
            <w:r w:rsidRPr="007E6EF0">
              <w:rPr>
                <w:sz w:val="20"/>
                <w:szCs w:val="20"/>
                <w:lang w:val="en-US"/>
              </w:rPr>
              <w:t>93 (46)</w:t>
            </w:r>
          </w:p>
          <w:p w14:paraId="6298A43D" w14:textId="77777777" w:rsidR="00B51ED1" w:rsidRPr="007E6EF0" w:rsidRDefault="00B51ED1" w:rsidP="007E6EF0">
            <w:pPr>
              <w:rPr>
                <w:i/>
                <w:sz w:val="20"/>
                <w:szCs w:val="20"/>
              </w:rPr>
            </w:pPr>
            <w:r w:rsidRPr="007E6EF0">
              <w:rPr>
                <w:i/>
                <w:sz w:val="20"/>
                <w:szCs w:val="20"/>
                <w:lang w:val="en-US"/>
              </w:rPr>
              <w:t>37 (39)</w:t>
            </w:r>
          </w:p>
          <w:p w14:paraId="14E1A14A" w14:textId="77777777" w:rsidR="00B51ED1" w:rsidRPr="007E6EF0" w:rsidRDefault="00B51ED1" w:rsidP="007E6EF0">
            <w:pPr>
              <w:rPr>
                <w:i/>
                <w:sz w:val="20"/>
                <w:szCs w:val="20"/>
              </w:rPr>
            </w:pPr>
            <w:r w:rsidRPr="007E6EF0">
              <w:rPr>
                <w:i/>
                <w:sz w:val="20"/>
                <w:szCs w:val="20"/>
                <w:lang w:val="en-US"/>
              </w:rPr>
              <w:t>34 (36)</w:t>
            </w:r>
          </w:p>
          <w:p w14:paraId="2EF5414A" w14:textId="77777777" w:rsidR="00B51ED1" w:rsidRPr="007E6EF0" w:rsidRDefault="00B51ED1" w:rsidP="007E6EF0">
            <w:pPr>
              <w:rPr>
                <w:sz w:val="20"/>
                <w:szCs w:val="20"/>
              </w:rPr>
            </w:pPr>
            <w:r w:rsidRPr="007E6EF0">
              <w:rPr>
                <w:i/>
                <w:sz w:val="20"/>
                <w:szCs w:val="20"/>
                <w:lang w:val="en-US"/>
              </w:rPr>
              <w:t>22 (23)</w:t>
            </w:r>
          </w:p>
        </w:tc>
      </w:tr>
      <w:tr w:rsidR="00B51ED1" w:rsidRPr="007E6EF0" w14:paraId="6B463D7A" w14:textId="77777777" w:rsidTr="0044586C">
        <w:trPr>
          <w:trHeight w:val="20"/>
        </w:trPr>
        <w:tc>
          <w:tcPr>
            <w:tcW w:w="1044" w:type="pct"/>
            <w:vMerge/>
          </w:tcPr>
          <w:p w14:paraId="6F74FEF6" w14:textId="77777777" w:rsidR="00B51ED1" w:rsidRPr="007E6EF0" w:rsidRDefault="00B51ED1" w:rsidP="007E6EF0">
            <w:pPr>
              <w:rPr>
                <w:bCs/>
                <w:sz w:val="20"/>
                <w:szCs w:val="20"/>
                <w:lang w:val="en-US"/>
              </w:rPr>
            </w:pPr>
          </w:p>
        </w:tc>
        <w:tc>
          <w:tcPr>
            <w:tcW w:w="1572" w:type="pct"/>
            <w:gridSpan w:val="2"/>
          </w:tcPr>
          <w:p w14:paraId="76661FF8" w14:textId="77777777" w:rsidR="00B51ED1" w:rsidRPr="007E6EF0" w:rsidRDefault="00B51ED1" w:rsidP="007E6EF0">
            <w:pPr>
              <w:rPr>
                <w:bCs/>
                <w:i/>
                <w:sz w:val="20"/>
                <w:szCs w:val="20"/>
                <w:lang w:val="en-US"/>
              </w:rPr>
            </w:pPr>
            <w:r w:rsidRPr="007E6EF0">
              <w:rPr>
                <w:bCs/>
                <w:i/>
                <w:sz w:val="20"/>
                <w:szCs w:val="20"/>
                <w:lang w:val="en-US"/>
              </w:rPr>
              <w:t>Equivocal brain lesions, n(%)^</w:t>
            </w:r>
          </w:p>
        </w:tc>
        <w:tc>
          <w:tcPr>
            <w:tcW w:w="1211" w:type="pct"/>
          </w:tcPr>
          <w:p w14:paraId="46E56FFE" w14:textId="77777777" w:rsidR="00B51ED1" w:rsidRPr="007E6EF0" w:rsidRDefault="00B51ED1" w:rsidP="007E6EF0">
            <w:pPr>
              <w:rPr>
                <w:i/>
                <w:sz w:val="20"/>
                <w:szCs w:val="20"/>
                <w:lang w:val="en-US"/>
              </w:rPr>
            </w:pPr>
            <w:r w:rsidRPr="007E6EF0">
              <w:rPr>
                <w:i/>
                <w:sz w:val="20"/>
                <w:szCs w:val="20"/>
                <w:lang w:val="en-US"/>
              </w:rPr>
              <w:t>24 (12)</w:t>
            </w:r>
          </w:p>
        </w:tc>
        <w:tc>
          <w:tcPr>
            <w:tcW w:w="1173" w:type="pct"/>
          </w:tcPr>
          <w:p w14:paraId="6B0649B3" w14:textId="77777777" w:rsidR="00B51ED1" w:rsidRPr="007E6EF0" w:rsidRDefault="00B51ED1" w:rsidP="007E6EF0">
            <w:pPr>
              <w:rPr>
                <w:i/>
                <w:sz w:val="20"/>
                <w:szCs w:val="20"/>
                <w:lang w:val="en-US"/>
              </w:rPr>
            </w:pPr>
            <w:r w:rsidRPr="007E6EF0">
              <w:rPr>
                <w:i/>
                <w:sz w:val="20"/>
                <w:szCs w:val="20"/>
                <w:lang w:val="en-US"/>
              </w:rPr>
              <w:t>15 (16)</w:t>
            </w:r>
          </w:p>
        </w:tc>
      </w:tr>
      <w:tr w:rsidR="00B51ED1" w:rsidRPr="007E6EF0" w14:paraId="650CE51D" w14:textId="77777777" w:rsidTr="0044586C">
        <w:trPr>
          <w:trHeight w:val="20"/>
        </w:trPr>
        <w:tc>
          <w:tcPr>
            <w:tcW w:w="1044" w:type="pct"/>
            <w:hideMark/>
          </w:tcPr>
          <w:p w14:paraId="00B16F6E" w14:textId="77777777" w:rsidR="00B51ED1" w:rsidRPr="007E6EF0" w:rsidRDefault="00B51ED1" w:rsidP="007E6EF0">
            <w:pPr>
              <w:rPr>
                <w:sz w:val="20"/>
                <w:szCs w:val="20"/>
              </w:rPr>
            </w:pPr>
            <w:r w:rsidRPr="007E6EF0">
              <w:rPr>
                <w:bCs/>
                <w:sz w:val="20"/>
                <w:szCs w:val="20"/>
                <w:lang w:val="en-US"/>
              </w:rPr>
              <w:t>Visceral metastases*</w:t>
            </w:r>
          </w:p>
        </w:tc>
        <w:tc>
          <w:tcPr>
            <w:tcW w:w="1572" w:type="pct"/>
            <w:gridSpan w:val="2"/>
          </w:tcPr>
          <w:p w14:paraId="320C770C" w14:textId="77777777" w:rsidR="00B51ED1" w:rsidRPr="007E6EF0" w:rsidRDefault="00B51ED1" w:rsidP="007E6EF0">
            <w:pPr>
              <w:rPr>
                <w:sz w:val="20"/>
                <w:szCs w:val="20"/>
                <w:lang w:val="en-US"/>
              </w:rPr>
            </w:pPr>
            <w:r w:rsidRPr="007E6EF0">
              <w:rPr>
                <w:sz w:val="20"/>
                <w:szCs w:val="20"/>
                <w:lang w:val="en-US"/>
              </w:rPr>
              <w:t>Yes, n (%)</w:t>
            </w:r>
          </w:p>
        </w:tc>
        <w:tc>
          <w:tcPr>
            <w:tcW w:w="1211" w:type="pct"/>
            <w:hideMark/>
          </w:tcPr>
          <w:p w14:paraId="233FE805" w14:textId="77777777" w:rsidR="00B51ED1" w:rsidRPr="007E6EF0" w:rsidRDefault="00B51ED1" w:rsidP="007E6EF0">
            <w:pPr>
              <w:rPr>
                <w:sz w:val="20"/>
                <w:szCs w:val="20"/>
              </w:rPr>
            </w:pPr>
            <w:r w:rsidRPr="007E6EF0">
              <w:rPr>
                <w:sz w:val="20"/>
                <w:szCs w:val="20"/>
                <w:lang w:val="en-US"/>
              </w:rPr>
              <w:t>282 (69)</w:t>
            </w:r>
          </w:p>
        </w:tc>
        <w:tc>
          <w:tcPr>
            <w:tcW w:w="1173" w:type="pct"/>
            <w:hideMark/>
          </w:tcPr>
          <w:p w14:paraId="65B4D2EE" w14:textId="77777777" w:rsidR="00B51ED1" w:rsidRPr="007E6EF0" w:rsidRDefault="00B51ED1" w:rsidP="007E6EF0">
            <w:pPr>
              <w:rPr>
                <w:sz w:val="20"/>
                <w:szCs w:val="20"/>
              </w:rPr>
            </w:pPr>
            <w:r w:rsidRPr="007E6EF0">
              <w:rPr>
                <w:sz w:val="20"/>
                <w:szCs w:val="20"/>
                <w:lang w:val="en-US"/>
              </w:rPr>
              <w:t>151 (75)</w:t>
            </w:r>
          </w:p>
        </w:tc>
      </w:tr>
      <w:tr w:rsidR="00B51ED1" w:rsidRPr="007E6EF0" w14:paraId="3DB10B37" w14:textId="77777777" w:rsidTr="0044586C">
        <w:trPr>
          <w:trHeight w:val="20"/>
        </w:trPr>
        <w:tc>
          <w:tcPr>
            <w:tcW w:w="1044" w:type="pct"/>
            <w:hideMark/>
          </w:tcPr>
          <w:p w14:paraId="3863E41A" w14:textId="246D6203" w:rsidR="00B51ED1" w:rsidRPr="007E6EF0" w:rsidRDefault="00FB1752" w:rsidP="00FB1752">
            <w:pPr>
              <w:rPr>
                <w:sz w:val="20"/>
                <w:szCs w:val="20"/>
              </w:rPr>
            </w:pPr>
            <w:r>
              <w:rPr>
                <w:bCs/>
                <w:sz w:val="20"/>
                <w:szCs w:val="20"/>
                <w:lang w:val="en-US"/>
              </w:rPr>
              <w:t>Prior lines of systemic therapy</w:t>
            </w:r>
          </w:p>
        </w:tc>
        <w:tc>
          <w:tcPr>
            <w:tcW w:w="1572" w:type="pct"/>
            <w:gridSpan w:val="2"/>
          </w:tcPr>
          <w:p w14:paraId="6B329BE6" w14:textId="77777777" w:rsidR="00B51ED1" w:rsidRPr="007E6EF0" w:rsidRDefault="00B51ED1" w:rsidP="007E6EF0">
            <w:pPr>
              <w:rPr>
                <w:sz w:val="20"/>
                <w:szCs w:val="20"/>
                <w:lang w:val="en-US"/>
              </w:rPr>
            </w:pPr>
            <w:r w:rsidRPr="007E6EF0">
              <w:rPr>
                <w:sz w:val="20"/>
                <w:szCs w:val="20"/>
                <w:lang w:val="en-US"/>
              </w:rPr>
              <w:t>Median (range)</w:t>
            </w:r>
          </w:p>
        </w:tc>
        <w:tc>
          <w:tcPr>
            <w:tcW w:w="1211" w:type="pct"/>
            <w:hideMark/>
          </w:tcPr>
          <w:p w14:paraId="0F93BA52" w14:textId="77777777" w:rsidR="00B51ED1" w:rsidRPr="007E6EF0" w:rsidRDefault="003262C1" w:rsidP="007E6EF0">
            <w:pPr>
              <w:rPr>
                <w:sz w:val="20"/>
                <w:szCs w:val="20"/>
              </w:rPr>
            </w:pPr>
            <w:r w:rsidRPr="007E6EF0">
              <w:rPr>
                <w:sz w:val="20"/>
                <w:szCs w:val="20"/>
                <w:lang w:val="en-US"/>
              </w:rPr>
              <w:t xml:space="preserve">4 (2 to </w:t>
            </w:r>
            <w:r w:rsidR="00B51ED1" w:rsidRPr="007E6EF0">
              <w:rPr>
                <w:sz w:val="20"/>
                <w:szCs w:val="20"/>
                <w:lang w:val="en-US"/>
              </w:rPr>
              <w:t>14)</w:t>
            </w:r>
          </w:p>
        </w:tc>
        <w:tc>
          <w:tcPr>
            <w:tcW w:w="1173" w:type="pct"/>
            <w:hideMark/>
          </w:tcPr>
          <w:p w14:paraId="315FA7B1" w14:textId="77777777" w:rsidR="00B51ED1" w:rsidRPr="007E6EF0" w:rsidRDefault="003262C1" w:rsidP="007E6EF0">
            <w:pPr>
              <w:rPr>
                <w:sz w:val="20"/>
                <w:szCs w:val="20"/>
              </w:rPr>
            </w:pPr>
            <w:r w:rsidRPr="007E6EF0">
              <w:rPr>
                <w:sz w:val="20"/>
                <w:szCs w:val="20"/>
                <w:lang w:val="en-US"/>
              </w:rPr>
              <w:t xml:space="preserve">4 (2 to </w:t>
            </w:r>
            <w:r w:rsidR="00B51ED1" w:rsidRPr="007E6EF0">
              <w:rPr>
                <w:sz w:val="20"/>
                <w:szCs w:val="20"/>
                <w:lang w:val="en-US"/>
              </w:rPr>
              <w:t>17)</w:t>
            </w:r>
          </w:p>
        </w:tc>
      </w:tr>
      <w:tr w:rsidR="00C9554B" w:rsidRPr="007E6EF0" w14:paraId="7D52D81B" w14:textId="77777777" w:rsidTr="0044586C">
        <w:trPr>
          <w:trHeight w:val="20"/>
        </w:trPr>
        <w:tc>
          <w:tcPr>
            <w:tcW w:w="1044" w:type="pct"/>
            <w:vMerge w:val="restart"/>
            <w:hideMark/>
          </w:tcPr>
          <w:p w14:paraId="4C08159F" w14:textId="77777777" w:rsidR="00C9554B" w:rsidRPr="007E6EF0" w:rsidRDefault="00C9554B" w:rsidP="007E6EF0">
            <w:pPr>
              <w:rPr>
                <w:sz w:val="20"/>
                <w:szCs w:val="20"/>
              </w:rPr>
            </w:pPr>
            <w:r w:rsidRPr="007E6EF0">
              <w:rPr>
                <w:bCs/>
                <w:sz w:val="20"/>
                <w:szCs w:val="20"/>
                <w:lang w:val="en-US"/>
              </w:rPr>
              <w:t>Prior lines of systemic therapy in the metastatic setting</w:t>
            </w:r>
          </w:p>
        </w:tc>
        <w:tc>
          <w:tcPr>
            <w:tcW w:w="1572" w:type="pct"/>
            <w:gridSpan w:val="2"/>
          </w:tcPr>
          <w:p w14:paraId="6D324A07" w14:textId="77777777" w:rsidR="00C9554B" w:rsidRPr="007E6EF0" w:rsidRDefault="00C9554B" w:rsidP="007E6EF0">
            <w:pPr>
              <w:rPr>
                <w:sz w:val="20"/>
                <w:szCs w:val="20"/>
                <w:lang w:val="en-US"/>
              </w:rPr>
            </w:pPr>
            <w:r w:rsidRPr="007E6EF0">
              <w:rPr>
                <w:sz w:val="20"/>
                <w:szCs w:val="20"/>
                <w:lang w:val="en-US"/>
              </w:rPr>
              <w:t>Median (range)</w:t>
            </w:r>
          </w:p>
        </w:tc>
        <w:tc>
          <w:tcPr>
            <w:tcW w:w="1211" w:type="pct"/>
            <w:hideMark/>
          </w:tcPr>
          <w:p w14:paraId="3D4EE382" w14:textId="77777777" w:rsidR="00C9554B" w:rsidRPr="007E6EF0" w:rsidRDefault="00C9554B" w:rsidP="007E6EF0">
            <w:pPr>
              <w:rPr>
                <w:sz w:val="20"/>
                <w:szCs w:val="20"/>
              </w:rPr>
            </w:pPr>
            <w:r w:rsidRPr="007E6EF0">
              <w:rPr>
                <w:sz w:val="20"/>
                <w:szCs w:val="20"/>
                <w:lang w:val="en-US"/>
              </w:rPr>
              <w:t>3 (1 to 14)</w:t>
            </w:r>
          </w:p>
        </w:tc>
        <w:tc>
          <w:tcPr>
            <w:tcW w:w="1173" w:type="pct"/>
            <w:hideMark/>
          </w:tcPr>
          <w:p w14:paraId="167ABA89" w14:textId="77777777" w:rsidR="00C9554B" w:rsidRPr="007E6EF0" w:rsidRDefault="00C9554B" w:rsidP="007E6EF0">
            <w:pPr>
              <w:rPr>
                <w:sz w:val="20"/>
                <w:szCs w:val="20"/>
              </w:rPr>
            </w:pPr>
            <w:r w:rsidRPr="007E6EF0">
              <w:rPr>
                <w:sz w:val="20"/>
                <w:szCs w:val="20"/>
                <w:lang w:val="en-US"/>
              </w:rPr>
              <w:t>3 (1 to 13)</w:t>
            </w:r>
          </w:p>
        </w:tc>
      </w:tr>
      <w:tr w:rsidR="00C9554B" w:rsidRPr="007E6EF0" w14:paraId="461B011B" w14:textId="77777777" w:rsidTr="0044586C">
        <w:trPr>
          <w:trHeight w:val="20"/>
        </w:trPr>
        <w:tc>
          <w:tcPr>
            <w:tcW w:w="1044" w:type="pct"/>
            <w:vMerge/>
          </w:tcPr>
          <w:p w14:paraId="6E3988CE" w14:textId="77777777" w:rsidR="00C9554B" w:rsidRPr="007E6EF0" w:rsidRDefault="00C9554B" w:rsidP="007E6EF0">
            <w:pPr>
              <w:rPr>
                <w:bCs/>
                <w:sz w:val="20"/>
                <w:szCs w:val="20"/>
                <w:lang w:val="en-US"/>
              </w:rPr>
            </w:pPr>
          </w:p>
        </w:tc>
        <w:tc>
          <w:tcPr>
            <w:tcW w:w="969" w:type="pct"/>
            <w:vMerge w:val="restart"/>
            <w:vAlign w:val="center"/>
          </w:tcPr>
          <w:p w14:paraId="30423090" w14:textId="77777777" w:rsidR="00C9554B" w:rsidRPr="007E6EF0" w:rsidRDefault="00C9554B" w:rsidP="007E6EF0">
            <w:pPr>
              <w:rPr>
                <w:sz w:val="20"/>
                <w:szCs w:val="20"/>
                <w:lang w:val="en-US"/>
              </w:rPr>
            </w:pPr>
            <w:r w:rsidRPr="007E6EF0">
              <w:rPr>
                <w:sz w:val="20"/>
                <w:szCs w:val="20"/>
                <w:lang w:val="en-US"/>
              </w:rPr>
              <w:t>n(%) of patients who had</w:t>
            </w:r>
          </w:p>
        </w:tc>
        <w:tc>
          <w:tcPr>
            <w:tcW w:w="603" w:type="pct"/>
          </w:tcPr>
          <w:p w14:paraId="764DC32D" w14:textId="77777777" w:rsidR="00C9554B" w:rsidRPr="007E6EF0" w:rsidRDefault="00C9554B" w:rsidP="007E6EF0">
            <w:pPr>
              <w:rPr>
                <w:sz w:val="20"/>
                <w:szCs w:val="20"/>
                <w:lang w:val="en-US"/>
              </w:rPr>
            </w:pPr>
            <w:r w:rsidRPr="007E6EF0">
              <w:rPr>
                <w:sz w:val="20"/>
                <w:szCs w:val="20"/>
                <w:lang w:val="en-US"/>
              </w:rPr>
              <w:t>1</w:t>
            </w:r>
          </w:p>
        </w:tc>
        <w:tc>
          <w:tcPr>
            <w:tcW w:w="1211" w:type="pct"/>
          </w:tcPr>
          <w:p w14:paraId="20457E66" w14:textId="77777777" w:rsidR="00C9554B" w:rsidRPr="007E6EF0" w:rsidRDefault="00C9554B" w:rsidP="007E6EF0">
            <w:pPr>
              <w:rPr>
                <w:sz w:val="20"/>
                <w:szCs w:val="20"/>
                <w:lang w:val="en-US"/>
              </w:rPr>
            </w:pPr>
            <w:r w:rsidRPr="007E6EF0">
              <w:rPr>
                <w:sz w:val="20"/>
                <w:szCs w:val="20"/>
                <w:lang w:val="en-US"/>
              </w:rPr>
              <w:t>21 (5)</w:t>
            </w:r>
          </w:p>
        </w:tc>
        <w:tc>
          <w:tcPr>
            <w:tcW w:w="1173" w:type="pct"/>
          </w:tcPr>
          <w:p w14:paraId="250EDC02" w14:textId="77777777" w:rsidR="00C9554B" w:rsidRPr="007E6EF0" w:rsidRDefault="00C9554B" w:rsidP="007E6EF0">
            <w:pPr>
              <w:rPr>
                <w:sz w:val="20"/>
                <w:szCs w:val="20"/>
                <w:lang w:val="en-US"/>
              </w:rPr>
            </w:pPr>
            <w:r w:rsidRPr="007E6EF0">
              <w:rPr>
                <w:sz w:val="20"/>
                <w:szCs w:val="20"/>
                <w:lang w:val="en-US"/>
              </w:rPr>
              <w:t>15 (7)</w:t>
            </w:r>
          </w:p>
        </w:tc>
      </w:tr>
      <w:tr w:rsidR="00C9554B" w:rsidRPr="007E6EF0" w14:paraId="2F05843C" w14:textId="77777777" w:rsidTr="0044586C">
        <w:trPr>
          <w:trHeight w:val="20"/>
        </w:trPr>
        <w:tc>
          <w:tcPr>
            <w:tcW w:w="1044" w:type="pct"/>
            <w:vMerge/>
          </w:tcPr>
          <w:p w14:paraId="1506547C" w14:textId="77777777" w:rsidR="00C9554B" w:rsidRPr="007E6EF0" w:rsidRDefault="00C9554B" w:rsidP="007E6EF0">
            <w:pPr>
              <w:rPr>
                <w:bCs/>
                <w:sz w:val="20"/>
                <w:szCs w:val="20"/>
                <w:lang w:val="en-US"/>
              </w:rPr>
            </w:pPr>
          </w:p>
        </w:tc>
        <w:tc>
          <w:tcPr>
            <w:tcW w:w="969" w:type="pct"/>
            <w:vMerge/>
          </w:tcPr>
          <w:p w14:paraId="2EE3CD33" w14:textId="77777777" w:rsidR="00C9554B" w:rsidRPr="007E6EF0" w:rsidRDefault="00C9554B" w:rsidP="007E6EF0">
            <w:pPr>
              <w:rPr>
                <w:sz w:val="20"/>
                <w:szCs w:val="20"/>
                <w:lang w:val="en-US"/>
              </w:rPr>
            </w:pPr>
          </w:p>
        </w:tc>
        <w:tc>
          <w:tcPr>
            <w:tcW w:w="603" w:type="pct"/>
          </w:tcPr>
          <w:p w14:paraId="7443E12F" w14:textId="77777777" w:rsidR="00C9554B" w:rsidRPr="007E6EF0" w:rsidRDefault="00C9554B" w:rsidP="007E6EF0">
            <w:pPr>
              <w:rPr>
                <w:sz w:val="20"/>
                <w:szCs w:val="20"/>
                <w:lang w:val="en-US"/>
              </w:rPr>
            </w:pPr>
            <w:r w:rsidRPr="007E6EF0">
              <w:rPr>
                <w:sz w:val="20"/>
                <w:szCs w:val="20"/>
                <w:lang w:val="en-US"/>
              </w:rPr>
              <w:t>2</w:t>
            </w:r>
          </w:p>
        </w:tc>
        <w:tc>
          <w:tcPr>
            <w:tcW w:w="1211" w:type="pct"/>
          </w:tcPr>
          <w:p w14:paraId="6B22C919" w14:textId="77777777" w:rsidR="00C9554B" w:rsidRPr="007E6EF0" w:rsidRDefault="00C9554B" w:rsidP="007E6EF0">
            <w:pPr>
              <w:rPr>
                <w:sz w:val="20"/>
                <w:szCs w:val="20"/>
                <w:lang w:val="en-US"/>
              </w:rPr>
            </w:pPr>
            <w:r w:rsidRPr="007E6EF0">
              <w:rPr>
                <w:sz w:val="20"/>
                <w:szCs w:val="20"/>
                <w:lang w:val="en-US"/>
              </w:rPr>
              <w:t>170 (42)</w:t>
            </w:r>
          </w:p>
        </w:tc>
        <w:tc>
          <w:tcPr>
            <w:tcW w:w="1173" w:type="pct"/>
          </w:tcPr>
          <w:p w14:paraId="3089BC31" w14:textId="77777777" w:rsidR="00C9554B" w:rsidRPr="007E6EF0" w:rsidRDefault="00C9554B" w:rsidP="007E6EF0">
            <w:pPr>
              <w:rPr>
                <w:sz w:val="20"/>
                <w:szCs w:val="20"/>
                <w:lang w:val="en-US"/>
              </w:rPr>
            </w:pPr>
            <w:r w:rsidRPr="007E6EF0">
              <w:rPr>
                <w:sz w:val="20"/>
                <w:szCs w:val="20"/>
                <w:lang w:val="en-US"/>
              </w:rPr>
              <w:t>73 (36)</w:t>
            </w:r>
          </w:p>
        </w:tc>
      </w:tr>
      <w:tr w:rsidR="00C9554B" w:rsidRPr="007E6EF0" w14:paraId="3D3E5707" w14:textId="77777777" w:rsidTr="0044586C">
        <w:trPr>
          <w:trHeight w:val="20"/>
        </w:trPr>
        <w:tc>
          <w:tcPr>
            <w:tcW w:w="1044" w:type="pct"/>
            <w:vMerge/>
          </w:tcPr>
          <w:p w14:paraId="01AEC2E0" w14:textId="77777777" w:rsidR="00C9554B" w:rsidRPr="007E6EF0" w:rsidRDefault="00C9554B" w:rsidP="007E6EF0">
            <w:pPr>
              <w:rPr>
                <w:bCs/>
                <w:sz w:val="20"/>
                <w:szCs w:val="20"/>
                <w:lang w:val="en-US"/>
              </w:rPr>
            </w:pPr>
          </w:p>
        </w:tc>
        <w:tc>
          <w:tcPr>
            <w:tcW w:w="969" w:type="pct"/>
            <w:vMerge/>
          </w:tcPr>
          <w:p w14:paraId="2876AD05" w14:textId="77777777" w:rsidR="00C9554B" w:rsidRPr="007E6EF0" w:rsidRDefault="00C9554B" w:rsidP="007E6EF0">
            <w:pPr>
              <w:rPr>
                <w:sz w:val="20"/>
                <w:szCs w:val="20"/>
                <w:lang w:val="en-US"/>
              </w:rPr>
            </w:pPr>
          </w:p>
        </w:tc>
        <w:tc>
          <w:tcPr>
            <w:tcW w:w="603" w:type="pct"/>
          </w:tcPr>
          <w:p w14:paraId="6BD861A6" w14:textId="77777777" w:rsidR="00C9554B" w:rsidRPr="007E6EF0" w:rsidRDefault="00C9554B" w:rsidP="007E6EF0">
            <w:pPr>
              <w:rPr>
                <w:sz w:val="20"/>
                <w:szCs w:val="20"/>
                <w:lang w:val="en-US"/>
              </w:rPr>
            </w:pPr>
            <w:r w:rsidRPr="007E6EF0">
              <w:rPr>
                <w:sz w:val="20"/>
                <w:szCs w:val="20"/>
                <w:lang w:val="en-US"/>
              </w:rPr>
              <w:t>3</w:t>
            </w:r>
          </w:p>
        </w:tc>
        <w:tc>
          <w:tcPr>
            <w:tcW w:w="1211" w:type="pct"/>
          </w:tcPr>
          <w:p w14:paraId="6726FD10" w14:textId="77777777" w:rsidR="00C9554B" w:rsidRPr="007E6EF0" w:rsidRDefault="00C9554B" w:rsidP="007E6EF0">
            <w:pPr>
              <w:rPr>
                <w:sz w:val="20"/>
                <w:szCs w:val="20"/>
                <w:lang w:val="en-US"/>
              </w:rPr>
            </w:pPr>
            <w:r w:rsidRPr="007E6EF0">
              <w:rPr>
                <w:sz w:val="20"/>
                <w:szCs w:val="20"/>
                <w:lang w:val="en-US"/>
              </w:rPr>
              <w:t>103 (25)</w:t>
            </w:r>
          </w:p>
        </w:tc>
        <w:tc>
          <w:tcPr>
            <w:tcW w:w="1173" w:type="pct"/>
          </w:tcPr>
          <w:p w14:paraId="5DC72E0B" w14:textId="77777777" w:rsidR="00C9554B" w:rsidRPr="007E6EF0" w:rsidRDefault="00C9554B" w:rsidP="007E6EF0">
            <w:pPr>
              <w:rPr>
                <w:sz w:val="20"/>
                <w:szCs w:val="20"/>
                <w:lang w:val="en-US"/>
              </w:rPr>
            </w:pPr>
            <w:r w:rsidRPr="007E6EF0">
              <w:rPr>
                <w:sz w:val="20"/>
                <w:szCs w:val="20"/>
                <w:lang w:val="en-US"/>
              </w:rPr>
              <w:t>64 (32)</w:t>
            </w:r>
          </w:p>
        </w:tc>
      </w:tr>
      <w:tr w:rsidR="00C9554B" w:rsidRPr="007E6EF0" w14:paraId="2FBAAE92" w14:textId="77777777" w:rsidTr="0044586C">
        <w:trPr>
          <w:trHeight w:val="20"/>
        </w:trPr>
        <w:tc>
          <w:tcPr>
            <w:tcW w:w="1044" w:type="pct"/>
            <w:vMerge/>
          </w:tcPr>
          <w:p w14:paraId="1B9D8B20" w14:textId="77777777" w:rsidR="00C9554B" w:rsidRPr="007E6EF0" w:rsidRDefault="00C9554B" w:rsidP="007E6EF0">
            <w:pPr>
              <w:rPr>
                <w:bCs/>
                <w:sz w:val="20"/>
                <w:szCs w:val="20"/>
                <w:lang w:val="en-US"/>
              </w:rPr>
            </w:pPr>
          </w:p>
        </w:tc>
        <w:tc>
          <w:tcPr>
            <w:tcW w:w="969" w:type="pct"/>
            <w:vMerge/>
          </w:tcPr>
          <w:p w14:paraId="05EF0D77" w14:textId="77777777" w:rsidR="00C9554B" w:rsidRPr="007E6EF0" w:rsidRDefault="00C9554B" w:rsidP="007E6EF0">
            <w:pPr>
              <w:rPr>
                <w:sz w:val="20"/>
                <w:szCs w:val="20"/>
                <w:lang w:val="en-US"/>
              </w:rPr>
            </w:pPr>
          </w:p>
        </w:tc>
        <w:tc>
          <w:tcPr>
            <w:tcW w:w="603" w:type="pct"/>
          </w:tcPr>
          <w:p w14:paraId="3EE4429B" w14:textId="77777777" w:rsidR="00C9554B" w:rsidRPr="007E6EF0" w:rsidRDefault="00C9554B" w:rsidP="007E6EF0">
            <w:pPr>
              <w:rPr>
                <w:sz w:val="20"/>
                <w:szCs w:val="20"/>
                <w:lang w:val="en-US"/>
              </w:rPr>
            </w:pPr>
            <w:r w:rsidRPr="007E6EF0">
              <w:rPr>
                <w:sz w:val="20"/>
                <w:szCs w:val="20"/>
                <w:lang w:val="en-US"/>
              </w:rPr>
              <w:t>4</w:t>
            </w:r>
          </w:p>
        </w:tc>
        <w:tc>
          <w:tcPr>
            <w:tcW w:w="1211" w:type="pct"/>
          </w:tcPr>
          <w:p w14:paraId="55DC0CDF" w14:textId="77777777" w:rsidR="00C9554B" w:rsidRPr="007E6EF0" w:rsidRDefault="00C9554B" w:rsidP="007E6EF0">
            <w:pPr>
              <w:rPr>
                <w:sz w:val="20"/>
                <w:szCs w:val="20"/>
                <w:lang w:val="en-US"/>
              </w:rPr>
            </w:pPr>
            <w:r w:rsidRPr="007E6EF0">
              <w:rPr>
                <w:sz w:val="20"/>
                <w:szCs w:val="20"/>
                <w:lang w:val="en-US"/>
              </w:rPr>
              <w:t>55 (13)</w:t>
            </w:r>
          </w:p>
        </w:tc>
        <w:tc>
          <w:tcPr>
            <w:tcW w:w="1173" w:type="pct"/>
          </w:tcPr>
          <w:p w14:paraId="75E6BBAC" w14:textId="77777777" w:rsidR="00C9554B" w:rsidRPr="007E6EF0" w:rsidRDefault="00C9554B" w:rsidP="007E6EF0">
            <w:pPr>
              <w:rPr>
                <w:sz w:val="20"/>
                <w:szCs w:val="20"/>
                <w:lang w:val="en-US"/>
              </w:rPr>
            </w:pPr>
            <w:r w:rsidRPr="007E6EF0">
              <w:rPr>
                <w:sz w:val="20"/>
                <w:szCs w:val="20"/>
                <w:lang w:val="en-US"/>
              </w:rPr>
              <w:t>24 (12)</w:t>
            </w:r>
          </w:p>
        </w:tc>
      </w:tr>
      <w:tr w:rsidR="00C9554B" w:rsidRPr="007E6EF0" w14:paraId="006A77C4" w14:textId="77777777" w:rsidTr="0044586C">
        <w:trPr>
          <w:trHeight w:val="20"/>
        </w:trPr>
        <w:tc>
          <w:tcPr>
            <w:tcW w:w="1044" w:type="pct"/>
            <w:vMerge/>
          </w:tcPr>
          <w:p w14:paraId="27C7DEE6" w14:textId="77777777" w:rsidR="00C9554B" w:rsidRPr="007E6EF0" w:rsidRDefault="00C9554B" w:rsidP="007E6EF0">
            <w:pPr>
              <w:rPr>
                <w:bCs/>
                <w:sz w:val="20"/>
                <w:szCs w:val="20"/>
                <w:lang w:val="en-US"/>
              </w:rPr>
            </w:pPr>
          </w:p>
        </w:tc>
        <w:tc>
          <w:tcPr>
            <w:tcW w:w="969" w:type="pct"/>
            <w:vMerge/>
          </w:tcPr>
          <w:p w14:paraId="39BED873" w14:textId="77777777" w:rsidR="00C9554B" w:rsidRPr="007E6EF0" w:rsidRDefault="00C9554B" w:rsidP="007E6EF0">
            <w:pPr>
              <w:rPr>
                <w:sz w:val="20"/>
                <w:szCs w:val="20"/>
                <w:lang w:val="en-US"/>
              </w:rPr>
            </w:pPr>
          </w:p>
        </w:tc>
        <w:tc>
          <w:tcPr>
            <w:tcW w:w="603" w:type="pct"/>
          </w:tcPr>
          <w:p w14:paraId="698284C6" w14:textId="77777777" w:rsidR="00C9554B" w:rsidRPr="007E6EF0" w:rsidRDefault="00C9554B" w:rsidP="007E6EF0">
            <w:pPr>
              <w:rPr>
                <w:sz w:val="20"/>
                <w:szCs w:val="20"/>
                <w:lang w:val="en-US"/>
              </w:rPr>
            </w:pPr>
            <w:r w:rsidRPr="007E6EF0">
              <w:rPr>
                <w:sz w:val="20"/>
                <w:szCs w:val="20"/>
                <w:lang w:val="en-US"/>
              </w:rPr>
              <w:t>5</w:t>
            </w:r>
          </w:p>
        </w:tc>
        <w:tc>
          <w:tcPr>
            <w:tcW w:w="1211" w:type="pct"/>
          </w:tcPr>
          <w:p w14:paraId="4F2C8755" w14:textId="77777777" w:rsidR="00C9554B" w:rsidRPr="007E6EF0" w:rsidRDefault="00C9554B" w:rsidP="007E6EF0">
            <w:pPr>
              <w:rPr>
                <w:sz w:val="20"/>
                <w:szCs w:val="20"/>
                <w:lang w:val="en-US"/>
              </w:rPr>
            </w:pPr>
            <w:r w:rsidRPr="007E6EF0">
              <w:rPr>
                <w:sz w:val="20"/>
                <w:szCs w:val="20"/>
                <w:lang w:val="en-US"/>
              </w:rPr>
              <w:t>31 (8)</w:t>
            </w:r>
          </w:p>
        </w:tc>
        <w:tc>
          <w:tcPr>
            <w:tcW w:w="1173" w:type="pct"/>
          </w:tcPr>
          <w:p w14:paraId="7A5094D4" w14:textId="77777777" w:rsidR="00C9554B" w:rsidRPr="007E6EF0" w:rsidRDefault="00C9554B" w:rsidP="007E6EF0">
            <w:pPr>
              <w:rPr>
                <w:sz w:val="20"/>
                <w:szCs w:val="20"/>
                <w:lang w:val="en-US"/>
              </w:rPr>
            </w:pPr>
            <w:r w:rsidRPr="007E6EF0">
              <w:rPr>
                <w:sz w:val="20"/>
                <w:szCs w:val="20"/>
                <w:lang w:val="en-US"/>
              </w:rPr>
              <w:t>10 (5)</w:t>
            </w:r>
          </w:p>
        </w:tc>
      </w:tr>
      <w:tr w:rsidR="00C9554B" w:rsidRPr="007E6EF0" w14:paraId="1A654680" w14:textId="77777777" w:rsidTr="0044586C">
        <w:trPr>
          <w:trHeight w:val="20"/>
        </w:trPr>
        <w:tc>
          <w:tcPr>
            <w:tcW w:w="1044" w:type="pct"/>
            <w:vMerge/>
          </w:tcPr>
          <w:p w14:paraId="0F81394D" w14:textId="77777777" w:rsidR="00C9554B" w:rsidRPr="007E6EF0" w:rsidRDefault="00C9554B" w:rsidP="007E6EF0">
            <w:pPr>
              <w:rPr>
                <w:bCs/>
                <w:sz w:val="20"/>
                <w:szCs w:val="20"/>
                <w:lang w:val="en-US"/>
              </w:rPr>
            </w:pPr>
          </w:p>
        </w:tc>
        <w:tc>
          <w:tcPr>
            <w:tcW w:w="969" w:type="pct"/>
            <w:vMerge/>
          </w:tcPr>
          <w:p w14:paraId="6B80010F" w14:textId="77777777" w:rsidR="00C9554B" w:rsidRPr="007E6EF0" w:rsidRDefault="00C9554B" w:rsidP="007E6EF0">
            <w:pPr>
              <w:rPr>
                <w:sz w:val="20"/>
                <w:szCs w:val="20"/>
                <w:lang w:val="en-US"/>
              </w:rPr>
            </w:pPr>
          </w:p>
        </w:tc>
        <w:tc>
          <w:tcPr>
            <w:tcW w:w="603" w:type="pct"/>
          </w:tcPr>
          <w:p w14:paraId="28B589BC" w14:textId="77777777" w:rsidR="00C9554B" w:rsidRPr="007E6EF0" w:rsidRDefault="00C9554B" w:rsidP="007E6EF0">
            <w:pPr>
              <w:rPr>
                <w:sz w:val="20"/>
                <w:szCs w:val="20"/>
                <w:lang w:val="en-US"/>
              </w:rPr>
            </w:pPr>
            <w:r w:rsidRPr="007E6EF0">
              <w:rPr>
                <w:sz w:val="20"/>
                <w:szCs w:val="20"/>
                <w:lang w:val="en-US"/>
              </w:rPr>
              <w:t>6 or more</w:t>
            </w:r>
          </w:p>
        </w:tc>
        <w:tc>
          <w:tcPr>
            <w:tcW w:w="1211" w:type="pct"/>
          </w:tcPr>
          <w:p w14:paraId="5771B51B" w14:textId="77777777" w:rsidR="00C9554B" w:rsidRPr="007E6EF0" w:rsidRDefault="00C9554B" w:rsidP="007E6EF0">
            <w:pPr>
              <w:rPr>
                <w:sz w:val="20"/>
                <w:szCs w:val="20"/>
                <w:lang w:val="en-US"/>
              </w:rPr>
            </w:pPr>
            <w:r w:rsidRPr="007E6EF0">
              <w:rPr>
                <w:sz w:val="20"/>
                <w:szCs w:val="20"/>
                <w:lang w:val="en-US"/>
              </w:rPr>
              <w:t>29 (7)</w:t>
            </w:r>
          </w:p>
        </w:tc>
        <w:tc>
          <w:tcPr>
            <w:tcW w:w="1173" w:type="pct"/>
          </w:tcPr>
          <w:p w14:paraId="403DB569" w14:textId="77777777" w:rsidR="00C9554B" w:rsidRPr="007E6EF0" w:rsidRDefault="00C9554B" w:rsidP="007E6EF0">
            <w:pPr>
              <w:rPr>
                <w:sz w:val="20"/>
                <w:szCs w:val="20"/>
                <w:lang w:val="en-US"/>
              </w:rPr>
            </w:pPr>
            <w:r w:rsidRPr="007E6EF0">
              <w:rPr>
                <w:sz w:val="20"/>
                <w:szCs w:val="20"/>
                <w:lang w:val="en-US"/>
              </w:rPr>
              <w:t>16 (8)</w:t>
            </w:r>
          </w:p>
        </w:tc>
      </w:tr>
      <w:tr w:rsidR="00B51ED1" w:rsidRPr="007E6EF0" w14:paraId="1C750CE3" w14:textId="77777777" w:rsidTr="0044586C">
        <w:trPr>
          <w:trHeight w:val="20"/>
        </w:trPr>
        <w:tc>
          <w:tcPr>
            <w:tcW w:w="1044" w:type="pct"/>
          </w:tcPr>
          <w:p w14:paraId="3A4E6FAC" w14:textId="77777777" w:rsidR="00B51ED1" w:rsidRPr="007E6EF0" w:rsidRDefault="00B51ED1" w:rsidP="007E6EF0">
            <w:pPr>
              <w:rPr>
                <w:bCs/>
                <w:sz w:val="20"/>
                <w:szCs w:val="20"/>
                <w:lang w:val="en-US"/>
              </w:rPr>
            </w:pPr>
            <w:r w:rsidRPr="007E6EF0">
              <w:rPr>
                <w:bCs/>
                <w:sz w:val="20"/>
                <w:szCs w:val="20"/>
                <w:lang w:val="en-US"/>
              </w:rPr>
              <w:t>Prior trastuzumab</w:t>
            </w:r>
          </w:p>
        </w:tc>
        <w:tc>
          <w:tcPr>
            <w:tcW w:w="1572" w:type="pct"/>
            <w:gridSpan w:val="2"/>
          </w:tcPr>
          <w:p w14:paraId="6E1EE4C9" w14:textId="77777777" w:rsidR="00B51ED1" w:rsidRPr="007E6EF0" w:rsidRDefault="00822A5F" w:rsidP="007E6EF0">
            <w:pPr>
              <w:rPr>
                <w:sz w:val="20"/>
                <w:szCs w:val="20"/>
                <w:lang w:val="en-US"/>
              </w:rPr>
            </w:pPr>
            <w:proofErr w:type="spellStart"/>
            <w:r w:rsidRPr="007E6EF0">
              <w:rPr>
                <w:sz w:val="20"/>
                <w:szCs w:val="20"/>
                <w:lang w:val="en-US"/>
              </w:rPr>
              <w:t>Neo</w:t>
            </w:r>
            <w:r w:rsidR="00B51ED1" w:rsidRPr="007E6EF0">
              <w:rPr>
                <w:sz w:val="20"/>
                <w:szCs w:val="20"/>
                <w:lang w:val="en-US"/>
              </w:rPr>
              <w:t>adjuvant</w:t>
            </w:r>
            <w:proofErr w:type="spellEnd"/>
            <w:r w:rsidR="00B51ED1" w:rsidRPr="007E6EF0">
              <w:rPr>
                <w:sz w:val="20"/>
                <w:szCs w:val="20"/>
                <w:lang w:val="en-US"/>
              </w:rPr>
              <w:t xml:space="preserve"> only, n(%) </w:t>
            </w:r>
          </w:p>
        </w:tc>
        <w:tc>
          <w:tcPr>
            <w:tcW w:w="1211" w:type="pct"/>
          </w:tcPr>
          <w:p w14:paraId="323BE1EA" w14:textId="77777777" w:rsidR="00B51ED1" w:rsidRPr="007E6EF0" w:rsidRDefault="00C9554B" w:rsidP="007E6EF0">
            <w:pPr>
              <w:rPr>
                <w:sz w:val="20"/>
                <w:szCs w:val="20"/>
                <w:lang w:val="en-US"/>
              </w:rPr>
            </w:pPr>
            <w:r w:rsidRPr="007E6EF0">
              <w:rPr>
                <w:sz w:val="20"/>
                <w:szCs w:val="20"/>
                <w:lang w:val="en-US"/>
              </w:rPr>
              <w:t>25 (6)</w:t>
            </w:r>
          </w:p>
        </w:tc>
        <w:tc>
          <w:tcPr>
            <w:tcW w:w="1173" w:type="pct"/>
          </w:tcPr>
          <w:p w14:paraId="3E56A141" w14:textId="77777777" w:rsidR="00B51ED1" w:rsidRPr="007E6EF0" w:rsidRDefault="00C9554B" w:rsidP="007E6EF0">
            <w:pPr>
              <w:rPr>
                <w:sz w:val="20"/>
                <w:szCs w:val="20"/>
                <w:lang w:val="en-US"/>
              </w:rPr>
            </w:pPr>
            <w:r w:rsidRPr="007E6EF0">
              <w:rPr>
                <w:sz w:val="20"/>
                <w:szCs w:val="20"/>
                <w:lang w:val="en-US"/>
              </w:rPr>
              <w:t>14 (7)</w:t>
            </w:r>
          </w:p>
        </w:tc>
      </w:tr>
      <w:tr w:rsidR="00C9554B" w:rsidRPr="007E6EF0" w14:paraId="7B44AED7" w14:textId="77777777" w:rsidTr="0044586C">
        <w:trPr>
          <w:trHeight w:val="20"/>
        </w:trPr>
        <w:tc>
          <w:tcPr>
            <w:tcW w:w="1044" w:type="pct"/>
            <w:vMerge w:val="restart"/>
          </w:tcPr>
          <w:p w14:paraId="517C24E0" w14:textId="77777777" w:rsidR="00C9554B" w:rsidRPr="007E6EF0" w:rsidRDefault="00C9554B" w:rsidP="007E6EF0">
            <w:pPr>
              <w:rPr>
                <w:bCs/>
                <w:sz w:val="20"/>
                <w:szCs w:val="20"/>
                <w:lang w:val="en-US"/>
              </w:rPr>
            </w:pPr>
          </w:p>
        </w:tc>
        <w:tc>
          <w:tcPr>
            <w:tcW w:w="1572" w:type="pct"/>
            <w:gridSpan w:val="2"/>
          </w:tcPr>
          <w:p w14:paraId="229F78FF" w14:textId="77777777" w:rsidR="00C9554B" w:rsidRPr="007E6EF0" w:rsidRDefault="00C9554B" w:rsidP="007E6EF0">
            <w:pPr>
              <w:rPr>
                <w:sz w:val="20"/>
                <w:szCs w:val="20"/>
                <w:lang w:val="en-US"/>
              </w:rPr>
            </w:pPr>
            <w:r w:rsidRPr="007E6EF0">
              <w:rPr>
                <w:sz w:val="20"/>
                <w:szCs w:val="20"/>
                <w:lang w:val="en-US"/>
              </w:rPr>
              <w:t xml:space="preserve">Metastatic only, n(%) </w:t>
            </w:r>
          </w:p>
        </w:tc>
        <w:tc>
          <w:tcPr>
            <w:tcW w:w="1211" w:type="pct"/>
          </w:tcPr>
          <w:p w14:paraId="5AF19D63" w14:textId="77777777" w:rsidR="00C9554B" w:rsidRPr="007E6EF0" w:rsidRDefault="00C9554B" w:rsidP="007E6EF0">
            <w:pPr>
              <w:rPr>
                <w:sz w:val="20"/>
                <w:szCs w:val="20"/>
                <w:lang w:val="en-US"/>
              </w:rPr>
            </w:pPr>
            <w:r w:rsidRPr="007E6EF0">
              <w:rPr>
                <w:sz w:val="20"/>
                <w:szCs w:val="20"/>
                <w:lang w:val="en-US"/>
              </w:rPr>
              <w:t>233 (57)</w:t>
            </w:r>
          </w:p>
        </w:tc>
        <w:tc>
          <w:tcPr>
            <w:tcW w:w="1173" w:type="pct"/>
          </w:tcPr>
          <w:p w14:paraId="022FB523" w14:textId="77777777" w:rsidR="00C9554B" w:rsidRPr="007E6EF0" w:rsidRDefault="00C9554B" w:rsidP="007E6EF0">
            <w:pPr>
              <w:rPr>
                <w:sz w:val="20"/>
                <w:szCs w:val="20"/>
                <w:lang w:val="en-US"/>
              </w:rPr>
            </w:pPr>
            <w:r w:rsidRPr="007E6EF0">
              <w:rPr>
                <w:sz w:val="20"/>
                <w:szCs w:val="20"/>
                <w:lang w:val="en-US"/>
              </w:rPr>
              <w:t>129 (64)</w:t>
            </w:r>
          </w:p>
        </w:tc>
      </w:tr>
      <w:tr w:rsidR="00C9554B" w:rsidRPr="007E6EF0" w14:paraId="3C814240" w14:textId="77777777" w:rsidTr="0044586C">
        <w:trPr>
          <w:trHeight w:val="20"/>
        </w:trPr>
        <w:tc>
          <w:tcPr>
            <w:tcW w:w="1044" w:type="pct"/>
            <w:vMerge/>
          </w:tcPr>
          <w:p w14:paraId="14F477FB" w14:textId="77777777" w:rsidR="00C9554B" w:rsidRPr="007E6EF0" w:rsidRDefault="00C9554B" w:rsidP="007E6EF0">
            <w:pPr>
              <w:rPr>
                <w:bCs/>
                <w:sz w:val="20"/>
                <w:szCs w:val="20"/>
                <w:lang w:val="en-US"/>
              </w:rPr>
            </w:pPr>
          </w:p>
        </w:tc>
        <w:tc>
          <w:tcPr>
            <w:tcW w:w="1572" w:type="pct"/>
            <w:gridSpan w:val="2"/>
          </w:tcPr>
          <w:p w14:paraId="01AB84C5" w14:textId="77777777" w:rsidR="00C9554B" w:rsidRPr="007E6EF0" w:rsidRDefault="00C9554B" w:rsidP="007E6EF0">
            <w:pPr>
              <w:rPr>
                <w:sz w:val="20"/>
                <w:szCs w:val="20"/>
                <w:lang w:val="en-US"/>
              </w:rPr>
            </w:pPr>
            <w:r w:rsidRPr="007E6EF0">
              <w:rPr>
                <w:sz w:val="20"/>
                <w:szCs w:val="20"/>
                <w:lang w:val="en-US"/>
              </w:rPr>
              <w:t xml:space="preserve">Both </w:t>
            </w:r>
            <w:proofErr w:type="spellStart"/>
            <w:r w:rsidRPr="007E6EF0">
              <w:rPr>
                <w:sz w:val="20"/>
                <w:szCs w:val="20"/>
                <w:lang w:val="en-US"/>
              </w:rPr>
              <w:t>neoadjuvant</w:t>
            </w:r>
            <w:proofErr w:type="spellEnd"/>
            <w:r w:rsidRPr="007E6EF0">
              <w:rPr>
                <w:sz w:val="20"/>
                <w:szCs w:val="20"/>
                <w:lang w:val="en-US"/>
              </w:rPr>
              <w:t xml:space="preserve"> and metastatic, n(%) </w:t>
            </w:r>
          </w:p>
        </w:tc>
        <w:tc>
          <w:tcPr>
            <w:tcW w:w="1211" w:type="pct"/>
          </w:tcPr>
          <w:p w14:paraId="2C112FF7" w14:textId="77777777" w:rsidR="00C9554B" w:rsidRPr="007E6EF0" w:rsidRDefault="00C9554B" w:rsidP="007E6EF0">
            <w:pPr>
              <w:rPr>
                <w:sz w:val="20"/>
                <w:szCs w:val="20"/>
                <w:lang w:val="en-US"/>
              </w:rPr>
            </w:pPr>
            <w:r w:rsidRPr="007E6EF0">
              <w:rPr>
                <w:sz w:val="20"/>
                <w:szCs w:val="20"/>
                <w:lang w:val="en-US"/>
              </w:rPr>
              <w:t>152 (37)</w:t>
            </w:r>
          </w:p>
        </w:tc>
        <w:tc>
          <w:tcPr>
            <w:tcW w:w="1173" w:type="pct"/>
          </w:tcPr>
          <w:p w14:paraId="2A69EBA1" w14:textId="77777777" w:rsidR="00C9554B" w:rsidRPr="007E6EF0" w:rsidRDefault="00C9554B" w:rsidP="007E6EF0">
            <w:pPr>
              <w:rPr>
                <w:sz w:val="20"/>
                <w:szCs w:val="20"/>
                <w:lang w:val="en-US"/>
              </w:rPr>
            </w:pPr>
            <w:r w:rsidRPr="007E6EF0">
              <w:rPr>
                <w:sz w:val="20"/>
                <w:szCs w:val="20"/>
                <w:lang w:val="en-US"/>
              </w:rPr>
              <w:t>59 (29)</w:t>
            </w:r>
          </w:p>
        </w:tc>
      </w:tr>
      <w:tr w:rsidR="00B51ED1" w:rsidRPr="007E6EF0" w14:paraId="4EC4D896" w14:textId="77777777" w:rsidTr="0044586C">
        <w:trPr>
          <w:trHeight w:val="20"/>
        </w:trPr>
        <w:tc>
          <w:tcPr>
            <w:tcW w:w="1044" w:type="pct"/>
          </w:tcPr>
          <w:p w14:paraId="45D76505" w14:textId="77777777" w:rsidR="00B51ED1" w:rsidRPr="007E6EF0" w:rsidRDefault="00B51ED1" w:rsidP="007E6EF0">
            <w:pPr>
              <w:rPr>
                <w:bCs/>
                <w:sz w:val="20"/>
                <w:szCs w:val="20"/>
                <w:lang w:val="en-US"/>
              </w:rPr>
            </w:pPr>
            <w:r w:rsidRPr="007E6EF0">
              <w:rPr>
                <w:bCs/>
                <w:sz w:val="20"/>
                <w:szCs w:val="20"/>
                <w:lang w:val="en-US"/>
              </w:rPr>
              <w:t xml:space="preserve">Prior </w:t>
            </w:r>
            <w:proofErr w:type="spellStart"/>
            <w:r w:rsidRPr="007E6EF0">
              <w:rPr>
                <w:bCs/>
                <w:sz w:val="20"/>
                <w:szCs w:val="20"/>
                <w:lang w:val="en-US"/>
              </w:rPr>
              <w:t>pertuzumab</w:t>
            </w:r>
            <w:proofErr w:type="spellEnd"/>
          </w:p>
        </w:tc>
        <w:tc>
          <w:tcPr>
            <w:tcW w:w="1572" w:type="pct"/>
            <w:gridSpan w:val="2"/>
          </w:tcPr>
          <w:p w14:paraId="734B4D80" w14:textId="77777777" w:rsidR="00B51ED1" w:rsidRPr="007E6EF0" w:rsidRDefault="00B51ED1" w:rsidP="007E6EF0">
            <w:pPr>
              <w:rPr>
                <w:sz w:val="20"/>
                <w:szCs w:val="20"/>
                <w:lang w:val="en-US"/>
              </w:rPr>
            </w:pPr>
            <w:r w:rsidRPr="007E6EF0">
              <w:rPr>
                <w:sz w:val="20"/>
                <w:szCs w:val="20"/>
                <w:lang w:val="en-US"/>
              </w:rPr>
              <w:t xml:space="preserve">(Neo) adjuvant only, n(%) </w:t>
            </w:r>
          </w:p>
        </w:tc>
        <w:tc>
          <w:tcPr>
            <w:tcW w:w="1211" w:type="pct"/>
          </w:tcPr>
          <w:p w14:paraId="2AE91BCA" w14:textId="77777777" w:rsidR="00B51ED1" w:rsidRPr="007E6EF0" w:rsidRDefault="00C9554B" w:rsidP="007E6EF0">
            <w:pPr>
              <w:rPr>
                <w:sz w:val="20"/>
                <w:szCs w:val="20"/>
                <w:lang w:val="en-US"/>
              </w:rPr>
            </w:pPr>
            <w:r w:rsidRPr="007E6EF0">
              <w:rPr>
                <w:sz w:val="20"/>
                <w:szCs w:val="20"/>
                <w:lang w:val="en-US"/>
              </w:rPr>
              <w:t>38 (9)</w:t>
            </w:r>
          </w:p>
        </w:tc>
        <w:tc>
          <w:tcPr>
            <w:tcW w:w="1173" w:type="pct"/>
          </w:tcPr>
          <w:p w14:paraId="4BDBEAA0" w14:textId="77777777" w:rsidR="00B51ED1" w:rsidRPr="007E6EF0" w:rsidRDefault="00C9554B" w:rsidP="007E6EF0">
            <w:pPr>
              <w:rPr>
                <w:sz w:val="20"/>
                <w:szCs w:val="20"/>
                <w:lang w:val="en-US"/>
              </w:rPr>
            </w:pPr>
            <w:r w:rsidRPr="007E6EF0">
              <w:rPr>
                <w:sz w:val="20"/>
                <w:szCs w:val="20"/>
                <w:lang w:val="en-US"/>
              </w:rPr>
              <w:t>16 (8)</w:t>
            </w:r>
          </w:p>
        </w:tc>
      </w:tr>
      <w:tr w:rsidR="00C9554B" w:rsidRPr="007E6EF0" w14:paraId="61949465" w14:textId="77777777" w:rsidTr="0044586C">
        <w:trPr>
          <w:trHeight w:val="20"/>
        </w:trPr>
        <w:tc>
          <w:tcPr>
            <w:tcW w:w="1044" w:type="pct"/>
            <w:vMerge w:val="restart"/>
          </w:tcPr>
          <w:p w14:paraId="70B5D1E0" w14:textId="77777777" w:rsidR="00C9554B" w:rsidRPr="007E6EF0" w:rsidRDefault="00C9554B" w:rsidP="007E6EF0">
            <w:pPr>
              <w:rPr>
                <w:bCs/>
                <w:sz w:val="20"/>
                <w:szCs w:val="20"/>
                <w:lang w:val="en-US"/>
              </w:rPr>
            </w:pPr>
          </w:p>
        </w:tc>
        <w:tc>
          <w:tcPr>
            <w:tcW w:w="1572" w:type="pct"/>
            <w:gridSpan w:val="2"/>
          </w:tcPr>
          <w:p w14:paraId="0A4160FC" w14:textId="77777777" w:rsidR="00C9554B" w:rsidRPr="007E6EF0" w:rsidRDefault="00C9554B" w:rsidP="007E6EF0">
            <w:pPr>
              <w:rPr>
                <w:sz w:val="20"/>
                <w:szCs w:val="20"/>
                <w:lang w:val="en-US"/>
              </w:rPr>
            </w:pPr>
            <w:r w:rsidRPr="007E6EF0">
              <w:rPr>
                <w:sz w:val="20"/>
                <w:szCs w:val="20"/>
                <w:lang w:val="en-US"/>
              </w:rPr>
              <w:t xml:space="preserve">Metastatic only, n(%) </w:t>
            </w:r>
          </w:p>
        </w:tc>
        <w:tc>
          <w:tcPr>
            <w:tcW w:w="1211" w:type="pct"/>
          </w:tcPr>
          <w:p w14:paraId="09325886" w14:textId="77777777" w:rsidR="00C9554B" w:rsidRPr="007E6EF0" w:rsidRDefault="00C9554B" w:rsidP="007E6EF0">
            <w:pPr>
              <w:rPr>
                <w:sz w:val="20"/>
                <w:szCs w:val="20"/>
                <w:lang w:val="en-US"/>
              </w:rPr>
            </w:pPr>
            <w:r w:rsidRPr="007E6EF0">
              <w:rPr>
                <w:sz w:val="20"/>
                <w:szCs w:val="20"/>
                <w:lang w:val="en-US"/>
              </w:rPr>
              <w:t>354 (86)</w:t>
            </w:r>
          </w:p>
        </w:tc>
        <w:tc>
          <w:tcPr>
            <w:tcW w:w="1173" w:type="pct"/>
          </w:tcPr>
          <w:p w14:paraId="6B7AD043" w14:textId="77777777" w:rsidR="00C9554B" w:rsidRPr="007E6EF0" w:rsidRDefault="00C9554B" w:rsidP="007E6EF0">
            <w:pPr>
              <w:rPr>
                <w:sz w:val="20"/>
                <w:szCs w:val="20"/>
                <w:lang w:val="en-US"/>
              </w:rPr>
            </w:pPr>
            <w:r w:rsidRPr="007E6EF0">
              <w:rPr>
                <w:sz w:val="20"/>
                <w:szCs w:val="20"/>
                <w:lang w:val="en-US"/>
              </w:rPr>
              <w:t>174 (86)</w:t>
            </w:r>
          </w:p>
        </w:tc>
      </w:tr>
      <w:tr w:rsidR="00C9554B" w:rsidRPr="007E6EF0" w14:paraId="00C684BC" w14:textId="77777777" w:rsidTr="0044586C">
        <w:trPr>
          <w:trHeight w:val="20"/>
        </w:trPr>
        <w:tc>
          <w:tcPr>
            <w:tcW w:w="1044" w:type="pct"/>
            <w:vMerge/>
          </w:tcPr>
          <w:p w14:paraId="1C0DE2DA" w14:textId="77777777" w:rsidR="00C9554B" w:rsidRPr="007E6EF0" w:rsidRDefault="00C9554B" w:rsidP="007E6EF0">
            <w:pPr>
              <w:rPr>
                <w:bCs/>
                <w:sz w:val="20"/>
                <w:szCs w:val="20"/>
                <w:lang w:val="en-US"/>
              </w:rPr>
            </w:pPr>
          </w:p>
        </w:tc>
        <w:tc>
          <w:tcPr>
            <w:tcW w:w="1572" w:type="pct"/>
            <w:gridSpan w:val="2"/>
          </w:tcPr>
          <w:p w14:paraId="5BC477D8" w14:textId="77777777" w:rsidR="00C9554B" w:rsidRPr="007E6EF0" w:rsidRDefault="00C9554B" w:rsidP="007E6EF0">
            <w:pPr>
              <w:rPr>
                <w:sz w:val="20"/>
                <w:szCs w:val="20"/>
                <w:lang w:val="en-US"/>
              </w:rPr>
            </w:pPr>
            <w:r w:rsidRPr="007E6EF0">
              <w:rPr>
                <w:sz w:val="20"/>
                <w:szCs w:val="20"/>
                <w:lang w:val="en-US"/>
              </w:rPr>
              <w:t xml:space="preserve">Both </w:t>
            </w:r>
            <w:proofErr w:type="spellStart"/>
            <w:r w:rsidRPr="007E6EF0">
              <w:rPr>
                <w:sz w:val="20"/>
                <w:szCs w:val="20"/>
                <w:lang w:val="en-US"/>
              </w:rPr>
              <w:t>neoadjuvant</w:t>
            </w:r>
            <w:proofErr w:type="spellEnd"/>
            <w:r w:rsidRPr="007E6EF0">
              <w:rPr>
                <w:sz w:val="20"/>
                <w:szCs w:val="20"/>
                <w:lang w:val="en-US"/>
              </w:rPr>
              <w:t xml:space="preserve"> and metastatic, n(%) </w:t>
            </w:r>
          </w:p>
        </w:tc>
        <w:tc>
          <w:tcPr>
            <w:tcW w:w="1211" w:type="pct"/>
          </w:tcPr>
          <w:p w14:paraId="1B369195" w14:textId="77777777" w:rsidR="00C9554B" w:rsidRPr="007E6EF0" w:rsidRDefault="00C9554B" w:rsidP="007E6EF0">
            <w:pPr>
              <w:rPr>
                <w:sz w:val="20"/>
                <w:szCs w:val="20"/>
                <w:lang w:val="en-US"/>
              </w:rPr>
            </w:pPr>
            <w:r w:rsidRPr="007E6EF0">
              <w:rPr>
                <w:sz w:val="20"/>
                <w:szCs w:val="20"/>
                <w:lang w:val="en-US"/>
              </w:rPr>
              <w:t>17 (4)</w:t>
            </w:r>
          </w:p>
        </w:tc>
        <w:tc>
          <w:tcPr>
            <w:tcW w:w="1173" w:type="pct"/>
          </w:tcPr>
          <w:p w14:paraId="177BBB20" w14:textId="77777777" w:rsidR="00C9554B" w:rsidRPr="007E6EF0" w:rsidRDefault="00C9554B" w:rsidP="007E6EF0">
            <w:pPr>
              <w:rPr>
                <w:sz w:val="20"/>
                <w:szCs w:val="20"/>
                <w:lang w:val="en-US"/>
              </w:rPr>
            </w:pPr>
            <w:r w:rsidRPr="007E6EF0">
              <w:rPr>
                <w:sz w:val="20"/>
                <w:szCs w:val="20"/>
                <w:lang w:val="en-US"/>
              </w:rPr>
              <w:t>11 (5)</w:t>
            </w:r>
          </w:p>
        </w:tc>
      </w:tr>
      <w:tr w:rsidR="00C9554B" w:rsidRPr="007E6EF0" w14:paraId="0E4F3218" w14:textId="77777777" w:rsidTr="0044586C">
        <w:trPr>
          <w:trHeight w:val="20"/>
        </w:trPr>
        <w:tc>
          <w:tcPr>
            <w:tcW w:w="1044" w:type="pct"/>
            <w:vMerge w:val="restart"/>
          </w:tcPr>
          <w:p w14:paraId="5ADEC60F" w14:textId="77777777" w:rsidR="00C9554B" w:rsidRPr="007E6EF0" w:rsidRDefault="00C9554B" w:rsidP="007E6EF0">
            <w:pPr>
              <w:rPr>
                <w:bCs/>
                <w:sz w:val="20"/>
                <w:szCs w:val="20"/>
                <w:lang w:val="en-US"/>
              </w:rPr>
            </w:pPr>
            <w:r w:rsidRPr="007E6EF0">
              <w:rPr>
                <w:bCs/>
                <w:sz w:val="20"/>
                <w:szCs w:val="20"/>
                <w:lang w:val="en-US"/>
              </w:rPr>
              <w:t xml:space="preserve">Prior </w:t>
            </w:r>
            <w:r w:rsidR="00D47EC3" w:rsidRPr="007E6EF0">
              <w:rPr>
                <w:bCs/>
                <w:sz w:val="20"/>
                <w:szCs w:val="20"/>
                <w:lang w:val="en-US"/>
              </w:rPr>
              <w:t>T-DM1</w:t>
            </w:r>
          </w:p>
        </w:tc>
        <w:tc>
          <w:tcPr>
            <w:tcW w:w="1572" w:type="pct"/>
            <w:gridSpan w:val="2"/>
          </w:tcPr>
          <w:p w14:paraId="2F611C45" w14:textId="77777777" w:rsidR="00C9554B" w:rsidRPr="007E6EF0" w:rsidRDefault="00C9554B" w:rsidP="007E6EF0">
            <w:pPr>
              <w:rPr>
                <w:sz w:val="20"/>
                <w:szCs w:val="20"/>
                <w:lang w:val="en-US"/>
              </w:rPr>
            </w:pPr>
            <w:r w:rsidRPr="007E6EF0">
              <w:rPr>
                <w:sz w:val="20"/>
                <w:szCs w:val="20"/>
                <w:lang w:val="en-US"/>
              </w:rPr>
              <w:t xml:space="preserve">(Neo) adjuvant only, n(%) </w:t>
            </w:r>
          </w:p>
        </w:tc>
        <w:tc>
          <w:tcPr>
            <w:tcW w:w="1211" w:type="pct"/>
          </w:tcPr>
          <w:p w14:paraId="3B865ACF" w14:textId="77777777" w:rsidR="00C9554B" w:rsidRPr="007E6EF0" w:rsidRDefault="00C9554B" w:rsidP="007E6EF0">
            <w:pPr>
              <w:rPr>
                <w:sz w:val="20"/>
                <w:szCs w:val="20"/>
                <w:lang w:val="en-US"/>
              </w:rPr>
            </w:pPr>
            <w:r w:rsidRPr="007E6EF0">
              <w:rPr>
                <w:sz w:val="20"/>
                <w:szCs w:val="20"/>
                <w:lang w:val="en-US"/>
              </w:rPr>
              <w:t>3 (0.7)</w:t>
            </w:r>
          </w:p>
        </w:tc>
        <w:tc>
          <w:tcPr>
            <w:tcW w:w="1173" w:type="pct"/>
          </w:tcPr>
          <w:p w14:paraId="2C568593" w14:textId="77777777" w:rsidR="00C9554B" w:rsidRPr="007E6EF0" w:rsidRDefault="00C9554B" w:rsidP="007E6EF0">
            <w:pPr>
              <w:rPr>
                <w:sz w:val="20"/>
                <w:szCs w:val="20"/>
                <w:lang w:val="en-US"/>
              </w:rPr>
            </w:pPr>
            <w:r w:rsidRPr="007E6EF0">
              <w:rPr>
                <w:sz w:val="20"/>
                <w:szCs w:val="20"/>
                <w:lang w:val="en-US"/>
              </w:rPr>
              <w:t>4 (2.0)</w:t>
            </w:r>
          </w:p>
        </w:tc>
      </w:tr>
      <w:tr w:rsidR="00C9554B" w:rsidRPr="007E6EF0" w14:paraId="18EA7A98" w14:textId="77777777" w:rsidTr="0044586C">
        <w:trPr>
          <w:trHeight w:val="20"/>
        </w:trPr>
        <w:tc>
          <w:tcPr>
            <w:tcW w:w="1044" w:type="pct"/>
            <w:vMerge/>
          </w:tcPr>
          <w:p w14:paraId="0F418675" w14:textId="77777777" w:rsidR="00C9554B" w:rsidRPr="007E6EF0" w:rsidRDefault="00C9554B" w:rsidP="007E6EF0">
            <w:pPr>
              <w:rPr>
                <w:bCs/>
                <w:sz w:val="20"/>
                <w:szCs w:val="20"/>
                <w:lang w:val="en-US"/>
              </w:rPr>
            </w:pPr>
          </w:p>
        </w:tc>
        <w:tc>
          <w:tcPr>
            <w:tcW w:w="1572" w:type="pct"/>
            <w:gridSpan w:val="2"/>
          </w:tcPr>
          <w:p w14:paraId="5FCFF1C5" w14:textId="77777777" w:rsidR="00C9554B" w:rsidRPr="007E6EF0" w:rsidRDefault="00C9554B" w:rsidP="007E6EF0">
            <w:pPr>
              <w:rPr>
                <w:sz w:val="20"/>
                <w:szCs w:val="20"/>
                <w:lang w:val="en-US"/>
              </w:rPr>
            </w:pPr>
            <w:r w:rsidRPr="007E6EF0">
              <w:rPr>
                <w:sz w:val="20"/>
                <w:szCs w:val="20"/>
                <w:lang w:val="en-US"/>
              </w:rPr>
              <w:t xml:space="preserve">Metastatic only, n(%) </w:t>
            </w:r>
          </w:p>
        </w:tc>
        <w:tc>
          <w:tcPr>
            <w:tcW w:w="1211" w:type="pct"/>
          </w:tcPr>
          <w:p w14:paraId="477B0668" w14:textId="77777777" w:rsidR="00C9554B" w:rsidRPr="007E6EF0" w:rsidRDefault="00C9554B" w:rsidP="007E6EF0">
            <w:pPr>
              <w:rPr>
                <w:sz w:val="20"/>
                <w:szCs w:val="20"/>
                <w:lang w:val="en-US"/>
              </w:rPr>
            </w:pPr>
            <w:r w:rsidRPr="007E6EF0">
              <w:rPr>
                <w:sz w:val="20"/>
                <w:szCs w:val="20"/>
                <w:lang w:val="en-US"/>
              </w:rPr>
              <w:t>406 (99)</w:t>
            </w:r>
          </w:p>
        </w:tc>
        <w:tc>
          <w:tcPr>
            <w:tcW w:w="1173" w:type="pct"/>
          </w:tcPr>
          <w:p w14:paraId="55B19693" w14:textId="77777777" w:rsidR="00C9554B" w:rsidRPr="007E6EF0" w:rsidRDefault="00C9554B" w:rsidP="007E6EF0">
            <w:pPr>
              <w:rPr>
                <w:sz w:val="20"/>
                <w:szCs w:val="20"/>
                <w:lang w:val="en-US"/>
              </w:rPr>
            </w:pPr>
            <w:r w:rsidRPr="007E6EF0">
              <w:rPr>
                <w:sz w:val="20"/>
                <w:szCs w:val="20"/>
                <w:lang w:val="en-US"/>
              </w:rPr>
              <w:t>198 (98)</w:t>
            </w:r>
          </w:p>
        </w:tc>
      </w:tr>
      <w:tr w:rsidR="00C9554B" w:rsidRPr="007E6EF0" w14:paraId="1CC8C1E9" w14:textId="77777777" w:rsidTr="0044586C">
        <w:trPr>
          <w:trHeight w:val="20"/>
        </w:trPr>
        <w:tc>
          <w:tcPr>
            <w:tcW w:w="1044" w:type="pct"/>
            <w:vMerge/>
          </w:tcPr>
          <w:p w14:paraId="766DCFFD" w14:textId="77777777" w:rsidR="00C9554B" w:rsidRPr="007E6EF0" w:rsidRDefault="00C9554B" w:rsidP="007E6EF0">
            <w:pPr>
              <w:rPr>
                <w:bCs/>
                <w:sz w:val="20"/>
                <w:szCs w:val="20"/>
                <w:lang w:val="en-US"/>
              </w:rPr>
            </w:pPr>
          </w:p>
        </w:tc>
        <w:tc>
          <w:tcPr>
            <w:tcW w:w="1572" w:type="pct"/>
            <w:gridSpan w:val="2"/>
          </w:tcPr>
          <w:p w14:paraId="6DD114A5" w14:textId="77777777" w:rsidR="00C9554B" w:rsidRPr="007E6EF0" w:rsidRDefault="00C9554B" w:rsidP="007E6EF0">
            <w:pPr>
              <w:rPr>
                <w:sz w:val="20"/>
                <w:szCs w:val="20"/>
                <w:lang w:val="en-US"/>
              </w:rPr>
            </w:pPr>
            <w:r w:rsidRPr="007E6EF0">
              <w:rPr>
                <w:sz w:val="20"/>
                <w:szCs w:val="20"/>
                <w:lang w:val="en-US"/>
              </w:rPr>
              <w:t xml:space="preserve">Both </w:t>
            </w:r>
            <w:proofErr w:type="spellStart"/>
            <w:r w:rsidRPr="007E6EF0">
              <w:rPr>
                <w:sz w:val="20"/>
                <w:szCs w:val="20"/>
                <w:lang w:val="en-US"/>
              </w:rPr>
              <w:t>neoadjuvant</w:t>
            </w:r>
            <w:proofErr w:type="spellEnd"/>
            <w:r w:rsidRPr="007E6EF0">
              <w:rPr>
                <w:sz w:val="20"/>
                <w:szCs w:val="20"/>
                <w:lang w:val="en-US"/>
              </w:rPr>
              <w:t xml:space="preserve"> and metastatic, n(%) </w:t>
            </w:r>
          </w:p>
        </w:tc>
        <w:tc>
          <w:tcPr>
            <w:tcW w:w="1211" w:type="pct"/>
          </w:tcPr>
          <w:p w14:paraId="0911E1F9" w14:textId="77777777" w:rsidR="00C9554B" w:rsidRPr="007E6EF0" w:rsidRDefault="00C9554B" w:rsidP="007E6EF0">
            <w:pPr>
              <w:rPr>
                <w:sz w:val="20"/>
                <w:szCs w:val="20"/>
                <w:lang w:val="en-US"/>
              </w:rPr>
            </w:pPr>
            <w:r w:rsidRPr="007E6EF0">
              <w:rPr>
                <w:sz w:val="20"/>
                <w:szCs w:val="20"/>
                <w:lang w:val="en-US"/>
              </w:rPr>
              <w:t>1 (0.2)</w:t>
            </w:r>
          </w:p>
        </w:tc>
        <w:tc>
          <w:tcPr>
            <w:tcW w:w="1173" w:type="pct"/>
          </w:tcPr>
          <w:p w14:paraId="0E16D3D1" w14:textId="77777777" w:rsidR="00C9554B" w:rsidRPr="007E6EF0" w:rsidRDefault="00C9554B" w:rsidP="007E6EF0">
            <w:pPr>
              <w:rPr>
                <w:sz w:val="20"/>
                <w:szCs w:val="20"/>
                <w:lang w:val="en-US"/>
              </w:rPr>
            </w:pPr>
            <w:r w:rsidRPr="007E6EF0">
              <w:rPr>
                <w:sz w:val="20"/>
                <w:szCs w:val="20"/>
                <w:lang w:val="en-US"/>
              </w:rPr>
              <w:t>0 (0)</w:t>
            </w:r>
          </w:p>
        </w:tc>
      </w:tr>
    </w:tbl>
    <w:p w14:paraId="5CC3B7F9" w14:textId="77777777" w:rsidR="00D267C1" w:rsidRPr="00D267C1" w:rsidRDefault="00B51ED1" w:rsidP="00D267C1">
      <w:pPr>
        <w:pStyle w:val="TableDescription"/>
      </w:pPr>
      <w:r w:rsidRPr="00D267C1">
        <w:t>^denominator is number of patients with</w:t>
      </w:r>
      <w:r w:rsidR="00D267C1" w:rsidRPr="00D267C1">
        <w:t xml:space="preserve"> brain met</w:t>
      </w:r>
      <w:r w:rsidR="00822A5F">
        <w:t>astase</w:t>
      </w:r>
      <w:r w:rsidR="00D267C1" w:rsidRPr="00D267C1">
        <w:t>s, not ITT population</w:t>
      </w:r>
    </w:p>
    <w:p w14:paraId="5B75AB5D" w14:textId="77777777" w:rsidR="00B51ED1" w:rsidRPr="00D267C1" w:rsidRDefault="00B51ED1" w:rsidP="00D267C1">
      <w:pPr>
        <w:pStyle w:val="TableDescription"/>
      </w:pPr>
      <w:r w:rsidRPr="00D267C1">
        <w:t>*non-visceral disease includes tumours located in the neck, breast, chest wall, bone, lymph nodes, skin, and subcutaneous tissue. Brain metastases are considered non-visceral disease. All other locations, including pleura and peritoneum, are classified as visceral disease.</w:t>
      </w:r>
    </w:p>
    <w:p w14:paraId="4C3BFBCE" w14:textId="77777777" w:rsidR="00B51ED1" w:rsidRDefault="00B51ED1" w:rsidP="00B51ED1">
      <w:r>
        <w:t>Australian clinical expert advice</w:t>
      </w:r>
      <w:r w:rsidRPr="00452635">
        <w:t xml:space="preserve"> </w:t>
      </w:r>
      <w:r w:rsidR="00C9554B">
        <w:t>(see ‘</w:t>
      </w:r>
      <w:r w:rsidR="00C9554B" w:rsidRPr="00C9554B">
        <w:rPr>
          <w:i/>
        </w:rPr>
        <w:t>Independent expert advice’</w:t>
      </w:r>
      <w:r w:rsidR="00C9554B">
        <w:rPr>
          <w:i/>
        </w:rPr>
        <w:t xml:space="preserve"> </w:t>
      </w:r>
      <w:r w:rsidR="00C9554B" w:rsidRPr="00C9554B">
        <w:t>section</w:t>
      </w:r>
      <w:r w:rsidR="00C9554B">
        <w:t xml:space="preserve">, below) </w:t>
      </w:r>
      <w:r w:rsidRPr="00452635">
        <w:t xml:space="preserve">confirmed that this study population was </w:t>
      </w:r>
      <w:r>
        <w:t>generally</w:t>
      </w:r>
      <w:r w:rsidRPr="00452635">
        <w:t xml:space="preserve"> </w:t>
      </w:r>
      <w:r>
        <w:t>comparable to</w:t>
      </w:r>
      <w:r w:rsidRPr="00452635">
        <w:t xml:space="preserve"> </w:t>
      </w:r>
      <w:r>
        <w:t xml:space="preserve">patients seen in </w:t>
      </w:r>
      <w:r w:rsidRPr="00452635">
        <w:t xml:space="preserve">Australian </w:t>
      </w:r>
      <w:r>
        <w:t xml:space="preserve">clinical practice (including the relatively infrequent use of </w:t>
      </w:r>
      <w:proofErr w:type="spellStart"/>
      <w:r>
        <w:t>pertuzumab</w:t>
      </w:r>
      <w:proofErr w:type="spellEnd"/>
      <w:r>
        <w:t xml:space="preserve"> outside the metastatic setting), supporting the </w:t>
      </w:r>
      <w:r w:rsidRPr="00452635">
        <w:t xml:space="preserve">external validity </w:t>
      </w:r>
      <w:r>
        <w:t>of the trial findings</w:t>
      </w:r>
      <w:r w:rsidRPr="00452635">
        <w:t>.</w:t>
      </w:r>
    </w:p>
    <w:p w14:paraId="3437F2B1" w14:textId="77777777" w:rsidR="00B51ED1" w:rsidRDefault="00B51ED1" w:rsidP="00B51ED1">
      <w:pPr>
        <w:pStyle w:val="Heading6"/>
      </w:pPr>
      <w:r>
        <w:t>Results</w:t>
      </w:r>
    </w:p>
    <w:p w14:paraId="61663682" w14:textId="0075198B" w:rsidR="00B51ED1" w:rsidRPr="00211A38" w:rsidRDefault="002A46F3" w:rsidP="00B51ED1">
      <w:r>
        <w:t>The p</w:t>
      </w:r>
      <w:r w:rsidR="00B51ED1">
        <w:t xml:space="preserve">rimary and key secondary endpoints, </w:t>
      </w:r>
      <w:r>
        <w:t>the overall response rate (</w:t>
      </w:r>
      <w:r w:rsidR="00B51ED1">
        <w:t>ORR</w:t>
      </w:r>
      <w:r>
        <w:t>)</w:t>
      </w:r>
      <w:r w:rsidR="00B51ED1">
        <w:t xml:space="preserve"> and</w:t>
      </w:r>
      <w:r>
        <w:t xml:space="preserve"> duration of response</w:t>
      </w:r>
      <w:r w:rsidR="00B51ED1">
        <w:t xml:space="preserve"> </w:t>
      </w:r>
      <w:r>
        <w:t>(</w:t>
      </w:r>
      <w:r w:rsidR="00B51ED1">
        <w:t>DOR</w:t>
      </w:r>
      <w:r>
        <w:t>)</w:t>
      </w:r>
      <w:r w:rsidR="00B51ED1">
        <w:t xml:space="preserve"> are summarised in this </w:t>
      </w:r>
      <w:r w:rsidR="00587566">
        <w:t>AusPAR</w:t>
      </w:r>
      <w:r w:rsidR="00B51ED1" w:rsidRPr="000C2C18">
        <w:t xml:space="preserve">. Details for other endpoints can be found in the </w:t>
      </w:r>
      <w:r w:rsidR="00B51ED1">
        <w:t>Multi-D</w:t>
      </w:r>
      <w:r w:rsidR="00B51ED1" w:rsidRPr="000C2C18">
        <w:t>isc</w:t>
      </w:r>
      <w:r w:rsidR="00B51ED1">
        <w:t>ipline Review.</w:t>
      </w:r>
      <w:r w:rsidR="00587566">
        <w:fldChar w:fldCharType="begin"/>
      </w:r>
      <w:r w:rsidR="00587566">
        <w:instrText xml:space="preserve"> NOTEREF _Ref64226828 \f \h </w:instrText>
      </w:r>
      <w:r w:rsidR="00587566">
        <w:fldChar w:fldCharType="separate"/>
      </w:r>
      <w:r w:rsidR="00F979FB" w:rsidRPr="00F979FB">
        <w:rPr>
          <w:rStyle w:val="FootnoteReference"/>
        </w:rPr>
        <w:t>10</w:t>
      </w:r>
      <w:r w:rsidR="00587566">
        <w:fldChar w:fldCharType="end"/>
      </w:r>
    </w:p>
    <w:p w14:paraId="2945FAA3" w14:textId="77777777" w:rsidR="00587566" w:rsidRDefault="00587566" w:rsidP="00B51ED1">
      <w:pPr>
        <w:pStyle w:val="Heading7"/>
      </w:pPr>
      <w:bookmarkStart w:id="56" w:name="_Ref8994724"/>
      <w:r>
        <w:t>Primary endpoint</w:t>
      </w:r>
    </w:p>
    <w:p w14:paraId="7CACF7C8" w14:textId="1C3A9069" w:rsidR="00B51ED1" w:rsidRPr="00F9582C" w:rsidRDefault="00587566" w:rsidP="00587566">
      <w:r>
        <w:t xml:space="preserve">Primary endpoint: </w:t>
      </w:r>
      <w:r w:rsidR="002A46F3">
        <w:t>Progression free survival</w:t>
      </w:r>
      <w:r w:rsidR="00B51ED1" w:rsidRPr="00F9582C">
        <w:t xml:space="preserve"> per BICR in </w:t>
      </w:r>
      <w:r w:rsidR="00B51ED1">
        <w:t>the first 480 randomised patients</w:t>
      </w:r>
      <w:r w:rsidR="00B51ED1" w:rsidRPr="00F9582C">
        <w:t xml:space="preserve"> (</w:t>
      </w:r>
      <w:r w:rsidR="002A46F3">
        <w:t>intent to treat PFS population</w:t>
      </w:r>
      <w:r w:rsidR="00B51ED1" w:rsidRPr="00F9582C">
        <w:t>)</w:t>
      </w:r>
      <w:r>
        <w:t>.</w:t>
      </w:r>
    </w:p>
    <w:p w14:paraId="12AAB92E" w14:textId="77777777" w:rsidR="00B51ED1" w:rsidRPr="00A11093" w:rsidRDefault="00B51ED1" w:rsidP="00587566">
      <w:r>
        <w:t>The primary analysis showed a statistically significant improvement favouring the tucatinib arm. Sensitivity analy</w:t>
      </w:r>
      <w:r w:rsidR="00587566">
        <w:t>ses showed consistent findings.</w:t>
      </w:r>
    </w:p>
    <w:p w14:paraId="3A8EE790" w14:textId="139F9B1A" w:rsidR="00B51ED1" w:rsidRDefault="00B51ED1" w:rsidP="00D267C1">
      <w:pPr>
        <w:pStyle w:val="TableTitle"/>
      </w:pPr>
      <w:r>
        <w:t xml:space="preserve">Table </w:t>
      </w:r>
      <w:fldSimple w:instr=" SEQ Table \* ARABIC ">
        <w:r w:rsidR="00F979FB">
          <w:rPr>
            <w:noProof/>
          </w:rPr>
          <w:t>11</w:t>
        </w:r>
      </w:fldSimple>
      <w:bookmarkEnd w:id="56"/>
      <w:r w:rsidR="00D267C1">
        <w:t>:</w:t>
      </w:r>
      <w:r w:rsidR="00587566">
        <w:t xml:space="preserve"> Progression free survival</w:t>
      </w:r>
      <w:r>
        <w:t xml:space="preserve"> by </w:t>
      </w:r>
      <w:r w:rsidR="00587566">
        <w:t>b</w:t>
      </w:r>
      <w:r w:rsidR="00587566" w:rsidRPr="00E66E96">
        <w:t>lin</w:t>
      </w:r>
      <w:r w:rsidR="00587566">
        <w:t>ded independent central review</w:t>
      </w:r>
      <w:r>
        <w:t xml:space="preserve"> in the first 480 patients randomised in </w:t>
      </w:r>
      <w:r w:rsidR="00587566">
        <w:t xml:space="preserve">the </w:t>
      </w:r>
      <w:r>
        <w:t xml:space="preserve">HER2CLIMB </w:t>
      </w:r>
      <w:r w:rsidR="00587566">
        <w:t>trial (intent to treat progression free survival population</w:t>
      </w:r>
      <w:r>
        <w:t>)</w:t>
      </w:r>
    </w:p>
    <w:tbl>
      <w:tblPr>
        <w:tblStyle w:val="TableTGAblue"/>
        <w:tblW w:w="0" w:type="auto"/>
        <w:tblCellMar>
          <w:left w:w="57" w:type="dxa"/>
          <w:right w:w="57" w:type="dxa"/>
        </w:tblCellMar>
        <w:tblLook w:val="04A0" w:firstRow="1" w:lastRow="0" w:firstColumn="1" w:lastColumn="0" w:noHBand="0" w:noVBand="1"/>
      </w:tblPr>
      <w:tblGrid>
        <w:gridCol w:w="1833"/>
        <w:gridCol w:w="2977"/>
        <w:gridCol w:w="3674"/>
      </w:tblGrid>
      <w:tr w:rsidR="00B51ED1" w:rsidRPr="00FB1752" w14:paraId="00F7282D" w14:textId="77777777" w:rsidTr="00FB1752">
        <w:trPr>
          <w:cnfStyle w:val="100000000000" w:firstRow="1" w:lastRow="0" w:firstColumn="0" w:lastColumn="0" w:oddVBand="0" w:evenVBand="0" w:oddHBand="0" w:evenHBand="0" w:firstRowFirstColumn="0" w:firstRowLastColumn="0" w:lastRowFirstColumn="0" w:lastRowLastColumn="0"/>
        </w:trPr>
        <w:tc>
          <w:tcPr>
            <w:tcW w:w="1833" w:type="dxa"/>
          </w:tcPr>
          <w:p w14:paraId="17564E97" w14:textId="77777777" w:rsidR="00B51ED1" w:rsidRPr="00FB1752" w:rsidRDefault="00B51ED1" w:rsidP="00FB1752">
            <w:pPr>
              <w:rPr>
                <w:sz w:val="20"/>
                <w:szCs w:val="20"/>
              </w:rPr>
            </w:pPr>
          </w:p>
        </w:tc>
        <w:tc>
          <w:tcPr>
            <w:tcW w:w="2977" w:type="dxa"/>
          </w:tcPr>
          <w:p w14:paraId="72C304E9" w14:textId="2EE04CCE" w:rsidR="00B51ED1" w:rsidRPr="00FB1752" w:rsidRDefault="00587566" w:rsidP="00FB1752">
            <w:pPr>
              <w:rPr>
                <w:sz w:val="20"/>
                <w:szCs w:val="20"/>
              </w:rPr>
            </w:pPr>
            <w:r w:rsidRPr="00FB1752">
              <w:rPr>
                <w:sz w:val="20"/>
                <w:szCs w:val="20"/>
              </w:rPr>
              <w:t>Tucatinib + trastuzumab + capecitabine</w:t>
            </w:r>
            <w:r w:rsidR="00FB1752">
              <w:rPr>
                <w:sz w:val="20"/>
                <w:szCs w:val="20"/>
              </w:rPr>
              <w:t xml:space="preserve"> </w:t>
            </w:r>
            <w:r w:rsidR="00B51ED1" w:rsidRPr="00FB1752">
              <w:rPr>
                <w:bCs/>
                <w:sz w:val="20"/>
                <w:szCs w:val="20"/>
                <w:lang w:val="en-US"/>
              </w:rPr>
              <w:t>N = 320</w:t>
            </w:r>
          </w:p>
        </w:tc>
        <w:tc>
          <w:tcPr>
            <w:tcW w:w="3674" w:type="dxa"/>
          </w:tcPr>
          <w:p w14:paraId="257B2996" w14:textId="0E22A498" w:rsidR="00B51ED1" w:rsidRPr="00FB1752" w:rsidRDefault="00587566" w:rsidP="00FB1752">
            <w:pPr>
              <w:rPr>
                <w:sz w:val="20"/>
                <w:szCs w:val="20"/>
              </w:rPr>
            </w:pPr>
            <w:r w:rsidRPr="00FB1752">
              <w:rPr>
                <w:sz w:val="20"/>
                <w:szCs w:val="20"/>
              </w:rPr>
              <w:t>Placebo + trastuzumab + capecitabine</w:t>
            </w:r>
            <w:r w:rsidR="00FB1752">
              <w:rPr>
                <w:sz w:val="20"/>
                <w:szCs w:val="20"/>
              </w:rPr>
              <w:t xml:space="preserve"> </w:t>
            </w:r>
            <w:r w:rsidR="00B51ED1" w:rsidRPr="00FB1752">
              <w:rPr>
                <w:bCs/>
                <w:sz w:val="20"/>
                <w:szCs w:val="20"/>
                <w:lang w:val="en-US"/>
              </w:rPr>
              <w:t>N = 160</w:t>
            </w:r>
          </w:p>
        </w:tc>
      </w:tr>
      <w:tr w:rsidR="00B51ED1" w:rsidRPr="00FB1752" w14:paraId="4333E4C7" w14:textId="77777777" w:rsidTr="00FB1752">
        <w:tc>
          <w:tcPr>
            <w:tcW w:w="1833" w:type="dxa"/>
          </w:tcPr>
          <w:p w14:paraId="24CD012B" w14:textId="77777777" w:rsidR="00B51ED1" w:rsidRPr="00FB1752" w:rsidRDefault="00B51ED1" w:rsidP="00FB1752">
            <w:pPr>
              <w:rPr>
                <w:sz w:val="20"/>
                <w:szCs w:val="20"/>
              </w:rPr>
            </w:pPr>
            <w:r w:rsidRPr="00FB1752">
              <w:rPr>
                <w:sz w:val="20"/>
                <w:szCs w:val="20"/>
                <w:lang w:val="en-US"/>
              </w:rPr>
              <w:t>Events, n (%)</w:t>
            </w:r>
          </w:p>
        </w:tc>
        <w:tc>
          <w:tcPr>
            <w:tcW w:w="2977" w:type="dxa"/>
          </w:tcPr>
          <w:p w14:paraId="67B298A6" w14:textId="77777777" w:rsidR="00B51ED1" w:rsidRPr="00FB1752" w:rsidRDefault="00B51ED1" w:rsidP="00FB1752">
            <w:pPr>
              <w:rPr>
                <w:sz w:val="20"/>
                <w:szCs w:val="20"/>
              </w:rPr>
            </w:pPr>
            <w:r w:rsidRPr="00FB1752">
              <w:rPr>
                <w:sz w:val="20"/>
                <w:szCs w:val="20"/>
                <w:lang w:val="en-US"/>
              </w:rPr>
              <w:t>178 (55.6)</w:t>
            </w:r>
          </w:p>
        </w:tc>
        <w:tc>
          <w:tcPr>
            <w:tcW w:w="3674" w:type="dxa"/>
          </w:tcPr>
          <w:p w14:paraId="49970F54" w14:textId="77777777" w:rsidR="00B51ED1" w:rsidRPr="00FB1752" w:rsidRDefault="00B51ED1" w:rsidP="00FB1752">
            <w:pPr>
              <w:rPr>
                <w:sz w:val="20"/>
                <w:szCs w:val="20"/>
              </w:rPr>
            </w:pPr>
            <w:r w:rsidRPr="00FB1752">
              <w:rPr>
                <w:sz w:val="20"/>
                <w:szCs w:val="20"/>
                <w:lang w:val="en-US"/>
              </w:rPr>
              <w:t>97 (60.6)</w:t>
            </w:r>
          </w:p>
        </w:tc>
      </w:tr>
      <w:tr w:rsidR="00B51ED1" w:rsidRPr="00FB1752" w14:paraId="7CFA8513" w14:textId="77777777" w:rsidTr="00FB1752">
        <w:tc>
          <w:tcPr>
            <w:tcW w:w="1833" w:type="dxa"/>
          </w:tcPr>
          <w:p w14:paraId="38DC8946" w14:textId="77777777" w:rsidR="00B51ED1" w:rsidRPr="00FB1752" w:rsidRDefault="00B51ED1" w:rsidP="00FB1752">
            <w:pPr>
              <w:rPr>
                <w:sz w:val="20"/>
                <w:szCs w:val="20"/>
              </w:rPr>
            </w:pPr>
            <w:r w:rsidRPr="00FB1752">
              <w:rPr>
                <w:sz w:val="20"/>
                <w:szCs w:val="20"/>
                <w:lang w:val="en-US"/>
              </w:rPr>
              <w:t>Median PFS</w:t>
            </w:r>
          </w:p>
        </w:tc>
        <w:tc>
          <w:tcPr>
            <w:tcW w:w="2977" w:type="dxa"/>
          </w:tcPr>
          <w:p w14:paraId="7F8B1A3E" w14:textId="77777777" w:rsidR="00B51ED1" w:rsidRPr="00FB1752" w:rsidRDefault="00B51ED1" w:rsidP="00FB1752">
            <w:pPr>
              <w:rPr>
                <w:sz w:val="20"/>
                <w:szCs w:val="20"/>
              </w:rPr>
            </w:pPr>
            <w:r w:rsidRPr="00FB1752">
              <w:rPr>
                <w:sz w:val="20"/>
                <w:szCs w:val="20"/>
                <w:lang w:val="en-US"/>
              </w:rPr>
              <w:t>7.8 (7.5, 9.6)</w:t>
            </w:r>
          </w:p>
        </w:tc>
        <w:tc>
          <w:tcPr>
            <w:tcW w:w="3674" w:type="dxa"/>
          </w:tcPr>
          <w:p w14:paraId="167AB83C" w14:textId="77777777" w:rsidR="00B51ED1" w:rsidRPr="00FB1752" w:rsidRDefault="00B51ED1" w:rsidP="00FB1752">
            <w:pPr>
              <w:rPr>
                <w:sz w:val="20"/>
                <w:szCs w:val="20"/>
              </w:rPr>
            </w:pPr>
            <w:r w:rsidRPr="00FB1752">
              <w:rPr>
                <w:sz w:val="20"/>
                <w:szCs w:val="20"/>
                <w:lang w:val="en-US"/>
              </w:rPr>
              <w:t>5.6 (4.2, 7.1)</w:t>
            </w:r>
          </w:p>
        </w:tc>
      </w:tr>
      <w:tr w:rsidR="00B51ED1" w:rsidRPr="00FB1752" w14:paraId="3656CE5B" w14:textId="77777777" w:rsidTr="00FB1752">
        <w:tc>
          <w:tcPr>
            <w:tcW w:w="1833" w:type="dxa"/>
          </w:tcPr>
          <w:p w14:paraId="31D01B58" w14:textId="77777777" w:rsidR="00B51ED1" w:rsidRPr="00FB1752" w:rsidRDefault="00B51ED1" w:rsidP="00FB1752">
            <w:pPr>
              <w:rPr>
                <w:sz w:val="20"/>
                <w:szCs w:val="20"/>
              </w:rPr>
            </w:pPr>
            <w:r w:rsidRPr="00FB1752">
              <w:rPr>
                <w:sz w:val="20"/>
                <w:szCs w:val="20"/>
                <w:lang w:val="en-US"/>
              </w:rPr>
              <w:t>Stratified HR</w:t>
            </w:r>
          </w:p>
        </w:tc>
        <w:tc>
          <w:tcPr>
            <w:tcW w:w="6651" w:type="dxa"/>
            <w:gridSpan w:val="2"/>
          </w:tcPr>
          <w:p w14:paraId="17B5D91C" w14:textId="77777777" w:rsidR="00B51ED1" w:rsidRPr="00FB1752" w:rsidRDefault="00B51ED1" w:rsidP="00FB1752">
            <w:pPr>
              <w:rPr>
                <w:sz w:val="20"/>
                <w:szCs w:val="20"/>
              </w:rPr>
            </w:pPr>
            <w:r w:rsidRPr="00FB1752">
              <w:rPr>
                <w:sz w:val="20"/>
                <w:szCs w:val="20"/>
                <w:lang w:val="en-US"/>
              </w:rPr>
              <w:t>0.54 (0.42, 0.71)</w:t>
            </w:r>
          </w:p>
        </w:tc>
      </w:tr>
      <w:tr w:rsidR="00B51ED1" w:rsidRPr="00FB1752" w14:paraId="29E8F62C" w14:textId="77777777" w:rsidTr="00FB1752">
        <w:tc>
          <w:tcPr>
            <w:tcW w:w="1833" w:type="dxa"/>
          </w:tcPr>
          <w:p w14:paraId="3B3741F7" w14:textId="77777777" w:rsidR="00B51ED1" w:rsidRPr="00FB1752" w:rsidRDefault="00B51ED1" w:rsidP="00FB1752">
            <w:pPr>
              <w:rPr>
                <w:sz w:val="20"/>
                <w:szCs w:val="20"/>
              </w:rPr>
            </w:pPr>
            <w:r w:rsidRPr="00FB1752">
              <w:rPr>
                <w:sz w:val="20"/>
                <w:szCs w:val="20"/>
                <w:lang w:val="en-US"/>
              </w:rPr>
              <w:t>p-value*</w:t>
            </w:r>
          </w:p>
        </w:tc>
        <w:tc>
          <w:tcPr>
            <w:tcW w:w="6651" w:type="dxa"/>
            <w:gridSpan w:val="2"/>
          </w:tcPr>
          <w:p w14:paraId="51EA7074" w14:textId="77777777" w:rsidR="00B51ED1" w:rsidRPr="00FB1752" w:rsidRDefault="00B51ED1" w:rsidP="00FB1752">
            <w:pPr>
              <w:rPr>
                <w:sz w:val="20"/>
                <w:szCs w:val="20"/>
              </w:rPr>
            </w:pPr>
            <w:r w:rsidRPr="00FB1752">
              <w:rPr>
                <w:sz w:val="20"/>
                <w:szCs w:val="20"/>
                <w:lang w:val="en-US"/>
              </w:rPr>
              <w:t>&lt;</w:t>
            </w:r>
            <w:r w:rsidR="00587566" w:rsidRPr="00FB1752">
              <w:rPr>
                <w:sz w:val="20"/>
                <w:szCs w:val="20"/>
                <w:lang w:val="en-US"/>
              </w:rPr>
              <w:t xml:space="preserve"> </w:t>
            </w:r>
            <w:r w:rsidRPr="00FB1752">
              <w:rPr>
                <w:sz w:val="20"/>
                <w:szCs w:val="20"/>
                <w:lang w:val="en-US"/>
              </w:rPr>
              <w:t>0.00001</w:t>
            </w:r>
          </w:p>
        </w:tc>
      </w:tr>
    </w:tbl>
    <w:p w14:paraId="6938BC44" w14:textId="77777777" w:rsidR="00B51ED1" w:rsidRPr="00587566" w:rsidRDefault="00B51ED1" w:rsidP="00587566">
      <w:pPr>
        <w:pStyle w:val="TableDescription"/>
      </w:pPr>
      <w:r w:rsidRPr="00587566">
        <w:t>*Based on stratified log-rank test and re-randomisation procedure</w:t>
      </w:r>
      <w:r w:rsidR="00587566">
        <w:t>.</w:t>
      </w:r>
    </w:p>
    <w:p w14:paraId="409B6514" w14:textId="0D421A1B" w:rsidR="00B51ED1" w:rsidRDefault="00B51ED1" w:rsidP="00D267C1">
      <w:pPr>
        <w:pStyle w:val="FigureTitle"/>
      </w:pPr>
      <w:r>
        <w:t xml:space="preserve">Figure </w:t>
      </w:r>
      <w:fldSimple w:instr=" SEQ Figure \* ARABIC ">
        <w:r w:rsidR="00F979FB">
          <w:rPr>
            <w:noProof/>
          </w:rPr>
          <w:t>5</w:t>
        </w:r>
      </w:fldSimple>
      <w:r w:rsidR="00D267C1">
        <w:t>:</w:t>
      </w:r>
      <w:r>
        <w:t xml:space="preserve"> Kaplan-Meier curve for </w:t>
      </w:r>
      <w:r w:rsidR="00587566">
        <w:t>progression free survival</w:t>
      </w:r>
      <w:r>
        <w:t xml:space="preserve"> in </w:t>
      </w:r>
      <w:r w:rsidR="00587566">
        <w:t xml:space="preserve">the </w:t>
      </w:r>
      <w:r>
        <w:t xml:space="preserve">HER2CLIMB </w:t>
      </w:r>
      <w:r w:rsidR="00587566">
        <w:t>trial (intent to treat progression free survival population</w:t>
      </w:r>
      <w:r>
        <w:t>)</w:t>
      </w:r>
    </w:p>
    <w:p w14:paraId="24818B15" w14:textId="77777777" w:rsidR="00B51ED1" w:rsidRDefault="00D267C1" w:rsidP="00B51ED1">
      <w:pPr>
        <w:jc w:val="both"/>
      </w:pPr>
      <w:r>
        <w:rPr>
          <w:noProof/>
          <w:lang w:eastAsia="en-AU"/>
        </w:rPr>
        <w:drawing>
          <wp:inline distT="0" distB="0" distL="0" distR="0" wp14:anchorId="7819BA95" wp14:editId="7FB3623C">
            <wp:extent cx="5400040" cy="3392170"/>
            <wp:effectExtent l="0" t="0" r="0" b="0"/>
            <wp:docPr id="4" name="Picture 4" descr="Kaplan-Meier curve for progression free survival in the HER2CLIMB trial (intent to treat – progression free survival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403329" cy="3394236"/>
                    </a:xfrm>
                    <a:prstGeom prst="rect">
                      <a:avLst/>
                    </a:prstGeom>
                  </pic:spPr>
                </pic:pic>
              </a:graphicData>
            </a:graphic>
          </wp:inline>
        </w:drawing>
      </w:r>
    </w:p>
    <w:p w14:paraId="18C15DCD" w14:textId="77777777" w:rsidR="00587566" w:rsidRDefault="00587566" w:rsidP="00FB1752">
      <w:pPr>
        <w:pStyle w:val="FigureDescription"/>
      </w:pPr>
      <w:proofErr w:type="spellStart"/>
      <w:r>
        <w:t>Tuc</w:t>
      </w:r>
      <w:proofErr w:type="spellEnd"/>
      <w:r>
        <w:t xml:space="preserve"> + Cap + </w:t>
      </w:r>
      <w:proofErr w:type="spellStart"/>
      <w:r>
        <w:t>Tra</w:t>
      </w:r>
      <w:proofErr w:type="spellEnd"/>
      <w:r>
        <w:t xml:space="preserve"> = tucatinib + trastuzumab + capecitabine, </w:t>
      </w:r>
      <w:proofErr w:type="spellStart"/>
      <w:r>
        <w:t>Pbo</w:t>
      </w:r>
      <w:proofErr w:type="spellEnd"/>
      <w:r>
        <w:t xml:space="preserve"> + Cap + </w:t>
      </w:r>
      <w:proofErr w:type="spellStart"/>
      <w:r>
        <w:t>Tra</w:t>
      </w:r>
      <w:proofErr w:type="spellEnd"/>
      <w:r>
        <w:t xml:space="preserve"> = placebo + trastuzumab + capecitabine.</w:t>
      </w:r>
    </w:p>
    <w:p w14:paraId="4D384BA7" w14:textId="2A1A48AA" w:rsidR="00B51ED1" w:rsidRDefault="00B51ED1" w:rsidP="00822A5F">
      <w:pPr>
        <w:pStyle w:val="TableTitle"/>
      </w:pPr>
      <w:r>
        <w:t xml:space="preserve">Table </w:t>
      </w:r>
      <w:fldSimple w:instr=" SEQ Table \* ARABIC ">
        <w:r w:rsidR="00F979FB">
          <w:rPr>
            <w:noProof/>
          </w:rPr>
          <w:t>12</w:t>
        </w:r>
      </w:fldSimple>
      <w:r w:rsidR="00C83861">
        <w:t>:</w:t>
      </w:r>
      <w:r>
        <w:t xml:space="preserve"> Selected subgroup analyses for </w:t>
      </w:r>
      <w:r w:rsidR="00587566">
        <w:t>progression free survival</w:t>
      </w:r>
      <w:r>
        <w:t xml:space="preserve"> in </w:t>
      </w:r>
      <w:r w:rsidR="00587566">
        <w:t xml:space="preserve">the </w:t>
      </w:r>
      <w:r>
        <w:t xml:space="preserve">HER2CLIMB </w:t>
      </w:r>
      <w:r w:rsidR="00587566">
        <w:t>trial (intent to treat progression free survival population</w:t>
      </w:r>
      <w:r>
        <w:t>)</w:t>
      </w:r>
    </w:p>
    <w:tbl>
      <w:tblPr>
        <w:tblStyle w:val="TableTGAblue"/>
        <w:tblW w:w="5000" w:type="pct"/>
        <w:tblCellMar>
          <w:left w:w="57" w:type="dxa"/>
          <w:right w:w="57" w:type="dxa"/>
        </w:tblCellMar>
        <w:tblLook w:val="04A0" w:firstRow="1" w:lastRow="0" w:firstColumn="1" w:lastColumn="0" w:noHBand="0" w:noVBand="1"/>
      </w:tblPr>
      <w:tblGrid>
        <w:gridCol w:w="2135"/>
        <w:gridCol w:w="1435"/>
        <w:gridCol w:w="864"/>
        <w:gridCol w:w="1435"/>
        <w:gridCol w:w="813"/>
        <w:gridCol w:w="10"/>
        <w:gridCol w:w="1792"/>
      </w:tblGrid>
      <w:tr w:rsidR="00B51ED1" w:rsidRPr="00C83861" w14:paraId="43F1398A" w14:textId="77777777" w:rsidTr="00C83861">
        <w:trPr>
          <w:cnfStyle w:val="100000000000" w:firstRow="1" w:lastRow="0" w:firstColumn="0" w:lastColumn="0" w:oddVBand="0" w:evenVBand="0" w:oddHBand="0" w:evenHBand="0" w:firstRowFirstColumn="0" w:firstRowLastColumn="0" w:lastRowFirstColumn="0" w:lastRowLastColumn="0"/>
          <w:trHeight w:val="20"/>
        </w:trPr>
        <w:tc>
          <w:tcPr>
            <w:tcW w:w="1258" w:type="pct"/>
            <w:vMerge w:val="restart"/>
            <w:hideMark/>
          </w:tcPr>
          <w:p w14:paraId="03BB18C4" w14:textId="77777777" w:rsidR="00B51ED1" w:rsidRPr="00C83861" w:rsidRDefault="00B51ED1" w:rsidP="00822A5F">
            <w:pPr>
              <w:pStyle w:val="Tabletext"/>
              <w:ind w:left="0" w:right="0"/>
              <w:rPr>
                <w:rFonts w:cs="Arial"/>
                <w:sz w:val="20"/>
                <w:szCs w:val="20"/>
              </w:rPr>
            </w:pPr>
            <w:r w:rsidRPr="00C83861">
              <w:rPr>
                <w:sz w:val="20"/>
                <w:szCs w:val="20"/>
                <w:lang w:val="en-US"/>
              </w:rPr>
              <w:t> </w:t>
            </w:r>
          </w:p>
        </w:tc>
        <w:tc>
          <w:tcPr>
            <w:tcW w:w="1354" w:type="pct"/>
            <w:gridSpan w:val="2"/>
            <w:hideMark/>
          </w:tcPr>
          <w:p w14:paraId="3BB1DB8A" w14:textId="77777777" w:rsidR="00B51ED1" w:rsidRPr="00C83861" w:rsidRDefault="00587566" w:rsidP="00822A5F">
            <w:pPr>
              <w:pStyle w:val="Tabletext"/>
              <w:ind w:left="0" w:right="0"/>
              <w:jc w:val="center"/>
              <w:rPr>
                <w:rFonts w:cs="Arial"/>
                <w:sz w:val="20"/>
                <w:szCs w:val="20"/>
              </w:rPr>
            </w:pPr>
            <w:r>
              <w:t>Tucatinib + trastuzumab + capecitabine</w:t>
            </w:r>
          </w:p>
          <w:p w14:paraId="314009C9" w14:textId="77777777" w:rsidR="00B51ED1" w:rsidRPr="00C83861" w:rsidRDefault="00B51ED1" w:rsidP="00822A5F">
            <w:pPr>
              <w:pStyle w:val="Tabletext"/>
              <w:ind w:left="0" w:right="0"/>
              <w:jc w:val="center"/>
              <w:rPr>
                <w:rFonts w:cs="Arial"/>
                <w:sz w:val="20"/>
                <w:szCs w:val="20"/>
              </w:rPr>
            </w:pPr>
            <w:r w:rsidRPr="00C83861">
              <w:rPr>
                <w:sz w:val="20"/>
                <w:szCs w:val="20"/>
                <w:lang w:val="en-US"/>
              </w:rPr>
              <w:t>N</w:t>
            </w:r>
            <w:r w:rsidR="00A33D6C">
              <w:rPr>
                <w:sz w:val="20"/>
                <w:szCs w:val="20"/>
                <w:lang w:val="en-US"/>
              </w:rPr>
              <w:t xml:space="preserve"> </w:t>
            </w:r>
            <w:r w:rsidRPr="00C83861">
              <w:rPr>
                <w:sz w:val="20"/>
                <w:szCs w:val="20"/>
                <w:lang w:val="en-US"/>
              </w:rPr>
              <w:t>=</w:t>
            </w:r>
            <w:r w:rsidR="00A33D6C">
              <w:rPr>
                <w:sz w:val="20"/>
                <w:szCs w:val="20"/>
                <w:lang w:val="en-US"/>
              </w:rPr>
              <w:t xml:space="preserve"> </w:t>
            </w:r>
            <w:r w:rsidRPr="00C83861">
              <w:rPr>
                <w:sz w:val="20"/>
                <w:szCs w:val="20"/>
                <w:lang w:val="en-US"/>
              </w:rPr>
              <w:t>320</w:t>
            </w:r>
          </w:p>
        </w:tc>
        <w:tc>
          <w:tcPr>
            <w:tcW w:w="1331" w:type="pct"/>
            <w:gridSpan w:val="3"/>
            <w:hideMark/>
          </w:tcPr>
          <w:p w14:paraId="00C436E5" w14:textId="77777777" w:rsidR="00B51ED1" w:rsidRPr="00C83861" w:rsidRDefault="00587566" w:rsidP="00822A5F">
            <w:pPr>
              <w:pStyle w:val="Tabletext"/>
              <w:ind w:left="0" w:right="0"/>
              <w:jc w:val="center"/>
              <w:rPr>
                <w:rFonts w:cs="Arial"/>
                <w:sz w:val="20"/>
                <w:szCs w:val="20"/>
              </w:rPr>
            </w:pPr>
            <w:r>
              <w:t>Placebo + trastuzumab + capecitabine</w:t>
            </w:r>
          </w:p>
          <w:p w14:paraId="027A9EA0" w14:textId="77777777" w:rsidR="00B51ED1" w:rsidRPr="00C83861" w:rsidRDefault="00B51ED1" w:rsidP="00822A5F">
            <w:pPr>
              <w:pStyle w:val="Tabletext"/>
              <w:ind w:left="0" w:right="0"/>
              <w:jc w:val="center"/>
              <w:rPr>
                <w:rFonts w:cs="Arial"/>
                <w:sz w:val="20"/>
                <w:szCs w:val="20"/>
              </w:rPr>
            </w:pPr>
            <w:r w:rsidRPr="00C83861">
              <w:rPr>
                <w:sz w:val="20"/>
                <w:szCs w:val="20"/>
                <w:lang w:val="en-US"/>
              </w:rPr>
              <w:t>N</w:t>
            </w:r>
            <w:r w:rsidR="00822A5F">
              <w:rPr>
                <w:sz w:val="20"/>
                <w:szCs w:val="20"/>
                <w:lang w:val="en-US"/>
              </w:rPr>
              <w:t xml:space="preserve"> </w:t>
            </w:r>
            <w:r w:rsidRPr="00C83861">
              <w:rPr>
                <w:sz w:val="20"/>
                <w:szCs w:val="20"/>
                <w:lang w:val="en-US"/>
              </w:rPr>
              <w:t>=</w:t>
            </w:r>
            <w:r w:rsidR="00822A5F">
              <w:rPr>
                <w:sz w:val="20"/>
                <w:szCs w:val="20"/>
                <w:lang w:val="en-US"/>
              </w:rPr>
              <w:t xml:space="preserve"> </w:t>
            </w:r>
            <w:r w:rsidRPr="00C83861">
              <w:rPr>
                <w:sz w:val="20"/>
                <w:szCs w:val="20"/>
                <w:lang w:val="en-US"/>
              </w:rPr>
              <w:t>160</w:t>
            </w:r>
          </w:p>
        </w:tc>
        <w:tc>
          <w:tcPr>
            <w:tcW w:w="1057" w:type="pct"/>
            <w:vAlign w:val="bottom"/>
            <w:hideMark/>
          </w:tcPr>
          <w:p w14:paraId="352412C7" w14:textId="77777777" w:rsidR="00B51ED1" w:rsidRPr="00C83861" w:rsidRDefault="00B51ED1" w:rsidP="00822A5F">
            <w:pPr>
              <w:pStyle w:val="Tabletext"/>
              <w:ind w:left="0" w:right="0"/>
              <w:jc w:val="center"/>
              <w:rPr>
                <w:rFonts w:cs="Arial"/>
                <w:sz w:val="20"/>
                <w:szCs w:val="20"/>
              </w:rPr>
            </w:pPr>
          </w:p>
        </w:tc>
      </w:tr>
      <w:tr w:rsidR="00B51ED1" w:rsidRPr="00C83861" w14:paraId="2C7D63CC" w14:textId="77777777" w:rsidTr="00C83861">
        <w:trPr>
          <w:trHeight w:val="20"/>
        </w:trPr>
        <w:tc>
          <w:tcPr>
            <w:tcW w:w="1258" w:type="pct"/>
            <w:vMerge/>
            <w:hideMark/>
          </w:tcPr>
          <w:p w14:paraId="18393B24" w14:textId="77777777" w:rsidR="00B51ED1" w:rsidRPr="00C83861" w:rsidRDefault="00B51ED1" w:rsidP="00822A5F">
            <w:pPr>
              <w:pStyle w:val="Tabletext"/>
              <w:keepNext/>
              <w:ind w:left="0" w:right="0"/>
              <w:rPr>
                <w:rFonts w:cs="Arial"/>
                <w:sz w:val="20"/>
                <w:szCs w:val="20"/>
              </w:rPr>
            </w:pPr>
          </w:p>
        </w:tc>
        <w:tc>
          <w:tcPr>
            <w:tcW w:w="846" w:type="pct"/>
            <w:shd w:val="clear" w:color="auto" w:fill="006DA7" w:themeFill="accent3"/>
            <w:hideMark/>
          </w:tcPr>
          <w:p w14:paraId="669E8155" w14:textId="77777777" w:rsidR="00B51ED1" w:rsidRPr="00C83861" w:rsidRDefault="00822A5F" w:rsidP="00822A5F">
            <w:pPr>
              <w:pStyle w:val="Tabletext"/>
              <w:keepNext/>
              <w:ind w:left="0" w:right="0"/>
              <w:jc w:val="center"/>
              <w:rPr>
                <w:rFonts w:cs="Arial"/>
                <w:b/>
                <w:color w:val="FFFFFF" w:themeColor="background1"/>
                <w:sz w:val="20"/>
                <w:szCs w:val="20"/>
              </w:rPr>
            </w:pPr>
            <w:r>
              <w:rPr>
                <w:b/>
                <w:color w:val="FFFFFF" w:themeColor="background1"/>
                <w:sz w:val="20"/>
                <w:szCs w:val="20"/>
                <w:lang w:val="en-US"/>
              </w:rPr>
              <w:t xml:space="preserve">#Events out of </w:t>
            </w:r>
            <w:r w:rsidR="00B51ED1" w:rsidRPr="00C83861">
              <w:rPr>
                <w:b/>
                <w:color w:val="FFFFFF" w:themeColor="background1"/>
                <w:sz w:val="20"/>
                <w:szCs w:val="20"/>
                <w:lang w:val="en-US"/>
              </w:rPr>
              <w:t>N</w:t>
            </w:r>
            <w:r>
              <w:rPr>
                <w:b/>
                <w:color w:val="FFFFFF" w:themeColor="background1"/>
                <w:sz w:val="20"/>
                <w:szCs w:val="20"/>
                <w:lang w:val="en-US"/>
              </w:rPr>
              <w:t xml:space="preserve"> (%)</w:t>
            </w:r>
          </w:p>
        </w:tc>
        <w:tc>
          <w:tcPr>
            <w:tcW w:w="509" w:type="pct"/>
            <w:shd w:val="clear" w:color="auto" w:fill="006DA7" w:themeFill="accent3"/>
            <w:hideMark/>
          </w:tcPr>
          <w:p w14:paraId="69D48EFD" w14:textId="77777777" w:rsidR="00B51ED1" w:rsidRPr="00C83861" w:rsidRDefault="00B51ED1" w:rsidP="00822A5F">
            <w:pPr>
              <w:pStyle w:val="Tabletext"/>
              <w:keepNext/>
              <w:ind w:left="0" w:right="0"/>
              <w:jc w:val="center"/>
              <w:rPr>
                <w:rFonts w:cs="Arial"/>
                <w:b/>
                <w:color w:val="FFFFFF" w:themeColor="background1"/>
                <w:sz w:val="20"/>
                <w:szCs w:val="20"/>
              </w:rPr>
            </w:pPr>
            <w:r w:rsidRPr="00C83861">
              <w:rPr>
                <w:b/>
                <w:color w:val="FFFFFF" w:themeColor="background1"/>
                <w:sz w:val="20"/>
                <w:szCs w:val="20"/>
                <w:lang w:val="en-US"/>
              </w:rPr>
              <w:t>Median</w:t>
            </w:r>
          </w:p>
        </w:tc>
        <w:tc>
          <w:tcPr>
            <w:tcW w:w="846" w:type="pct"/>
            <w:shd w:val="clear" w:color="auto" w:fill="006DA7" w:themeFill="accent3"/>
            <w:hideMark/>
          </w:tcPr>
          <w:p w14:paraId="1A7E7C72" w14:textId="77777777" w:rsidR="00B51ED1" w:rsidRPr="00C83861" w:rsidRDefault="00822A5F" w:rsidP="00822A5F">
            <w:pPr>
              <w:pStyle w:val="Tabletext"/>
              <w:keepNext/>
              <w:ind w:left="0" w:right="0"/>
              <w:jc w:val="center"/>
              <w:rPr>
                <w:rFonts w:cs="Arial"/>
                <w:b/>
                <w:color w:val="FFFFFF" w:themeColor="background1"/>
                <w:sz w:val="20"/>
                <w:szCs w:val="20"/>
              </w:rPr>
            </w:pPr>
            <w:r>
              <w:rPr>
                <w:b/>
                <w:color w:val="FFFFFF" w:themeColor="background1"/>
                <w:sz w:val="20"/>
                <w:szCs w:val="20"/>
                <w:lang w:val="en-US"/>
              </w:rPr>
              <w:t xml:space="preserve">#Events out of </w:t>
            </w:r>
            <w:r w:rsidR="00B51ED1" w:rsidRPr="00C83861">
              <w:rPr>
                <w:b/>
                <w:color w:val="FFFFFF" w:themeColor="background1"/>
                <w:sz w:val="20"/>
                <w:szCs w:val="20"/>
                <w:lang w:val="en-US"/>
              </w:rPr>
              <w:t>N</w:t>
            </w:r>
            <w:r>
              <w:rPr>
                <w:b/>
                <w:color w:val="FFFFFF" w:themeColor="background1"/>
                <w:sz w:val="20"/>
                <w:szCs w:val="20"/>
                <w:lang w:val="en-US"/>
              </w:rPr>
              <w:t xml:space="preserve"> (%)</w:t>
            </w:r>
          </w:p>
        </w:tc>
        <w:tc>
          <w:tcPr>
            <w:tcW w:w="479" w:type="pct"/>
            <w:shd w:val="clear" w:color="auto" w:fill="006DA7" w:themeFill="accent3"/>
            <w:hideMark/>
          </w:tcPr>
          <w:p w14:paraId="0178D08C" w14:textId="77777777" w:rsidR="00B51ED1" w:rsidRPr="00C83861" w:rsidRDefault="00B51ED1" w:rsidP="00822A5F">
            <w:pPr>
              <w:pStyle w:val="Tabletext"/>
              <w:keepNext/>
              <w:ind w:left="0" w:right="0"/>
              <w:jc w:val="center"/>
              <w:rPr>
                <w:rFonts w:cs="Arial"/>
                <w:b/>
                <w:color w:val="FFFFFF" w:themeColor="background1"/>
                <w:sz w:val="20"/>
                <w:szCs w:val="20"/>
              </w:rPr>
            </w:pPr>
            <w:r w:rsidRPr="00C83861">
              <w:rPr>
                <w:b/>
                <w:color w:val="FFFFFF" w:themeColor="background1"/>
                <w:sz w:val="20"/>
                <w:szCs w:val="20"/>
                <w:lang w:val="en-US"/>
              </w:rPr>
              <w:t>Median</w:t>
            </w:r>
          </w:p>
        </w:tc>
        <w:tc>
          <w:tcPr>
            <w:tcW w:w="1064" w:type="pct"/>
            <w:gridSpan w:val="2"/>
            <w:shd w:val="clear" w:color="auto" w:fill="006DA7" w:themeFill="accent3"/>
            <w:hideMark/>
          </w:tcPr>
          <w:p w14:paraId="12E54801" w14:textId="77777777" w:rsidR="00B51ED1" w:rsidRPr="00C83861" w:rsidRDefault="00B51ED1" w:rsidP="00822A5F">
            <w:pPr>
              <w:pStyle w:val="Tabletext"/>
              <w:keepNext/>
              <w:ind w:left="0" w:right="0"/>
              <w:jc w:val="center"/>
              <w:rPr>
                <w:b/>
                <w:color w:val="FFFFFF" w:themeColor="background1"/>
                <w:sz w:val="20"/>
                <w:szCs w:val="20"/>
                <w:lang w:val="en-US"/>
              </w:rPr>
            </w:pPr>
            <w:r w:rsidRPr="00C83861">
              <w:rPr>
                <w:b/>
                <w:color w:val="FFFFFF" w:themeColor="background1"/>
                <w:sz w:val="20"/>
                <w:szCs w:val="20"/>
                <w:lang w:val="en-US"/>
              </w:rPr>
              <w:t>Stratified HR</w:t>
            </w:r>
          </w:p>
          <w:p w14:paraId="01080A3D" w14:textId="77777777" w:rsidR="00B51ED1" w:rsidRPr="00C83861" w:rsidRDefault="00B51ED1" w:rsidP="00822A5F">
            <w:pPr>
              <w:pStyle w:val="Tabletext"/>
              <w:keepNext/>
              <w:ind w:left="0" w:right="0"/>
              <w:jc w:val="center"/>
              <w:rPr>
                <w:rFonts w:cs="Arial"/>
                <w:color w:val="FFFFFF" w:themeColor="background1"/>
                <w:sz w:val="20"/>
                <w:szCs w:val="20"/>
              </w:rPr>
            </w:pPr>
            <w:r w:rsidRPr="00C83861">
              <w:rPr>
                <w:b/>
                <w:color w:val="FFFFFF" w:themeColor="background1"/>
                <w:sz w:val="20"/>
                <w:szCs w:val="20"/>
                <w:lang w:val="en-US"/>
              </w:rPr>
              <w:t xml:space="preserve">(95% </w:t>
            </w:r>
            <w:r w:rsidR="00587566">
              <w:rPr>
                <w:b/>
                <w:color w:val="FFFFFF" w:themeColor="background1"/>
                <w:sz w:val="20"/>
                <w:szCs w:val="20"/>
                <w:lang w:val="en-US"/>
              </w:rPr>
              <w:t>confidence interval (</w:t>
            </w:r>
            <w:r w:rsidRPr="00C83861">
              <w:rPr>
                <w:b/>
                <w:color w:val="FFFFFF" w:themeColor="background1"/>
                <w:sz w:val="20"/>
                <w:szCs w:val="20"/>
                <w:lang w:val="en-US"/>
              </w:rPr>
              <w:t>CI</w:t>
            </w:r>
            <w:r w:rsidR="00587566">
              <w:rPr>
                <w:b/>
                <w:color w:val="FFFFFF" w:themeColor="background1"/>
                <w:sz w:val="20"/>
                <w:szCs w:val="20"/>
                <w:lang w:val="en-US"/>
              </w:rPr>
              <w:t>)</w:t>
            </w:r>
            <w:r w:rsidRPr="00C83861">
              <w:rPr>
                <w:b/>
                <w:color w:val="FFFFFF" w:themeColor="background1"/>
                <w:sz w:val="20"/>
                <w:szCs w:val="20"/>
                <w:lang w:val="en-US"/>
              </w:rPr>
              <w:t>)</w:t>
            </w:r>
          </w:p>
        </w:tc>
      </w:tr>
      <w:tr w:rsidR="00B51ED1" w:rsidRPr="00C83861" w14:paraId="4595DD3A" w14:textId="77777777" w:rsidTr="00C83861">
        <w:trPr>
          <w:trHeight w:val="20"/>
        </w:trPr>
        <w:tc>
          <w:tcPr>
            <w:tcW w:w="5000" w:type="pct"/>
            <w:gridSpan w:val="7"/>
            <w:hideMark/>
          </w:tcPr>
          <w:p w14:paraId="616A4996" w14:textId="77777777" w:rsidR="00B51ED1" w:rsidRPr="00C83861" w:rsidRDefault="00B51ED1" w:rsidP="00822A5F">
            <w:pPr>
              <w:pStyle w:val="Tabletext"/>
              <w:keepNext/>
              <w:ind w:left="0" w:right="0"/>
              <w:rPr>
                <w:b/>
                <w:sz w:val="20"/>
                <w:szCs w:val="20"/>
              </w:rPr>
            </w:pPr>
            <w:r w:rsidRPr="00C83861">
              <w:rPr>
                <w:b/>
                <w:sz w:val="20"/>
                <w:szCs w:val="20"/>
                <w:lang w:val="en-US"/>
              </w:rPr>
              <w:t>HR status</w:t>
            </w:r>
          </w:p>
        </w:tc>
      </w:tr>
      <w:tr w:rsidR="00B51ED1" w:rsidRPr="00C83861" w14:paraId="53FB5C61" w14:textId="77777777" w:rsidTr="00C83861">
        <w:trPr>
          <w:trHeight w:val="20"/>
        </w:trPr>
        <w:tc>
          <w:tcPr>
            <w:tcW w:w="1258" w:type="pct"/>
            <w:hideMark/>
          </w:tcPr>
          <w:p w14:paraId="2154DCD4" w14:textId="77777777" w:rsidR="00B51ED1" w:rsidRPr="00C83861" w:rsidRDefault="00587566" w:rsidP="00822A5F">
            <w:pPr>
              <w:pStyle w:val="Tabletext"/>
              <w:keepNext/>
              <w:ind w:left="0" w:right="0"/>
              <w:jc w:val="right"/>
              <w:rPr>
                <w:rFonts w:cs="Arial"/>
                <w:sz w:val="20"/>
                <w:szCs w:val="20"/>
              </w:rPr>
            </w:pPr>
            <w:proofErr w:type="spellStart"/>
            <w:r>
              <w:rPr>
                <w:sz w:val="20"/>
                <w:szCs w:val="20"/>
                <w:lang w:val="en-US"/>
              </w:rPr>
              <w:t>Oestrogen</w:t>
            </w:r>
            <w:proofErr w:type="spellEnd"/>
            <w:r>
              <w:rPr>
                <w:sz w:val="20"/>
                <w:szCs w:val="20"/>
                <w:lang w:val="en-US"/>
              </w:rPr>
              <w:t xml:space="preserve"> receptor (</w:t>
            </w:r>
            <w:r w:rsidR="00B51ED1" w:rsidRPr="00C83861">
              <w:rPr>
                <w:sz w:val="20"/>
                <w:szCs w:val="20"/>
                <w:lang w:val="en-US"/>
              </w:rPr>
              <w:t>ER</w:t>
            </w:r>
            <w:r>
              <w:rPr>
                <w:sz w:val="20"/>
                <w:szCs w:val="20"/>
                <w:lang w:val="en-US"/>
              </w:rPr>
              <w:t>)</w:t>
            </w:r>
            <w:r w:rsidR="00B51ED1" w:rsidRPr="00C83861">
              <w:rPr>
                <w:sz w:val="20"/>
                <w:szCs w:val="20"/>
                <w:lang w:val="en-US"/>
              </w:rPr>
              <w:t xml:space="preserve"> and/or </w:t>
            </w:r>
            <w:r>
              <w:rPr>
                <w:sz w:val="20"/>
                <w:szCs w:val="20"/>
                <w:lang w:val="en-US"/>
              </w:rPr>
              <w:t>progesterone receptor (</w:t>
            </w:r>
            <w:r w:rsidR="00B51ED1" w:rsidRPr="00C83861">
              <w:rPr>
                <w:sz w:val="20"/>
                <w:szCs w:val="20"/>
                <w:lang w:val="en-US"/>
              </w:rPr>
              <w:t>PR</w:t>
            </w:r>
            <w:r>
              <w:rPr>
                <w:sz w:val="20"/>
                <w:szCs w:val="20"/>
                <w:lang w:val="en-US"/>
              </w:rPr>
              <w:t>)</w:t>
            </w:r>
            <w:r w:rsidR="00B51ED1" w:rsidRPr="00C83861">
              <w:rPr>
                <w:sz w:val="20"/>
                <w:szCs w:val="20"/>
                <w:lang w:val="en-US"/>
              </w:rPr>
              <w:t xml:space="preserve"> positive</w:t>
            </w:r>
          </w:p>
        </w:tc>
        <w:tc>
          <w:tcPr>
            <w:tcW w:w="846" w:type="pct"/>
            <w:hideMark/>
          </w:tcPr>
          <w:p w14:paraId="4FA873ED" w14:textId="77777777" w:rsidR="00B51ED1" w:rsidRPr="00C83861" w:rsidRDefault="00587566" w:rsidP="00822A5F">
            <w:pPr>
              <w:pStyle w:val="Tabletext"/>
              <w:keepNext/>
              <w:ind w:left="0" w:right="0"/>
              <w:jc w:val="center"/>
              <w:rPr>
                <w:rFonts w:cs="Arial"/>
                <w:sz w:val="20"/>
                <w:szCs w:val="20"/>
              </w:rPr>
            </w:pPr>
            <w:r>
              <w:rPr>
                <w:sz w:val="20"/>
                <w:szCs w:val="20"/>
                <w:lang w:val="en-US"/>
              </w:rPr>
              <w:t xml:space="preserve">106 out of </w:t>
            </w:r>
            <w:r w:rsidR="00B51ED1" w:rsidRPr="00C83861">
              <w:rPr>
                <w:sz w:val="20"/>
                <w:szCs w:val="20"/>
                <w:lang w:val="en-US"/>
              </w:rPr>
              <w:t>190 (55.8)</w:t>
            </w:r>
          </w:p>
        </w:tc>
        <w:tc>
          <w:tcPr>
            <w:tcW w:w="509" w:type="pct"/>
            <w:hideMark/>
          </w:tcPr>
          <w:p w14:paraId="0C742CCF" w14:textId="77777777" w:rsidR="00B51ED1" w:rsidRPr="00C83861" w:rsidRDefault="00B51ED1" w:rsidP="00822A5F">
            <w:pPr>
              <w:pStyle w:val="Tabletext"/>
              <w:keepNext/>
              <w:ind w:left="0" w:right="0"/>
              <w:jc w:val="center"/>
              <w:rPr>
                <w:rFonts w:cs="Arial"/>
                <w:sz w:val="20"/>
                <w:szCs w:val="20"/>
              </w:rPr>
            </w:pPr>
            <w:r w:rsidRPr="00C83861">
              <w:rPr>
                <w:sz w:val="20"/>
                <w:szCs w:val="20"/>
                <w:lang w:val="en-US"/>
              </w:rPr>
              <w:t>7.6</w:t>
            </w:r>
          </w:p>
        </w:tc>
        <w:tc>
          <w:tcPr>
            <w:tcW w:w="846" w:type="pct"/>
            <w:hideMark/>
          </w:tcPr>
          <w:p w14:paraId="5FE7AF47" w14:textId="77777777" w:rsidR="00B51ED1" w:rsidRPr="00C83861" w:rsidRDefault="00587566" w:rsidP="00822A5F">
            <w:pPr>
              <w:pStyle w:val="Tabletext"/>
              <w:keepNext/>
              <w:ind w:left="0" w:right="0"/>
              <w:jc w:val="center"/>
              <w:rPr>
                <w:rFonts w:cs="Arial"/>
                <w:sz w:val="20"/>
                <w:szCs w:val="20"/>
              </w:rPr>
            </w:pPr>
            <w:r>
              <w:rPr>
                <w:sz w:val="20"/>
                <w:szCs w:val="20"/>
                <w:lang w:val="en-US"/>
              </w:rPr>
              <w:t xml:space="preserve">66 out of </w:t>
            </w:r>
            <w:r w:rsidR="00B51ED1" w:rsidRPr="00C83861">
              <w:rPr>
                <w:sz w:val="20"/>
                <w:szCs w:val="20"/>
                <w:lang w:val="en-US"/>
              </w:rPr>
              <w:t>99 (66.7)</w:t>
            </w:r>
          </w:p>
        </w:tc>
        <w:tc>
          <w:tcPr>
            <w:tcW w:w="479" w:type="pct"/>
            <w:hideMark/>
          </w:tcPr>
          <w:p w14:paraId="563C2BD4" w14:textId="77777777" w:rsidR="00B51ED1" w:rsidRPr="00C83861" w:rsidRDefault="00B51ED1" w:rsidP="00822A5F">
            <w:pPr>
              <w:pStyle w:val="Tabletext"/>
              <w:keepNext/>
              <w:ind w:left="0" w:right="0"/>
              <w:jc w:val="center"/>
              <w:rPr>
                <w:rFonts w:cs="Arial"/>
                <w:sz w:val="20"/>
                <w:szCs w:val="20"/>
              </w:rPr>
            </w:pPr>
            <w:r w:rsidRPr="00C83861">
              <w:rPr>
                <w:sz w:val="20"/>
                <w:szCs w:val="20"/>
                <w:lang w:val="en-US"/>
              </w:rPr>
              <w:t>5.6</w:t>
            </w:r>
          </w:p>
        </w:tc>
        <w:tc>
          <w:tcPr>
            <w:tcW w:w="1064" w:type="pct"/>
            <w:gridSpan w:val="2"/>
            <w:hideMark/>
          </w:tcPr>
          <w:p w14:paraId="5D6A5994" w14:textId="77777777" w:rsidR="00B51ED1" w:rsidRPr="00C83861" w:rsidRDefault="00B51ED1" w:rsidP="00822A5F">
            <w:pPr>
              <w:pStyle w:val="Tabletext"/>
              <w:keepNext/>
              <w:ind w:left="0" w:right="0"/>
              <w:jc w:val="center"/>
              <w:rPr>
                <w:rFonts w:cs="Arial"/>
                <w:sz w:val="20"/>
                <w:szCs w:val="20"/>
              </w:rPr>
            </w:pPr>
            <w:r w:rsidRPr="00C83861">
              <w:rPr>
                <w:sz w:val="20"/>
                <w:szCs w:val="20"/>
                <w:lang w:val="en-US"/>
              </w:rPr>
              <w:t>0.58 (0.42, 0.80)</w:t>
            </w:r>
          </w:p>
        </w:tc>
      </w:tr>
      <w:tr w:rsidR="00B51ED1" w:rsidRPr="00C83861" w14:paraId="1BB54318" w14:textId="77777777" w:rsidTr="00C83861">
        <w:trPr>
          <w:trHeight w:val="20"/>
        </w:trPr>
        <w:tc>
          <w:tcPr>
            <w:tcW w:w="1258" w:type="pct"/>
            <w:hideMark/>
          </w:tcPr>
          <w:p w14:paraId="6D13D85E" w14:textId="77777777" w:rsidR="00B51ED1" w:rsidRPr="00C83861" w:rsidRDefault="00822A5F" w:rsidP="00822A5F">
            <w:pPr>
              <w:pStyle w:val="Tabletext"/>
              <w:keepNext/>
              <w:ind w:left="0" w:right="0"/>
              <w:jc w:val="right"/>
              <w:rPr>
                <w:rFonts w:cs="Arial"/>
                <w:sz w:val="20"/>
                <w:szCs w:val="20"/>
              </w:rPr>
            </w:pPr>
            <w:r>
              <w:rPr>
                <w:sz w:val="20"/>
                <w:szCs w:val="20"/>
                <w:lang w:val="en-US"/>
              </w:rPr>
              <w:t>ER and PR negative or o</w:t>
            </w:r>
            <w:r w:rsidR="00B51ED1" w:rsidRPr="00C83861">
              <w:rPr>
                <w:sz w:val="20"/>
                <w:szCs w:val="20"/>
                <w:lang w:val="en-US"/>
              </w:rPr>
              <w:t>ther</w:t>
            </w:r>
          </w:p>
        </w:tc>
        <w:tc>
          <w:tcPr>
            <w:tcW w:w="846" w:type="pct"/>
            <w:hideMark/>
          </w:tcPr>
          <w:p w14:paraId="2D6073E7" w14:textId="77777777" w:rsidR="00B51ED1" w:rsidRPr="00C83861" w:rsidRDefault="00587566" w:rsidP="00822A5F">
            <w:pPr>
              <w:pStyle w:val="Tabletext"/>
              <w:keepNext/>
              <w:ind w:left="0" w:right="0"/>
              <w:jc w:val="center"/>
              <w:rPr>
                <w:rFonts w:cs="Arial"/>
                <w:sz w:val="20"/>
                <w:szCs w:val="20"/>
              </w:rPr>
            </w:pPr>
            <w:r>
              <w:rPr>
                <w:sz w:val="20"/>
                <w:szCs w:val="20"/>
                <w:lang w:val="en-US"/>
              </w:rPr>
              <w:t xml:space="preserve">72 out of </w:t>
            </w:r>
            <w:r w:rsidR="00B51ED1" w:rsidRPr="00C83861">
              <w:rPr>
                <w:sz w:val="20"/>
                <w:szCs w:val="20"/>
                <w:lang w:val="en-US"/>
              </w:rPr>
              <w:t>130 (55.4)</w:t>
            </w:r>
          </w:p>
        </w:tc>
        <w:tc>
          <w:tcPr>
            <w:tcW w:w="509" w:type="pct"/>
            <w:hideMark/>
          </w:tcPr>
          <w:p w14:paraId="684B322B" w14:textId="77777777" w:rsidR="00B51ED1" w:rsidRPr="00C83861" w:rsidRDefault="00B51ED1" w:rsidP="00822A5F">
            <w:pPr>
              <w:pStyle w:val="Tabletext"/>
              <w:keepNext/>
              <w:ind w:left="0" w:right="0"/>
              <w:jc w:val="center"/>
              <w:rPr>
                <w:rFonts w:cs="Arial"/>
                <w:sz w:val="20"/>
                <w:szCs w:val="20"/>
              </w:rPr>
            </w:pPr>
            <w:r w:rsidRPr="00C83861">
              <w:rPr>
                <w:sz w:val="20"/>
                <w:szCs w:val="20"/>
                <w:lang w:val="en-US"/>
              </w:rPr>
              <w:t>8.1</w:t>
            </w:r>
          </w:p>
        </w:tc>
        <w:tc>
          <w:tcPr>
            <w:tcW w:w="846" w:type="pct"/>
            <w:hideMark/>
          </w:tcPr>
          <w:p w14:paraId="27D07FE0" w14:textId="77777777" w:rsidR="00B51ED1" w:rsidRPr="00C83861" w:rsidRDefault="00587566" w:rsidP="00822A5F">
            <w:pPr>
              <w:pStyle w:val="Tabletext"/>
              <w:keepNext/>
              <w:ind w:left="0" w:right="0"/>
              <w:jc w:val="center"/>
              <w:rPr>
                <w:rFonts w:cs="Arial"/>
                <w:sz w:val="20"/>
                <w:szCs w:val="20"/>
              </w:rPr>
            </w:pPr>
            <w:r>
              <w:rPr>
                <w:sz w:val="20"/>
                <w:szCs w:val="20"/>
                <w:lang w:val="en-US"/>
              </w:rPr>
              <w:t xml:space="preserve">31 out of </w:t>
            </w:r>
            <w:r w:rsidR="00B51ED1" w:rsidRPr="00C83861">
              <w:rPr>
                <w:sz w:val="20"/>
                <w:szCs w:val="20"/>
                <w:lang w:val="en-US"/>
              </w:rPr>
              <w:t>61 (50.8)</w:t>
            </w:r>
          </w:p>
        </w:tc>
        <w:tc>
          <w:tcPr>
            <w:tcW w:w="479" w:type="pct"/>
            <w:hideMark/>
          </w:tcPr>
          <w:p w14:paraId="04C68F91" w14:textId="77777777" w:rsidR="00B51ED1" w:rsidRPr="00C83861" w:rsidRDefault="00B51ED1" w:rsidP="00822A5F">
            <w:pPr>
              <w:pStyle w:val="Tabletext"/>
              <w:keepNext/>
              <w:ind w:left="0" w:right="0"/>
              <w:jc w:val="center"/>
              <w:rPr>
                <w:rFonts w:cs="Arial"/>
                <w:sz w:val="20"/>
                <w:szCs w:val="20"/>
              </w:rPr>
            </w:pPr>
            <w:r w:rsidRPr="00C83861">
              <w:rPr>
                <w:sz w:val="20"/>
                <w:szCs w:val="20"/>
                <w:lang w:val="en-US"/>
              </w:rPr>
              <w:t>4.2</w:t>
            </w:r>
          </w:p>
        </w:tc>
        <w:tc>
          <w:tcPr>
            <w:tcW w:w="1064" w:type="pct"/>
            <w:gridSpan w:val="2"/>
            <w:hideMark/>
          </w:tcPr>
          <w:p w14:paraId="507E6353" w14:textId="77777777" w:rsidR="00B51ED1" w:rsidRPr="00C83861" w:rsidRDefault="00B51ED1" w:rsidP="00822A5F">
            <w:pPr>
              <w:pStyle w:val="Tabletext"/>
              <w:keepNext/>
              <w:ind w:left="0" w:right="0"/>
              <w:jc w:val="center"/>
              <w:rPr>
                <w:rFonts w:cs="Arial"/>
                <w:sz w:val="20"/>
                <w:szCs w:val="20"/>
              </w:rPr>
            </w:pPr>
            <w:r w:rsidRPr="00C83861">
              <w:rPr>
                <w:sz w:val="20"/>
                <w:szCs w:val="20"/>
                <w:lang w:val="en-US"/>
              </w:rPr>
              <w:t>0.54 (0.34, 0.86)</w:t>
            </w:r>
          </w:p>
        </w:tc>
      </w:tr>
      <w:tr w:rsidR="00B51ED1" w:rsidRPr="00C83861" w14:paraId="6B55AF3D" w14:textId="77777777" w:rsidTr="00C83861">
        <w:trPr>
          <w:trHeight w:val="20"/>
        </w:trPr>
        <w:tc>
          <w:tcPr>
            <w:tcW w:w="5000" w:type="pct"/>
            <w:gridSpan w:val="7"/>
            <w:hideMark/>
          </w:tcPr>
          <w:p w14:paraId="13DB9E54" w14:textId="77777777" w:rsidR="00B51ED1" w:rsidRPr="00C83861" w:rsidRDefault="00B51ED1" w:rsidP="00822A5F">
            <w:pPr>
              <w:pStyle w:val="Tabletext"/>
              <w:keepNext/>
              <w:ind w:left="0" w:right="0"/>
              <w:rPr>
                <w:b/>
                <w:sz w:val="20"/>
                <w:szCs w:val="20"/>
              </w:rPr>
            </w:pPr>
            <w:r w:rsidRPr="00C83861">
              <w:rPr>
                <w:b/>
                <w:sz w:val="20"/>
                <w:szCs w:val="20"/>
                <w:lang w:val="en-US"/>
              </w:rPr>
              <w:t>Baseline brain metastases</w:t>
            </w:r>
          </w:p>
        </w:tc>
      </w:tr>
      <w:tr w:rsidR="00B51ED1" w:rsidRPr="00C83861" w14:paraId="57AA3E16" w14:textId="77777777" w:rsidTr="00C83861">
        <w:trPr>
          <w:trHeight w:val="20"/>
        </w:trPr>
        <w:tc>
          <w:tcPr>
            <w:tcW w:w="1258" w:type="pct"/>
            <w:hideMark/>
          </w:tcPr>
          <w:p w14:paraId="5130B63D" w14:textId="77777777" w:rsidR="00B51ED1" w:rsidRPr="00C83861" w:rsidRDefault="00B51ED1" w:rsidP="00822A5F">
            <w:pPr>
              <w:pStyle w:val="Tabletext"/>
              <w:keepNext/>
              <w:ind w:left="0" w:right="0"/>
              <w:jc w:val="right"/>
              <w:rPr>
                <w:rFonts w:cs="Arial"/>
                <w:sz w:val="20"/>
                <w:szCs w:val="20"/>
              </w:rPr>
            </w:pPr>
            <w:r w:rsidRPr="00C83861">
              <w:rPr>
                <w:sz w:val="20"/>
                <w:szCs w:val="20"/>
                <w:lang w:val="en-US"/>
              </w:rPr>
              <w:t>Yes</w:t>
            </w:r>
          </w:p>
        </w:tc>
        <w:tc>
          <w:tcPr>
            <w:tcW w:w="846" w:type="pct"/>
            <w:hideMark/>
          </w:tcPr>
          <w:p w14:paraId="54CC1E65" w14:textId="77777777" w:rsidR="00B51ED1" w:rsidRPr="00C83861" w:rsidRDefault="00587566" w:rsidP="00822A5F">
            <w:pPr>
              <w:pStyle w:val="Tabletext"/>
              <w:keepNext/>
              <w:ind w:left="0" w:right="0"/>
              <w:jc w:val="center"/>
              <w:rPr>
                <w:rFonts w:cs="Arial"/>
                <w:sz w:val="20"/>
                <w:szCs w:val="20"/>
              </w:rPr>
            </w:pPr>
            <w:r>
              <w:rPr>
                <w:sz w:val="20"/>
                <w:szCs w:val="20"/>
                <w:lang w:val="en-US"/>
              </w:rPr>
              <w:t xml:space="preserve">94 out of </w:t>
            </w:r>
            <w:r w:rsidR="00B51ED1" w:rsidRPr="00C83861">
              <w:rPr>
                <w:sz w:val="20"/>
                <w:szCs w:val="20"/>
                <w:lang w:val="en-US"/>
              </w:rPr>
              <w:t>148 (63.5)</w:t>
            </w:r>
          </w:p>
        </w:tc>
        <w:tc>
          <w:tcPr>
            <w:tcW w:w="509" w:type="pct"/>
            <w:hideMark/>
          </w:tcPr>
          <w:p w14:paraId="35B6F989" w14:textId="77777777" w:rsidR="00B51ED1" w:rsidRPr="00C83861" w:rsidRDefault="00B51ED1" w:rsidP="00822A5F">
            <w:pPr>
              <w:pStyle w:val="Tabletext"/>
              <w:keepNext/>
              <w:ind w:left="0" w:right="0"/>
              <w:jc w:val="center"/>
              <w:rPr>
                <w:rFonts w:cs="Arial"/>
                <w:sz w:val="20"/>
                <w:szCs w:val="20"/>
              </w:rPr>
            </w:pPr>
            <w:r w:rsidRPr="00C83861">
              <w:rPr>
                <w:sz w:val="20"/>
                <w:szCs w:val="20"/>
                <w:lang w:val="en-US"/>
              </w:rPr>
              <w:t>7.6</w:t>
            </w:r>
          </w:p>
        </w:tc>
        <w:tc>
          <w:tcPr>
            <w:tcW w:w="846" w:type="pct"/>
            <w:hideMark/>
          </w:tcPr>
          <w:p w14:paraId="478FC560" w14:textId="77777777" w:rsidR="00B51ED1" w:rsidRPr="00C83861" w:rsidRDefault="00587566" w:rsidP="00822A5F">
            <w:pPr>
              <w:pStyle w:val="Tabletext"/>
              <w:keepNext/>
              <w:ind w:left="0" w:right="0"/>
              <w:jc w:val="center"/>
              <w:rPr>
                <w:rFonts w:cs="Arial"/>
                <w:sz w:val="20"/>
                <w:szCs w:val="20"/>
              </w:rPr>
            </w:pPr>
            <w:r>
              <w:rPr>
                <w:sz w:val="20"/>
                <w:szCs w:val="20"/>
                <w:lang w:val="en-US"/>
              </w:rPr>
              <w:t xml:space="preserve">44 out of </w:t>
            </w:r>
            <w:r w:rsidR="00B51ED1" w:rsidRPr="00C83861">
              <w:rPr>
                <w:sz w:val="20"/>
                <w:szCs w:val="20"/>
                <w:lang w:val="en-US"/>
              </w:rPr>
              <w:t>71 (62.0)</w:t>
            </w:r>
          </w:p>
        </w:tc>
        <w:tc>
          <w:tcPr>
            <w:tcW w:w="479" w:type="pct"/>
            <w:hideMark/>
          </w:tcPr>
          <w:p w14:paraId="7193CE16" w14:textId="77777777" w:rsidR="00B51ED1" w:rsidRPr="00C83861" w:rsidRDefault="00B51ED1" w:rsidP="00822A5F">
            <w:pPr>
              <w:pStyle w:val="Tabletext"/>
              <w:keepNext/>
              <w:ind w:left="0" w:right="0"/>
              <w:jc w:val="center"/>
              <w:rPr>
                <w:rFonts w:cs="Arial"/>
                <w:sz w:val="20"/>
                <w:szCs w:val="20"/>
              </w:rPr>
            </w:pPr>
            <w:r w:rsidRPr="00C83861">
              <w:rPr>
                <w:sz w:val="20"/>
                <w:szCs w:val="20"/>
                <w:lang w:val="en-US"/>
              </w:rPr>
              <w:t>5.1</w:t>
            </w:r>
          </w:p>
        </w:tc>
        <w:tc>
          <w:tcPr>
            <w:tcW w:w="1064" w:type="pct"/>
            <w:gridSpan w:val="2"/>
            <w:hideMark/>
          </w:tcPr>
          <w:p w14:paraId="4E561681" w14:textId="77777777" w:rsidR="00B51ED1" w:rsidRPr="00C83861" w:rsidRDefault="00B51ED1" w:rsidP="00822A5F">
            <w:pPr>
              <w:pStyle w:val="Tabletext"/>
              <w:keepNext/>
              <w:ind w:left="0" w:right="0"/>
              <w:jc w:val="center"/>
              <w:rPr>
                <w:rFonts w:cs="Arial"/>
                <w:sz w:val="20"/>
                <w:szCs w:val="20"/>
              </w:rPr>
            </w:pPr>
            <w:r w:rsidRPr="00C83861">
              <w:rPr>
                <w:sz w:val="20"/>
                <w:szCs w:val="20"/>
                <w:lang w:val="en-US"/>
              </w:rPr>
              <w:t>0.46 (0.31, 0.67)</w:t>
            </w:r>
          </w:p>
        </w:tc>
      </w:tr>
      <w:tr w:rsidR="00B51ED1" w:rsidRPr="00C83861" w14:paraId="42EBDA13" w14:textId="77777777" w:rsidTr="00C83861">
        <w:trPr>
          <w:trHeight w:val="20"/>
        </w:trPr>
        <w:tc>
          <w:tcPr>
            <w:tcW w:w="1258" w:type="pct"/>
            <w:hideMark/>
          </w:tcPr>
          <w:p w14:paraId="391CA90F" w14:textId="77777777" w:rsidR="00B51ED1" w:rsidRPr="00C83861" w:rsidRDefault="00B51ED1" w:rsidP="00822A5F">
            <w:pPr>
              <w:pStyle w:val="Tabletext"/>
              <w:keepNext/>
              <w:ind w:left="0" w:right="0"/>
              <w:jc w:val="right"/>
              <w:rPr>
                <w:rFonts w:cs="Arial"/>
                <w:sz w:val="20"/>
                <w:szCs w:val="20"/>
              </w:rPr>
            </w:pPr>
            <w:r w:rsidRPr="00C83861">
              <w:rPr>
                <w:sz w:val="20"/>
                <w:szCs w:val="20"/>
                <w:lang w:val="en-US"/>
              </w:rPr>
              <w:t>No</w:t>
            </w:r>
          </w:p>
        </w:tc>
        <w:tc>
          <w:tcPr>
            <w:tcW w:w="846" w:type="pct"/>
            <w:hideMark/>
          </w:tcPr>
          <w:p w14:paraId="1B8E80D7" w14:textId="77777777" w:rsidR="00B51ED1" w:rsidRPr="00C83861" w:rsidRDefault="00587566" w:rsidP="00822A5F">
            <w:pPr>
              <w:pStyle w:val="Tabletext"/>
              <w:keepNext/>
              <w:ind w:left="0" w:right="0"/>
              <w:jc w:val="center"/>
              <w:rPr>
                <w:rFonts w:cs="Arial"/>
                <w:sz w:val="20"/>
                <w:szCs w:val="20"/>
              </w:rPr>
            </w:pPr>
            <w:r>
              <w:rPr>
                <w:sz w:val="20"/>
                <w:szCs w:val="20"/>
                <w:lang w:val="en-US"/>
              </w:rPr>
              <w:t xml:space="preserve">84 out of </w:t>
            </w:r>
            <w:r w:rsidR="00B51ED1" w:rsidRPr="00C83861">
              <w:rPr>
                <w:sz w:val="20"/>
                <w:szCs w:val="20"/>
                <w:lang w:val="en-US"/>
              </w:rPr>
              <w:t>172 (48.8)</w:t>
            </w:r>
          </w:p>
        </w:tc>
        <w:tc>
          <w:tcPr>
            <w:tcW w:w="509" w:type="pct"/>
            <w:hideMark/>
          </w:tcPr>
          <w:p w14:paraId="44F16A28" w14:textId="77777777" w:rsidR="00B51ED1" w:rsidRPr="00C83861" w:rsidRDefault="00B51ED1" w:rsidP="00822A5F">
            <w:pPr>
              <w:pStyle w:val="Tabletext"/>
              <w:keepNext/>
              <w:ind w:left="0" w:right="0"/>
              <w:jc w:val="center"/>
              <w:rPr>
                <w:rFonts w:cs="Arial"/>
                <w:sz w:val="20"/>
                <w:szCs w:val="20"/>
              </w:rPr>
            </w:pPr>
            <w:r w:rsidRPr="00C83861">
              <w:rPr>
                <w:sz w:val="20"/>
                <w:szCs w:val="20"/>
                <w:lang w:val="en-US"/>
              </w:rPr>
              <w:t>9.5</w:t>
            </w:r>
          </w:p>
        </w:tc>
        <w:tc>
          <w:tcPr>
            <w:tcW w:w="846" w:type="pct"/>
            <w:hideMark/>
          </w:tcPr>
          <w:p w14:paraId="7C826741" w14:textId="77777777" w:rsidR="00B51ED1" w:rsidRPr="00C83861" w:rsidRDefault="00587566" w:rsidP="00822A5F">
            <w:pPr>
              <w:pStyle w:val="Tabletext"/>
              <w:keepNext/>
              <w:ind w:left="0" w:right="0"/>
              <w:jc w:val="center"/>
              <w:rPr>
                <w:rFonts w:cs="Arial"/>
                <w:sz w:val="20"/>
                <w:szCs w:val="20"/>
              </w:rPr>
            </w:pPr>
            <w:r>
              <w:rPr>
                <w:sz w:val="20"/>
                <w:szCs w:val="20"/>
                <w:lang w:val="en-US"/>
              </w:rPr>
              <w:t xml:space="preserve">52 out of </w:t>
            </w:r>
            <w:r w:rsidR="00B51ED1" w:rsidRPr="00C83861">
              <w:rPr>
                <w:sz w:val="20"/>
                <w:szCs w:val="20"/>
                <w:lang w:val="en-US"/>
              </w:rPr>
              <w:t>88 (59.1)</w:t>
            </w:r>
          </w:p>
        </w:tc>
        <w:tc>
          <w:tcPr>
            <w:tcW w:w="479" w:type="pct"/>
            <w:hideMark/>
          </w:tcPr>
          <w:p w14:paraId="31C029F1" w14:textId="77777777" w:rsidR="00B51ED1" w:rsidRPr="00C83861" w:rsidRDefault="00B51ED1" w:rsidP="00822A5F">
            <w:pPr>
              <w:pStyle w:val="Tabletext"/>
              <w:keepNext/>
              <w:ind w:left="0" w:right="0"/>
              <w:jc w:val="center"/>
              <w:rPr>
                <w:rFonts w:cs="Arial"/>
                <w:sz w:val="20"/>
                <w:szCs w:val="20"/>
              </w:rPr>
            </w:pPr>
            <w:r w:rsidRPr="00C83861">
              <w:rPr>
                <w:sz w:val="20"/>
                <w:szCs w:val="20"/>
                <w:lang w:val="en-US"/>
              </w:rPr>
              <w:t>7.4</w:t>
            </w:r>
          </w:p>
        </w:tc>
        <w:tc>
          <w:tcPr>
            <w:tcW w:w="1064" w:type="pct"/>
            <w:gridSpan w:val="2"/>
            <w:hideMark/>
          </w:tcPr>
          <w:p w14:paraId="3415C9CF" w14:textId="77777777" w:rsidR="00B51ED1" w:rsidRPr="00C83861" w:rsidRDefault="00B51ED1" w:rsidP="00822A5F">
            <w:pPr>
              <w:pStyle w:val="Tabletext"/>
              <w:keepNext/>
              <w:ind w:left="0" w:right="0"/>
              <w:jc w:val="center"/>
              <w:rPr>
                <w:rFonts w:cs="Arial"/>
                <w:sz w:val="20"/>
                <w:szCs w:val="20"/>
              </w:rPr>
            </w:pPr>
            <w:r w:rsidRPr="00C83861">
              <w:rPr>
                <w:sz w:val="20"/>
                <w:szCs w:val="20"/>
                <w:lang w:val="en-US"/>
              </w:rPr>
              <w:t>0.62 (0.44, 0.89)</w:t>
            </w:r>
          </w:p>
        </w:tc>
      </w:tr>
      <w:tr w:rsidR="00B51ED1" w:rsidRPr="00C83861" w14:paraId="1346F745" w14:textId="77777777" w:rsidTr="00C83861">
        <w:trPr>
          <w:trHeight w:val="20"/>
        </w:trPr>
        <w:tc>
          <w:tcPr>
            <w:tcW w:w="5000" w:type="pct"/>
            <w:gridSpan w:val="7"/>
            <w:hideMark/>
          </w:tcPr>
          <w:p w14:paraId="6D19D681" w14:textId="698C78CF" w:rsidR="00B51ED1" w:rsidRPr="00C83861" w:rsidRDefault="00587566" w:rsidP="00822A5F">
            <w:pPr>
              <w:pStyle w:val="Tabletext"/>
              <w:keepNext/>
              <w:ind w:left="0" w:right="0"/>
              <w:rPr>
                <w:b/>
                <w:sz w:val="20"/>
                <w:szCs w:val="20"/>
              </w:rPr>
            </w:pPr>
            <w:r>
              <w:rPr>
                <w:b/>
                <w:sz w:val="20"/>
                <w:szCs w:val="20"/>
                <w:lang w:val="en-US"/>
              </w:rPr>
              <w:t>ECOG</w:t>
            </w:r>
            <w:r w:rsidR="00822A5F">
              <w:rPr>
                <w:b/>
                <w:sz w:val="20"/>
                <w:szCs w:val="20"/>
                <w:lang w:val="en-US"/>
              </w:rPr>
              <w:t xml:space="preserve"> </w:t>
            </w:r>
            <w:r w:rsidR="002A46F3">
              <w:rPr>
                <w:b/>
                <w:sz w:val="20"/>
                <w:szCs w:val="20"/>
                <w:lang w:val="en-US"/>
              </w:rPr>
              <w:t>performance status</w:t>
            </w:r>
          </w:p>
        </w:tc>
      </w:tr>
      <w:tr w:rsidR="00B51ED1" w:rsidRPr="00C83861" w14:paraId="576F6254" w14:textId="77777777" w:rsidTr="00C83861">
        <w:trPr>
          <w:trHeight w:val="20"/>
        </w:trPr>
        <w:tc>
          <w:tcPr>
            <w:tcW w:w="1258" w:type="pct"/>
            <w:hideMark/>
          </w:tcPr>
          <w:p w14:paraId="2488D4D4" w14:textId="77777777" w:rsidR="00B51ED1" w:rsidRPr="00C83861" w:rsidRDefault="00B51ED1" w:rsidP="00822A5F">
            <w:pPr>
              <w:pStyle w:val="Tabletext"/>
              <w:keepNext/>
              <w:ind w:left="0" w:right="0"/>
              <w:jc w:val="right"/>
              <w:rPr>
                <w:rFonts w:cs="Arial"/>
                <w:sz w:val="20"/>
                <w:szCs w:val="20"/>
              </w:rPr>
            </w:pPr>
            <w:r w:rsidRPr="00C83861">
              <w:rPr>
                <w:sz w:val="20"/>
                <w:szCs w:val="20"/>
                <w:lang w:val="en-US"/>
              </w:rPr>
              <w:t>0</w:t>
            </w:r>
          </w:p>
        </w:tc>
        <w:tc>
          <w:tcPr>
            <w:tcW w:w="846" w:type="pct"/>
            <w:hideMark/>
          </w:tcPr>
          <w:p w14:paraId="30599CC9" w14:textId="77777777" w:rsidR="00B51ED1" w:rsidRPr="00C83861" w:rsidRDefault="00587566" w:rsidP="00822A5F">
            <w:pPr>
              <w:pStyle w:val="Tabletext"/>
              <w:keepNext/>
              <w:ind w:left="0" w:right="0"/>
              <w:jc w:val="center"/>
              <w:rPr>
                <w:rFonts w:cs="Arial"/>
                <w:sz w:val="20"/>
                <w:szCs w:val="20"/>
              </w:rPr>
            </w:pPr>
            <w:r>
              <w:rPr>
                <w:sz w:val="20"/>
                <w:szCs w:val="20"/>
                <w:lang w:val="en-US"/>
              </w:rPr>
              <w:t xml:space="preserve">86 out of </w:t>
            </w:r>
            <w:r w:rsidR="00B51ED1" w:rsidRPr="00C83861">
              <w:rPr>
                <w:sz w:val="20"/>
                <w:szCs w:val="20"/>
                <w:lang w:val="en-US"/>
              </w:rPr>
              <w:t>159 (54.1)</w:t>
            </w:r>
          </w:p>
        </w:tc>
        <w:tc>
          <w:tcPr>
            <w:tcW w:w="509" w:type="pct"/>
            <w:hideMark/>
          </w:tcPr>
          <w:p w14:paraId="78E0A7B4" w14:textId="77777777" w:rsidR="00B51ED1" w:rsidRPr="00C83861" w:rsidRDefault="00B51ED1" w:rsidP="00822A5F">
            <w:pPr>
              <w:pStyle w:val="Tabletext"/>
              <w:keepNext/>
              <w:ind w:left="0" w:right="0"/>
              <w:jc w:val="center"/>
              <w:rPr>
                <w:rFonts w:cs="Arial"/>
                <w:sz w:val="20"/>
                <w:szCs w:val="20"/>
              </w:rPr>
            </w:pPr>
            <w:r w:rsidRPr="00C83861">
              <w:rPr>
                <w:sz w:val="20"/>
                <w:szCs w:val="20"/>
                <w:lang w:val="en-US"/>
              </w:rPr>
              <w:t>9.1</w:t>
            </w:r>
          </w:p>
        </w:tc>
        <w:tc>
          <w:tcPr>
            <w:tcW w:w="846" w:type="pct"/>
            <w:hideMark/>
          </w:tcPr>
          <w:p w14:paraId="5D8E98AE" w14:textId="77777777" w:rsidR="00B51ED1" w:rsidRPr="00C83861" w:rsidRDefault="00587566" w:rsidP="00822A5F">
            <w:pPr>
              <w:pStyle w:val="Tabletext"/>
              <w:keepNext/>
              <w:ind w:left="0" w:right="0"/>
              <w:jc w:val="center"/>
              <w:rPr>
                <w:rFonts w:cs="Arial"/>
                <w:sz w:val="20"/>
                <w:szCs w:val="20"/>
              </w:rPr>
            </w:pPr>
            <w:r>
              <w:rPr>
                <w:sz w:val="20"/>
                <w:szCs w:val="20"/>
                <w:lang w:val="en-US"/>
              </w:rPr>
              <w:t xml:space="preserve">48 out of </w:t>
            </w:r>
            <w:r w:rsidR="00B51ED1" w:rsidRPr="00C83861">
              <w:rPr>
                <w:sz w:val="20"/>
                <w:szCs w:val="20"/>
                <w:lang w:val="en-US"/>
              </w:rPr>
              <w:t>76 (63.2)</w:t>
            </w:r>
          </w:p>
        </w:tc>
        <w:tc>
          <w:tcPr>
            <w:tcW w:w="479" w:type="pct"/>
            <w:hideMark/>
          </w:tcPr>
          <w:p w14:paraId="42842174" w14:textId="77777777" w:rsidR="00B51ED1" w:rsidRPr="00C83861" w:rsidRDefault="00B51ED1" w:rsidP="00822A5F">
            <w:pPr>
              <w:pStyle w:val="Tabletext"/>
              <w:keepNext/>
              <w:ind w:left="0" w:right="0"/>
              <w:jc w:val="center"/>
              <w:rPr>
                <w:rFonts w:cs="Arial"/>
                <w:sz w:val="20"/>
                <w:szCs w:val="20"/>
              </w:rPr>
            </w:pPr>
            <w:r w:rsidRPr="00C83861">
              <w:rPr>
                <w:sz w:val="20"/>
                <w:szCs w:val="20"/>
                <w:lang w:val="en-US"/>
              </w:rPr>
              <w:t>6.9</w:t>
            </w:r>
          </w:p>
        </w:tc>
        <w:tc>
          <w:tcPr>
            <w:tcW w:w="1064" w:type="pct"/>
            <w:gridSpan w:val="2"/>
            <w:hideMark/>
          </w:tcPr>
          <w:p w14:paraId="62043B9A" w14:textId="77777777" w:rsidR="00B51ED1" w:rsidRPr="00C83861" w:rsidRDefault="00B51ED1" w:rsidP="00822A5F">
            <w:pPr>
              <w:pStyle w:val="Tabletext"/>
              <w:keepNext/>
              <w:ind w:left="0" w:right="0"/>
              <w:jc w:val="center"/>
              <w:rPr>
                <w:rFonts w:cs="Arial"/>
                <w:sz w:val="20"/>
                <w:szCs w:val="20"/>
              </w:rPr>
            </w:pPr>
            <w:r w:rsidRPr="00C83861">
              <w:rPr>
                <w:sz w:val="20"/>
                <w:szCs w:val="20"/>
                <w:lang w:val="en-US"/>
              </w:rPr>
              <w:t>0.56 (0.39, 0.80)</w:t>
            </w:r>
          </w:p>
        </w:tc>
      </w:tr>
      <w:tr w:rsidR="00B51ED1" w:rsidRPr="00C83861" w14:paraId="2BBCCD35" w14:textId="77777777" w:rsidTr="00C83861">
        <w:trPr>
          <w:trHeight w:val="20"/>
        </w:trPr>
        <w:tc>
          <w:tcPr>
            <w:tcW w:w="1258" w:type="pct"/>
            <w:hideMark/>
          </w:tcPr>
          <w:p w14:paraId="671C131F" w14:textId="77777777" w:rsidR="00B51ED1" w:rsidRPr="00C83861" w:rsidRDefault="00B51ED1" w:rsidP="00822A5F">
            <w:pPr>
              <w:pStyle w:val="Tabletext"/>
              <w:keepNext/>
              <w:ind w:left="0" w:right="0"/>
              <w:jc w:val="right"/>
              <w:rPr>
                <w:rFonts w:cs="Arial"/>
                <w:sz w:val="20"/>
                <w:szCs w:val="20"/>
              </w:rPr>
            </w:pPr>
            <w:r w:rsidRPr="00C83861">
              <w:rPr>
                <w:sz w:val="20"/>
                <w:szCs w:val="20"/>
                <w:lang w:val="en-US"/>
              </w:rPr>
              <w:t>1</w:t>
            </w:r>
          </w:p>
        </w:tc>
        <w:tc>
          <w:tcPr>
            <w:tcW w:w="846" w:type="pct"/>
            <w:hideMark/>
          </w:tcPr>
          <w:p w14:paraId="3B16679A" w14:textId="77777777" w:rsidR="00B51ED1" w:rsidRPr="00C83861" w:rsidRDefault="00587566" w:rsidP="00822A5F">
            <w:pPr>
              <w:pStyle w:val="Tabletext"/>
              <w:keepNext/>
              <w:ind w:left="0" w:right="0"/>
              <w:jc w:val="center"/>
              <w:rPr>
                <w:rFonts w:cs="Arial"/>
                <w:sz w:val="20"/>
                <w:szCs w:val="20"/>
              </w:rPr>
            </w:pPr>
            <w:r>
              <w:rPr>
                <w:sz w:val="20"/>
                <w:szCs w:val="20"/>
                <w:lang w:val="en-US"/>
              </w:rPr>
              <w:t xml:space="preserve">92 out of </w:t>
            </w:r>
            <w:r w:rsidR="00B51ED1" w:rsidRPr="00C83861">
              <w:rPr>
                <w:sz w:val="20"/>
                <w:szCs w:val="20"/>
                <w:lang w:val="en-US"/>
              </w:rPr>
              <w:t>161 (57.1)</w:t>
            </w:r>
          </w:p>
        </w:tc>
        <w:tc>
          <w:tcPr>
            <w:tcW w:w="509" w:type="pct"/>
            <w:hideMark/>
          </w:tcPr>
          <w:p w14:paraId="65914287" w14:textId="77777777" w:rsidR="00B51ED1" w:rsidRPr="00C83861" w:rsidRDefault="00B51ED1" w:rsidP="00822A5F">
            <w:pPr>
              <w:pStyle w:val="Tabletext"/>
              <w:keepNext/>
              <w:ind w:left="0" w:right="0"/>
              <w:jc w:val="center"/>
              <w:rPr>
                <w:rFonts w:cs="Arial"/>
                <w:sz w:val="20"/>
                <w:szCs w:val="20"/>
              </w:rPr>
            </w:pPr>
            <w:r w:rsidRPr="00C83861">
              <w:rPr>
                <w:sz w:val="20"/>
                <w:szCs w:val="20"/>
                <w:lang w:val="en-US"/>
              </w:rPr>
              <w:t>7.6</w:t>
            </w:r>
          </w:p>
        </w:tc>
        <w:tc>
          <w:tcPr>
            <w:tcW w:w="846" w:type="pct"/>
            <w:hideMark/>
          </w:tcPr>
          <w:p w14:paraId="10B22F1B" w14:textId="77777777" w:rsidR="00B51ED1" w:rsidRPr="00C83861" w:rsidRDefault="00587566" w:rsidP="00822A5F">
            <w:pPr>
              <w:pStyle w:val="Tabletext"/>
              <w:keepNext/>
              <w:ind w:left="0" w:right="0"/>
              <w:jc w:val="center"/>
              <w:rPr>
                <w:rFonts w:cs="Arial"/>
                <w:sz w:val="20"/>
                <w:szCs w:val="20"/>
              </w:rPr>
            </w:pPr>
            <w:r>
              <w:rPr>
                <w:sz w:val="20"/>
                <w:szCs w:val="20"/>
                <w:lang w:val="en-US"/>
              </w:rPr>
              <w:t xml:space="preserve">49 out of </w:t>
            </w:r>
            <w:r w:rsidR="00B51ED1" w:rsidRPr="00C83861">
              <w:rPr>
                <w:sz w:val="20"/>
                <w:szCs w:val="20"/>
                <w:lang w:val="en-US"/>
              </w:rPr>
              <w:t>84 (58.3)</w:t>
            </w:r>
          </w:p>
        </w:tc>
        <w:tc>
          <w:tcPr>
            <w:tcW w:w="479" w:type="pct"/>
            <w:hideMark/>
          </w:tcPr>
          <w:p w14:paraId="1EC5CE2A" w14:textId="77777777" w:rsidR="00B51ED1" w:rsidRPr="00C83861" w:rsidRDefault="00B51ED1" w:rsidP="00822A5F">
            <w:pPr>
              <w:pStyle w:val="Tabletext"/>
              <w:keepNext/>
              <w:ind w:left="0" w:right="0"/>
              <w:jc w:val="center"/>
              <w:rPr>
                <w:rFonts w:cs="Arial"/>
                <w:sz w:val="20"/>
                <w:szCs w:val="20"/>
              </w:rPr>
            </w:pPr>
            <w:r w:rsidRPr="00C83861">
              <w:rPr>
                <w:sz w:val="20"/>
                <w:szCs w:val="20"/>
                <w:lang w:val="en-US"/>
              </w:rPr>
              <w:t>5.4</w:t>
            </w:r>
          </w:p>
        </w:tc>
        <w:tc>
          <w:tcPr>
            <w:tcW w:w="1064" w:type="pct"/>
            <w:gridSpan w:val="2"/>
            <w:hideMark/>
          </w:tcPr>
          <w:p w14:paraId="2582F34E" w14:textId="77777777" w:rsidR="00B51ED1" w:rsidRPr="00C83861" w:rsidRDefault="00B51ED1" w:rsidP="00822A5F">
            <w:pPr>
              <w:pStyle w:val="Tabletext"/>
              <w:keepNext/>
              <w:ind w:left="0" w:right="0"/>
              <w:jc w:val="center"/>
              <w:rPr>
                <w:rFonts w:cs="Arial"/>
                <w:sz w:val="20"/>
                <w:szCs w:val="20"/>
              </w:rPr>
            </w:pPr>
            <w:r w:rsidRPr="00C83861">
              <w:rPr>
                <w:sz w:val="20"/>
                <w:szCs w:val="20"/>
                <w:lang w:val="en-US"/>
              </w:rPr>
              <w:t>0.55 (0.38, 0.79)</w:t>
            </w:r>
          </w:p>
        </w:tc>
      </w:tr>
    </w:tbl>
    <w:p w14:paraId="051923E1" w14:textId="77777777" w:rsidR="00587566" w:rsidRDefault="00587566" w:rsidP="00587566">
      <w:pPr>
        <w:pStyle w:val="Heading7"/>
      </w:pPr>
      <w:r>
        <w:t>Key secondary endpoint</w:t>
      </w:r>
      <w:r w:rsidR="00822A5F">
        <w:t>s</w:t>
      </w:r>
    </w:p>
    <w:p w14:paraId="30821601" w14:textId="36FE5305" w:rsidR="00587566" w:rsidRPr="00587566" w:rsidRDefault="00587566" w:rsidP="00587566">
      <w:r w:rsidRPr="00822A5F">
        <w:rPr>
          <w:b/>
        </w:rPr>
        <w:t>Key secondary endpoint</w:t>
      </w:r>
      <w:r>
        <w:t>: O</w:t>
      </w:r>
      <w:r w:rsidR="002A46F3">
        <w:t>verall survival (OS)</w:t>
      </w:r>
      <w:r>
        <w:t xml:space="preserve"> in all randomised patients (</w:t>
      </w:r>
      <w:r w:rsidR="002A46F3">
        <w:t>intent to treat, overall survival population;</w:t>
      </w:r>
      <w:r>
        <w:t xml:space="preserve"> n = 612).</w:t>
      </w:r>
    </w:p>
    <w:p w14:paraId="0992DEBC" w14:textId="77777777" w:rsidR="00B51ED1" w:rsidRPr="002E76CD" w:rsidRDefault="00B51ED1" w:rsidP="00B51ED1">
      <w:r>
        <w:t>O</w:t>
      </w:r>
      <w:r w:rsidRPr="00850080">
        <w:t>f the planned number of events for final analysis (n</w:t>
      </w:r>
      <w:r w:rsidR="00587566">
        <w:t xml:space="preserve"> </w:t>
      </w:r>
      <w:r w:rsidRPr="00850080">
        <w:t>=</w:t>
      </w:r>
      <w:r w:rsidR="00587566">
        <w:t xml:space="preserve"> </w:t>
      </w:r>
      <w:r>
        <w:t>361</w:t>
      </w:r>
      <w:r w:rsidRPr="00850080">
        <w:t>)</w:t>
      </w:r>
      <w:r>
        <w:t>, 60%</w:t>
      </w:r>
      <w:r w:rsidRPr="00850080">
        <w:t xml:space="preserve"> had occurred by this interim analysis</w:t>
      </w:r>
      <w:r>
        <w:t>:</w:t>
      </w:r>
      <w:r w:rsidRPr="00850080">
        <w:t xml:space="preserve"> alpha boundary 0.00</w:t>
      </w:r>
      <w:r>
        <w:t>74</w:t>
      </w:r>
      <w:r w:rsidR="00587566">
        <w:t xml:space="preserve"> (2 </w:t>
      </w:r>
      <w:r w:rsidRPr="00850080">
        <w:t>sided)</w:t>
      </w:r>
      <w:r>
        <w:t>.</w:t>
      </w:r>
    </w:p>
    <w:p w14:paraId="627798E1" w14:textId="3007BC1D" w:rsidR="00B51ED1" w:rsidRDefault="00B51ED1" w:rsidP="00C83861">
      <w:pPr>
        <w:pStyle w:val="TableTitle"/>
      </w:pPr>
      <w:r>
        <w:t xml:space="preserve">Table </w:t>
      </w:r>
      <w:fldSimple w:instr=" SEQ Table \* ARABIC ">
        <w:r w:rsidR="00F979FB">
          <w:rPr>
            <w:noProof/>
          </w:rPr>
          <w:t>13</w:t>
        </w:r>
      </w:fldSimple>
      <w:r w:rsidR="00C83861">
        <w:t>:</w:t>
      </w:r>
      <w:r w:rsidR="00587566">
        <w:t xml:space="preserve"> Overall survival</w:t>
      </w:r>
      <w:r>
        <w:t xml:space="preserve"> in </w:t>
      </w:r>
      <w:r w:rsidR="00587566">
        <w:t xml:space="preserve">the </w:t>
      </w:r>
      <w:r>
        <w:t xml:space="preserve">HER2CLIMB </w:t>
      </w:r>
      <w:r w:rsidR="00587566">
        <w:t>trial (intent to treat</w:t>
      </w:r>
      <w:r w:rsidR="002A46F3">
        <w:t>,</w:t>
      </w:r>
      <w:r w:rsidR="00587566">
        <w:t xml:space="preserve"> overall survival population</w:t>
      </w:r>
      <w:r>
        <w:t>)</w:t>
      </w:r>
    </w:p>
    <w:tbl>
      <w:tblPr>
        <w:tblStyle w:val="TableTGAblue"/>
        <w:tblW w:w="0" w:type="auto"/>
        <w:tblCellMar>
          <w:left w:w="57" w:type="dxa"/>
          <w:right w:w="57" w:type="dxa"/>
        </w:tblCellMar>
        <w:tblLook w:val="04A0" w:firstRow="1" w:lastRow="0" w:firstColumn="1" w:lastColumn="0" w:noHBand="0" w:noVBand="1"/>
      </w:tblPr>
      <w:tblGrid>
        <w:gridCol w:w="1691"/>
        <w:gridCol w:w="3402"/>
        <w:gridCol w:w="3391"/>
      </w:tblGrid>
      <w:tr w:rsidR="00B51ED1" w:rsidRPr="00C83861" w14:paraId="47BF1FB6" w14:textId="77777777" w:rsidTr="00FB1752">
        <w:trPr>
          <w:cnfStyle w:val="100000000000" w:firstRow="1" w:lastRow="0" w:firstColumn="0" w:lastColumn="0" w:oddVBand="0" w:evenVBand="0" w:oddHBand="0" w:evenHBand="0" w:firstRowFirstColumn="0" w:firstRowLastColumn="0" w:lastRowFirstColumn="0" w:lastRowLastColumn="0"/>
        </w:trPr>
        <w:tc>
          <w:tcPr>
            <w:tcW w:w="1691" w:type="dxa"/>
          </w:tcPr>
          <w:p w14:paraId="2130CDA0" w14:textId="77777777" w:rsidR="00B51ED1" w:rsidRPr="00C83861" w:rsidRDefault="00B51ED1" w:rsidP="00B51ED1">
            <w:pPr>
              <w:pStyle w:val="Tabletext"/>
              <w:ind w:left="0" w:right="0"/>
              <w:contextualSpacing/>
              <w:jc w:val="center"/>
              <w:rPr>
                <w:sz w:val="20"/>
                <w:szCs w:val="20"/>
              </w:rPr>
            </w:pPr>
          </w:p>
        </w:tc>
        <w:tc>
          <w:tcPr>
            <w:tcW w:w="3402" w:type="dxa"/>
          </w:tcPr>
          <w:p w14:paraId="763B6C2B" w14:textId="6D7D4228" w:rsidR="00B51ED1" w:rsidRPr="00C83861" w:rsidRDefault="00B51ED1" w:rsidP="00FB1752">
            <w:pPr>
              <w:pStyle w:val="Tabletext"/>
              <w:ind w:left="0" w:right="0"/>
              <w:contextualSpacing/>
              <w:jc w:val="center"/>
              <w:rPr>
                <w:sz w:val="20"/>
                <w:szCs w:val="20"/>
              </w:rPr>
            </w:pPr>
            <w:r w:rsidRPr="00C83861">
              <w:rPr>
                <w:bCs/>
                <w:sz w:val="20"/>
                <w:szCs w:val="20"/>
                <w:lang w:val="en-US"/>
              </w:rPr>
              <w:t xml:space="preserve">Tucatinib + Cap + </w:t>
            </w:r>
            <w:proofErr w:type="spellStart"/>
            <w:r w:rsidRPr="00C83861">
              <w:rPr>
                <w:bCs/>
                <w:sz w:val="20"/>
                <w:szCs w:val="20"/>
                <w:lang w:val="en-US"/>
              </w:rPr>
              <w:t>Tras</w:t>
            </w:r>
            <w:proofErr w:type="spellEnd"/>
            <w:r w:rsidR="00FB1752">
              <w:rPr>
                <w:bCs/>
                <w:sz w:val="20"/>
                <w:szCs w:val="20"/>
                <w:lang w:val="en-US"/>
              </w:rPr>
              <w:t xml:space="preserve"> </w:t>
            </w:r>
            <w:r w:rsidRPr="00C83861">
              <w:rPr>
                <w:bCs/>
                <w:sz w:val="20"/>
                <w:szCs w:val="20"/>
                <w:lang w:val="en-US"/>
              </w:rPr>
              <w:t>N = 410</w:t>
            </w:r>
          </w:p>
        </w:tc>
        <w:tc>
          <w:tcPr>
            <w:tcW w:w="3391" w:type="dxa"/>
          </w:tcPr>
          <w:p w14:paraId="1CB0DA9B" w14:textId="4A8D4659" w:rsidR="00B51ED1" w:rsidRPr="00C83861" w:rsidRDefault="00B51ED1" w:rsidP="00FB1752">
            <w:pPr>
              <w:pStyle w:val="Tabletext"/>
              <w:ind w:left="0" w:right="0"/>
              <w:contextualSpacing/>
              <w:jc w:val="center"/>
              <w:rPr>
                <w:sz w:val="20"/>
                <w:szCs w:val="20"/>
              </w:rPr>
            </w:pPr>
            <w:r w:rsidRPr="00C83861">
              <w:rPr>
                <w:bCs/>
                <w:sz w:val="20"/>
                <w:szCs w:val="20"/>
                <w:lang w:val="en-US"/>
              </w:rPr>
              <w:t xml:space="preserve">Placebo + Cap + </w:t>
            </w:r>
            <w:proofErr w:type="spellStart"/>
            <w:r w:rsidRPr="00C83861">
              <w:rPr>
                <w:bCs/>
                <w:sz w:val="20"/>
                <w:szCs w:val="20"/>
                <w:lang w:val="en-US"/>
              </w:rPr>
              <w:t>Tras</w:t>
            </w:r>
            <w:proofErr w:type="spellEnd"/>
            <w:r w:rsidR="00FB1752">
              <w:rPr>
                <w:bCs/>
                <w:sz w:val="20"/>
                <w:szCs w:val="20"/>
                <w:lang w:val="en-US"/>
              </w:rPr>
              <w:t xml:space="preserve"> </w:t>
            </w:r>
            <w:r w:rsidRPr="00C83861">
              <w:rPr>
                <w:bCs/>
                <w:sz w:val="20"/>
                <w:szCs w:val="20"/>
                <w:lang w:val="en-US"/>
              </w:rPr>
              <w:t>N = 202</w:t>
            </w:r>
          </w:p>
        </w:tc>
      </w:tr>
      <w:tr w:rsidR="00B51ED1" w:rsidRPr="00C83861" w14:paraId="48264980" w14:textId="77777777" w:rsidTr="00FB1752">
        <w:tc>
          <w:tcPr>
            <w:tcW w:w="1691" w:type="dxa"/>
          </w:tcPr>
          <w:p w14:paraId="0A3053D3" w14:textId="77777777" w:rsidR="00B51ED1" w:rsidRPr="00C83861" w:rsidRDefault="00B51ED1" w:rsidP="00B51ED1">
            <w:pPr>
              <w:pStyle w:val="Tabletext"/>
              <w:ind w:left="0" w:right="0"/>
              <w:contextualSpacing/>
              <w:rPr>
                <w:sz w:val="20"/>
                <w:szCs w:val="20"/>
              </w:rPr>
            </w:pPr>
            <w:r w:rsidRPr="00C83861">
              <w:rPr>
                <w:sz w:val="20"/>
                <w:szCs w:val="20"/>
                <w:lang w:val="en-US"/>
              </w:rPr>
              <w:t>Events, n (%)</w:t>
            </w:r>
          </w:p>
        </w:tc>
        <w:tc>
          <w:tcPr>
            <w:tcW w:w="3402" w:type="dxa"/>
          </w:tcPr>
          <w:p w14:paraId="7B0C7CCC" w14:textId="77777777" w:rsidR="00B51ED1" w:rsidRPr="00C83861" w:rsidRDefault="00B51ED1" w:rsidP="00B51ED1">
            <w:pPr>
              <w:pStyle w:val="Tabletext"/>
              <w:ind w:left="0" w:right="0"/>
              <w:contextualSpacing/>
              <w:jc w:val="center"/>
              <w:rPr>
                <w:sz w:val="20"/>
                <w:szCs w:val="20"/>
              </w:rPr>
            </w:pPr>
            <w:r w:rsidRPr="00C83861">
              <w:rPr>
                <w:sz w:val="20"/>
                <w:szCs w:val="20"/>
                <w:lang w:val="en-US"/>
              </w:rPr>
              <w:t>130 (31.7)</w:t>
            </w:r>
          </w:p>
        </w:tc>
        <w:tc>
          <w:tcPr>
            <w:tcW w:w="3391" w:type="dxa"/>
          </w:tcPr>
          <w:p w14:paraId="291C9253" w14:textId="77777777" w:rsidR="00B51ED1" w:rsidRPr="00C83861" w:rsidRDefault="00B51ED1" w:rsidP="00B51ED1">
            <w:pPr>
              <w:pStyle w:val="Tabletext"/>
              <w:ind w:left="0" w:right="0"/>
              <w:contextualSpacing/>
              <w:jc w:val="center"/>
              <w:rPr>
                <w:sz w:val="20"/>
                <w:szCs w:val="20"/>
              </w:rPr>
            </w:pPr>
            <w:r w:rsidRPr="00C83861">
              <w:rPr>
                <w:sz w:val="20"/>
                <w:szCs w:val="20"/>
                <w:lang w:val="en-US"/>
              </w:rPr>
              <w:t>85 (42.1)</w:t>
            </w:r>
          </w:p>
        </w:tc>
      </w:tr>
      <w:tr w:rsidR="00B51ED1" w:rsidRPr="00C83861" w14:paraId="22372B47" w14:textId="77777777" w:rsidTr="00FB1752">
        <w:tc>
          <w:tcPr>
            <w:tcW w:w="1691" w:type="dxa"/>
          </w:tcPr>
          <w:p w14:paraId="7FDE9B0C" w14:textId="77777777" w:rsidR="00B51ED1" w:rsidRPr="00C83861" w:rsidRDefault="00B51ED1" w:rsidP="00B51ED1">
            <w:pPr>
              <w:pStyle w:val="Tabletext"/>
              <w:ind w:left="0" w:right="0"/>
              <w:contextualSpacing/>
              <w:rPr>
                <w:sz w:val="20"/>
                <w:szCs w:val="20"/>
              </w:rPr>
            </w:pPr>
            <w:r w:rsidRPr="00C83861">
              <w:rPr>
                <w:sz w:val="20"/>
                <w:szCs w:val="20"/>
                <w:lang w:val="en-US"/>
              </w:rPr>
              <w:t>Median OS</w:t>
            </w:r>
          </w:p>
        </w:tc>
        <w:tc>
          <w:tcPr>
            <w:tcW w:w="3402" w:type="dxa"/>
          </w:tcPr>
          <w:p w14:paraId="19EF1C9D" w14:textId="77777777" w:rsidR="00B51ED1" w:rsidRPr="00C83861" w:rsidRDefault="00B51ED1" w:rsidP="00B51ED1">
            <w:pPr>
              <w:pStyle w:val="Tabletext"/>
              <w:ind w:left="0" w:right="0"/>
              <w:contextualSpacing/>
              <w:jc w:val="center"/>
              <w:rPr>
                <w:sz w:val="20"/>
                <w:szCs w:val="20"/>
              </w:rPr>
            </w:pPr>
            <w:r w:rsidRPr="00C83861">
              <w:rPr>
                <w:sz w:val="20"/>
                <w:szCs w:val="20"/>
                <w:lang w:val="en-US"/>
              </w:rPr>
              <w:t>21.9 (18.3, 31.0)</w:t>
            </w:r>
          </w:p>
        </w:tc>
        <w:tc>
          <w:tcPr>
            <w:tcW w:w="3391" w:type="dxa"/>
          </w:tcPr>
          <w:p w14:paraId="05297341" w14:textId="77777777" w:rsidR="00B51ED1" w:rsidRPr="00C83861" w:rsidRDefault="00B51ED1" w:rsidP="00B51ED1">
            <w:pPr>
              <w:pStyle w:val="Tabletext"/>
              <w:ind w:left="0" w:right="0"/>
              <w:contextualSpacing/>
              <w:jc w:val="center"/>
              <w:rPr>
                <w:sz w:val="20"/>
                <w:szCs w:val="20"/>
              </w:rPr>
            </w:pPr>
            <w:r w:rsidRPr="00C83861">
              <w:rPr>
                <w:sz w:val="20"/>
                <w:szCs w:val="20"/>
                <w:lang w:val="en-US"/>
              </w:rPr>
              <w:t>17.4 (13.6, 19.9)</w:t>
            </w:r>
          </w:p>
        </w:tc>
      </w:tr>
      <w:tr w:rsidR="00B51ED1" w:rsidRPr="00C83861" w14:paraId="400EB960" w14:textId="77777777" w:rsidTr="00FB1752">
        <w:tc>
          <w:tcPr>
            <w:tcW w:w="1691" w:type="dxa"/>
          </w:tcPr>
          <w:p w14:paraId="39841225" w14:textId="77777777" w:rsidR="00B51ED1" w:rsidRPr="00C83861" w:rsidRDefault="00B51ED1" w:rsidP="00B51ED1">
            <w:pPr>
              <w:pStyle w:val="Tabletext"/>
              <w:ind w:left="0" w:right="0"/>
              <w:contextualSpacing/>
              <w:rPr>
                <w:sz w:val="20"/>
                <w:szCs w:val="20"/>
              </w:rPr>
            </w:pPr>
            <w:r w:rsidRPr="00C83861">
              <w:rPr>
                <w:sz w:val="20"/>
                <w:szCs w:val="20"/>
                <w:lang w:val="en-US"/>
              </w:rPr>
              <w:t>Stratified HR</w:t>
            </w:r>
          </w:p>
        </w:tc>
        <w:tc>
          <w:tcPr>
            <w:tcW w:w="6793" w:type="dxa"/>
            <w:gridSpan w:val="2"/>
          </w:tcPr>
          <w:p w14:paraId="1AB8D6A2" w14:textId="77777777" w:rsidR="00B51ED1" w:rsidRPr="00C83861" w:rsidRDefault="00B51ED1" w:rsidP="00B51ED1">
            <w:pPr>
              <w:pStyle w:val="Tabletext"/>
              <w:ind w:left="0" w:right="0"/>
              <w:contextualSpacing/>
              <w:jc w:val="center"/>
              <w:rPr>
                <w:sz w:val="20"/>
                <w:szCs w:val="20"/>
              </w:rPr>
            </w:pPr>
            <w:r w:rsidRPr="00C83861">
              <w:rPr>
                <w:sz w:val="20"/>
                <w:szCs w:val="20"/>
                <w:lang w:val="en-US"/>
              </w:rPr>
              <w:t>0.66 (0.50, 0.87)</w:t>
            </w:r>
          </w:p>
        </w:tc>
      </w:tr>
      <w:tr w:rsidR="00B51ED1" w:rsidRPr="00C83861" w14:paraId="21E0D815" w14:textId="77777777" w:rsidTr="00FB1752">
        <w:tc>
          <w:tcPr>
            <w:tcW w:w="1691" w:type="dxa"/>
          </w:tcPr>
          <w:p w14:paraId="0FEA7E61" w14:textId="77777777" w:rsidR="00B51ED1" w:rsidRPr="00C83861" w:rsidRDefault="00B51ED1" w:rsidP="00B51ED1">
            <w:pPr>
              <w:pStyle w:val="Tabletext"/>
              <w:ind w:left="0" w:right="0"/>
              <w:contextualSpacing/>
              <w:rPr>
                <w:sz w:val="20"/>
                <w:szCs w:val="20"/>
              </w:rPr>
            </w:pPr>
            <w:r w:rsidRPr="00C83861">
              <w:rPr>
                <w:sz w:val="20"/>
                <w:szCs w:val="20"/>
                <w:lang w:val="en-US"/>
              </w:rPr>
              <w:t>p-value*</w:t>
            </w:r>
          </w:p>
        </w:tc>
        <w:tc>
          <w:tcPr>
            <w:tcW w:w="6793" w:type="dxa"/>
            <w:gridSpan w:val="2"/>
          </w:tcPr>
          <w:p w14:paraId="31FF154C" w14:textId="77777777" w:rsidR="00B51ED1" w:rsidRPr="00C83861" w:rsidRDefault="00B51ED1" w:rsidP="00B51ED1">
            <w:pPr>
              <w:pStyle w:val="Tabletext"/>
              <w:ind w:left="0" w:right="0"/>
              <w:contextualSpacing/>
              <w:jc w:val="center"/>
              <w:rPr>
                <w:sz w:val="20"/>
                <w:szCs w:val="20"/>
              </w:rPr>
            </w:pPr>
            <w:r w:rsidRPr="00C83861">
              <w:rPr>
                <w:sz w:val="20"/>
                <w:szCs w:val="20"/>
                <w:lang w:val="en-US"/>
              </w:rPr>
              <w:t>0.0048</w:t>
            </w:r>
          </w:p>
        </w:tc>
      </w:tr>
    </w:tbl>
    <w:p w14:paraId="49CE5E71" w14:textId="77777777" w:rsidR="00B51ED1" w:rsidRDefault="00B51ED1" w:rsidP="00B51ED1">
      <w:pPr>
        <w:pStyle w:val="TableDescription"/>
      </w:pPr>
      <w:r w:rsidRPr="00C83861">
        <w:t>*Based on stratified log-rank test and re-randomisation procedure</w:t>
      </w:r>
    </w:p>
    <w:p w14:paraId="0D09F377" w14:textId="77777777" w:rsidR="00B51ED1" w:rsidRPr="006C2247" w:rsidRDefault="00822A5F" w:rsidP="00822A5F">
      <w:r w:rsidRPr="00822A5F">
        <w:rPr>
          <w:b/>
        </w:rPr>
        <w:t>Key secondary endpoint</w:t>
      </w:r>
      <w:r>
        <w:t xml:space="preserve">: </w:t>
      </w:r>
      <w:r w:rsidR="00B51ED1" w:rsidRPr="006C2247">
        <w:t>PFS per BICR in pati</w:t>
      </w:r>
      <w:r>
        <w:t>ents with brain metastases (ITT</w:t>
      </w:r>
      <w:r>
        <w:noBreakHyphen/>
      </w:r>
      <w:proofErr w:type="spellStart"/>
      <w:r w:rsidR="00B51ED1" w:rsidRPr="006C2247">
        <w:t>PFS</w:t>
      </w:r>
      <w:r w:rsidR="00B51ED1" w:rsidRPr="00170BA3">
        <w:rPr>
          <w:vertAlign w:val="subscript"/>
        </w:rPr>
        <w:t>BrainMets</w:t>
      </w:r>
      <w:proofErr w:type="spellEnd"/>
      <w:r>
        <w:t>, n = 291).</w:t>
      </w:r>
    </w:p>
    <w:p w14:paraId="51CDCA9C" w14:textId="54DEE93B" w:rsidR="00B51ED1" w:rsidRPr="00E30178" w:rsidRDefault="00B51ED1" w:rsidP="00B51ED1">
      <w:r w:rsidRPr="00F9582C">
        <w:t>Of the planned number of events for final analysis (n</w:t>
      </w:r>
      <w:r w:rsidR="006526DD">
        <w:t xml:space="preserve"> </w:t>
      </w:r>
      <w:r w:rsidRPr="00F9582C">
        <w:t>=</w:t>
      </w:r>
      <w:r w:rsidR="006526DD">
        <w:t xml:space="preserve"> </w:t>
      </w:r>
      <w:r w:rsidRPr="00F9582C">
        <w:t>220), 71% had occurred by this interim analysis: alpha boundary 0.0080 (2-sided).</w:t>
      </w:r>
    </w:p>
    <w:p w14:paraId="5EE2AD38" w14:textId="59B7B6B8" w:rsidR="00B51ED1" w:rsidRPr="00E30178" w:rsidRDefault="00B51ED1" w:rsidP="00C83861">
      <w:pPr>
        <w:pStyle w:val="TableTitle"/>
      </w:pPr>
      <w:r w:rsidRPr="00E30178">
        <w:t xml:space="preserve">Table </w:t>
      </w:r>
      <w:fldSimple w:instr=" SEQ Table \* ARABIC ">
        <w:r w:rsidR="00F979FB">
          <w:rPr>
            <w:noProof/>
          </w:rPr>
          <w:t>14</w:t>
        </w:r>
      </w:fldSimple>
      <w:r w:rsidR="00C83861">
        <w:t>:</w:t>
      </w:r>
      <w:r w:rsidRPr="00E30178">
        <w:t xml:space="preserve"> P</w:t>
      </w:r>
      <w:r w:rsidR="002A46F3">
        <w:t>rogression free survival</w:t>
      </w:r>
      <w:r w:rsidRPr="00E30178">
        <w:t xml:space="preserve"> </w:t>
      </w:r>
      <w:r>
        <w:t xml:space="preserve">in patients with brain metastases at </w:t>
      </w:r>
      <w:r w:rsidR="002A46F3">
        <w:t>B</w:t>
      </w:r>
      <w:r>
        <w:t>aseline</w:t>
      </w:r>
      <w:r w:rsidRPr="00E30178">
        <w:rPr>
          <w:vertAlign w:val="subscript"/>
        </w:rPr>
        <w:t xml:space="preserve"> </w:t>
      </w:r>
      <w:r w:rsidRPr="00E30178">
        <w:t xml:space="preserve">in </w:t>
      </w:r>
      <w:r w:rsidR="002A46F3">
        <w:t xml:space="preserve">the </w:t>
      </w:r>
      <w:r w:rsidRPr="00E30178">
        <w:t>HER2CLIMB</w:t>
      </w:r>
      <w:r w:rsidR="002A46F3">
        <w:t xml:space="preserve"> trial</w:t>
      </w:r>
      <w:r>
        <w:t xml:space="preserve"> (</w:t>
      </w:r>
      <w:r w:rsidR="002A46F3">
        <w:t>intent to treat, progression free survival in patients with brain metastases population</w:t>
      </w:r>
      <w:r w:rsidRPr="00F9582C">
        <w:t>)</w:t>
      </w:r>
    </w:p>
    <w:tbl>
      <w:tblPr>
        <w:tblStyle w:val="TableTGAblue"/>
        <w:tblW w:w="0" w:type="auto"/>
        <w:tblCellMar>
          <w:left w:w="57" w:type="dxa"/>
          <w:right w:w="57" w:type="dxa"/>
        </w:tblCellMar>
        <w:tblLook w:val="04A0" w:firstRow="1" w:lastRow="0" w:firstColumn="1" w:lastColumn="0" w:noHBand="0" w:noVBand="1"/>
      </w:tblPr>
      <w:tblGrid>
        <w:gridCol w:w="2828"/>
        <w:gridCol w:w="2828"/>
        <w:gridCol w:w="2828"/>
      </w:tblGrid>
      <w:tr w:rsidR="00B51ED1" w:rsidRPr="00FB1752" w14:paraId="7A41237B" w14:textId="77777777" w:rsidTr="00B51ED1">
        <w:trPr>
          <w:cnfStyle w:val="100000000000" w:firstRow="1" w:lastRow="0" w:firstColumn="0" w:lastColumn="0" w:oddVBand="0" w:evenVBand="0" w:oddHBand="0" w:evenHBand="0" w:firstRowFirstColumn="0" w:firstRowLastColumn="0" w:lastRowFirstColumn="0" w:lastRowLastColumn="0"/>
        </w:trPr>
        <w:tc>
          <w:tcPr>
            <w:tcW w:w="2828" w:type="dxa"/>
          </w:tcPr>
          <w:p w14:paraId="391C226C" w14:textId="77777777" w:rsidR="00B51ED1" w:rsidRPr="00FB1752" w:rsidRDefault="00B51ED1" w:rsidP="00FB1752">
            <w:pPr>
              <w:rPr>
                <w:sz w:val="20"/>
                <w:szCs w:val="20"/>
              </w:rPr>
            </w:pPr>
          </w:p>
        </w:tc>
        <w:tc>
          <w:tcPr>
            <w:tcW w:w="2828" w:type="dxa"/>
          </w:tcPr>
          <w:p w14:paraId="0761645A" w14:textId="77777777" w:rsidR="00B51ED1" w:rsidRPr="00FB1752" w:rsidRDefault="00587566" w:rsidP="00FB1752">
            <w:pPr>
              <w:rPr>
                <w:sz w:val="20"/>
                <w:szCs w:val="20"/>
              </w:rPr>
            </w:pPr>
            <w:r w:rsidRPr="00FB1752">
              <w:rPr>
                <w:sz w:val="20"/>
                <w:szCs w:val="20"/>
              </w:rPr>
              <w:t>Tucatinib + trastuzumab + capecitabine</w:t>
            </w:r>
          </w:p>
          <w:p w14:paraId="3E537F60" w14:textId="77777777" w:rsidR="00B51ED1" w:rsidRPr="00FB1752" w:rsidRDefault="00B51ED1" w:rsidP="00FB1752">
            <w:pPr>
              <w:rPr>
                <w:sz w:val="20"/>
                <w:szCs w:val="20"/>
              </w:rPr>
            </w:pPr>
            <w:r w:rsidRPr="00FB1752">
              <w:rPr>
                <w:bCs/>
                <w:sz w:val="20"/>
                <w:szCs w:val="20"/>
                <w:lang w:val="en-US"/>
              </w:rPr>
              <w:t>N = 198</w:t>
            </w:r>
          </w:p>
        </w:tc>
        <w:tc>
          <w:tcPr>
            <w:tcW w:w="2828" w:type="dxa"/>
          </w:tcPr>
          <w:p w14:paraId="244A65EF" w14:textId="77777777" w:rsidR="00B51ED1" w:rsidRPr="00FB1752" w:rsidRDefault="00587566" w:rsidP="00FB1752">
            <w:pPr>
              <w:rPr>
                <w:sz w:val="20"/>
                <w:szCs w:val="20"/>
              </w:rPr>
            </w:pPr>
            <w:r w:rsidRPr="00FB1752">
              <w:rPr>
                <w:sz w:val="20"/>
                <w:szCs w:val="20"/>
              </w:rPr>
              <w:t>Placebo + trastuzumab + capecitabine</w:t>
            </w:r>
          </w:p>
          <w:p w14:paraId="5535566B" w14:textId="77777777" w:rsidR="00B51ED1" w:rsidRPr="00FB1752" w:rsidRDefault="00B51ED1" w:rsidP="00FB1752">
            <w:pPr>
              <w:rPr>
                <w:sz w:val="20"/>
                <w:szCs w:val="20"/>
              </w:rPr>
            </w:pPr>
            <w:r w:rsidRPr="00FB1752">
              <w:rPr>
                <w:bCs/>
                <w:sz w:val="20"/>
                <w:szCs w:val="20"/>
                <w:lang w:val="en-US"/>
              </w:rPr>
              <w:t>N = 93</w:t>
            </w:r>
          </w:p>
        </w:tc>
      </w:tr>
      <w:tr w:rsidR="00B51ED1" w:rsidRPr="00FB1752" w14:paraId="08EEC7D5" w14:textId="77777777" w:rsidTr="00B51ED1">
        <w:tc>
          <w:tcPr>
            <w:tcW w:w="2828" w:type="dxa"/>
          </w:tcPr>
          <w:p w14:paraId="2FFB1301" w14:textId="77777777" w:rsidR="00B51ED1" w:rsidRPr="00FB1752" w:rsidRDefault="00B51ED1" w:rsidP="00FB1752">
            <w:pPr>
              <w:rPr>
                <w:sz w:val="20"/>
                <w:szCs w:val="20"/>
              </w:rPr>
            </w:pPr>
            <w:r w:rsidRPr="00FB1752">
              <w:rPr>
                <w:sz w:val="20"/>
                <w:szCs w:val="20"/>
                <w:lang w:val="en-US"/>
              </w:rPr>
              <w:t>Events, n (%)</w:t>
            </w:r>
          </w:p>
        </w:tc>
        <w:tc>
          <w:tcPr>
            <w:tcW w:w="2828" w:type="dxa"/>
          </w:tcPr>
          <w:p w14:paraId="4E14E7CD" w14:textId="77777777" w:rsidR="00B51ED1" w:rsidRPr="00FB1752" w:rsidRDefault="00B51ED1" w:rsidP="00FB1752">
            <w:pPr>
              <w:rPr>
                <w:sz w:val="20"/>
                <w:szCs w:val="20"/>
              </w:rPr>
            </w:pPr>
            <w:r w:rsidRPr="00FB1752">
              <w:rPr>
                <w:sz w:val="20"/>
                <w:szCs w:val="20"/>
                <w:lang w:val="en-US"/>
              </w:rPr>
              <w:t>106 (53.5)</w:t>
            </w:r>
          </w:p>
        </w:tc>
        <w:tc>
          <w:tcPr>
            <w:tcW w:w="2828" w:type="dxa"/>
          </w:tcPr>
          <w:p w14:paraId="130D8688" w14:textId="77777777" w:rsidR="00B51ED1" w:rsidRPr="00FB1752" w:rsidRDefault="00B51ED1" w:rsidP="00FB1752">
            <w:pPr>
              <w:rPr>
                <w:sz w:val="20"/>
                <w:szCs w:val="20"/>
              </w:rPr>
            </w:pPr>
            <w:r w:rsidRPr="00FB1752">
              <w:rPr>
                <w:sz w:val="20"/>
                <w:szCs w:val="20"/>
                <w:lang w:val="en-US"/>
              </w:rPr>
              <w:t>51 (54.8)</w:t>
            </w:r>
          </w:p>
        </w:tc>
      </w:tr>
      <w:tr w:rsidR="00B51ED1" w:rsidRPr="00FB1752" w14:paraId="2E61DD90" w14:textId="77777777" w:rsidTr="00B51ED1">
        <w:tc>
          <w:tcPr>
            <w:tcW w:w="2828" w:type="dxa"/>
          </w:tcPr>
          <w:p w14:paraId="4B74E13D" w14:textId="77777777" w:rsidR="00B51ED1" w:rsidRPr="00FB1752" w:rsidRDefault="00B51ED1" w:rsidP="00FB1752">
            <w:pPr>
              <w:rPr>
                <w:sz w:val="20"/>
                <w:szCs w:val="20"/>
              </w:rPr>
            </w:pPr>
            <w:r w:rsidRPr="00FB1752">
              <w:rPr>
                <w:sz w:val="20"/>
                <w:szCs w:val="20"/>
                <w:lang w:val="en-US"/>
              </w:rPr>
              <w:t>Median PFS</w:t>
            </w:r>
          </w:p>
        </w:tc>
        <w:tc>
          <w:tcPr>
            <w:tcW w:w="2828" w:type="dxa"/>
          </w:tcPr>
          <w:p w14:paraId="5DF1B71A" w14:textId="77777777" w:rsidR="00B51ED1" w:rsidRPr="00FB1752" w:rsidRDefault="00B51ED1" w:rsidP="00FB1752">
            <w:pPr>
              <w:rPr>
                <w:sz w:val="20"/>
                <w:szCs w:val="20"/>
              </w:rPr>
            </w:pPr>
            <w:r w:rsidRPr="00FB1752">
              <w:rPr>
                <w:sz w:val="20"/>
                <w:szCs w:val="20"/>
                <w:lang w:val="en-US"/>
              </w:rPr>
              <w:t>7.6 (6.2, 9.5)</w:t>
            </w:r>
          </w:p>
        </w:tc>
        <w:tc>
          <w:tcPr>
            <w:tcW w:w="2828" w:type="dxa"/>
          </w:tcPr>
          <w:p w14:paraId="1D0A4766" w14:textId="77777777" w:rsidR="00B51ED1" w:rsidRPr="00FB1752" w:rsidRDefault="00B51ED1" w:rsidP="00FB1752">
            <w:pPr>
              <w:rPr>
                <w:sz w:val="20"/>
                <w:szCs w:val="20"/>
              </w:rPr>
            </w:pPr>
            <w:r w:rsidRPr="00FB1752">
              <w:rPr>
                <w:sz w:val="20"/>
                <w:szCs w:val="20"/>
                <w:lang w:val="en-US"/>
              </w:rPr>
              <w:t>5.4 (4.1, 5.7)</w:t>
            </w:r>
          </w:p>
        </w:tc>
      </w:tr>
      <w:tr w:rsidR="00B51ED1" w:rsidRPr="00FB1752" w14:paraId="40B47CF2" w14:textId="77777777" w:rsidTr="00B51ED1">
        <w:tc>
          <w:tcPr>
            <w:tcW w:w="2828" w:type="dxa"/>
          </w:tcPr>
          <w:p w14:paraId="7B7D980E" w14:textId="77777777" w:rsidR="00B51ED1" w:rsidRPr="00FB1752" w:rsidRDefault="00B51ED1" w:rsidP="00FB1752">
            <w:pPr>
              <w:rPr>
                <w:sz w:val="20"/>
                <w:szCs w:val="20"/>
              </w:rPr>
            </w:pPr>
            <w:r w:rsidRPr="00FB1752">
              <w:rPr>
                <w:sz w:val="20"/>
                <w:szCs w:val="20"/>
                <w:lang w:val="en-US"/>
              </w:rPr>
              <w:t>Stratified HR</w:t>
            </w:r>
          </w:p>
        </w:tc>
        <w:tc>
          <w:tcPr>
            <w:tcW w:w="5656" w:type="dxa"/>
            <w:gridSpan w:val="2"/>
          </w:tcPr>
          <w:p w14:paraId="1C3F3A83" w14:textId="77777777" w:rsidR="00B51ED1" w:rsidRPr="00FB1752" w:rsidRDefault="00B51ED1" w:rsidP="00FB1752">
            <w:pPr>
              <w:rPr>
                <w:sz w:val="20"/>
                <w:szCs w:val="20"/>
              </w:rPr>
            </w:pPr>
            <w:r w:rsidRPr="00FB1752">
              <w:rPr>
                <w:sz w:val="20"/>
                <w:szCs w:val="20"/>
                <w:lang w:val="en-US"/>
              </w:rPr>
              <w:t>0.48 (0.34, 0.69)</w:t>
            </w:r>
          </w:p>
        </w:tc>
      </w:tr>
      <w:tr w:rsidR="00B51ED1" w:rsidRPr="00FB1752" w14:paraId="0C470225" w14:textId="77777777" w:rsidTr="00B51ED1">
        <w:tc>
          <w:tcPr>
            <w:tcW w:w="2828" w:type="dxa"/>
          </w:tcPr>
          <w:p w14:paraId="672A2315" w14:textId="77777777" w:rsidR="00B51ED1" w:rsidRPr="00FB1752" w:rsidRDefault="00B51ED1" w:rsidP="00FB1752">
            <w:pPr>
              <w:rPr>
                <w:sz w:val="20"/>
                <w:szCs w:val="20"/>
              </w:rPr>
            </w:pPr>
            <w:r w:rsidRPr="00FB1752">
              <w:rPr>
                <w:sz w:val="20"/>
                <w:szCs w:val="20"/>
                <w:lang w:val="en-US"/>
              </w:rPr>
              <w:t>p-value*</w:t>
            </w:r>
          </w:p>
        </w:tc>
        <w:tc>
          <w:tcPr>
            <w:tcW w:w="5656" w:type="dxa"/>
            <w:gridSpan w:val="2"/>
          </w:tcPr>
          <w:p w14:paraId="5690CE4B" w14:textId="77777777" w:rsidR="00B51ED1" w:rsidRPr="00FB1752" w:rsidRDefault="00B51ED1" w:rsidP="00FB1752">
            <w:pPr>
              <w:rPr>
                <w:sz w:val="20"/>
                <w:szCs w:val="20"/>
              </w:rPr>
            </w:pPr>
            <w:r w:rsidRPr="00FB1752">
              <w:rPr>
                <w:sz w:val="20"/>
                <w:szCs w:val="20"/>
                <w:lang w:val="en-US"/>
              </w:rPr>
              <w:t>&lt;</w:t>
            </w:r>
            <w:r w:rsidR="003201DC" w:rsidRPr="00FB1752">
              <w:rPr>
                <w:sz w:val="20"/>
                <w:szCs w:val="20"/>
                <w:lang w:val="en-US"/>
              </w:rPr>
              <w:t xml:space="preserve"> </w:t>
            </w:r>
            <w:r w:rsidRPr="00FB1752">
              <w:rPr>
                <w:sz w:val="20"/>
                <w:szCs w:val="20"/>
                <w:lang w:val="en-US"/>
              </w:rPr>
              <w:t>0.00001</w:t>
            </w:r>
          </w:p>
        </w:tc>
      </w:tr>
    </w:tbl>
    <w:p w14:paraId="1B29F253" w14:textId="77777777" w:rsidR="00B51ED1" w:rsidRDefault="00B51ED1" w:rsidP="00C83861">
      <w:pPr>
        <w:pStyle w:val="TableDescription"/>
      </w:pPr>
      <w:r w:rsidRPr="00C83861">
        <w:t>*Based on stratified log-rank test and re-randomisation procedure</w:t>
      </w:r>
      <w:r w:rsidR="003201DC">
        <w:t>.</w:t>
      </w:r>
    </w:p>
    <w:p w14:paraId="33422C6D" w14:textId="3962B9CB" w:rsidR="00B51ED1" w:rsidRPr="003201DC" w:rsidRDefault="00B51ED1" w:rsidP="00A33D6C">
      <w:pPr>
        <w:pStyle w:val="FigureTitle"/>
      </w:pPr>
      <w:r>
        <w:t xml:space="preserve">Figure </w:t>
      </w:r>
      <w:fldSimple w:instr=" SEQ Figure \* ARABIC ">
        <w:r w:rsidR="00F979FB">
          <w:rPr>
            <w:noProof/>
          </w:rPr>
          <w:t>6</w:t>
        </w:r>
      </w:fldSimple>
      <w:r w:rsidR="00C83861">
        <w:t>:</w:t>
      </w:r>
      <w:r w:rsidR="003201DC">
        <w:t xml:space="preserve"> Kaplan-Meier curve for progression free survival</w:t>
      </w:r>
      <w:r>
        <w:rPr>
          <w:vertAlign w:val="subscript"/>
        </w:rPr>
        <w:t xml:space="preserve"> </w:t>
      </w:r>
      <w:r w:rsidRPr="00850080">
        <w:t>in</w:t>
      </w:r>
      <w:r>
        <w:t xml:space="preserve"> patients with brain metastases in</w:t>
      </w:r>
      <w:r w:rsidRPr="00850080">
        <w:t xml:space="preserve"> </w:t>
      </w:r>
      <w:r w:rsidR="003201DC">
        <w:t xml:space="preserve">the </w:t>
      </w:r>
      <w:r w:rsidRPr="00850080">
        <w:t>HER2CLIMB</w:t>
      </w:r>
      <w:r>
        <w:t xml:space="preserve"> </w:t>
      </w:r>
      <w:r w:rsidR="003201DC">
        <w:t xml:space="preserve">trial </w:t>
      </w:r>
      <w:r>
        <w:t>(</w:t>
      </w:r>
      <w:r w:rsidR="003201DC">
        <w:t>intent to treat</w:t>
      </w:r>
      <w:r w:rsidR="002A46F3">
        <w:t xml:space="preserve">, </w:t>
      </w:r>
      <w:r w:rsidR="003201DC">
        <w:t xml:space="preserve">progression free survival </w:t>
      </w:r>
      <w:r w:rsidR="002A46F3">
        <w:t xml:space="preserve">in patients with </w:t>
      </w:r>
      <w:r w:rsidR="003201DC">
        <w:t>brain metastases population</w:t>
      </w:r>
      <w:r w:rsidRPr="00F9582C">
        <w:t>)</w:t>
      </w:r>
    </w:p>
    <w:p w14:paraId="0CAF1603" w14:textId="77777777" w:rsidR="00B51ED1" w:rsidRDefault="00C83861" w:rsidP="00B51ED1">
      <w:pPr>
        <w:jc w:val="both"/>
      </w:pPr>
      <w:r>
        <w:rPr>
          <w:noProof/>
          <w:lang w:eastAsia="en-AU"/>
        </w:rPr>
        <w:drawing>
          <wp:inline distT="0" distB="0" distL="0" distR="0" wp14:anchorId="45CC7DF9" wp14:editId="510999D0">
            <wp:extent cx="5400040" cy="3376930"/>
            <wp:effectExtent l="0" t="0" r="0" b="0"/>
            <wp:docPr id="6" name="Picture 6" descr="Kaplan-Meier curve for progression free survival in patients with brain metastases in the HER2CLIMB trial (intent to treat – progression free survival brain metastases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400040" cy="3376930"/>
                    </a:xfrm>
                    <a:prstGeom prst="rect">
                      <a:avLst/>
                    </a:prstGeom>
                  </pic:spPr>
                </pic:pic>
              </a:graphicData>
            </a:graphic>
          </wp:inline>
        </w:drawing>
      </w:r>
    </w:p>
    <w:p w14:paraId="33EC1E59" w14:textId="77777777" w:rsidR="003201DC" w:rsidRDefault="003201DC" w:rsidP="00FB1752">
      <w:pPr>
        <w:pStyle w:val="FigureDescription"/>
      </w:pPr>
      <w:proofErr w:type="spellStart"/>
      <w:r>
        <w:t>Tuc</w:t>
      </w:r>
      <w:proofErr w:type="spellEnd"/>
      <w:r>
        <w:t xml:space="preserve"> + Cap + </w:t>
      </w:r>
      <w:proofErr w:type="spellStart"/>
      <w:r>
        <w:t>Tra</w:t>
      </w:r>
      <w:proofErr w:type="spellEnd"/>
      <w:r>
        <w:t xml:space="preserve"> = tucatinib + trastuzumab + capecitabine, </w:t>
      </w:r>
      <w:proofErr w:type="spellStart"/>
      <w:r>
        <w:t>Pbo</w:t>
      </w:r>
      <w:proofErr w:type="spellEnd"/>
      <w:r>
        <w:t xml:space="preserve"> + Cap + </w:t>
      </w:r>
      <w:proofErr w:type="spellStart"/>
      <w:r>
        <w:t>Tra</w:t>
      </w:r>
      <w:proofErr w:type="spellEnd"/>
      <w:r>
        <w:t xml:space="preserve"> = placebo + trastuzumab + capecitabine.</w:t>
      </w:r>
    </w:p>
    <w:p w14:paraId="04550B16" w14:textId="77777777" w:rsidR="00B51ED1" w:rsidRDefault="003201DC" w:rsidP="00FB1752">
      <w:pPr>
        <w:pStyle w:val="Heading7"/>
        <w:pageBreakBefore/>
      </w:pPr>
      <w:bookmarkStart w:id="57" w:name="_Ref39568618"/>
      <w:r>
        <w:t>Objective response rate</w:t>
      </w:r>
      <w:r w:rsidR="00B51ED1">
        <w:t xml:space="preserve"> </w:t>
      </w:r>
      <w:bookmarkEnd w:id="57"/>
      <w:r>
        <w:t>and duration of response</w:t>
      </w:r>
    </w:p>
    <w:p w14:paraId="4D96FACC" w14:textId="77777777" w:rsidR="00B51ED1" w:rsidRPr="00F9582C" w:rsidRDefault="003201DC" w:rsidP="00B51ED1">
      <w:r>
        <w:t>The ORR</w:t>
      </w:r>
      <w:r w:rsidR="00B51ED1">
        <w:t xml:space="preserve"> in all randomised patients</w:t>
      </w:r>
      <w:r>
        <w:t xml:space="preserve"> who had measurable disease at B</w:t>
      </w:r>
      <w:r w:rsidR="00B51ED1">
        <w:t xml:space="preserve">aseline (per BICR) was a pre-specified subgroup analysis, but is not a randomised </w:t>
      </w:r>
      <w:r w:rsidR="00B51ED1" w:rsidRPr="00F9582C">
        <w:t>compar</w:t>
      </w:r>
      <w:r>
        <w:t>ison, as measurable disease at B</w:t>
      </w:r>
      <w:r w:rsidR="00B51ED1" w:rsidRPr="00F9582C">
        <w:t>aseline w</w:t>
      </w:r>
      <w:r>
        <w:t>as not a stratification factor.</w:t>
      </w:r>
    </w:p>
    <w:p w14:paraId="3420399B" w14:textId="77777777" w:rsidR="00B51ED1" w:rsidRPr="005F5261" w:rsidRDefault="00B51ED1" w:rsidP="00B51ED1">
      <w:r w:rsidRPr="00F9582C">
        <w:t>Of all patients who were randomised, 8</w:t>
      </w:r>
      <w:r w:rsidR="003201DC">
        <w:t>3.5% had measurable disease at B</w:t>
      </w:r>
      <w:r w:rsidRPr="00F9582C">
        <w:t>aseline per</w:t>
      </w:r>
      <w:r w:rsidRPr="005F5261">
        <w:t xml:space="preserve"> BICR (82.9% </w:t>
      </w:r>
      <w:r>
        <w:t>of the tucatinib arm and</w:t>
      </w:r>
      <w:r w:rsidRPr="005F5261">
        <w:t xml:space="preserve"> 84.7% </w:t>
      </w:r>
      <w:r>
        <w:t>of the</w:t>
      </w:r>
      <w:r w:rsidRPr="005F5261">
        <w:t xml:space="preserve"> placebo</w:t>
      </w:r>
      <w:r>
        <w:t xml:space="preserve"> arm</w:t>
      </w:r>
      <w:r w:rsidRPr="005F5261">
        <w:t>)</w:t>
      </w:r>
      <w:r>
        <w:t>.</w:t>
      </w:r>
      <w:r w:rsidRPr="005448E0">
        <w:t xml:space="preserve"> </w:t>
      </w:r>
      <w:r>
        <w:t>B</w:t>
      </w:r>
      <w:r w:rsidRPr="005F5261">
        <w:t xml:space="preserve">aseline characteristics between arms in </w:t>
      </w:r>
      <w:r>
        <w:t>this</w:t>
      </w:r>
      <w:r w:rsidRPr="005F5261">
        <w:t xml:space="preserve"> measurable disease subset</w:t>
      </w:r>
      <w:r>
        <w:t xml:space="preserve"> of the ITT </w:t>
      </w:r>
      <w:r w:rsidR="003201DC">
        <w:t xml:space="preserve">population </w:t>
      </w:r>
      <w:r>
        <w:t>were not notably imbalanced.</w:t>
      </w:r>
    </w:p>
    <w:p w14:paraId="534EAC73" w14:textId="58EE7285" w:rsidR="00B51ED1" w:rsidRDefault="00B51ED1" w:rsidP="00C83861">
      <w:pPr>
        <w:pStyle w:val="TableTitle"/>
      </w:pPr>
      <w:r>
        <w:t xml:space="preserve">Table </w:t>
      </w:r>
      <w:fldSimple w:instr=" SEQ Table \* ARABIC ">
        <w:r w:rsidR="00F979FB">
          <w:rPr>
            <w:noProof/>
          </w:rPr>
          <w:t>15</w:t>
        </w:r>
      </w:fldSimple>
      <w:r w:rsidR="00C83861">
        <w:t>:</w:t>
      </w:r>
      <w:r>
        <w:t xml:space="preserve"> </w:t>
      </w:r>
      <w:r w:rsidR="003201DC">
        <w:t>Objective response rate</w:t>
      </w:r>
      <w:r w:rsidRPr="00FC09A8">
        <w:t xml:space="preserve"> and </w:t>
      </w:r>
      <w:r w:rsidR="003201DC">
        <w:t>duration of response</w:t>
      </w:r>
      <w:r w:rsidRPr="00FC09A8">
        <w:t xml:space="preserve"> </w:t>
      </w:r>
      <w:r w:rsidRPr="00850080">
        <w:t xml:space="preserve">in </w:t>
      </w:r>
      <w:r w:rsidR="003201DC">
        <w:t xml:space="preserve">the </w:t>
      </w:r>
      <w:r w:rsidRPr="00850080">
        <w:t>HER2CLIMB</w:t>
      </w:r>
      <w:r>
        <w:t xml:space="preserve"> </w:t>
      </w:r>
      <w:r w:rsidR="003201DC">
        <w:t xml:space="preserve">trial </w:t>
      </w:r>
      <w:r>
        <w:t xml:space="preserve">by </w:t>
      </w:r>
      <w:r w:rsidR="003201DC">
        <w:t>blinded independent central review</w:t>
      </w:r>
      <w:r>
        <w:t xml:space="preserve"> assessment (measurable disease subset of </w:t>
      </w:r>
      <w:r w:rsidR="003201DC">
        <w:t>intent to treat</w:t>
      </w:r>
      <w:r w:rsidR="002A46F3">
        <w:t>,</w:t>
      </w:r>
      <w:r w:rsidR="003201DC">
        <w:t xml:space="preserve"> overall survival population</w:t>
      </w:r>
      <w:r>
        <w:t>)</w:t>
      </w:r>
    </w:p>
    <w:tbl>
      <w:tblPr>
        <w:tblStyle w:val="TableTGAblue"/>
        <w:tblW w:w="0" w:type="auto"/>
        <w:tblCellMar>
          <w:left w:w="57" w:type="dxa"/>
          <w:right w:w="57" w:type="dxa"/>
        </w:tblCellMar>
        <w:tblLook w:val="04A0" w:firstRow="1" w:lastRow="0" w:firstColumn="1" w:lastColumn="0" w:noHBand="0" w:noVBand="1"/>
      </w:tblPr>
      <w:tblGrid>
        <w:gridCol w:w="3676"/>
        <w:gridCol w:w="2410"/>
        <w:gridCol w:w="2398"/>
      </w:tblGrid>
      <w:tr w:rsidR="00B51ED1" w:rsidRPr="00FB1752" w14:paraId="76A611CC" w14:textId="77777777" w:rsidTr="00B51ED1">
        <w:trPr>
          <w:cnfStyle w:val="100000000000" w:firstRow="1" w:lastRow="0" w:firstColumn="0" w:lastColumn="0" w:oddVBand="0" w:evenVBand="0" w:oddHBand="0" w:evenHBand="0" w:firstRowFirstColumn="0" w:firstRowLastColumn="0" w:lastRowFirstColumn="0" w:lastRowLastColumn="0"/>
        </w:trPr>
        <w:tc>
          <w:tcPr>
            <w:tcW w:w="3676" w:type="dxa"/>
          </w:tcPr>
          <w:p w14:paraId="0C3A9A03" w14:textId="77777777" w:rsidR="00B51ED1" w:rsidRPr="00FB1752" w:rsidRDefault="00B51ED1" w:rsidP="00FB1752">
            <w:pPr>
              <w:rPr>
                <w:sz w:val="20"/>
                <w:szCs w:val="20"/>
              </w:rPr>
            </w:pPr>
          </w:p>
        </w:tc>
        <w:tc>
          <w:tcPr>
            <w:tcW w:w="2410" w:type="dxa"/>
          </w:tcPr>
          <w:p w14:paraId="3F331D96" w14:textId="77777777" w:rsidR="00B51ED1" w:rsidRPr="00FB1752" w:rsidRDefault="003201DC" w:rsidP="00FB1752">
            <w:pPr>
              <w:rPr>
                <w:sz w:val="20"/>
                <w:szCs w:val="20"/>
              </w:rPr>
            </w:pPr>
            <w:r w:rsidRPr="00FB1752">
              <w:rPr>
                <w:sz w:val="20"/>
                <w:szCs w:val="20"/>
              </w:rPr>
              <w:t>Tucatinib + trastuzumab + capecitabine</w:t>
            </w:r>
          </w:p>
          <w:p w14:paraId="2702DBAF" w14:textId="77777777" w:rsidR="00B51ED1" w:rsidRPr="00FB1752" w:rsidRDefault="00B51ED1" w:rsidP="00FB1752">
            <w:pPr>
              <w:rPr>
                <w:sz w:val="20"/>
                <w:szCs w:val="20"/>
              </w:rPr>
            </w:pPr>
            <w:r w:rsidRPr="00FB1752">
              <w:rPr>
                <w:bCs/>
                <w:sz w:val="20"/>
                <w:szCs w:val="20"/>
                <w:lang w:val="en-US"/>
              </w:rPr>
              <w:t>N = 340</w:t>
            </w:r>
          </w:p>
        </w:tc>
        <w:tc>
          <w:tcPr>
            <w:tcW w:w="2398" w:type="dxa"/>
          </w:tcPr>
          <w:p w14:paraId="33B29A66" w14:textId="77777777" w:rsidR="00B51ED1" w:rsidRPr="00FB1752" w:rsidRDefault="003201DC" w:rsidP="00FB1752">
            <w:pPr>
              <w:rPr>
                <w:sz w:val="20"/>
                <w:szCs w:val="20"/>
              </w:rPr>
            </w:pPr>
            <w:r w:rsidRPr="00FB1752">
              <w:rPr>
                <w:sz w:val="20"/>
                <w:szCs w:val="20"/>
              </w:rPr>
              <w:t>Placebo + trastuzumab + capecitabine</w:t>
            </w:r>
          </w:p>
          <w:p w14:paraId="65D9FC04" w14:textId="77777777" w:rsidR="00B51ED1" w:rsidRPr="00FB1752" w:rsidRDefault="00B51ED1" w:rsidP="00FB1752">
            <w:pPr>
              <w:rPr>
                <w:sz w:val="20"/>
                <w:szCs w:val="20"/>
              </w:rPr>
            </w:pPr>
            <w:r w:rsidRPr="00FB1752">
              <w:rPr>
                <w:bCs/>
                <w:sz w:val="20"/>
                <w:szCs w:val="20"/>
                <w:lang w:val="en-US"/>
              </w:rPr>
              <w:t>N = 171</w:t>
            </w:r>
          </w:p>
        </w:tc>
      </w:tr>
      <w:tr w:rsidR="00B51ED1" w:rsidRPr="00FB1752" w14:paraId="618988D4" w14:textId="77777777" w:rsidTr="00B51ED1">
        <w:tc>
          <w:tcPr>
            <w:tcW w:w="8484" w:type="dxa"/>
            <w:gridSpan w:val="3"/>
          </w:tcPr>
          <w:p w14:paraId="5C05B1F9" w14:textId="77777777" w:rsidR="00B51ED1" w:rsidRPr="00FB1752" w:rsidRDefault="00B51ED1" w:rsidP="00FB1752">
            <w:pPr>
              <w:rPr>
                <w:sz w:val="20"/>
                <w:szCs w:val="20"/>
                <w:lang w:val="en-US"/>
              </w:rPr>
            </w:pPr>
            <w:r w:rsidRPr="00FB1752">
              <w:rPr>
                <w:bCs/>
                <w:sz w:val="20"/>
                <w:szCs w:val="20"/>
                <w:lang w:val="en-US"/>
              </w:rPr>
              <w:t>ORR</w:t>
            </w:r>
          </w:p>
        </w:tc>
      </w:tr>
      <w:tr w:rsidR="00B51ED1" w:rsidRPr="00FB1752" w14:paraId="4F1603F6" w14:textId="77777777" w:rsidTr="003201DC">
        <w:tc>
          <w:tcPr>
            <w:tcW w:w="3676" w:type="dxa"/>
            <w:vAlign w:val="center"/>
          </w:tcPr>
          <w:p w14:paraId="74531204" w14:textId="77777777" w:rsidR="00B51ED1" w:rsidRPr="00FB1752" w:rsidRDefault="00B51ED1" w:rsidP="00FB1752">
            <w:pPr>
              <w:rPr>
                <w:sz w:val="20"/>
                <w:szCs w:val="20"/>
              </w:rPr>
            </w:pPr>
            <w:r w:rsidRPr="00FB1752">
              <w:rPr>
                <w:bCs/>
                <w:sz w:val="20"/>
                <w:szCs w:val="20"/>
                <w:lang w:val="en-US"/>
              </w:rPr>
              <w:t>Confirmed ORR (95% CI)</w:t>
            </w:r>
          </w:p>
        </w:tc>
        <w:tc>
          <w:tcPr>
            <w:tcW w:w="2410" w:type="dxa"/>
            <w:vAlign w:val="center"/>
          </w:tcPr>
          <w:p w14:paraId="31E71DF6" w14:textId="77777777" w:rsidR="00B51ED1" w:rsidRPr="00FB1752" w:rsidRDefault="00B51ED1" w:rsidP="00FB1752">
            <w:pPr>
              <w:rPr>
                <w:sz w:val="20"/>
                <w:szCs w:val="20"/>
              </w:rPr>
            </w:pPr>
            <w:r w:rsidRPr="00FB1752">
              <w:rPr>
                <w:sz w:val="20"/>
                <w:szCs w:val="20"/>
                <w:lang w:val="en-US"/>
              </w:rPr>
              <w:t>40.6% (35.3, 46.0)</w:t>
            </w:r>
          </w:p>
        </w:tc>
        <w:tc>
          <w:tcPr>
            <w:tcW w:w="2398" w:type="dxa"/>
            <w:vAlign w:val="center"/>
          </w:tcPr>
          <w:p w14:paraId="0A753F9C" w14:textId="77777777" w:rsidR="00B51ED1" w:rsidRPr="00FB1752" w:rsidRDefault="00B51ED1" w:rsidP="00FB1752">
            <w:pPr>
              <w:rPr>
                <w:sz w:val="20"/>
                <w:szCs w:val="20"/>
              </w:rPr>
            </w:pPr>
            <w:r w:rsidRPr="00FB1752">
              <w:rPr>
                <w:sz w:val="20"/>
                <w:szCs w:val="20"/>
                <w:lang w:val="en-US"/>
              </w:rPr>
              <w:t>22.8% (16.7, 29.8)</w:t>
            </w:r>
          </w:p>
        </w:tc>
      </w:tr>
      <w:tr w:rsidR="00B51ED1" w:rsidRPr="00FB1752" w14:paraId="7CE33AE4" w14:textId="77777777" w:rsidTr="003201DC">
        <w:tc>
          <w:tcPr>
            <w:tcW w:w="3676" w:type="dxa"/>
            <w:vAlign w:val="center"/>
          </w:tcPr>
          <w:p w14:paraId="1AA2C85D" w14:textId="77777777" w:rsidR="00B51ED1" w:rsidRPr="00FB1752" w:rsidRDefault="003201DC" w:rsidP="00FB1752">
            <w:pPr>
              <w:rPr>
                <w:i/>
                <w:sz w:val="20"/>
                <w:szCs w:val="20"/>
              </w:rPr>
            </w:pPr>
            <w:r w:rsidRPr="00FB1752">
              <w:rPr>
                <w:i/>
                <w:sz w:val="20"/>
                <w:szCs w:val="20"/>
                <w:lang w:val="en-US"/>
              </w:rPr>
              <w:t>Complete response, n (% (95%CI)</w:t>
            </w:r>
            <w:r w:rsidR="00B51ED1" w:rsidRPr="00FB1752">
              <w:rPr>
                <w:i/>
                <w:sz w:val="20"/>
                <w:szCs w:val="20"/>
                <w:lang w:val="en-US"/>
              </w:rPr>
              <w:t>)</w:t>
            </w:r>
          </w:p>
        </w:tc>
        <w:tc>
          <w:tcPr>
            <w:tcW w:w="2410" w:type="dxa"/>
            <w:vAlign w:val="center"/>
          </w:tcPr>
          <w:p w14:paraId="71ED6303" w14:textId="77777777" w:rsidR="00B51ED1" w:rsidRPr="00FB1752" w:rsidRDefault="003201DC" w:rsidP="00FB1752">
            <w:pPr>
              <w:rPr>
                <w:i/>
                <w:sz w:val="20"/>
                <w:szCs w:val="20"/>
              </w:rPr>
            </w:pPr>
            <w:r w:rsidRPr="00FB1752">
              <w:rPr>
                <w:i/>
                <w:sz w:val="20"/>
                <w:szCs w:val="20"/>
                <w:lang w:val="en-US"/>
              </w:rPr>
              <w:t>3 (0.9% (0.2, 2.6)</w:t>
            </w:r>
            <w:r w:rsidR="00B51ED1" w:rsidRPr="00FB1752">
              <w:rPr>
                <w:i/>
                <w:sz w:val="20"/>
                <w:szCs w:val="20"/>
                <w:lang w:val="en-US"/>
              </w:rPr>
              <w:t>)</w:t>
            </w:r>
          </w:p>
        </w:tc>
        <w:tc>
          <w:tcPr>
            <w:tcW w:w="2398" w:type="dxa"/>
            <w:vAlign w:val="center"/>
          </w:tcPr>
          <w:p w14:paraId="3AFC5204" w14:textId="77777777" w:rsidR="00B51ED1" w:rsidRPr="00FB1752" w:rsidRDefault="003201DC" w:rsidP="00FB1752">
            <w:pPr>
              <w:rPr>
                <w:i/>
                <w:sz w:val="20"/>
                <w:szCs w:val="20"/>
              </w:rPr>
            </w:pPr>
            <w:r w:rsidRPr="00FB1752">
              <w:rPr>
                <w:i/>
                <w:sz w:val="20"/>
                <w:szCs w:val="20"/>
                <w:lang w:val="en-US"/>
              </w:rPr>
              <w:t>2 (1.2% (0.1, 4.2)</w:t>
            </w:r>
            <w:r w:rsidR="00B51ED1" w:rsidRPr="00FB1752">
              <w:rPr>
                <w:i/>
                <w:sz w:val="20"/>
                <w:szCs w:val="20"/>
                <w:lang w:val="en-US"/>
              </w:rPr>
              <w:t>)</w:t>
            </w:r>
          </w:p>
        </w:tc>
      </w:tr>
      <w:tr w:rsidR="00B51ED1" w:rsidRPr="00FB1752" w14:paraId="62D46DE6" w14:textId="77777777" w:rsidTr="003201DC">
        <w:tc>
          <w:tcPr>
            <w:tcW w:w="3676" w:type="dxa"/>
            <w:vAlign w:val="center"/>
          </w:tcPr>
          <w:p w14:paraId="34573C0F" w14:textId="77777777" w:rsidR="00B51ED1" w:rsidRPr="00FB1752" w:rsidRDefault="003201DC" w:rsidP="00FB1752">
            <w:pPr>
              <w:rPr>
                <w:i/>
                <w:sz w:val="20"/>
                <w:szCs w:val="20"/>
                <w:lang w:val="en-US"/>
              </w:rPr>
            </w:pPr>
            <w:r w:rsidRPr="00FB1752">
              <w:rPr>
                <w:i/>
                <w:sz w:val="20"/>
                <w:szCs w:val="20"/>
                <w:lang w:val="en-US"/>
              </w:rPr>
              <w:t>Partial response, n (% (95%CI)</w:t>
            </w:r>
            <w:r w:rsidR="00B51ED1" w:rsidRPr="00FB1752">
              <w:rPr>
                <w:i/>
                <w:sz w:val="20"/>
                <w:szCs w:val="20"/>
                <w:lang w:val="en-US"/>
              </w:rPr>
              <w:t>)</w:t>
            </w:r>
          </w:p>
        </w:tc>
        <w:tc>
          <w:tcPr>
            <w:tcW w:w="2410" w:type="dxa"/>
            <w:vAlign w:val="center"/>
          </w:tcPr>
          <w:p w14:paraId="11A7CF6A" w14:textId="77777777" w:rsidR="00B51ED1" w:rsidRPr="00FB1752" w:rsidRDefault="00B51ED1" w:rsidP="00FB1752">
            <w:pPr>
              <w:rPr>
                <w:i/>
                <w:sz w:val="20"/>
                <w:szCs w:val="20"/>
                <w:lang w:val="en-US"/>
              </w:rPr>
            </w:pPr>
            <w:r w:rsidRPr="00FB1752">
              <w:rPr>
                <w:i/>
                <w:sz w:val="20"/>
                <w:szCs w:val="20"/>
                <w:lang w:val="en-US"/>
              </w:rPr>
              <w:t>135 (39.7% [34.5, 45.1])</w:t>
            </w:r>
          </w:p>
        </w:tc>
        <w:tc>
          <w:tcPr>
            <w:tcW w:w="2398" w:type="dxa"/>
            <w:vAlign w:val="center"/>
          </w:tcPr>
          <w:p w14:paraId="6DCCBF51" w14:textId="77777777" w:rsidR="00B51ED1" w:rsidRPr="00FB1752" w:rsidRDefault="003201DC" w:rsidP="00FB1752">
            <w:pPr>
              <w:rPr>
                <w:i/>
                <w:sz w:val="20"/>
                <w:szCs w:val="20"/>
                <w:lang w:val="en-US"/>
              </w:rPr>
            </w:pPr>
            <w:r w:rsidRPr="00FB1752">
              <w:rPr>
                <w:i/>
                <w:sz w:val="20"/>
                <w:szCs w:val="20"/>
                <w:lang w:val="en-US"/>
              </w:rPr>
              <w:t>37 (21.6% (15.7, 28.6)</w:t>
            </w:r>
            <w:r w:rsidR="00B51ED1" w:rsidRPr="00FB1752">
              <w:rPr>
                <w:i/>
                <w:sz w:val="20"/>
                <w:szCs w:val="20"/>
                <w:lang w:val="en-US"/>
              </w:rPr>
              <w:t>)</w:t>
            </w:r>
          </w:p>
        </w:tc>
      </w:tr>
      <w:tr w:rsidR="00B51ED1" w:rsidRPr="00FB1752" w14:paraId="7E1BABB8" w14:textId="77777777" w:rsidTr="00B51ED1">
        <w:tc>
          <w:tcPr>
            <w:tcW w:w="3676" w:type="dxa"/>
            <w:vAlign w:val="center"/>
          </w:tcPr>
          <w:p w14:paraId="0A890AEB" w14:textId="77777777" w:rsidR="00B51ED1" w:rsidRPr="00FB1752" w:rsidRDefault="00B51ED1" w:rsidP="00FB1752">
            <w:pPr>
              <w:rPr>
                <w:sz w:val="20"/>
                <w:szCs w:val="20"/>
                <w:lang w:val="en-US"/>
              </w:rPr>
            </w:pPr>
            <w:r w:rsidRPr="00FB1752">
              <w:rPr>
                <w:sz w:val="20"/>
                <w:szCs w:val="20"/>
                <w:lang w:val="en-US"/>
              </w:rPr>
              <w:t xml:space="preserve">Stratified </w:t>
            </w:r>
            <w:r w:rsidR="00B21FD6" w:rsidRPr="00FB1752">
              <w:rPr>
                <w:sz w:val="20"/>
                <w:szCs w:val="20"/>
                <w:lang w:val="en-US"/>
              </w:rPr>
              <w:t>Cochran–Mantel–Haenszel test</w:t>
            </w:r>
            <w:r w:rsidR="003201DC" w:rsidRPr="00FB1752">
              <w:rPr>
                <w:sz w:val="20"/>
                <w:szCs w:val="20"/>
                <w:lang w:val="en-US"/>
              </w:rPr>
              <w:t xml:space="preserve"> p </w:t>
            </w:r>
            <w:r w:rsidRPr="00FB1752">
              <w:rPr>
                <w:sz w:val="20"/>
                <w:szCs w:val="20"/>
                <w:lang w:val="en-US"/>
              </w:rPr>
              <w:t>value</w:t>
            </w:r>
          </w:p>
        </w:tc>
        <w:tc>
          <w:tcPr>
            <w:tcW w:w="4808" w:type="dxa"/>
            <w:gridSpan w:val="2"/>
            <w:vAlign w:val="center"/>
          </w:tcPr>
          <w:p w14:paraId="46747E3C" w14:textId="77777777" w:rsidR="00B51ED1" w:rsidRPr="00FB1752" w:rsidRDefault="00B51ED1" w:rsidP="00FB1752">
            <w:pPr>
              <w:rPr>
                <w:sz w:val="20"/>
                <w:szCs w:val="20"/>
                <w:lang w:val="en-US"/>
              </w:rPr>
            </w:pPr>
            <w:r w:rsidRPr="00FB1752">
              <w:rPr>
                <w:sz w:val="20"/>
                <w:szCs w:val="20"/>
                <w:lang w:val="en-US"/>
              </w:rPr>
              <w:t>0.00008</w:t>
            </w:r>
          </w:p>
        </w:tc>
      </w:tr>
      <w:tr w:rsidR="00B51ED1" w:rsidRPr="00FB1752" w14:paraId="04376C74" w14:textId="77777777" w:rsidTr="00B51ED1">
        <w:tc>
          <w:tcPr>
            <w:tcW w:w="8484" w:type="dxa"/>
            <w:gridSpan w:val="3"/>
            <w:vAlign w:val="center"/>
          </w:tcPr>
          <w:p w14:paraId="0697AF94" w14:textId="77777777" w:rsidR="00B51ED1" w:rsidRPr="00FB1752" w:rsidRDefault="003201DC" w:rsidP="00FB1752">
            <w:pPr>
              <w:rPr>
                <w:sz w:val="20"/>
                <w:szCs w:val="20"/>
                <w:lang w:val="en-US"/>
              </w:rPr>
            </w:pPr>
            <w:r w:rsidRPr="00FB1752">
              <w:rPr>
                <w:sz w:val="20"/>
                <w:szCs w:val="20"/>
                <w:lang w:val="en-US"/>
              </w:rPr>
              <w:t>DOR</w:t>
            </w:r>
          </w:p>
        </w:tc>
      </w:tr>
      <w:tr w:rsidR="00B51ED1" w:rsidRPr="00FB1752" w14:paraId="26C7A8F1" w14:textId="77777777" w:rsidTr="00B51ED1">
        <w:tc>
          <w:tcPr>
            <w:tcW w:w="3676" w:type="dxa"/>
            <w:vAlign w:val="center"/>
          </w:tcPr>
          <w:p w14:paraId="5D484DA5" w14:textId="77777777" w:rsidR="00B51ED1" w:rsidRPr="00FB1752" w:rsidRDefault="00B51ED1" w:rsidP="00FB1752">
            <w:pPr>
              <w:rPr>
                <w:sz w:val="20"/>
                <w:szCs w:val="20"/>
                <w:lang w:val="en-US"/>
              </w:rPr>
            </w:pPr>
            <w:r w:rsidRPr="00FB1752">
              <w:rPr>
                <w:sz w:val="20"/>
                <w:szCs w:val="20"/>
                <w:lang w:val="en-US"/>
              </w:rPr>
              <w:t>Median, months (95% CI)</w:t>
            </w:r>
          </w:p>
        </w:tc>
        <w:tc>
          <w:tcPr>
            <w:tcW w:w="2410" w:type="dxa"/>
            <w:vAlign w:val="center"/>
          </w:tcPr>
          <w:p w14:paraId="39D792ED" w14:textId="77777777" w:rsidR="00B51ED1" w:rsidRPr="00FB1752" w:rsidRDefault="00B51ED1" w:rsidP="00FB1752">
            <w:pPr>
              <w:rPr>
                <w:sz w:val="20"/>
                <w:szCs w:val="20"/>
                <w:lang w:val="en-US"/>
              </w:rPr>
            </w:pPr>
            <w:r w:rsidRPr="00FB1752">
              <w:rPr>
                <w:sz w:val="20"/>
                <w:szCs w:val="20"/>
                <w:lang w:val="en-US"/>
              </w:rPr>
              <w:t>8.3 (6.2, 9.7)</w:t>
            </w:r>
          </w:p>
        </w:tc>
        <w:tc>
          <w:tcPr>
            <w:tcW w:w="2398" w:type="dxa"/>
            <w:vAlign w:val="center"/>
          </w:tcPr>
          <w:p w14:paraId="1E2C5BBA" w14:textId="77777777" w:rsidR="00B51ED1" w:rsidRPr="00FB1752" w:rsidRDefault="00B51ED1" w:rsidP="00FB1752">
            <w:pPr>
              <w:rPr>
                <w:sz w:val="20"/>
                <w:szCs w:val="20"/>
                <w:lang w:val="en-US"/>
              </w:rPr>
            </w:pPr>
            <w:r w:rsidRPr="00FB1752">
              <w:rPr>
                <w:sz w:val="20"/>
                <w:szCs w:val="20"/>
                <w:lang w:val="en-US"/>
              </w:rPr>
              <w:t>6.3 (5.8, 8.9)</w:t>
            </w:r>
          </w:p>
        </w:tc>
      </w:tr>
    </w:tbl>
    <w:p w14:paraId="54A8EC22" w14:textId="77777777" w:rsidR="00B51ED1" w:rsidRPr="00576E8D" w:rsidRDefault="00B51ED1" w:rsidP="00B51ED1">
      <w:pPr>
        <w:pStyle w:val="Heading5"/>
      </w:pPr>
      <w:r>
        <w:t>Efficacy-related c</w:t>
      </w:r>
      <w:r w:rsidRPr="00576E8D">
        <w:t>onclusions</w:t>
      </w:r>
    </w:p>
    <w:p w14:paraId="6F77B23C" w14:textId="77777777" w:rsidR="00B51ED1" w:rsidRDefault="00B51ED1" w:rsidP="00C83861">
      <w:r>
        <w:t xml:space="preserve">A statistically significant and clinically meaningful improvement in PFS by BICR (primary endpoint) was demonstrated, as well as in key secondary endpoints of OS and PFS in </w:t>
      </w:r>
      <w:r w:rsidR="003201DC">
        <w:t>patients with brain metastases.</w:t>
      </w:r>
    </w:p>
    <w:p w14:paraId="5DFD987D" w14:textId="40AAE778" w:rsidR="00B51ED1" w:rsidRDefault="00B51ED1" w:rsidP="00C83861">
      <w:r>
        <w:t>All patients had been exposed to at l</w:t>
      </w:r>
      <w:r w:rsidR="003201DC">
        <w:t>east one line (and a median of three</w:t>
      </w:r>
      <w:r>
        <w:t>, maximum of 14</w:t>
      </w:r>
      <w:r w:rsidR="002A46F3">
        <w:t> </w:t>
      </w:r>
      <w:r>
        <w:t>lines) of the</w:t>
      </w:r>
      <w:r w:rsidR="003201DC">
        <w:t>rapy in the metastatic setting.</w:t>
      </w:r>
    </w:p>
    <w:p w14:paraId="64CFD471" w14:textId="404EEBB8" w:rsidR="00B51ED1" w:rsidRDefault="00B51ED1" w:rsidP="00C83861">
      <w:r>
        <w:t>As stated in the Multi-Discipline Review,</w:t>
      </w:r>
      <w:r w:rsidR="003201DC">
        <w:fldChar w:fldCharType="begin"/>
      </w:r>
      <w:r w:rsidR="003201DC">
        <w:instrText xml:space="preserve"> NOTEREF _Ref64226828 \f \h </w:instrText>
      </w:r>
      <w:r w:rsidR="003201DC">
        <w:fldChar w:fldCharType="separate"/>
      </w:r>
      <w:r w:rsidR="00F979FB" w:rsidRPr="00F979FB">
        <w:rPr>
          <w:rStyle w:val="FootnoteReference"/>
        </w:rPr>
        <w:t>10</w:t>
      </w:r>
      <w:r w:rsidR="003201DC">
        <w:fldChar w:fldCharType="end"/>
      </w:r>
      <w:r>
        <w:t xml:space="preserve"> endpoints beyond the primary and key secondary endpoints are considered exploratory. They should not be included in the A</w:t>
      </w:r>
      <w:r w:rsidR="00C83861">
        <w:t xml:space="preserve">ustralian </w:t>
      </w:r>
      <w:r w:rsidR="003201DC">
        <w:t>PI</w:t>
      </w:r>
      <w:r w:rsidR="00C83861">
        <w:t>.</w:t>
      </w:r>
    </w:p>
    <w:p w14:paraId="1415D582" w14:textId="77777777" w:rsidR="00B51ED1" w:rsidRPr="0000322F" w:rsidRDefault="00C83861" w:rsidP="00B51ED1">
      <w:pPr>
        <w:pStyle w:val="Heading4"/>
      </w:pPr>
      <w:r>
        <w:t>Safety</w:t>
      </w:r>
    </w:p>
    <w:p w14:paraId="24ACA9A1" w14:textId="77777777" w:rsidR="00B51ED1" w:rsidRDefault="00B51ED1" w:rsidP="00B51ED1">
      <w:pPr>
        <w:pStyle w:val="Heading5"/>
      </w:pPr>
      <w:r>
        <w:t>Safety analysis plan and populations</w:t>
      </w:r>
    </w:p>
    <w:p w14:paraId="0EF45152" w14:textId="77777777" w:rsidR="00B51ED1" w:rsidRPr="000B6EE4" w:rsidRDefault="003201DC" w:rsidP="00C83861">
      <w:r>
        <w:t>This AusPAR</w:t>
      </w:r>
      <w:r w:rsidR="00B51ED1">
        <w:t xml:space="preserve"> focuses on data from the main safety analysis from </w:t>
      </w:r>
      <w:r>
        <w:t xml:space="preserve">the </w:t>
      </w:r>
      <w:r w:rsidR="00B51ED1">
        <w:t>HER2CLIMB</w:t>
      </w:r>
      <w:r>
        <w:t xml:space="preserve"> trial</w:t>
      </w:r>
      <w:r w:rsidR="00B51ED1">
        <w:t>,</w:t>
      </w:r>
      <w:r>
        <w:t xml:space="preserve"> with a cut-off date of 4 September </w:t>
      </w:r>
      <w:r w:rsidR="00B51ED1">
        <w:t xml:space="preserve">2019. The Safety Analysis Set included all randomised patients who received at least one dose of study treatment (tucatinib/placebo, trastuzumab or capecitabine). Adverse events </w:t>
      </w:r>
      <w:r>
        <w:t xml:space="preserve">(AEs) </w:t>
      </w:r>
      <w:r w:rsidR="00B51ED1">
        <w:t>were defined as treatment-emergent if occurring between first dose of study treatment to w</w:t>
      </w:r>
      <w:r>
        <w:t>ithin 30 days after final dose.</w:t>
      </w:r>
    </w:p>
    <w:p w14:paraId="4DE0635F" w14:textId="0F148D18" w:rsidR="00B51ED1" w:rsidRDefault="00B51ED1" w:rsidP="00C83861">
      <w:r>
        <w:t>A more detailed safety analysis is presented in the Multi-Discipline Review,</w:t>
      </w:r>
      <w:r w:rsidR="003201DC">
        <w:fldChar w:fldCharType="begin"/>
      </w:r>
      <w:r w:rsidR="003201DC">
        <w:instrText xml:space="preserve"> NOTEREF _Ref64226828 \f \h </w:instrText>
      </w:r>
      <w:r w:rsidR="003201DC">
        <w:fldChar w:fldCharType="separate"/>
      </w:r>
      <w:r w:rsidR="00F979FB" w:rsidRPr="00F979FB">
        <w:rPr>
          <w:rStyle w:val="FootnoteReference"/>
        </w:rPr>
        <w:t>10</w:t>
      </w:r>
      <w:r w:rsidR="003201DC">
        <w:fldChar w:fldCharType="end"/>
      </w:r>
      <w:r>
        <w:t xml:space="preserve"> and incorporates</w:t>
      </w:r>
      <w:r w:rsidRPr="000B6EE4">
        <w:t xml:space="preserve"> data from two preceding </w:t>
      </w:r>
      <w:r w:rsidR="003201DC">
        <w:t>Phase I</w:t>
      </w:r>
      <w:r>
        <w:t xml:space="preserve"> studies (</w:t>
      </w:r>
      <w:r w:rsidR="003201DC">
        <w:t xml:space="preserve">Studies </w:t>
      </w:r>
      <w:r w:rsidRPr="000B6EE4">
        <w:t xml:space="preserve">ARRAY-380-101 </w:t>
      </w:r>
      <w:r>
        <w:t>a</w:t>
      </w:r>
      <w:r w:rsidRPr="000B6EE4">
        <w:t xml:space="preserve">nd </w:t>
      </w:r>
      <w:r w:rsidR="00822A5F">
        <w:t>ONT</w:t>
      </w:r>
      <w:r w:rsidR="00822A5F">
        <w:noBreakHyphen/>
      </w:r>
      <w:r>
        <w:t>380-005) as well as a 90</w:t>
      </w:r>
      <w:r w:rsidR="003201DC">
        <w:t xml:space="preserve"> </w:t>
      </w:r>
      <w:r w:rsidRPr="00245069">
        <w:t>day safety update dataset</w:t>
      </w:r>
      <w:r w:rsidR="003201DC">
        <w:t>.</w:t>
      </w:r>
    </w:p>
    <w:p w14:paraId="34511046" w14:textId="77777777" w:rsidR="00B51ED1" w:rsidRDefault="00B51ED1" w:rsidP="00B51ED1">
      <w:pPr>
        <w:pStyle w:val="Heading5"/>
      </w:pPr>
      <w:r>
        <w:t>Exposure</w:t>
      </w:r>
    </w:p>
    <w:p w14:paraId="24EA2253" w14:textId="3FC7D3AA" w:rsidR="00B51ED1" w:rsidRDefault="00B51ED1" w:rsidP="00C83861">
      <w:r>
        <w:t>A total of 861 subjects had received at least 1 dose of tucatinib; 571 subjects with cancer (</w:t>
      </w:r>
      <w:r w:rsidR="003201DC">
        <w:t xml:space="preserve">see </w:t>
      </w:r>
      <w:r>
        <w:fldChar w:fldCharType="begin"/>
      </w:r>
      <w:r>
        <w:instrText xml:space="preserve"> REF _Ref43218337 \h </w:instrText>
      </w:r>
      <w:r w:rsidR="00C83861">
        <w:instrText xml:space="preserve"> \* MERGEFORMAT </w:instrText>
      </w:r>
      <w:r>
        <w:fldChar w:fldCharType="separate"/>
      </w:r>
      <w:r w:rsidR="00F979FB">
        <w:t xml:space="preserve">Table </w:t>
      </w:r>
      <w:r w:rsidR="00F979FB">
        <w:rPr>
          <w:noProof/>
        </w:rPr>
        <w:t>16</w:t>
      </w:r>
      <w:r>
        <w:fldChar w:fldCharType="end"/>
      </w:r>
      <w:r>
        <w:t>) and 290 subjects without cancer in earlier phase studies.</w:t>
      </w:r>
    </w:p>
    <w:p w14:paraId="45339C46" w14:textId="77777777" w:rsidR="00B51ED1" w:rsidRDefault="00B51ED1" w:rsidP="00C83861">
      <w:r>
        <w:t>In the</w:t>
      </w:r>
      <w:r w:rsidR="003201DC">
        <w:t xml:space="preserve"> pivotal </w:t>
      </w:r>
      <w:r>
        <w:t>HER2CLIMB</w:t>
      </w:r>
      <w:r w:rsidR="003201DC">
        <w:t xml:space="preserve"> trial</w:t>
      </w:r>
      <w:r>
        <w:t>, the Safety Analysis Set consisted of 404 patients in the tucatinib arm and 197 in the placebo arm who received at least one dose of tucatinib or matching placebo. Durations of e</w:t>
      </w:r>
      <w:r w:rsidRPr="00706992">
        <w:t xml:space="preserve">xposure to </w:t>
      </w:r>
      <w:r>
        <w:t>capecitabine, to trastuzumab and to tucatinib or matching placebo</w:t>
      </w:r>
      <w:r w:rsidRPr="00706992">
        <w:t xml:space="preserve"> </w:t>
      </w:r>
      <w:r>
        <w:t>were all</w:t>
      </w:r>
      <w:r w:rsidRPr="00706992">
        <w:t xml:space="preserve"> around </w:t>
      </w:r>
      <w:r>
        <w:t>30</w:t>
      </w:r>
      <w:r w:rsidRPr="00706992">
        <w:t>% longer in the investigational arm than the comparator arm.</w:t>
      </w:r>
    </w:p>
    <w:p w14:paraId="67FF0644" w14:textId="44664A13" w:rsidR="00B51ED1" w:rsidRDefault="00B51ED1" w:rsidP="00C83861">
      <w:pPr>
        <w:pStyle w:val="TableTitle"/>
      </w:pPr>
      <w:bookmarkStart w:id="58" w:name="_Ref43218337"/>
      <w:r>
        <w:t xml:space="preserve">Table </w:t>
      </w:r>
      <w:fldSimple w:instr=" SEQ Table \* ARABIC ">
        <w:r w:rsidR="00F979FB">
          <w:rPr>
            <w:noProof/>
          </w:rPr>
          <w:t>16</w:t>
        </w:r>
      </w:fldSimple>
      <w:bookmarkEnd w:id="58"/>
      <w:r w:rsidR="00C83861">
        <w:t>:</w:t>
      </w:r>
      <w:r>
        <w:t xml:space="preserve"> Summary of exposure to tucatinib in cancer patients across th</w:t>
      </w:r>
      <w:r w:rsidR="00C83861">
        <w:t>e clinical development program</w:t>
      </w:r>
    </w:p>
    <w:tbl>
      <w:tblPr>
        <w:tblStyle w:val="TableTGAblue"/>
        <w:tblW w:w="5000" w:type="pct"/>
        <w:tblCellMar>
          <w:left w:w="57" w:type="dxa"/>
          <w:right w:w="57" w:type="dxa"/>
        </w:tblCellMar>
        <w:tblLook w:val="0420" w:firstRow="1" w:lastRow="0" w:firstColumn="0" w:lastColumn="0" w:noHBand="0" w:noVBand="1"/>
      </w:tblPr>
      <w:tblGrid>
        <w:gridCol w:w="2965"/>
        <w:gridCol w:w="1320"/>
        <w:gridCol w:w="1320"/>
        <w:gridCol w:w="1320"/>
        <w:gridCol w:w="1559"/>
      </w:tblGrid>
      <w:tr w:rsidR="00B51ED1" w:rsidRPr="00FB1752" w14:paraId="70797029" w14:textId="77777777" w:rsidTr="00A33D6C">
        <w:trPr>
          <w:cnfStyle w:val="100000000000" w:firstRow="1" w:lastRow="0" w:firstColumn="0" w:lastColumn="0" w:oddVBand="0" w:evenVBand="0" w:oddHBand="0" w:evenHBand="0" w:firstRowFirstColumn="0" w:firstRowLastColumn="0" w:lastRowFirstColumn="0" w:lastRowLastColumn="0"/>
          <w:trHeight w:val="20"/>
        </w:trPr>
        <w:tc>
          <w:tcPr>
            <w:tcW w:w="1776" w:type="pct"/>
          </w:tcPr>
          <w:p w14:paraId="3DA03A91" w14:textId="77777777" w:rsidR="00B51ED1" w:rsidRPr="00FB1752" w:rsidRDefault="00B51ED1" w:rsidP="00FB1752">
            <w:pPr>
              <w:rPr>
                <w:sz w:val="20"/>
                <w:szCs w:val="20"/>
                <w:lang w:val="en-US"/>
              </w:rPr>
            </w:pPr>
            <w:r w:rsidRPr="00FB1752">
              <w:rPr>
                <w:sz w:val="20"/>
                <w:szCs w:val="20"/>
                <w:lang w:val="en-US"/>
              </w:rPr>
              <w:t>Study ID</w:t>
            </w:r>
          </w:p>
        </w:tc>
        <w:tc>
          <w:tcPr>
            <w:tcW w:w="806" w:type="pct"/>
            <w:vAlign w:val="center"/>
          </w:tcPr>
          <w:p w14:paraId="46F39AAD" w14:textId="77777777" w:rsidR="00B51ED1" w:rsidRPr="00FB1752" w:rsidRDefault="00B51ED1" w:rsidP="00FB1752">
            <w:pPr>
              <w:rPr>
                <w:sz w:val="20"/>
                <w:szCs w:val="20"/>
                <w:lang w:val="en-US"/>
              </w:rPr>
            </w:pPr>
            <w:r w:rsidRPr="00FB1752">
              <w:rPr>
                <w:sz w:val="20"/>
                <w:szCs w:val="20"/>
                <w:lang w:val="en-US"/>
              </w:rPr>
              <w:t>ARRAY-380-101</w:t>
            </w:r>
          </w:p>
        </w:tc>
        <w:tc>
          <w:tcPr>
            <w:tcW w:w="806" w:type="pct"/>
            <w:vAlign w:val="center"/>
          </w:tcPr>
          <w:p w14:paraId="0A81BC10" w14:textId="77777777" w:rsidR="00B51ED1" w:rsidRPr="00FB1752" w:rsidRDefault="00B51ED1" w:rsidP="00FB1752">
            <w:pPr>
              <w:rPr>
                <w:sz w:val="20"/>
                <w:szCs w:val="20"/>
                <w:lang w:val="en-US"/>
              </w:rPr>
            </w:pPr>
            <w:r w:rsidRPr="00FB1752">
              <w:rPr>
                <w:sz w:val="20"/>
                <w:szCs w:val="20"/>
                <w:lang w:val="en-US"/>
              </w:rPr>
              <w:t>ONT-380-004</w:t>
            </w:r>
          </w:p>
        </w:tc>
        <w:tc>
          <w:tcPr>
            <w:tcW w:w="806" w:type="pct"/>
            <w:vAlign w:val="center"/>
          </w:tcPr>
          <w:p w14:paraId="2E1863CB" w14:textId="77777777" w:rsidR="00B51ED1" w:rsidRPr="00FB1752" w:rsidRDefault="00B51ED1" w:rsidP="00FB1752">
            <w:pPr>
              <w:rPr>
                <w:sz w:val="20"/>
                <w:szCs w:val="20"/>
                <w:lang w:val="en-US"/>
              </w:rPr>
            </w:pPr>
            <w:r w:rsidRPr="00FB1752">
              <w:rPr>
                <w:sz w:val="20"/>
                <w:szCs w:val="20"/>
                <w:lang w:val="en-US"/>
              </w:rPr>
              <w:t>ONT-380-005</w:t>
            </w:r>
          </w:p>
        </w:tc>
        <w:tc>
          <w:tcPr>
            <w:tcW w:w="806" w:type="pct"/>
            <w:vAlign w:val="center"/>
          </w:tcPr>
          <w:p w14:paraId="78B91C23" w14:textId="77777777" w:rsidR="00B51ED1" w:rsidRPr="00FB1752" w:rsidRDefault="00B51ED1" w:rsidP="00FB1752">
            <w:pPr>
              <w:rPr>
                <w:sz w:val="20"/>
                <w:szCs w:val="20"/>
                <w:lang w:val="en-US"/>
              </w:rPr>
            </w:pPr>
            <w:r w:rsidRPr="00FB1752">
              <w:rPr>
                <w:sz w:val="20"/>
                <w:szCs w:val="20"/>
                <w:lang w:val="en-US"/>
              </w:rPr>
              <w:t>HER2CLIMB</w:t>
            </w:r>
          </w:p>
        </w:tc>
      </w:tr>
      <w:tr w:rsidR="00B51ED1" w:rsidRPr="00FB1752" w14:paraId="18A45E7D" w14:textId="77777777" w:rsidTr="00A33D6C">
        <w:trPr>
          <w:trHeight w:val="20"/>
        </w:trPr>
        <w:tc>
          <w:tcPr>
            <w:tcW w:w="1776" w:type="pct"/>
          </w:tcPr>
          <w:p w14:paraId="7DD0C210" w14:textId="77777777" w:rsidR="00B51ED1" w:rsidRPr="00FB1752" w:rsidRDefault="00B51ED1" w:rsidP="00FB1752">
            <w:pPr>
              <w:rPr>
                <w:color w:val="auto"/>
                <w:sz w:val="20"/>
                <w:szCs w:val="20"/>
              </w:rPr>
            </w:pPr>
            <w:r w:rsidRPr="00FB1752">
              <w:rPr>
                <w:color w:val="auto"/>
                <w:sz w:val="20"/>
                <w:szCs w:val="20"/>
                <w:lang w:val="en-US"/>
              </w:rPr>
              <w:t>Tucatinib dose (PO BD)</w:t>
            </w:r>
          </w:p>
        </w:tc>
        <w:tc>
          <w:tcPr>
            <w:tcW w:w="806" w:type="pct"/>
            <w:vAlign w:val="center"/>
          </w:tcPr>
          <w:p w14:paraId="4CB1D2AD" w14:textId="77777777" w:rsidR="00B51ED1" w:rsidRPr="00FB1752" w:rsidRDefault="00B51ED1" w:rsidP="00FB1752">
            <w:pPr>
              <w:rPr>
                <w:color w:val="auto"/>
                <w:sz w:val="20"/>
                <w:szCs w:val="20"/>
                <w:lang w:val="en-US"/>
              </w:rPr>
            </w:pPr>
            <w:r w:rsidRPr="00FB1752">
              <w:rPr>
                <w:color w:val="auto"/>
                <w:sz w:val="20"/>
                <w:szCs w:val="20"/>
                <w:lang w:val="en-US"/>
              </w:rPr>
              <w:t>25 to 800 mg</w:t>
            </w:r>
          </w:p>
        </w:tc>
        <w:tc>
          <w:tcPr>
            <w:tcW w:w="806" w:type="pct"/>
            <w:vAlign w:val="center"/>
          </w:tcPr>
          <w:p w14:paraId="5CEC2238" w14:textId="77777777" w:rsidR="00B51ED1" w:rsidRPr="00FB1752" w:rsidRDefault="00B51ED1" w:rsidP="00FB1752">
            <w:pPr>
              <w:rPr>
                <w:color w:val="auto"/>
                <w:sz w:val="20"/>
                <w:szCs w:val="20"/>
                <w:lang w:val="en-US"/>
              </w:rPr>
            </w:pPr>
            <w:r w:rsidRPr="00FB1752">
              <w:rPr>
                <w:color w:val="auto"/>
                <w:sz w:val="20"/>
                <w:szCs w:val="20"/>
                <w:lang w:val="en-US"/>
              </w:rPr>
              <w:t>300 to 350 mg</w:t>
            </w:r>
          </w:p>
        </w:tc>
        <w:tc>
          <w:tcPr>
            <w:tcW w:w="806" w:type="pct"/>
            <w:vAlign w:val="center"/>
          </w:tcPr>
          <w:p w14:paraId="69E9A358" w14:textId="77777777" w:rsidR="00B51ED1" w:rsidRPr="00FB1752" w:rsidRDefault="00B51ED1" w:rsidP="00FB1752">
            <w:pPr>
              <w:rPr>
                <w:color w:val="auto"/>
                <w:sz w:val="20"/>
                <w:szCs w:val="20"/>
                <w:lang w:val="en-US"/>
              </w:rPr>
            </w:pPr>
            <w:r w:rsidRPr="00FB1752">
              <w:rPr>
                <w:color w:val="auto"/>
                <w:sz w:val="20"/>
                <w:szCs w:val="20"/>
                <w:lang w:val="en-US"/>
              </w:rPr>
              <w:t>300 to 350 mg</w:t>
            </w:r>
          </w:p>
        </w:tc>
        <w:tc>
          <w:tcPr>
            <w:tcW w:w="806" w:type="pct"/>
            <w:vAlign w:val="center"/>
          </w:tcPr>
          <w:p w14:paraId="432C617A" w14:textId="77777777" w:rsidR="00B51ED1" w:rsidRPr="00FB1752" w:rsidRDefault="00B51ED1" w:rsidP="00FB1752">
            <w:pPr>
              <w:rPr>
                <w:color w:val="auto"/>
                <w:sz w:val="20"/>
                <w:szCs w:val="20"/>
                <w:lang w:val="en-US"/>
              </w:rPr>
            </w:pPr>
            <w:r w:rsidRPr="00FB1752">
              <w:rPr>
                <w:color w:val="auto"/>
                <w:sz w:val="20"/>
                <w:szCs w:val="20"/>
                <w:lang w:val="en-US"/>
              </w:rPr>
              <w:t>300 mg</w:t>
            </w:r>
          </w:p>
        </w:tc>
      </w:tr>
      <w:tr w:rsidR="00B51ED1" w:rsidRPr="00FB1752" w14:paraId="580D2BB2" w14:textId="77777777" w:rsidTr="00A33D6C">
        <w:trPr>
          <w:trHeight w:val="20"/>
        </w:trPr>
        <w:tc>
          <w:tcPr>
            <w:tcW w:w="1776" w:type="pct"/>
          </w:tcPr>
          <w:p w14:paraId="74C99ABA" w14:textId="77777777" w:rsidR="00B51ED1" w:rsidRPr="00FB1752" w:rsidRDefault="00B51ED1" w:rsidP="00FB1752">
            <w:pPr>
              <w:rPr>
                <w:color w:val="auto"/>
                <w:sz w:val="20"/>
                <w:szCs w:val="20"/>
                <w:lang w:val="en-US"/>
              </w:rPr>
            </w:pPr>
            <w:r w:rsidRPr="00FB1752">
              <w:rPr>
                <w:color w:val="auto"/>
                <w:sz w:val="20"/>
                <w:szCs w:val="20"/>
                <w:lang w:val="en-US"/>
              </w:rPr>
              <w:t>Diagnosis</w:t>
            </w:r>
          </w:p>
        </w:tc>
        <w:tc>
          <w:tcPr>
            <w:tcW w:w="806" w:type="pct"/>
            <w:vAlign w:val="center"/>
          </w:tcPr>
          <w:p w14:paraId="7541D00C" w14:textId="77777777" w:rsidR="00B51ED1" w:rsidRPr="00FB1752" w:rsidRDefault="00B51ED1" w:rsidP="00FB1752">
            <w:pPr>
              <w:rPr>
                <w:color w:val="auto"/>
                <w:sz w:val="20"/>
                <w:szCs w:val="20"/>
                <w:lang w:val="en-US"/>
              </w:rPr>
            </w:pPr>
            <w:r w:rsidRPr="00FB1752">
              <w:rPr>
                <w:color w:val="auto"/>
                <w:sz w:val="20"/>
                <w:szCs w:val="20"/>
                <w:lang w:val="en-US"/>
              </w:rPr>
              <w:t xml:space="preserve">Solid </w:t>
            </w:r>
            <w:proofErr w:type="spellStart"/>
            <w:r w:rsidRPr="00FB1752">
              <w:rPr>
                <w:color w:val="auto"/>
                <w:sz w:val="20"/>
                <w:szCs w:val="20"/>
                <w:lang w:val="en-US"/>
              </w:rPr>
              <w:t>tumours</w:t>
            </w:r>
            <w:proofErr w:type="spellEnd"/>
          </w:p>
        </w:tc>
        <w:tc>
          <w:tcPr>
            <w:tcW w:w="806" w:type="pct"/>
            <w:vAlign w:val="center"/>
          </w:tcPr>
          <w:p w14:paraId="78D74D93" w14:textId="77777777" w:rsidR="00B51ED1" w:rsidRPr="00FB1752" w:rsidRDefault="00B51ED1" w:rsidP="00FB1752">
            <w:pPr>
              <w:rPr>
                <w:color w:val="auto"/>
                <w:sz w:val="20"/>
                <w:szCs w:val="20"/>
                <w:lang w:val="en-US"/>
              </w:rPr>
            </w:pPr>
            <w:r w:rsidRPr="00FB1752">
              <w:rPr>
                <w:color w:val="auto"/>
                <w:sz w:val="20"/>
                <w:szCs w:val="20"/>
                <w:lang w:val="en-US"/>
              </w:rPr>
              <w:t>MBC</w:t>
            </w:r>
          </w:p>
        </w:tc>
        <w:tc>
          <w:tcPr>
            <w:tcW w:w="806" w:type="pct"/>
            <w:vAlign w:val="center"/>
          </w:tcPr>
          <w:p w14:paraId="76C7EBEC" w14:textId="77777777" w:rsidR="00B51ED1" w:rsidRPr="00FB1752" w:rsidRDefault="00B51ED1" w:rsidP="00FB1752">
            <w:pPr>
              <w:rPr>
                <w:color w:val="auto"/>
                <w:sz w:val="20"/>
                <w:szCs w:val="20"/>
                <w:lang w:val="en-US"/>
              </w:rPr>
            </w:pPr>
            <w:r w:rsidRPr="00FB1752">
              <w:rPr>
                <w:color w:val="auto"/>
                <w:sz w:val="20"/>
                <w:szCs w:val="20"/>
                <w:lang w:val="en-US"/>
              </w:rPr>
              <w:t>MBC</w:t>
            </w:r>
          </w:p>
        </w:tc>
        <w:tc>
          <w:tcPr>
            <w:tcW w:w="806" w:type="pct"/>
            <w:vAlign w:val="center"/>
          </w:tcPr>
          <w:p w14:paraId="6EB2AFBF" w14:textId="77777777" w:rsidR="00B51ED1" w:rsidRPr="00FB1752" w:rsidRDefault="00B51ED1" w:rsidP="00FB1752">
            <w:pPr>
              <w:rPr>
                <w:color w:val="auto"/>
                <w:sz w:val="20"/>
                <w:szCs w:val="20"/>
                <w:lang w:val="en-US"/>
              </w:rPr>
            </w:pPr>
            <w:r w:rsidRPr="00FB1752">
              <w:rPr>
                <w:color w:val="auto"/>
                <w:sz w:val="20"/>
                <w:szCs w:val="20"/>
                <w:lang w:val="en-US"/>
              </w:rPr>
              <w:t>MBC</w:t>
            </w:r>
          </w:p>
        </w:tc>
      </w:tr>
      <w:tr w:rsidR="00B51ED1" w:rsidRPr="00FB1752" w14:paraId="279BDDB1" w14:textId="77777777" w:rsidTr="00A33D6C">
        <w:trPr>
          <w:trHeight w:val="20"/>
        </w:trPr>
        <w:tc>
          <w:tcPr>
            <w:tcW w:w="1776" w:type="pct"/>
          </w:tcPr>
          <w:p w14:paraId="0C522881" w14:textId="77777777" w:rsidR="00B51ED1" w:rsidRPr="00FB1752" w:rsidRDefault="00B51ED1" w:rsidP="00FB1752">
            <w:pPr>
              <w:rPr>
                <w:color w:val="auto"/>
                <w:sz w:val="20"/>
                <w:szCs w:val="20"/>
              </w:rPr>
            </w:pPr>
            <w:r w:rsidRPr="00FB1752">
              <w:rPr>
                <w:color w:val="auto"/>
                <w:sz w:val="20"/>
                <w:szCs w:val="20"/>
                <w:lang w:val="en-US"/>
              </w:rPr>
              <w:t>Subjects exposed</w:t>
            </w:r>
          </w:p>
        </w:tc>
        <w:tc>
          <w:tcPr>
            <w:tcW w:w="806" w:type="pct"/>
            <w:vAlign w:val="center"/>
          </w:tcPr>
          <w:p w14:paraId="46E8925D" w14:textId="77777777" w:rsidR="00B51ED1" w:rsidRPr="00FB1752" w:rsidRDefault="00B51ED1" w:rsidP="00FB1752">
            <w:pPr>
              <w:rPr>
                <w:color w:val="auto"/>
                <w:sz w:val="20"/>
                <w:szCs w:val="20"/>
                <w:lang w:val="en-US"/>
              </w:rPr>
            </w:pPr>
            <w:r w:rsidRPr="00FB1752">
              <w:rPr>
                <w:color w:val="auto"/>
                <w:sz w:val="20"/>
                <w:szCs w:val="20"/>
                <w:lang w:val="en-US"/>
              </w:rPr>
              <w:t>50</w:t>
            </w:r>
          </w:p>
        </w:tc>
        <w:tc>
          <w:tcPr>
            <w:tcW w:w="806" w:type="pct"/>
            <w:vAlign w:val="center"/>
          </w:tcPr>
          <w:p w14:paraId="6343C7C9" w14:textId="77777777" w:rsidR="00B51ED1" w:rsidRPr="00FB1752" w:rsidRDefault="00B51ED1" w:rsidP="00FB1752">
            <w:pPr>
              <w:rPr>
                <w:color w:val="auto"/>
                <w:sz w:val="20"/>
                <w:szCs w:val="20"/>
                <w:lang w:val="en-US"/>
              </w:rPr>
            </w:pPr>
            <w:r w:rsidRPr="00FB1752">
              <w:rPr>
                <w:color w:val="auto"/>
                <w:sz w:val="20"/>
                <w:szCs w:val="20"/>
                <w:lang w:val="en-US"/>
              </w:rPr>
              <w:t>57</w:t>
            </w:r>
          </w:p>
        </w:tc>
        <w:tc>
          <w:tcPr>
            <w:tcW w:w="806" w:type="pct"/>
            <w:vAlign w:val="center"/>
          </w:tcPr>
          <w:p w14:paraId="3A54473B" w14:textId="77777777" w:rsidR="00B51ED1" w:rsidRPr="00FB1752" w:rsidRDefault="00B51ED1" w:rsidP="00FB1752">
            <w:pPr>
              <w:rPr>
                <w:color w:val="auto"/>
                <w:sz w:val="20"/>
                <w:szCs w:val="20"/>
                <w:lang w:val="en-US"/>
              </w:rPr>
            </w:pPr>
            <w:r w:rsidRPr="00FB1752">
              <w:rPr>
                <w:color w:val="auto"/>
                <w:sz w:val="20"/>
                <w:szCs w:val="20"/>
                <w:lang w:val="en-US"/>
              </w:rPr>
              <w:t>60</w:t>
            </w:r>
          </w:p>
        </w:tc>
        <w:tc>
          <w:tcPr>
            <w:tcW w:w="806" w:type="pct"/>
            <w:vAlign w:val="center"/>
          </w:tcPr>
          <w:p w14:paraId="4E3D7AC6" w14:textId="77777777" w:rsidR="00B51ED1" w:rsidRPr="00FB1752" w:rsidRDefault="00B51ED1" w:rsidP="00FB1752">
            <w:pPr>
              <w:rPr>
                <w:color w:val="auto"/>
                <w:sz w:val="20"/>
                <w:szCs w:val="20"/>
                <w:lang w:val="en-US"/>
              </w:rPr>
            </w:pPr>
            <w:r w:rsidRPr="00FB1752">
              <w:rPr>
                <w:color w:val="auto"/>
                <w:sz w:val="20"/>
                <w:szCs w:val="20"/>
                <w:lang w:val="en-US"/>
              </w:rPr>
              <w:t>404</w:t>
            </w:r>
          </w:p>
        </w:tc>
      </w:tr>
      <w:tr w:rsidR="00B51ED1" w:rsidRPr="00FB1752" w14:paraId="3A21366E" w14:textId="77777777" w:rsidTr="00A33D6C">
        <w:trPr>
          <w:trHeight w:val="20"/>
        </w:trPr>
        <w:tc>
          <w:tcPr>
            <w:tcW w:w="1776" w:type="pct"/>
          </w:tcPr>
          <w:p w14:paraId="21948806" w14:textId="77777777" w:rsidR="00B51ED1" w:rsidRPr="00FB1752" w:rsidRDefault="00B51ED1" w:rsidP="00FB1752">
            <w:pPr>
              <w:rPr>
                <w:color w:val="auto"/>
                <w:sz w:val="20"/>
                <w:szCs w:val="20"/>
              </w:rPr>
            </w:pPr>
            <w:r w:rsidRPr="00FB1752">
              <w:rPr>
                <w:color w:val="auto"/>
                <w:sz w:val="20"/>
                <w:szCs w:val="20"/>
                <w:lang w:val="en-US"/>
              </w:rPr>
              <w:t>Duration of exposure (months)</w:t>
            </w:r>
          </w:p>
        </w:tc>
        <w:tc>
          <w:tcPr>
            <w:tcW w:w="806" w:type="pct"/>
            <w:vAlign w:val="center"/>
          </w:tcPr>
          <w:p w14:paraId="5A3314E9" w14:textId="77777777" w:rsidR="00B51ED1" w:rsidRPr="00FB1752" w:rsidRDefault="00B51ED1" w:rsidP="00FB1752">
            <w:pPr>
              <w:rPr>
                <w:color w:val="auto"/>
                <w:sz w:val="20"/>
                <w:szCs w:val="20"/>
                <w:lang w:val="en-US"/>
              </w:rPr>
            </w:pPr>
            <w:r w:rsidRPr="00FB1752">
              <w:rPr>
                <w:color w:val="auto"/>
                <w:sz w:val="20"/>
                <w:szCs w:val="20"/>
                <w:lang w:val="en-US"/>
              </w:rPr>
              <w:t>&lt;</w:t>
            </w:r>
            <w:r w:rsidR="00337E2B" w:rsidRPr="00FB1752">
              <w:rPr>
                <w:color w:val="auto"/>
                <w:sz w:val="20"/>
                <w:szCs w:val="20"/>
                <w:lang w:val="en-US"/>
              </w:rPr>
              <w:t xml:space="preserve"> </w:t>
            </w:r>
            <w:r w:rsidRPr="00FB1752">
              <w:rPr>
                <w:color w:val="auto"/>
                <w:sz w:val="20"/>
                <w:szCs w:val="20"/>
                <w:lang w:val="en-US"/>
              </w:rPr>
              <w:t>1 to 21.8</w:t>
            </w:r>
          </w:p>
        </w:tc>
        <w:tc>
          <w:tcPr>
            <w:tcW w:w="806" w:type="pct"/>
            <w:vAlign w:val="center"/>
          </w:tcPr>
          <w:p w14:paraId="74B61A77" w14:textId="77777777" w:rsidR="00B51ED1" w:rsidRPr="00FB1752" w:rsidRDefault="00B51ED1" w:rsidP="00FB1752">
            <w:pPr>
              <w:rPr>
                <w:color w:val="auto"/>
                <w:sz w:val="20"/>
                <w:szCs w:val="20"/>
                <w:lang w:val="en-US"/>
              </w:rPr>
            </w:pPr>
            <w:r w:rsidRPr="00FB1752">
              <w:rPr>
                <w:color w:val="auto"/>
                <w:sz w:val="20"/>
                <w:szCs w:val="20"/>
                <w:lang w:val="en-US"/>
              </w:rPr>
              <w:t>&lt;</w:t>
            </w:r>
            <w:r w:rsidR="00337E2B" w:rsidRPr="00FB1752">
              <w:rPr>
                <w:color w:val="auto"/>
                <w:sz w:val="20"/>
                <w:szCs w:val="20"/>
                <w:lang w:val="en-US"/>
              </w:rPr>
              <w:t xml:space="preserve"> </w:t>
            </w:r>
            <w:r w:rsidRPr="00FB1752">
              <w:rPr>
                <w:color w:val="auto"/>
                <w:sz w:val="20"/>
                <w:szCs w:val="20"/>
                <w:lang w:val="en-US"/>
              </w:rPr>
              <w:t>1 to 40.0</w:t>
            </w:r>
          </w:p>
        </w:tc>
        <w:tc>
          <w:tcPr>
            <w:tcW w:w="806" w:type="pct"/>
            <w:vAlign w:val="center"/>
          </w:tcPr>
          <w:p w14:paraId="09222FAF" w14:textId="77777777" w:rsidR="00B51ED1" w:rsidRPr="00FB1752" w:rsidRDefault="00B51ED1" w:rsidP="00FB1752">
            <w:pPr>
              <w:rPr>
                <w:color w:val="auto"/>
                <w:sz w:val="20"/>
                <w:szCs w:val="20"/>
                <w:lang w:val="en-US"/>
              </w:rPr>
            </w:pPr>
            <w:r w:rsidRPr="00FB1752">
              <w:rPr>
                <w:color w:val="auto"/>
                <w:sz w:val="20"/>
                <w:szCs w:val="20"/>
                <w:lang w:val="en-US"/>
              </w:rPr>
              <w:t>&lt;</w:t>
            </w:r>
            <w:r w:rsidR="00337E2B" w:rsidRPr="00FB1752">
              <w:rPr>
                <w:color w:val="auto"/>
                <w:sz w:val="20"/>
                <w:szCs w:val="20"/>
                <w:lang w:val="en-US"/>
              </w:rPr>
              <w:t xml:space="preserve"> </w:t>
            </w:r>
            <w:r w:rsidRPr="00FB1752">
              <w:rPr>
                <w:color w:val="auto"/>
                <w:sz w:val="20"/>
                <w:szCs w:val="20"/>
                <w:lang w:val="en-US"/>
              </w:rPr>
              <w:t>1 to 32.9</w:t>
            </w:r>
          </w:p>
        </w:tc>
        <w:tc>
          <w:tcPr>
            <w:tcW w:w="806" w:type="pct"/>
            <w:vAlign w:val="center"/>
          </w:tcPr>
          <w:p w14:paraId="7F8C0823" w14:textId="77777777" w:rsidR="00B51ED1" w:rsidRPr="00FB1752" w:rsidRDefault="00B51ED1" w:rsidP="00FB1752">
            <w:pPr>
              <w:rPr>
                <w:color w:val="auto"/>
                <w:sz w:val="20"/>
                <w:szCs w:val="20"/>
                <w:lang w:val="en-US"/>
              </w:rPr>
            </w:pPr>
            <w:r w:rsidRPr="00FB1752">
              <w:rPr>
                <w:color w:val="auto"/>
                <w:sz w:val="20"/>
                <w:szCs w:val="20"/>
                <w:lang w:val="en-US"/>
              </w:rPr>
              <w:t>&lt;</w:t>
            </w:r>
            <w:r w:rsidR="00337E2B" w:rsidRPr="00FB1752">
              <w:rPr>
                <w:color w:val="auto"/>
                <w:sz w:val="20"/>
                <w:szCs w:val="20"/>
                <w:lang w:val="en-US"/>
              </w:rPr>
              <w:t xml:space="preserve"> </w:t>
            </w:r>
            <w:r w:rsidRPr="00FB1752">
              <w:rPr>
                <w:color w:val="auto"/>
                <w:sz w:val="20"/>
                <w:szCs w:val="20"/>
                <w:lang w:val="en-US"/>
              </w:rPr>
              <w:t>0.1 to 35.1</w:t>
            </w:r>
          </w:p>
        </w:tc>
      </w:tr>
    </w:tbl>
    <w:p w14:paraId="2731DC6D" w14:textId="5A5B8A1A" w:rsidR="00683FE0" w:rsidRDefault="007912D9" w:rsidP="00683FE0">
      <w:pPr>
        <w:pStyle w:val="TableDescription"/>
      </w:pPr>
      <w:r>
        <w:t>PO</w:t>
      </w:r>
      <w:r w:rsidR="00F979FB">
        <w:t xml:space="preserve"> </w:t>
      </w:r>
      <w:r>
        <w:t xml:space="preserve">BD = twice a day, orally; </w:t>
      </w:r>
      <w:r w:rsidR="00683FE0">
        <w:t>MBC = metastatic breast cancer.</w:t>
      </w:r>
    </w:p>
    <w:p w14:paraId="3EE1F97F" w14:textId="77777777" w:rsidR="00B51ED1" w:rsidRDefault="00B51ED1" w:rsidP="00B51ED1">
      <w:pPr>
        <w:pStyle w:val="Heading5"/>
      </w:pPr>
      <w:r>
        <w:t>Overview of adverse events</w:t>
      </w:r>
    </w:p>
    <w:p w14:paraId="7E2D43F1" w14:textId="605F23B5" w:rsidR="00B51ED1" w:rsidRDefault="00337E2B" w:rsidP="00C83861">
      <w:r>
        <w:t>AEs</w:t>
      </w:r>
      <w:r w:rsidR="00B51ED1">
        <w:t xml:space="preserve"> in the Safety Analysis Set of </w:t>
      </w:r>
      <w:r>
        <w:t xml:space="preserve">the </w:t>
      </w:r>
      <w:r w:rsidR="00B51ED1">
        <w:t xml:space="preserve">HER2CLIMB </w:t>
      </w:r>
      <w:r>
        <w:t xml:space="preserve">trial </w:t>
      </w:r>
      <w:r w:rsidR="00B51ED1">
        <w:t xml:space="preserve">are </w:t>
      </w:r>
      <w:r w:rsidR="00B51ED1" w:rsidRPr="006F356B">
        <w:t xml:space="preserve">summarised in </w:t>
      </w:r>
      <w:r w:rsidR="00B51ED1" w:rsidRPr="006F356B">
        <w:fldChar w:fldCharType="begin"/>
      </w:r>
      <w:r w:rsidR="00B51ED1" w:rsidRPr="006F356B">
        <w:instrText xml:space="preserve"> REF _Ref8809195 \h </w:instrText>
      </w:r>
      <w:r w:rsidR="00B51ED1">
        <w:instrText xml:space="preserve"> \* MERGEFORMAT </w:instrText>
      </w:r>
      <w:r w:rsidR="00B51ED1" w:rsidRPr="006F356B">
        <w:fldChar w:fldCharType="separate"/>
      </w:r>
      <w:r w:rsidR="00F979FB" w:rsidRPr="00C83861">
        <w:t xml:space="preserve">Table </w:t>
      </w:r>
      <w:r w:rsidR="00F979FB">
        <w:rPr>
          <w:noProof/>
        </w:rPr>
        <w:t>17</w:t>
      </w:r>
      <w:r w:rsidR="00B51ED1" w:rsidRPr="006F356B">
        <w:fldChar w:fldCharType="end"/>
      </w:r>
      <w:r w:rsidR="00B51ED1">
        <w:t>.</w:t>
      </w:r>
    </w:p>
    <w:p w14:paraId="29946758" w14:textId="77777777" w:rsidR="00B51ED1" w:rsidRDefault="00B51ED1" w:rsidP="00C83861">
      <w:r>
        <w:t>The most common adverse reactions (≥</w:t>
      </w:r>
      <w:r w:rsidR="00A33D6C">
        <w:t xml:space="preserve"> </w:t>
      </w:r>
      <w:r>
        <w:t xml:space="preserve">30%) in patients who received tucatinib were diarrhoea, palmar-plantar </w:t>
      </w:r>
      <w:proofErr w:type="spellStart"/>
      <w:r>
        <w:t>erythrodysaesthesia</w:t>
      </w:r>
      <w:proofErr w:type="spellEnd"/>
      <w:r>
        <w:t xml:space="preserve"> (PPE) syndrome, nausea, fatigue, hepatotoxicity, vomiting and stomatitis. The most common Grade</w:t>
      </w:r>
      <w:r w:rsidR="00A33D6C">
        <w:t xml:space="preserve"> </w:t>
      </w:r>
      <w:r>
        <w:t>≥</w:t>
      </w:r>
      <w:r w:rsidR="00A33D6C">
        <w:t xml:space="preserve"> </w:t>
      </w:r>
      <w:r>
        <w:t>3 adverse reactions (≥</w:t>
      </w:r>
      <w:r w:rsidR="00A33D6C">
        <w:t> </w:t>
      </w:r>
      <w:r>
        <w:t>5%) were PPE syndrome, diarrhoea, hepatotoxicity and fatigue.</w:t>
      </w:r>
    </w:p>
    <w:p w14:paraId="3D4D58EF" w14:textId="24726C0C" w:rsidR="00B51ED1" w:rsidRDefault="00B51ED1" w:rsidP="00C83861">
      <w:r>
        <w:t>An exploratory exposure-response analysis for safety based on AUC and C</w:t>
      </w:r>
      <w:r w:rsidRPr="00337E2B">
        <w:rPr>
          <w:vertAlign w:val="subscript"/>
        </w:rPr>
        <w:t>max</w:t>
      </w:r>
      <w:r>
        <w:t xml:space="preserve"> with data from st</w:t>
      </w:r>
      <w:r w:rsidR="00337E2B">
        <w:t>udies in subjects with cancer (S</w:t>
      </w:r>
      <w:r>
        <w:t xml:space="preserve">tudies </w:t>
      </w:r>
      <w:r w:rsidR="00337E2B" w:rsidRPr="00337E2B">
        <w:t>ARRAY-380-101</w:t>
      </w:r>
      <w:r>
        <w:t xml:space="preserve">, </w:t>
      </w:r>
      <w:r w:rsidR="00337E2B" w:rsidRPr="00337E2B">
        <w:t>ONT-380-004</w:t>
      </w:r>
      <w:r>
        <w:t xml:space="preserve">, </w:t>
      </w:r>
      <w:r w:rsidR="007912D9">
        <w:t xml:space="preserve">and </w:t>
      </w:r>
      <w:r w:rsidR="00337E2B" w:rsidRPr="00337E2B">
        <w:t>ONT</w:t>
      </w:r>
      <w:r w:rsidR="007912D9">
        <w:noBreakHyphen/>
      </w:r>
      <w:r w:rsidR="00337E2B" w:rsidRPr="00337E2B">
        <w:t>380-005</w:t>
      </w:r>
      <w:r>
        <w:t>) did not find evidence of an association between tucatinib exposure a</w:t>
      </w:r>
      <w:r w:rsidR="00337E2B">
        <w:t>nd high grade or serious treatment emergent adverse events (TEAEs).</w:t>
      </w:r>
    </w:p>
    <w:p w14:paraId="5B59AAFB" w14:textId="2FDA8013" w:rsidR="00B51ED1" w:rsidRPr="00C83861" w:rsidRDefault="00B51ED1" w:rsidP="00C83861">
      <w:pPr>
        <w:pStyle w:val="TableTitle"/>
      </w:pPr>
      <w:bookmarkStart w:id="59" w:name="_Ref8809195"/>
      <w:r w:rsidRPr="00C83861">
        <w:t xml:space="preserve">Table </w:t>
      </w:r>
      <w:fldSimple w:instr=" SEQ Table \* ARABIC ">
        <w:r w:rsidR="00F979FB">
          <w:rPr>
            <w:noProof/>
          </w:rPr>
          <w:t>17</w:t>
        </w:r>
      </w:fldSimple>
      <w:bookmarkEnd w:id="59"/>
      <w:r w:rsidR="00C83861" w:rsidRPr="00C83861">
        <w:t>:</w:t>
      </w:r>
      <w:r w:rsidRPr="00C83861">
        <w:t xml:space="preserve"> Selected summary safety parameters in </w:t>
      </w:r>
      <w:r w:rsidR="00337E2B">
        <w:t xml:space="preserve">the </w:t>
      </w:r>
      <w:r w:rsidRPr="00C83861">
        <w:t xml:space="preserve">HER2CLIMB </w:t>
      </w:r>
      <w:r w:rsidR="00337E2B">
        <w:t xml:space="preserve">trial </w:t>
      </w:r>
      <w:r w:rsidRPr="00C83861">
        <w:t>(data cut-off date 4 Sep</w:t>
      </w:r>
      <w:r w:rsidR="00337E2B">
        <w:t>tember</w:t>
      </w:r>
      <w:r w:rsidRPr="00C83861">
        <w:t xml:space="preserve"> 2019)</w:t>
      </w:r>
    </w:p>
    <w:tbl>
      <w:tblPr>
        <w:tblStyle w:val="TableTGAblue"/>
        <w:tblW w:w="5000" w:type="pct"/>
        <w:tblCellMar>
          <w:left w:w="28" w:type="dxa"/>
          <w:right w:w="28" w:type="dxa"/>
        </w:tblCellMar>
        <w:tblLook w:val="04A0" w:firstRow="1" w:lastRow="0" w:firstColumn="1" w:lastColumn="0" w:noHBand="0" w:noVBand="1"/>
      </w:tblPr>
      <w:tblGrid>
        <w:gridCol w:w="3958"/>
        <w:gridCol w:w="2262"/>
        <w:gridCol w:w="2264"/>
      </w:tblGrid>
      <w:tr w:rsidR="00B51ED1" w:rsidRPr="00C83861" w14:paraId="440F5BFE" w14:textId="77777777" w:rsidTr="00A33D6C">
        <w:trPr>
          <w:cnfStyle w:val="100000000000" w:firstRow="1" w:lastRow="0" w:firstColumn="0" w:lastColumn="0" w:oddVBand="0" w:evenVBand="0" w:oddHBand="0" w:evenHBand="0" w:firstRowFirstColumn="0" w:firstRowLastColumn="0" w:lastRowFirstColumn="0" w:lastRowLastColumn="0"/>
        </w:trPr>
        <w:tc>
          <w:tcPr>
            <w:tcW w:w="2333" w:type="pct"/>
          </w:tcPr>
          <w:p w14:paraId="1A013714" w14:textId="77777777" w:rsidR="00B51ED1" w:rsidRPr="00C83861" w:rsidRDefault="00B51ED1" w:rsidP="00B51ED1">
            <w:pPr>
              <w:pStyle w:val="Tabletext"/>
              <w:ind w:left="0" w:right="0"/>
              <w:contextualSpacing/>
              <w:rPr>
                <w:sz w:val="20"/>
                <w:szCs w:val="20"/>
              </w:rPr>
            </w:pPr>
          </w:p>
        </w:tc>
        <w:tc>
          <w:tcPr>
            <w:tcW w:w="1333" w:type="pct"/>
          </w:tcPr>
          <w:p w14:paraId="3BAAB037" w14:textId="77777777" w:rsidR="00B51ED1" w:rsidRPr="00C83861" w:rsidRDefault="00337E2B" w:rsidP="00B51ED1">
            <w:pPr>
              <w:pStyle w:val="Tabletext"/>
              <w:ind w:left="0" w:right="0"/>
              <w:contextualSpacing/>
              <w:jc w:val="center"/>
              <w:rPr>
                <w:sz w:val="20"/>
                <w:szCs w:val="20"/>
              </w:rPr>
            </w:pPr>
            <w:r>
              <w:t>Tucatinib + trastuzumab + capecitabine</w:t>
            </w:r>
          </w:p>
          <w:p w14:paraId="1E36FF6E" w14:textId="77777777" w:rsidR="00B51ED1" w:rsidRPr="00C83861" w:rsidRDefault="00B51ED1" w:rsidP="00B51ED1">
            <w:pPr>
              <w:pStyle w:val="Tabletext"/>
              <w:contextualSpacing/>
              <w:jc w:val="center"/>
              <w:rPr>
                <w:sz w:val="20"/>
                <w:szCs w:val="20"/>
              </w:rPr>
            </w:pPr>
            <w:r w:rsidRPr="00C83861">
              <w:rPr>
                <w:bCs/>
                <w:sz w:val="20"/>
                <w:szCs w:val="20"/>
                <w:lang w:val="en-US"/>
              </w:rPr>
              <w:t>N = 404</w:t>
            </w:r>
          </w:p>
        </w:tc>
        <w:tc>
          <w:tcPr>
            <w:tcW w:w="1334" w:type="pct"/>
          </w:tcPr>
          <w:p w14:paraId="3EF1E372" w14:textId="77777777" w:rsidR="00B51ED1" w:rsidRPr="00C83861" w:rsidRDefault="00337E2B" w:rsidP="00B51ED1">
            <w:pPr>
              <w:pStyle w:val="Tabletext"/>
              <w:ind w:left="0" w:right="0"/>
              <w:contextualSpacing/>
              <w:jc w:val="center"/>
              <w:rPr>
                <w:sz w:val="20"/>
                <w:szCs w:val="20"/>
              </w:rPr>
            </w:pPr>
            <w:r>
              <w:t>Placebo + trastuzumab + capecitabine</w:t>
            </w:r>
          </w:p>
          <w:p w14:paraId="60AF6700" w14:textId="77777777" w:rsidR="00B51ED1" w:rsidRPr="00C83861" w:rsidRDefault="00B51ED1" w:rsidP="00B51ED1">
            <w:pPr>
              <w:pStyle w:val="Tabletext"/>
              <w:contextualSpacing/>
              <w:jc w:val="center"/>
              <w:rPr>
                <w:sz w:val="20"/>
                <w:szCs w:val="20"/>
              </w:rPr>
            </w:pPr>
            <w:r w:rsidRPr="00C83861">
              <w:rPr>
                <w:bCs/>
                <w:sz w:val="20"/>
                <w:szCs w:val="20"/>
                <w:lang w:val="en-US"/>
              </w:rPr>
              <w:t>N = 197</w:t>
            </w:r>
          </w:p>
        </w:tc>
      </w:tr>
      <w:tr w:rsidR="00B51ED1" w:rsidRPr="00C83861" w14:paraId="360B24E6" w14:textId="77777777" w:rsidTr="00A33D6C">
        <w:tc>
          <w:tcPr>
            <w:tcW w:w="5000" w:type="pct"/>
            <w:gridSpan w:val="3"/>
          </w:tcPr>
          <w:p w14:paraId="1C48F5D1" w14:textId="77777777" w:rsidR="00B51ED1" w:rsidRPr="00C83861" w:rsidRDefault="00B51ED1" w:rsidP="00B51ED1">
            <w:pPr>
              <w:pStyle w:val="Tabletext"/>
              <w:contextualSpacing/>
              <w:rPr>
                <w:sz w:val="20"/>
                <w:szCs w:val="20"/>
              </w:rPr>
            </w:pPr>
            <w:r w:rsidRPr="00C83861">
              <w:rPr>
                <w:b/>
                <w:sz w:val="20"/>
                <w:szCs w:val="20"/>
              </w:rPr>
              <w:t>Exposure</w:t>
            </w:r>
          </w:p>
        </w:tc>
      </w:tr>
      <w:tr w:rsidR="00B51ED1" w:rsidRPr="00C83861" w14:paraId="60FE60F8" w14:textId="77777777" w:rsidTr="00A33D6C">
        <w:tc>
          <w:tcPr>
            <w:tcW w:w="2333" w:type="pct"/>
          </w:tcPr>
          <w:p w14:paraId="64935A74" w14:textId="77777777" w:rsidR="00B51ED1" w:rsidRPr="00C83861" w:rsidRDefault="00B51ED1" w:rsidP="00B51ED1">
            <w:pPr>
              <w:pStyle w:val="Tabletext"/>
              <w:ind w:left="0" w:right="0"/>
              <w:contextualSpacing/>
              <w:rPr>
                <w:sz w:val="20"/>
                <w:szCs w:val="20"/>
              </w:rPr>
            </w:pPr>
            <w:r w:rsidRPr="00C83861">
              <w:rPr>
                <w:sz w:val="20"/>
                <w:szCs w:val="20"/>
              </w:rPr>
              <w:t>Mean (</w:t>
            </w:r>
            <w:r w:rsidR="00337E2B">
              <w:rPr>
                <w:sz w:val="20"/>
                <w:szCs w:val="20"/>
              </w:rPr>
              <w:t>standard deviation (</w:t>
            </w:r>
            <w:r w:rsidRPr="00C83861">
              <w:rPr>
                <w:sz w:val="20"/>
                <w:szCs w:val="20"/>
              </w:rPr>
              <w:t>SD</w:t>
            </w:r>
            <w:r w:rsidR="00337E2B">
              <w:rPr>
                <w:sz w:val="20"/>
                <w:szCs w:val="20"/>
              </w:rPr>
              <w:t>)</w:t>
            </w:r>
            <w:r w:rsidRPr="00C83861">
              <w:rPr>
                <w:sz w:val="20"/>
                <w:szCs w:val="20"/>
              </w:rPr>
              <w:t>) duration of exposure,</w:t>
            </w:r>
            <w:r w:rsidR="00337E2B">
              <w:rPr>
                <w:sz w:val="20"/>
                <w:szCs w:val="20"/>
              </w:rPr>
              <w:t xml:space="preserve"> </w:t>
            </w:r>
            <w:r w:rsidRPr="00C83861">
              <w:rPr>
                <w:sz w:val="20"/>
                <w:szCs w:val="20"/>
              </w:rPr>
              <w:t>months (SD)</w:t>
            </w:r>
          </w:p>
        </w:tc>
        <w:tc>
          <w:tcPr>
            <w:tcW w:w="1333" w:type="pct"/>
          </w:tcPr>
          <w:p w14:paraId="0401F840" w14:textId="77777777" w:rsidR="00B51ED1" w:rsidRPr="00C83861" w:rsidRDefault="00B51ED1" w:rsidP="00B51ED1">
            <w:pPr>
              <w:pStyle w:val="Tabletext"/>
              <w:contextualSpacing/>
              <w:jc w:val="center"/>
              <w:rPr>
                <w:sz w:val="20"/>
                <w:szCs w:val="20"/>
              </w:rPr>
            </w:pPr>
            <w:r w:rsidRPr="00C83861">
              <w:rPr>
                <w:sz w:val="20"/>
                <w:szCs w:val="20"/>
              </w:rPr>
              <w:t xml:space="preserve"> </w:t>
            </w:r>
          </w:p>
        </w:tc>
        <w:tc>
          <w:tcPr>
            <w:tcW w:w="1334" w:type="pct"/>
          </w:tcPr>
          <w:p w14:paraId="5A9D5623" w14:textId="77777777" w:rsidR="00B51ED1" w:rsidRPr="00C83861" w:rsidRDefault="00B51ED1" w:rsidP="00B51ED1">
            <w:pPr>
              <w:pStyle w:val="Tabletext"/>
              <w:contextualSpacing/>
              <w:jc w:val="center"/>
              <w:rPr>
                <w:sz w:val="20"/>
                <w:szCs w:val="20"/>
              </w:rPr>
            </w:pPr>
            <w:r w:rsidRPr="00C83861">
              <w:rPr>
                <w:sz w:val="20"/>
                <w:szCs w:val="20"/>
              </w:rPr>
              <w:t xml:space="preserve"> </w:t>
            </w:r>
          </w:p>
        </w:tc>
      </w:tr>
      <w:tr w:rsidR="00B51ED1" w:rsidRPr="00C83861" w14:paraId="26E10AFF" w14:textId="77777777" w:rsidTr="00A33D6C">
        <w:tc>
          <w:tcPr>
            <w:tcW w:w="2333" w:type="pct"/>
          </w:tcPr>
          <w:p w14:paraId="19DAE549" w14:textId="77777777" w:rsidR="00B51ED1" w:rsidRPr="00C83861" w:rsidRDefault="00B51ED1" w:rsidP="00B51ED1">
            <w:pPr>
              <w:pStyle w:val="Tabletext"/>
              <w:ind w:left="0" w:right="57"/>
              <w:contextualSpacing/>
              <w:jc w:val="right"/>
              <w:rPr>
                <w:i/>
                <w:sz w:val="20"/>
                <w:szCs w:val="20"/>
              </w:rPr>
            </w:pPr>
            <w:r w:rsidRPr="00C83861">
              <w:rPr>
                <w:i/>
                <w:sz w:val="20"/>
                <w:szCs w:val="20"/>
              </w:rPr>
              <w:t>to tucatinib</w:t>
            </w:r>
          </w:p>
        </w:tc>
        <w:tc>
          <w:tcPr>
            <w:tcW w:w="1333" w:type="pct"/>
          </w:tcPr>
          <w:p w14:paraId="7D9AD72A" w14:textId="77777777" w:rsidR="00B51ED1" w:rsidRPr="00C83861" w:rsidRDefault="00B51ED1" w:rsidP="00B51ED1">
            <w:pPr>
              <w:pStyle w:val="Tabletext"/>
              <w:contextualSpacing/>
              <w:jc w:val="center"/>
              <w:rPr>
                <w:sz w:val="20"/>
                <w:szCs w:val="20"/>
              </w:rPr>
            </w:pPr>
            <w:r w:rsidRPr="00C83861">
              <w:rPr>
                <w:sz w:val="20"/>
                <w:szCs w:val="20"/>
              </w:rPr>
              <w:t>7.6 (6.3)</w:t>
            </w:r>
          </w:p>
        </w:tc>
        <w:tc>
          <w:tcPr>
            <w:tcW w:w="1334" w:type="pct"/>
          </w:tcPr>
          <w:p w14:paraId="383D688F" w14:textId="77777777" w:rsidR="00B51ED1" w:rsidRPr="00C83861" w:rsidRDefault="00337E2B" w:rsidP="00B51ED1">
            <w:pPr>
              <w:pStyle w:val="Tabletext"/>
              <w:contextualSpacing/>
              <w:jc w:val="center"/>
              <w:rPr>
                <w:sz w:val="20"/>
                <w:szCs w:val="20"/>
              </w:rPr>
            </w:pPr>
            <w:r>
              <w:rPr>
                <w:sz w:val="20"/>
                <w:szCs w:val="20"/>
              </w:rPr>
              <w:t>5.6 (4.3)</w:t>
            </w:r>
          </w:p>
        </w:tc>
      </w:tr>
      <w:tr w:rsidR="00B51ED1" w:rsidRPr="00C83861" w14:paraId="1176A100" w14:textId="77777777" w:rsidTr="00A33D6C">
        <w:tc>
          <w:tcPr>
            <w:tcW w:w="2333" w:type="pct"/>
          </w:tcPr>
          <w:p w14:paraId="226F9255" w14:textId="77777777" w:rsidR="00B51ED1" w:rsidRPr="00C83861" w:rsidRDefault="00B51ED1" w:rsidP="00B51ED1">
            <w:pPr>
              <w:pStyle w:val="Tabletext"/>
              <w:ind w:left="0" w:right="57"/>
              <w:contextualSpacing/>
              <w:jc w:val="right"/>
              <w:rPr>
                <w:i/>
                <w:sz w:val="20"/>
                <w:szCs w:val="20"/>
              </w:rPr>
            </w:pPr>
            <w:r w:rsidRPr="00C83861">
              <w:rPr>
                <w:i/>
                <w:sz w:val="20"/>
                <w:szCs w:val="20"/>
              </w:rPr>
              <w:t>to capecitabine</w:t>
            </w:r>
          </w:p>
        </w:tc>
        <w:tc>
          <w:tcPr>
            <w:tcW w:w="1333" w:type="pct"/>
          </w:tcPr>
          <w:p w14:paraId="2D4D9B79" w14:textId="77777777" w:rsidR="00B51ED1" w:rsidRPr="00C83861" w:rsidRDefault="00B51ED1" w:rsidP="00B51ED1">
            <w:pPr>
              <w:pStyle w:val="Tabletext"/>
              <w:contextualSpacing/>
              <w:jc w:val="center"/>
              <w:rPr>
                <w:sz w:val="20"/>
                <w:szCs w:val="20"/>
              </w:rPr>
            </w:pPr>
            <w:r w:rsidRPr="00C83861">
              <w:rPr>
                <w:sz w:val="20"/>
                <w:szCs w:val="20"/>
              </w:rPr>
              <w:t>7.3 (6.0)</w:t>
            </w:r>
          </w:p>
        </w:tc>
        <w:tc>
          <w:tcPr>
            <w:tcW w:w="1334" w:type="pct"/>
          </w:tcPr>
          <w:p w14:paraId="15524D92" w14:textId="77777777" w:rsidR="00B51ED1" w:rsidRPr="00C83861" w:rsidRDefault="00337E2B" w:rsidP="00B51ED1">
            <w:pPr>
              <w:pStyle w:val="Tabletext"/>
              <w:contextualSpacing/>
              <w:jc w:val="center"/>
              <w:rPr>
                <w:sz w:val="20"/>
                <w:szCs w:val="20"/>
              </w:rPr>
            </w:pPr>
            <w:r>
              <w:rPr>
                <w:sz w:val="20"/>
                <w:szCs w:val="20"/>
              </w:rPr>
              <w:t>5.4 (4.1)</w:t>
            </w:r>
          </w:p>
        </w:tc>
      </w:tr>
      <w:tr w:rsidR="00B51ED1" w:rsidRPr="00C83861" w14:paraId="22E8AF68" w14:textId="77777777" w:rsidTr="00A33D6C">
        <w:tc>
          <w:tcPr>
            <w:tcW w:w="2333" w:type="pct"/>
          </w:tcPr>
          <w:p w14:paraId="0F0B3101" w14:textId="77777777" w:rsidR="00B51ED1" w:rsidRPr="00C83861" w:rsidRDefault="00B51ED1" w:rsidP="00B51ED1">
            <w:pPr>
              <w:pStyle w:val="Tabletext"/>
              <w:ind w:left="0" w:right="57"/>
              <w:contextualSpacing/>
              <w:jc w:val="right"/>
              <w:rPr>
                <w:i/>
                <w:sz w:val="20"/>
                <w:szCs w:val="20"/>
              </w:rPr>
            </w:pPr>
            <w:r w:rsidRPr="00C83861">
              <w:rPr>
                <w:i/>
                <w:sz w:val="20"/>
                <w:szCs w:val="20"/>
              </w:rPr>
              <w:t>to trastuzumab</w:t>
            </w:r>
          </w:p>
        </w:tc>
        <w:tc>
          <w:tcPr>
            <w:tcW w:w="1333" w:type="pct"/>
          </w:tcPr>
          <w:p w14:paraId="3B63A916" w14:textId="77777777" w:rsidR="00B51ED1" w:rsidRPr="00C83861" w:rsidRDefault="00B51ED1" w:rsidP="00B51ED1">
            <w:pPr>
              <w:pStyle w:val="Tabletext"/>
              <w:contextualSpacing/>
              <w:jc w:val="center"/>
              <w:rPr>
                <w:sz w:val="20"/>
                <w:szCs w:val="20"/>
              </w:rPr>
            </w:pPr>
            <w:r w:rsidRPr="00C83861">
              <w:rPr>
                <w:sz w:val="20"/>
                <w:szCs w:val="20"/>
              </w:rPr>
              <w:t>7.9 (6.4)</w:t>
            </w:r>
          </w:p>
        </w:tc>
        <w:tc>
          <w:tcPr>
            <w:tcW w:w="1334" w:type="pct"/>
          </w:tcPr>
          <w:p w14:paraId="795A93E5" w14:textId="77777777" w:rsidR="00B51ED1" w:rsidRPr="00C83861" w:rsidRDefault="00B51ED1" w:rsidP="00B51ED1">
            <w:pPr>
              <w:pStyle w:val="Tabletext"/>
              <w:contextualSpacing/>
              <w:jc w:val="center"/>
              <w:rPr>
                <w:sz w:val="20"/>
                <w:szCs w:val="20"/>
              </w:rPr>
            </w:pPr>
            <w:r w:rsidRPr="00C83861">
              <w:rPr>
                <w:sz w:val="20"/>
                <w:szCs w:val="20"/>
              </w:rPr>
              <w:t>5.7 (4.3)</w:t>
            </w:r>
          </w:p>
        </w:tc>
      </w:tr>
      <w:tr w:rsidR="00B51ED1" w:rsidRPr="00C83861" w14:paraId="618AD814" w14:textId="77777777" w:rsidTr="00A33D6C">
        <w:tc>
          <w:tcPr>
            <w:tcW w:w="2333" w:type="pct"/>
          </w:tcPr>
          <w:p w14:paraId="539DDBF5" w14:textId="77777777" w:rsidR="00B51ED1" w:rsidRPr="00C83861" w:rsidRDefault="00B51ED1" w:rsidP="00B51ED1">
            <w:pPr>
              <w:pStyle w:val="Tabletext"/>
              <w:ind w:left="0" w:right="0"/>
              <w:contextualSpacing/>
              <w:rPr>
                <w:sz w:val="20"/>
                <w:szCs w:val="20"/>
              </w:rPr>
            </w:pPr>
            <w:r w:rsidRPr="00C83861">
              <w:rPr>
                <w:sz w:val="20"/>
                <w:szCs w:val="20"/>
              </w:rPr>
              <w:t>Relative dose of tucatinib/placebo</w:t>
            </w:r>
          </w:p>
        </w:tc>
        <w:tc>
          <w:tcPr>
            <w:tcW w:w="1333" w:type="pct"/>
          </w:tcPr>
          <w:p w14:paraId="6A0C222A" w14:textId="77777777" w:rsidR="00B51ED1" w:rsidRPr="00C83861" w:rsidRDefault="00B51ED1" w:rsidP="00B51ED1">
            <w:pPr>
              <w:pStyle w:val="Tabletext"/>
              <w:ind w:left="0" w:right="0"/>
              <w:contextualSpacing/>
              <w:jc w:val="center"/>
              <w:rPr>
                <w:sz w:val="20"/>
                <w:szCs w:val="20"/>
              </w:rPr>
            </w:pPr>
          </w:p>
        </w:tc>
        <w:tc>
          <w:tcPr>
            <w:tcW w:w="1334" w:type="pct"/>
          </w:tcPr>
          <w:p w14:paraId="6E878F21" w14:textId="77777777" w:rsidR="00B51ED1" w:rsidRPr="00C83861" w:rsidRDefault="00B51ED1" w:rsidP="00B51ED1">
            <w:pPr>
              <w:pStyle w:val="Tabletext"/>
              <w:ind w:left="0" w:right="0"/>
              <w:contextualSpacing/>
              <w:jc w:val="center"/>
              <w:rPr>
                <w:sz w:val="20"/>
                <w:szCs w:val="20"/>
              </w:rPr>
            </w:pPr>
          </w:p>
        </w:tc>
      </w:tr>
      <w:tr w:rsidR="00B51ED1" w:rsidRPr="00C83861" w14:paraId="739CE920" w14:textId="77777777" w:rsidTr="00A33D6C">
        <w:tc>
          <w:tcPr>
            <w:tcW w:w="2333" w:type="pct"/>
          </w:tcPr>
          <w:p w14:paraId="2690511B" w14:textId="77777777" w:rsidR="00B51ED1" w:rsidRPr="00C83861" w:rsidRDefault="00B51ED1" w:rsidP="00B51ED1">
            <w:pPr>
              <w:pStyle w:val="Tabletext"/>
              <w:ind w:left="0" w:right="57"/>
              <w:contextualSpacing/>
              <w:jc w:val="right"/>
              <w:rPr>
                <w:i/>
                <w:sz w:val="20"/>
                <w:szCs w:val="20"/>
              </w:rPr>
            </w:pPr>
            <w:r w:rsidRPr="00C83861">
              <w:rPr>
                <w:i/>
                <w:sz w:val="20"/>
                <w:szCs w:val="20"/>
              </w:rPr>
              <w:t xml:space="preserve">mean (SD) </w:t>
            </w:r>
          </w:p>
        </w:tc>
        <w:tc>
          <w:tcPr>
            <w:tcW w:w="1333" w:type="pct"/>
          </w:tcPr>
          <w:p w14:paraId="09844A7C" w14:textId="77777777" w:rsidR="00B51ED1" w:rsidRPr="00C83861" w:rsidRDefault="00B51ED1" w:rsidP="00B51ED1">
            <w:pPr>
              <w:pStyle w:val="Tabletext"/>
              <w:contextualSpacing/>
              <w:jc w:val="center"/>
              <w:rPr>
                <w:sz w:val="20"/>
                <w:szCs w:val="20"/>
              </w:rPr>
            </w:pPr>
            <w:r w:rsidRPr="00C83861">
              <w:rPr>
                <w:sz w:val="20"/>
                <w:szCs w:val="20"/>
              </w:rPr>
              <w:t>88.5% (13.6)</w:t>
            </w:r>
          </w:p>
        </w:tc>
        <w:tc>
          <w:tcPr>
            <w:tcW w:w="1334" w:type="pct"/>
          </w:tcPr>
          <w:p w14:paraId="332A2A13" w14:textId="77777777" w:rsidR="00B51ED1" w:rsidRPr="00C83861" w:rsidRDefault="00B51ED1" w:rsidP="00B51ED1">
            <w:pPr>
              <w:pStyle w:val="Tabletext"/>
              <w:contextualSpacing/>
              <w:jc w:val="center"/>
              <w:rPr>
                <w:sz w:val="20"/>
                <w:szCs w:val="20"/>
              </w:rPr>
            </w:pPr>
            <w:r w:rsidRPr="00C83861">
              <w:rPr>
                <w:sz w:val="20"/>
                <w:szCs w:val="20"/>
              </w:rPr>
              <w:t>91.4% (12.3)</w:t>
            </w:r>
          </w:p>
        </w:tc>
      </w:tr>
      <w:tr w:rsidR="00B51ED1" w:rsidRPr="00C83861" w14:paraId="5B949383" w14:textId="77777777" w:rsidTr="00A33D6C">
        <w:tc>
          <w:tcPr>
            <w:tcW w:w="2333" w:type="pct"/>
          </w:tcPr>
          <w:p w14:paraId="65A862BD" w14:textId="77777777" w:rsidR="00B51ED1" w:rsidRPr="00C83861" w:rsidRDefault="00B51ED1" w:rsidP="00B51ED1">
            <w:pPr>
              <w:pStyle w:val="Tabletext"/>
              <w:ind w:left="0" w:right="57"/>
              <w:contextualSpacing/>
              <w:jc w:val="right"/>
              <w:rPr>
                <w:i/>
                <w:sz w:val="20"/>
                <w:szCs w:val="20"/>
              </w:rPr>
            </w:pPr>
            <w:r w:rsidRPr="00C83861">
              <w:rPr>
                <w:i/>
                <w:sz w:val="20"/>
                <w:szCs w:val="20"/>
              </w:rPr>
              <w:t>median</w:t>
            </w:r>
          </w:p>
        </w:tc>
        <w:tc>
          <w:tcPr>
            <w:tcW w:w="1333" w:type="pct"/>
          </w:tcPr>
          <w:p w14:paraId="07E0DF14" w14:textId="77777777" w:rsidR="00B51ED1" w:rsidRPr="00C83861" w:rsidRDefault="00B51ED1" w:rsidP="00B51ED1">
            <w:pPr>
              <w:pStyle w:val="Tabletext"/>
              <w:contextualSpacing/>
              <w:jc w:val="center"/>
              <w:rPr>
                <w:sz w:val="20"/>
                <w:szCs w:val="20"/>
              </w:rPr>
            </w:pPr>
            <w:r w:rsidRPr="00C83861">
              <w:rPr>
                <w:sz w:val="20"/>
                <w:szCs w:val="20"/>
              </w:rPr>
              <w:t>93.6%</w:t>
            </w:r>
          </w:p>
        </w:tc>
        <w:tc>
          <w:tcPr>
            <w:tcW w:w="1334" w:type="pct"/>
          </w:tcPr>
          <w:p w14:paraId="58DAC3C0" w14:textId="77777777" w:rsidR="00B51ED1" w:rsidRPr="00C83861" w:rsidRDefault="00B51ED1" w:rsidP="00B51ED1">
            <w:pPr>
              <w:pStyle w:val="Tabletext"/>
              <w:contextualSpacing/>
              <w:jc w:val="center"/>
              <w:rPr>
                <w:sz w:val="20"/>
                <w:szCs w:val="20"/>
              </w:rPr>
            </w:pPr>
            <w:r w:rsidRPr="00C83861">
              <w:rPr>
                <w:sz w:val="20"/>
                <w:szCs w:val="20"/>
              </w:rPr>
              <w:t>97.0%</w:t>
            </w:r>
          </w:p>
        </w:tc>
      </w:tr>
      <w:tr w:rsidR="00B51ED1" w:rsidRPr="00C83861" w14:paraId="0CC7CE3B" w14:textId="77777777" w:rsidTr="00A33D6C">
        <w:tc>
          <w:tcPr>
            <w:tcW w:w="5000" w:type="pct"/>
            <w:gridSpan w:val="3"/>
          </w:tcPr>
          <w:p w14:paraId="6DEBDE9B" w14:textId="77777777" w:rsidR="00B51ED1" w:rsidRPr="00C83861" w:rsidRDefault="00B51ED1" w:rsidP="00B51ED1">
            <w:pPr>
              <w:pStyle w:val="Tabletext"/>
              <w:contextualSpacing/>
              <w:rPr>
                <w:b/>
                <w:sz w:val="20"/>
                <w:szCs w:val="20"/>
              </w:rPr>
            </w:pPr>
            <w:r w:rsidRPr="00C83861">
              <w:rPr>
                <w:b/>
                <w:sz w:val="20"/>
                <w:szCs w:val="20"/>
              </w:rPr>
              <w:t>Deaths (within 30 days of last dose of study treatment)</w:t>
            </w:r>
          </w:p>
        </w:tc>
      </w:tr>
      <w:tr w:rsidR="00B51ED1" w:rsidRPr="00C83861" w14:paraId="46B658D1" w14:textId="77777777" w:rsidTr="00A33D6C">
        <w:tc>
          <w:tcPr>
            <w:tcW w:w="2333" w:type="pct"/>
          </w:tcPr>
          <w:p w14:paraId="683F72E4" w14:textId="77777777" w:rsidR="00B51ED1" w:rsidRPr="00C83861" w:rsidRDefault="00B51ED1" w:rsidP="00B51ED1">
            <w:pPr>
              <w:pStyle w:val="Tabletext"/>
              <w:ind w:left="0" w:right="0"/>
              <w:contextualSpacing/>
              <w:rPr>
                <w:sz w:val="20"/>
                <w:szCs w:val="20"/>
              </w:rPr>
            </w:pPr>
            <w:r w:rsidRPr="00C83861">
              <w:rPr>
                <w:sz w:val="20"/>
                <w:szCs w:val="20"/>
              </w:rPr>
              <w:t>Due to disease progression</w:t>
            </w:r>
          </w:p>
        </w:tc>
        <w:tc>
          <w:tcPr>
            <w:tcW w:w="1333" w:type="pct"/>
          </w:tcPr>
          <w:p w14:paraId="65277D47" w14:textId="77777777" w:rsidR="00B51ED1" w:rsidRPr="00C83861" w:rsidRDefault="00B51ED1" w:rsidP="00B51ED1">
            <w:pPr>
              <w:pStyle w:val="Tabletext"/>
              <w:tabs>
                <w:tab w:val="left" w:pos="1842"/>
              </w:tabs>
              <w:contextualSpacing/>
              <w:jc w:val="center"/>
              <w:rPr>
                <w:sz w:val="20"/>
                <w:szCs w:val="20"/>
              </w:rPr>
            </w:pPr>
            <w:r w:rsidRPr="00C83861">
              <w:rPr>
                <w:sz w:val="20"/>
                <w:szCs w:val="20"/>
              </w:rPr>
              <w:t>7 (1.7%)</w:t>
            </w:r>
          </w:p>
        </w:tc>
        <w:tc>
          <w:tcPr>
            <w:tcW w:w="1334" w:type="pct"/>
          </w:tcPr>
          <w:p w14:paraId="36FDEE93" w14:textId="77777777" w:rsidR="00B51ED1" w:rsidRPr="00C83861" w:rsidRDefault="00B51ED1" w:rsidP="00B51ED1">
            <w:pPr>
              <w:pStyle w:val="Tabletext"/>
              <w:contextualSpacing/>
              <w:jc w:val="center"/>
              <w:rPr>
                <w:sz w:val="20"/>
                <w:szCs w:val="20"/>
              </w:rPr>
            </w:pPr>
            <w:r w:rsidRPr="00C83861">
              <w:rPr>
                <w:sz w:val="20"/>
                <w:szCs w:val="20"/>
              </w:rPr>
              <w:t>7 (3.6%)</w:t>
            </w:r>
          </w:p>
        </w:tc>
      </w:tr>
      <w:tr w:rsidR="00B51ED1" w:rsidRPr="00C83861" w14:paraId="1A3D2511" w14:textId="77777777" w:rsidTr="00A33D6C">
        <w:tc>
          <w:tcPr>
            <w:tcW w:w="2333" w:type="pct"/>
          </w:tcPr>
          <w:p w14:paraId="5C7A147A" w14:textId="77777777" w:rsidR="00B51ED1" w:rsidRPr="00C83861" w:rsidRDefault="00B51ED1" w:rsidP="00B51ED1">
            <w:pPr>
              <w:pStyle w:val="Tabletext"/>
              <w:ind w:left="0" w:right="0"/>
              <w:contextualSpacing/>
              <w:rPr>
                <w:sz w:val="20"/>
                <w:szCs w:val="20"/>
              </w:rPr>
            </w:pPr>
            <w:r w:rsidRPr="00C83861">
              <w:rPr>
                <w:sz w:val="20"/>
                <w:szCs w:val="20"/>
              </w:rPr>
              <w:t>Due to adverse events, total</w:t>
            </w:r>
          </w:p>
        </w:tc>
        <w:tc>
          <w:tcPr>
            <w:tcW w:w="1333" w:type="pct"/>
          </w:tcPr>
          <w:p w14:paraId="52708242" w14:textId="77777777" w:rsidR="00B51ED1" w:rsidRPr="00C83861" w:rsidRDefault="00B51ED1" w:rsidP="00B51ED1">
            <w:pPr>
              <w:pStyle w:val="Tabletext"/>
              <w:tabs>
                <w:tab w:val="left" w:pos="1842"/>
              </w:tabs>
              <w:contextualSpacing/>
              <w:jc w:val="center"/>
              <w:rPr>
                <w:sz w:val="20"/>
                <w:szCs w:val="20"/>
              </w:rPr>
            </w:pPr>
            <w:r w:rsidRPr="00C83861">
              <w:rPr>
                <w:sz w:val="20"/>
                <w:szCs w:val="20"/>
              </w:rPr>
              <w:t>8 (2.0%)</w:t>
            </w:r>
          </w:p>
        </w:tc>
        <w:tc>
          <w:tcPr>
            <w:tcW w:w="1334" w:type="pct"/>
          </w:tcPr>
          <w:p w14:paraId="4141F412" w14:textId="77777777" w:rsidR="00B51ED1" w:rsidRPr="00C83861" w:rsidRDefault="00B51ED1" w:rsidP="00B51ED1">
            <w:pPr>
              <w:pStyle w:val="Tabletext"/>
              <w:contextualSpacing/>
              <w:jc w:val="center"/>
              <w:rPr>
                <w:sz w:val="20"/>
                <w:szCs w:val="20"/>
              </w:rPr>
            </w:pPr>
            <w:r w:rsidRPr="00C83861">
              <w:rPr>
                <w:sz w:val="20"/>
                <w:szCs w:val="20"/>
              </w:rPr>
              <w:t>6 (3.0%)</w:t>
            </w:r>
          </w:p>
        </w:tc>
      </w:tr>
      <w:tr w:rsidR="00B51ED1" w:rsidRPr="00C83861" w14:paraId="0E6DB08C" w14:textId="77777777" w:rsidTr="00A33D6C">
        <w:tc>
          <w:tcPr>
            <w:tcW w:w="5000" w:type="pct"/>
            <w:gridSpan w:val="3"/>
          </w:tcPr>
          <w:p w14:paraId="36C3BE70" w14:textId="77777777" w:rsidR="00B51ED1" w:rsidRPr="00C83861" w:rsidRDefault="00B51ED1" w:rsidP="00B51ED1">
            <w:pPr>
              <w:pStyle w:val="Tabletext"/>
              <w:contextualSpacing/>
              <w:rPr>
                <w:b/>
                <w:sz w:val="20"/>
                <w:szCs w:val="20"/>
              </w:rPr>
            </w:pPr>
            <w:r w:rsidRPr="00C83861">
              <w:rPr>
                <w:b/>
                <w:sz w:val="20"/>
                <w:szCs w:val="20"/>
              </w:rPr>
              <w:t>Treatment-emergent adverse events (TEAEs)</w:t>
            </w:r>
          </w:p>
        </w:tc>
      </w:tr>
      <w:tr w:rsidR="00B51ED1" w:rsidRPr="00C83861" w14:paraId="48433A65" w14:textId="77777777" w:rsidTr="00A33D6C">
        <w:tc>
          <w:tcPr>
            <w:tcW w:w="2333" w:type="pct"/>
          </w:tcPr>
          <w:p w14:paraId="211AA6E1" w14:textId="77777777" w:rsidR="00B51ED1" w:rsidRPr="00C83861" w:rsidRDefault="00B51ED1" w:rsidP="00B51ED1">
            <w:pPr>
              <w:pStyle w:val="Tabletext"/>
              <w:ind w:left="0" w:right="0"/>
              <w:contextualSpacing/>
              <w:rPr>
                <w:sz w:val="20"/>
                <w:szCs w:val="20"/>
              </w:rPr>
            </w:pPr>
            <w:r w:rsidRPr="00C83861">
              <w:rPr>
                <w:sz w:val="20"/>
                <w:szCs w:val="20"/>
              </w:rPr>
              <w:t xml:space="preserve">Patients with at least 1 TEAE </w:t>
            </w:r>
          </w:p>
        </w:tc>
        <w:tc>
          <w:tcPr>
            <w:tcW w:w="1333" w:type="pct"/>
          </w:tcPr>
          <w:p w14:paraId="1680CC2C" w14:textId="77777777" w:rsidR="00B51ED1" w:rsidRPr="00C83861" w:rsidRDefault="00B51ED1" w:rsidP="00B51ED1">
            <w:pPr>
              <w:pStyle w:val="Tabletext"/>
              <w:tabs>
                <w:tab w:val="left" w:pos="1842"/>
              </w:tabs>
              <w:ind w:left="0" w:right="0"/>
              <w:contextualSpacing/>
              <w:jc w:val="center"/>
              <w:rPr>
                <w:sz w:val="20"/>
                <w:szCs w:val="20"/>
              </w:rPr>
            </w:pPr>
            <w:r w:rsidRPr="00C83861">
              <w:rPr>
                <w:sz w:val="20"/>
                <w:szCs w:val="20"/>
              </w:rPr>
              <w:t>99% (all but 3)</w:t>
            </w:r>
          </w:p>
        </w:tc>
        <w:tc>
          <w:tcPr>
            <w:tcW w:w="1334" w:type="pct"/>
          </w:tcPr>
          <w:p w14:paraId="662583EE" w14:textId="77777777" w:rsidR="00B51ED1" w:rsidRPr="00C83861" w:rsidRDefault="00B51ED1" w:rsidP="00B51ED1">
            <w:pPr>
              <w:pStyle w:val="Tabletext"/>
              <w:ind w:left="0" w:right="0"/>
              <w:contextualSpacing/>
              <w:jc w:val="center"/>
              <w:rPr>
                <w:sz w:val="20"/>
                <w:szCs w:val="20"/>
              </w:rPr>
            </w:pPr>
            <w:r w:rsidRPr="00C83861">
              <w:rPr>
                <w:sz w:val="20"/>
                <w:szCs w:val="20"/>
              </w:rPr>
              <w:t>97%</w:t>
            </w:r>
          </w:p>
        </w:tc>
      </w:tr>
      <w:tr w:rsidR="00B51ED1" w:rsidRPr="00C83861" w14:paraId="25F6B5B2" w14:textId="77777777" w:rsidTr="00A33D6C">
        <w:tc>
          <w:tcPr>
            <w:tcW w:w="2333" w:type="pct"/>
          </w:tcPr>
          <w:p w14:paraId="562414F9" w14:textId="77777777" w:rsidR="00B51ED1" w:rsidRPr="00C83861" w:rsidRDefault="00B51ED1" w:rsidP="00B51ED1">
            <w:pPr>
              <w:pStyle w:val="Tabletext"/>
              <w:ind w:left="0"/>
              <w:contextualSpacing/>
              <w:rPr>
                <w:sz w:val="20"/>
                <w:szCs w:val="20"/>
              </w:rPr>
            </w:pPr>
            <w:r w:rsidRPr="00C83861">
              <w:rPr>
                <w:sz w:val="20"/>
                <w:szCs w:val="20"/>
              </w:rPr>
              <w:t>Patients with at least 1 serious TEAE (</w:t>
            </w:r>
            <w:r w:rsidR="00337E2B">
              <w:rPr>
                <w:sz w:val="20"/>
                <w:szCs w:val="20"/>
              </w:rPr>
              <w:t>serious adverse event (</w:t>
            </w:r>
            <w:r w:rsidRPr="00C83861">
              <w:rPr>
                <w:sz w:val="20"/>
                <w:szCs w:val="20"/>
              </w:rPr>
              <w:t>SAE</w:t>
            </w:r>
            <w:r w:rsidR="00337E2B">
              <w:rPr>
                <w:sz w:val="20"/>
                <w:szCs w:val="20"/>
              </w:rPr>
              <w:t>)</w:t>
            </w:r>
            <w:r w:rsidRPr="00C83861">
              <w:rPr>
                <w:sz w:val="20"/>
                <w:szCs w:val="20"/>
              </w:rPr>
              <w:t>)</w:t>
            </w:r>
          </w:p>
        </w:tc>
        <w:tc>
          <w:tcPr>
            <w:tcW w:w="1333" w:type="pct"/>
          </w:tcPr>
          <w:p w14:paraId="41457DF5" w14:textId="77777777" w:rsidR="00B51ED1" w:rsidRPr="00C83861" w:rsidRDefault="00B51ED1" w:rsidP="00B51ED1">
            <w:pPr>
              <w:pStyle w:val="Tabletext"/>
              <w:tabs>
                <w:tab w:val="left" w:pos="1842"/>
              </w:tabs>
              <w:contextualSpacing/>
              <w:jc w:val="center"/>
              <w:rPr>
                <w:sz w:val="20"/>
                <w:szCs w:val="20"/>
              </w:rPr>
            </w:pPr>
            <w:r w:rsidRPr="00C83861">
              <w:rPr>
                <w:sz w:val="20"/>
                <w:szCs w:val="20"/>
              </w:rPr>
              <w:t>25.7%</w:t>
            </w:r>
          </w:p>
        </w:tc>
        <w:tc>
          <w:tcPr>
            <w:tcW w:w="1334" w:type="pct"/>
          </w:tcPr>
          <w:p w14:paraId="21FDF041" w14:textId="77777777" w:rsidR="00B51ED1" w:rsidRPr="00C83861" w:rsidRDefault="00B51ED1" w:rsidP="00B51ED1">
            <w:pPr>
              <w:pStyle w:val="Tabletext"/>
              <w:contextualSpacing/>
              <w:jc w:val="center"/>
              <w:rPr>
                <w:sz w:val="20"/>
                <w:szCs w:val="20"/>
              </w:rPr>
            </w:pPr>
            <w:r w:rsidRPr="00C83861">
              <w:rPr>
                <w:sz w:val="20"/>
                <w:szCs w:val="20"/>
              </w:rPr>
              <w:t>26.9%</w:t>
            </w:r>
          </w:p>
        </w:tc>
      </w:tr>
      <w:tr w:rsidR="00B51ED1" w:rsidRPr="00C83861" w14:paraId="5233C2DD" w14:textId="77777777" w:rsidTr="00A33D6C">
        <w:tc>
          <w:tcPr>
            <w:tcW w:w="5000" w:type="pct"/>
            <w:gridSpan w:val="3"/>
          </w:tcPr>
          <w:p w14:paraId="04A53D77" w14:textId="77777777" w:rsidR="00B51ED1" w:rsidRPr="00C83861" w:rsidRDefault="00B51ED1" w:rsidP="00B51ED1">
            <w:pPr>
              <w:pStyle w:val="Tabletext"/>
              <w:tabs>
                <w:tab w:val="left" w:pos="3148"/>
              </w:tabs>
              <w:ind w:left="0" w:right="0"/>
              <w:contextualSpacing/>
              <w:rPr>
                <w:sz w:val="20"/>
                <w:szCs w:val="20"/>
              </w:rPr>
            </w:pPr>
            <w:r w:rsidRPr="00C83861">
              <w:rPr>
                <w:sz w:val="20"/>
                <w:szCs w:val="20"/>
              </w:rPr>
              <w:t>Most common SAEs (≥</w:t>
            </w:r>
            <w:r w:rsidR="00337E2B">
              <w:rPr>
                <w:sz w:val="20"/>
                <w:szCs w:val="20"/>
              </w:rPr>
              <w:t xml:space="preserve"> </w:t>
            </w:r>
            <w:r w:rsidRPr="00C83861">
              <w:rPr>
                <w:sz w:val="20"/>
                <w:szCs w:val="20"/>
              </w:rPr>
              <w:t>2% in the tucatinib arm):</w:t>
            </w:r>
          </w:p>
        </w:tc>
      </w:tr>
      <w:tr w:rsidR="00B51ED1" w:rsidRPr="00C83861" w14:paraId="0008DDF9" w14:textId="77777777" w:rsidTr="00A33D6C">
        <w:tc>
          <w:tcPr>
            <w:tcW w:w="2333" w:type="pct"/>
          </w:tcPr>
          <w:p w14:paraId="26C780D0" w14:textId="77777777" w:rsidR="00B51ED1" w:rsidRPr="00C83861" w:rsidRDefault="00B51ED1" w:rsidP="00B51ED1">
            <w:pPr>
              <w:pStyle w:val="Tabletext"/>
              <w:ind w:left="0" w:right="57"/>
              <w:contextualSpacing/>
              <w:jc w:val="right"/>
              <w:rPr>
                <w:i/>
                <w:sz w:val="20"/>
                <w:szCs w:val="20"/>
              </w:rPr>
            </w:pPr>
            <w:r w:rsidRPr="00C83861">
              <w:rPr>
                <w:i/>
                <w:sz w:val="20"/>
                <w:szCs w:val="20"/>
              </w:rPr>
              <w:t>diarrhoea</w:t>
            </w:r>
          </w:p>
        </w:tc>
        <w:tc>
          <w:tcPr>
            <w:tcW w:w="1333" w:type="pct"/>
          </w:tcPr>
          <w:p w14:paraId="4EA56DF3" w14:textId="77777777" w:rsidR="00B51ED1" w:rsidRPr="00C83861" w:rsidRDefault="00B51ED1" w:rsidP="00B51ED1">
            <w:pPr>
              <w:pStyle w:val="Tabletext"/>
              <w:tabs>
                <w:tab w:val="left" w:pos="1842"/>
              </w:tabs>
              <w:ind w:left="0" w:right="0"/>
              <w:contextualSpacing/>
              <w:jc w:val="center"/>
              <w:rPr>
                <w:i/>
                <w:sz w:val="20"/>
                <w:szCs w:val="20"/>
              </w:rPr>
            </w:pPr>
            <w:r w:rsidRPr="00C83861">
              <w:rPr>
                <w:i/>
                <w:sz w:val="20"/>
                <w:szCs w:val="20"/>
              </w:rPr>
              <w:t>4.0%</w:t>
            </w:r>
          </w:p>
        </w:tc>
        <w:tc>
          <w:tcPr>
            <w:tcW w:w="1334" w:type="pct"/>
          </w:tcPr>
          <w:p w14:paraId="3B77DA92" w14:textId="77777777" w:rsidR="00B51ED1" w:rsidRPr="00C83861" w:rsidRDefault="00B51ED1" w:rsidP="00B51ED1">
            <w:pPr>
              <w:pStyle w:val="Tabletext"/>
              <w:ind w:left="0" w:right="0"/>
              <w:contextualSpacing/>
              <w:jc w:val="center"/>
              <w:rPr>
                <w:i/>
                <w:sz w:val="20"/>
                <w:szCs w:val="20"/>
              </w:rPr>
            </w:pPr>
            <w:r w:rsidRPr="00C83861">
              <w:rPr>
                <w:i/>
                <w:sz w:val="20"/>
                <w:szCs w:val="20"/>
              </w:rPr>
              <w:t>3.6%</w:t>
            </w:r>
          </w:p>
        </w:tc>
      </w:tr>
      <w:tr w:rsidR="00B51ED1" w:rsidRPr="00C83861" w14:paraId="3E95B72A" w14:textId="77777777" w:rsidTr="00A33D6C">
        <w:tc>
          <w:tcPr>
            <w:tcW w:w="2333" w:type="pct"/>
          </w:tcPr>
          <w:p w14:paraId="6F383F25" w14:textId="77777777" w:rsidR="00B51ED1" w:rsidRPr="00C83861" w:rsidRDefault="00B51ED1" w:rsidP="00B51ED1">
            <w:pPr>
              <w:pStyle w:val="Tabletext"/>
              <w:ind w:left="0" w:right="57"/>
              <w:contextualSpacing/>
              <w:jc w:val="right"/>
              <w:rPr>
                <w:i/>
                <w:sz w:val="20"/>
                <w:szCs w:val="20"/>
              </w:rPr>
            </w:pPr>
            <w:r w:rsidRPr="00C83861">
              <w:rPr>
                <w:i/>
                <w:sz w:val="20"/>
                <w:szCs w:val="20"/>
              </w:rPr>
              <w:t>vomiting</w:t>
            </w:r>
          </w:p>
        </w:tc>
        <w:tc>
          <w:tcPr>
            <w:tcW w:w="1333" w:type="pct"/>
          </w:tcPr>
          <w:p w14:paraId="5BDB564B" w14:textId="77777777" w:rsidR="00B51ED1" w:rsidRPr="00C83861" w:rsidRDefault="00B51ED1" w:rsidP="00B51ED1">
            <w:pPr>
              <w:pStyle w:val="Tabletext"/>
              <w:tabs>
                <w:tab w:val="left" w:pos="1842"/>
              </w:tabs>
              <w:ind w:left="0" w:right="0"/>
              <w:contextualSpacing/>
              <w:jc w:val="center"/>
              <w:rPr>
                <w:i/>
                <w:sz w:val="20"/>
                <w:szCs w:val="20"/>
              </w:rPr>
            </w:pPr>
            <w:r w:rsidRPr="00C83861">
              <w:rPr>
                <w:i/>
                <w:sz w:val="20"/>
                <w:szCs w:val="20"/>
              </w:rPr>
              <w:t>2.5%</w:t>
            </w:r>
          </w:p>
        </w:tc>
        <w:tc>
          <w:tcPr>
            <w:tcW w:w="1334" w:type="pct"/>
          </w:tcPr>
          <w:p w14:paraId="088A596F" w14:textId="77777777" w:rsidR="00B51ED1" w:rsidRPr="00C83861" w:rsidRDefault="00B51ED1" w:rsidP="00B51ED1">
            <w:pPr>
              <w:pStyle w:val="Tabletext"/>
              <w:ind w:left="0" w:right="0"/>
              <w:contextualSpacing/>
              <w:jc w:val="center"/>
              <w:rPr>
                <w:i/>
                <w:sz w:val="20"/>
                <w:szCs w:val="20"/>
              </w:rPr>
            </w:pPr>
            <w:r w:rsidRPr="00C83861">
              <w:rPr>
                <w:i/>
                <w:sz w:val="20"/>
                <w:szCs w:val="20"/>
              </w:rPr>
              <w:t>2.5%</w:t>
            </w:r>
          </w:p>
        </w:tc>
      </w:tr>
      <w:tr w:rsidR="00B51ED1" w:rsidRPr="00C83861" w14:paraId="2E080B06" w14:textId="77777777" w:rsidTr="00A33D6C">
        <w:tc>
          <w:tcPr>
            <w:tcW w:w="2333" w:type="pct"/>
          </w:tcPr>
          <w:p w14:paraId="10A096CF" w14:textId="77777777" w:rsidR="00B51ED1" w:rsidRPr="00C83861" w:rsidRDefault="00B51ED1" w:rsidP="00B51ED1">
            <w:pPr>
              <w:pStyle w:val="Tabletext"/>
              <w:ind w:left="0" w:right="57"/>
              <w:contextualSpacing/>
              <w:jc w:val="right"/>
              <w:rPr>
                <w:i/>
                <w:sz w:val="20"/>
                <w:szCs w:val="20"/>
              </w:rPr>
            </w:pPr>
            <w:r w:rsidRPr="00C83861">
              <w:rPr>
                <w:i/>
                <w:sz w:val="20"/>
                <w:szCs w:val="20"/>
              </w:rPr>
              <w:t>nausea</w:t>
            </w:r>
          </w:p>
        </w:tc>
        <w:tc>
          <w:tcPr>
            <w:tcW w:w="1333" w:type="pct"/>
          </w:tcPr>
          <w:p w14:paraId="7BC640C9" w14:textId="77777777" w:rsidR="00B51ED1" w:rsidRPr="00C83861" w:rsidRDefault="00B51ED1" w:rsidP="00B51ED1">
            <w:pPr>
              <w:pStyle w:val="Tabletext"/>
              <w:tabs>
                <w:tab w:val="left" w:pos="1842"/>
              </w:tabs>
              <w:ind w:left="0" w:right="0"/>
              <w:contextualSpacing/>
              <w:jc w:val="center"/>
              <w:rPr>
                <w:i/>
                <w:sz w:val="20"/>
                <w:szCs w:val="20"/>
              </w:rPr>
            </w:pPr>
            <w:r w:rsidRPr="00C83861">
              <w:rPr>
                <w:i/>
                <w:sz w:val="20"/>
                <w:szCs w:val="20"/>
              </w:rPr>
              <w:t>2.0%</w:t>
            </w:r>
          </w:p>
        </w:tc>
        <w:tc>
          <w:tcPr>
            <w:tcW w:w="1334" w:type="pct"/>
          </w:tcPr>
          <w:p w14:paraId="7FB06B0F" w14:textId="77777777" w:rsidR="00B51ED1" w:rsidRPr="00C83861" w:rsidRDefault="00B51ED1" w:rsidP="00B51ED1">
            <w:pPr>
              <w:pStyle w:val="Tabletext"/>
              <w:ind w:left="0" w:right="0"/>
              <w:contextualSpacing/>
              <w:jc w:val="center"/>
              <w:rPr>
                <w:i/>
                <w:sz w:val="20"/>
                <w:szCs w:val="20"/>
              </w:rPr>
            </w:pPr>
            <w:r w:rsidRPr="00C83861">
              <w:rPr>
                <w:i/>
                <w:sz w:val="20"/>
                <w:szCs w:val="20"/>
              </w:rPr>
              <w:t>1.5%</w:t>
            </w:r>
          </w:p>
        </w:tc>
      </w:tr>
      <w:tr w:rsidR="00B51ED1" w:rsidRPr="00C83861" w14:paraId="045A6B91" w14:textId="77777777" w:rsidTr="00A33D6C">
        <w:tc>
          <w:tcPr>
            <w:tcW w:w="2333" w:type="pct"/>
          </w:tcPr>
          <w:p w14:paraId="059BA04D" w14:textId="77777777" w:rsidR="00B51ED1" w:rsidRPr="00C83861" w:rsidRDefault="00B51ED1" w:rsidP="00B51ED1">
            <w:pPr>
              <w:pStyle w:val="Tabletext"/>
              <w:ind w:left="0" w:right="57"/>
              <w:contextualSpacing/>
              <w:jc w:val="right"/>
              <w:rPr>
                <w:i/>
                <w:sz w:val="20"/>
                <w:szCs w:val="20"/>
              </w:rPr>
            </w:pPr>
            <w:r w:rsidRPr="00C83861">
              <w:rPr>
                <w:i/>
                <w:sz w:val="20"/>
                <w:szCs w:val="20"/>
              </w:rPr>
              <w:t xml:space="preserve">abdominal pain </w:t>
            </w:r>
            <w:r w:rsidRPr="00C83861">
              <w:rPr>
                <w:i/>
                <w:sz w:val="20"/>
                <w:szCs w:val="20"/>
                <w:vertAlign w:val="superscript"/>
              </w:rPr>
              <w:t>1</w:t>
            </w:r>
          </w:p>
        </w:tc>
        <w:tc>
          <w:tcPr>
            <w:tcW w:w="1333" w:type="pct"/>
          </w:tcPr>
          <w:p w14:paraId="3E616983" w14:textId="77777777" w:rsidR="00B51ED1" w:rsidRPr="00C83861" w:rsidRDefault="00B51ED1" w:rsidP="00B51ED1">
            <w:pPr>
              <w:pStyle w:val="Tabletext"/>
              <w:tabs>
                <w:tab w:val="left" w:pos="1842"/>
              </w:tabs>
              <w:ind w:left="0" w:right="0"/>
              <w:contextualSpacing/>
              <w:jc w:val="center"/>
              <w:rPr>
                <w:i/>
                <w:sz w:val="20"/>
                <w:szCs w:val="20"/>
              </w:rPr>
            </w:pPr>
            <w:r w:rsidRPr="00C83861">
              <w:rPr>
                <w:i/>
                <w:sz w:val="20"/>
                <w:szCs w:val="20"/>
              </w:rPr>
              <w:t>2.0%</w:t>
            </w:r>
          </w:p>
        </w:tc>
        <w:tc>
          <w:tcPr>
            <w:tcW w:w="1334" w:type="pct"/>
          </w:tcPr>
          <w:p w14:paraId="3A19A1A1" w14:textId="77777777" w:rsidR="00B51ED1" w:rsidRPr="00C83861" w:rsidRDefault="00B51ED1" w:rsidP="00B51ED1">
            <w:pPr>
              <w:pStyle w:val="Tabletext"/>
              <w:ind w:left="0" w:right="0"/>
              <w:contextualSpacing/>
              <w:jc w:val="center"/>
              <w:rPr>
                <w:i/>
                <w:sz w:val="20"/>
                <w:szCs w:val="20"/>
              </w:rPr>
            </w:pPr>
            <w:r w:rsidRPr="00C83861">
              <w:rPr>
                <w:i/>
                <w:sz w:val="20"/>
                <w:szCs w:val="20"/>
              </w:rPr>
              <w:t>0%</w:t>
            </w:r>
          </w:p>
        </w:tc>
      </w:tr>
      <w:tr w:rsidR="00B51ED1" w:rsidRPr="00C83861" w14:paraId="780E7157" w14:textId="77777777" w:rsidTr="00A33D6C">
        <w:tc>
          <w:tcPr>
            <w:tcW w:w="2333" w:type="pct"/>
          </w:tcPr>
          <w:p w14:paraId="1BDD577F" w14:textId="77777777" w:rsidR="00B51ED1" w:rsidRPr="00C83861" w:rsidRDefault="00B51ED1" w:rsidP="00B51ED1">
            <w:pPr>
              <w:pStyle w:val="Tabletext"/>
              <w:ind w:left="0" w:right="57"/>
              <w:contextualSpacing/>
              <w:jc w:val="right"/>
              <w:rPr>
                <w:i/>
                <w:sz w:val="20"/>
                <w:szCs w:val="20"/>
              </w:rPr>
            </w:pPr>
            <w:r w:rsidRPr="00C83861">
              <w:rPr>
                <w:i/>
                <w:sz w:val="20"/>
                <w:szCs w:val="20"/>
              </w:rPr>
              <w:t xml:space="preserve">seizure </w:t>
            </w:r>
            <w:r w:rsidRPr="00C83861">
              <w:rPr>
                <w:i/>
                <w:sz w:val="20"/>
                <w:szCs w:val="20"/>
                <w:vertAlign w:val="superscript"/>
              </w:rPr>
              <w:t>2</w:t>
            </w:r>
          </w:p>
        </w:tc>
        <w:tc>
          <w:tcPr>
            <w:tcW w:w="1333" w:type="pct"/>
          </w:tcPr>
          <w:p w14:paraId="157250FF" w14:textId="77777777" w:rsidR="00B51ED1" w:rsidRPr="00C83861" w:rsidRDefault="00B51ED1" w:rsidP="00B51ED1">
            <w:pPr>
              <w:pStyle w:val="Tabletext"/>
              <w:tabs>
                <w:tab w:val="left" w:pos="1842"/>
              </w:tabs>
              <w:ind w:left="0" w:right="0"/>
              <w:contextualSpacing/>
              <w:jc w:val="center"/>
              <w:rPr>
                <w:i/>
                <w:sz w:val="20"/>
                <w:szCs w:val="20"/>
              </w:rPr>
            </w:pPr>
            <w:r w:rsidRPr="00C83861">
              <w:rPr>
                <w:i/>
                <w:sz w:val="20"/>
                <w:szCs w:val="20"/>
              </w:rPr>
              <w:t>2.0%</w:t>
            </w:r>
          </w:p>
        </w:tc>
        <w:tc>
          <w:tcPr>
            <w:tcW w:w="1334" w:type="pct"/>
          </w:tcPr>
          <w:p w14:paraId="5D9A0068" w14:textId="77777777" w:rsidR="00B51ED1" w:rsidRPr="00C83861" w:rsidRDefault="00B51ED1" w:rsidP="00B51ED1">
            <w:pPr>
              <w:pStyle w:val="Tabletext"/>
              <w:ind w:left="0" w:right="0"/>
              <w:contextualSpacing/>
              <w:jc w:val="center"/>
              <w:rPr>
                <w:i/>
                <w:sz w:val="20"/>
                <w:szCs w:val="20"/>
              </w:rPr>
            </w:pPr>
            <w:r w:rsidRPr="00C83861">
              <w:rPr>
                <w:i/>
                <w:sz w:val="20"/>
                <w:szCs w:val="20"/>
              </w:rPr>
              <w:t>1.5%</w:t>
            </w:r>
          </w:p>
        </w:tc>
      </w:tr>
      <w:tr w:rsidR="00B51ED1" w:rsidRPr="00C83861" w14:paraId="25202BE3" w14:textId="77777777" w:rsidTr="00F979FB">
        <w:tc>
          <w:tcPr>
            <w:tcW w:w="2333" w:type="pct"/>
          </w:tcPr>
          <w:p w14:paraId="5D1F1575" w14:textId="77777777" w:rsidR="00B51ED1" w:rsidRPr="00C83861" w:rsidRDefault="00B51ED1" w:rsidP="00F979FB">
            <w:pPr>
              <w:pStyle w:val="Tabletext"/>
              <w:ind w:left="0" w:right="0"/>
              <w:contextualSpacing/>
              <w:rPr>
                <w:sz w:val="20"/>
                <w:szCs w:val="20"/>
              </w:rPr>
            </w:pPr>
            <w:r w:rsidRPr="00C83861">
              <w:rPr>
                <w:sz w:val="20"/>
                <w:szCs w:val="20"/>
              </w:rPr>
              <w:t>Patients with at least 1 ≥</w:t>
            </w:r>
            <w:r w:rsidR="00337E2B">
              <w:rPr>
                <w:sz w:val="20"/>
                <w:szCs w:val="20"/>
              </w:rPr>
              <w:t xml:space="preserve"> </w:t>
            </w:r>
            <w:r w:rsidRPr="00C83861">
              <w:rPr>
                <w:sz w:val="20"/>
                <w:szCs w:val="20"/>
              </w:rPr>
              <w:t>Grade 3 TEAE</w:t>
            </w:r>
          </w:p>
        </w:tc>
        <w:tc>
          <w:tcPr>
            <w:tcW w:w="1333" w:type="pct"/>
          </w:tcPr>
          <w:p w14:paraId="0C871747" w14:textId="4E3CB427" w:rsidR="00B51ED1" w:rsidRPr="00C83861" w:rsidRDefault="00BC7691" w:rsidP="00B51ED1">
            <w:pPr>
              <w:pStyle w:val="Tabletext"/>
              <w:tabs>
                <w:tab w:val="left" w:pos="1842"/>
              </w:tabs>
              <w:ind w:left="0" w:right="0"/>
              <w:contextualSpacing/>
              <w:jc w:val="center"/>
              <w:rPr>
                <w:sz w:val="20"/>
                <w:szCs w:val="20"/>
                <w:highlight w:val="yellow"/>
              </w:rPr>
            </w:pPr>
            <w:r>
              <w:rPr>
                <w:sz w:val="20"/>
                <w:szCs w:val="20"/>
              </w:rPr>
              <w:t>55</w:t>
            </w:r>
            <w:r w:rsidR="00B51ED1" w:rsidRPr="00C83861">
              <w:rPr>
                <w:sz w:val="20"/>
                <w:szCs w:val="20"/>
              </w:rPr>
              <w:t>%</w:t>
            </w:r>
          </w:p>
        </w:tc>
        <w:tc>
          <w:tcPr>
            <w:tcW w:w="1334" w:type="pct"/>
          </w:tcPr>
          <w:p w14:paraId="3594B63E" w14:textId="6DB56AA8" w:rsidR="00B51ED1" w:rsidRPr="00C83861" w:rsidRDefault="009B4AAE" w:rsidP="00B51ED1">
            <w:pPr>
              <w:pStyle w:val="Tabletext"/>
              <w:ind w:left="0" w:right="0"/>
              <w:contextualSpacing/>
              <w:jc w:val="center"/>
              <w:rPr>
                <w:sz w:val="20"/>
                <w:szCs w:val="20"/>
                <w:highlight w:val="yellow"/>
              </w:rPr>
            </w:pPr>
            <w:r>
              <w:rPr>
                <w:sz w:val="20"/>
                <w:szCs w:val="20"/>
              </w:rPr>
              <w:t>49</w:t>
            </w:r>
            <w:r w:rsidR="00B51ED1" w:rsidRPr="00C83861">
              <w:rPr>
                <w:sz w:val="20"/>
                <w:szCs w:val="20"/>
              </w:rPr>
              <w:t>%</w:t>
            </w:r>
          </w:p>
        </w:tc>
      </w:tr>
      <w:tr w:rsidR="00B51ED1" w:rsidRPr="00C83861" w14:paraId="670639B1" w14:textId="77777777" w:rsidTr="00A33D6C">
        <w:trPr>
          <w:trHeight w:val="60"/>
        </w:trPr>
        <w:tc>
          <w:tcPr>
            <w:tcW w:w="5000" w:type="pct"/>
            <w:gridSpan w:val="3"/>
          </w:tcPr>
          <w:p w14:paraId="5E406241" w14:textId="77777777" w:rsidR="00B51ED1" w:rsidRPr="00C83861" w:rsidRDefault="00B51ED1" w:rsidP="00B51ED1">
            <w:pPr>
              <w:pStyle w:val="Tabletext"/>
              <w:ind w:left="0"/>
              <w:contextualSpacing/>
              <w:rPr>
                <w:sz w:val="20"/>
                <w:szCs w:val="20"/>
              </w:rPr>
            </w:pPr>
            <w:r w:rsidRPr="00C83861">
              <w:rPr>
                <w:sz w:val="20"/>
                <w:szCs w:val="20"/>
              </w:rPr>
              <w:t>Most common ≥</w:t>
            </w:r>
            <w:r w:rsidR="00337E2B">
              <w:rPr>
                <w:sz w:val="20"/>
                <w:szCs w:val="20"/>
              </w:rPr>
              <w:t xml:space="preserve"> </w:t>
            </w:r>
            <w:r w:rsidRPr="00C83861">
              <w:rPr>
                <w:sz w:val="20"/>
                <w:szCs w:val="20"/>
              </w:rPr>
              <w:t>Grade 3 AEs (≥</w:t>
            </w:r>
            <w:r w:rsidR="00337E2B">
              <w:rPr>
                <w:sz w:val="20"/>
                <w:szCs w:val="20"/>
              </w:rPr>
              <w:t xml:space="preserve"> </w:t>
            </w:r>
            <w:r w:rsidRPr="00C83861">
              <w:rPr>
                <w:sz w:val="20"/>
                <w:szCs w:val="20"/>
              </w:rPr>
              <w:t>10% in the tucatinib arm):</w:t>
            </w:r>
          </w:p>
        </w:tc>
      </w:tr>
      <w:tr w:rsidR="00B51ED1" w:rsidRPr="00C83861" w14:paraId="5BE7C4DC" w14:textId="77777777" w:rsidTr="00A33D6C">
        <w:tc>
          <w:tcPr>
            <w:tcW w:w="2333" w:type="pct"/>
          </w:tcPr>
          <w:p w14:paraId="74E03295" w14:textId="77777777" w:rsidR="00B51ED1" w:rsidRPr="00C83861" w:rsidRDefault="00337E2B" w:rsidP="00B51ED1">
            <w:pPr>
              <w:pStyle w:val="Tabletext"/>
              <w:ind w:left="0" w:right="57"/>
              <w:contextualSpacing/>
              <w:jc w:val="right"/>
              <w:rPr>
                <w:i/>
                <w:sz w:val="20"/>
                <w:szCs w:val="20"/>
              </w:rPr>
            </w:pPr>
            <w:r>
              <w:rPr>
                <w:i/>
                <w:sz w:val="20"/>
                <w:szCs w:val="20"/>
              </w:rPr>
              <w:t>PPE</w:t>
            </w:r>
            <w:r w:rsidR="00B51ED1" w:rsidRPr="00C83861">
              <w:rPr>
                <w:i/>
                <w:sz w:val="20"/>
                <w:szCs w:val="20"/>
              </w:rPr>
              <w:t xml:space="preserve"> syndrome</w:t>
            </w:r>
          </w:p>
        </w:tc>
        <w:tc>
          <w:tcPr>
            <w:tcW w:w="1333" w:type="pct"/>
          </w:tcPr>
          <w:p w14:paraId="580184EC" w14:textId="77777777" w:rsidR="00B51ED1" w:rsidRPr="00C83861" w:rsidRDefault="00B51ED1" w:rsidP="00B51ED1">
            <w:pPr>
              <w:pStyle w:val="Tabletext"/>
              <w:tabs>
                <w:tab w:val="left" w:pos="1842"/>
              </w:tabs>
              <w:contextualSpacing/>
              <w:jc w:val="center"/>
              <w:rPr>
                <w:i/>
                <w:sz w:val="20"/>
                <w:szCs w:val="20"/>
                <w:highlight w:val="yellow"/>
              </w:rPr>
            </w:pPr>
            <w:r w:rsidRPr="00C83861">
              <w:rPr>
                <w:i/>
                <w:sz w:val="20"/>
                <w:szCs w:val="20"/>
              </w:rPr>
              <w:t>53 (13.1)</w:t>
            </w:r>
          </w:p>
        </w:tc>
        <w:tc>
          <w:tcPr>
            <w:tcW w:w="1334" w:type="pct"/>
          </w:tcPr>
          <w:p w14:paraId="4D55493F" w14:textId="77777777" w:rsidR="00B51ED1" w:rsidRPr="00C83861" w:rsidRDefault="00B51ED1" w:rsidP="00B51ED1">
            <w:pPr>
              <w:pStyle w:val="Tabletext"/>
              <w:contextualSpacing/>
              <w:jc w:val="center"/>
              <w:rPr>
                <w:i/>
                <w:sz w:val="20"/>
                <w:szCs w:val="20"/>
                <w:highlight w:val="yellow"/>
              </w:rPr>
            </w:pPr>
            <w:r w:rsidRPr="00C83861">
              <w:rPr>
                <w:i/>
                <w:sz w:val="20"/>
                <w:szCs w:val="20"/>
              </w:rPr>
              <w:t>18 (9.1)</w:t>
            </w:r>
          </w:p>
        </w:tc>
      </w:tr>
      <w:tr w:rsidR="00B51ED1" w:rsidRPr="00C83861" w14:paraId="704EBF0B" w14:textId="77777777" w:rsidTr="00A33D6C">
        <w:tc>
          <w:tcPr>
            <w:tcW w:w="2333" w:type="pct"/>
          </w:tcPr>
          <w:p w14:paraId="657816FE" w14:textId="77777777" w:rsidR="00B51ED1" w:rsidRPr="00C83861" w:rsidRDefault="00B51ED1" w:rsidP="00B51ED1">
            <w:pPr>
              <w:pStyle w:val="Tabletext"/>
              <w:ind w:left="0" w:right="57"/>
              <w:contextualSpacing/>
              <w:jc w:val="right"/>
              <w:rPr>
                <w:i/>
                <w:sz w:val="20"/>
                <w:szCs w:val="20"/>
              </w:rPr>
            </w:pPr>
            <w:r w:rsidRPr="00C83861">
              <w:rPr>
                <w:i/>
                <w:sz w:val="20"/>
                <w:szCs w:val="20"/>
              </w:rPr>
              <w:t>diarrhoea</w:t>
            </w:r>
          </w:p>
        </w:tc>
        <w:tc>
          <w:tcPr>
            <w:tcW w:w="1333" w:type="pct"/>
          </w:tcPr>
          <w:p w14:paraId="4B16FDC4" w14:textId="77777777" w:rsidR="00B51ED1" w:rsidRPr="00C83861" w:rsidRDefault="00B51ED1" w:rsidP="00B51ED1">
            <w:pPr>
              <w:pStyle w:val="Tabletext"/>
              <w:tabs>
                <w:tab w:val="left" w:pos="1842"/>
              </w:tabs>
              <w:contextualSpacing/>
              <w:jc w:val="center"/>
              <w:rPr>
                <w:sz w:val="20"/>
                <w:szCs w:val="20"/>
                <w:highlight w:val="yellow"/>
              </w:rPr>
            </w:pPr>
            <w:r w:rsidRPr="00C83861">
              <w:rPr>
                <w:sz w:val="20"/>
                <w:szCs w:val="20"/>
              </w:rPr>
              <w:t>52 (12.9)</w:t>
            </w:r>
          </w:p>
        </w:tc>
        <w:tc>
          <w:tcPr>
            <w:tcW w:w="1334" w:type="pct"/>
          </w:tcPr>
          <w:p w14:paraId="4C122CD5" w14:textId="77777777" w:rsidR="00B51ED1" w:rsidRPr="00C83861" w:rsidRDefault="00B51ED1" w:rsidP="00B51ED1">
            <w:pPr>
              <w:pStyle w:val="Tabletext"/>
              <w:contextualSpacing/>
              <w:jc w:val="center"/>
              <w:rPr>
                <w:sz w:val="20"/>
                <w:szCs w:val="20"/>
                <w:highlight w:val="yellow"/>
              </w:rPr>
            </w:pPr>
            <w:r w:rsidRPr="00C83861">
              <w:rPr>
                <w:sz w:val="20"/>
                <w:szCs w:val="20"/>
              </w:rPr>
              <w:t>17 (8.6)</w:t>
            </w:r>
          </w:p>
        </w:tc>
      </w:tr>
    </w:tbl>
    <w:p w14:paraId="1803F6C5" w14:textId="77777777" w:rsidR="00B51ED1" w:rsidRPr="00BF19C5" w:rsidRDefault="00B51ED1" w:rsidP="00C83861">
      <w:pPr>
        <w:pStyle w:val="TableDescription"/>
      </w:pPr>
      <w:r w:rsidRPr="00807D5D">
        <w:rPr>
          <w:vertAlign w:val="superscript"/>
        </w:rPr>
        <w:t>1</w:t>
      </w:r>
      <w:r>
        <w:t xml:space="preserve"> Grouped </w:t>
      </w:r>
      <w:r w:rsidR="00337E2B" w:rsidRPr="00337E2B">
        <w:t xml:space="preserve">Medical Dictionary for Regulatory Activities </w:t>
      </w:r>
      <w:r w:rsidR="00337E2B">
        <w:t>(</w:t>
      </w:r>
      <w:r>
        <w:t>MedDRA</w:t>
      </w:r>
      <w:r w:rsidR="00337E2B">
        <w:t>)</w:t>
      </w:r>
      <w:r>
        <w:t xml:space="preserve"> Preferred Terms: abdominal pain, abdominal pain upper, abdominal pain lower, abdominal d</w:t>
      </w:r>
      <w:r w:rsidR="00C83861">
        <w:t xml:space="preserve">iscomfort, abdominal tenderness. </w:t>
      </w:r>
      <w:r w:rsidRPr="00807D5D">
        <w:rPr>
          <w:vertAlign w:val="superscript"/>
        </w:rPr>
        <w:t>2</w:t>
      </w:r>
      <w:r>
        <w:t xml:space="preserve"> Grouped MedDRA Preferred Terms: seizure, generalised tonic-</w:t>
      </w:r>
      <w:proofErr w:type="spellStart"/>
      <w:r>
        <w:t>clonic</w:t>
      </w:r>
      <w:proofErr w:type="spellEnd"/>
      <w:r>
        <w:t xml:space="preserve"> seizure, epilepsy</w:t>
      </w:r>
      <w:r w:rsidR="003262C1">
        <w:t>.</w:t>
      </w:r>
    </w:p>
    <w:p w14:paraId="6B1E9B16" w14:textId="77777777" w:rsidR="00B51ED1" w:rsidRDefault="00B51ED1" w:rsidP="00B51ED1">
      <w:pPr>
        <w:pStyle w:val="Heading5"/>
      </w:pPr>
      <w:bookmarkStart w:id="60" w:name="_Ref43901083"/>
      <w:r>
        <w:t>Deaths</w:t>
      </w:r>
      <w:bookmarkEnd w:id="60"/>
    </w:p>
    <w:p w14:paraId="10308BB0" w14:textId="77777777" w:rsidR="00B51ED1" w:rsidRDefault="00B51ED1" w:rsidP="00B51ED1">
      <w:r w:rsidRPr="001C4B72">
        <w:t xml:space="preserve">In </w:t>
      </w:r>
      <w:r w:rsidR="00337E2B">
        <w:t xml:space="preserve">the </w:t>
      </w:r>
      <w:r w:rsidRPr="001C4B72">
        <w:t>HER2CLIMB</w:t>
      </w:r>
      <w:r w:rsidR="00337E2B">
        <w:t xml:space="preserve"> trial</w:t>
      </w:r>
      <w:r w:rsidRPr="001C4B72">
        <w:t xml:space="preserve">, there were </w:t>
      </w:r>
      <w:r>
        <w:t>14</w:t>
      </w:r>
      <w:r w:rsidRPr="001C4B72">
        <w:t xml:space="preserve"> </w:t>
      </w:r>
      <w:r>
        <w:t>fatal TEAEs</w:t>
      </w:r>
      <w:r w:rsidRPr="001C4B72">
        <w:t xml:space="preserve"> in the safety population within 30 days of the last dose of study treatment</w:t>
      </w:r>
      <w:r w:rsidR="00337E2B">
        <w:t>;</w:t>
      </w:r>
      <w:r>
        <w:t xml:space="preserve"> </w:t>
      </w:r>
      <w:r w:rsidRPr="001C4B72">
        <w:t>8 (2.0%) in the tucatinib arm a</w:t>
      </w:r>
      <w:r w:rsidR="00337E2B">
        <w:t>nd 6 (3.0%) in the placebo arm.</w:t>
      </w:r>
    </w:p>
    <w:p w14:paraId="316B999C" w14:textId="5597914D" w:rsidR="00B51ED1" w:rsidRPr="001C4B72" w:rsidRDefault="00B51ED1" w:rsidP="00B51ED1">
      <w:r w:rsidRPr="001C4B72">
        <w:t>The narratives for these events are described in the Multi-Discipline Re</w:t>
      </w:r>
      <w:r>
        <w:t>view,</w:t>
      </w:r>
      <w:r w:rsidR="00337E2B">
        <w:fldChar w:fldCharType="begin"/>
      </w:r>
      <w:r w:rsidR="00337E2B">
        <w:instrText xml:space="preserve"> NOTEREF _Ref64226828 \f \h </w:instrText>
      </w:r>
      <w:r w:rsidR="00337E2B">
        <w:fldChar w:fldCharType="separate"/>
      </w:r>
      <w:r w:rsidR="00F979FB" w:rsidRPr="00F979FB">
        <w:rPr>
          <w:rStyle w:val="FootnoteReference"/>
        </w:rPr>
        <w:t>10</w:t>
      </w:r>
      <w:r w:rsidR="00337E2B">
        <w:fldChar w:fldCharType="end"/>
      </w:r>
      <w:r>
        <w:t xml:space="preserve"> beginning on page 168, and are briefly listed in </w:t>
      </w:r>
      <w:r>
        <w:fldChar w:fldCharType="begin"/>
      </w:r>
      <w:r>
        <w:instrText xml:space="preserve"> REF _Ref43307063 \h </w:instrText>
      </w:r>
      <w:r>
        <w:fldChar w:fldCharType="separate"/>
      </w:r>
      <w:r w:rsidR="00F979FB">
        <w:t xml:space="preserve">Table </w:t>
      </w:r>
      <w:r w:rsidR="00F979FB">
        <w:rPr>
          <w:noProof/>
        </w:rPr>
        <w:t>18</w:t>
      </w:r>
      <w:r>
        <w:fldChar w:fldCharType="end"/>
      </w:r>
      <w:r>
        <w:t xml:space="preserve">, below. Of particular note were two deaths (cases 3 and 4 in </w:t>
      </w:r>
      <w:r>
        <w:fldChar w:fldCharType="begin"/>
      </w:r>
      <w:r>
        <w:instrText xml:space="preserve"> REF _Ref43307063 \h </w:instrText>
      </w:r>
      <w:r>
        <w:fldChar w:fldCharType="separate"/>
      </w:r>
      <w:r w:rsidR="00F979FB">
        <w:t xml:space="preserve">Table </w:t>
      </w:r>
      <w:r w:rsidR="00F979FB">
        <w:rPr>
          <w:noProof/>
        </w:rPr>
        <w:t>18</w:t>
      </w:r>
      <w:r>
        <w:fldChar w:fldCharType="end"/>
      </w:r>
      <w:r>
        <w:t>) that occurred subsequently to severe diarrhoea in patients in the tucatinib arm, which were considered possibly related to treatment by the regulatory agencies.</w:t>
      </w:r>
    </w:p>
    <w:p w14:paraId="07F0B1C5" w14:textId="20D7D260" w:rsidR="00B51ED1" w:rsidRDefault="00B51ED1" w:rsidP="00C83861">
      <w:pPr>
        <w:pStyle w:val="TableTitle"/>
      </w:pPr>
      <w:bookmarkStart w:id="61" w:name="_Ref43307063"/>
      <w:r>
        <w:t xml:space="preserve">Table </w:t>
      </w:r>
      <w:fldSimple w:instr=" SEQ Table \* ARABIC ">
        <w:r w:rsidR="00F979FB">
          <w:rPr>
            <w:noProof/>
          </w:rPr>
          <w:t>18</w:t>
        </w:r>
      </w:fldSimple>
      <w:bookmarkEnd w:id="61"/>
      <w:r w:rsidR="00C83861">
        <w:t xml:space="preserve">: </w:t>
      </w:r>
      <w:r>
        <w:t>T</w:t>
      </w:r>
      <w:r w:rsidR="007912D9">
        <w:t>reatment emergent adverse events</w:t>
      </w:r>
      <w:r>
        <w:t xml:space="preserve"> that led to death</w:t>
      </w:r>
      <w:r w:rsidR="007912D9">
        <w:t>s</w:t>
      </w:r>
      <w:r>
        <w:t xml:space="preserve"> in </w:t>
      </w:r>
      <w:r w:rsidR="007912D9">
        <w:t xml:space="preserve">the </w:t>
      </w:r>
      <w:r>
        <w:t>HER2CLIMB</w:t>
      </w:r>
      <w:r w:rsidR="007912D9">
        <w:t xml:space="preserve"> trial</w:t>
      </w:r>
      <w:r>
        <w:t xml:space="preserve"> within 30 days of last dose of a study treatment (r</w:t>
      </w:r>
      <w:r w:rsidR="00C83861">
        <w:t xml:space="preserve">eported </w:t>
      </w:r>
      <w:r w:rsidR="007912D9">
        <w:t>P</w:t>
      </w:r>
      <w:r w:rsidR="00C83861">
        <w:t xml:space="preserve">referred </w:t>
      </w:r>
      <w:r w:rsidR="007912D9">
        <w:t>T</w:t>
      </w:r>
      <w:r w:rsidR="00C83861">
        <w:t>erm in bold)</w:t>
      </w:r>
    </w:p>
    <w:tbl>
      <w:tblPr>
        <w:tblStyle w:val="TableTGAblue"/>
        <w:tblW w:w="5000" w:type="pct"/>
        <w:tblLook w:val="04A0" w:firstRow="1" w:lastRow="0" w:firstColumn="1" w:lastColumn="0" w:noHBand="0" w:noVBand="1"/>
      </w:tblPr>
      <w:tblGrid>
        <w:gridCol w:w="4242"/>
        <w:gridCol w:w="4242"/>
      </w:tblGrid>
      <w:tr w:rsidR="00B51ED1" w:rsidRPr="007F2AE5" w14:paraId="2FA040A9" w14:textId="77777777" w:rsidTr="00A33D6C">
        <w:trPr>
          <w:cnfStyle w:val="100000000000" w:firstRow="1" w:lastRow="0" w:firstColumn="0" w:lastColumn="0" w:oddVBand="0" w:evenVBand="0" w:oddHBand="0" w:evenHBand="0" w:firstRowFirstColumn="0" w:firstRowLastColumn="0" w:lastRowFirstColumn="0" w:lastRowLastColumn="0"/>
        </w:trPr>
        <w:tc>
          <w:tcPr>
            <w:tcW w:w="2500" w:type="pct"/>
          </w:tcPr>
          <w:p w14:paraId="37E0799B" w14:textId="77777777" w:rsidR="00B51ED1" w:rsidRPr="007F2AE5" w:rsidRDefault="00B51ED1" w:rsidP="007F2AE5">
            <w:pPr>
              <w:ind w:left="0" w:right="0"/>
              <w:rPr>
                <w:sz w:val="20"/>
                <w:szCs w:val="20"/>
              </w:rPr>
            </w:pPr>
            <w:r w:rsidRPr="007F2AE5">
              <w:rPr>
                <w:sz w:val="20"/>
                <w:szCs w:val="20"/>
              </w:rPr>
              <w:t>Tucatinib arm</w:t>
            </w:r>
          </w:p>
        </w:tc>
        <w:tc>
          <w:tcPr>
            <w:tcW w:w="2500" w:type="pct"/>
          </w:tcPr>
          <w:p w14:paraId="39A5FB23" w14:textId="77777777" w:rsidR="00B51ED1" w:rsidRPr="007F2AE5" w:rsidRDefault="00B51ED1" w:rsidP="007F2AE5">
            <w:pPr>
              <w:ind w:left="0" w:right="0"/>
              <w:rPr>
                <w:sz w:val="20"/>
                <w:szCs w:val="20"/>
              </w:rPr>
            </w:pPr>
            <w:r w:rsidRPr="007F2AE5">
              <w:rPr>
                <w:sz w:val="20"/>
                <w:szCs w:val="20"/>
              </w:rPr>
              <w:t>Placebo arm</w:t>
            </w:r>
          </w:p>
        </w:tc>
      </w:tr>
      <w:tr w:rsidR="00B51ED1" w:rsidRPr="007F2AE5" w14:paraId="6ED2BEB7" w14:textId="77777777" w:rsidTr="00A33D6C">
        <w:tc>
          <w:tcPr>
            <w:tcW w:w="2500" w:type="pct"/>
          </w:tcPr>
          <w:p w14:paraId="31DD7028" w14:textId="77777777" w:rsidR="00B51ED1" w:rsidRPr="007F2AE5" w:rsidRDefault="00337E2B" w:rsidP="007F2AE5">
            <w:pPr>
              <w:ind w:left="0" w:right="0"/>
              <w:rPr>
                <w:sz w:val="20"/>
                <w:szCs w:val="20"/>
              </w:rPr>
            </w:pPr>
            <w:r w:rsidRPr="00337E2B">
              <w:rPr>
                <w:sz w:val="20"/>
                <w:szCs w:val="20"/>
              </w:rPr>
              <w:t>1.</w:t>
            </w:r>
            <w:r>
              <w:rPr>
                <w:b/>
                <w:sz w:val="20"/>
                <w:szCs w:val="20"/>
              </w:rPr>
              <w:t xml:space="preserve"> </w:t>
            </w:r>
            <w:r w:rsidR="00B51ED1" w:rsidRPr="007F2AE5">
              <w:rPr>
                <w:b/>
                <w:sz w:val="20"/>
                <w:szCs w:val="20"/>
              </w:rPr>
              <w:t>Cardiac failure</w:t>
            </w:r>
            <w:r w:rsidR="003009EF">
              <w:rPr>
                <w:sz w:val="20"/>
                <w:szCs w:val="20"/>
              </w:rPr>
              <w:t xml:space="preserve">: presented with new onset atrial </w:t>
            </w:r>
            <w:proofErr w:type="spellStart"/>
            <w:r w:rsidR="003009EF">
              <w:rPr>
                <w:sz w:val="20"/>
                <w:szCs w:val="20"/>
              </w:rPr>
              <w:t>fibrilation</w:t>
            </w:r>
            <w:proofErr w:type="spellEnd"/>
            <w:r w:rsidR="00B51ED1" w:rsidRPr="007F2AE5">
              <w:rPr>
                <w:sz w:val="20"/>
                <w:szCs w:val="20"/>
              </w:rPr>
              <w:t xml:space="preserve"> with rapid ventricular respon</w:t>
            </w:r>
            <w:r w:rsidR="005D0EEE" w:rsidRPr="007F2AE5">
              <w:rPr>
                <w:sz w:val="20"/>
                <w:szCs w:val="20"/>
              </w:rPr>
              <w:t xml:space="preserve">se, decreased </w:t>
            </w:r>
            <w:r w:rsidR="003009EF">
              <w:rPr>
                <w:sz w:val="20"/>
                <w:szCs w:val="20"/>
              </w:rPr>
              <w:t>l</w:t>
            </w:r>
            <w:r w:rsidR="003009EF" w:rsidRPr="003009EF">
              <w:rPr>
                <w:sz w:val="20"/>
                <w:szCs w:val="20"/>
              </w:rPr>
              <w:t>eft ventricular ejection fraction</w:t>
            </w:r>
            <w:r w:rsidR="005D0EEE" w:rsidRPr="007F2AE5">
              <w:rPr>
                <w:sz w:val="20"/>
                <w:szCs w:val="20"/>
              </w:rPr>
              <w:t xml:space="preserve">, </w:t>
            </w:r>
            <w:r w:rsidR="00B51ED1" w:rsidRPr="007F2AE5">
              <w:rPr>
                <w:sz w:val="20"/>
                <w:szCs w:val="20"/>
              </w:rPr>
              <w:t>death due to cardiogenic shock</w:t>
            </w:r>
          </w:p>
        </w:tc>
        <w:tc>
          <w:tcPr>
            <w:tcW w:w="2500" w:type="pct"/>
          </w:tcPr>
          <w:p w14:paraId="1724836E" w14:textId="77777777" w:rsidR="00B51ED1" w:rsidRPr="007F2AE5" w:rsidRDefault="003009EF" w:rsidP="007F2AE5">
            <w:pPr>
              <w:ind w:left="0" w:right="0"/>
              <w:rPr>
                <w:sz w:val="20"/>
                <w:szCs w:val="20"/>
              </w:rPr>
            </w:pPr>
            <w:proofErr w:type="spellStart"/>
            <w:r w:rsidRPr="003009EF">
              <w:rPr>
                <w:sz w:val="20"/>
                <w:szCs w:val="20"/>
              </w:rPr>
              <w:t>i</w:t>
            </w:r>
            <w:proofErr w:type="spellEnd"/>
            <w:r w:rsidRPr="003009EF">
              <w:rPr>
                <w:sz w:val="20"/>
                <w:szCs w:val="20"/>
              </w:rPr>
              <w:t>.</w:t>
            </w:r>
            <w:r>
              <w:rPr>
                <w:b/>
                <w:sz w:val="20"/>
                <w:szCs w:val="20"/>
              </w:rPr>
              <w:t xml:space="preserve"> </w:t>
            </w:r>
            <w:r w:rsidR="00B51ED1" w:rsidRPr="007F2AE5">
              <w:rPr>
                <w:b/>
                <w:sz w:val="20"/>
                <w:szCs w:val="20"/>
              </w:rPr>
              <w:t>Respiratory failure</w:t>
            </w:r>
            <w:r w:rsidR="00B51ED1" w:rsidRPr="007F2AE5">
              <w:rPr>
                <w:sz w:val="20"/>
                <w:szCs w:val="20"/>
              </w:rPr>
              <w:t xml:space="preserve"> secondary to disease progression </w:t>
            </w:r>
          </w:p>
        </w:tc>
      </w:tr>
      <w:tr w:rsidR="00B51ED1" w:rsidRPr="007F2AE5" w14:paraId="25F136C6" w14:textId="77777777" w:rsidTr="00A33D6C">
        <w:tc>
          <w:tcPr>
            <w:tcW w:w="2500" w:type="pct"/>
          </w:tcPr>
          <w:p w14:paraId="25EB75AF" w14:textId="77777777" w:rsidR="00B51ED1" w:rsidRPr="007F2AE5" w:rsidRDefault="00337E2B" w:rsidP="007F2AE5">
            <w:pPr>
              <w:ind w:left="0" w:right="0"/>
              <w:rPr>
                <w:sz w:val="20"/>
                <w:szCs w:val="20"/>
              </w:rPr>
            </w:pPr>
            <w:r>
              <w:rPr>
                <w:sz w:val="20"/>
                <w:szCs w:val="20"/>
              </w:rPr>
              <w:t xml:space="preserve">2. </w:t>
            </w:r>
            <w:r w:rsidR="00B51ED1" w:rsidRPr="007F2AE5">
              <w:rPr>
                <w:sz w:val="20"/>
                <w:szCs w:val="20"/>
              </w:rPr>
              <w:t xml:space="preserve">Small bowel obstruction: nausea, vomiting and diarrhoea, deterioration to respiratory failure and </w:t>
            </w:r>
            <w:r w:rsidR="00B51ED1" w:rsidRPr="007F2AE5">
              <w:rPr>
                <w:b/>
                <w:sz w:val="20"/>
                <w:szCs w:val="20"/>
              </w:rPr>
              <w:t>sepsis</w:t>
            </w:r>
          </w:p>
        </w:tc>
        <w:tc>
          <w:tcPr>
            <w:tcW w:w="2500" w:type="pct"/>
          </w:tcPr>
          <w:p w14:paraId="550E7026" w14:textId="77777777" w:rsidR="00B51ED1" w:rsidRPr="007F2AE5" w:rsidRDefault="003009EF" w:rsidP="007F2AE5">
            <w:pPr>
              <w:ind w:left="0" w:right="0"/>
              <w:rPr>
                <w:sz w:val="20"/>
                <w:szCs w:val="20"/>
              </w:rPr>
            </w:pPr>
            <w:r w:rsidRPr="003009EF">
              <w:rPr>
                <w:sz w:val="20"/>
                <w:szCs w:val="20"/>
              </w:rPr>
              <w:t>ii.</w:t>
            </w:r>
            <w:r>
              <w:rPr>
                <w:b/>
                <w:sz w:val="20"/>
                <w:szCs w:val="20"/>
              </w:rPr>
              <w:t xml:space="preserve"> </w:t>
            </w:r>
            <w:r w:rsidR="00B51ED1" w:rsidRPr="007F2AE5">
              <w:rPr>
                <w:b/>
                <w:sz w:val="20"/>
                <w:szCs w:val="20"/>
              </w:rPr>
              <w:t>Cardiac arrest</w:t>
            </w:r>
            <w:r w:rsidR="00B51ED1" w:rsidRPr="007F2AE5">
              <w:rPr>
                <w:sz w:val="20"/>
                <w:szCs w:val="20"/>
              </w:rPr>
              <w:t xml:space="preserve"> in setting of disease progress</w:t>
            </w:r>
            <w:r>
              <w:rPr>
                <w:sz w:val="20"/>
                <w:szCs w:val="20"/>
              </w:rPr>
              <w:t>ion, history of diabetes and diverticulitis</w:t>
            </w:r>
          </w:p>
        </w:tc>
      </w:tr>
      <w:tr w:rsidR="00B51ED1" w:rsidRPr="007F2AE5" w14:paraId="191AF0A5" w14:textId="77777777" w:rsidTr="00A33D6C">
        <w:tc>
          <w:tcPr>
            <w:tcW w:w="2500" w:type="pct"/>
          </w:tcPr>
          <w:p w14:paraId="31CF2305" w14:textId="77777777" w:rsidR="00B51ED1" w:rsidRPr="007F2AE5" w:rsidRDefault="00337E2B" w:rsidP="007F2AE5">
            <w:pPr>
              <w:ind w:left="0" w:right="0"/>
              <w:rPr>
                <w:sz w:val="20"/>
                <w:szCs w:val="20"/>
              </w:rPr>
            </w:pPr>
            <w:r>
              <w:rPr>
                <w:sz w:val="20"/>
                <w:szCs w:val="20"/>
              </w:rPr>
              <w:t xml:space="preserve">3. </w:t>
            </w:r>
            <w:r w:rsidR="00B51ED1" w:rsidRPr="007F2AE5">
              <w:rPr>
                <w:sz w:val="20"/>
                <w:szCs w:val="20"/>
              </w:rPr>
              <w:t xml:space="preserve">Grade 4 diarrhoea (confirmed non </w:t>
            </w:r>
            <w:proofErr w:type="spellStart"/>
            <w:r w:rsidR="003009EF" w:rsidRPr="003009EF">
              <w:rPr>
                <w:sz w:val="20"/>
                <w:szCs w:val="20"/>
              </w:rPr>
              <w:t>dihydropyrimidine</w:t>
            </w:r>
            <w:proofErr w:type="spellEnd"/>
            <w:r w:rsidR="003009EF" w:rsidRPr="003009EF">
              <w:rPr>
                <w:sz w:val="20"/>
                <w:szCs w:val="20"/>
              </w:rPr>
              <w:t xml:space="preserve"> dehydrogenase</w:t>
            </w:r>
            <w:r w:rsidR="003009EF">
              <w:rPr>
                <w:sz w:val="20"/>
                <w:szCs w:val="20"/>
              </w:rPr>
              <w:t xml:space="preserve"> deficient) and hypotension, acute kidney injury with oliguria, atrial </w:t>
            </w:r>
            <w:proofErr w:type="spellStart"/>
            <w:r w:rsidR="003009EF">
              <w:rPr>
                <w:sz w:val="20"/>
                <w:szCs w:val="20"/>
              </w:rPr>
              <w:t>fibrilation</w:t>
            </w:r>
            <w:proofErr w:type="spellEnd"/>
            <w:r w:rsidR="00B51ED1" w:rsidRPr="007F2AE5">
              <w:rPr>
                <w:sz w:val="20"/>
                <w:szCs w:val="20"/>
              </w:rPr>
              <w:t xml:space="preserve"> with rapid response. Treated empirically for sepsis though source never isolated. Death attributed to </w:t>
            </w:r>
            <w:r w:rsidR="00B51ED1" w:rsidRPr="007F2AE5">
              <w:rPr>
                <w:b/>
                <w:sz w:val="20"/>
                <w:szCs w:val="20"/>
              </w:rPr>
              <w:t>multiple organ dysfunction syndrome</w:t>
            </w:r>
            <w:r w:rsidR="005D0EEE" w:rsidRPr="007F2AE5">
              <w:rPr>
                <w:b/>
                <w:sz w:val="20"/>
                <w:szCs w:val="20"/>
              </w:rPr>
              <w:t>.</w:t>
            </w:r>
          </w:p>
        </w:tc>
        <w:tc>
          <w:tcPr>
            <w:tcW w:w="2500" w:type="pct"/>
          </w:tcPr>
          <w:p w14:paraId="727F4F87" w14:textId="77777777" w:rsidR="00B51ED1" w:rsidRPr="007F2AE5" w:rsidRDefault="003009EF" w:rsidP="007F2AE5">
            <w:pPr>
              <w:ind w:left="0" w:right="0"/>
              <w:rPr>
                <w:sz w:val="20"/>
                <w:szCs w:val="20"/>
              </w:rPr>
            </w:pPr>
            <w:r>
              <w:rPr>
                <w:sz w:val="20"/>
                <w:szCs w:val="20"/>
              </w:rPr>
              <w:t xml:space="preserve">iii. </w:t>
            </w:r>
            <w:r w:rsidR="00B51ED1" w:rsidRPr="007F2AE5">
              <w:rPr>
                <w:sz w:val="20"/>
                <w:szCs w:val="20"/>
              </w:rPr>
              <w:t xml:space="preserve">Developed disease progression and discontinued treatment. Developed fever and shortness of breath, and died 14 days after discontinuing, of </w:t>
            </w:r>
            <w:r w:rsidR="00B51ED1" w:rsidRPr="007F2AE5">
              <w:rPr>
                <w:b/>
                <w:sz w:val="20"/>
                <w:szCs w:val="20"/>
              </w:rPr>
              <w:t>systemic inflammatory response syndrome</w:t>
            </w:r>
            <w:r w:rsidR="00B51ED1" w:rsidRPr="007F2AE5">
              <w:rPr>
                <w:sz w:val="20"/>
                <w:szCs w:val="20"/>
              </w:rPr>
              <w:t>.</w:t>
            </w:r>
          </w:p>
        </w:tc>
      </w:tr>
      <w:tr w:rsidR="00B51ED1" w:rsidRPr="007F2AE5" w14:paraId="07928B37" w14:textId="77777777" w:rsidTr="00A33D6C">
        <w:tc>
          <w:tcPr>
            <w:tcW w:w="2500" w:type="pct"/>
          </w:tcPr>
          <w:p w14:paraId="398EB47F" w14:textId="77777777" w:rsidR="00B51ED1" w:rsidRPr="007F2AE5" w:rsidRDefault="00337E2B" w:rsidP="007F2AE5">
            <w:pPr>
              <w:ind w:left="0" w:right="0"/>
              <w:rPr>
                <w:sz w:val="20"/>
                <w:szCs w:val="20"/>
              </w:rPr>
            </w:pPr>
            <w:r>
              <w:rPr>
                <w:sz w:val="20"/>
                <w:szCs w:val="20"/>
              </w:rPr>
              <w:t xml:space="preserve">4. </w:t>
            </w:r>
            <w:r w:rsidR="00B51ED1" w:rsidRPr="007F2AE5">
              <w:rPr>
                <w:sz w:val="20"/>
                <w:szCs w:val="20"/>
              </w:rPr>
              <w:t xml:space="preserve">Presented with nausea, vomiting and large volume diarrhoea non </w:t>
            </w:r>
            <w:proofErr w:type="spellStart"/>
            <w:r w:rsidR="00B51ED1" w:rsidRPr="007F2AE5">
              <w:rPr>
                <w:sz w:val="20"/>
                <w:szCs w:val="20"/>
              </w:rPr>
              <w:t>clostridial</w:t>
            </w:r>
            <w:proofErr w:type="spellEnd"/>
            <w:r w:rsidR="00B51ED1" w:rsidRPr="007F2AE5">
              <w:rPr>
                <w:sz w:val="20"/>
                <w:szCs w:val="20"/>
              </w:rPr>
              <w:t xml:space="preserve"> in setting of positive influenza A swab, </w:t>
            </w:r>
            <w:r w:rsidR="00B51ED1" w:rsidRPr="003009EF">
              <w:rPr>
                <w:i/>
                <w:sz w:val="20"/>
                <w:szCs w:val="20"/>
              </w:rPr>
              <w:t xml:space="preserve">Mycoplasma </w:t>
            </w:r>
            <w:proofErr w:type="spellStart"/>
            <w:r w:rsidR="00B51ED1" w:rsidRPr="003009EF">
              <w:rPr>
                <w:i/>
                <w:sz w:val="20"/>
                <w:szCs w:val="20"/>
              </w:rPr>
              <w:t>pneumoniae</w:t>
            </w:r>
            <w:proofErr w:type="spellEnd"/>
            <w:r w:rsidR="003009EF">
              <w:rPr>
                <w:sz w:val="20"/>
                <w:szCs w:val="20"/>
              </w:rPr>
              <w:t xml:space="preserve"> immunoglobulin M</w:t>
            </w:r>
            <w:r w:rsidR="00B51ED1" w:rsidRPr="007F2AE5">
              <w:rPr>
                <w:sz w:val="20"/>
                <w:szCs w:val="20"/>
              </w:rPr>
              <w:t xml:space="preserve"> antibody in blood, and positive </w:t>
            </w:r>
            <w:r w:rsidR="00B51ED1" w:rsidRPr="003009EF">
              <w:rPr>
                <w:i/>
                <w:sz w:val="20"/>
                <w:szCs w:val="20"/>
              </w:rPr>
              <w:t xml:space="preserve">Streptococcus </w:t>
            </w:r>
            <w:proofErr w:type="spellStart"/>
            <w:r w:rsidR="00B51ED1" w:rsidRPr="003009EF">
              <w:rPr>
                <w:i/>
                <w:sz w:val="20"/>
                <w:szCs w:val="20"/>
              </w:rPr>
              <w:t>pneumoniae</w:t>
            </w:r>
            <w:proofErr w:type="spellEnd"/>
            <w:r w:rsidR="00B51ED1" w:rsidRPr="007F2AE5">
              <w:rPr>
                <w:sz w:val="20"/>
                <w:szCs w:val="20"/>
              </w:rPr>
              <w:t xml:space="preserve"> antigen in urine. Dea</w:t>
            </w:r>
            <w:r w:rsidR="003009EF">
              <w:rPr>
                <w:sz w:val="20"/>
                <w:szCs w:val="20"/>
              </w:rPr>
              <w:t xml:space="preserve">th attributed to diarrhoea and </w:t>
            </w:r>
            <w:r w:rsidR="00B51ED1" w:rsidRPr="007F2AE5">
              <w:rPr>
                <w:b/>
                <w:sz w:val="20"/>
                <w:szCs w:val="20"/>
              </w:rPr>
              <w:t>dehydration.</w:t>
            </w:r>
          </w:p>
        </w:tc>
        <w:tc>
          <w:tcPr>
            <w:tcW w:w="2500" w:type="pct"/>
          </w:tcPr>
          <w:p w14:paraId="32AF3BB6" w14:textId="77777777" w:rsidR="00B51ED1" w:rsidRPr="007F2AE5" w:rsidRDefault="003009EF" w:rsidP="007F2AE5">
            <w:pPr>
              <w:ind w:left="0" w:right="0"/>
              <w:rPr>
                <w:sz w:val="20"/>
                <w:szCs w:val="20"/>
              </w:rPr>
            </w:pPr>
            <w:r w:rsidRPr="003009EF">
              <w:rPr>
                <w:sz w:val="20"/>
                <w:szCs w:val="20"/>
              </w:rPr>
              <w:t>iv.</w:t>
            </w:r>
            <w:r>
              <w:rPr>
                <w:b/>
                <w:sz w:val="20"/>
                <w:szCs w:val="20"/>
              </w:rPr>
              <w:t xml:space="preserve"> </w:t>
            </w:r>
            <w:r w:rsidR="00B51ED1" w:rsidRPr="007F2AE5">
              <w:rPr>
                <w:b/>
                <w:sz w:val="20"/>
                <w:szCs w:val="20"/>
              </w:rPr>
              <w:t>Myocardial infarction</w:t>
            </w:r>
            <w:r w:rsidR="00B51ED1" w:rsidRPr="007F2AE5">
              <w:rPr>
                <w:sz w:val="20"/>
                <w:szCs w:val="20"/>
              </w:rPr>
              <w:t>, in setting of lungs, liver, and brain metastases with malignant pleural effusions</w:t>
            </w:r>
          </w:p>
        </w:tc>
      </w:tr>
      <w:tr w:rsidR="00B51ED1" w:rsidRPr="007F2AE5" w14:paraId="26C0C440" w14:textId="77777777" w:rsidTr="00A33D6C">
        <w:tc>
          <w:tcPr>
            <w:tcW w:w="2500" w:type="pct"/>
          </w:tcPr>
          <w:p w14:paraId="1BF36525" w14:textId="77777777" w:rsidR="00B51ED1" w:rsidRPr="007F2AE5" w:rsidRDefault="003009EF" w:rsidP="007F2AE5">
            <w:pPr>
              <w:ind w:left="0" w:right="0"/>
              <w:rPr>
                <w:sz w:val="20"/>
                <w:szCs w:val="20"/>
              </w:rPr>
            </w:pPr>
            <w:r w:rsidRPr="003009EF">
              <w:rPr>
                <w:sz w:val="20"/>
                <w:szCs w:val="20"/>
              </w:rPr>
              <w:t>5.</w:t>
            </w:r>
            <w:r>
              <w:rPr>
                <w:b/>
                <w:sz w:val="20"/>
                <w:szCs w:val="20"/>
              </w:rPr>
              <w:t xml:space="preserve"> </w:t>
            </w:r>
            <w:r w:rsidR="00B51ED1" w:rsidRPr="007F2AE5">
              <w:rPr>
                <w:b/>
                <w:sz w:val="20"/>
                <w:szCs w:val="20"/>
              </w:rPr>
              <w:t>Cardiac arrest</w:t>
            </w:r>
            <w:r w:rsidR="00B51ED1" w:rsidRPr="007F2AE5">
              <w:rPr>
                <w:sz w:val="20"/>
                <w:szCs w:val="20"/>
              </w:rPr>
              <w:t xml:space="preserve"> in setting of fever, chills and shortness of breath in a patient with bilateral malignant pleural effusion</w:t>
            </w:r>
          </w:p>
        </w:tc>
        <w:tc>
          <w:tcPr>
            <w:tcW w:w="2500" w:type="pct"/>
          </w:tcPr>
          <w:p w14:paraId="637BFDB4" w14:textId="77777777" w:rsidR="00B51ED1" w:rsidRPr="007F2AE5" w:rsidRDefault="003009EF" w:rsidP="007F2AE5">
            <w:pPr>
              <w:ind w:left="0" w:right="0"/>
              <w:rPr>
                <w:sz w:val="20"/>
                <w:szCs w:val="20"/>
              </w:rPr>
            </w:pPr>
            <w:r>
              <w:rPr>
                <w:sz w:val="20"/>
                <w:szCs w:val="20"/>
              </w:rPr>
              <w:t xml:space="preserve">v. </w:t>
            </w:r>
            <w:r w:rsidR="00B51ED1" w:rsidRPr="007F2AE5">
              <w:rPr>
                <w:sz w:val="20"/>
                <w:szCs w:val="20"/>
              </w:rPr>
              <w:t xml:space="preserve">Neutropenic </w:t>
            </w:r>
            <w:r w:rsidR="00B51ED1" w:rsidRPr="007F2AE5">
              <w:rPr>
                <w:b/>
                <w:sz w:val="20"/>
                <w:szCs w:val="20"/>
              </w:rPr>
              <w:t>sepsis</w:t>
            </w:r>
            <w:r>
              <w:rPr>
                <w:sz w:val="20"/>
                <w:szCs w:val="20"/>
              </w:rPr>
              <w:t xml:space="preserve"> with </w:t>
            </w:r>
            <w:proofErr w:type="spellStart"/>
            <w:r>
              <w:rPr>
                <w:sz w:val="20"/>
                <w:szCs w:val="20"/>
              </w:rPr>
              <w:t>Klebsiella</w:t>
            </w:r>
            <w:proofErr w:type="spellEnd"/>
            <w:r>
              <w:rPr>
                <w:sz w:val="20"/>
                <w:szCs w:val="20"/>
              </w:rPr>
              <w:t xml:space="preserve"> urinary tract infection</w:t>
            </w:r>
            <w:r w:rsidR="00B51ED1" w:rsidRPr="007F2AE5">
              <w:rPr>
                <w:sz w:val="20"/>
                <w:szCs w:val="20"/>
              </w:rPr>
              <w:t xml:space="preserve">, diarrhoea and </w:t>
            </w:r>
            <w:proofErr w:type="spellStart"/>
            <w:r w:rsidR="00B51ED1" w:rsidRPr="007F2AE5">
              <w:rPr>
                <w:sz w:val="20"/>
                <w:szCs w:val="20"/>
              </w:rPr>
              <w:t>acalculous</w:t>
            </w:r>
            <w:proofErr w:type="spellEnd"/>
            <w:r w:rsidR="00B51ED1" w:rsidRPr="007F2AE5">
              <w:rPr>
                <w:sz w:val="20"/>
                <w:szCs w:val="20"/>
              </w:rPr>
              <w:t xml:space="preserve"> </w:t>
            </w:r>
            <w:proofErr w:type="spellStart"/>
            <w:r w:rsidR="00B51ED1" w:rsidRPr="007F2AE5">
              <w:rPr>
                <w:sz w:val="20"/>
                <w:szCs w:val="20"/>
              </w:rPr>
              <w:t>chole</w:t>
            </w:r>
            <w:r>
              <w:rPr>
                <w:sz w:val="20"/>
                <w:szCs w:val="20"/>
              </w:rPr>
              <w:t>cystitis</w:t>
            </w:r>
            <w:proofErr w:type="spellEnd"/>
            <w:r>
              <w:rPr>
                <w:sz w:val="20"/>
                <w:szCs w:val="20"/>
              </w:rPr>
              <w:t xml:space="preserve"> on computed tomography.</w:t>
            </w:r>
          </w:p>
        </w:tc>
      </w:tr>
      <w:tr w:rsidR="00B51ED1" w:rsidRPr="007F2AE5" w14:paraId="74858672" w14:textId="77777777" w:rsidTr="00A33D6C">
        <w:tc>
          <w:tcPr>
            <w:tcW w:w="2500" w:type="pct"/>
          </w:tcPr>
          <w:p w14:paraId="4C358744" w14:textId="77777777" w:rsidR="00B51ED1" w:rsidRPr="007F2AE5" w:rsidRDefault="003009EF" w:rsidP="007F2AE5">
            <w:pPr>
              <w:ind w:left="0" w:right="0"/>
              <w:rPr>
                <w:sz w:val="20"/>
                <w:szCs w:val="20"/>
              </w:rPr>
            </w:pPr>
            <w:r>
              <w:rPr>
                <w:sz w:val="20"/>
                <w:szCs w:val="20"/>
              </w:rPr>
              <w:t xml:space="preserve">6. </w:t>
            </w:r>
            <w:r w:rsidR="00B51ED1" w:rsidRPr="003009EF">
              <w:rPr>
                <w:i/>
                <w:sz w:val="20"/>
                <w:szCs w:val="20"/>
              </w:rPr>
              <w:t>Clostridium difficile</w:t>
            </w:r>
            <w:r w:rsidR="00B51ED1" w:rsidRPr="007F2AE5">
              <w:rPr>
                <w:sz w:val="20"/>
                <w:szCs w:val="20"/>
              </w:rPr>
              <w:t xml:space="preserve"> colitis and neutropenic </w:t>
            </w:r>
            <w:r w:rsidR="00B51ED1" w:rsidRPr="007F2AE5">
              <w:rPr>
                <w:b/>
                <w:sz w:val="20"/>
                <w:szCs w:val="20"/>
              </w:rPr>
              <w:t>septic shock</w:t>
            </w:r>
          </w:p>
        </w:tc>
        <w:tc>
          <w:tcPr>
            <w:tcW w:w="2500" w:type="pct"/>
          </w:tcPr>
          <w:p w14:paraId="3C932880" w14:textId="77777777" w:rsidR="00B51ED1" w:rsidRPr="007F2AE5" w:rsidRDefault="003009EF" w:rsidP="007F2AE5">
            <w:pPr>
              <w:ind w:left="0" w:right="0"/>
              <w:rPr>
                <w:sz w:val="20"/>
                <w:szCs w:val="20"/>
              </w:rPr>
            </w:pPr>
            <w:r>
              <w:rPr>
                <w:sz w:val="20"/>
                <w:szCs w:val="20"/>
              </w:rPr>
              <w:t xml:space="preserve">vi. </w:t>
            </w:r>
            <w:r w:rsidR="00B51ED1" w:rsidRPr="007F2AE5">
              <w:rPr>
                <w:sz w:val="20"/>
                <w:szCs w:val="20"/>
              </w:rPr>
              <w:t xml:space="preserve">Metastatic disease involving the brain. Developed encephalopathy with new brain lesions atypical for metastases and subsequent stroke, </w:t>
            </w:r>
            <w:r w:rsidR="00B51ED1" w:rsidRPr="003009EF">
              <w:rPr>
                <w:i/>
                <w:sz w:val="20"/>
                <w:szCs w:val="20"/>
              </w:rPr>
              <w:t>clostridium difficile</w:t>
            </w:r>
            <w:r w:rsidR="00B51ED1" w:rsidRPr="007F2AE5">
              <w:rPr>
                <w:sz w:val="20"/>
                <w:szCs w:val="20"/>
              </w:rPr>
              <w:t xml:space="preserve"> colitis, cardiac arrest during blood transfusion for anaemia. Died due to </w:t>
            </w:r>
            <w:r w:rsidR="00B51ED1" w:rsidRPr="007F2AE5">
              <w:rPr>
                <w:b/>
                <w:sz w:val="20"/>
                <w:szCs w:val="20"/>
              </w:rPr>
              <w:t>multiple organ dysfunction syndrome.</w:t>
            </w:r>
          </w:p>
        </w:tc>
      </w:tr>
      <w:tr w:rsidR="00B51ED1" w:rsidRPr="007F2AE5" w14:paraId="4DEE6A46" w14:textId="77777777" w:rsidTr="00A33D6C">
        <w:tc>
          <w:tcPr>
            <w:tcW w:w="2500" w:type="pct"/>
          </w:tcPr>
          <w:p w14:paraId="4183BC59" w14:textId="77777777" w:rsidR="00B51ED1" w:rsidRPr="007F2AE5" w:rsidRDefault="003009EF" w:rsidP="007F2AE5">
            <w:pPr>
              <w:ind w:left="0" w:right="0"/>
              <w:rPr>
                <w:sz w:val="20"/>
                <w:szCs w:val="20"/>
              </w:rPr>
            </w:pPr>
            <w:r w:rsidRPr="003009EF">
              <w:rPr>
                <w:sz w:val="20"/>
                <w:szCs w:val="20"/>
              </w:rPr>
              <w:t>7.</w:t>
            </w:r>
            <w:r>
              <w:rPr>
                <w:b/>
                <w:sz w:val="20"/>
                <w:szCs w:val="20"/>
              </w:rPr>
              <w:t xml:space="preserve"> </w:t>
            </w:r>
            <w:r w:rsidR="00B51ED1" w:rsidRPr="007F2AE5">
              <w:rPr>
                <w:b/>
                <w:sz w:val="20"/>
                <w:szCs w:val="20"/>
              </w:rPr>
              <w:t>Sudden death</w:t>
            </w:r>
            <w:r w:rsidR="00B51ED1" w:rsidRPr="007F2AE5">
              <w:rPr>
                <w:sz w:val="20"/>
                <w:szCs w:val="20"/>
              </w:rPr>
              <w:t xml:space="preserve"> at home; baseline liver and brain metastases</w:t>
            </w:r>
          </w:p>
        </w:tc>
        <w:tc>
          <w:tcPr>
            <w:tcW w:w="2500" w:type="pct"/>
          </w:tcPr>
          <w:p w14:paraId="75DD82C3" w14:textId="77777777" w:rsidR="00B51ED1" w:rsidRPr="007F2AE5" w:rsidRDefault="00B51ED1" w:rsidP="007F2AE5">
            <w:pPr>
              <w:ind w:left="0" w:right="0"/>
              <w:rPr>
                <w:sz w:val="20"/>
                <w:szCs w:val="20"/>
              </w:rPr>
            </w:pPr>
          </w:p>
        </w:tc>
      </w:tr>
      <w:tr w:rsidR="00B51ED1" w:rsidRPr="007F2AE5" w14:paraId="56733EDF" w14:textId="77777777" w:rsidTr="00A33D6C">
        <w:tc>
          <w:tcPr>
            <w:tcW w:w="2500" w:type="pct"/>
          </w:tcPr>
          <w:p w14:paraId="4E6FEDF3" w14:textId="77777777" w:rsidR="00B51ED1" w:rsidRPr="007F2AE5" w:rsidRDefault="003009EF" w:rsidP="007F2AE5">
            <w:pPr>
              <w:ind w:left="0" w:right="0"/>
              <w:rPr>
                <w:sz w:val="20"/>
                <w:szCs w:val="20"/>
              </w:rPr>
            </w:pPr>
            <w:r w:rsidRPr="003009EF">
              <w:rPr>
                <w:sz w:val="20"/>
                <w:szCs w:val="20"/>
              </w:rPr>
              <w:t>8.</w:t>
            </w:r>
            <w:r>
              <w:rPr>
                <w:b/>
                <w:sz w:val="20"/>
                <w:szCs w:val="20"/>
              </w:rPr>
              <w:t xml:space="preserve"> </w:t>
            </w:r>
            <w:r w:rsidR="00B51ED1" w:rsidRPr="007F2AE5">
              <w:rPr>
                <w:b/>
                <w:sz w:val="20"/>
                <w:szCs w:val="20"/>
              </w:rPr>
              <w:t>Sudden death</w:t>
            </w:r>
            <w:r w:rsidR="00B51ED1" w:rsidRPr="007F2AE5">
              <w:rPr>
                <w:sz w:val="20"/>
                <w:szCs w:val="20"/>
              </w:rPr>
              <w:t xml:space="preserve"> during sleep, 16 days afte</w:t>
            </w:r>
            <w:r>
              <w:rPr>
                <w:sz w:val="20"/>
                <w:szCs w:val="20"/>
              </w:rPr>
              <w:t>r starting anticoagulation for G</w:t>
            </w:r>
            <w:r w:rsidR="00B51ED1" w:rsidRPr="007F2AE5">
              <w:rPr>
                <w:sz w:val="20"/>
                <w:szCs w:val="20"/>
              </w:rPr>
              <w:t>rade 3 peripheral oedema of arms presumed due to thrombosis</w:t>
            </w:r>
          </w:p>
        </w:tc>
        <w:tc>
          <w:tcPr>
            <w:tcW w:w="2500" w:type="pct"/>
          </w:tcPr>
          <w:p w14:paraId="37085A0C" w14:textId="77777777" w:rsidR="00B51ED1" w:rsidRPr="007F2AE5" w:rsidRDefault="00B51ED1" w:rsidP="007F2AE5">
            <w:pPr>
              <w:ind w:left="0" w:right="0"/>
              <w:rPr>
                <w:sz w:val="20"/>
                <w:szCs w:val="20"/>
              </w:rPr>
            </w:pPr>
          </w:p>
        </w:tc>
      </w:tr>
    </w:tbl>
    <w:p w14:paraId="1E3FD9EA" w14:textId="77777777" w:rsidR="00B51ED1" w:rsidRDefault="00B51ED1" w:rsidP="00B51ED1">
      <w:pPr>
        <w:pStyle w:val="Heading5"/>
      </w:pPr>
      <w:r>
        <w:t>Discontinuations, dose interruptions and reductions</w:t>
      </w:r>
    </w:p>
    <w:p w14:paraId="1297A4E0" w14:textId="51585D67" w:rsidR="00B51ED1" w:rsidRDefault="00B51ED1" w:rsidP="003009EF">
      <w:r w:rsidRPr="00EB2D19">
        <w:t xml:space="preserve">There were </w:t>
      </w:r>
      <w:r>
        <w:t xml:space="preserve">more study drug (tucatinib or matching placebo) discontinuations, dose interruptions and reductions </w:t>
      </w:r>
      <w:r w:rsidRPr="00EB2D19">
        <w:t xml:space="preserve">due to </w:t>
      </w:r>
      <w:r w:rsidR="003009EF">
        <w:t>AEs</w:t>
      </w:r>
      <w:r w:rsidRPr="00EB2D19">
        <w:t xml:space="preserve"> in the tucatinib arm than the placebo</w:t>
      </w:r>
      <w:r>
        <w:t xml:space="preserve"> arm</w:t>
      </w:r>
      <w:r w:rsidRPr="00EB2D19">
        <w:t xml:space="preserve">. </w:t>
      </w:r>
      <w:r>
        <w:t>Diarrhoea and hepatotoxicity-related events were the predominant reason for the difference (</w:t>
      </w:r>
      <w:r w:rsidR="003009EF">
        <w:t xml:space="preserve">see </w:t>
      </w:r>
      <w:r>
        <w:fldChar w:fldCharType="begin"/>
      </w:r>
      <w:r>
        <w:instrText xml:space="preserve"> REF _Ref43722920 \h </w:instrText>
      </w:r>
      <w:r w:rsidR="005D0EEE">
        <w:instrText xml:space="preserve"> \* MERGEFORMAT </w:instrText>
      </w:r>
      <w:r>
        <w:fldChar w:fldCharType="separate"/>
      </w:r>
      <w:r w:rsidR="00F979FB">
        <w:t xml:space="preserve">Table </w:t>
      </w:r>
      <w:r w:rsidR="00F979FB">
        <w:rPr>
          <w:noProof/>
        </w:rPr>
        <w:t>19</w:t>
      </w:r>
      <w:r>
        <w:fldChar w:fldCharType="end"/>
      </w:r>
      <w:r>
        <w:t xml:space="preserve">). </w:t>
      </w:r>
      <w:r w:rsidR="003009EF">
        <w:t>PPE</w:t>
      </w:r>
      <w:r>
        <w:t xml:space="preserve"> syndrome was the most common reason for capecitabine dose adjustment or discontinuation. Although it was an </w:t>
      </w:r>
      <w:r w:rsidR="003009EF">
        <w:t>adverse event of special interest (AESI, see next section</w:t>
      </w:r>
      <w:r>
        <w:t>), rates of trastuzumab interruption due to ejection fraction decrea</w:t>
      </w:r>
      <w:r w:rsidR="003009EF">
        <w:t xml:space="preserve">se were similar between arms (1 to </w:t>
      </w:r>
      <w:r>
        <w:t>1.5%), and led to trastuzumab discontinuation for one</w:t>
      </w:r>
      <w:r w:rsidR="003009EF">
        <w:t xml:space="preserve"> patient, in the tucatinib arm.</w:t>
      </w:r>
    </w:p>
    <w:p w14:paraId="5E9CE80F" w14:textId="37D60BAA" w:rsidR="00B51ED1" w:rsidRDefault="00B51ED1" w:rsidP="0014391A">
      <w:pPr>
        <w:pStyle w:val="TableTitle"/>
      </w:pPr>
      <w:bookmarkStart w:id="62" w:name="_Ref43722920"/>
      <w:r>
        <w:t xml:space="preserve">Table </w:t>
      </w:r>
      <w:fldSimple w:instr=" SEQ Table \* ARABIC ">
        <w:r w:rsidR="00F979FB">
          <w:rPr>
            <w:noProof/>
          </w:rPr>
          <w:t>19</w:t>
        </w:r>
      </w:fldSimple>
      <w:bookmarkEnd w:id="62"/>
      <w:r w:rsidR="00C83861">
        <w:t>:</w:t>
      </w:r>
      <w:r>
        <w:t xml:space="preserve"> The most frequent or notable treatment</w:t>
      </w:r>
      <w:r w:rsidR="003009EF">
        <w:t>-emergent adverse events</w:t>
      </w:r>
      <w:r>
        <w:t xml:space="preserve"> leading to discontinuations, dose interruptio</w:t>
      </w:r>
      <w:r w:rsidR="003009EF">
        <w:t>ns or reductions in the HER2CLIMB trial</w:t>
      </w:r>
    </w:p>
    <w:tbl>
      <w:tblPr>
        <w:tblStyle w:val="TableTGAblue"/>
        <w:tblW w:w="5000" w:type="pct"/>
        <w:tblLook w:val="04A0" w:firstRow="1" w:lastRow="0" w:firstColumn="1" w:lastColumn="0" w:noHBand="0" w:noVBand="1"/>
      </w:tblPr>
      <w:tblGrid>
        <w:gridCol w:w="1490"/>
        <w:gridCol w:w="1234"/>
        <w:gridCol w:w="1098"/>
        <w:gridCol w:w="1232"/>
        <w:gridCol w:w="1098"/>
        <w:gridCol w:w="1232"/>
        <w:gridCol w:w="1100"/>
      </w:tblGrid>
      <w:tr w:rsidR="00B51ED1" w:rsidRPr="003009EF" w14:paraId="7B7707B6" w14:textId="77777777" w:rsidTr="003009EF">
        <w:trPr>
          <w:cnfStyle w:val="100000000000" w:firstRow="1" w:lastRow="0" w:firstColumn="0" w:lastColumn="0" w:oddVBand="0" w:evenVBand="0" w:oddHBand="0" w:evenHBand="0" w:firstRowFirstColumn="0" w:firstRowLastColumn="0" w:lastRowFirstColumn="0" w:lastRowLastColumn="0"/>
        </w:trPr>
        <w:tc>
          <w:tcPr>
            <w:tcW w:w="879" w:type="pct"/>
          </w:tcPr>
          <w:p w14:paraId="447F7A9D" w14:textId="77777777" w:rsidR="00B51ED1" w:rsidRPr="003009EF" w:rsidRDefault="00B51ED1" w:rsidP="0014391A">
            <w:pPr>
              <w:spacing w:before="0" w:after="0" w:line="240" w:lineRule="auto"/>
              <w:ind w:left="0" w:right="0"/>
              <w:contextualSpacing/>
              <w:rPr>
                <w:sz w:val="20"/>
                <w:szCs w:val="20"/>
              </w:rPr>
            </w:pPr>
          </w:p>
        </w:tc>
        <w:tc>
          <w:tcPr>
            <w:tcW w:w="727" w:type="pct"/>
          </w:tcPr>
          <w:p w14:paraId="698FB9D7" w14:textId="77777777" w:rsidR="00B51ED1" w:rsidRPr="003009EF" w:rsidRDefault="00B51ED1" w:rsidP="0014391A">
            <w:pPr>
              <w:pStyle w:val="Tabletext"/>
              <w:ind w:left="0" w:right="0"/>
              <w:contextualSpacing/>
              <w:jc w:val="center"/>
              <w:rPr>
                <w:bCs/>
                <w:sz w:val="20"/>
                <w:szCs w:val="20"/>
                <w:lang w:val="en-US"/>
              </w:rPr>
            </w:pPr>
            <w:r w:rsidRPr="003009EF">
              <w:rPr>
                <w:bCs/>
                <w:sz w:val="20"/>
                <w:szCs w:val="20"/>
                <w:lang w:val="en-US"/>
              </w:rPr>
              <w:t>Tucatinib arm</w:t>
            </w:r>
          </w:p>
          <w:p w14:paraId="49D96105" w14:textId="77777777" w:rsidR="00B51ED1" w:rsidRPr="003009EF" w:rsidRDefault="00B51ED1" w:rsidP="0014391A">
            <w:pPr>
              <w:pStyle w:val="Tabletext"/>
              <w:ind w:left="0" w:right="0"/>
              <w:contextualSpacing/>
              <w:jc w:val="center"/>
              <w:rPr>
                <w:bCs/>
                <w:sz w:val="20"/>
                <w:szCs w:val="20"/>
                <w:lang w:val="en-US"/>
              </w:rPr>
            </w:pPr>
            <w:r w:rsidRPr="003009EF">
              <w:rPr>
                <w:bCs/>
                <w:sz w:val="20"/>
                <w:szCs w:val="20"/>
                <w:lang w:val="en-US"/>
              </w:rPr>
              <w:t>N = 404</w:t>
            </w:r>
          </w:p>
          <w:p w14:paraId="336BD695" w14:textId="77777777" w:rsidR="00B51ED1" w:rsidRPr="003009EF" w:rsidRDefault="00B51ED1" w:rsidP="0014391A">
            <w:pPr>
              <w:spacing w:before="0" w:after="0" w:line="240" w:lineRule="auto"/>
              <w:ind w:left="0" w:right="0"/>
              <w:contextualSpacing/>
              <w:jc w:val="center"/>
              <w:rPr>
                <w:bCs/>
                <w:sz w:val="20"/>
                <w:szCs w:val="20"/>
                <w:lang w:val="en-US"/>
              </w:rPr>
            </w:pPr>
            <w:r w:rsidRPr="003009EF">
              <w:rPr>
                <w:bCs/>
                <w:sz w:val="20"/>
                <w:szCs w:val="20"/>
                <w:lang w:val="en-US"/>
              </w:rPr>
              <w:t>n (%)</w:t>
            </w:r>
          </w:p>
        </w:tc>
        <w:tc>
          <w:tcPr>
            <w:tcW w:w="647" w:type="pct"/>
          </w:tcPr>
          <w:p w14:paraId="4B13DCD5" w14:textId="77777777" w:rsidR="00B51ED1" w:rsidRPr="003009EF" w:rsidRDefault="00B51ED1" w:rsidP="0014391A">
            <w:pPr>
              <w:pStyle w:val="Tabletext"/>
              <w:ind w:left="0" w:right="0"/>
              <w:contextualSpacing/>
              <w:jc w:val="center"/>
              <w:rPr>
                <w:bCs/>
                <w:sz w:val="20"/>
                <w:szCs w:val="20"/>
                <w:lang w:val="en-US"/>
              </w:rPr>
            </w:pPr>
            <w:r w:rsidRPr="003009EF">
              <w:rPr>
                <w:bCs/>
                <w:sz w:val="20"/>
                <w:szCs w:val="20"/>
                <w:lang w:val="en-US"/>
              </w:rPr>
              <w:t>Placebo arm</w:t>
            </w:r>
          </w:p>
          <w:p w14:paraId="540BB4E3" w14:textId="77777777" w:rsidR="00B51ED1" w:rsidRPr="003009EF" w:rsidRDefault="00B51ED1" w:rsidP="0014391A">
            <w:pPr>
              <w:pStyle w:val="Tabletext"/>
              <w:ind w:left="0" w:right="0"/>
              <w:contextualSpacing/>
              <w:jc w:val="center"/>
              <w:rPr>
                <w:bCs/>
                <w:sz w:val="20"/>
                <w:szCs w:val="20"/>
                <w:lang w:val="en-US"/>
              </w:rPr>
            </w:pPr>
            <w:r w:rsidRPr="003009EF">
              <w:rPr>
                <w:bCs/>
                <w:sz w:val="20"/>
                <w:szCs w:val="20"/>
                <w:lang w:val="en-US"/>
              </w:rPr>
              <w:t>N = 197</w:t>
            </w:r>
          </w:p>
          <w:p w14:paraId="60275CAD" w14:textId="77777777" w:rsidR="00B51ED1" w:rsidRPr="003009EF" w:rsidRDefault="00B51ED1" w:rsidP="0014391A">
            <w:pPr>
              <w:spacing w:before="0" w:after="0" w:line="240" w:lineRule="auto"/>
              <w:ind w:left="0" w:right="0"/>
              <w:contextualSpacing/>
              <w:jc w:val="center"/>
              <w:rPr>
                <w:bCs/>
                <w:sz w:val="20"/>
                <w:szCs w:val="20"/>
                <w:lang w:val="en-US"/>
              </w:rPr>
            </w:pPr>
            <w:r w:rsidRPr="003009EF">
              <w:rPr>
                <w:bCs/>
                <w:sz w:val="20"/>
                <w:szCs w:val="20"/>
                <w:lang w:val="en-US"/>
              </w:rPr>
              <w:t>n (%)</w:t>
            </w:r>
          </w:p>
        </w:tc>
        <w:tc>
          <w:tcPr>
            <w:tcW w:w="726" w:type="pct"/>
          </w:tcPr>
          <w:p w14:paraId="611B4E7C" w14:textId="77777777" w:rsidR="00B51ED1" w:rsidRPr="003009EF" w:rsidRDefault="00B51ED1" w:rsidP="0014391A">
            <w:pPr>
              <w:pStyle w:val="Tabletext"/>
              <w:ind w:left="0" w:right="0"/>
              <w:contextualSpacing/>
              <w:jc w:val="center"/>
              <w:rPr>
                <w:bCs/>
                <w:sz w:val="20"/>
                <w:szCs w:val="20"/>
                <w:lang w:val="en-US"/>
              </w:rPr>
            </w:pPr>
            <w:r w:rsidRPr="003009EF">
              <w:rPr>
                <w:bCs/>
                <w:sz w:val="20"/>
                <w:szCs w:val="20"/>
                <w:lang w:val="en-US"/>
              </w:rPr>
              <w:t>Tucatinib arm</w:t>
            </w:r>
          </w:p>
          <w:p w14:paraId="6F9ECBA0" w14:textId="77777777" w:rsidR="00B51ED1" w:rsidRPr="003009EF" w:rsidRDefault="00B51ED1" w:rsidP="0014391A">
            <w:pPr>
              <w:pStyle w:val="Tabletext"/>
              <w:ind w:left="0" w:right="0"/>
              <w:contextualSpacing/>
              <w:jc w:val="center"/>
              <w:rPr>
                <w:bCs/>
                <w:sz w:val="20"/>
                <w:szCs w:val="20"/>
                <w:lang w:val="en-US"/>
              </w:rPr>
            </w:pPr>
            <w:r w:rsidRPr="003009EF">
              <w:rPr>
                <w:bCs/>
                <w:sz w:val="20"/>
                <w:szCs w:val="20"/>
                <w:lang w:val="en-US"/>
              </w:rPr>
              <w:t>N = 404</w:t>
            </w:r>
          </w:p>
          <w:p w14:paraId="39F6BE80" w14:textId="77777777" w:rsidR="00B51ED1" w:rsidRPr="003009EF" w:rsidRDefault="00B51ED1" w:rsidP="0014391A">
            <w:pPr>
              <w:spacing w:before="0" w:after="0" w:line="240" w:lineRule="auto"/>
              <w:ind w:left="0" w:right="0"/>
              <w:contextualSpacing/>
              <w:jc w:val="center"/>
              <w:rPr>
                <w:bCs/>
                <w:sz w:val="20"/>
                <w:szCs w:val="20"/>
                <w:lang w:val="en-US"/>
              </w:rPr>
            </w:pPr>
            <w:r w:rsidRPr="003009EF">
              <w:rPr>
                <w:bCs/>
                <w:sz w:val="20"/>
                <w:szCs w:val="20"/>
                <w:lang w:val="en-US"/>
              </w:rPr>
              <w:t>%</w:t>
            </w:r>
          </w:p>
        </w:tc>
        <w:tc>
          <w:tcPr>
            <w:tcW w:w="647" w:type="pct"/>
          </w:tcPr>
          <w:p w14:paraId="49F6F444" w14:textId="77777777" w:rsidR="00B51ED1" w:rsidRPr="003009EF" w:rsidRDefault="00B51ED1" w:rsidP="0014391A">
            <w:pPr>
              <w:pStyle w:val="Tabletext"/>
              <w:ind w:left="0" w:right="0"/>
              <w:contextualSpacing/>
              <w:jc w:val="center"/>
              <w:rPr>
                <w:bCs/>
                <w:sz w:val="20"/>
                <w:szCs w:val="20"/>
                <w:lang w:val="en-US"/>
              </w:rPr>
            </w:pPr>
            <w:r w:rsidRPr="003009EF">
              <w:rPr>
                <w:bCs/>
                <w:sz w:val="20"/>
                <w:szCs w:val="20"/>
                <w:lang w:val="en-US"/>
              </w:rPr>
              <w:t>Placebo arm</w:t>
            </w:r>
          </w:p>
          <w:p w14:paraId="22059E49" w14:textId="77777777" w:rsidR="00B51ED1" w:rsidRPr="003009EF" w:rsidRDefault="00B51ED1" w:rsidP="0014391A">
            <w:pPr>
              <w:pStyle w:val="Tabletext"/>
              <w:ind w:left="0" w:right="0"/>
              <w:contextualSpacing/>
              <w:jc w:val="center"/>
              <w:rPr>
                <w:bCs/>
                <w:sz w:val="20"/>
                <w:szCs w:val="20"/>
                <w:lang w:val="en-US"/>
              </w:rPr>
            </w:pPr>
            <w:r w:rsidRPr="003009EF">
              <w:rPr>
                <w:bCs/>
                <w:sz w:val="20"/>
                <w:szCs w:val="20"/>
                <w:lang w:val="en-US"/>
              </w:rPr>
              <w:t>N = 197</w:t>
            </w:r>
          </w:p>
          <w:p w14:paraId="4C96183B" w14:textId="77777777" w:rsidR="00B51ED1" w:rsidRPr="003009EF" w:rsidRDefault="00B51ED1" w:rsidP="0014391A">
            <w:pPr>
              <w:spacing w:before="0" w:after="0" w:line="240" w:lineRule="auto"/>
              <w:ind w:left="0" w:right="0"/>
              <w:contextualSpacing/>
              <w:jc w:val="center"/>
              <w:rPr>
                <w:bCs/>
                <w:sz w:val="20"/>
                <w:szCs w:val="20"/>
                <w:lang w:val="en-US"/>
              </w:rPr>
            </w:pPr>
            <w:r w:rsidRPr="003009EF">
              <w:rPr>
                <w:bCs/>
                <w:sz w:val="20"/>
                <w:szCs w:val="20"/>
                <w:lang w:val="en-US"/>
              </w:rPr>
              <w:t>%</w:t>
            </w:r>
          </w:p>
        </w:tc>
        <w:tc>
          <w:tcPr>
            <w:tcW w:w="726" w:type="pct"/>
          </w:tcPr>
          <w:p w14:paraId="352C74BD" w14:textId="77777777" w:rsidR="00B51ED1" w:rsidRPr="003009EF" w:rsidRDefault="00B51ED1" w:rsidP="0014391A">
            <w:pPr>
              <w:pStyle w:val="Tabletext"/>
              <w:ind w:left="0" w:right="0"/>
              <w:contextualSpacing/>
              <w:jc w:val="center"/>
              <w:rPr>
                <w:bCs/>
                <w:sz w:val="20"/>
                <w:szCs w:val="20"/>
                <w:lang w:val="en-US"/>
              </w:rPr>
            </w:pPr>
            <w:r w:rsidRPr="003009EF">
              <w:rPr>
                <w:bCs/>
                <w:sz w:val="20"/>
                <w:szCs w:val="20"/>
                <w:lang w:val="en-US"/>
              </w:rPr>
              <w:t>Tucatinib arm</w:t>
            </w:r>
          </w:p>
          <w:p w14:paraId="05874052" w14:textId="77777777" w:rsidR="00B51ED1" w:rsidRPr="003009EF" w:rsidRDefault="00B51ED1" w:rsidP="0014391A">
            <w:pPr>
              <w:pStyle w:val="Tabletext"/>
              <w:ind w:left="0" w:right="0"/>
              <w:contextualSpacing/>
              <w:jc w:val="center"/>
              <w:rPr>
                <w:bCs/>
                <w:sz w:val="20"/>
                <w:szCs w:val="20"/>
                <w:lang w:val="en-US"/>
              </w:rPr>
            </w:pPr>
            <w:r w:rsidRPr="003009EF">
              <w:rPr>
                <w:bCs/>
                <w:sz w:val="20"/>
                <w:szCs w:val="20"/>
                <w:lang w:val="en-US"/>
              </w:rPr>
              <w:t>N = 404</w:t>
            </w:r>
          </w:p>
          <w:p w14:paraId="30BB2C1C" w14:textId="77777777" w:rsidR="00B51ED1" w:rsidRPr="003009EF" w:rsidRDefault="00B51ED1" w:rsidP="0014391A">
            <w:pPr>
              <w:pStyle w:val="Tabletext"/>
              <w:ind w:left="0" w:right="0"/>
              <w:contextualSpacing/>
              <w:jc w:val="center"/>
              <w:rPr>
                <w:bCs/>
                <w:sz w:val="20"/>
                <w:szCs w:val="20"/>
                <w:lang w:val="en-US"/>
              </w:rPr>
            </w:pPr>
            <w:r w:rsidRPr="003009EF">
              <w:rPr>
                <w:bCs/>
                <w:sz w:val="20"/>
                <w:szCs w:val="20"/>
                <w:lang w:val="en-US"/>
              </w:rPr>
              <w:t>%</w:t>
            </w:r>
          </w:p>
        </w:tc>
        <w:tc>
          <w:tcPr>
            <w:tcW w:w="647" w:type="pct"/>
          </w:tcPr>
          <w:p w14:paraId="1797E8FE" w14:textId="77777777" w:rsidR="00B51ED1" w:rsidRPr="003009EF" w:rsidRDefault="00B51ED1" w:rsidP="0014391A">
            <w:pPr>
              <w:pStyle w:val="Tabletext"/>
              <w:ind w:left="0" w:right="0"/>
              <w:contextualSpacing/>
              <w:jc w:val="center"/>
              <w:rPr>
                <w:bCs/>
                <w:sz w:val="20"/>
                <w:szCs w:val="20"/>
                <w:lang w:val="en-US"/>
              </w:rPr>
            </w:pPr>
            <w:r w:rsidRPr="003009EF">
              <w:rPr>
                <w:bCs/>
                <w:sz w:val="20"/>
                <w:szCs w:val="20"/>
                <w:lang w:val="en-US"/>
              </w:rPr>
              <w:t>Placebo arm</w:t>
            </w:r>
          </w:p>
          <w:p w14:paraId="39D2224E" w14:textId="77777777" w:rsidR="00B51ED1" w:rsidRPr="003009EF" w:rsidRDefault="00B51ED1" w:rsidP="0014391A">
            <w:pPr>
              <w:pStyle w:val="Tabletext"/>
              <w:ind w:left="0" w:right="0"/>
              <w:contextualSpacing/>
              <w:jc w:val="center"/>
              <w:rPr>
                <w:bCs/>
                <w:sz w:val="20"/>
                <w:szCs w:val="20"/>
                <w:lang w:val="en-US"/>
              </w:rPr>
            </w:pPr>
            <w:r w:rsidRPr="003009EF">
              <w:rPr>
                <w:bCs/>
                <w:sz w:val="20"/>
                <w:szCs w:val="20"/>
                <w:lang w:val="en-US"/>
              </w:rPr>
              <w:t>N = 197</w:t>
            </w:r>
          </w:p>
          <w:p w14:paraId="4D7ACF7F" w14:textId="77777777" w:rsidR="00B51ED1" w:rsidRPr="003009EF" w:rsidRDefault="00B51ED1" w:rsidP="0014391A">
            <w:pPr>
              <w:pStyle w:val="Tabletext"/>
              <w:ind w:left="0" w:right="0"/>
              <w:contextualSpacing/>
              <w:jc w:val="center"/>
              <w:rPr>
                <w:bCs/>
                <w:sz w:val="20"/>
                <w:szCs w:val="20"/>
                <w:lang w:val="en-US"/>
              </w:rPr>
            </w:pPr>
            <w:r w:rsidRPr="003009EF">
              <w:rPr>
                <w:bCs/>
                <w:sz w:val="20"/>
                <w:szCs w:val="20"/>
                <w:lang w:val="en-US"/>
              </w:rPr>
              <w:t>%</w:t>
            </w:r>
          </w:p>
        </w:tc>
      </w:tr>
      <w:tr w:rsidR="00B51ED1" w:rsidRPr="003009EF" w14:paraId="4E860637" w14:textId="77777777" w:rsidTr="003009EF">
        <w:tc>
          <w:tcPr>
            <w:tcW w:w="879" w:type="pct"/>
          </w:tcPr>
          <w:p w14:paraId="206FC363" w14:textId="77777777" w:rsidR="00B51ED1" w:rsidRPr="003009EF" w:rsidRDefault="00B51ED1" w:rsidP="0014391A">
            <w:pPr>
              <w:keepNext/>
              <w:spacing w:before="0" w:after="0" w:line="240" w:lineRule="auto"/>
              <w:ind w:left="0" w:right="0"/>
              <w:contextualSpacing/>
              <w:rPr>
                <w:sz w:val="20"/>
                <w:szCs w:val="20"/>
              </w:rPr>
            </w:pPr>
          </w:p>
        </w:tc>
        <w:tc>
          <w:tcPr>
            <w:tcW w:w="1374" w:type="pct"/>
            <w:gridSpan w:val="2"/>
          </w:tcPr>
          <w:p w14:paraId="7AA76096" w14:textId="77777777" w:rsidR="00B51ED1" w:rsidRPr="003009EF" w:rsidRDefault="007F2AE5" w:rsidP="0014391A">
            <w:pPr>
              <w:keepNext/>
              <w:spacing w:before="0" w:after="0" w:line="240" w:lineRule="auto"/>
              <w:ind w:left="0" w:right="0"/>
              <w:contextualSpacing/>
              <w:jc w:val="center"/>
              <w:rPr>
                <w:sz w:val="20"/>
                <w:szCs w:val="20"/>
              </w:rPr>
            </w:pPr>
            <w:r w:rsidRPr="003009EF">
              <w:rPr>
                <w:b/>
                <w:sz w:val="20"/>
                <w:szCs w:val="20"/>
              </w:rPr>
              <w:t>Discontinuations</w:t>
            </w:r>
          </w:p>
        </w:tc>
        <w:tc>
          <w:tcPr>
            <w:tcW w:w="1373" w:type="pct"/>
            <w:gridSpan w:val="2"/>
          </w:tcPr>
          <w:p w14:paraId="02316078" w14:textId="77777777" w:rsidR="00B51ED1" w:rsidRPr="003009EF" w:rsidRDefault="007F2AE5" w:rsidP="0014391A">
            <w:pPr>
              <w:keepNext/>
              <w:spacing w:before="0" w:after="0" w:line="240" w:lineRule="auto"/>
              <w:ind w:left="0" w:right="0"/>
              <w:contextualSpacing/>
              <w:jc w:val="center"/>
              <w:rPr>
                <w:sz w:val="20"/>
                <w:szCs w:val="20"/>
              </w:rPr>
            </w:pPr>
            <w:r w:rsidRPr="003009EF">
              <w:rPr>
                <w:b/>
                <w:bCs/>
                <w:sz w:val="20"/>
                <w:szCs w:val="20"/>
                <w:lang w:val="en-US"/>
              </w:rPr>
              <w:t>Dose interruptions</w:t>
            </w:r>
          </w:p>
        </w:tc>
        <w:tc>
          <w:tcPr>
            <w:tcW w:w="1373" w:type="pct"/>
            <w:gridSpan w:val="2"/>
          </w:tcPr>
          <w:p w14:paraId="3B4E8661" w14:textId="77777777" w:rsidR="00B51ED1" w:rsidRPr="003009EF" w:rsidRDefault="007F2AE5" w:rsidP="0014391A">
            <w:pPr>
              <w:keepNext/>
              <w:spacing w:before="0" w:after="0" w:line="240" w:lineRule="auto"/>
              <w:ind w:left="0" w:right="0"/>
              <w:contextualSpacing/>
              <w:jc w:val="center"/>
              <w:rPr>
                <w:b/>
                <w:bCs/>
                <w:sz w:val="20"/>
                <w:szCs w:val="20"/>
                <w:lang w:val="en-US"/>
              </w:rPr>
            </w:pPr>
            <w:r w:rsidRPr="003009EF">
              <w:rPr>
                <w:b/>
                <w:bCs/>
                <w:sz w:val="20"/>
                <w:szCs w:val="20"/>
                <w:lang w:val="en-US"/>
              </w:rPr>
              <w:t>Dose reductions</w:t>
            </w:r>
          </w:p>
        </w:tc>
      </w:tr>
      <w:tr w:rsidR="00B51ED1" w:rsidRPr="003009EF" w14:paraId="273037BB" w14:textId="77777777" w:rsidTr="003009EF">
        <w:trPr>
          <w:trHeight w:val="340"/>
        </w:trPr>
        <w:tc>
          <w:tcPr>
            <w:tcW w:w="5000" w:type="pct"/>
            <w:gridSpan w:val="7"/>
          </w:tcPr>
          <w:p w14:paraId="06A947B2" w14:textId="77777777" w:rsidR="00B51ED1" w:rsidRPr="003009EF" w:rsidRDefault="003009EF" w:rsidP="0014391A">
            <w:pPr>
              <w:keepNext/>
              <w:spacing w:before="0" w:after="0" w:line="240" w:lineRule="auto"/>
              <w:ind w:left="0" w:right="0"/>
              <w:contextualSpacing/>
              <w:rPr>
                <w:b/>
                <w:sz w:val="20"/>
                <w:szCs w:val="20"/>
              </w:rPr>
            </w:pPr>
            <w:r>
              <w:rPr>
                <w:b/>
                <w:sz w:val="20"/>
                <w:szCs w:val="20"/>
              </w:rPr>
              <w:t>Tucatinib/placebo</w:t>
            </w:r>
          </w:p>
        </w:tc>
      </w:tr>
      <w:tr w:rsidR="00B51ED1" w:rsidRPr="003009EF" w14:paraId="5F410E52" w14:textId="77777777" w:rsidTr="003009EF">
        <w:tc>
          <w:tcPr>
            <w:tcW w:w="879" w:type="pct"/>
          </w:tcPr>
          <w:p w14:paraId="7FD6C005" w14:textId="77777777" w:rsidR="00B51ED1" w:rsidRPr="003009EF" w:rsidRDefault="00B51ED1" w:rsidP="0014391A">
            <w:pPr>
              <w:keepNext/>
              <w:spacing w:before="0" w:after="0" w:line="240" w:lineRule="auto"/>
              <w:ind w:left="0" w:right="0"/>
              <w:contextualSpacing/>
              <w:jc w:val="right"/>
              <w:rPr>
                <w:b/>
                <w:sz w:val="20"/>
                <w:szCs w:val="20"/>
              </w:rPr>
            </w:pPr>
            <w:r w:rsidRPr="003009EF">
              <w:rPr>
                <w:b/>
                <w:sz w:val="20"/>
                <w:szCs w:val="20"/>
              </w:rPr>
              <w:t xml:space="preserve">Total </w:t>
            </w:r>
          </w:p>
        </w:tc>
        <w:tc>
          <w:tcPr>
            <w:tcW w:w="727" w:type="pct"/>
          </w:tcPr>
          <w:p w14:paraId="6C917DC5" w14:textId="77777777" w:rsidR="00B51ED1" w:rsidRPr="003009EF" w:rsidRDefault="00B51ED1" w:rsidP="0014391A">
            <w:pPr>
              <w:keepNext/>
              <w:spacing w:before="0" w:after="0" w:line="240" w:lineRule="auto"/>
              <w:ind w:left="0" w:right="0"/>
              <w:contextualSpacing/>
              <w:jc w:val="center"/>
              <w:rPr>
                <w:b/>
                <w:sz w:val="20"/>
                <w:szCs w:val="20"/>
              </w:rPr>
            </w:pPr>
            <w:r w:rsidRPr="003009EF">
              <w:rPr>
                <w:b/>
                <w:sz w:val="20"/>
                <w:szCs w:val="20"/>
              </w:rPr>
              <w:t>23 (5.7)</w:t>
            </w:r>
          </w:p>
        </w:tc>
        <w:tc>
          <w:tcPr>
            <w:tcW w:w="647" w:type="pct"/>
          </w:tcPr>
          <w:p w14:paraId="2492D572" w14:textId="77777777" w:rsidR="00B51ED1" w:rsidRPr="003009EF" w:rsidRDefault="00B51ED1" w:rsidP="0014391A">
            <w:pPr>
              <w:keepNext/>
              <w:spacing w:before="0" w:after="0" w:line="240" w:lineRule="auto"/>
              <w:ind w:left="0" w:right="0"/>
              <w:contextualSpacing/>
              <w:jc w:val="center"/>
              <w:rPr>
                <w:b/>
                <w:sz w:val="20"/>
                <w:szCs w:val="20"/>
              </w:rPr>
            </w:pPr>
            <w:r w:rsidRPr="003009EF">
              <w:rPr>
                <w:b/>
                <w:sz w:val="20"/>
                <w:szCs w:val="20"/>
              </w:rPr>
              <w:t>6 (3.0)</w:t>
            </w:r>
          </w:p>
        </w:tc>
        <w:tc>
          <w:tcPr>
            <w:tcW w:w="726" w:type="pct"/>
          </w:tcPr>
          <w:p w14:paraId="30133907" w14:textId="77777777" w:rsidR="00B51ED1" w:rsidRPr="003009EF" w:rsidRDefault="00B51ED1" w:rsidP="0014391A">
            <w:pPr>
              <w:keepNext/>
              <w:spacing w:before="0" w:after="0" w:line="240" w:lineRule="auto"/>
              <w:ind w:left="0" w:right="0"/>
              <w:contextualSpacing/>
              <w:jc w:val="center"/>
              <w:rPr>
                <w:b/>
                <w:sz w:val="20"/>
                <w:szCs w:val="20"/>
              </w:rPr>
            </w:pPr>
            <w:r w:rsidRPr="003009EF">
              <w:rPr>
                <w:b/>
                <w:sz w:val="20"/>
                <w:szCs w:val="20"/>
              </w:rPr>
              <w:t>52</w:t>
            </w:r>
          </w:p>
        </w:tc>
        <w:tc>
          <w:tcPr>
            <w:tcW w:w="647" w:type="pct"/>
          </w:tcPr>
          <w:p w14:paraId="6C7F8760" w14:textId="77777777" w:rsidR="00B51ED1" w:rsidRPr="003009EF" w:rsidRDefault="00B51ED1" w:rsidP="0014391A">
            <w:pPr>
              <w:keepNext/>
              <w:spacing w:before="0" w:after="0" w:line="240" w:lineRule="auto"/>
              <w:ind w:left="0" w:right="0"/>
              <w:contextualSpacing/>
              <w:jc w:val="center"/>
              <w:rPr>
                <w:b/>
                <w:sz w:val="20"/>
                <w:szCs w:val="20"/>
              </w:rPr>
            </w:pPr>
            <w:r w:rsidRPr="003009EF">
              <w:rPr>
                <w:b/>
                <w:sz w:val="20"/>
                <w:szCs w:val="20"/>
              </w:rPr>
              <w:t>39</w:t>
            </w:r>
          </w:p>
        </w:tc>
        <w:tc>
          <w:tcPr>
            <w:tcW w:w="726" w:type="pct"/>
          </w:tcPr>
          <w:p w14:paraId="737952CD" w14:textId="77777777" w:rsidR="00B51ED1" w:rsidRPr="003009EF" w:rsidRDefault="00B51ED1" w:rsidP="0014391A">
            <w:pPr>
              <w:keepNext/>
              <w:spacing w:before="0" w:after="0" w:line="240" w:lineRule="auto"/>
              <w:ind w:left="0" w:right="0"/>
              <w:contextualSpacing/>
              <w:jc w:val="center"/>
              <w:rPr>
                <w:b/>
                <w:sz w:val="20"/>
                <w:szCs w:val="20"/>
              </w:rPr>
            </w:pPr>
            <w:r w:rsidRPr="003009EF">
              <w:rPr>
                <w:b/>
                <w:sz w:val="20"/>
                <w:szCs w:val="20"/>
              </w:rPr>
              <w:t>18</w:t>
            </w:r>
          </w:p>
        </w:tc>
        <w:tc>
          <w:tcPr>
            <w:tcW w:w="647" w:type="pct"/>
          </w:tcPr>
          <w:p w14:paraId="106A7617" w14:textId="77777777" w:rsidR="00B51ED1" w:rsidRPr="003009EF" w:rsidRDefault="00B51ED1" w:rsidP="0014391A">
            <w:pPr>
              <w:keepNext/>
              <w:spacing w:before="0" w:after="0" w:line="240" w:lineRule="auto"/>
              <w:ind w:left="0" w:right="0"/>
              <w:contextualSpacing/>
              <w:jc w:val="center"/>
              <w:rPr>
                <w:b/>
                <w:sz w:val="20"/>
                <w:szCs w:val="20"/>
              </w:rPr>
            </w:pPr>
            <w:r w:rsidRPr="003009EF">
              <w:rPr>
                <w:b/>
                <w:sz w:val="20"/>
                <w:szCs w:val="20"/>
              </w:rPr>
              <w:t>9</w:t>
            </w:r>
          </w:p>
        </w:tc>
      </w:tr>
      <w:tr w:rsidR="00B51ED1" w:rsidRPr="003009EF" w14:paraId="2750E148" w14:textId="77777777" w:rsidTr="003009EF">
        <w:tc>
          <w:tcPr>
            <w:tcW w:w="879" w:type="pct"/>
          </w:tcPr>
          <w:p w14:paraId="5DCF41F2" w14:textId="77777777" w:rsidR="00B51ED1" w:rsidRPr="003009EF" w:rsidRDefault="00B51ED1" w:rsidP="0014391A">
            <w:pPr>
              <w:keepNext/>
              <w:spacing w:before="0" w:after="0" w:line="240" w:lineRule="auto"/>
              <w:ind w:left="0" w:right="0"/>
              <w:contextualSpacing/>
              <w:jc w:val="right"/>
              <w:rPr>
                <w:sz w:val="20"/>
                <w:szCs w:val="20"/>
              </w:rPr>
            </w:pPr>
            <w:r w:rsidRPr="003009EF">
              <w:rPr>
                <w:i/>
                <w:sz w:val="20"/>
                <w:szCs w:val="20"/>
              </w:rPr>
              <w:t xml:space="preserve">due to hepatotoxicity </w:t>
            </w:r>
            <w:r w:rsidRPr="003009EF">
              <w:rPr>
                <w:i/>
                <w:sz w:val="20"/>
                <w:szCs w:val="20"/>
                <w:vertAlign w:val="superscript"/>
              </w:rPr>
              <w:t>1</w:t>
            </w:r>
          </w:p>
        </w:tc>
        <w:tc>
          <w:tcPr>
            <w:tcW w:w="727" w:type="pct"/>
          </w:tcPr>
          <w:p w14:paraId="7321B8CD" w14:textId="77777777" w:rsidR="00B51ED1" w:rsidRPr="003009EF" w:rsidRDefault="00B51ED1" w:rsidP="0014391A">
            <w:pPr>
              <w:keepNext/>
              <w:spacing w:before="0" w:after="0" w:line="240" w:lineRule="auto"/>
              <w:ind w:left="0" w:right="0"/>
              <w:contextualSpacing/>
              <w:jc w:val="center"/>
              <w:rPr>
                <w:sz w:val="20"/>
                <w:szCs w:val="20"/>
              </w:rPr>
            </w:pPr>
            <w:r w:rsidRPr="003009EF">
              <w:rPr>
                <w:sz w:val="20"/>
                <w:szCs w:val="20"/>
              </w:rPr>
              <w:t>6 (1.5)</w:t>
            </w:r>
          </w:p>
        </w:tc>
        <w:tc>
          <w:tcPr>
            <w:tcW w:w="647" w:type="pct"/>
          </w:tcPr>
          <w:p w14:paraId="6FBB9325" w14:textId="77777777" w:rsidR="00B51ED1" w:rsidRPr="003009EF" w:rsidRDefault="00B51ED1" w:rsidP="0014391A">
            <w:pPr>
              <w:keepNext/>
              <w:spacing w:before="0" w:after="0" w:line="240" w:lineRule="auto"/>
              <w:ind w:left="0" w:right="0"/>
              <w:contextualSpacing/>
              <w:jc w:val="center"/>
              <w:rPr>
                <w:sz w:val="20"/>
                <w:szCs w:val="20"/>
              </w:rPr>
            </w:pPr>
            <w:r w:rsidRPr="003009EF">
              <w:rPr>
                <w:sz w:val="20"/>
                <w:szCs w:val="20"/>
              </w:rPr>
              <w:t>2 (1.0)</w:t>
            </w:r>
          </w:p>
        </w:tc>
        <w:tc>
          <w:tcPr>
            <w:tcW w:w="726" w:type="pct"/>
          </w:tcPr>
          <w:p w14:paraId="0A08EA41" w14:textId="77777777" w:rsidR="00B51ED1" w:rsidRPr="003009EF" w:rsidRDefault="00B51ED1" w:rsidP="0014391A">
            <w:pPr>
              <w:keepNext/>
              <w:spacing w:before="0" w:after="0" w:line="240" w:lineRule="auto"/>
              <w:ind w:left="0" w:right="0"/>
              <w:contextualSpacing/>
              <w:jc w:val="center"/>
              <w:rPr>
                <w:sz w:val="20"/>
                <w:szCs w:val="20"/>
              </w:rPr>
            </w:pPr>
            <w:r w:rsidRPr="003009EF">
              <w:rPr>
                <w:sz w:val="20"/>
                <w:szCs w:val="20"/>
              </w:rPr>
              <w:t>18</w:t>
            </w:r>
          </w:p>
        </w:tc>
        <w:tc>
          <w:tcPr>
            <w:tcW w:w="647" w:type="pct"/>
          </w:tcPr>
          <w:p w14:paraId="130F842D" w14:textId="77777777" w:rsidR="00B51ED1" w:rsidRPr="003009EF" w:rsidRDefault="00B51ED1" w:rsidP="0014391A">
            <w:pPr>
              <w:keepNext/>
              <w:spacing w:before="0" w:after="0" w:line="240" w:lineRule="auto"/>
              <w:ind w:left="0" w:right="0"/>
              <w:contextualSpacing/>
              <w:jc w:val="center"/>
              <w:rPr>
                <w:sz w:val="20"/>
                <w:szCs w:val="20"/>
              </w:rPr>
            </w:pPr>
            <w:r w:rsidRPr="003009EF">
              <w:rPr>
                <w:sz w:val="20"/>
                <w:szCs w:val="20"/>
              </w:rPr>
              <w:t>9</w:t>
            </w:r>
          </w:p>
        </w:tc>
        <w:tc>
          <w:tcPr>
            <w:tcW w:w="726" w:type="pct"/>
          </w:tcPr>
          <w:p w14:paraId="554E6D8A" w14:textId="77777777" w:rsidR="00B51ED1" w:rsidRPr="003009EF" w:rsidRDefault="00B51ED1" w:rsidP="0014391A">
            <w:pPr>
              <w:keepNext/>
              <w:spacing w:before="0" w:after="0" w:line="240" w:lineRule="auto"/>
              <w:ind w:left="0" w:right="0"/>
              <w:contextualSpacing/>
              <w:jc w:val="center"/>
              <w:rPr>
                <w:sz w:val="20"/>
                <w:szCs w:val="20"/>
              </w:rPr>
            </w:pPr>
            <w:r w:rsidRPr="003009EF">
              <w:rPr>
                <w:sz w:val="20"/>
                <w:szCs w:val="20"/>
              </w:rPr>
              <w:t>8</w:t>
            </w:r>
          </w:p>
        </w:tc>
        <w:tc>
          <w:tcPr>
            <w:tcW w:w="647" w:type="pct"/>
          </w:tcPr>
          <w:p w14:paraId="3CCD3401" w14:textId="77777777" w:rsidR="00B51ED1" w:rsidRPr="003009EF" w:rsidRDefault="00B51ED1" w:rsidP="0014391A">
            <w:pPr>
              <w:keepNext/>
              <w:spacing w:before="0" w:after="0" w:line="240" w:lineRule="auto"/>
              <w:ind w:left="0" w:right="0"/>
              <w:contextualSpacing/>
              <w:jc w:val="center"/>
              <w:rPr>
                <w:sz w:val="20"/>
                <w:szCs w:val="20"/>
              </w:rPr>
            </w:pPr>
            <w:r w:rsidRPr="003009EF">
              <w:rPr>
                <w:sz w:val="20"/>
                <w:szCs w:val="20"/>
              </w:rPr>
              <w:t>2.5</w:t>
            </w:r>
          </w:p>
        </w:tc>
      </w:tr>
      <w:tr w:rsidR="00B51ED1" w:rsidRPr="003009EF" w14:paraId="5468E6D4" w14:textId="77777777" w:rsidTr="003009EF">
        <w:tc>
          <w:tcPr>
            <w:tcW w:w="879" w:type="pct"/>
          </w:tcPr>
          <w:p w14:paraId="64DF559B" w14:textId="77777777" w:rsidR="00B51ED1" w:rsidRPr="003009EF" w:rsidRDefault="00B51ED1" w:rsidP="0014391A">
            <w:pPr>
              <w:keepNext/>
              <w:spacing w:before="0" w:after="0" w:line="240" w:lineRule="auto"/>
              <w:ind w:left="0" w:right="0"/>
              <w:contextualSpacing/>
              <w:jc w:val="right"/>
              <w:rPr>
                <w:sz w:val="20"/>
                <w:szCs w:val="20"/>
              </w:rPr>
            </w:pPr>
            <w:r w:rsidRPr="003009EF">
              <w:rPr>
                <w:i/>
                <w:sz w:val="20"/>
                <w:szCs w:val="20"/>
              </w:rPr>
              <w:t>due to diarrhoea</w:t>
            </w:r>
          </w:p>
        </w:tc>
        <w:tc>
          <w:tcPr>
            <w:tcW w:w="727" w:type="pct"/>
          </w:tcPr>
          <w:p w14:paraId="66E3FBF7" w14:textId="77777777" w:rsidR="00B51ED1" w:rsidRPr="003009EF" w:rsidRDefault="00B51ED1" w:rsidP="0014391A">
            <w:pPr>
              <w:keepNext/>
              <w:spacing w:before="0" w:after="0" w:line="240" w:lineRule="auto"/>
              <w:ind w:left="0" w:right="0"/>
              <w:contextualSpacing/>
              <w:jc w:val="center"/>
              <w:rPr>
                <w:sz w:val="20"/>
                <w:szCs w:val="20"/>
              </w:rPr>
            </w:pPr>
            <w:r w:rsidRPr="003009EF">
              <w:rPr>
                <w:sz w:val="20"/>
                <w:szCs w:val="20"/>
              </w:rPr>
              <w:t>4 (1.0)</w:t>
            </w:r>
          </w:p>
        </w:tc>
        <w:tc>
          <w:tcPr>
            <w:tcW w:w="647" w:type="pct"/>
          </w:tcPr>
          <w:p w14:paraId="534618B5" w14:textId="77777777" w:rsidR="00B51ED1" w:rsidRPr="003009EF" w:rsidRDefault="00B51ED1" w:rsidP="0014391A">
            <w:pPr>
              <w:keepNext/>
              <w:spacing w:before="0" w:after="0" w:line="240" w:lineRule="auto"/>
              <w:ind w:left="0" w:right="0"/>
              <w:contextualSpacing/>
              <w:jc w:val="center"/>
              <w:rPr>
                <w:sz w:val="20"/>
                <w:szCs w:val="20"/>
              </w:rPr>
            </w:pPr>
            <w:r w:rsidRPr="003009EF">
              <w:rPr>
                <w:sz w:val="20"/>
                <w:szCs w:val="20"/>
              </w:rPr>
              <w:t>1 (0.5)</w:t>
            </w:r>
          </w:p>
        </w:tc>
        <w:tc>
          <w:tcPr>
            <w:tcW w:w="726" w:type="pct"/>
          </w:tcPr>
          <w:p w14:paraId="432EB9C3" w14:textId="77777777" w:rsidR="00B51ED1" w:rsidRPr="003009EF" w:rsidRDefault="00B51ED1" w:rsidP="0014391A">
            <w:pPr>
              <w:keepNext/>
              <w:spacing w:before="0" w:after="0" w:line="240" w:lineRule="auto"/>
              <w:ind w:left="0" w:right="0"/>
              <w:contextualSpacing/>
              <w:jc w:val="center"/>
              <w:rPr>
                <w:sz w:val="20"/>
                <w:szCs w:val="20"/>
              </w:rPr>
            </w:pPr>
            <w:r w:rsidRPr="003009EF">
              <w:rPr>
                <w:sz w:val="20"/>
                <w:szCs w:val="20"/>
              </w:rPr>
              <w:t>13</w:t>
            </w:r>
          </w:p>
        </w:tc>
        <w:tc>
          <w:tcPr>
            <w:tcW w:w="647" w:type="pct"/>
          </w:tcPr>
          <w:p w14:paraId="729937CB" w14:textId="77777777" w:rsidR="00B51ED1" w:rsidRPr="003009EF" w:rsidRDefault="00B51ED1" w:rsidP="0014391A">
            <w:pPr>
              <w:keepNext/>
              <w:spacing w:before="0" w:after="0" w:line="240" w:lineRule="auto"/>
              <w:ind w:left="0" w:right="0"/>
              <w:contextualSpacing/>
              <w:jc w:val="center"/>
              <w:rPr>
                <w:sz w:val="20"/>
                <w:szCs w:val="20"/>
              </w:rPr>
            </w:pPr>
            <w:r w:rsidRPr="003009EF">
              <w:rPr>
                <w:sz w:val="20"/>
                <w:szCs w:val="20"/>
              </w:rPr>
              <w:t>8</w:t>
            </w:r>
          </w:p>
        </w:tc>
        <w:tc>
          <w:tcPr>
            <w:tcW w:w="726" w:type="pct"/>
          </w:tcPr>
          <w:p w14:paraId="7AFE4B4C" w14:textId="2562C72C" w:rsidR="00B51ED1" w:rsidRPr="003009EF" w:rsidRDefault="00DE4C80" w:rsidP="0014391A">
            <w:pPr>
              <w:keepNext/>
              <w:spacing w:before="0" w:after="0" w:line="240" w:lineRule="auto"/>
              <w:ind w:left="0" w:right="0"/>
              <w:contextualSpacing/>
              <w:jc w:val="center"/>
              <w:rPr>
                <w:sz w:val="20"/>
                <w:szCs w:val="20"/>
              </w:rPr>
            </w:pPr>
            <w:r>
              <w:rPr>
                <w:sz w:val="20"/>
                <w:szCs w:val="20"/>
              </w:rPr>
              <w:t>5.7</w:t>
            </w:r>
          </w:p>
        </w:tc>
        <w:tc>
          <w:tcPr>
            <w:tcW w:w="647" w:type="pct"/>
          </w:tcPr>
          <w:p w14:paraId="089B99D3" w14:textId="457F123C" w:rsidR="00B51ED1" w:rsidRPr="003009EF" w:rsidRDefault="00DE4C80" w:rsidP="0014391A">
            <w:pPr>
              <w:keepNext/>
              <w:spacing w:before="0" w:after="0" w:line="240" w:lineRule="auto"/>
              <w:ind w:left="0" w:right="0"/>
              <w:contextualSpacing/>
              <w:jc w:val="center"/>
              <w:rPr>
                <w:sz w:val="20"/>
                <w:szCs w:val="20"/>
              </w:rPr>
            </w:pPr>
            <w:r>
              <w:rPr>
                <w:sz w:val="20"/>
                <w:szCs w:val="20"/>
              </w:rPr>
              <w:t>4.6</w:t>
            </w:r>
          </w:p>
        </w:tc>
      </w:tr>
    </w:tbl>
    <w:p w14:paraId="576C2F2D" w14:textId="2545DF43" w:rsidR="003009EF" w:rsidRDefault="003009EF" w:rsidP="0014391A">
      <w:pPr>
        <w:pStyle w:val="TableDescription"/>
        <w:keepNext/>
      </w:pPr>
      <w:r>
        <w:t>Source: FDA Multi-Discipline Review.</w:t>
      </w:r>
      <w:r>
        <w:fldChar w:fldCharType="begin"/>
      </w:r>
      <w:r>
        <w:instrText xml:space="preserve"> NOTEREF _Ref64226828 \f \h </w:instrText>
      </w:r>
      <w:r>
        <w:fldChar w:fldCharType="separate"/>
      </w:r>
      <w:r w:rsidR="00F979FB" w:rsidRPr="00F979FB">
        <w:rPr>
          <w:rStyle w:val="FootnoteReference"/>
        </w:rPr>
        <w:t>10</w:t>
      </w:r>
      <w:r>
        <w:fldChar w:fldCharType="end"/>
      </w:r>
    </w:p>
    <w:p w14:paraId="6C5ABB38" w14:textId="264C33F6" w:rsidR="00B51ED1" w:rsidRDefault="00B51ED1" w:rsidP="0014391A">
      <w:pPr>
        <w:pStyle w:val="TableDescription"/>
        <w:keepNext/>
      </w:pPr>
      <w:r w:rsidRPr="00C83861">
        <w:t>1</w:t>
      </w:r>
      <w:r w:rsidR="003262C1">
        <w:t>:</w:t>
      </w:r>
      <w:r w:rsidRPr="00C83861">
        <w:t xml:space="preserve"> Grouped </w:t>
      </w:r>
      <w:r w:rsidR="007912D9">
        <w:t>P</w:t>
      </w:r>
      <w:r w:rsidRPr="00C83861">
        <w:t xml:space="preserve">referred </w:t>
      </w:r>
      <w:r w:rsidR="007912D9">
        <w:t>T</w:t>
      </w:r>
      <w:r w:rsidRPr="00C83861">
        <w:t xml:space="preserve">erms: </w:t>
      </w:r>
      <w:proofErr w:type="spellStart"/>
      <w:r w:rsidRPr="00C83861">
        <w:t>hyperbilirubinaemia</w:t>
      </w:r>
      <w:proofErr w:type="spellEnd"/>
      <w:r w:rsidRPr="00C83861">
        <w:t>, blood bilirubin increased, alanine aminotransferase increased, transaminases increased, hepatotoxicity, aspartate aminotransferase increased, liver function test increased, liver injury, hepatocellular injury, bilirubin conjugated increased</w:t>
      </w:r>
      <w:r w:rsidR="00C83861">
        <w:t>.</w:t>
      </w:r>
    </w:p>
    <w:p w14:paraId="6FCD466E" w14:textId="77777777" w:rsidR="00B51ED1" w:rsidRPr="00D90131" w:rsidRDefault="00B51ED1" w:rsidP="00B51ED1">
      <w:pPr>
        <w:pStyle w:val="Heading5"/>
      </w:pPr>
      <w:r w:rsidRPr="00D90131">
        <w:t>Adverse e</w:t>
      </w:r>
      <w:r w:rsidR="003009EF">
        <w:t>vents of special interest</w:t>
      </w:r>
      <w:r>
        <w:t xml:space="preserve"> and otherwise of note</w:t>
      </w:r>
    </w:p>
    <w:p w14:paraId="3113EA2A" w14:textId="1B51C4A0" w:rsidR="00B51ED1" w:rsidRDefault="00B51ED1" w:rsidP="00B51ED1">
      <w:r>
        <w:t>AESI</w:t>
      </w:r>
      <w:r w:rsidR="003009EF">
        <w:t>s were defined by the s</w:t>
      </w:r>
      <w:r>
        <w:t>ponsor b</w:t>
      </w:r>
      <w:r w:rsidRPr="00BF19C5">
        <w:t>ased on toxicity concerns throughout the tucatinib development program</w:t>
      </w:r>
      <w:r>
        <w:t xml:space="preserve"> and the regulatory re</w:t>
      </w:r>
      <w:r w:rsidR="003009EF">
        <w:t>view was in agreement with the s</w:t>
      </w:r>
      <w:r>
        <w:t>ponsor’s selection of terms. The incidence of AESI</w:t>
      </w:r>
      <w:r w:rsidR="003009EF">
        <w:t>s</w:t>
      </w:r>
      <w:r>
        <w:t xml:space="preserve"> across arms in </w:t>
      </w:r>
      <w:r w:rsidR="003262C1">
        <w:t xml:space="preserve">the </w:t>
      </w:r>
      <w:r>
        <w:t xml:space="preserve">HER2CLIMB </w:t>
      </w:r>
      <w:r w:rsidR="003262C1">
        <w:t xml:space="preserve">trial </w:t>
      </w:r>
      <w:r>
        <w:t xml:space="preserve">is summarised in </w:t>
      </w:r>
      <w:r>
        <w:fldChar w:fldCharType="begin"/>
      </w:r>
      <w:r>
        <w:instrText xml:space="preserve"> REF _Ref43897299 \h </w:instrText>
      </w:r>
      <w:r>
        <w:fldChar w:fldCharType="separate"/>
      </w:r>
      <w:r w:rsidR="00F979FB" w:rsidRPr="006F356B">
        <w:t xml:space="preserve">Table </w:t>
      </w:r>
      <w:r w:rsidR="00F979FB">
        <w:rPr>
          <w:noProof/>
        </w:rPr>
        <w:t>20</w:t>
      </w:r>
      <w:r>
        <w:fldChar w:fldCharType="end"/>
      </w:r>
      <w:r w:rsidR="00C83861">
        <w:t>.</w:t>
      </w:r>
    </w:p>
    <w:p w14:paraId="640B1F01" w14:textId="30981CD4" w:rsidR="00B51ED1" w:rsidRPr="006F356B" w:rsidRDefault="00B51ED1" w:rsidP="00C83861">
      <w:pPr>
        <w:pStyle w:val="TableTitle"/>
      </w:pPr>
      <w:bookmarkStart w:id="63" w:name="_Ref43897299"/>
      <w:r w:rsidRPr="006F356B">
        <w:t xml:space="preserve">Table </w:t>
      </w:r>
      <w:fldSimple w:instr=" SEQ Table \* ARABIC ">
        <w:r w:rsidR="00F979FB">
          <w:rPr>
            <w:noProof/>
          </w:rPr>
          <w:t>20</w:t>
        </w:r>
      </w:fldSimple>
      <w:bookmarkEnd w:id="63"/>
      <w:r w:rsidR="00C83861">
        <w:t>:</w:t>
      </w:r>
      <w:r w:rsidRPr="006F356B">
        <w:t xml:space="preserve"> </w:t>
      </w:r>
      <w:r w:rsidR="001C0164">
        <w:t>Adverse events of special interest</w:t>
      </w:r>
      <w:r>
        <w:t xml:space="preserve"> </w:t>
      </w:r>
      <w:r w:rsidRPr="006F356B">
        <w:t xml:space="preserve">in </w:t>
      </w:r>
      <w:r w:rsidR="001C0164">
        <w:t xml:space="preserve">the </w:t>
      </w:r>
      <w:r>
        <w:t>HER2CLIMB</w:t>
      </w:r>
      <w:r w:rsidR="001C0164">
        <w:t xml:space="preserve"> trial</w:t>
      </w:r>
      <w:r>
        <w:t xml:space="preserve">, data cut-off </w:t>
      </w:r>
      <w:r w:rsidRPr="00A33D6C">
        <w:t>date 4 Sep</w:t>
      </w:r>
      <w:r w:rsidR="001C0164">
        <w:t>tember</w:t>
      </w:r>
      <w:r w:rsidRPr="00A33D6C">
        <w:t xml:space="preserve"> 2019</w:t>
      </w:r>
    </w:p>
    <w:tbl>
      <w:tblPr>
        <w:tblStyle w:val="TableTGAblue"/>
        <w:tblW w:w="0" w:type="auto"/>
        <w:tblCellMar>
          <w:left w:w="28" w:type="dxa"/>
          <w:right w:w="28" w:type="dxa"/>
        </w:tblCellMar>
        <w:tblLook w:val="04A0" w:firstRow="1" w:lastRow="0" w:firstColumn="1" w:lastColumn="0" w:noHBand="0" w:noVBand="1"/>
      </w:tblPr>
      <w:tblGrid>
        <w:gridCol w:w="2684"/>
        <w:gridCol w:w="1450"/>
        <w:gridCol w:w="1450"/>
        <w:gridCol w:w="1450"/>
        <w:gridCol w:w="1450"/>
      </w:tblGrid>
      <w:tr w:rsidR="00B51ED1" w:rsidRPr="00BF19C5" w14:paraId="4FEA3002" w14:textId="77777777" w:rsidTr="00B51ED1">
        <w:trPr>
          <w:cnfStyle w:val="100000000000" w:firstRow="1" w:lastRow="0" w:firstColumn="0" w:lastColumn="0" w:oddVBand="0" w:evenVBand="0" w:oddHBand="0" w:evenHBand="0" w:firstRowFirstColumn="0" w:firstRowLastColumn="0" w:lastRowFirstColumn="0" w:lastRowLastColumn="0"/>
        </w:trPr>
        <w:tc>
          <w:tcPr>
            <w:tcW w:w="2684" w:type="dxa"/>
          </w:tcPr>
          <w:p w14:paraId="19B149B9" w14:textId="77777777" w:rsidR="00B51ED1" w:rsidRPr="006F356B" w:rsidRDefault="00B51ED1" w:rsidP="00B51ED1">
            <w:pPr>
              <w:pStyle w:val="Tabletext"/>
              <w:ind w:left="57" w:right="57"/>
              <w:contextualSpacing/>
            </w:pPr>
          </w:p>
        </w:tc>
        <w:tc>
          <w:tcPr>
            <w:tcW w:w="2900" w:type="dxa"/>
            <w:gridSpan w:val="2"/>
          </w:tcPr>
          <w:p w14:paraId="41660850" w14:textId="77777777" w:rsidR="00B51ED1" w:rsidRPr="00F93ED4" w:rsidRDefault="001C0164" w:rsidP="00B51ED1">
            <w:pPr>
              <w:pStyle w:val="Tabletext"/>
              <w:ind w:left="57" w:right="57"/>
              <w:contextualSpacing/>
              <w:jc w:val="center"/>
            </w:pPr>
            <w:r>
              <w:t>Tucatinib + trastuzumab + capecitabine</w:t>
            </w:r>
          </w:p>
          <w:p w14:paraId="0259B132" w14:textId="77777777" w:rsidR="00B51ED1" w:rsidRPr="00BF19C5" w:rsidRDefault="00B51ED1" w:rsidP="00B51ED1">
            <w:pPr>
              <w:pStyle w:val="Tabletext"/>
              <w:ind w:left="57" w:right="57"/>
              <w:contextualSpacing/>
              <w:jc w:val="center"/>
            </w:pPr>
            <w:r w:rsidRPr="00F93ED4">
              <w:rPr>
                <w:bCs/>
                <w:lang w:val="en-US"/>
              </w:rPr>
              <w:t xml:space="preserve">N = </w:t>
            </w:r>
            <w:r>
              <w:rPr>
                <w:bCs/>
                <w:lang w:val="en-US"/>
              </w:rPr>
              <w:t>404</w:t>
            </w:r>
          </w:p>
        </w:tc>
        <w:tc>
          <w:tcPr>
            <w:tcW w:w="2900" w:type="dxa"/>
            <w:gridSpan w:val="2"/>
          </w:tcPr>
          <w:p w14:paraId="45EF6D42" w14:textId="77777777" w:rsidR="00B51ED1" w:rsidRPr="00F93ED4" w:rsidRDefault="001C0164" w:rsidP="00B51ED1">
            <w:pPr>
              <w:pStyle w:val="Tabletext"/>
              <w:ind w:left="57" w:right="57"/>
              <w:contextualSpacing/>
              <w:jc w:val="center"/>
            </w:pPr>
            <w:r>
              <w:t>Placebo + trastuzumab + capecitabine</w:t>
            </w:r>
          </w:p>
          <w:p w14:paraId="0D3F4942" w14:textId="77777777" w:rsidR="00B51ED1" w:rsidRPr="00BF19C5" w:rsidRDefault="00B51ED1" w:rsidP="00B51ED1">
            <w:pPr>
              <w:pStyle w:val="Tabletext"/>
              <w:ind w:left="57" w:right="57"/>
              <w:contextualSpacing/>
              <w:jc w:val="center"/>
            </w:pPr>
            <w:r w:rsidRPr="00F93ED4">
              <w:rPr>
                <w:bCs/>
                <w:lang w:val="en-US"/>
              </w:rPr>
              <w:t xml:space="preserve">N = </w:t>
            </w:r>
            <w:r>
              <w:rPr>
                <w:bCs/>
                <w:lang w:val="en-US"/>
              </w:rPr>
              <w:t>197</w:t>
            </w:r>
          </w:p>
        </w:tc>
      </w:tr>
      <w:tr w:rsidR="00B51ED1" w:rsidRPr="00BF19C5" w14:paraId="6539F7F6" w14:textId="77777777" w:rsidTr="001C0164">
        <w:tc>
          <w:tcPr>
            <w:tcW w:w="2684" w:type="dxa"/>
          </w:tcPr>
          <w:p w14:paraId="66409E0E" w14:textId="77777777" w:rsidR="00B51ED1" w:rsidRPr="0095170A" w:rsidRDefault="00B51ED1" w:rsidP="00B51ED1">
            <w:pPr>
              <w:pStyle w:val="Tabletext"/>
              <w:ind w:left="57" w:right="57"/>
              <w:contextualSpacing/>
            </w:pPr>
          </w:p>
        </w:tc>
        <w:tc>
          <w:tcPr>
            <w:tcW w:w="1450" w:type="dxa"/>
          </w:tcPr>
          <w:p w14:paraId="57FC7D6A" w14:textId="77777777" w:rsidR="00B51ED1" w:rsidRPr="008802DD" w:rsidRDefault="00B51ED1" w:rsidP="00B51ED1">
            <w:pPr>
              <w:pStyle w:val="Tabletext"/>
              <w:ind w:left="57" w:right="57"/>
              <w:contextualSpacing/>
              <w:jc w:val="center"/>
              <w:rPr>
                <w:b/>
              </w:rPr>
            </w:pPr>
            <w:r w:rsidRPr="008802DD">
              <w:rPr>
                <w:b/>
              </w:rPr>
              <w:t>All grades (%)</w:t>
            </w:r>
          </w:p>
        </w:tc>
        <w:tc>
          <w:tcPr>
            <w:tcW w:w="1450" w:type="dxa"/>
          </w:tcPr>
          <w:p w14:paraId="0C642ECB" w14:textId="77777777" w:rsidR="00B51ED1" w:rsidRPr="008802DD" w:rsidRDefault="001C0164" w:rsidP="00B51ED1">
            <w:pPr>
              <w:pStyle w:val="Tabletext"/>
              <w:ind w:left="57" w:right="57"/>
              <w:contextualSpacing/>
              <w:jc w:val="center"/>
              <w:rPr>
                <w:b/>
              </w:rPr>
            </w:pPr>
            <w:r>
              <w:rPr>
                <w:b/>
              </w:rPr>
              <w:t xml:space="preserve">Grade 3 to </w:t>
            </w:r>
            <w:r w:rsidR="00B51ED1" w:rsidRPr="008802DD">
              <w:rPr>
                <w:b/>
              </w:rPr>
              <w:t>4 (%)</w:t>
            </w:r>
          </w:p>
        </w:tc>
        <w:tc>
          <w:tcPr>
            <w:tcW w:w="1450" w:type="dxa"/>
          </w:tcPr>
          <w:p w14:paraId="7A63C8B5" w14:textId="77777777" w:rsidR="00B51ED1" w:rsidRPr="008802DD" w:rsidRDefault="00B51ED1" w:rsidP="00B51ED1">
            <w:pPr>
              <w:pStyle w:val="Tabletext"/>
              <w:ind w:left="57" w:right="57"/>
              <w:contextualSpacing/>
              <w:jc w:val="center"/>
              <w:rPr>
                <w:b/>
              </w:rPr>
            </w:pPr>
            <w:r w:rsidRPr="008802DD">
              <w:rPr>
                <w:b/>
              </w:rPr>
              <w:t>All grades (%)</w:t>
            </w:r>
          </w:p>
        </w:tc>
        <w:tc>
          <w:tcPr>
            <w:tcW w:w="1450" w:type="dxa"/>
          </w:tcPr>
          <w:p w14:paraId="6117B2F9" w14:textId="77777777" w:rsidR="00B51ED1" w:rsidRPr="008802DD" w:rsidRDefault="001C0164" w:rsidP="00B51ED1">
            <w:pPr>
              <w:pStyle w:val="Tabletext"/>
              <w:ind w:left="57" w:right="57"/>
              <w:contextualSpacing/>
              <w:jc w:val="center"/>
              <w:rPr>
                <w:b/>
              </w:rPr>
            </w:pPr>
            <w:r>
              <w:rPr>
                <w:b/>
              </w:rPr>
              <w:t xml:space="preserve">Grade 3 to </w:t>
            </w:r>
            <w:r w:rsidR="00B51ED1" w:rsidRPr="008802DD">
              <w:rPr>
                <w:b/>
              </w:rPr>
              <w:t>4 (%)</w:t>
            </w:r>
          </w:p>
        </w:tc>
      </w:tr>
      <w:tr w:rsidR="00B51ED1" w:rsidRPr="00BF19C5" w14:paraId="329A8749" w14:textId="77777777" w:rsidTr="00B51ED1">
        <w:tc>
          <w:tcPr>
            <w:tcW w:w="2684" w:type="dxa"/>
          </w:tcPr>
          <w:p w14:paraId="7BEA7BB8" w14:textId="77777777" w:rsidR="00B51ED1" w:rsidRPr="0095170A" w:rsidRDefault="00B51ED1" w:rsidP="00B51ED1">
            <w:pPr>
              <w:pStyle w:val="Tabletext"/>
              <w:ind w:left="57" w:right="57"/>
              <w:contextualSpacing/>
            </w:pPr>
            <w:proofErr w:type="spellStart"/>
            <w:r>
              <w:t>H</w:t>
            </w:r>
            <w:r w:rsidRPr="0095170A">
              <w:t>epatoxicity</w:t>
            </w:r>
            <w:proofErr w:type="spellEnd"/>
            <w:r w:rsidRPr="0095170A">
              <w:t xml:space="preserve"> </w:t>
            </w:r>
            <w:r w:rsidRPr="0095170A">
              <w:rPr>
                <w:vertAlign w:val="superscript"/>
              </w:rPr>
              <w:t>1</w:t>
            </w:r>
            <w:r w:rsidRPr="0095170A">
              <w:t xml:space="preserve"> </w:t>
            </w:r>
          </w:p>
        </w:tc>
        <w:tc>
          <w:tcPr>
            <w:tcW w:w="1450" w:type="dxa"/>
          </w:tcPr>
          <w:p w14:paraId="6D993C80" w14:textId="77777777" w:rsidR="00B51ED1" w:rsidRPr="0095170A" w:rsidRDefault="00B51ED1" w:rsidP="00B51ED1">
            <w:pPr>
              <w:pStyle w:val="Tabletext"/>
              <w:ind w:left="57" w:right="57"/>
              <w:contextualSpacing/>
              <w:jc w:val="center"/>
            </w:pPr>
            <w:r>
              <w:t>42</w:t>
            </w:r>
          </w:p>
        </w:tc>
        <w:tc>
          <w:tcPr>
            <w:tcW w:w="1450" w:type="dxa"/>
          </w:tcPr>
          <w:p w14:paraId="2AB2E1AE" w14:textId="77777777" w:rsidR="00B51ED1" w:rsidRPr="0095170A" w:rsidRDefault="00B51ED1" w:rsidP="00B51ED1">
            <w:pPr>
              <w:pStyle w:val="Tabletext"/>
              <w:ind w:left="57" w:right="57"/>
              <w:contextualSpacing/>
              <w:jc w:val="center"/>
            </w:pPr>
            <w:r>
              <w:t>9</w:t>
            </w:r>
          </w:p>
        </w:tc>
        <w:tc>
          <w:tcPr>
            <w:tcW w:w="1450" w:type="dxa"/>
          </w:tcPr>
          <w:p w14:paraId="2B888855" w14:textId="77777777" w:rsidR="00B51ED1" w:rsidRPr="0095170A" w:rsidRDefault="00B51ED1" w:rsidP="00B51ED1">
            <w:pPr>
              <w:pStyle w:val="Tabletext"/>
              <w:ind w:left="57" w:right="57"/>
              <w:contextualSpacing/>
              <w:jc w:val="center"/>
            </w:pPr>
            <w:r>
              <w:t>24</w:t>
            </w:r>
          </w:p>
        </w:tc>
        <w:tc>
          <w:tcPr>
            <w:tcW w:w="1450" w:type="dxa"/>
          </w:tcPr>
          <w:p w14:paraId="2FE30098" w14:textId="77777777" w:rsidR="00B51ED1" w:rsidRPr="0095170A" w:rsidRDefault="00B51ED1" w:rsidP="00B51ED1">
            <w:pPr>
              <w:pStyle w:val="Tabletext"/>
              <w:ind w:left="57" w:right="57"/>
              <w:contextualSpacing/>
              <w:jc w:val="center"/>
            </w:pPr>
            <w:r>
              <w:t>3.6</w:t>
            </w:r>
          </w:p>
        </w:tc>
      </w:tr>
      <w:tr w:rsidR="00B51ED1" w:rsidRPr="00BF19C5" w14:paraId="01B749F8" w14:textId="77777777" w:rsidTr="00B51ED1">
        <w:tc>
          <w:tcPr>
            <w:tcW w:w="2684" w:type="dxa"/>
          </w:tcPr>
          <w:p w14:paraId="6D44BA9B" w14:textId="77777777" w:rsidR="00B51ED1" w:rsidRPr="008802DD" w:rsidRDefault="00B51ED1" w:rsidP="00B51ED1">
            <w:pPr>
              <w:pStyle w:val="Tabletext"/>
              <w:ind w:left="57" w:right="57"/>
              <w:contextualSpacing/>
              <w:jc w:val="right"/>
              <w:rPr>
                <w:i/>
              </w:rPr>
            </w:pPr>
            <w:r w:rsidRPr="008802DD">
              <w:rPr>
                <w:i/>
              </w:rPr>
              <w:t>increased total bilirubin</w:t>
            </w:r>
          </w:p>
        </w:tc>
        <w:tc>
          <w:tcPr>
            <w:tcW w:w="1450" w:type="dxa"/>
          </w:tcPr>
          <w:p w14:paraId="00B7CA44" w14:textId="77777777" w:rsidR="00B51ED1" w:rsidRPr="008802DD" w:rsidRDefault="00B51ED1" w:rsidP="00B51ED1">
            <w:pPr>
              <w:pStyle w:val="Tabletext"/>
              <w:ind w:left="57" w:right="57"/>
              <w:contextualSpacing/>
              <w:jc w:val="right"/>
              <w:rPr>
                <w:i/>
              </w:rPr>
            </w:pPr>
            <w:r>
              <w:rPr>
                <w:i/>
              </w:rPr>
              <w:t>25</w:t>
            </w:r>
          </w:p>
        </w:tc>
        <w:tc>
          <w:tcPr>
            <w:tcW w:w="1450" w:type="dxa"/>
          </w:tcPr>
          <w:p w14:paraId="25D75338" w14:textId="77777777" w:rsidR="00B51ED1" w:rsidRPr="008802DD" w:rsidRDefault="00B51ED1" w:rsidP="00B51ED1">
            <w:pPr>
              <w:pStyle w:val="Tabletext"/>
              <w:ind w:left="57" w:right="57"/>
              <w:contextualSpacing/>
              <w:jc w:val="right"/>
              <w:rPr>
                <w:i/>
              </w:rPr>
            </w:pPr>
            <w:r>
              <w:rPr>
                <w:i/>
              </w:rPr>
              <w:t>1.2</w:t>
            </w:r>
          </w:p>
        </w:tc>
        <w:tc>
          <w:tcPr>
            <w:tcW w:w="1450" w:type="dxa"/>
          </w:tcPr>
          <w:p w14:paraId="50A04DE1" w14:textId="77777777" w:rsidR="00B51ED1" w:rsidRPr="008802DD" w:rsidRDefault="00B51ED1" w:rsidP="00B51ED1">
            <w:pPr>
              <w:pStyle w:val="Tabletext"/>
              <w:ind w:left="57" w:right="57"/>
              <w:contextualSpacing/>
              <w:jc w:val="right"/>
              <w:rPr>
                <w:i/>
              </w:rPr>
            </w:pPr>
            <w:r>
              <w:rPr>
                <w:i/>
              </w:rPr>
              <w:t>14</w:t>
            </w:r>
          </w:p>
        </w:tc>
        <w:tc>
          <w:tcPr>
            <w:tcW w:w="1450" w:type="dxa"/>
          </w:tcPr>
          <w:p w14:paraId="30D8A178" w14:textId="77777777" w:rsidR="00B51ED1" w:rsidRPr="008802DD" w:rsidRDefault="00B51ED1" w:rsidP="00B51ED1">
            <w:pPr>
              <w:pStyle w:val="Tabletext"/>
              <w:ind w:left="57" w:right="57"/>
              <w:contextualSpacing/>
              <w:jc w:val="right"/>
              <w:rPr>
                <w:i/>
              </w:rPr>
            </w:pPr>
            <w:r>
              <w:rPr>
                <w:i/>
              </w:rPr>
              <w:t>3</w:t>
            </w:r>
          </w:p>
        </w:tc>
      </w:tr>
      <w:tr w:rsidR="00B51ED1" w:rsidRPr="00BF19C5" w14:paraId="3506F216" w14:textId="77777777" w:rsidTr="00B51ED1">
        <w:tc>
          <w:tcPr>
            <w:tcW w:w="2684" w:type="dxa"/>
          </w:tcPr>
          <w:p w14:paraId="6F9D6C9B" w14:textId="77777777" w:rsidR="00B51ED1" w:rsidRPr="008802DD" w:rsidRDefault="001C0164" w:rsidP="00B51ED1">
            <w:pPr>
              <w:pStyle w:val="Tabletext"/>
              <w:ind w:left="57" w:right="57"/>
              <w:contextualSpacing/>
              <w:jc w:val="right"/>
              <w:rPr>
                <w:i/>
              </w:rPr>
            </w:pPr>
            <w:r w:rsidRPr="001C0164">
              <w:rPr>
                <w:i/>
              </w:rPr>
              <w:t>Aspar</w:t>
            </w:r>
            <w:r>
              <w:rPr>
                <w:i/>
              </w:rPr>
              <w:t>tate transaminase (</w:t>
            </w:r>
            <w:r w:rsidR="00B51ED1" w:rsidRPr="008802DD">
              <w:rPr>
                <w:i/>
              </w:rPr>
              <w:t>AST</w:t>
            </w:r>
            <w:r>
              <w:rPr>
                <w:i/>
              </w:rPr>
              <w:t>)</w:t>
            </w:r>
            <w:r w:rsidR="00B51ED1" w:rsidRPr="008802DD">
              <w:rPr>
                <w:i/>
              </w:rPr>
              <w:t xml:space="preserve"> increase</w:t>
            </w:r>
          </w:p>
        </w:tc>
        <w:tc>
          <w:tcPr>
            <w:tcW w:w="1450" w:type="dxa"/>
          </w:tcPr>
          <w:p w14:paraId="055C7B63" w14:textId="77777777" w:rsidR="00B51ED1" w:rsidRPr="008802DD" w:rsidRDefault="00B51ED1" w:rsidP="00B51ED1">
            <w:pPr>
              <w:pStyle w:val="Tabletext"/>
              <w:ind w:left="57" w:right="57"/>
              <w:contextualSpacing/>
              <w:jc w:val="right"/>
              <w:rPr>
                <w:i/>
              </w:rPr>
            </w:pPr>
            <w:r>
              <w:rPr>
                <w:i/>
              </w:rPr>
              <w:t>22</w:t>
            </w:r>
          </w:p>
        </w:tc>
        <w:tc>
          <w:tcPr>
            <w:tcW w:w="1450" w:type="dxa"/>
          </w:tcPr>
          <w:p w14:paraId="47F63FEF" w14:textId="77777777" w:rsidR="00B51ED1" w:rsidRPr="008802DD" w:rsidRDefault="00B51ED1" w:rsidP="00B51ED1">
            <w:pPr>
              <w:pStyle w:val="Tabletext"/>
              <w:ind w:left="57" w:right="57"/>
              <w:contextualSpacing/>
              <w:jc w:val="right"/>
              <w:rPr>
                <w:i/>
              </w:rPr>
            </w:pPr>
            <w:r>
              <w:rPr>
                <w:i/>
              </w:rPr>
              <w:t>4.7</w:t>
            </w:r>
          </w:p>
        </w:tc>
        <w:tc>
          <w:tcPr>
            <w:tcW w:w="1450" w:type="dxa"/>
          </w:tcPr>
          <w:p w14:paraId="4CFF8BCA" w14:textId="77777777" w:rsidR="00B51ED1" w:rsidRPr="008802DD" w:rsidRDefault="00B51ED1" w:rsidP="00B51ED1">
            <w:pPr>
              <w:pStyle w:val="Tabletext"/>
              <w:ind w:left="57" w:right="57"/>
              <w:contextualSpacing/>
              <w:jc w:val="right"/>
              <w:rPr>
                <w:i/>
              </w:rPr>
            </w:pPr>
            <w:r>
              <w:rPr>
                <w:i/>
              </w:rPr>
              <w:t>12</w:t>
            </w:r>
          </w:p>
        </w:tc>
        <w:tc>
          <w:tcPr>
            <w:tcW w:w="1450" w:type="dxa"/>
          </w:tcPr>
          <w:p w14:paraId="02A2A7AB" w14:textId="77777777" w:rsidR="00B51ED1" w:rsidRPr="008802DD" w:rsidRDefault="00B51ED1" w:rsidP="00B51ED1">
            <w:pPr>
              <w:pStyle w:val="Tabletext"/>
              <w:ind w:left="57" w:right="57"/>
              <w:contextualSpacing/>
              <w:jc w:val="right"/>
              <w:rPr>
                <w:i/>
              </w:rPr>
            </w:pPr>
            <w:r>
              <w:rPr>
                <w:i/>
              </w:rPr>
              <w:t>0.5</w:t>
            </w:r>
          </w:p>
        </w:tc>
      </w:tr>
      <w:tr w:rsidR="00B51ED1" w:rsidRPr="00BF19C5" w14:paraId="623421AC" w14:textId="77777777" w:rsidTr="00B51ED1">
        <w:tc>
          <w:tcPr>
            <w:tcW w:w="2684" w:type="dxa"/>
          </w:tcPr>
          <w:p w14:paraId="6681FADA" w14:textId="77777777" w:rsidR="00B51ED1" w:rsidRPr="008802DD" w:rsidRDefault="001C0164" w:rsidP="00B51ED1">
            <w:pPr>
              <w:pStyle w:val="Tabletext"/>
              <w:ind w:left="57" w:right="57"/>
              <w:contextualSpacing/>
              <w:jc w:val="right"/>
              <w:rPr>
                <w:i/>
              </w:rPr>
            </w:pPr>
            <w:r>
              <w:rPr>
                <w:i/>
              </w:rPr>
              <w:t>Alanine aminotransferase (</w:t>
            </w:r>
            <w:r w:rsidR="00B51ED1" w:rsidRPr="008802DD">
              <w:rPr>
                <w:i/>
              </w:rPr>
              <w:t>ALT</w:t>
            </w:r>
            <w:r>
              <w:rPr>
                <w:i/>
              </w:rPr>
              <w:t>)</w:t>
            </w:r>
            <w:r w:rsidR="00B51ED1" w:rsidRPr="008802DD">
              <w:rPr>
                <w:i/>
              </w:rPr>
              <w:t xml:space="preserve"> increase</w:t>
            </w:r>
          </w:p>
        </w:tc>
        <w:tc>
          <w:tcPr>
            <w:tcW w:w="1450" w:type="dxa"/>
          </w:tcPr>
          <w:p w14:paraId="23816B44" w14:textId="77777777" w:rsidR="00B51ED1" w:rsidRPr="008802DD" w:rsidRDefault="00B51ED1" w:rsidP="00B51ED1">
            <w:pPr>
              <w:pStyle w:val="Tabletext"/>
              <w:ind w:left="57" w:right="57"/>
              <w:contextualSpacing/>
              <w:jc w:val="right"/>
              <w:rPr>
                <w:i/>
              </w:rPr>
            </w:pPr>
            <w:r>
              <w:rPr>
                <w:i/>
              </w:rPr>
              <w:t>21</w:t>
            </w:r>
          </w:p>
        </w:tc>
        <w:tc>
          <w:tcPr>
            <w:tcW w:w="1450" w:type="dxa"/>
          </w:tcPr>
          <w:p w14:paraId="36FCE306" w14:textId="77777777" w:rsidR="00B51ED1" w:rsidRPr="008802DD" w:rsidRDefault="00B51ED1" w:rsidP="00B51ED1">
            <w:pPr>
              <w:pStyle w:val="Tabletext"/>
              <w:ind w:left="57" w:right="57"/>
              <w:contextualSpacing/>
              <w:jc w:val="right"/>
              <w:rPr>
                <w:i/>
              </w:rPr>
            </w:pPr>
            <w:r>
              <w:rPr>
                <w:i/>
              </w:rPr>
              <w:t>6</w:t>
            </w:r>
          </w:p>
        </w:tc>
        <w:tc>
          <w:tcPr>
            <w:tcW w:w="1450" w:type="dxa"/>
          </w:tcPr>
          <w:p w14:paraId="1E9E366C" w14:textId="77777777" w:rsidR="00B51ED1" w:rsidRPr="008802DD" w:rsidRDefault="00B51ED1" w:rsidP="00B51ED1">
            <w:pPr>
              <w:pStyle w:val="Tabletext"/>
              <w:ind w:left="57" w:right="57"/>
              <w:contextualSpacing/>
              <w:jc w:val="right"/>
              <w:rPr>
                <w:i/>
              </w:rPr>
            </w:pPr>
            <w:r>
              <w:rPr>
                <w:i/>
              </w:rPr>
              <w:t>7</w:t>
            </w:r>
          </w:p>
        </w:tc>
        <w:tc>
          <w:tcPr>
            <w:tcW w:w="1450" w:type="dxa"/>
          </w:tcPr>
          <w:p w14:paraId="369A8D86" w14:textId="77777777" w:rsidR="00B51ED1" w:rsidRPr="008802DD" w:rsidRDefault="00B51ED1" w:rsidP="00B51ED1">
            <w:pPr>
              <w:pStyle w:val="Tabletext"/>
              <w:ind w:left="57" w:right="57"/>
              <w:contextualSpacing/>
              <w:jc w:val="right"/>
              <w:rPr>
                <w:i/>
              </w:rPr>
            </w:pPr>
            <w:r>
              <w:rPr>
                <w:i/>
              </w:rPr>
              <w:t>0.5</w:t>
            </w:r>
          </w:p>
        </w:tc>
      </w:tr>
      <w:tr w:rsidR="00B51ED1" w:rsidRPr="00BF19C5" w14:paraId="035A3C1F" w14:textId="77777777" w:rsidTr="00B51ED1">
        <w:tc>
          <w:tcPr>
            <w:tcW w:w="2684" w:type="dxa"/>
          </w:tcPr>
          <w:p w14:paraId="04FCB514" w14:textId="77777777" w:rsidR="00B51ED1" w:rsidRPr="0095170A" w:rsidRDefault="00B51ED1" w:rsidP="00B51ED1">
            <w:pPr>
              <w:pStyle w:val="Tabletext"/>
              <w:ind w:left="57" w:right="57"/>
              <w:contextualSpacing/>
            </w:pPr>
            <w:r>
              <w:t>D</w:t>
            </w:r>
            <w:r w:rsidRPr="0095170A">
              <w:t>iarrhoea</w:t>
            </w:r>
          </w:p>
        </w:tc>
        <w:tc>
          <w:tcPr>
            <w:tcW w:w="1450" w:type="dxa"/>
          </w:tcPr>
          <w:p w14:paraId="6DBB81D3" w14:textId="77777777" w:rsidR="00B51ED1" w:rsidRPr="0095170A" w:rsidRDefault="00B51ED1" w:rsidP="00B51ED1">
            <w:pPr>
              <w:pStyle w:val="Tabletext"/>
              <w:ind w:left="57" w:right="57"/>
              <w:contextualSpacing/>
              <w:jc w:val="center"/>
            </w:pPr>
            <w:r>
              <w:t>81</w:t>
            </w:r>
          </w:p>
        </w:tc>
        <w:tc>
          <w:tcPr>
            <w:tcW w:w="1450" w:type="dxa"/>
          </w:tcPr>
          <w:p w14:paraId="4D707962" w14:textId="77777777" w:rsidR="00B51ED1" w:rsidRPr="0095170A" w:rsidRDefault="00B51ED1" w:rsidP="00B51ED1">
            <w:pPr>
              <w:pStyle w:val="Tabletext"/>
              <w:ind w:left="57" w:right="57"/>
              <w:contextualSpacing/>
              <w:jc w:val="center"/>
            </w:pPr>
            <w:r>
              <w:t>13</w:t>
            </w:r>
          </w:p>
        </w:tc>
        <w:tc>
          <w:tcPr>
            <w:tcW w:w="1450" w:type="dxa"/>
          </w:tcPr>
          <w:p w14:paraId="6EED76A5" w14:textId="77777777" w:rsidR="00B51ED1" w:rsidRPr="0095170A" w:rsidRDefault="00B51ED1" w:rsidP="00B51ED1">
            <w:pPr>
              <w:pStyle w:val="Tabletext"/>
              <w:ind w:left="57" w:right="57"/>
              <w:contextualSpacing/>
              <w:jc w:val="center"/>
            </w:pPr>
            <w:r>
              <w:t>53</w:t>
            </w:r>
          </w:p>
        </w:tc>
        <w:tc>
          <w:tcPr>
            <w:tcW w:w="1450" w:type="dxa"/>
          </w:tcPr>
          <w:p w14:paraId="26ED942D" w14:textId="77777777" w:rsidR="00B51ED1" w:rsidRPr="0095170A" w:rsidRDefault="00B51ED1" w:rsidP="00B51ED1">
            <w:pPr>
              <w:pStyle w:val="Tabletext"/>
              <w:ind w:left="57" w:right="57"/>
              <w:contextualSpacing/>
              <w:jc w:val="center"/>
            </w:pPr>
            <w:r>
              <w:t>9</w:t>
            </w:r>
          </w:p>
        </w:tc>
      </w:tr>
      <w:tr w:rsidR="00B51ED1" w:rsidRPr="00BF19C5" w14:paraId="48CBC6D3" w14:textId="77777777" w:rsidTr="00B51ED1">
        <w:tc>
          <w:tcPr>
            <w:tcW w:w="2684" w:type="dxa"/>
          </w:tcPr>
          <w:p w14:paraId="37C12676" w14:textId="77777777" w:rsidR="00B51ED1" w:rsidRPr="0095170A" w:rsidRDefault="00B51ED1" w:rsidP="00B51ED1">
            <w:pPr>
              <w:pStyle w:val="Tabletext"/>
              <w:ind w:left="57" w:right="57"/>
              <w:contextualSpacing/>
            </w:pPr>
            <w:r>
              <w:t>L</w:t>
            </w:r>
            <w:r w:rsidRPr="0095170A">
              <w:t>eft ventricular dysfunction</w:t>
            </w:r>
          </w:p>
        </w:tc>
        <w:tc>
          <w:tcPr>
            <w:tcW w:w="1450" w:type="dxa"/>
          </w:tcPr>
          <w:p w14:paraId="07ED555C" w14:textId="77777777" w:rsidR="00B51ED1" w:rsidRPr="0095170A" w:rsidRDefault="00B51ED1" w:rsidP="00B51ED1">
            <w:pPr>
              <w:pStyle w:val="Tabletext"/>
              <w:ind w:left="57" w:right="57"/>
              <w:contextualSpacing/>
              <w:jc w:val="center"/>
            </w:pPr>
            <w:r>
              <w:t>2.2</w:t>
            </w:r>
          </w:p>
        </w:tc>
        <w:tc>
          <w:tcPr>
            <w:tcW w:w="1450" w:type="dxa"/>
          </w:tcPr>
          <w:p w14:paraId="36F071C1" w14:textId="77777777" w:rsidR="00B51ED1" w:rsidRPr="0095170A" w:rsidRDefault="00B51ED1" w:rsidP="00B51ED1">
            <w:pPr>
              <w:pStyle w:val="Tabletext"/>
              <w:ind w:left="57" w:right="57"/>
              <w:contextualSpacing/>
              <w:jc w:val="center"/>
            </w:pPr>
            <w:r>
              <w:t>0.7</w:t>
            </w:r>
          </w:p>
        </w:tc>
        <w:tc>
          <w:tcPr>
            <w:tcW w:w="1450" w:type="dxa"/>
          </w:tcPr>
          <w:p w14:paraId="4148CFF5" w14:textId="77777777" w:rsidR="00B51ED1" w:rsidRPr="0095170A" w:rsidRDefault="00B51ED1" w:rsidP="00B51ED1">
            <w:pPr>
              <w:pStyle w:val="Tabletext"/>
              <w:ind w:left="57" w:right="57"/>
              <w:contextualSpacing/>
              <w:jc w:val="center"/>
            </w:pPr>
            <w:r>
              <w:t>2.5</w:t>
            </w:r>
          </w:p>
        </w:tc>
        <w:tc>
          <w:tcPr>
            <w:tcW w:w="1450" w:type="dxa"/>
          </w:tcPr>
          <w:p w14:paraId="215EB17D" w14:textId="77777777" w:rsidR="00B51ED1" w:rsidRPr="0095170A" w:rsidRDefault="00B51ED1" w:rsidP="00B51ED1">
            <w:pPr>
              <w:pStyle w:val="Tabletext"/>
              <w:ind w:left="57" w:right="57"/>
              <w:contextualSpacing/>
              <w:jc w:val="center"/>
            </w:pPr>
            <w:r>
              <w:t>0.5</w:t>
            </w:r>
          </w:p>
        </w:tc>
      </w:tr>
      <w:tr w:rsidR="00B51ED1" w:rsidRPr="00BF19C5" w14:paraId="032567F8" w14:textId="77777777" w:rsidTr="00B51ED1">
        <w:tc>
          <w:tcPr>
            <w:tcW w:w="2684" w:type="dxa"/>
          </w:tcPr>
          <w:p w14:paraId="4C977241" w14:textId="77777777" w:rsidR="00B51ED1" w:rsidRPr="0095170A" w:rsidRDefault="00B51ED1" w:rsidP="00B51ED1">
            <w:pPr>
              <w:pStyle w:val="Tabletext"/>
              <w:ind w:left="57" w:right="57"/>
              <w:contextualSpacing/>
            </w:pPr>
            <w:r>
              <w:t>C</w:t>
            </w:r>
            <w:r w:rsidRPr="0095170A">
              <w:t>erebral oedema</w:t>
            </w:r>
          </w:p>
        </w:tc>
        <w:tc>
          <w:tcPr>
            <w:tcW w:w="1450" w:type="dxa"/>
          </w:tcPr>
          <w:p w14:paraId="69070D24" w14:textId="77777777" w:rsidR="00B51ED1" w:rsidRPr="0095170A" w:rsidRDefault="00B51ED1" w:rsidP="00B51ED1">
            <w:pPr>
              <w:pStyle w:val="Tabletext"/>
              <w:ind w:left="57" w:right="57"/>
              <w:contextualSpacing/>
              <w:jc w:val="center"/>
            </w:pPr>
            <w:r w:rsidRPr="0095170A">
              <w:t>0</w:t>
            </w:r>
          </w:p>
        </w:tc>
        <w:tc>
          <w:tcPr>
            <w:tcW w:w="1450" w:type="dxa"/>
          </w:tcPr>
          <w:p w14:paraId="4E8FFCA3" w14:textId="77777777" w:rsidR="00B51ED1" w:rsidRPr="0095170A" w:rsidRDefault="00B51ED1" w:rsidP="00B51ED1">
            <w:pPr>
              <w:pStyle w:val="Tabletext"/>
              <w:ind w:left="57" w:right="57"/>
              <w:contextualSpacing/>
              <w:jc w:val="center"/>
            </w:pPr>
            <w:r w:rsidRPr="0095170A">
              <w:t>0</w:t>
            </w:r>
          </w:p>
        </w:tc>
        <w:tc>
          <w:tcPr>
            <w:tcW w:w="1450" w:type="dxa"/>
          </w:tcPr>
          <w:p w14:paraId="04DBDBE6" w14:textId="77777777" w:rsidR="00B51ED1" w:rsidRPr="0095170A" w:rsidRDefault="00B51ED1" w:rsidP="00B51ED1">
            <w:pPr>
              <w:pStyle w:val="Tabletext"/>
              <w:ind w:left="57" w:right="57"/>
              <w:contextualSpacing/>
              <w:jc w:val="center"/>
            </w:pPr>
            <w:r w:rsidRPr="0095170A">
              <w:t>2</w:t>
            </w:r>
          </w:p>
        </w:tc>
        <w:tc>
          <w:tcPr>
            <w:tcW w:w="1450" w:type="dxa"/>
          </w:tcPr>
          <w:p w14:paraId="018FC280" w14:textId="77777777" w:rsidR="00B51ED1" w:rsidRPr="0095170A" w:rsidRDefault="00B51ED1" w:rsidP="00B51ED1">
            <w:pPr>
              <w:pStyle w:val="Tabletext"/>
              <w:ind w:left="57" w:right="57"/>
              <w:contextualSpacing/>
              <w:jc w:val="center"/>
              <w:rPr>
                <w:highlight w:val="yellow"/>
              </w:rPr>
            </w:pPr>
            <w:r w:rsidRPr="0095170A">
              <w:t>-</w:t>
            </w:r>
          </w:p>
        </w:tc>
      </w:tr>
      <w:tr w:rsidR="00B51ED1" w:rsidRPr="00E10472" w14:paraId="09A1595F" w14:textId="77777777" w:rsidTr="00B51ED1">
        <w:tc>
          <w:tcPr>
            <w:tcW w:w="2684" w:type="dxa"/>
          </w:tcPr>
          <w:p w14:paraId="4D1242CD" w14:textId="77777777" w:rsidR="00B51ED1" w:rsidRPr="0095170A" w:rsidRDefault="00B51ED1" w:rsidP="00B51ED1">
            <w:pPr>
              <w:pStyle w:val="Tabletext"/>
              <w:ind w:left="57" w:right="57"/>
              <w:contextualSpacing/>
            </w:pPr>
            <w:r>
              <w:t>I</w:t>
            </w:r>
            <w:r w:rsidRPr="0095170A">
              <w:t>ncreased serum creatinine</w:t>
            </w:r>
          </w:p>
        </w:tc>
        <w:tc>
          <w:tcPr>
            <w:tcW w:w="1450" w:type="dxa"/>
          </w:tcPr>
          <w:p w14:paraId="5099902B" w14:textId="77777777" w:rsidR="00B51ED1" w:rsidRPr="0095170A" w:rsidRDefault="00B51ED1" w:rsidP="00B51ED1">
            <w:pPr>
              <w:pStyle w:val="Tabletext"/>
              <w:ind w:left="57" w:right="57"/>
              <w:contextualSpacing/>
              <w:jc w:val="center"/>
            </w:pPr>
            <w:r>
              <w:t>14</w:t>
            </w:r>
          </w:p>
        </w:tc>
        <w:tc>
          <w:tcPr>
            <w:tcW w:w="1450" w:type="dxa"/>
          </w:tcPr>
          <w:p w14:paraId="2E3C9D1C" w14:textId="77777777" w:rsidR="00B51ED1" w:rsidRPr="0095170A" w:rsidRDefault="00B51ED1" w:rsidP="00B51ED1">
            <w:pPr>
              <w:pStyle w:val="Tabletext"/>
              <w:ind w:left="57" w:right="57"/>
              <w:contextualSpacing/>
              <w:jc w:val="center"/>
            </w:pPr>
            <w:r w:rsidRPr="0095170A">
              <w:t>0</w:t>
            </w:r>
          </w:p>
        </w:tc>
        <w:tc>
          <w:tcPr>
            <w:tcW w:w="1450" w:type="dxa"/>
          </w:tcPr>
          <w:p w14:paraId="66640CB1" w14:textId="77777777" w:rsidR="00B51ED1" w:rsidRPr="0095170A" w:rsidRDefault="00B51ED1" w:rsidP="00B51ED1">
            <w:pPr>
              <w:pStyle w:val="Tabletext"/>
              <w:ind w:left="57" w:right="57"/>
              <w:contextualSpacing/>
              <w:jc w:val="center"/>
            </w:pPr>
            <w:r>
              <w:t>1.5</w:t>
            </w:r>
          </w:p>
        </w:tc>
        <w:tc>
          <w:tcPr>
            <w:tcW w:w="1450" w:type="dxa"/>
          </w:tcPr>
          <w:p w14:paraId="2747D41E" w14:textId="77777777" w:rsidR="00B51ED1" w:rsidRPr="0095170A" w:rsidRDefault="00B51ED1" w:rsidP="00B51ED1">
            <w:pPr>
              <w:pStyle w:val="Tabletext"/>
              <w:ind w:left="57" w:right="57"/>
              <w:contextualSpacing/>
              <w:jc w:val="center"/>
            </w:pPr>
            <w:r w:rsidRPr="0095170A">
              <w:t>0</w:t>
            </w:r>
          </w:p>
        </w:tc>
      </w:tr>
    </w:tbl>
    <w:p w14:paraId="0DEE3628" w14:textId="78AC445A" w:rsidR="001C0164" w:rsidRDefault="001C0164" w:rsidP="00C83861">
      <w:pPr>
        <w:pStyle w:val="TableDescription"/>
      </w:pPr>
      <w:r>
        <w:t>Source: FDA Multi-Discipline Review.</w:t>
      </w:r>
      <w:r>
        <w:fldChar w:fldCharType="begin"/>
      </w:r>
      <w:r>
        <w:instrText xml:space="preserve"> NOTEREF _Ref64226828 \f \h </w:instrText>
      </w:r>
      <w:r>
        <w:fldChar w:fldCharType="separate"/>
      </w:r>
      <w:r w:rsidR="00F979FB" w:rsidRPr="00F979FB">
        <w:rPr>
          <w:rStyle w:val="FootnoteReference"/>
        </w:rPr>
        <w:t>10</w:t>
      </w:r>
      <w:r>
        <w:fldChar w:fldCharType="end"/>
      </w:r>
    </w:p>
    <w:p w14:paraId="06A04931" w14:textId="77777777" w:rsidR="00B51ED1" w:rsidRPr="00C83861" w:rsidRDefault="00B51ED1" w:rsidP="00C83861">
      <w:pPr>
        <w:pStyle w:val="TableDescription"/>
      </w:pPr>
      <w:r w:rsidRPr="00C83861">
        <w:t>1</w:t>
      </w:r>
      <w:r w:rsidR="003262C1">
        <w:t>:</w:t>
      </w:r>
      <w:r w:rsidRPr="00C83861">
        <w:t xml:space="preserve"> Grouped MedDRA Preferred Terms: </w:t>
      </w:r>
      <w:proofErr w:type="spellStart"/>
      <w:r w:rsidRPr="00C83861">
        <w:t>hyperbilirubinaemia</w:t>
      </w:r>
      <w:proofErr w:type="spellEnd"/>
      <w:r w:rsidRPr="00C83861">
        <w:t>, blood bilirubin increased, bilirubin conjugated increased, alanine aminotransferase increased, transaminases increased, hepatotoxicity, aspartate aminotransferase increased, liver function test increased, liver injury, and hepatocellular injury.</w:t>
      </w:r>
    </w:p>
    <w:p w14:paraId="4E249A2B" w14:textId="77777777" w:rsidR="00B51ED1" w:rsidRPr="00FC05AC" w:rsidRDefault="00B51ED1" w:rsidP="00B51ED1">
      <w:pPr>
        <w:pStyle w:val="Heading6"/>
      </w:pPr>
      <w:r w:rsidRPr="00FC05AC">
        <w:t>Hepatotoxicity</w:t>
      </w:r>
    </w:p>
    <w:p w14:paraId="6D3B3464" w14:textId="77777777" w:rsidR="00B51ED1" w:rsidRDefault="00B51ED1" w:rsidP="00B51ED1">
      <w:r>
        <w:t xml:space="preserve">A detailed review of potential for hepatotoxicity was conducted by the FDA, with consultation of experts in the Division of Gastroenterology and </w:t>
      </w:r>
      <w:r w:rsidR="00A33D6C">
        <w:t>Inborn Errors Products (DGIEP).</w:t>
      </w:r>
    </w:p>
    <w:p w14:paraId="1355D931" w14:textId="4F461C6A" w:rsidR="00B51ED1" w:rsidRDefault="00B51ED1" w:rsidP="00B51ED1">
      <w:r>
        <w:t>The rate of all-grade and high-grade hepatotoxicity events was higher in the tucatinib arm than the placebo arm (</w:t>
      </w:r>
      <w:r w:rsidR="001C0164">
        <w:t xml:space="preserve">see </w:t>
      </w:r>
      <w:r>
        <w:fldChar w:fldCharType="begin"/>
      </w:r>
      <w:r>
        <w:instrText xml:space="preserve"> REF _Ref43897299 \h </w:instrText>
      </w:r>
      <w:r>
        <w:fldChar w:fldCharType="separate"/>
      </w:r>
      <w:r w:rsidR="00F979FB" w:rsidRPr="006F356B">
        <w:t xml:space="preserve">Table </w:t>
      </w:r>
      <w:r w:rsidR="00F979FB">
        <w:rPr>
          <w:noProof/>
        </w:rPr>
        <w:t>20</w:t>
      </w:r>
      <w:r>
        <w:fldChar w:fldCharType="end"/>
      </w:r>
      <w:r w:rsidR="001C0164">
        <w:t>, above</w:t>
      </w:r>
      <w:r>
        <w:t>). Dose interruptions and reductions due to hepatotoxicity also occurred in higher percentages of the t</w:t>
      </w:r>
      <w:r w:rsidR="001C0164">
        <w:t>ucatinib than placebo arm (18</w:t>
      </w:r>
      <w:r w:rsidR="007912D9">
        <w:t> </w:t>
      </w:r>
      <w:r w:rsidR="001C0164">
        <w:t>versus 9</w:t>
      </w:r>
      <w:r w:rsidR="007912D9">
        <w:t>%</w:t>
      </w:r>
      <w:r w:rsidR="001C0164">
        <w:t xml:space="preserve"> and 8 versus</w:t>
      </w:r>
      <w:r>
        <w:t xml:space="preserve"> 2.5</w:t>
      </w:r>
      <w:r w:rsidR="007912D9">
        <w:t>%</w:t>
      </w:r>
      <w:r>
        <w:t>, respectively), but rates of disco</w:t>
      </w:r>
      <w:r w:rsidR="001C0164">
        <w:t>ntinuations were similar (1.5 versus</w:t>
      </w:r>
      <w:r>
        <w:t xml:space="preserve"> 1%, respectively).</w:t>
      </w:r>
    </w:p>
    <w:p w14:paraId="5F79DFD3" w14:textId="7DC499F4" w:rsidR="00B51ED1" w:rsidRDefault="00B51ED1" w:rsidP="00B51ED1">
      <w:r>
        <w:t>In addition to reported events, laboratory abnormalities w</w:t>
      </w:r>
      <w:r w:rsidR="006526DD">
        <w:t>ere reviewed for potential Hy’s </w:t>
      </w:r>
      <w:r>
        <w:t>Law cases. Nine cases met initial criteria (</w:t>
      </w:r>
      <w:r w:rsidRPr="00E67EE1">
        <w:t xml:space="preserve">ALT and/or AST increase &gt; 3 x </w:t>
      </w:r>
      <w:r w:rsidR="001C0164">
        <w:t>the upper limit of normal (</w:t>
      </w:r>
      <w:r w:rsidRPr="00E67EE1">
        <w:t>ULN</w:t>
      </w:r>
      <w:r w:rsidR="001C0164">
        <w:t>)</w:t>
      </w:r>
      <w:r w:rsidRPr="00E67EE1">
        <w:t xml:space="preserve"> with concurrent tot</w:t>
      </w:r>
      <w:r>
        <w:t>al bilirubin increase &gt; 2 x ULN).</w:t>
      </w:r>
    </w:p>
    <w:p w14:paraId="618C963D" w14:textId="1CCB9446" w:rsidR="00B51ED1" w:rsidRDefault="00B51ED1" w:rsidP="00B51ED1">
      <w:r>
        <w:t xml:space="preserve">Case descriptions for each of the potential Hy’s Law cases and the three patients in the tucatinib arm who discontinued due to hepatotoxicity can be found starting on page 195 </w:t>
      </w:r>
      <w:r w:rsidR="001C0164">
        <w:t>of the Multi-Discipline Review.</w:t>
      </w:r>
      <w:r w:rsidR="001C0164">
        <w:fldChar w:fldCharType="begin"/>
      </w:r>
      <w:r w:rsidR="001C0164">
        <w:instrText xml:space="preserve"> NOTEREF _Ref64226828 \f \h </w:instrText>
      </w:r>
      <w:r w:rsidR="001C0164">
        <w:fldChar w:fldCharType="separate"/>
      </w:r>
      <w:r w:rsidR="00F979FB" w:rsidRPr="00F979FB">
        <w:rPr>
          <w:rStyle w:val="FootnoteReference"/>
        </w:rPr>
        <w:t>10</w:t>
      </w:r>
      <w:r w:rsidR="001C0164">
        <w:fldChar w:fldCharType="end"/>
      </w:r>
    </w:p>
    <w:p w14:paraId="696C9446" w14:textId="3AE7F6A6" w:rsidR="00B51ED1" w:rsidRDefault="00B51ED1" w:rsidP="00B51ED1">
      <w:r>
        <w:t>The conclusions drawn by the FDA specialist review were:</w:t>
      </w:r>
      <w:r w:rsidR="001C0164">
        <w:fldChar w:fldCharType="begin"/>
      </w:r>
      <w:r w:rsidR="001C0164">
        <w:instrText xml:space="preserve"> NOTEREF _Ref64226828 \f \h </w:instrText>
      </w:r>
      <w:r w:rsidR="001C0164">
        <w:fldChar w:fldCharType="separate"/>
      </w:r>
      <w:r w:rsidR="00F979FB" w:rsidRPr="00F979FB">
        <w:rPr>
          <w:rStyle w:val="FootnoteReference"/>
        </w:rPr>
        <w:t>10</w:t>
      </w:r>
      <w:r w:rsidR="001C0164">
        <w:fldChar w:fldCharType="end"/>
      </w:r>
    </w:p>
    <w:p w14:paraId="058133C6" w14:textId="77777777" w:rsidR="00B51ED1" w:rsidRDefault="007F2AE5" w:rsidP="007F2AE5">
      <w:pPr>
        <w:ind w:left="720"/>
      </w:pPr>
      <w:r>
        <w:t>‘</w:t>
      </w:r>
      <w:r w:rsidR="00B51ED1">
        <w:t>…</w:t>
      </w:r>
      <w:r w:rsidR="00B51ED1" w:rsidRPr="00FC05AC">
        <w:t>evaluation of tucatinib- associated</w:t>
      </w:r>
      <w:r w:rsidR="00B51ED1">
        <w:t xml:space="preserve"> </w:t>
      </w:r>
      <w:r w:rsidR="00B51ED1" w:rsidRPr="00FC05AC">
        <w:t>DILI</w:t>
      </w:r>
      <w:r w:rsidR="001C0164">
        <w:t>;</w:t>
      </w:r>
      <w:r w:rsidR="001C0164">
        <w:rPr>
          <w:rStyle w:val="FootnoteReference"/>
        </w:rPr>
        <w:footnoteReference w:id="16"/>
      </w:r>
      <w:r w:rsidR="00B51ED1" w:rsidRPr="00FC05AC">
        <w:t xml:space="preserve"> in HER2CLIMB is challenging for several reasons. All patients who received tucatinib were</w:t>
      </w:r>
      <w:r w:rsidR="00B51ED1">
        <w:t xml:space="preserve"> </w:t>
      </w:r>
      <w:r w:rsidR="00B51ED1" w:rsidRPr="00FC05AC">
        <w:t>also receiving capecitabine which is associated with an increase in total bilirubin and can also</w:t>
      </w:r>
      <w:r w:rsidR="00B51ED1">
        <w:t xml:space="preserve"> </w:t>
      </w:r>
      <w:r w:rsidR="00B51ED1" w:rsidRPr="00FC05AC">
        <w:t>be associated with transaminase elevation. In many of the cases reviewed, tucatinib and</w:t>
      </w:r>
      <w:r w:rsidR="00B51ED1">
        <w:t xml:space="preserve"> </w:t>
      </w:r>
      <w:r w:rsidR="00B51ED1" w:rsidRPr="00FC05AC">
        <w:t>capecitabine were held at the same time, so attribution of hepatotoxicity to one drug or the</w:t>
      </w:r>
      <w:r w:rsidR="00B51ED1">
        <w:t xml:space="preserve"> </w:t>
      </w:r>
      <w:r w:rsidR="00B51ED1" w:rsidRPr="00FC05AC">
        <w:t>other is difficult. Additionally, many patients had metastatic disease to the liver, elsewhere in</w:t>
      </w:r>
      <w:r w:rsidR="00B51ED1">
        <w:t xml:space="preserve"> </w:t>
      </w:r>
      <w:r w:rsidR="00B51ED1" w:rsidRPr="00FC05AC">
        <w:t>the abdominal cavity, and/or bone which further complicated adjudication of hepatotoxicity.</w:t>
      </w:r>
    </w:p>
    <w:p w14:paraId="48ABED73" w14:textId="77777777" w:rsidR="00B51ED1" w:rsidRDefault="00B51ED1" w:rsidP="007F2AE5">
      <w:pPr>
        <w:ind w:left="720"/>
      </w:pPr>
      <w:r w:rsidRPr="00FC05AC">
        <w:t>Tucatinib is a possible cause of DILI, and based on the data available, is associated with a mild</w:t>
      </w:r>
      <w:r>
        <w:t xml:space="preserve"> </w:t>
      </w:r>
      <w:r w:rsidRPr="00FC05AC">
        <w:t>to modest rise in transaminases. This rise decreases with drug withdrawal, and patients were</w:t>
      </w:r>
      <w:r>
        <w:t xml:space="preserve"> </w:t>
      </w:r>
      <w:r w:rsidRPr="00FC05AC">
        <w:t>able to tolerate a reduced dose. The information available, including the case summary</w:t>
      </w:r>
      <w:r>
        <w:t xml:space="preserve"> </w:t>
      </w:r>
      <w:r w:rsidRPr="00FC05AC">
        <w:t>detailed by the applicant, does not point to a Hy’s law signal associated with tucatinib, but</w:t>
      </w:r>
      <w:r>
        <w:t xml:space="preserve"> </w:t>
      </w:r>
      <w:r w:rsidRPr="00FC05AC">
        <w:t>based on the confounders listed and the relatively small tucatinib safety database, the</w:t>
      </w:r>
      <w:r>
        <w:t xml:space="preserve"> </w:t>
      </w:r>
      <w:r w:rsidRPr="00FC05AC">
        <w:t>possibility cannot be entirely excluded.</w:t>
      </w:r>
    </w:p>
    <w:p w14:paraId="06C1294D" w14:textId="77777777" w:rsidR="00B51ED1" w:rsidRDefault="00B51ED1" w:rsidP="007F2AE5">
      <w:pPr>
        <w:ind w:left="720"/>
      </w:pPr>
      <w:r w:rsidRPr="00FC05AC">
        <w:t>There were no cases of hepatotoxicity leading to liver failure or death in HER2CLIMB.</w:t>
      </w:r>
      <w:r w:rsidR="007F2AE5">
        <w:t>’</w:t>
      </w:r>
    </w:p>
    <w:p w14:paraId="3B5A1E41" w14:textId="77777777" w:rsidR="00B51ED1" w:rsidRDefault="00B51ED1" w:rsidP="00B51ED1">
      <w:pPr>
        <w:pStyle w:val="Heading6"/>
      </w:pPr>
      <w:r w:rsidRPr="00E54CC8">
        <w:t>Diarrhoea</w:t>
      </w:r>
    </w:p>
    <w:p w14:paraId="0B476EB2" w14:textId="77777777" w:rsidR="00B51ED1" w:rsidRDefault="00B51ED1" w:rsidP="00B51ED1">
      <w:r>
        <w:t>Capecitabine and trastuzumab are both associated with diarrhoea as an adverse event. However, the incidence of all-grade and higher grade diarrhoea events was higher in the tucatinib arm compared to placebo, although the rate of permanent discontinuations was similar. The median time to diarrhoea onset was shorter in the tucatinib arm (12 days versus 22 days), but extent and rate of resolution were similar.</w:t>
      </w:r>
    </w:p>
    <w:p w14:paraId="4E6E564A" w14:textId="77777777" w:rsidR="00B51ED1" w:rsidRDefault="00B51ED1" w:rsidP="00B51ED1">
      <w:r>
        <w:t>As descr</w:t>
      </w:r>
      <w:r w:rsidR="001C0164">
        <w:t>ibed under ‘</w:t>
      </w:r>
      <w:r w:rsidR="001C0164" w:rsidRPr="001C0164">
        <w:rPr>
          <w:i/>
        </w:rPr>
        <w:t>Deaths</w:t>
      </w:r>
      <w:r w:rsidR="001C0164">
        <w:t>’ section, above</w:t>
      </w:r>
      <w:r>
        <w:t>, there w</w:t>
      </w:r>
      <w:r w:rsidR="001C0164">
        <w:t>ere two deaths associated with G</w:t>
      </w:r>
      <w:r>
        <w:t xml:space="preserve">rade 4 events of diarrhoea (one due to dehydration and the other due to multi-organ dysfunction syndrome). In both cases, diarrhoea was ongoing at the time of death and there was </w:t>
      </w:r>
      <w:r w:rsidR="007F2AE5">
        <w:t>concurrent suspected infection.</w:t>
      </w:r>
    </w:p>
    <w:p w14:paraId="79F1347D" w14:textId="77777777" w:rsidR="00B51ED1" w:rsidRDefault="00B51ED1" w:rsidP="00B51ED1">
      <w:pPr>
        <w:pStyle w:val="Heading6"/>
      </w:pPr>
      <w:r>
        <w:t>Left ventricular dysfunction</w:t>
      </w:r>
    </w:p>
    <w:p w14:paraId="357796EC" w14:textId="77777777" w:rsidR="00B51ED1" w:rsidRPr="00A85732" w:rsidRDefault="00B51ED1" w:rsidP="00B51ED1">
      <w:r>
        <w:t xml:space="preserve">HER2-directed therapies have the potential to cause cardiotoxicity. Left ventricular systolic dysfunction leading to dose modification or discontinuation was considered an AESI in </w:t>
      </w:r>
      <w:r w:rsidR="001C0164">
        <w:t xml:space="preserve">the </w:t>
      </w:r>
      <w:r>
        <w:t>HER2CLIMB</w:t>
      </w:r>
      <w:r w:rsidR="001C0164">
        <w:t xml:space="preserve"> trial</w:t>
      </w:r>
      <w:r>
        <w:t xml:space="preserve">, based on mechanism of action and increased risk of cardiac dysfunction in this population due to previous treatment with known </w:t>
      </w:r>
      <w:proofErr w:type="spellStart"/>
      <w:r>
        <w:t>cardiotoxic</w:t>
      </w:r>
      <w:proofErr w:type="spellEnd"/>
      <w:r>
        <w:t xml:space="preserve"> therapies. However, the rates of events and discontinuations in HER2C</w:t>
      </w:r>
      <w:r w:rsidR="001C0164">
        <w:t>LIMB were similar between arms.</w:t>
      </w:r>
    </w:p>
    <w:p w14:paraId="47E5AAC9" w14:textId="77777777" w:rsidR="00B51ED1" w:rsidRDefault="00B51ED1" w:rsidP="00B51ED1">
      <w:pPr>
        <w:pStyle w:val="Heading6"/>
      </w:pPr>
      <w:r>
        <w:t>Cerebral oedema</w:t>
      </w:r>
    </w:p>
    <w:p w14:paraId="50D5ACB2" w14:textId="54459D57" w:rsidR="00B51ED1" w:rsidRDefault="00B51ED1" w:rsidP="00B51ED1">
      <w:r>
        <w:t>An index case of cerebral oedema occurred in an early phase study of tucatinib (</w:t>
      </w:r>
      <w:r w:rsidR="001C0164">
        <w:t>Study </w:t>
      </w:r>
      <w:r>
        <w:t>ONT-380-005). The patient had known brain metastases and cerebral oedema was discovered in an area surrounding a known metastasis in the thalamus. Imaging findings were consistent with cytotoxic oedema in myelinated fibr</w:t>
      </w:r>
      <w:r w:rsidR="007912D9">
        <w:t>e</w:t>
      </w:r>
      <w:r>
        <w:t>s identified as associated with capeci</w:t>
      </w:r>
      <w:r w:rsidR="001C0164">
        <w:t>tabine in published literature.</w:t>
      </w:r>
    </w:p>
    <w:p w14:paraId="304F140A" w14:textId="77777777" w:rsidR="00B51ED1" w:rsidRPr="00A85732" w:rsidRDefault="00B51ED1" w:rsidP="00B51ED1">
      <w:r>
        <w:t xml:space="preserve">In </w:t>
      </w:r>
      <w:r w:rsidR="001C0164">
        <w:t xml:space="preserve">the </w:t>
      </w:r>
      <w:r>
        <w:t>HER2CLIMB</w:t>
      </w:r>
      <w:r w:rsidR="001C0164">
        <w:t xml:space="preserve"> trial, two</w:t>
      </w:r>
      <w:r>
        <w:t xml:space="preserve"> cases of cerebral oedema occurred, both in the placebo arm. This event does not appear to be associated with tucatinib from the available data.</w:t>
      </w:r>
    </w:p>
    <w:p w14:paraId="64C08245" w14:textId="77777777" w:rsidR="00B51ED1" w:rsidRPr="00755943" w:rsidRDefault="00B51ED1" w:rsidP="00B51ED1">
      <w:pPr>
        <w:pStyle w:val="Heading6"/>
        <w:rPr>
          <w:highlight w:val="yellow"/>
        </w:rPr>
      </w:pPr>
      <w:r>
        <w:t>Increased serum creatinine</w:t>
      </w:r>
    </w:p>
    <w:p w14:paraId="48528B93" w14:textId="77777777" w:rsidR="00B51ED1" w:rsidRDefault="00B51ED1" w:rsidP="00C83861">
      <w:r>
        <w:t>Low grade events of creatinine increase occurred in 14% of tucatinib-treated and 1.5% of placebo</w:t>
      </w:r>
      <w:r w:rsidR="003B200E">
        <w:t>-treated patients in the HER2CLIMB trial.</w:t>
      </w:r>
    </w:p>
    <w:p w14:paraId="21C15F92" w14:textId="77777777" w:rsidR="00B51ED1" w:rsidRDefault="00B51ED1" w:rsidP="00C83861">
      <w:r>
        <w:t>Based on the following data, serum creatinine increase appears to be attributable to tucatinib inhibition of OCT2 and MATE1-related tubular secretion, rather than impaired renal function:</w:t>
      </w:r>
    </w:p>
    <w:p w14:paraId="127C1D5D" w14:textId="77777777" w:rsidR="00B51ED1" w:rsidRDefault="00B51ED1" w:rsidP="00C83861">
      <w:pPr>
        <w:pStyle w:val="ListBullet"/>
      </w:pPr>
      <w:r>
        <w:t xml:space="preserve">On average, serum creatinine increased around 30% in the first cycle of tucatinib treatment. The elevations then stabilised and persisted throughout treatment, and resolved </w:t>
      </w:r>
      <w:r w:rsidR="003B200E">
        <w:t>upon treatment discontinuation.</w:t>
      </w:r>
    </w:p>
    <w:p w14:paraId="3E7F2A8A" w14:textId="77777777" w:rsidR="00B51ED1" w:rsidRDefault="00B51ED1" w:rsidP="00C83861">
      <w:pPr>
        <w:pStyle w:val="ListBullet"/>
      </w:pPr>
      <w:r>
        <w:t>The majority of TEAEs of creatinine increase in the tucatinib arm of HER2CLIMB were Grade 1, and no subjects discontinue</w:t>
      </w:r>
      <w:r w:rsidR="003B200E">
        <w:t>d treatment due to such events.</w:t>
      </w:r>
    </w:p>
    <w:p w14:paraId="2F8FBAFD" w14:textId="77777777" w:rsidR="00B51ED1" w:rsidRDefault="00B51ED1" w:rsidP="003B200E">
      <w:pPr>
        <w:pStyle w:val="ListBullet"/>
      </w:pPr>
      <w:r>
        <w:t xml:space="preserve">Acute kidney injury and renal failure TEAEs were infrequent with similar incidence between treatment arms. </w:t>
      </w:r>
      <w:r w:rsidR="003B200E">
        <w:t>B</w:t>
      </w:r>
      <w:r w:rsidR="003B200E" w:rsidRPr="003B200E">
        <w:t>lood urea nitrogen</w:t>
      </w:r>
      <w:r>
        <w:t xml:space="preserve"> values remained stable throughout tucatinib treatment.</w:t>
      </w:r>
    </w:p>
    <w:p w14:paraId="380540FF" w14:textId="77777777" w:rsidR="00B51ED1" w:rsidRDefault="00B51ED1" w:rsidP="00C83861">
      <w:pPr>
        <w:pStyle w:val="ListBullet"/>
      </w:pPr>
      <w:r>
        <w:t>I</w:t>
      </w:r>
      <w:r w:rsidR="003B200E">
        <w:t>n S</w:t>
      </w:r>
      <w:r>
        <w:t>tudy SGNTUC-020, using metformin as a probe, tucatinib was demonstrated to be a weak inhibitor of MATE1/MATE2-K renal extrusion transporters. Other dedicated</w:t>
      </w:r>
      <w:r w:rsidR="003B200E">
        <w:t xml:space="preserve"> markers of renal function (for example</w:t>
      </w:r>
      <w:r>
        <w:t xml:space="preserve">, </w:t>
      </w:r>
      <w:proofErr w:type="spellStart"/>
      <w:r>
        <w:t>iohexol</w:t>
      </w:r>
      <w:proofErr w:type="spellEnd"/>
      <w:r>
        <w:t xml:space="preserve"> clearance) were unaffected during treatment.</w:t>
      </w:r>
    </w:p>
    <w:p w14:paraId="3C9B3C3F" w14:textId="77777777" w:rsidR="00B51ED1" w:rsidRDefault="00B51ED1" w:rsidP="00B51ED1">
      <w:pPr>
        <w:pStyle w:val="Heading6"/>
      </w:pPr>
      <w:r>
        <w:t>Palmar-pl</w:t>
      </w:r>
      <w:r w:rsidR="003B200E">
        <w:t xml:space="preserve">antar </w:t>
      </w:r>
      <w:proofErr w:type="spellStart"/>
      <w:r w:rsidR="003B200E">
        <w:t>erythrodysaesthesia</w:t>
      </w:r>
      <w:proofErr w:type="spellEnd"/>
      <w:r w:rsidR="003B200E">
        <w:t xml:space="preserve"> </w:t>
      </w:r>
      <w:r>
        <w:t>syndrome</w:t>
      </w:r>
    </w:p>
    <w:p w14:paraId="2A630CE9" w14:textId="77777777" w:rsidR="00B51ED1" w:rsidRPr="006E664A" w:rsidRDefault="00B51ED1" w:rsidP="003B200E">
      <w:r>
        <w:t>PPE or hand-and-foot syndrome is known to be associated with capecitabine therapy and wa</w:t>
      </w:r>
      <w:r w:rsidR="003B200E">
        <w:t xml:space="preserve">s not an AESI. </w:t>
      </w:r>
      <w:r>
        <w:t>However, when adjusted for exposure, the incidence of all grade and higher-grade (≥</w:t>
      </w:r>
      <w:r w:rsidR="003B200E">
        <w:t xml:space="preserve"> </w:t>
      </w:r>
      <w:r>
        <w:t>3) PPE syndrome was higher in the tucatinib ar</w:t>
      </w:r>
      <w:r w:rsidR="003B200E">
        <w:t xml:space="preserve">m versus the control arm (248 versus 206 and 21 versus </w:t>
      </w:r>
      <w:r>
        <w:t>19 per 100 person-years, respectively). Therefore</w:t>
      </w:r>
      <w:r w:rsidR="003B200E">
        <w:t>,</w:t>
      </w:r>
      <w:r>
        <w:t xml:space="preserve"> it is not possible to rule out that tucatinib may cause PPE or increase the propensity for capecitabine to do so.</w:t>
      </w:r>
    </w:p>
    <w:p w14:paraId="34F3202F" w14:textId="77777777" w:rsidR="00B51ED1" w:rsidRDefault="00B51ED1" w:rsidP="00B51ED1">
      <w:pPr>
        <w:pStyle w:val="Heading5"/>
      </w:pPr>
      <w:r>
        <w:t>Safety-related conclusions</w:t>
      </w:r>
    </w:p>
    <w:p w14:paraId="6E26873C" w14:textId="77777777" w:rsidR="00B51ED1" w:rsidRPr="00B51ED1" w:rsidRDefault="00B51ED1" w:rsidP="00C83861">
      <w:pPr>
        <w:rPr>
          <w:lang w:eastAsia="zh-TW"/>
        </w:rPr>
      </w:pPr>
      <w:r>
        <w:t xml:space="preserve">The safety profile of tucatinib as an add-on to therapy with capecitabine and trastuzumab </w:t>
      </w:r>
      <w:r w:rsidRPr="000B4B60">
        <w:t xml:space="preserve">in this second-line or later metastatic HER2-positive breast cancer population is notable for gastrointestinal and hepatic toxicities over and above those attributable to capecitabine or trastuzumab. </w:t>
      </w:r>
      <w:r w:rsidR="003B200E">
        <w:t>AEs</w:t>
      </w:r>
      <w:r>
        <w:t xml:space="preserve"> were common</w:t>
      </w:r>
      <w:r w:rsidR="003B200E">
        <w:t>,</w:t>
      </w:r>
      <w:r>
        <w:t xml:space="preserve"> but generally manageable with standard approaches. </w:t>
      </w:r>
      <w:r w:rsidRPr="000B4B60">
        <w:t>Two patients in the safety analysis population who received tucatinib died from the sequelae of severe diarrhoea and dehydration.</w:t>
      </w:r>
      <w:r>
        <w:t xml:space="preserve"> Diarrhoea and hepatotoxicity should be </w:t>
      </w:r>
      <w:r w:rsidR="003B200E">
        <w:t xml:space="preserve">in the </w:t>
      </w:r>
      <w:r>
        <w:t xml:space="preserve">Warnings/Precautions </w:t>
      </w:r>
      <w:r w:rsidR="003B200E">
        <w:t xml:space="preserve">section </w:t>
      </w:r>
      <w:r>
        <w:t>in the PI.</w:t>
      </w:r>
    </w:p>
    <w:p w14:paraId="571EF2AB" w14:textId="77777777" w:rsidR="008E7846" w:rsidRDefault="00386150" w:rsidP="007B6132">
      <w:pPr>
        <w:pStyle w:val="Heading3"/>
        <w:rPr>
          <w:lang w:eastAsia="en-AU"/>
        </w:rPr>
      </w:pPr>
      <w:bookmarkStart w:id="64" w:name="_Toc67579150"/>
      <w:r>
        <w:rPr>
          <w:lang w:eastAsia="en-AU"/>
        </w:rPr>
        <w:t>Risk m</w:t>
      </w:r>
      <w:r w:rsidR="008E7846">
        <w:rPr>
          <w:lang w:eastAsia="en-AU"/>
        </w:rPr>
        <w:t xml:space="preserve">anagement </w:t>
      </w:r>
      <w:r>
        <w:rPr>
          <w:lang w:eastAsia="en-AU"/>
        </w:rPr>
        <w:t>p</w:t>
      </w:r>
      <w:r w:rsidR="008E7846">
        <w:rPr>
          <w:lang w:eastAsia="en-AU"/>
        </w:rPr>
        <w:t>lan</w:t>
      </w:r>
      <w:bookmarkEnd w:id="41"/>
      <w:bookmarkEnd w:id="64"/>
    </w:p>
    <w:p w14:paraId="59507D49" w14:textId="21E82943" w:rsidR="007D53B6" w:rsidRDefault="00343DD3" w:rsidP="00343DD3">
      <w:r>
        <w:t>The sponsor</w:t>
      </w:r>
      <w:r w:rsidR="00370AC6" w:rsidRPr="00370AC6">
        <w:t xml:space="preserve"> has submitted EU-</w:t>
      </w:r>
      <w:r w:rsidR="003B200E">
        <w:t>risk management plan (</w:t>
      </w:r>
      <w:r w:rsidR="00370AC6" w:rsidRPr="00370AC6">
        <w:t>RMP</w:t>
      </w:r>
      <w:r w:rsidR="003B200E">
        <w:t>)</w:t>
      </w:r>
      <w:r w:rsidR="00370AC6" w:rsidRPr="00370AC6">
        <w:t xml:space="preserve"> version 0.1 (date 20</w:t>
      </w:r>
      <w:r w:rsidR="007912D9">
        <w:t> </w:t>
      </w:r>
      <w:r w:rsidR="00370AC6" w:rsidRPr="00370AC6">
        <w:t xml:space="preserve">December 2019; </w:t>
      </w:r>
      <w:r w:rsidR="003B200E">
        <w:t>data lock point (</w:t>
      </w:r>
      <w:r w:rsidR="00370AC6" w:rsidRPr="00370AC6">
        <w:t>DLP</w:t>
      </w:r>
      <w:r w:rsidR="003B200E">
        <w:t>)</w:t>
      </w:r>
      <w:r w:rsidR="00370AC6" w:rsidRPr="00370AC6">
        <w:t xml:space="preserve"> 4 September 2019) and </w:t>
      </w:r>
      <w:r w:rsidR="003B200E">
        <w:t xml:space="preserve">Australian specific </w:t>
      </w:r>
      <w:r w:rsidR="007912D9">
        <w:t>A</w:t>
      </w:r>
      <w:r w:rsidR="003B200E">
        <w:t>nnex (</w:t>
      </w:r>
      <w:r w:rsidR="00370AC6" w:rsidRPr="00370AC6">
        <w:t>ASA</w:t>
      </w:r>
      <w:r w:rsidR="003B200E">
        <w:t>)</w:t>
      </w:r>
      <w:r w:rsidR="00370AC6" w:rsidRPr="00370AC6">
        <w:t xml:space="preserve"> version 0.1 (date January 2020) i</w:t>
      </w:r>
      <w:r>
        <w:t xml:space="preserve">n support of this application. </w:t>
      </w:r>
      <w:r w:rsidR="00370AC6" w:rsidRPr="00370AC6">
        <w:t>With the responses to rolling questions sent on 12 May 2020, the sponsor provided an updated ASA version 0.2 (date May 2020).</w:t>
      </w:r>
    </w:p>
    <w:p w14:paraId="7FE33A53" w14:textId="2C374CBC" w:rsidR="007D53B6" w:rsidRDefault="007D53B6" w:rsidP="007D53B6">
      <w:r>
        <w:t>The summary of safety concerns and their associated risk monitoring and mitigation strat</w:t>
      </w:r>
      <w:r w:rsidR="00C83861">
        <w:t xml:space="preserve">egies are summarised in </w:t>
      </w:r>
      <w:r w:rsidR="00C83861">
        <w:fldChar w:fldCharType="begin"/>
      </w:r>
      <w:r w:rsidR="00C83861">
        <w:instrText xml:space="preserve"> REF _Ref63621802 \h </w:instrText>
      </w:r>
      <w:r w:rsidR="00C83861">
        <w:fldChar w:fldCharType="separate"/>
      </w:r>
      <w:r w:rsidR="00F979FB">
        <w:t xml:space="preserve">Table </w:t>
      </w:r>
      <w:r w:rsidR="00F979FB">
        <w:rPr>
          <w:noProof/>
        </w:rPr>
        <w:t>21</w:t>
      </w:r>
      <w:r w:rsidR="00C83861">
        <w:fldChar w:fldCharType="end"/>
      </w:r>
      <w:r>
        <w:t>.</w:t>
      </w:r>
      <w:r>
        <w:rPr>
          <w:rStyle w:val="FootnoteReference"/>
        </w:rPr>
        <w:footnoteReference w:id="17"/>
      </w:r>
    </w:p>
    <w:p w14:paraId="4B417611" w14:textId="70A0491D" w:rsidR="00C83861" w:rsidRPr="0027577C" w:rsidRDefault="00C83861" w:rsidP="00C83861">
      <w:pPr>
        <w:pStyle w:val="TableTitle"/>
      </w:pPr>
      <w:bookmarkStart w:id="65" w:name="_Ref63621802"/>
      <w:r>
        <w:t xml:space="preserve">Table </w:t>
      </w:r>
      <w:fldSimple w:instr=" SEQ Table \* ARABIC ">
        <w:r w:rsidR="00F979FB">
          <w:rPr>
            <w:noProof/>
          </w:rPr>
          <w:t>21</w:t>
        </w:r>
      </w:fldSimple>
      <w:bookmarkEnd w:id="65"/>
      <w:r>
        <w:t>: Summary of safety concerns</w:t>
      </w:r>
    </w:p>
    <w:tbl>
      <w:tblPr>
        <w:tblStyle w:val="TableTGAblue"/>
        <w:tblW w:w="5000" w:type="pct"/>
        <w:tblLook w:val="04A0" w:firstRow="1" w:lastRow="0" w:firstColumn="1" w:lastColumn="0" w:noHBand="0" w:noVBand="1"/>
      </w:tblPr>
      <w:tblGrid>
        <w:gridCol w:w="1691"/>
        <w:gridCol w:w="2527"/>
        <w:gridCol w:w="945"/>
        <w:gridCol w:w="1188"/>
        <w:gridCol w:w="945"/>
        <w:gridCol w:w="1188"/>
      </w:tblGrid>
      <w:tr w:rsidR="00370AC6" w:rsidRPr="007F2AE5" w14:paraId="3164AFAE" w14:textId="77777777" w:rsidTr="002C210B">
        <w:trPr>
          <w:cnfStyle w:val="100000000000" w:firstRow="1" w:lastRow="0" w:firstColumn="0" w:lastColumn="0" w:oddVBand="0" w:evenVBand="0" w:oddHBand="0" w:evenHBand="0" w:firstRowFirstColumn="0" w:firstRowLastColumn="0" w:lastRowFirstColumn="0" w:lastRowLastColumn="0"/>
          <w:trHeight w:val="131"/>
        </w:trPr>
        <w:tc>
          <w:tcPr>
            <w:tcW w:w="2486" w:type="pct"/>
            <w:gridSpan w:val="2"/>
            <w:vMerge w:val="restart"/>
          </w:tcPr>
          <w:p w14:paraId="295B4404" w14:textId="77777777" w:rsidR="00370AC6" w:rsidRPr="007F2AE5" w:rsidRDefault="00370AC6" w:rsidP="00174507">
            <w:pPr>
              <w:pStyle w:val="Tabletext"/>
              <w:ind w:left="0" w:right="0"/>
              <w:rPr>
                <w:sz w:val="20"/>
                <w:szCs w:val="20"/>
              </w:rPr>
            </w:pPr>
            <w:r w:rsidRPr="007F2AE5">
              <w:rPr>
                <w:sz w:val="20"/>
                <w:szCs w:val="20"/>
              </w:rPr>
              <w:t>Summary of safety concerns</w:t>
            </w:r>
          </w:p>
        </w:tc>
        <w:tc>
          <w:tcPr>
            <w:tcW w:w="1257" w:type="pct"/>
            <w:gridSpan w:val="2"/>
          </w:tcPr>
          <w:p w14:paraId="2D4D1F20" w14:textId="77777777" w:rsidR="00370AC6" w:rsidRPr="007F2AE5" w:rsidRDefault="00370AC6" w:rsidP="00174507">
            <w:pPr>
              <w:pStyle w:val="Tabletext"/>
              <w:ind w:left="0" w:right="0"/>
              <w:rPr>
                <w:sz w:val="20"/>
                <w:szCs w:val="20"/>
              </w:rPr>
            </w:pPr>
            <w:r w:rsidRPr="007F2AE5">
              <w:rPr>
                <w:sz w:val="20"/>
                <w:szCs w:val="20"/>
              </w:rPr>
              <w:t>Pharmacovigilance</w:t>
            </w:r>
          </w:p>
        </w:tc>
        <w:tc>
          <w:tcPr>
            <w:tcW w:w="1257" w:type="pct"/>
            <w:gridSpan w:val="2"/>
          </w:tcPr>
          <w:p w14:paraId="02AFE805" w14:textId="77777777" w:rsidR="00370AC6" w:rsidRPr="007F2AE5" w:rsidRDefault="00343DD3" w:rsidP="00174507">
            <w:pPr>
              <w:pStyle w:val="Tabletext"/>
              <w:ind w:left="0" w:right="0"/>
              <w:rPr>
                <w:sz w:val="20"/>
                <w:szCs w:val="20"/>
              </w:rPr>
            </w:pPr>
            <w:r w:rsidRPr="007F2AE5">
              <w:rPr>
                <w:sz w:val="20"/>
                <w:szCs w:val="20"/>
              </w:rPr>
              <w:t>Risk m</w:t>
            </w:r>
            <w:r w:rsidR="00370AC6" w:rsidRPr="007F2AE5">
              <w:rPr>
                <w:sz w:val="20"/>
                <w:szCs w:val="20"/>
              </w:rPr>
              <w:t>inimisation</w:t>
            </w:r>
          </w:p>
        </w:tc>
      </w:tr>
      <w:tr w:rsidR="00370AC6" w:rsidRPr="007F2AE5" w14:paraId="47B1EB01" w14:textId="77777777" w:rsidTr="002C210B">
        <w:trPr>
          <w:trHeight w:val="150"/>
        </w:trPr>
        <w:tc>
          <w:tcPr>
            <w:tcW w:w="2486" w:type="pct"/>
            <w:gridSpan w:val="2"/>
            <w:vMerge/>
          </w:tcPr>
          <w:p w14:paraId="7EB471F6" w14:textId="77777777" w:rsidR="00370AC6" w:rsidRPr="007F2AE5" w:rsidRDefault="00370AC6" w:rsidP="00174507">
            <w:pPr>
              <w:pStyle w:val="Tabletext"/>
              <w:ind w:left="0" w:right="0"/>
              <w:rPr>
                <w:b/>
                <w:color w:val="FFFFFF" w:themeColor="background1"/>
                <w:sz w:val="20"/>
                <w:szCs w:val="20"/>
              </w:rPr>
            </w:pPr>
          </w:p>
        </w:tc>
        <w:tc>
          <w:tcPr>
            <w:tcW w:w="557" w:type="pct"/>
            <w:shd w:val="clear" w:color="auto" w:fill="006DA7"/>
          </w:tcPr>
          <w:p w14:paraId="6B84F3B5" w14:textId="77777777" w:rsidR="00370AC6" w:rsidRPr="007F2AE5" w:rsidRDefault="00370AC6" w:rsidP="00174507">
            <w:pPr>
              <w:pStyle w:val="Tabletext"/>
              <w:ind w:left="0" w:right="0"/>
              <w:rPr>
                <w:b/>
                <w:color w:val="FFFFFF" w:themeColor="background1"/>
                <w:sz w:val="20"/>
                <w:szCs w:val="20"/>
              </w:rPr>
            </w:pPr>
            <w:r w:rsidRPr="007F2AE5">
              <w:rPr>
                <w:b/>
                <w:color w:val="FFFFFF" w:themeColor="background1"/>
                <w:sz w:val="20"/>
                <w:szCs w:val="20"/>
              </w:rPr>
              <w:t>Routine</w:t>
            </w:r>
          </w:p>
        </w:tc>
        <w:tc>
          <w:tcPr>
            <w:tcW w:w="700" w:type="pct"/>
            <w:shd w:val="clear" w:color="auto" w:fill="006DA7"/>
          </w:tcPr>
          <w:p w14:paraId="66866502" w14:textId="77777777" w:rsidR="00370AC6" w:rsidRPr="007F2AE5" w:rsidRDefault="00370AC6" w:rsidP="00174507">
            <w:pPr>
              <w:pStyle w:val="Tabletext"/>
              <w:ind w:left="0" w:right="0"/>
              <w:rPr>
                <w:b/>
                <w:color w:val="FFFFFF" w:themeColor="background1"/>
                <w:sz w:val="20"/>
                <w:szCs w:val="20"/>
              </w:rPr>
            </w:pPr>
            <w:r w:rsidRPr="007F2AE5">
              <w:rPr>
                <w:b/>
                <w:color w:val="FFFFFF" w:themeColor="background1"/>
                <w:sz w:val="20"/>
                <w:szCs w:val="20"/>
              </w:rPr>
              <w:t>Additional</w:t>
            </w:r>
          </w:p>
        </w:tc>
        <w:tc>
          <w:tcPr>
            <w:tcW w:w="557" w:type="pct"/>
            <w:shd w:val="clear" w:color="auto" w:fill="006DA7"/>
          </w:tcPr>
          <w:p w14:paraId="4CDDDA1D" w14:textId="77777777" w:rsidR="00370AC6" w:rsidRPr="007F2AE5" w:rsidRDefault="00370AC6" w:rsidP="00174507">
            <w:pPr>
              <w:pStyle w:val="Tabletext"/>
              <w:ind w:left="0" w:right="0"/>
              <w:rPr>
                <w:b/>
                <w:color w:val="FFFFFF" w:themeColor="background1"/>
                <w:sz w:val="20"/>
                <w:szCs w:val="20"/>
              </w:rPr>
            </w:pPr>
            <w:r w:rsidRPr="007F2AE5">
              <w:rPr>
                <w:b/>
                <w:color w:val="FFFFFF" w:themeColor="background1"/>
                <w:sz w:val="20"/>
                <w:szCs w:val="20"/>
              </w:rPr>
              <w:t>Routine</w:t>
            </w:r>
          </w:p>
        </w:tc>
        <w:tc>
          <w:tcPr>
            <w:tcW w:w="700" w:type="pct"/>
            <w:shd w:val="clear" w:color="auto" w:fill="006DA7"/>
          </w:tcPr>
          <w:p w14:paraId="760562F3" w14:textId="77777777" w:rsidR="00370AC6" w:rsidRPr="007F2AE5" w:rsidRDefault="00370AC6" w:rsidP="00174507">
            <w:pPr>
              <w:pStyle w:val="Tabletext"/>
              <w:ind w:left="0" w:right="0"/>
              <w:rPr>
                <w:b/>
                <w:color w:val="FFFFFF" w:themeColor="background1"/>
                <w:sz w:val="20"/>
                <w:szCs w:val="20"/>
              </w:rPr>
            </w:pPr>
            <w:r w:rsidRPr="007F2AE5">
              <w:rPr>
                <w:b/>
                <w:color w:val="FFFFFF" w:themeColor="background1"/>
                <w:sz w:val="20"/>
                <w:szCs w:val="20"/>
              </w:rPr>
              <w:t>Additional</w:t>
            </w:r>
          </w:p>
        </w:tc>
      </w:tr>
      <w:tr w:rsidR="00370AC6" w:rsidRPr="007F2AE5" w14:paraId="65AF96CB" w14:textId="77777777" w:rsidTr="002C210B">
        <w:trPr>
          <w:trHeight w:val="281"/>
        </w:trPr>
        <w:tc>
          <w:tcPr>
            <w:tcW w:w="997" w:type="pct"/>
          </w:tcPr>
          <w:p w14:paraId="0F916068" w14:textId="77777777" w:rsidR="00370AC6" w:rsidRPr="007F2AE5" w:rsidRDefault="00370AC6" w:rsidP="00174507">
            <w:pPr>
              <w:pStyle w:val="Tabletext"/>
              <w:ind w:left="0" w:right="0"/>
              <w:rPr>
                <w:b/>
                <w:sz w:val="20"/>
                <w:szCs w:val="20"/>
              </w:rPr>
            </w:pPr>
            <w:r w:rsidRPr="007F2AE5">
              <w:rPr>
                <w:b/>
                <w:sz w:val="20"/>
                <w:szCs w:val="20"/>
              </w:rPr>
              <w:t>Important identified risks</w:t>
            </w:r>
          </w:p>
        </w:tc>
        <w:tc>
          <w:tcPr>
            <w:tcW w:w="1489" w:type="pct"/>
          </w:tcPr>
          <w:p w14:paraId="572C1D7E" w14:textId="77777777" w:rsidR="00370AC6" w:rsidRPr="007F2AE5" w:rsidRDefault="00370AC6" w:rsidP="00174507">
            <w:pPr>
              <w:pStyle w:val="Tabletext"/>
              <w:ind w:left="0" w:right="0"/>
              <w:rPr>
                <w:sz w:val="20"/>
                <w:szCs w:val="20"/>
              </w:rPr>
            </w:pPr>
            <w:r w:rsidRPr="007F2AE5">
              <w:rPr>
                <w:sz w:val="20"/>
                <w:szCs w:val="20"/>
              </w:rPr>
              <w:t>None</w:t>
            </w:r>
          </w:p>
        </w:tc>
        <w:tc>
          <w:tcPr>
            <w:tcW w:w="557" w:type="pct"/>
          </w:tcPr>
          <w:p w14:paraId="52744EF4" w14:textId="77777777" w:rsidR="00370AC6" w:rsidRPr="007F2AE5" w:rsidRDefault="00370AC6" w:rsidP="00174507">
            <w:pPr>
              <w:pStyle w:val="Tabletext"/>
              <w:ind w:left="0" w:right="0"/>
              <w:jc w:val="center"/>
              <w:rPr>
                <w:sz w:val="20"/>
                <w:szCs w:val="20"/>
              </w:rPr>
            </w:pPr>
            <w:r w:rsidRPr="007F2AE5">
              <w:rPr>
                <w:sz w:val="20"/>
                <w:szCs w:val="20"/>
              </w:rPr>
              <w:t>–</w:t>
            </w:r>
          </w:p>
        </w:tc>
        <w:tc>
          <w:tcPr>
            <w:tcW w:w="700" w:type="pct"/>
          </w:tcPr>
          <w:p w14:paraId="5305BADC" w14:textId="77777777" w:rsidR="00370AC6" w:rsidRPr="007F2AE5" w:rsidRDefault="00370AC6" w:rsidP="00174507">
            <w:pPr>
              <w:pStyle w:val="Tabletext"/>
              <w:ind w:left="0" w:right="0"/>
              <w:jc w:val="center"/>
              <w:rPr>
                <w:sz w:val="20"/>
                <w:szCs w:val="20"/>
              </w:rPr>
            </w:pPr>
            <w:r w:rsidRPr="007F2AE5">
              <w:rPr>
                <w:sz w:val="20"/>
                <w:szCs w:val="20"/>
              </w:rPr>
              <w:t>–</w:t>
            </w:r>
          </w:p>
        </w:tc>
        <w:tc>
          <w:tcPr>
            <w:tcW w:w="557" w:type="pct"/>
          </w:tcPr>
          <w:p w14:paraId="1DDE6A0F" w14:textId="77777777" w:rsidR="00370AC6" w:rsidRPr="007F2AE5" w:rsidRDefault="00370AC6" w:rsidP="00174507">
            <w:pPr>
              <w:pStyle w:val="Tabletext"/>
              <w:ind w:left="0" w:right="0"/>
              <w:jc w:val="center"/>
              <w:rPr>
                <w:sz w:val="20"/>
                <w:szCs w:val="20"/>
              </w:rPr>
            </w:pPr>
            <w:r w:rsidRPr="007F2AE5">
              <w:rPr>
                <w:sz w:val="20"/>
                <w:szCs w:val="20"/>
              </w:rPr>
              <w:t>–</w:t>
            </w:r>
          </w:p>
        </w:tc>
        <w:tc>
          <w:tcPr>
            <w:tcW w:w="700" w:type="pct"/>
          </w:tcPr>
          <w:p w14:paraId="789776A5" w14:textId="77777777" w:rsidR="00370AC6" w:rsidRPr="007F2AE5" w:rsidRDefault="00370AC6" w:rsidP="00174507">
            <w:pPr>
              <w:pStyle w:val="Tabletext"/>
              <w:ind w:left="0" w:right="0"/>
              <w:jc w:val="center"/>
              <w:rPr>
                <w:sz w:val="20"/>
                <w:szCs w:val="20"/>
              </w:rPr>
            </w:pPr>
            <w:r w:rsidRPr="007F2AE5">
              <w:rPr>
                <w:sz w:val="20"/>
                <w:szCs w:val="20"/>
              </w:rPr>
              <w:t>–</w:t>
            </w:r>
          </w:p>
        </w:tc>
      </w:tr>
      <w:tr w:rsidR="00370AC6" w:rsidRPr="007F2AE5" w14:paraId="14C5AAFC" w14:textId="77777777" w:rsidTr="002C210B">
        <w:trPr>
          <w:trHeight w:val="268"/>
        </w:trPr>
        <w:tc>
          <w:tcPr>
            <w:tcW w:w="997" w:type="pct"/>
          </w:tcPr>
          <w:p w14:paraId="1C38D785" w14:textId="77777777" w:rsidR="00370AC6" w:rsidRPr="007F2AE5" w:rsidRDefault="00370AC6" w:rsidP="00174507">
            <w:pPr>
              <w:pStyle w:val="Tabletext"/>
              <w:ind w:left="0" w:right="0"/>
              <w:rPr>
                <w:b/>
                <w:sz w:val="20"/>
                <w:szCs w:val="20"/>
              </w:rPr>
            </w:pPr>
            <w:r w:rsidRPr="007F2AE5">
              <w:rPr>
                <w:b/>
                <w:sz w:val="20"/>
                <w:szCs w:val="20"/>
              </w:rPr>
              <w:t>Important potential risks</w:t>
            </w:r>
          </w:p>
        </w:tc>
        <w:tc>
          <w:tcPr>
            <w:tcW w:w="1489" w:type="pct"/>
          </w:tcPr>
          <w:p w14:paraId="4BB0C0C3" w14:textId="77777777" w:rsidR="00370AC6" w:rsidRPr="007F2AE5" w:rsidRDefault="00370AC6" w:rsidP="00174507">
            <w:pPr>
              <w:pStyle w:val="Tabletext"/>
              <w:ind w:left="0" w:right="0"/>
              <w:rPr>
                <w:sz w:val="20"/>
                <w:szCs w:val="20"/>
              </w:rPr>
            </w:pPr>
            <w:r w:rsidRPr="007F2AE5">
              <w:rPr>
                <w:sz w:val="20"/>
                <w:szCs w:val="20"/>
              </w:rPr>
              <w:t>None</w:t>
            </w:r>
          </w:p>
        </w:tc>
        <w:tc>
          <w:tcPr>
            <w:tcW w:w="557" w:type="pct"/>
          </w:tcPr>
          <w:p w14:paraId="56DFE290" w14:textId="77777777" w:rsidR="00370AC6" w:rsidRPr="007F2AE5" w:rsidRDefault="00370AC6" w:rsidP="00174507">
            <w:pPr>
              <w:pStyle w:val="Tabletext"/>
              <w:ind w:left="0" w:right="0"/>
              <w:jc w:val="center"/>
              <w:rPr>
                <w:sz w:val="20"/>
                <w:szCs w:val="20"/>
              </w:rPr>
            </w:pPr>
            <w:r w:rsidRPr="007F2AE5">
              <w:rPr>
                <w:sz w:val="20"/>
                <w:szCs w:val="20"/>
              </w:rPr>
              <w:t>–</w:t>
            </w:r>
          </w:p>
        </w:tc>
        <w:tc>
          <w:tcPr>
            <w:tcW w:w="700" w:type="pct"/>
          </w:tcPr>
          <w:p w14:paraId="66039377" w14:textId="77777777" w:rsidR="00370AC6" w:rsidRPr="007F2AE5" w:rsidRDefault="00370AC6" w:rsidP="00174507">
            <w:pPr>
              <w:pStyle w:val="Tabletext"/>
              <w:ind w:left="0" w:right="0"/>
              <w:jc w:val="center"/>
              <w:rPr>
                <w:sz w:val="20"/>
                <w:szCs w:val="20"/>
              </w:rPr>
            </w:pPr>
            <w:r w:rsidRPr="007F2AE5">
              <w:rPr>
                <w:sz w:val="20"/>
                <w:szCs w:val="20"/>
              </w:rPr>
              <w:t>–</w:t>
            </w:r>
          </w:p>
        </w:tc>
        <w:tc>
          <w:tcPr>
            <w:tcW w:w="557" w:type="pct"/>
          </w:tcPr>
          <w:p w14:paraId="323D1E50" w14:textId="77777777" w:rsidR="00370AC6" w:rsidRPr="007F2AE5" w:rsidRDefault="00370AC6" w:rsidP="00174507">
            <w:pPr>
              <w:pStyle w:val="Tabletext"/>
              <w:ind w:left="0" w:right="0"/>
              <w:jc w:val="center"/>
              <w:rPr>
                <w:sz w:val="20"/>
                <w:szCs w:val="20"/>
              </w:rPr>
            </w:pPr>
            <w:r w:rsidRPr="007F2AE5">
              <w:rPr>
                <w:sz w:val="20"/>
                <w:szCs w:val="20"/>
              </w:rPr>
              <w:t>–</w:t>
            </w:r>
          </w:p>
        </w:tc>
        <w:tc>
          <w:tcPr>
            <w:tcW w:w="700" w:type="pct"/>
          </w:tcPr>
          <w:p w14:paraId="6DC0B3FC" w14:textId="77777777" w:rsidR="00370AC6" w:rsidRPr="007F2AE5" w:rsidRDefault="00370AC6" w:rsidP="00174507">
            <w:pPr>
              <w:pStyle w:val="Tabletext"/>
              <w:ind w:left="0" w:right="0"/>
              <w:jc w:val="center"/>
              <w:rPr>
                <w:sz w:val="20"/>
                <w:szCs w:val="20"/>
              </w:rPr>
            </w:pPr>
            <w:r w:rsidRPr="007F2AE5">
              <w:rPr>
                <w:sz w:val="20"/>
                <w:szCs w:val="20"/>
              </w:rPr>
              <w:t>–</w:t>
            </w:r>
          </w:p>
        </w:tc>
      </w:tr>
      <w:tr w:rsidR="00370AC6" w:rsidRPr="007F2AE5" w14:paraId="6E1DF685" w14:textId="77777777" w:rsidTr="002C210B">
        <w:trPr>
          <w:trHeight w:val="178"/>
        </w:trPr>
        <w:tc>
          <w:tcPr>
            <w:tcW w:w="997" w:type="pct"/>
            <w:vMerge w:val="restart"/>
          </w:tcPr>
          <w:p w14:paraId="7E3D3054" w14:textId="77777777" w:rsidR="00370AC6" w:rsidRPr="007F2AE5" w:rsidRDefault="00370AC6" w:rsidP="00174507">
            <w:pPr>
              <w:pStyle w:val="Tabletext"/>
              <w:ind w:left="0" w:right="0"/>
              <w:rPr>
                <w:b/>
                <w:sz w:val="20"/>
                <w:szCs w:val="20"/>
              </w:rPr>
            </w:pPr>
            <w:r w:rsidRPr="007F2AE5">
              <w:rPr>
                <w:b/>
                <w:sz w:val="20"/>
                <w:szCs w:val="20"/>
              </w:rPr>
              <w:t>Missing information</w:t>
            </w:r>
          </w:p>
        </w:tc>
        <w:tc>
          <w:tcPr>
            <w:tcW w:w="1489" w:type="pct"/>
          </w:tcPr>
          <w:p w14:paraId="0C73FBDB" w14:textId="77777777" w:rsidR="00370AC6" w:rsidRPr="007F2AE5" w:rsidRDefault="00370AC6" w:rsidP="00174507">
            <w:pPr>
              <w:pStyle w:val="Tabletext"/>
              <w:ind w:left="0" w:right="0"/>
              <w:rPr>
                <w:sz w:val="20"/>
                <w:szCs w:val="20"/>
              </w:rPr>
            </w:pPr>
            <w:r w:rsidRPr="007F2AE5">
              <w:rPr>
                <w:sz w:val="20"/>
                <w:szCs w:val="20"/>
              </w:rPr>
              <w:t>Subjects previously treated with cumulative dose of doxorubicin &gt;</w:t>
            </w:r>
            <w:r w:rsidR="003B200E">
              <w:rPr>
                <w:sz w:val="20"/>
                <w:szCs w:val="20"/>
              </w:rPr>
              <w:t> </w:t>
            </w:r>
            <w:r w:rsidRPr="007F2AE5">
              <w:rPr>
                <w:sz w:val="20"/>
                <w:szCs w:val="20"/>
              </w:rPr>
              <w:t>360 mg/m</w:t>
            </w:r>
            <w:r w:rsidRPr="007F2AE5">
              <w:rPr>
                <w:sz w:val="20"/>
                <w:szCs w:val="20"/>
                <w:vertAlign w:val="superscript"/>
              </w:rPr>
              <w:t>2</w:t>
            </w:r>
            <w:r w:rsidRPr="007F2AE5">
              <w:rPr>
                <w:sz w:val="20"/>
                <w:szCs w:val="20"/>
              </w:rPr>
              <w:t xml:space="preserve"> or who have had a previous treatment with another </w:t>
            </w:r>
            <w:proofErr w:type="spellStart"/>
            <w:r w:rsidRPr="007F2AE5">
              <w:rPr>
                <w:sz w:val="20"/>
                <w:szCs w:val="20"/>
              </w:rPr>
              <w:t>anthracycline</w:t>
            </w:r>
            <w:proofErr w:type="spellEnd"/>
            <w:r w:rsidRPr="007F2AE5">
              <w:rPr>
                <w:sz w:val="20"/>
                <w:szCs w:val="20"/>
              </w:rPr>
              <w:t xml:space="preserve"> with cumulative dose approximately equivalent to &gt;</w:t>
            </w:r>
            <w:r w:rsidR="003B200E">
              <w:rPr>
                <w:sz w:val="20"/>
                <w:szCs w:val="20"/>
              </w:rPr>
              <w:t> </w:t>
            </w:r>
            <w:r w:rsidRPr="007F2AE5">
              <w:rPr>
                <w:sz w:val="20"/>
                <w:szCs w:val="20"/>
              </w:rPr>
              <w:t>360 mg/m</w:t>
            </w:r>
            <w:r w:rsidRPr="007F2AE5">
              <w:rPr>
                <w:sz w:val="20"/>
                <w:szCs w:val="20"/>
                <w:vertAlign w:val="superscript"/>
              </w:rPr>
              <w:t>2</w:t>
            </w:r>
            <w:r w:rsidRPr="007F2AE5">
              <w:rPr>
                <w:sz w:val="20"/>
                <w:szCs w:val="20"/>
              </w:rPr>
              <w:t xml:space="preserve"> doxorubicin</w:t>
            </w:r>
          </w:p>
        </w:tc>
        <w:tc>
          <w:tcPr>
            <w:tcW w:w="557" w:type="pct"/>
          </w:tcPr>
          <w:p w14:paraId="5891C56B" w14:textId="77777777" w:rsidR="00370AC6" w:rsidRPr="007F2AE5" w:rsidRDefault="00370AC6" w:rsidP="00174507">
            <w:pPr>
              <w:pStyle w:val="Tabletext"/>
              <w:ind w:left="0" w:right="0"/>
              <w:jc w:val="center"/>
              <w:rPr>
                <w:sz w:val="20"/>
                <w:szCs w:val="20"/>
              </w:rPr>
            </w:pPr>
            <w:r w:rsidRPr="007F2AE5">
              <w:rPr>
                <w:sz w:val="20"/>
                <w:szCs w:val="20"/>
              </w:rPr>
              <w:sym w:font="Wingdings" w:char="F0FC"/>
            </w:r>
            <w:r w:rsidRPr="007F2AE5">
              <w:rPr>
                <w:rFonts w:asciiTheme="majorHAnsi" w:hAnsiTheme="majorHAnsi"/>
                <w:sz w:val="20"/>
                <w:szCs w:val="20"/>
              </w:rPr>
              <w:t>*</w:t>
            </w:r>
          </w:p>
        </w:tc>
        <w:tc>
          <w:tcPr>
            <w:tcW w:w="700" w:type="pct"/>
          </w:tcPr>
          <w:p w14:paraId="6B4F70EF" w14:textId="77777777" w:rsidR="00370AC6" w:rsidRPr="007F2AE5" w:rsidRDefault="00370AC6" w:rsidP="00174507">
            <w:pPr>
              <w:pStyle w:val="Tabletext"/>
              <w:ind w:left="0" w:right="0"/>
              <w:jc w:val="center"/>
              <w:rPr>
                <w:sz w:val="20"/>
                <w:szCs w:val="20"/>
              </w:rPr>
            </w:pPr>
            <w:r w:rsidRPr="007F2AE5">
              <w:rPr>
                <w:sz w:val="20"/>
                <w:szCs w:val="20"/>
              </w:rPr>
              <w:t>–</w:t>
            </w:r>
          </w:p>
        </w:tc>
        <w:tc>
          <w:tcPr>
            <w:tcW w:w="557" w:type="pct"/>
          </w:tcPr>
          <w:p w14:paraId="61AC8393" w14:textId="77777777" w:rsidR="00370AC6" w:rsidRPr="007F2AE5" w:rsidRDefault="00370AC6" w:rsidP="00174507">
            <w:pPr>
              <w:pStyle w:val="Tabletext"/>
              <w:ind w:left="0" w:right="0"/>
              <w:jc w:val="center"/>
              <w:rPr>
                <w:sz w:val="20"/>
                <w:szCs w:val="20"/>
              </w:rPr>
            </w:pPr>
            <w:r w:rsidRPr="007F2AE5">
              <w:rPr>
                <w:sz w:val="20"/>
                <w:szCs w:val="20"/>
              </w:rPr>
              <w:t>–</w:t>
            </w:r>
          </w:p>
        </w:tc>
        <w:tc>
          <w:tcPr>
            <w:tcW w:w="700" w:type="pct"/>
          </w:tcPr>
          <w:p w14:paraId="324076E5" w14:textId="77777777" w:rsidR="00370AC6" w:rsidRPr="007F2AE5" w:rsidRDefault="00370AC6" w:rsidP="00174507">
            <w:pPr>
              <w:pStyle w:val="Tabletext"/>
              <w:ind w:left="0" w:right="0"/>
              <w:jc w:val="center"/>
              <w:rPr>
                <w:sz w:val="20"/>
                <w:szCs w:val="20"/>
              </w:rPr>
            </w:pPr>
            <w:r w:rsidRPr="007F2AE5">
              <w:rPr>
                <w:sz w:val="20"/>
                <w:szCs w:val="20"/>
              </w:rPr>
              <w:t>–</w:t>
            </w:r>
          </w:p>
        </w:tc>
      </w:tr>
      <w:tr w:rsidR="00370AC6" w:rsidRPr="007F2AE5" w14:paraId="560F6E5E" w14:textId="77777777" w:rsidTr="002C210B">
        <w:trPr>
          <w:trHeight w:val="1281"/>
        </w:trPr>
        <w:tc>
          <w:tcPr>
            <w:tcW w:w="997" w:type="pct"/>
            <w:vMerge/>
          </w:tcPr>
          <w:p w14:paraId="0E874986" w14:textId="77777777" w:rsidR="00370AC6" w:rsidRPr="007F2AE5" w:rsidRDefault="00370AC6" w:rsidP="00174507">
            <w:pPr>
              <w:pStyle w:val="Tabletext"/>
              <w:ind w:left="0" w:right="0"/>
              <w:rPr>
                <w:sz w:val="20"/>
                <w:szCs w:val="20"/>
              </w:rPr>
            </w:pPr>
          </w:p>
        </w:tc>
        <w:tc>
          <w:tcPr>
            <w:tcW w:w="1489" w:type="pct"/>
          </w:tcPr>
          <w:p w14:paraId="771C613C" w14:textId="77777777" w:rsidR="00370AC6" w:rsidRPr="007F2AE5" w:rsidRDefault="00370AC6" w:rsidP="00174507">
            <w:pPr>
              <w:pStyle w:val="Tabletext"/>
              <w:ind w:left="0" w:right="0"/>
              <w:rPr>
                <w:sz w:val="20"/>
                <w:szCs w:val="20"/>
              </w:rPr>
            </w:pPr>
            <w:r w:rsidRPr="007F2AE5">
              <w:rPr>
                <w:sz w:val="20"/>
                <w:szCs w:val="20"/>
              </w:rPr>
              <w:t>Carriers of hepatitis B and/or hepatitis C, or who have auto-immune hepatitis, sclerotizing cholangitis, or other known chronic liver disease</w:t>
            </w:r>
          </w:p>
        </w:tc>
        <w:tc>
          <w:tcPr>
            <w:tcW w:w="557" w:type="pct"/>
          </w:tcPr>
          <w:p w14:paraId="16CB268C" w14:textId="77777777" w:rsidR="00370AC6" w:rsidRPr="007F2AE5" w:rsidRDefault="00370AC6" w:rsidP="00174507">
            <w:pPr>
              <w:pStyle w:val="Tabletext"/>
              <w:ind w:left="0" w:right="0"/>
              <w:jc w:val="center"/>
              <w:rPr>
                <w:sz w:val="20"/>
                <w:szCs w:val="20"/>
              </w:rPr>
            </w:pPr>
            <w:r w:rsidRPr="007F2AE5">
              <w:rPr>
                <w:sz w:val="20"/>
                <w:szCs w:val="20"/>
              </w:rPr>
              <w:sym w:font="Wingdings" w:char="F0FC"/>
            </w:r>
            <w:r w:rsidRPr="007F2AE5">
              <w:rPr>
                <w:rFonts w:asciiTheme="majorHAnsi" w:hAnsiTheme="majorHAnsi"/>
                <w:sz w:val="20"/>
                <w:szCs w:val="20"/>
              </w:rPr>
              <w:t>†</w:t>
            </w:r>
          </w:p>
        </w:tc>
        <w:tc>
          <w:tcPr>
            <w:tcW w:w="700" w:type="pct"/>
          </w:tcPr>
          <w:p w14:paraId="0A928422" w14:textId="77777777" w:rsidR="00370AC6" w:rsidRPr="007F2AE5" w:rsidRDefault="00370AC6" w:rsidP="00174507">
            <w:pPr>
              <w:pStyle w:val="Tabletext"/>
              <w:ind w:left="0" w:right="0"/>
              <w:jc w:val="center"/>
              <w:rPr>
                <w:sz w:val="20"/>
                <w:szCs w:val="20"/>
              </w:rPr>
            </w:pPr>
            <w:r w:rsidRPr="007F2AE5">
              <w:rPr>
                <w:sz w:val="20"/>
                <w:szCs w:val="20"/>
              </w:rPr>
              <w:t>–</w:t>
            </w:r>
          </w:p>
        </w:tc>
        <w:tc>
          <w:tcPr>
            <w:tcW w:w="557" w:type="pct"/>
          </w:tcPr>
          <w:p w14:paraId="31E3B377" w14:textId="77777777" w:rsidR="00370AC6" w:rsidRPr="007F2AE5" w:rsidRDefault="00370AC6" w:rsidP="00174507">
            <w:pPr>
              <w:pStyle w:val="Tabletext"/>
              <w:ind w:left="0" w:right="0"/>
              <w:jc w:val="center"/>
              <w:rPr>
                <w:sz w:val="20"/>
                <w:szCs w:val="20"/>
              </w:rPr>
            </w:pPr>
            <w:r w:rsidRPr="007F2AE5">
              <w:rPr>
                <w:sz w:val="20"/>
                <w:szCs w:val="20"/>
              </w:rPr>
              <w:sym w:font="Wingdings" w:char="F0FC"/>
            </w:r>
          </w:p>
        </w:tc>
        <w:tc>
          <w:tcPr>
            <w:tcW w:w="700" w:type="pct"/>
          </w:tcPr>
          <w:p w14:paraId="0768AF08" w14:textId="77777777" w:rsidR="00370AC6" w:rsidRPr="007F2AE5" w:rsidRDefault="00370AC6" w:rsidP="00174507">
            <w:pPr>
              <w:pStyle w:val="Tabletext"/>
              <w:ind w:left="0" w:right="0"/>
              <w:jc w:val="center"/>
              <w:rPr>
                <w:sz w:val="20"/>
                <w:szCs w:val="20"/>
              </w:rPr>
            </w:pPr>
            <w:r w:rsidRPr="007F2AE5">
              <w:rPr>
                <w:sz w:val="20"/>
                <w:szCs w:val="20"/>
              </w:rPr>
              <w:t>–</w:t>
            </w:r>
          </w:p>
        </w:tc>
      </w:tr>
    </w:tbl>
    <w:p w14:paraId="2909E949" w14:textId="77777777" w:rsidR="00370AC6" w:rsidRPr="00343DD3" w:rsidRDefault="00370AC6" w:rsidP="00343DD3">
      <w:pPr>
        <w:pStyle w:val="TableDescription"/>
      </w:pPr>
      <w:r w:rsidRPr="00343DD3">
        <w:t>*Targeted follow up – Standard AE Questionnaire</w:t>
      </w:r>
      <w:r w:rsidR="00174507" w:rsidRPr="00343DD3">
        <w:t xml:space="preserve">. </w:t>
      </w:r>
      <w:r w:rsidRPr="00343DD3">
        <w:t>†Targeted follow u</w:t>
      </w:r>
      <w:r w:rsidR="00174507" w:rsidRPr="00343DD3">
        <w:t>p – Hepatic Event Questionnaire</w:t>
      </w:r>
    </w:p>
    <w:p w14:paraId="7C4766E3" w14:textId="26900183" w:rsidR="00B51ED1" w:rsidRDefault="00B51ED1" w:rsidP="003B200E">
      <w:r>
        <w:t>The RMP evaluation has been completed and recommendations for conditions of registration wording given</w:t>
      </w:r>
      <w:r w:rsidR="00C30FE0">
        <w:t xml:space="preserve"> (see ‘</w:t>
      </w:r>
      <w:r w:rsidR="00C30FE0">
        <w:fldChar w:fldCharType="begin"/>
      </w:r>
      <w:r w:rsidR="00C30FE0">
        <w:instrText xml:space="preserve"> REF _Ref65583686 \h </w:instrText>
      </w:r>
      <w:r w:rsidR="00C30FE0">
        <w:fldChar w:fldCharType="separate"/>
      </w:r>
      <w:r w:rsidR="00F979FB">
        <w:t>Proposed risk management conditions of registration</w:t>
      </w:r>
      <w:r w:rsidR="00C30FE0">
        <w:fldChar w:fldCharType="end"/>
      </w:r>
      <w:r w:rsidR="00C30FE0">
        <w:t>’ section, below)</w:t>
      </w:r>
      <w:r>
        <w:t>. There we</w:t>
      </w:r>
      <w:r w:rsidRPr="00C41516">
        <w:t>re no outstanding issues from an RMP perspective.</w:t>
      </w:r>
    </w:p>
    <w:p w14:paraId="5A431CB5" w14:textId="77777777" w:rsidR="00B51ED1" w:rsidRDefault="00B51ED1" w:rsidP="003B200E">
      <w:r>
        <w:t>Tucatinib is a new chemical entity and should be included in the Black Triangle Scheme as a condition of registration.</w:t>
      </w:r>
    </w:p>
    <w:p w14:paraId="5BB12A89" w14:textId="77777777" w:rsidR="008E7846" w:rsidRDefault="00B51ED1" w:rsidP="003B200E">
      <w:r>
        <w:t>The RMP evaluator noted that dose adjustment advice regarding diarrhoea has been incl</w:t>
      </w:r>
      <w:r w:rsidR="003B200E">
        <w:t xml:space="preserve">uded in the approved US label; </w:t>
      </w:r>
      <w:r>
        <w:t>this should also be included in the Australian PI.</w:t>
      </w:r>
    </w:p>
    <w:p w14:paraId="36B9C15B" w14:textId="77777777" w:rsidR="003B200E" w:rsidRDefault="003B200E" w:rsidP="003B200E">
      <w:pPr>
        <w:pStyle w:val="Heading4"/>
      </w:pPr>
      <w:bookmarkStart w:id="66" w:name="_Ref65583686"/>
      <w:r>
        <w:t>Proposed risk management conditions of registration</w:t>
      </w:r>
      <w:bookmarkEnd w:id="66"/>
    </w:p>
    <w:p w14:paraId="0F3B9601" w14:textId="77777777" w:rsidR="003B200E" w:rsidRPr="009C6447" w:rsidRDefault="003B200E" w:rsidP="003B200E">
      <w:r w:rsidRPr="009C6447">
        <w:t xml:space="preserve">Any changes to which the sponsor has agreed should be included in a revised RMP and ASA. However, irrespective of whether or not they are included in the currently available version of the RMP document, the agreed changes become part of the risk management system. </w:t>
      </w:r>
    </w:p>
    <w:p w14:paraId="7BF664F3" w14:textId="77777777" w:rsidR="003B200E" w:rsidRPr="002453FB" w:rsidRDefault="003B200E" w:rsidP="003B200E">
      <w:r>
        <w:t>The suggested wording is:</w:t>
      </w:r>
    </w:p>
    <w:p w14:paraId="368BAE25" w14:textId="77777777" w:rsidR="003B200E" w:rsidRPr="003B200E" w:rsidRDefault="003B200E" w:rsidP="003B200E">
      <w:pPr>
        <w:ind w:left="720"/>
        <w:rPr>
          <w:iCs/>
        </w:rPr>
      </w:pPr>
      <w:r w:rsidRPr="003B200E">
        <w:rPr>
          <w:iCs/>
        </w:rPr>
        <w:t>The Tukysa EU-</w:t>
      </w:r>
      <w:r>
        <w:rPr>
          <w:iCs/>
        </w:rPr>
        <w:t>RMP</w:t>
      </w:r>
      <w:r w:rsidRPr="003B200E">
        <w:rPr>
          <w:iCs/>
        </w:rPr>
        <w:t xml:space="preserve"> (version 0.1, dated 20 December 2019; DLP 4 September 2019), with </w:t>
      </w:r>
      <w:r>
        <w:rPr>
          <w:iCs/>
        </w:rPr>
        <w:t>ASA</w:t>
      </w:r>
      <w:r w:rsidRPr="003B200E">
        <w:rPr>
          <w:iCs/>
        </w:rPr>
        <w:t xml:space="preserve"> (version 0.2, dated May 202</w:t>
      </w:r>
      <w:r>
        <w:rPr>
          <w:iCs/>
        </w:rPr>
        <w:t>0), included with submission PM</w:t>
      </w:r>
      <w:r>
        <w:rPr>
          <w:iCs/>
        </w:rPr>
        <w:noBreakHyphen/>
      </w:r>
      <w:r w:rsidRPr="003B200E">
        <w:rPr>
          <w:iCs/>
        </w:rPr>
        <w:t>2020-00066-1-4, and any subsequent revisions, as agreed with the TGA will be implemented in Australia.</w:t>
      </w:r>
    </w:p>
    <w:p w14:paraId="27A4A2A0" w14:textId="77777777" w:rsidR="003B200E" w:rsidRPr="003B200E" w:rsidRDefault="003B200E" w:rsidP="003B200E">
      <w:pPr>
        <w:ind w:left="720"/>
        <w:rPr>
          <w:iCs/>
        </w:rPr>
      </w:pPr>
      <w:r w:rsidRPr="003B200E">
        <w:rPr>
          <w:iCs/>
        </w:rPr>
        <w:t>An obligatory component of risk management plans is routine pharmacovigilance. Routine pharmacovigilance includes the submission of periodic safety update reports (PSURs).</w:t>
      </w:r>
    </w:p>
    <w:p w14:paraId="71FF9E27" w14:textId="77777777" w:rsidR="003B200E" w:rsidRPr="003B200E" w:rsidRDefault="003B200E" w:rsidP="003B200E">
      <w:pPr>
        <w:ind w:left="720"/>
        <w:rPr>
          <w:iCs/>
        </w:rPr>
      </w:pPr>
      <w:r w:rsidRPr="003B200E">
        <w:rPr>
          <w:iCs/>
        </w:rPr>
        <w:t>Unless agreed separately between the supplier who is the recipient of the approval and the TGA, the first report must be submitted to TGA no later than 15 calend</w:t>
      </w:r>
      <w:r>
        <w:rPr>
          <w:iCs/>
        </w:rPr>
        <w:t>ar months after the date of the</w:t>
      </w:r>
      <w:r w:rsidRPr="003B200E">
        <w:rPr>
          <w:iCs/>
        </w:rPr>
        <w:t xml:space="preserve"> approval letter. The subsequent reports must be submitted no less frequently than annually from the date of the first submitted report until the period covered by such reports is not less than t</w:t>
      </w:r>
      <w:r>
        <w:rPr>
          <w:iCs/>
        </w:rPr>
        <w:t>hree years from the date of the</w:t>
      </w:r>
      <w:r w:rsidRPr="003B200E">
        <w:rPr>
          <w:iCs/>
        </w:rPr>
        <w:t xml:space="preserve"> approval letter. The annual submission may be made up of two PSURs each covering six months. If the sponsor wishes, the six monthly reports may be submitted separately as they become available.</w:t>
      </w:r>
    </w:p>
    <w:p w14:paraId="766329B0" w14:textId="77777777" w:rsidR="003B200E" w:rsidRPr="003B200E" w:rsidRDefault="003B200E" w:rsidP="003B200E">
      <w:pPr>
        <w:ind w:left="720"/>
        <w:rPr>
          <w:iCs/>
        </w:rPr>
      </w:pPr>
      <w:r w:rsidRPr="003B200E">
        <w:rPr>
          <w:iCs/>
        </w:rPr>
        <w:t>If the product is approved in the EU during the three years period, reports can be provided in line with the published list of EU reference dates no less frequently than annually from the date of the first submitted report until the period covered by such reports is not less than t</w:t>
      </w:r>
      <w:r>
        <w:rPr>
          <w:iCs/>
        </w:rPr>
        <w:t>hree years from the date of the</w:t>
      </w:r>
      <w:r w:rsidRPr="003B200E">
        <w:rPr>
          <w:iCs/>
        </w:rPr>
        <w:t xml:space="preserve"> approval letter.</w:t>
      </w:r>
    </w:p>
    <w:p w14:paraId="554337F4" w14:textId="77777777" w:rsidR="003B200E" w:rsidRPr="003B200E" w:rsidRDefault="003B200E" w:rsidP="003B200E">
      <w:pPr>
        <w:ind w:left="720"/>
        <w:rPr>
          <w:iCs/>
        </w:rPr>
      </w:pPr>
      <w:r w:rsidRPr="003B200E">
        <w:rPr>
          <w:iCs/>
        </w:rPr>
        <w:t>The reports are to at least meet the requirements for PSURs as described in the European Medicines Agency’s Guideline on Good Pharmacovigilance Practices (GVP) Module VII-periodic safety update report (Rev 1), Part VII.B Structures and processes. Note that submission of a PSUR does not constitute an application to vary the registration. Each report must have been prepared within ninety calendar days of the data lock point for that report.</w:t>
      </w:r>
    </w:p>
    <w:p w14:paraId="0EC65E97" w14:textId="77777777" w:rsidR="003B200E" w:rsidRPr="00782FBC" w:rsidRDefault="003B200E" w:rsidP="003B200E">
      <w:pPr>
        <w:rPr>
          <w:iCs/>
        </w:rPr>
      </w:pPr>
      <w:r w:rsidRPr="00BF52F4">
        <w:rPr>
          <w:iCs/>
        </w:rPr>
        <w:t xml:space="preserve">As </w:t>
      </w:r>
      <w:r>
        <w:rPr>
          <w:iCs/>
        </w:rPr>
        <w:t xml:space="preserve">Tukysa is </w:t>
      </w:r>
      <w:r w:rsidRPr="00BF52F4">
        <w:rPr>
          <w:iCs/>
        </w:rPr>
        <w:t xml:space="preserve">a new chemical </w:t>
      </w:r>
      <w:r>
        <w:rPr>
          <w:iCs/>
        </w:rPr>
        <w:t>entity</w:t>
      </w:r>
      <w:r w:rsidRPr="00BF52F4">
        <w:rPr>
          <w:iCs/>
        </w:rPr>
        <w:t xml:space="preserve"> it should be included in the Black Triangle Scheme as a condition of registration. </w:t>
      </w:r>
      <w:r w:rsidRPr="00BF52F4">
        <w:t>The following wording is recommended for the condition of registration:</w:t>
      </w:r>
      <w:r w:rsidRPr="00BF52F4">
        <w:rPr>
          <w:iCs/>
        </w:rPr>
        <w:t xml:space="preserve"> </w:t>
      </w:r>
    </w:p>
    <w:p w14:paraId="6B277D40" w14:textId="77777777" w:rsidR="003B200E" w:rsidRPr="003B200E" w:rsidRDefault="003B200E" w:rsidP="003B200E">
      <w:pPr>
        <w:ind w:left="720"/>
      </w:pPr>
      <w:r>
        <w:t>Tukysa (Tucatinib</w:t>
      </w:r>
      <w:r w:rsidRPr="004C1E2B">
        <w:t>) is to be included in the Black Triangle Schem</w:t>
      </w:r>
      <w:r>
        <w:t xml:space="preserve">e. The PI and Consumer Medicines Information (CMI) for Tukysa </w:t>
      </w:r>
      <w:r w:rsidRPr="002453FB">
        <w:t>must include the black triangle symbol and mandatory accompanying text for five years, which starts from the date that the sponsor notifies th</w:t>
      </w:r>
      <w:r>
        <w:t>e TGA of supply of the product.</w:t>
      </w:r>
    </w:p>
    <w:p w14:paraId="64FCFB81" w14:textId="77777777" w:rsidR="008E7846" w:rsidRDefault="00AA0ED0" w:rsidP="008E7846">
      <w:pPr>
        <w:pStyle w:val="Heading3"/>
      </w:pPr>
      <w:bookmarkStart w:id="67" w:name="_Toc247691531"/>
      <w:bookmarkStart w:id="68" w:name="_Toc314842515"/>
      <w:bookmarkStart w:id="69" w:name="_Toc196046505"/>
      <w:bookmarkStart w:id="70" w:name="_Toc196046949"/>
      <w:bookmarkStart w:id="71" w:name="_Toc67579151"/>
      <w:r>
        <w:t>Risk-benefit a</w:t>
      </w:r>
      <w:r w:rsidR="008E7846">
        <w:t>nalysis</w:t>
      </w:r>
      <w:bookmarkEnd w:id="67"/>
      <w:bookmarkEnd w:id="68"/>
      <w:bookmarkEnd w:id="71"/>
    </w:p>
    <w:p w14:paraId="58497C6C" w14:textId="77777777" w:rsidR="00D23139" w:rsidRDefault="007D53B6" w:rsidP="00D23139">
      <w:pPr>
        <w:pStyle w:val="Heading4"/>
      </w:pPr>
      <w:r>
        <w:t>Delegate’s considerations</w:t>
      </w:r>
    </w:p>
    <w:p w14:paraId="16371F0B" w14:textId="77777777" w:rsidR="00370AC6" w:rsidRPr="00C53E0D" w:rsidRDefault="00370AC6" w:rsidP="00DC5056">
      <w:pPr>
        <w:pStyle w:val="Heading5"/>
      </w:pPr>
      <w:r>
        <w:t>Benefits and uncertainties</w:t>
      </w:r>
    </w:p>
    <w:p w14:paraId="5BAE9A5F" w14:textId="39ADA4E3" w:rsidR="00370AC6" w:rsidRDefault="00370AC6" w:rsidP="003B200E">
      <w:r w:rsidRPr="005A419E">
        <w:t xml:space="preserve">The evidence in support of efficacy of the proposed indication consists of data from </w:t>
      </w:r>
      <w:r w:rsidR="006526DD">
        <w:t>a well</w:t>
      </w:r>
      <w:r w:rsidR="006526DD">
        <w:noBreakHyphen/>
      </w:r>
      <w:r>
        <w:t>designed, randomised, double-blind, placebo-controlled trial</w:t>
      </w:r>
      <w:r w:rsidRPr="00EB175A">
        <w:t xml:space="preserve"> </w:t>
      </w:r>
      <w:r>
        <w:t>(</w:t>
      </w:r>
      <w:r w:rsidR="003B200E">
        <w:t xml:space="preserve">the </w:t>
      </w:r>
      <w:r>
        <w:t>HER2CLIMB</w:t>
      </w:r>
      <w:r w:rsidR="003B200E">
        <w:t xml:space="preserve"> trial</w:t>
      </w:r>
      <w:r>
        <w:t>). The addition of tucatinib to treatment with trastuzumab plus capecitabine showed statistically significant and clinically meaningful efficacy (</w:t>
      </w:r>
      <w:r w:rsidR="008D454B">
        <w:t xml:space="preserve">see </w:t>
      </w:r>
      <w:r>
        <w:fldChar w:fldCharType="begin"/>
      </w:r>
      <w:r>
        <w:instrText xml:space="preserve"> REF _Ref44497617 \h </w:instrText>
      </w:r>
      <w:r w:rsidR="003B200E">
        <w:instrText xml:space="preserve"> \* MERGEFORMAT </w:instrText>
      </w:r>
      <w:r>
        <w:fldChar w:fldCharType="separate"/>
      </w:r>
      <w:r w:rsidR="00F979FB">
        <w:t xml:space="preserve">Table </w:t>
      </w:r>
      <w:r w:rsidR="00F979FB">
        <w:rPr>
          <w:noProof/>
        </w:rPr>
        <w:t>22</w:t>
      </w:r>
      <w:r>
        <w:fldChar w:fldCharType="end"/>
      </w:r>
      <w:r>
        <w:t>).</w:t>
      </w:r>
    </w:p>
    <w:p w14:paraId="54652340" w14:textId="53C098FE" w:rsidR="00370AC6" w:rsidRDefault="00370AC6" w:rsidP="00343DD3">
      <w:pPr>
        <w:pStyle w:val="TableTitle"/>
      </w:pPr>
      <w:bookmarkStart w:id="72" w:name="_Ref44497617"/>
      <w:r>
        <w:t xml:space="preserve">Table </w:t>
      </w:r>
      <w:fldSimple w:instr=" SEQ Table \* ARABIC ">
        <w:r w:rsidR="00F979FB">
          <w:rPr>
            <w:noProof/>
          </w:rPr>
          <w:t>22</w:t>
        </w:r>
      </w:fldSimple>
      <w:bookmarkEnd w:id="72"/>
      <w:r w:rsidR="00343DD3">
        <w:t>:</w:t>
      </w:r>
      <w:r w:rsidR="0014391A">
        <w:t xml:space="preserve"> Overview of HER2CLIMB results</w:t>
      </w:r>
    </w:p>
    <w:tbl>
      <w:tblPr>
        <w:tblStyle w:val="TableTGAblue"/>
        <w:tblW w:w="0" w:type="auto"/>
        <w:tblCellMar>
          <w:left w:w="57" w:type="dxa"/>
          <w:right w:w="57" w:type="dxa"/>
        </w:tblCellMar>
        <w:tblLook w:val="04A0" w:firstRow="1" w:lastRow="0" w:firstColumn="1" w:lastColumn="0" w:noHBand="0" w:noVBand="1"/>
      </w:tblPr>
      <w:tblGrid>
        <w:gridCol w:w="2828"/>
        <w:gridCol w:w="2828"/>
        <w:gridCol w:w="2828"/>
      </w:tblGrid>
      <w:tr w:rsidR="00370AC6" w:rsidRPr="00343DD3" w14:paraId="2955707D" w14:textId="77777777" w:rsidTr="00382E95">
        <w:trPr>
          <w:cnfStyle w:val="100000000000" w:firstRow="1" w:lastRow="0" w:firstColumn="0" w:lastColumn="0" w:oddVBand="0" w:evenVBand="0" w:oddHBand="0" w:evenHBand="0" w:firstRowFirstColumn="0" w:firstRowLastColumn="0" w:lastRowFirstColumn="0" w:lastRowLastColumn="0"/>
        </w:trPr>
        <w:tc>
          <w:tcPr>
            <w:tcW w:w="2828" w:type="dxa"/>
          </w:tcPr>
          <w:p w14:paraId="470627F0" w14:textId="77777777" w:rsidR="00370AC6" w:rsidRPr="00343DD3" w:rsidRDefault="00370AC6" w:rsidP="00382E95">
            <w:pPr>
              <w:pStyle w:val="Tabletext"/>
              <w:ind w:left="0" w:right="0"/>
              <w:contextualSpacing/>
              <w:jc w:val="center"/>
              <w:rPr>
                <w:sz w:val="20"/>
                <w:szCs w:val="20"/>
              </w:rPr>
            </w:pPr>
          </w:p>
        </w:tc>
        <w:tc>
          <w:tcPr>
            <w:tcW w:w="2828" w:type="dxa"/>
          </w:tcPr>
          <w:p w14:paraId="52370C49" w14:textId="77777777" w:rsidR="00370AC6" w:rsidRPr="00343DD3" w:rsidRDefault="008D454B" w:rsidP="00382E95">
            <w:pPr>
              <w:pStyle w:val="Tabletext"/>
              <w:ind w:left="0" w:right="0"/>
              <w:contextualSpacing/>
              <w:jc w:val="center"/>
              <w:rPr>
                <w:bCs/>
                <w:sz w:val="20"/>
                <w:szCs w:val="20"/>
                <w:lang w:val="en-US"/>
              </w:rPr>
            </w:pPr>
            <w:r>
              <w:rPr>
                <w:bCs/>
                <w:sz w:val="20"/>
                <w:szCs w:val="20"/>
                <w:lang w:val="en-US"/>
              </w:rPr>
              <w:t>T</w:t>
            </w:r>
            <w:r w:rsidR="00370AC6" w:rsidRPr="00343DD3">
              <w:rPr>
                <w:bCs/>
                <w:sz w:val="20"/>
                <w:szCs w:val="20"/>
                <w:lang w:val="en-US"/>
              </w:rPr>
              <w:t>ucatinib +</w:t>
            </w:r>
          </w:p>
          <w:p w14:paraId="24DF2E27" w14:textId="77777777" w:rsidR="00370AC6" w:rsidRPr="00343DD3" w:rsidRDefault="00370AC6" w:rsidP="00382E95">
            <w:pPr>
              <w:pStyle w:val="Tabletext"/>
              <w:ind w:left="0" w:right="0"/>
              <w:contextualSpacing/>
              <w:jc w:val="center"/>
              <w:rPr>
                <w:sz w:val="20"/>
                <w:szCs w:val="20"/>
              </w:rPr>
            </w:pPr>
            <w:r w:rsidRPr="00343DD3">
              <w:rPr>
                <w:bCs/>
                <w:sz w:val="20"/>
                <w:szCs w:val="20"/>
                <w:lang w:val="en-US"/>
              </w:rPr>
              <w:t>capecitabine plus trastuzumab</w:t>
            </w:r>
          </w:p>
        </w:tc>
        <w:tc>
          <w:tcPr>
            <w:tcW w:w="2828" w:type="dxa"/>
          </w:tcPr>
          <w:p w14:paraId="20FA5BA5" w14:textId="77777777" w:rsidR="00370AC6" w:rsidRPr="00343DD3" w:rsidRDefault="008D454B" w:rsidP="00382E95">
            <w:pPr>
              <w:pStyle w:val="Tabletext"/>
              <w:ind w:left="0" w:right="0"/>
              <w:contextualSpacing/>
              <w:jc w:val="center"/>
              <w:rPr>
                <w:bCs/>
                <w:sz w:val="20"/>
                <w:szCs w:val="20"/>
                <w:lang w:val="en-US"/>
              </w:rPr>
            </w:pPr>
            <w:r>
              <w:rPr>
                <w:bCs/>
                <w:sz w:val="20"/>
                <w:szCs w:val="20"/>
                <w:lang w:val="en-US"/>
              </w:rPr>
              <w:t>P</w:t>
            </w:r>
            <w:r w:rsidR="00370AC6" w:rsidRPr="00343DD3">
              <w:rPr>
                <w:bCs/>
                <w:sz w:val="20"/>
                <w:szCs w:val="20"/>
                <w:lang w:val="en-US"/>
              </w:rPr>
              <w:t xml:space="preserve">lacebo + </w:t>
            </w:r>
          </w:p>
          <w:p w14:paraId="3F9A9BBD" w14:textId="77777777" w:rsidR="00370AC6" w:rsidRPr="00343DD3" w:rsidRDefault="00370AC6" w:rsidP="00382E95">
            <w:pPr>
              <w:pStyle w:val="Tabletext"/>
              <w:ind w:left="0" w:right="0"/>
              <w:contextualSpacing/>
              <w:jc w:val="center"/>
              <w:rPr>
                <w:sz w:val="20"/>
                <w:szCs w:val="20"/>
              </w:rPr>
            </w:pPr>
            <w:r w:rsidRPr="00343DD3">
              <w:rPr>
                <w:bCs/>
                <w:sz w:val="20"/>
                <w:szCs w:val="20"/>
                <w:lang w:val="en-US"/>
              </w:rPr>
              <w:t>capecitabine plus trastuzumab</w:t>
            </w:r>
          </w:p>
        </w:tc>
      </w:tr>
      <w:tr w:rsidR="00370AC6" w:rsidRPr="00343DD3" w14:paraId="38313672" w14:textId="77777777" w:rsidTr="007F2AE5">
        <w:tc>
          <w:tcPr>
            <w:tcW w:w="8484" w:type="dxa"/>
            <w:gridSpan w:val="3"/>
          </w:tcPr>
          <w:p w14:paraId="4DC9222F" w14:textId="77777777" w:rsidR="00370AC6" w:rsidRPr="00343DD3" w:rsidRDefault="00370AC6" w:rsidP="00382E95">
            <w:pPr>
              <w:pStyle w:val="Tabletext"/>
              <w:ind w:left="0" w:right="0"/>
              <w:contextualSpacing/>
              <w:rPr>
                <w:sz w:val="20"/>
                <w:szCs w:val="20"/>
              </w:rPr>
            </w:pPr>
            <w:r w:rsidRPr="00343DD3">
              <w:rPr>
                <w:b/>
                <w:sz w:val="20"/>
                <w:szCs w:val="20"/>
                <w:lang w:val="en-US"/>
              </w:rPr>
              <w:t>PFS</w:t>
            </w:r>
            <w:r w:rsidRPr="00343DD3">
              <w:rPr>
                <w:sz w:val="20"/>
                <w:szCs w:val="20"/>
                <w:lang w:val="en-US"/>
              </w:rPr>
              <w:t xml:space="preserve"> (n</w:t>
            </w:r>
            <w:r w:rsidR="007F2AE5">
              <w:rPr>
                <w:sz w:val="20"/>
                <w:szCs w:val="20"/>
                <w:lang w:val="en-US"/>
              </w:rPr>
              <w:t xml:space="preserve"> </w:t>
            </w:r>
            <w:r w:rsidRPr="00343DD3">
              <w:rPr>
                <w:sz w:val="20"/>
                <w:szCs w:val="20"/>
                <w:lang w:val="en-US"/>
              </w:rPr>
              <w:t>=</w:t>
            </w:r>
            <w:r w:rsidR="007F2AE5">
              <w:rPr>
                <w:sz w:val="20"/>
                <w:szCs w:val="20"/>
                <w:lang w:val="en-US"/>
              </w:rPr>
              <w:t xml:space="preserve"> </w:t>
            </w:r>
            <w:r w:rsidR="008D454B">
              <w:rPr>
                <w:sz w:val="20"/>
                <w:szCs w:val="20"/>
                <w:lang w:val="en-US"/>
              </w:rPr>
              <w:t>480) (primary)</w:t>
            </w:r>
          </w:p>
        </w:tc>
      </w:tr>
      <w:tr w:rsidR="00370AC6" w:rsidRPr="00343DD3" w14:paraId="2619C10B" w14:textId="77777777" w:rsidTr="00382E95">
        <w:tc>
          <w:tcPr>
            <w:tcW w:w="2828" w:type="dxa"/>
          </w:tcPr>
          <w:p w14:paraId="5302974B" w14:textId="77777777" w:rsidR="00370AC6" w:rsidRPr="00343DD3" w:rsidRDefault="00370AC6" w:rsidP="00382E95">
            <w:pPr>
              <w:pStyle w:val="Tabletext"/>
              <w:ind w:left="0" w:right="0"/>
              <w:contextualSpacing/>
              <w:jc w:val="right"/>
              <w:rPr>
                <w:sz w:val="20"/>
                <w:szCs w:val="20"/>
              </w:rPr>
            </w:pPr>
            <w:r w:rsidRPr="00343DD3">
              <w:rPr>
                <w:sz w:val="20"/>
                <w:szCs w:val="20"/>
                <w:lang w:val="en-US"/>
              </w:rPr>
              <w:t>median, months (95% CI)</w:t>
            </w:r>
          </w:p>
        </w:tc>
        <w:tc>
          <w:tcPr>
            <w:tcW w:w="2828" w:type="dxa"/>
          </w:tcPr>
          <w:p w14:paraId="2572F6F5" w14:textId="77777777" w:rsidR="00370AC6" w:rsidRPr="00343DD3" w:rsidRDefault="00370AC6" w:rsidP="00382E95">
            <w:pPr>
              <w:pStyle w:val="Tabletext"/>
              <w:ind w:left="0" w:right="0"/>
              <w:contextualSpacing/>
              <w:jc w:val="center"/>
              <w:rPr>
                <w:sz w:val="20"/>
                <w:szCs w:val="20"/>
              </w:rPr>
            </w:pPr>
            <w:r w:rsidRPr="00343DD3">
              <w:rPr>
                <w:sz w:val="20"/>
                <w:szCs w:val="20"/>
                <w:lang w:val="en-US"/>
              </w:rPr>
              <w:t>7.8 (7.5, 9.6)</w:t>
            </w:r>
          </w:p>
        </w:tc>
        <w:tc>
          <w:tcPr>
            <w:tcW w:w="2828" w:type="dxa"/>
          </w:tcPr>
          <w:p w14:paraId="4678DF42" w14:textId="77777777" w:rsidR="00370AC6" w:rsidRPr="00343DD3" w:rsidRDefault="00370AC6" w:rsidP="00382E95">
            <w:pPr>
              <w:pStyle w:val="Tabletext"/>
              <w:ind w:left="0" w:right="0"/>
              <w:contextualSpacing/>
              <w:jc w:val="center"/>
              <w:rPr>
                <w:sz w:val="20"/>
                <w:szCs w:val="20"/>
              </w:rPr>
            </w:pPr>
            <w:r w:rsidRPr="00343DD3">
              <w:rPr>
                <w:sz w:val="20"/>
                <w:szCs w:val="20"/>
                <w:lang w:val="en-US"/>
              </w:rPr>
              <w:t>5.6 (4.2, 7.1)</w:t>
            </w:r>
          </w:p>
        </w:tc>
      </w:tr>
      <w:tr w:rsidR="00370AC6" w:rsidRPr="00343DD3" w14:paraId="7579384A" w14:textId="77777777" w:rsidTr="00382E95">
        <w:tc>
          <w:tcPr>
            <w:tcW w:w="2828" w:type="dxa"/>
          </w:tcPr>
          <w:p w14:paraId="450F8336" w14:textId="77777777" w:rsidR="00370AC6" w:rsidRPr="00343DD3" w:rsidRDefault="00370AC6" w:rsidP="00382E95">
            <w:pPr>
              <w:pStyle w:val="Tabletext"/>
              <w:ind w:left="0" w:right="0"/>
              <w:contextualSpacing/>
              <w:jc w:val="right"/>
              <w:rPr>
                <w:sz w:val="20"/>
                <w:szCs w:val="20"/>
                <w:lang w:val="en-US"/>
              </w:rPr>
            </w:pPr>
            <w:r w:rsidRPr="00343DD3">
              <w:rPr>
                <w:sz w:val="20"/>
                <w:szCs w:val="20"/>
                <w:lang w:val="en-US"/>
              </w:rPr>
              <w:t>difference</w:t>
            </w:r>
          </w:p>
        </w:tc>
        <w:tc>
          <w:tcPr>
            <w:tcW w:w="5656" w:type="dxa"/>
            <w:gridSpan w:val="2"/>
          </w:tcPr>
          <w:p w14:paraId="7F297BA4" w14:textId="77777777" w:rsidR="00370AC6" w:rsidRPr="00343DD3" w:rsidRDefault="00370AC6" w:rsidP="00382E95">
            <w:pPr>
              <w:pStyle w:val="Tabletext"/>
              <w:contextualSpacing/>
              <w:jc w:val="center"/>
              <w:rPr>
                <w:sz w:val="20"/>
                <w:szCs w:val="20"/>
                <w:lang w:val="en-US"/>
              </w:rPr>
            </w:pPr>
            <w:r w:rsidRPr="00343DD3">
              <w:rPr>
                <w:sz w:val="20"/>
                <w:szCs w:val="20"/>
                <w:lang w:val="en-US"/>
              </w:rPr>
              <w:t>2.2 months</w:t>
            </w:r>
          </w:p>
        </w:tc>
      </w:tr>
      <w:tr w:rsidR="00370AC6" w:rsidRPr="00343DD3" w14:paraId="691D36E1" w14:textId="77777777" w:rsidTr="00382E95">
        <w:tc>
          <w:tcPr>
            <w:tcW w:w="2828" w:type="dxa"/>
          </w:tcPr>
          <w:p w14:paraId="46715682" w14:textId="77777777" w:rsidR="00370AC6" w:rsidRPr="00343DD3" w:rsidRDefault="00370AC6" w:rsidP="00382E95">
            <w:pPr>
              <w:pStyle w:val="Tabletext"/>
              <w:ind w:left="0" w:right="0"/>
              <w:contextualSpacing/>
              <w:jc w:val="right"/>
              <w:rPr>
                <w:sz w:val="20"/>
                <w:szCs w:val="20"/>
              </w:rPr>
            </w:pPr>
            <w:r w:rsidRPr="00343DD3">
              <w:rPr>
                <w:sz w:val="20"/>
                <w:szCs w:val="20"/>
                <w:lang w:val="en-US"/>
              </w:rPr>
              <w:t>stratified HR</w:t>
            </w:r>
          </w:p>
        </w:tc>
        <w:tc>
          <w:tcPr>
            <w:tcW w:w="5656" w:type="dxa"/>
            <w:gridSpan w:val="2"/>
          </w:tcPr>
          <w:p w14:paraId="05109B29" w14:textId="77777777" w:rsidR="00370AC6" w:rsidRPr="00343DD3" w:rsidRDefault="00370AC6" w:rsidP="00382E95">
            <w:pPr>
              <w:pStyle w:val="Tabletext"/>
              <w:ind w:left="0" w:right="0"/>
              <w:contextualSpacing/>
              <w:jc w:val="center"/>
              <w:rPr>
                <w:sz w:val="20"/>
                <w:szCs w:val="20"/>
              </w:rPr>
            </w:pPr>
            <w:r w:rsidRPr="00343DD3">
              <w:rPr>
                <w:sz w:val="20"/>
                <w:szCs w:val="20"/>
                <w:lang w:val="en-US"/>
              </w:rPr>
              <w:t>0.54 (0.42, 0.71)</w:t>
            </w:r>
          </w:p>
        </w:tc>
      </w:tr>
      <w:tr w:rsidR="00370AC6" w:rsidRPr="00343DD3" w14:paraId="499A38D5" w14:textId="77777777" w:rsidTr="007F2AE5">
        <w:tc>
          <w:tcPr>
            <w:tcW w:w="8484" w:type="dxa"/>
            <w:gridSpan w:val="3"/>
          </w:tcPr>
          <w:p w14:paraId="20CF3E6A" w14:textId="77777777" w:rsidR="00370AC6" w:rsidRPr="00343DD3" w:rsidRDefault="00370AC6" w:rsidP="00382E95">
            <w:pPr>
              <w:pStyle w:val="Tabletext"/>
              <w:ind w:left="720" w:right="0" w:hanging="720"/>
              <w:contextualSpacing/>
              <w:rPr>
                <w:sz w:val="20"/>
                <w:szCs w:val="20"/>
                <w:lang w:val="en-US"/>
              </w:rPr>
            </w:pPr>
            <w:r w:rsidRPr="00343DD3">
              <w:rPr>
                <w:b/>
                <w:sz w:val="20"/>
                <w:szCs w:val="20"/>
              </w:rPr>
              <w:t>OS</w:t>
            </w:r>
            <w:r w:rsidRPr="00343DD3">
              <w:rPr>
                <w:sz w:val="20"/>
                <w:szCs w:val="20"/>
              </w:rPr>
              <w:t xml:space="preserve"> (n</w:t>
            </w:r>
            <w:r w:rsidR="007F2AE5">
              <w:rPr>
                <w:sz w:val="20"/>
                <w:szCs w:val="20"/>
              </w:rPr>
              <w:t xml:space="preserve"> </w:t>
            </w:r>
            <w:r w:rsidRPr="00343DD3">
              <w:rPr>
                <w:sz w:val="20"/>
                <w:szCs w:val="20"/>
              </w:rPr>
              <w:t>=</w:t>
            </w:r>
            <w:r w:rsidR="007F2AE5">
              <w:rPr>
                <w:sz w:val="20"/>
                <w:szCs w:val="20"/>
              </w:rPr>
              <w:t xml:space="preserve"> </w:t>
            </w:r>
            <w:r w:rsidRPr="00343DD3">
              <w:rPr>
                <w:sz w:val="20"/>
                <w:szCs w:val="20"/>
              </w:rPr>
              <w:t>612)</w:t>
            </w:r>
          </w:p>
        </w:tc>
      </w:tr>
      <w:tr w:rsidR="00370AC6" w:rsidRPr="00343DD3" w14:paraId="4DCB707F" w14:textId="77777777" w:rsidTr="00382E95">
        <w:trPr>
          <w:trHeight w:val="93"/>
        </w:trPr>
        <w:tc>
          <w:tcPr>
            <w:tcW w:w="2828" w:type="dxa"/>
          </w:tcPr>
          <w:p w14:paraId="3C83126E" w14:textId="77777777" w:rsidR="00370AC6" w:rsidRPr="00343DD3" w:rsidRDefault="00370AC6" w:rsidP="00382E95">
            <w:pPr>
              <w:pStyle w:val="Tabletext"/>
              <w:ind w:left="0" w:right="0"/>
              <w:contextualSpacing/>
              <w:jc w:val="right"/>
              <w:rPr>
                <w:sz w:val="20"/>
                <w:szCs w:val="20"/>
                <w:lang w:val="en-US"/>
              </w:rPr>
            </w:pPr>
            <w:r w:rsidRPr="00343DD3">
              <w:rPr>
                <w:sz w:val="20"/>
                <w:szCs w:val="20"/>
                <w:lang w:val="en-US"/>
              </w:rPr>
              <w:t>median, months (95% CI)</w:t>
            </w:r>
          </w:p>
        </w:tc>
        <w:tc>
          <w:tcPr>
            <w:tcW w:w="2828" w:type="dxa"/>
          </w:tcPr>
          <w:p w14:paraId="0B66D1A4" w14:textId="77777777" w:rsidR="00370AC6" w:rsidRPr="00343DD3" w:rsidRDefault="00370AC6" w:rsidP="00382E95">
            <w:pPr>
              <w:pStyle w:val="Tabletext"/>
              <w:contextualSpacing/>
              <w:jc w:val="center"/>
              <w:rPr>
                <w:sz w:val="20"/>
                <w:szCs w:val="20"/>
                <w:lang w:val="en-US"/>
              </w:rPr>
            </w:pPr>
            <w:r w:rsidRPr="00343DD3">
              <w:rPr>
                <w:sz w:val="20"/>
                <w:szCs w:val="20"/>
                <w:lang w:val="en-US"/>
              </w:rPr>
              <w:t>21.9 (18.3, 31.0)</w:t>
            </w:r>
          </w:p>
        </w:tc>
        <w:tc>
          <w:tcPr>
            <w:tcW w:w="2828" w:type="dxa"/>
          </w:tcPr>
          <w:p w14:paraId="02854597" w14:textId="77777777" w:rsidR="00370AC6" w:rsidRPr="00343DD3" w:rsidRDefault="00370AC6" w:rsidP="00382E95">
            <w:pPr>
              <w:pStyle w:val="Tabletext"/>
              <w:ind w:left="0" w:right="0"/>
              <w:contextualSpacing/>
              <w:jc w:val="center"/>
              <w:rPr>
                <w:sz w:val="20"/>
                <w:szCs w:val="20"/>
                <w:lang w:val="en-US"/>
              </w:rPr>
            </w:pPr>
            <w:r w:rsidRPr="00343DD3">
              <w:rPr>
                <w:sz w:val="20"/>
                <w:szCs w:val="20"/>
                <w:lang w:val="en-US"/>
              </w:rPr>
              <w:t>17.4 (13.6, 19.9)</w:t>
            </w:r>
          </w:p>
        </w:tc>
      </w:tr>
      <w:tr w:rsidR="00370AC6" w:rsidRPr="00343DD3" w14:paraId="323CC4C5" w14:textId="77777777" w:rsidTr="00382E95">
        <w:tc>
          <w:tcPr>
            <w:tcW w:w="2828" w:type="dxa"/>
          </w:tcPr>
          <w:p w14:paraId="10A78C49" w14:textId="77777777" w:rsidR="00370AC6" w:rsidRPr="00343DD3" w:rsidRDefault="00370AC6" w:rsidP="00382E95">
            <w:pPr>
              <w:pStyle w:val="Tabletext"/>
              <w:ind w:left="0" w:right="0"/>
              <w:contextualSpacing/>
              <w:jc w:val="right"/>
              <w:rPr>
                <w:sz w:val="20"/>
                <w:szCs w:val="20"/>
                <w:lang w:val="en-US"/>
              </w:rPr>
            </w:pPr>
            <w:r w:rsidRPr="00343DD3">
              <w:rPr>
                <w:sz w:val="20"/>
                <w:szCs w:val="20"/>
                <w:lang w:val="en-US"/>
              </w:rPr>
              <w:t>difference</w:t>
            </w:r>
          </w:p>
        </w:tc>
        <w:tc>
          <w:tcPr>
            <w:tcW w:w="5656" w:type="dxa"/>
            <w:gridSpan w:val="2"/>
          </w:tcPr>
          <w:p w14:paraId="06BD9654" w14:textId="77777777" w:rsidR="00370AC6" w:rsidRPr="00343DD3" w:rsidRDefault="00370AC6" w:rsidP="00382E95">
            <w:pPr>
              <w:pStyle w:val="Tabletext"/>
              <w:contextualSpacing/>
              <w:jc w:val="center"/>
              <w:rPr>
                <w:sz w:val="20"/>
                <w:szCs w:val="20"/>
                <w:lang w:val="en-US"/>
              </w:rPr>
            </w:pPr>
            <w:r w:rsidRPr="00343DD3">
              <w:rPr>
                <w:sz w:val="20"/>
                <w:szCs w:val="20"/>
                <w:lang w:val="en-US"/>
              </w:rPr>
              <w:t>4.5 months</w:t>
            </w:r>
          </w:p>
        </w:tc>
      </w:tr>
      <w:tr w:rsidR="00370AC6" w:rsidRPr="00343DD3" w14:paraId="7E241AD7" w14:textId="77777777" w:rsidTr="00382E95">
        <w:tc>
          <w:tcPr>
            <w:tcW w:w="2828" w:type="dxa"/>
          </w:tcPr>
          <w:p w14:paraId="60559281" w14:textId="77777777" w:rsidR="00370AC6" w:rsidRPr="00343DD3" w:rsidRDefault="00370AC6" w:rsidP="00382E95">
            <w:pPr>
              <w:pStyle w:val="Tabletext"/>
              <w:ind w:left="0" w:right="0"/>
              <w:contextualSpacing/>
              <w:jc w:val="right"/>
              <w:rPr>
                <w:sz w:val="20"/>
                <w:szCs w:val="20"/>
                <w:lang w:val="en-US"/>
              </w:rPr>
            </w:pPr>
            <w:r w:rsidRPr="00343DD3">
              <w:rPr>
                <w:sz w:val="20"/>
                <w:szCs w:val="20"/>
                <w:lang w:val="en-US"/>
              </w:rPr>
              <w:t>stratified HR</w:t>
            </w:r>
          </w:p>
        </w:tc>
        <w:tc>
          <w:tcPr>
            <w:tcW w:w="5656" w:type="dxa"/>
            <w:gridSpan w:val="2"/>
          </w:tcPr>
          <w:p w14:paraId="4DE25001" w14:textId="77777777" w:rsidR="00370AC6" w:rsidRPr="00343DD3" w:rsidRDefault="00370AC6" w:rsidP="00382E95">
            <w:pPr>
              <w:pStyle w:val="Tabletext"/>
              <w:ind w:left="0" w:right="0"/>
              <w:contextualSpacing/>
              <w:jc w:val="center"/>
              <w:rPr>
                <w:sz w:val="20"/>
                <w:szCs w:val="20"/>
                <w:lang w:val="en-US"/>
              </w:rPr>
            </w:pPr>
            <w:r w:rsidRPr="00343DD3">
              <w:rPr>
                <w:sz w:val="20"/>
                <w:szCs w:val="20"/>
                <w:lang w:val="en-US"/>
              </w:rPr>
              <w:t>0.66 (0.50, 0.87)</w:t>
            </w:r>
          </w:p>
        </w:tc>
      </w:tr>
      <w:tr w:rsidR="00370AC6" w:rsidRPr="00343DD3" w14:paraId="45F6662D" w14:textId="77777777" w:rsidTr="007F2AE5">
        <w:tc>
          <w:tcPr>
            <w:tcW w:w="8484" w:type="dxa"/>
            <w:gridSpan w:val="3"/>
          </w:tcPr>
          <w:p w14:paraId="4A269A33" w14:textId="77777777" w:rsidR="00370AC6" w:rsidRPr="00343DD3" w:rsidRDefault="00370AC6" w:rsidP="00382E95">
            <w:pPr>
              <w:pStyle w:val="Tabletext"/>
              <w:ind w:left="0" w:right="0"/>
              <w:contextualSpacing/>
              <w:rPr>
                <w:sz w:val="20"/>
                <w:szCs w:val="20"/>
                <w:lang w:val="en-US"/>
              </w:rPr>
            </w:pPr>
            <w:r w:rsidRPr="00343DD3">
              <w:rPr>
                <w:b/>
                <w:sz w:val="20"/>
                <w:szCs w:val="20"/>
                <w:lang w:val="en-US"/>
              </w:rPr>
              <w:t>PFS in patients with brain metastases</w:t>
            </w:r>
            <w:r w:rsidRPr="00343DD3">
              <w:rPr>
                <w:sz w:val="20"/>
                <w:szCs w:val="20"/>
                <w:lang w:val="en-US"/>
              </w:rPr>
              <w:t xml:space="preserve"> (n</w:t>
            </w:r>
            <w:r w:rsidR="007F2AE5">
              <w:rPr>
                <w:sz w:val="20"/>
                <w:szCs w:val="20"/>
                <w:lang w:val="en-US"/>
              </w:rPr>
              <w:t xml:space="preserve"> </w:t>
            </w:r>
            <w:r w:rsidRPr="00343DD3">
              <w:rPr>
                <w:sz w:val="20"/>
                <w:szCs w:val="20"/>
                <w:lang w:val="en-US"/>
              </w:rPr>
              <w:t>=</w:t>
            </w:r>
            <w:r w:rsidR="007F2AE5">
              <w:rPr>
                <w:sz w:val="20"/>
                <w:szCs w:val="20"/>
                <w:lang w:val="en-US"/>
              </w:rPr>
              <w:t xml:space="preserve"> </w:t>
            </w:r>
            <w:r w:rsidRPr="00343DD3">
              <w:rPr>
                <w:sz w:val="20"/>
                <w:szCs w:val="20"/>
                <w:lang w:val="en-US"/>
              </w:rPr>
              <w:t>291)</w:t>
            </w:r>
          </w:p>
        </w:tc>
      </w:tr>
      <w:tr w:rsidR="00370AC6" w:rsidRPr="00343DD3" w14:paraId="6B097341" w14:textId="77777777" w:rsidTr="00382E95">
        <w:tc>
          <w:tcPr>
            <w:tcW w:w="2828" w:type="dxa"/>
          </w:tcPr>
          <w:p w14:paraId="18BAA969" w14:textId="77777777" w:rsidR="00370AC6" w:rsidRPr="00343DD3" w:rsidRDefault="00370AC6" w:rsidP="00382E95">
            <w:pPr>
              <w:pStyle w:val="Tabletext"/>
              <w:ind w:left="0" w:right="0"/>
              <w:contextualSpacing/>
              <w:jc w:val="right"/>
              <w:rPr>
                <w:sz w:val="20"/>
                <w:szCs w:val="20"/>
                <w:lang w:val="en-US"/>
              </w:rPr>
            </w:pPr>
            <w:r w:rsidRPr="00343DD3">
              <w:rPr>
                <w:sz w:val="20"/>
                <w:szCs w:val="20"/>
                <w:lang w:val="en-US"/>
              </w:rPr>
              <w:t>median, months (95% CI)</w:t>
            </w:r>
          </w:p>
        </w:tc>
        <w:tc>
          <w:tcPr>
            <w:tcW w:w="2828" w:type="dxa"/>
          </w:tcPr>
          <w:p w14:paraId="4C01EB8C" w14:textId="77777777" w:rsidR="00370AC6" w:rsidRPr="00343DD3" w:rsidRDefault="00370AC6" w:rsidP="00382E95">
            <w:pPr>
              <w:pStyle w:val="Tabletext"/>
              <w:contextualSpacing/>
              <w:jc w:val="center"/>
              <w:rPr>
                <w:sz w:val="20"/>
                <w:szCs w:val="20"/>
                <w:lang w:val="en-US"/>
              </w:rPr>
            </w:pPr>
            <w:r w:rsidRPr="00343DD3">
              <w:rPr>
                <w:sz w:val="20"/>
                <w:szCs w:val="20"/>
                <w:lang w:val="en-US"/>
              </w:rPr>
              <w:t>7.6 (6.2, 9.5)</w:t>
            </w:r>
          </w:p>
        </w:tc>
        <w:tc>
          <w:tcPr>
            <w:tcW w:w="2828" w:type="dxa"/>
          </w:tcPr>
          <w:p w14:paraId="00B641DD" w14:textId="77777777" w:rsidR="00370AC6" w:rsidRPr="00343DD3" w:rsidRDefault="00370AC6" w:rsidP="00382E95">
            <w:pPr>
              <w:pStyle w:val="Tabletext"/>
              <w:ind w:left="0" w:right="0"/>
              <w:contextualSpacing/>
              <w:jc w:val="center"/>
              <w:rPr>
                <w:sz w:val="20"/>
                <w:szCs w:val="20"/>
                <w:lang w:val="en-US"/>
              </w:rPr>
            </w:pPr>
            <w:r w:rsidRPr="00343DD3">
              <w:rPr>
                <w:sz w:val="20"/>
                <w:szCs w:val="20"/>
                <w:lang w:val="en-US"/>
              </w:rPr>
              <w:t>5.4 (4.1, 5.7)</w:t>
            </w:r>
          </w:p>
        </w:tc>
      </w:tr>
      <w:tr w:rsidR="00370AC6" w:rsidRPr="00343DD3" w14:paraId="023B35AA" w14:textId="77777777" w:rsidTr="00382E95">
        <w:tc>
          <w:tcPr>
            <w:tcW w:w="2828" w:type="dxa"/>
          </w:tcPr>
          <w:p w14:paraId="649778C0" w14:textId="77777777" w:rsidR="00370AC6" w:rsidRPr="00343DD3" w:rsidRDefault="00370AC6" w:rsidP="00382E95">
            <w:pPr>
              <w:pStyle w:val="Tabletext"/>
              <w:ind w:left="0" w:right="0"/>
              <w:contextualSpacing/>
              <w:jc w:val="right"/>
              <w:rPr>
                <w:sz w:val="20"/>
                <w:szCs w:val="20"/>
                <w:lang w:val="en-US"/>
              </w:rPr>
            </w:pPr>
            <w:r w:rsidRPr="00343DD3">
              <w:rPr>
                <w:sz w:val="20"/>
                <w:szCs w:val="20"/>
                <w:lang w:val="en-US"/>
              </w:rPr>
              <w:t>difference</w:t>
            </w:r>
          </w:p>
        </w:tc>
        <w:tc>
          <w:tcPr>
            <w:tcW w:w="5656" w:type="dxa"/>
            <w:gridSpan w:val="2"/>
          </w:tcPr>
          <w:p w14:paraId="220057F6" w14:textId="77777777" w:rsidR="00370AC6" w:rsidRPr="00343DD3" w:rsidRDefault="00370AC6" w:rsidP="00382E95">
            <w:pPr>
              <w:pStyle w:val="Tabletext"/>
              <w:contextualSpacing/>
              <w:jc w:val="center"/>
              <w:rPr>
                <w:sz w:val="20"/>
                <w:szCs w:val="20"/>
                <w:lang w:val="en-US"/>
              </w:rPr>
            </w:pPr>
            <w:r w:rsidRPr="00343DD3">
              <w:rPr>
                <w:sz w:val="20"/>
                <w:szCs w:val="20"/>
                <w:lang w:val="en-US"/>
              </w:rPr>
              <w:t>2.2 months</w:t>
            </w:r>
          </w:p>
        </w:tc>
      </w:tr>
      <w:tr w:rsidR="00370AC6" w:rsidRPr="00343DD3" w14:paraId="0EAAF863" w14:textId="77777777" w:rsidTr="00382E95">
        <w:tc>
          <w:tcPr>
            <w:tcW w:w="2828" w:type="dxa"/>
          </w:tcPr>
          <w:p w14:paraId="34865E33" w14:textId="77777777" w:rsidR="00370AC6" w:rsidRPr="00343DD3" w:rsidRDefault="00370AC6" w:rsidP="00382E95">
            <w:pPr>
              <w:pStyle w:val="Tabletext"/>
              <w:ind w:left="0" w:right="0"/>
              <w:contextualSpacing/>
              <w:jc w:val="right"/>
              <w:rPr>
                <w:sz w:val="20"/>
                <w:szCs w:val="20"/>
                <w:lang w:val="en-US"/>
              </w:rPr>
            </w:pPr>
            <w:r w:rsidRPr="00343DD3">
              <w:rPr>
                <w:sz w:val="20"/>
                <w:szCs w:val="20"/>
                <w:lang w:val="en-US"/>
              </w:rPr>
              <w:t>stratified HR</w:t>
            </w:r>
          </w:p>
        </w:tc>
        <w:tc>
          <w:tcPr>
            <w:tcW w:w="5656" w:type="dxa"/>
            <w:gridSpan w:val="2"/>
          </w:tcPr>
          <w:p w14:paraId="21D8A126" w14:textId="77777777" w:rsidR="00370AC6" w:rsidRPr="00343DD3" w:rsidRDefault="00370AC6" w:rsidP="00382E95">
            <w:pPr>
              <w:pStyle w:val="Tabletext"/>
              <w:ind w:left="0" w:right="0"/>
              <w:contextualSpacing/>
              <w:jc w:val="center"/>
              <w:rPr>
                <w:sz w:val="20"/>
                <w:szCs w:val="20"/>
                <w:lang w:val="en-US"/>
              </w:rPr>
            </w:pPr>
            <w:r w:rsidRPr="00343DD3">
              <w:rPr>
                <w:sz w:val="20"/>
                <w:szCs w:val="20"/>
                <w:lang w:val="en-US"/>
              </w:rPr>
              <w:t>0.48 (0.34, 0.69)</w:t>
            </w:r>
          </w:p>
        </w:tc>
      </w:tr>
    </w:tbl>
    <w:p w14:paraId="5007AFAD" w14:textId="77777777" w:rsidR="00370AC6" w:rsidRDefault="00370AC6" w:rsidP="00370AC6">
      <w:r>
        <w:t xml:space="preserve">All patients enrolled in </w:t>
      </w:r>
      <w:r w:rsidR="008D454B">
        <w:t xml:space="preserve">the </w:t>
      </w:r>
      <w:r>
        <w:t xml:space="preserve">HER2CLIMB </w:t>
      </w:r>
      <w:r w:rsidR="008D454B">
        <w:t xml:space="preserve">trial </w:t>
      </w:r>
      <w:r>
        <w:t>were required to have been previously treated with</w:t>
      </w:r>
      <w:r w:rsidR="008D454B">
        <w:t xml:space="preserve"> trastuzumab, </w:t>
      </w:r>
      <w:proofErr w:type="spellStart"/>
      <w:r w:rsidR="008D454B">
        <w:t>pertuzumab</w:t>
      </w:r>
      <w:proofErr w:type="spellEnd"/>
      <w:r w:rsidR="008D454B">
        <w:t xml:space="preserve">, and </w:t>
      </w:r>
      <w:r w:rsidR="00D47EC3">
        <w:t>T-DM1</w:t>
      </w:r>
      <w:r>
        <w:t xml:space="preserve"> in the (neo)adjuvant and/or metastatic setting, and all patients had been exposed to at l</w:t>
      </w:r>
      <w:r w:rsidR="008D454B">
        <w:t>east one line (and a median of three</w:t>
      </w:r>
      <w:r>
        <w:t>, maximum of 14 lines) of the</w:t>
      </w:r>
      <w:r w:rsidR="008D454B">
        <w:t>rapy in the metastatic setting.</w:t>
      </w:r>
    </w:p>
    <w:p w14:paraId="51EB6526" w14:textId="77777777" w:rsidR="00370AC6" w:rsidRDefault="00370AC6" w:rsidP="00370AC6">
      <w:r>
        <w:t xml:space="preserve">Patients with active brain disease have been largely excluded from breast cancer trials in the past and the evidence base for therapies in this setting is limited. In </w:t>
      </w:r>
      <w:r w:rsidR="008D454B">
        <w:t xml:space="preserve">the </w:t>
      </w:r>
      <w:r>
        <w:t>HER2CLIMB</w:t>
      </w:r>
      <w:r w:rsidR="008D454B">
        <w:t xml:space="preserve"> trial</w:t>
      </w:r>
      <w:r>
        <w:t xml:space="preserve">, patients with brain metastases of all categories (treated and stable; treated and progressing; untreated) made up 48% of the study population. The statistically and clinically robust results for this group - in context of the assumption of exclusion from most trials to date - support specification of this population in the indication despite the grammatical redundancy. Further discussion of the indication wording is located in </w:t>
      </w:r>
      <w:r w:rsidR="0067093A">
        <w:t>the ‘</w:t>
      </w:r>
      <w:r w:rsidR="0067093A" w:rsidRPr="0067093A">
        <w:rPr>
          <w:i/>
        </w:rPr>
        <w:t>Indication wording</w:t>
      </w:r>
      <w:r w:rsidR="0067093A">
        <w:t>’ section, below.</w:t>
      </w:r>
    </w:p>
    <w:p w14:paraId="4E9452D2" w14:textId="77777777" w:rsidR="00370AC6" w:rsidRDefault="00370AC6" w:rsidP="00DC5056">
      <w:pPr>
        <w:pStyle w:val="Heading5"/>
      </w:pPr>
      <w:r>
        <w:t>Harms and uncertainties</w:t>
      </w:r>
    </w:p>
    <w:p w14:paraId="2B3A3156" w14:textId="77777777" w:rsidR="00370AC6" w:rsidRDefault="00370AC6" w:rsidP="00370AC6">
      <w:r w:rsidRPr="00B9621E">
        <w:t xml:space="preserve">Treatment with tucatinib in </w:t>
      </w:r>
      <w:r w:rsidR="0067093A">
        <w:t xml:space="preserve">the </w:t>
      </w:r>
      <w:r w:rsidRPr="00B9621E">
        <w:t xml:space="preserve">HER2CLIMB </w:t>
      </w:r>
      <w:r w:rsidR="0067093A">
        <w:t xml:space="preserve">trial </w:t>
      </w:r>
      <w:r w:rsidRPr="00B9621E">
        <w:t>was associated with more toxicity than placebo, notably gastrointestinal and hepatic toxicities</w:t>
      </w:r>
      <w:r>
        <w:t>,</w:t>
      </w:r>
      <w:r w:rsidRPr="00B9621E">
        <w:t xml:space="preserve"> over and above those attributable to capecitabine or </w:t>
      </w:r>
      <w:r>
        <w:t>trastuzumab. Diarrhoea and hepatotoxicity are to be included in the PI as Warnings/Precautions.</w:t>
      </w:r>
    </w:p>
    <w:p w14:paraId="72836B0F" w14:textId="77777777" w:rsidR="00370AC6" w:rsidRPr="00B9621E" w:rsidRDefault="00370AC6" w:rsidP="00370AC6">
      <w:r w:rsidRPr="00B9621E">
        <w:t xml:space="preserve">Two patients </w:t>
      </w:r>
      <w:r>
        <w:t>treated with</w:t>
      </w:r>
      <w:r w:rsidRPr="00B9621E">
        <w:t xml:space="preserve"> tucatinib died from the sequelae of severe diarrhoea and dehydration</w:t>
      </w:r>
      <w:r>
        <w:t>. In both cases, diarrhoea was ongoing at the time of death and there was concurrent suspected infection.</w:t>
      </w:r>
    </w:p>
    <w:p w14:paraId="36AF0ED8" w14:textId="686077DC" w:rsidR="00370AC6" w:rsidRDefault="00370AC6" w:rsidP="00370AC6">
      <w:r>
        <w:t xml:space="preserve">A specific review of hepatotoxicity was undertaken by </w:t>
      </w:r>
      <w:r w:rsidR="0067093A">
        <w:t xml:space="preserve">the </w:t>
      </w:r>
      <w:r>
        <w:t>FDA, in conjunction with experts from the Division of Gastroenterology and Inborn Errors Products (DGIEP), coming to the following conclusion:</w:t>
      </w:r>
      <w:r w:rsidR="00C30FE0">
        <w:fldChar w:fldCharType="begin"/>
      </w:r>
      <w:r w:rsidR="00C30FE0">
        <w:instrText xml:space="preserve"> NOTEREF _Ref64226828 \f \h </w:instrText>
      </w:r>
      <w:r w:rsidR="00C30FE0">
        <w:fldChar w:fldCharType="separate"/>
      </w:r>
      <w:r w:rsidR="00F979FB" w:rsidRPr="00F979FB">
        <w:rPr>
          <w:rStyle w:val="FootnoteReference"/>
        </w:rPr>
        <w:t>10</w:t>
      </w:r>
      <w:r w:rsidR="00C30FE0">
        <w:fldChar w:fldCharType="end"/>
      </w:r>
    </w:p>
    <w:p w14:paraId="74D939A0" w14:textId="77777777" w:rsidR="00370AC6" w:rsidRDefault="007F2AE5" w:rsidP="007F2AE5">
      <w:pPr>
        <w:ind w:left="720"/>
      </w:pPr>
      <w:r>
        <w:t>‘</w:t>
      </w:r>
      <w:r w:rsidR="00370AC6" w:rsidRPr="00FC05AC">
        <w:t>Tucatinib is a possible cause of DILI, and based on the data available, is associated with a mild</w:t>
      </w:r>
      <w:r w:rsidR="00370AC6">
        <w:t xml:space="preserve"> </w:t>
      </w:r>
      <w:r w:rsidR="00370AC6" w:rsidRPr="00FC05AC">
        <w:t>to modest rise in transaminases. This rise decreases with drug withdrawal, and patients were</w:t>
      </w:r>
      <w:r w:rsidR="00370AC6">
        <w:t xml:space="preserve"> </w:t>
      </w:r>
      <w:r w:rsidR="00370AC6" w:rsidRPr="00FC05AC">
        <w:t>able to tolerate a reduced dose. The information available, including the case summary</w:t>
      </w:r>
      <w:r w:rsidR="00370AC6">
        <w:t xml:space="preserve"> </w:t>
      </w:r>
      <w:r w:rsidR="00370AC6" w:rsidRPr="00FC05AC">
        <w:t>detailed by the applicant, does not point to a Hy’s law signal associated with tucatinib, but</w:t>
      </w:r>
      <w:r w:rsidR="00370AC6">
        <w:t xml:space="preserve"> </w:t>
      </w:r>
      <w:r w:rsidR="00370AC6" w:rsidRPr="00FC05AC">
        <w:t>based on the confounders listed and the relatively small tucatinib safety database, the</w:t>
      </w:r>
      <w:r w:rsidR="00370AC6">
        <w:t xml:space="preserve"> </w:t>
      </w:r>
      <w:r w:rsidR="00370AC6" w:rsidRPr="00FC05AC">
        <w:t>possibility cannot be entirely excluded.</w:t>
      </w:r>
    </w:p>
    <w:p w14:paraId="4C84A211" w14:textId="77777777" w:rsidR="00370AC6" w:rsidRDefault="00370AC6" w:rsidP="007F2AE5">
      <w:pPr>
        <w:ind w:left="720"/>
      </w:pPr>
      <w:r w:rsidRPr="00FC05AC">
        <w:t>There were no cases of hepatotoxicity leading to liver failure or death in HER2CLIMB</w:t>
      </w:r>
      <w:r>
        <w:t>.</w:t>
      </w:r>
      <w:r w:rsidR="007F2AE5">
        <w:t>’</w:t>
      </w:r>
    </w:p>
    <w:p w14:paraId="174A323B" w14:textId="77777777" w:rsidR="00370AC6" w:rsidRDefault="00370AC6" w:rsidP="00370AC6">
      <w:r>
        <w:t>Overall, there was a higher rate of adverse event-related deaths in the placebo arm (3.0%) than the tucatinib arm (2.0%).</w:t>
      </w:r>
    </w:p>
    <w:p w14:paraId="1475C2ED" w14:textId="77777777" w:rsidR="00370AC6" w:rsidRDefault="00370AC6" w:rsidP="00370AC6">
      <w:r>
        <w:t>The most common adverse reactions (≥</w:t>
      </w:r>
      <w:r w:rsidR="007F2AE5">
        <w:t xml:space="preserve"> </w:t>
      </w:r>
      <w:r>
        <w:t xml:space="preserve">30%) in patients who received tucatinib were diarrhoea, palmar-plantar </w:t>
      </w:r>
      <w:proofErr w:type="spellStart"/>
      <w:r>
        <w:t>erythrodysaesthesia</w:t>
      </w:r>
      <w:proofErr w:type="spellEnd"/>
      <w:r>
        <w:t xml:space="preserve"> (PPE) syndrome, nausea, fatigue, hepatotoxicity, vomiting and stomatitis. The most common Grade</w:t>
      </w:r>
      <w:r w:rsidR="00C30FE0">
        <w:t xml:space="preserve"> </w:t>
      </w:r>
      <w:r>
        <w:t>≥</w:t>
      </w:r>
      <w:r w:rsidR="00C30FE0">
        <w:t xml:space="preserve"> </w:t>
      </w:r>
      <w:r>
        <w:t>3 adverse reactions (≥</w:t>
      </w:r>
      <w:r w:rsidR="0014391A">
        <w:t> </w:t>
      </w:r>
      <w:r>
        <w:t>5%) were PPE syndrome, diarrhoea, hepatotoxicity and fatigue.</w:t>
      </w:r>
    </w:p>
    <w:p w14:paraId="04C3A823" w14:textId="77777777" w:rsidR="00370AC6" w:rsidRDefault="00370AC6" w:rsidP="00370AC6">
      <w:r>
        <w:t>Discontinuations, dose interruptions and reductions were all more frequent with tucatinib than placebo, particularly due to hepatotoxicity or diarrhoea.</w:t>
      </w:r>
    </w:p>
    <w:p w14:paraId="6115F65E" w14:textId="77777777" w:rsidR="00370AC6" w:rsidRDefault="00370AC6" w:rsidP="00370AC6">
      <w:r>
        <w:t>Treatment with tucatinib plus capecitabine and trastuzumab is not appropriate for patients with severe renal failure</w:t>
      </w:r>
      <w:r w:rsidRPr="00296788">
        <w:t xml:space="preserve"> </w:t>
      </w:r>
      <w:r>
        <w:t>as capecitabine use is contraindicated in such patients. For patients with severe hepatic impairment, the starting dose should be 200 mg.</w:t>
      </w:r>
    </w:p>
    <w:p w14:paraId="22996212" w14:textId="77777777" w:rsidR="00370AC6" w:rsidRPr="00A459D8" w:rsidRDefault="00370AC6" w:rsidP="00370AC6">
      <w:r>
        <w:t>Clinically relevant drug-drug interactions related to CYP2C8, CYP3A4, and P-</w:t>
      </w:r>
      <w:proofErr w:type="spellStart"/>
      <w:r>
        <w:t>gp</w:t>
      </w:r>
      <w:proofErr w:type="spellEnd"/>
      <w:r>
        <w:t xml:space="preserve"> are described in the product information, includi</w:t>
      </w:r>
      <w:r w:rsidR="007F2AE5">
        <w:t>ng dose action recommendations.</w:t>
      </w:r>
    </w:p>
    <w:p w14:paraId="715411EC" w14:textId="77777777" w:rsidR="00370AC6" w:rsidRPr="00C53E0D" w:rsidRDefault="00370AC6" w:rsidP="00DC5056">
      <w:pPr>
        <w:pStyle w:val="Heading5"/>
      </w:pPr>
      <w:r w:rsidRPr="00C53E0D">
        <w:t>Benefit-risk balance</w:t>
      </w:r>
    </w:p>
    <w:p w14:paraId="41406C37" w14:textId="77E480C4" w:rsidR="00370AC6" w:rsidRPr="0071360F" w:rsidRDefault="00370AC6" w:rsidP="00370AC6">
      <w:r w:rsidRPr="0071360F">
        <w:t xml:space="preserve">This submission provides </w:t>
      </w:r>
      <w:r>
        <w:t xml:space="preserve">robust </w:t>
      </w:r>
      <w:r w:rsidRPr="0071360F">
        <w:t>data from a ra</w:t>
      </w:r>
      <w:r w:rsidR="00F31A54">
        <w:t>ndomised, double-blind, placebo</w:t>
      </w:r>
      <w:r w:rsidR="00F31A54">
        <w:noBreakHyphen/>
      </w:r>
      <w:r w:rsidRPr="0071360F">
        <w:t xml:space="preserve">controlled trial that demonstrates an improvement in progression-free survival and overall survival when tucatinib is added to trastuzumab and capecitabine </w:t>
      </w:r>
      <w:r>
        <w:t xml:space="preserve">in the </w:t>
      </w:r>
      <w:r w:rsidRPr="0071360F">
        <w:t xml:space="preserve">treatment of patients with previously-treated, HER-2 positive advanced breast cancer. For patients with brain metastases, a statistically significant and clinically significant improvement in PFS was also demonstrated, of the same magnitude </w:t>
      </w:r>
      <w:r w:rsidR="00C30FE0">
        <w:t>seen in the overall population.</w:t>
      </w:r>
    </w:p>
    <w:p w14:paraId="5F845FF5" w14:textId="77777777" w:rsidR="00370AC6" w:rsidRDefault="00370AC6" w:rsidP="00370AC6">
      <w:r>
        <w:t>The inclusion of tucatinib to this combination results in additional toxicity, but in the setting of this serious, life-threatening disease, the safety profile of the combination is acceptable. Adverse events were generally manageable with standard supportive therapies, dose interruption and reduction, and there was a low adverse reaction-related discontinuation rate (6%).</w:t>
      </w:r>
    </w:p>
    <w:p w14:paraId="74621C02" w14:textId="77777777" w:rsidR="00456765" w:rsidRDefault="00370AC6" w:rsidP="00370AC6">
      <w:r>
        <w:t>The benefit-risk balance for the proposed usage is therefore considered favourable.</w:t>
      </w:r>
    </w:p>
    <w:p w14:paraId="72D9690B" w14:textId="77777777" w:rsidR="008D454B" w:rsidRDefault="008D454B" w:rsidP="008D454B">
      <w:pPr>
        <w:pStyle w:val="Heading5"/>
      </w:pPr>
      <w:r>
        <w:t>Indication wording</w:t>
      </w:r>
    </w:p>
    <w:p w14:paraId="199FAFA1" w14:textId="5178E778" w:rsidR="008D454B" w:rsidRDefault="008D454B" w:rsidP="008D454B">
      <w:r>
        <w:fldChar w:fldCharType="begin"/>
      </w:r>
      <w:r>
        <w:instrText xml:space="preserve"> REF _Ref62135024 \h </w:instrText>
      </w:r>
      <w:r>
        <w:fldChar w:fldCharType="separate"/>
      </w:r>
      <w:r w:rsidR="00F979FB">
        <w:t xml:space="preserve">Table </w:t>
      </w:r>
      <w:r w:rsidR="00F979FB">
        <w:rPr>
          <w:noProof/>
        </w:rPr>
        <w:t>1</w:t>
      </w:r>
      <w:r>
        <w:fldChar w:fldCharType="end"/>
      </w:r>
      <w:r>
        <w:t xml:space="preserve"> summarises the indication wording approved by other regulators. The indication wording proposed for the Australian PI is:</w:t>
      </w:r>
    </w:p>
    <w:p w14:paraId="1E2164DE" w14:textId="77777777" w:rsidR="008D454B" w:rsidRPr="008D454B" w:rsidRDefault="008D454B" w:rsidP="008D454B">
      <w:pPr>
        <w:ind w:left="720"/>
        <w:rPr>
          <w:i/>
        </w:rPr>
      </w:pPr>
      <w:r w:rsidRPr="008D454B">
        <w:rPr>
          <w:i/>
        </w:rPr>
        <w:t>Tukysa (tucatinib) is indicated in combination with trastuzumab and capecitabine for treatment of patients with locally advanced unresectable or metastatic HER2-positive breast cancer, including patients with brain metastases, who have received one or more prior anti-HER2-based regimens in the metastatic setting.</w:t>
      </w:r>
    </w:p>
    <w:p w14:paraId="02276707" w14:textId="77777777" w:rsidR="008D454B" w:rsidRDefault="008D454B" w:rsidP="008D454B">
      <w:r>
        <w:t>This wording is based on the following rationale:</w:t>
      </w:r>
    </w:p>
    <w:p w14:paraId="3CA82ADF" w14:textId="77777777" w:rsidR="008D454B" w:rsidRDefault="008D454B" w:rsidP="008D454B">
      <w:pPr>
        <w:pStyle w:val="ListBullet"/>
      </w:pPr>
      <w:r>
        <w:t>Statistically robust and clinically significant efficacy was specifically demonstrated in patients with brain metastases, who have poor prognosis and limited treatment options, and have usually been excluded from breast cancer clinical trials.</w:t>
      </w:r>
    </w:p>
    <w:p w14:paraId="1A8170C0" w14:textId="77777777" w:rsidR="008D454B" w:rsidRDefault="008D454B" w:rsidP="008D454B">
      <w:pPr>
        <w:pStyle w:val="ListBullet"/>
      </w:pPr>
      <w:r>
        <w:t>An indication that specified particular prior therapies may preclude usages that are clinically</w:t>
      </w:r>
      <w:r w:rsidRPr="005D0EC6">
        <w:t xml:space="preserve"> </w:t>
      </w:r>
      <w:r>
        <w:t>valid, such as:</w:t>
      </w:r>
    </w:p>
    <w:p w14:paraId="72CF4805" w14:textId="77777777" w:rsidR="008D454B" w:rsidRDefault="008D454B" w:rsidP="008D454B">
      <w:pPr>
        <w:pStyle w:val="ListBullet2"/>
      </w:pPr>
      <w:r>
        <w:t>Patients with HER2+/ER+ disease who elect to have trastuzumab plus endocrine therapy for the treatment of more indolent disease, or based on comorbidities and/or personal preference.</w:t>
      </w:r>
    </w:p>
    <w:p w14:paraId="150AD298" w14:textId="77777777" w:rsidR="008D454B" w:rsidRDefault="008D454B" w:rsidP="008D454B">
      <w:pPr>
        <w:pStyle w:val="ListBullet2"/>
      </w:pPr>
      <w:r>
        <w:t>Patients preferring home administration of treatment who elect to have trastuzumab plus chemotherapy or endocrine therapy, with maintenance subcutaneous trastuzumab administered in the community setting (for example, hospital in the home).</w:t>
      </w:r>
    </w:p>
    <w:p w14:paraId="5B3DBE8D" w14:textId="77777777" w:rsidR="008D454B" w:rsidRDefault="008D454B" w:rsidP="008D454B">
      <w:pPr>
        <w:pStyle w:val="ListBullet2"/>
      </w:pPr>
      <w:r>
        <w:t>Patients with contraindications to/intolerances of one of the specified drugs.</w:t>
      </w:r>
    </w:p>
    <w:p w14:paraId="6AC3FCF0" w14:textId="77777777" w:rsidR="008D454B" w:rsidRDefault="008D454B" w:rsidP="008D454B">
      <w:pPr>
        <w:pStyle w:val="ListBullet2"/>
      </w:pPr>
      <w:r>
        <w:t xml:space="preserve">Prior to </w:t>
      </w:r>
      <w:r w:rsidR="00D47EC3">
        <w:t>T-DM1</w:t>
      </w:r>
      <w:r>
        <w:t xml:space="preserve"> in a patient who received trastuzumab plus </w:t>
      </w:r>
      <w:proofErr w:type="spellStart"/>
      <w:r>
        <w:t>pertuzumab</w:t>
      </w:r>
      <w:proofErr w:type="spellEnd"/>
      <w:r>
        <w:t xml:space="preserve"> plus a </w:t>
      </w:r>
      <w:proofErr w:type="spellStart"/>
      <w:r>
        <w:t>taxane</w:t>
      </w:r>
      <w:proofErr w:type="spellEnd"/>
      <w:r>
        <w:t xml:space="preserve"> as first line treatment for </w:t>
      </w:r>
      <w:r w:rsidRPr="008D454B">
        <w:rPr>
          <w:i/>
        </w:rPr>
        <w:t>de novo</w:t>
      </w:r>
      <w:r>
        <w:t xml:space="preserve"> metastatic disease, then developed brain-only progression.</w:t>
      </w:r>
    </w:p>
    <w:p w14:paraId="7BCB7B98" w14:textId="77777777" w:rsidR="008D454B" w:rsidRDefault="008D454B" w:rsidP="008D454B">
      <w:pPr>
        <w:pStyle w:val="ListBullet2"/>
      </w:pPr>
      <w:r>
        <w:t>Patients who received newer anti-HER2 drugs, and so wouldn’t be eligible for tucatinib + trastuzumab + capecitabine until relatively later lines of therapy than the study population.</w:t>
      </w:r>
    </w:p>
    <w:p w14:paraId="48517273" w14:textId="77777777" w:rsidR="008D454B" w:rsidRDefault="008D454B" w:rsidP="008D454B">
      <w:pPr>
        <w:pStyle w:val="ListBullet"/>
      </w:pPr>
      <w:r>
        <w:t>An indication that required ‘at least three prior HER-2 directed therapies’ in any setting would also preclude some of the above usages.</w:t>
      </w:r>
    </w:p>
    <w:p w14:paraId="77A085E8" w14:textId="77777777" w:rsidR="008D454B" w:rsidRDefault="008D454B" w:rsidP="008D454B">
      <w:pPr>
        <w:pStyle w:val="ListBullet"/>
      </w:pPr>
      <w:r>
        <w:t>The wording used by FDA and Singapore adequately represents the enrolled population: patients had received at least one prior line of systemic anti-HER2 therapy in the metastatic setting (with a mean and median of three).</w:t>
      </w:r>
    </w:p>
    <w:p w14:paraId="643E1734" w14:textId="77777777" w:rsidR="008D454B" w:rsidRDefault="008D454B" w:rsidP="008D454B">
      <w:pPr>
        <w:pStyle w:val="ListBullet"/>
      </w:pPr>
      <w:r>
        <w:t xml:space="preserve">A </w:t>
      </w:r>
      <w:r w:rsidRPr="008D454B">
        <w:rPr>
          <w:i/>
        </w:rPr>
        <w:t>post-hoc</w:t>
      </w:r>
      <w:r>
        <w:t>, exploratory subgroup analysis in patients who had</w:t>
      </w:r>
      <w:r w:rsidR="00E66FC0">
        <w:t xml:space="preserve"> received one</w:t>
      </w:r>
      <w:r>
        <w:t xml:space="preserve"> prior systemic anti-HER2-based regimen in the metastatic setting was requested by </w:t>
      </w:r>
      <w:r w:rsidR="00E66FC0">
        <w:t xml:space="preserve">the </w:t>
      </w:r>
      <w:r>
        <w:t>TGA</w:t>
      </w:r>
      <w:r w:rsidR="00E66FC0">
        <w:t xml:space="preserve"> (see ‘</w:t>
      </w:r>
      <w:r w:rsidR="00E66FC0" w:rsidRPr="00E66FC0">
        <w:rPr>
          <w:i/>
        </w:rPr>
        <w:t>Questions for the sponsor</w:t>
      </w:r>
      <w:r w:rsidR="00E66FC0">
        <w:t>’ section, below)</w:t>
      </w:r>
      <w:r>
        <w:t xml:space="preserve"> and, noting the very small group sizes, does not generate hypotheses of a lack of efficacy in such patients:</w:t>
      </w:r>
    </w:p>
    <w:p w14:paraId="3D0D24E5" w14:textId="77777777" w:rsidR="008D454B" w:rsidRDefault="008D454B" w:rsidP="008D454B">
      <w:pPr>
        <w:pStyle w:val="ListBullet2"/>
      </w:pPr>
      <w:r>
        <w:t>ITT-PFS HR for tucatinib (n</w:t>
      </w:r>
      <w:r w:rsidR="00E66FC0">
        <w:t xml:space="preserve"> </w:t>
      </w:r>
      <w:r>
        <w:t>=</w:t>
      </w:r>
      <w:r w:rsidR="00E66FC0">
        <w:t xml:space="preserve"> </w:t>
      </w:r>
      <w:r>
        <w:t>17) v</w:t>
      </w:r>
      <w:r w:rsidR="00E66FC0">
        <w:t>ersus</w:t>
      </w:r>
      <w:r>
        <w:t xml:space="preserve"> placebo (n</w:t>
      </w:r>
      <w:r w:rsidR="00E66FC0">
        <w:t xml:space="preserve"> </w:t>
      </w:r>
      <w:r>
        <w:t>=</w:t>
      </w:r>
      <w:r w:rsidR="00E66FC0">
        <w:t xml:space="preserve"> </w:t>
      </w:r>
      <w:r>
        <w:t xml:space="preserve">12): </w:t>
      </w:r>
      <w:r w:rsidR="00E66FC0">
        <w:t xml:space="preserve">HR = </w:t>
      </w:r>
      <w:r w:rsidRPr="008B5EED">
        <w:t>0.454 (</w:t>
      </w:r>
      <w:r w:rsidR="00E66FC0">
        <w:t xml:space="preserve">95% CI </w:t>
      </w:r>
      <w:r w:rsidRPr="008B5EED">
        <w:t>0.178, 1.156)</w:t>
      </w:r>
    </w:p>
    <w:p w14:paraId="3C4D3A76" w14:textId="77777777" w:rsidR="008D454B" w:rsidRDefault="008D454B" w:rsidP="008D454B">
      <w:pPr>
        <w:pStyle w:val="ListBullet2"/>
      </w:pPr>
      <w:r>
        <w:t>ITT-OS HR for tucatinib (n</w:t>
      </w:r>
      <w:r w:rsidR="00E66FC0">
        <w:t xml:space="preserve"> </w:t>
      </w:r>
      <w:r>
        <w:t>=</w:t>
      </w:r>
      <w:r w:rsidR="00E66FC0">
        <w:t xml:space="preserve"> </w:t>
      </w:r>
      <w:r>
        <w:t>21) v</w:t>
      </w:r>
      <w:r w:rsidR="00E66FC0">
        <w:t>ersus</w:t>
      </w:r>
      <w:r>
        <w:t xml:space="preserve"> placebo (n</w:t>
      </w:r>
      <w:r w:rsidR="00E66FC0">
        <w:t xml:space="preserve"> </w:t>
      </w:r>
      <w:r>
        <w:t>=</w:t>
      </w:r>
      <w:r w:rsidR="00E66FC0">
        <w:t xml:space="preserve"> </w:t>
      </w:r>
      <w:r>
        <w:t xml:space="preserve">15): </w:t>
      </w:r>
      <w:r w:rsidR="00E66FC0">
        <w:t>HR = 0.783 (95% CI 0.289, 2.125</w:t>
      </w:r>
      <w:r w:rsidRPr="008B5EED">
        <w:t>)</w:t>
      </w:r>
    </w:p>
    <w:p w14:paraId="79C88F77" w14:textId="77777777" w:rsidR="008D454B" w:rsidRDefault="008D454B" w:rsidP="008D454B">
      <w:pPr>
        <w:pStyle w:val="ListBullet2"/>
      </w:pPr>
      <w:r>
        <w:t>ITT-</w:t>
      </w:r>
      <w:proofErr w:type="spellStart"/>
      <w:r>
        <w:t>PFS</w:t>
      </w:r>
      <w:r w:rsidRPr="00E66FC0">
        <w:rPr>
          <w:vertAlign w:val="subscript"/>
        </w:rPr>
        <w:t>BrainMets</w:t>
      </w:r>
      <w:proofErr w:type="spellEnd"/>
      <w:r>
        <w:t xml:space="preserve"> for tucatinib (n</w:t>
      </w:r>
      <w:r w:rsidR="00E66FC0">
        <w:t xml:space="preserve"> </w:t>
      </w:r>
      <w:r>
        <w:t>=</w:t>
      </w:r>
      <w:r w:rsidR="00E66FC0">
        <w:t xml:space="preserve"> </w:t>
      </w:r>
      <w:r>
        <w:t>7) v</w:t>
      </w:r>
      <w:r w:rsidR="00E66FC0">
        <w:t>ersus</w:t>
      </w:r>
      <w:r>
        <w:t xml:space="preserve"> placebo (n</w:t>
      </w:r>
      <w:r w:rsidR="00E66FC0">
        <w:t xml:space="preserve"> </w:t>
      </w:r>
      <w:r>
        <w:t>=</w:t>
      </w:r>
      <w:r w:rsidR="00E66FC0">
        <w:t xml:space="preserve"> </w:t>
      </w:r>
      <w:r>
        <w:t xml:space="preserve">9): </w:t>
      </w:r>
      <w:r w:rsidR="00E66FC0">
        <w:t xml:space="preserve">HR = </w:t>
      </w:r>
      <w:r w:rsidRPr="008B5EED">
        <w:t>0.969 (</w:t>
      </w:r>
      <w:r w:rsidR="00E66FC0">
        <w:t xml:space="preserve">95% CI </w:t>
      </w:r>
      <w:r w:rsidRPr="008B5EED">
        <w:t>0.275, 3.422)</w:t>
      </w:r>
    </w:p>
    <w:p w14:paraId="1E34B6D4" w14:textId="77777777" w:rsidR="008D454B" w:rsidRPr="008D454B" w:rsidRDefault="008D454B" w:rsidP="008D454B">
      <w:pPr>
        <w:pStyle w:val="ListBullet"/>
      </w:pPr>
      <w:r>
        <w:t>The prescriber group who would be expe</w:t>
      </w:r>
      <w:r w:rsidR="00E66FC0">
        <w:t>cted to initiate this drug (that is,</w:t>
      </w:r>
      <w:r>
        <w:t xml:space="preserve"> registered oncologists) are experts in the application of evolving evidence and clinical practice guidelines to prescribing decisions. For this prescriber group, a less rigid indication can be expected to provide appropriate clinical flexibility without significantly increasing the risk of inappropriate prescribing. It is very unlikely, for example, that an oncologist would recommend use of the t</w:t>
      </w:r>
      <w:r w:rsidR="00E66FC0">
        <w:t xml:space="preserve">ucatinib combination prior to </w:t>
      </w:r>
      <w:r w:rsidR="00D47EC3">
        <w:t>T-DM1</w:t>
      </w:r>
      <w:r>
        <w:t xml:space="preserve"> without good clinical rationale for doing so, or be unaware of the evidence base behind the selection.</w:t>
      </w:r>
    </w:p>
    <w:p w14:paraId="67569A63" w14:textId="77777777" w:rsidR="00D23139" w:rsidRDefault="00D23139" w:rsidP="00D23139">
      <w:pPr>
        <w:pStyle w:val="Heading4"/>
      </w:pPr>
      <w:r w:rsidRPr="00D23139">
        <w:t>Proposed action</w:t>
      </w:r>
    </w:p>
    <w:p w14:paraId="006DAAB9" w14:textId="77777777" w:rsidR="00343DD3" w:rsidRDefault="00343DD3" w:rsidP="00343DD3">
      <w:r>
        <w:t>The Delegate</w:t>
      </w:r>
      <w:r w:rsidRPr="00AD635A">
        <w:t xml:space="preserve"> propose</w:t>
      </w:r>
      <w:r>
        <w:t>s</w:t>
      </w:r>
      <w:r w:rsidRPr="00AD635A">
        <w:t xml:space="preserve"> </w:t>
      </w:r>
      <w:r w:rsidRPr="00CE3ABB">
        <w:t xml:space="preserve">to </w:t>
      </w:r>
      <w:r>
        <w:t>approve</w:t>
      </w:r>
      <w:r w:rsidRPr="00CE3ABB">
        <w:t xml:space="preserve"> the registration of the product</w:t>
      </w:r>
      <w:r w:rsidR="00E66FC0">
        <w:t xml:space="preserve"> for the indication:</w:t>
      </w:r>
    </w:p>
    <w:p w14:paraId="0A3B3E1F" w14:textId="77777777" w:rsidR="00E66FC0" w:rsidRPr="00E66FC0" w:rsidRDefault="00E66FC0" w:rsidP="00E66FC0">
      <w:pPr>
        <w:ind w:left="720"/>
        <w:rPr>
          <w:i/>
        </w:rPr>
      </w:pPr>
      <w:r w:rsidRPr="008D454B">
        <w:rPr>
          <w:i/>
        </w:rPr>
        <w:t>Tukysa (tucatinib) is indicated in combination with trastuzumab and capecitabine for treatment of patients with locally advanced unresectable or metastatic HER2-positive breast cancer, including patients with brain metastases, who have received one or more prior anti-HER2-based regimens in the metastatic setting.</w:t>
      </w:r>
    </w:p>
    <w:p w14:paraId="1DCAE69C" w14:textId="77777777" w:rsidR="001F1705" w:rsidRDefault="001F1705" w:rsidP="001F1705">
      <w:pPr>
        <w:pStyle w:val="Heading4"/>
      </w:pPr>
      <w:r>
        <w:t>Independent expert advice</w:t>
      </w:r>
    </w:p>
    <w:p w14:paraId="0BFDA842" w14:textId="77777777" w:rsidR="001F1705" w:rsidRDefault="001F1705" w:rsidP="001F1705">
      <w:r>
        <w:t>The Delegate received the following independent expert advice.</w:t>
      </w:r>
    </w:p>
    <w:p w14:paraId="1D2CA2F0" w14:textId="77777777" w:rsidR="001F1705" w:rsidRPr="007969E7" w:rsidRDefault="001F1705" w:rsidP="001F1705">
      <w:pPr>
        <w:pStyle w:val="ListBullet2"/>
        <w:numPr>
          <w:ilvl w:val="0"/>
          <w:numId w:val="0"/>
        </w:numPr>
        <w:rPr>
          <w:lang w:val="en-US"/>
        </w:rPr>
      </w:pPr>
      <w:r w:rsidRPr="007969E7">
        <w:rPr>
          <w:lang w:val="en-US"/>
        </w:rPr>
        <w:t>Australian independent clinical expertise was consulted by TGA for impartial advice on the Australia-specific clinical context. The expert advice was in agreement with the following:</w:t>
      </w:r>
    </w:p>
    <w:p w14:paraId="5473A0CC" w14:textId="77777777" w:rsidR="001F1705" w:rsidRPr="007969E7" w:rsidRDefault="001F1705" w:rsidP="00DC5056">
      <w:pPr>
        <w:pStyle w:val="ListBullet2"/>
        <w:numPr>
          <w:ilvl w:val="0"/>
          <w:numId w:val="6"/>
        </w:numPr>
        <w:rPr>
          <w:lang w:val="en-US"/>
        </w:rPr>
      </w:pPr>
      <w:r w:rsidRPr="007969E7">
        <w:rPr>
          <w:lang w:val="en-US"/>
        </w:rPr>
        <w:t>Australian patients with HER2-positive advanced breast cancer can generally be expected to be similar to US patients with HER2-positive metastatic breast cancer.</w:t>
      </w:r>
    </w:p>
    <w:p w14:paraId="72EC9EDD" w14:textId="77777777" w:rsidR="001F1705" w:rsidRPr="007969E7" w:rsidRDefault="001F1705" w:rsidP="00DC5056">
      <w:pPr>
        <w:pStyle w:val="ListBullet2"/>
        <w:numPr>
          <w:ilvl w:val="0"/>
          <w:numId w:val="6"/>
        </w:numPr>
        <w:rPr>
          <w:lang w:val="en-US"/>
        </w:rPr>
      </w:pPr>
      <w:r w:rsidRPr="007969E7">
        <w:rPr>
          <w:lang w:val="en-US"/>
        </w:rPr>
        <w:t>It is appropriate to reflect the inclusion of patients with brain metastases in the pivotal trial in the Australian indication wording.</w:t>
      </w:r>
    </w:p>
    <w:p w14:paraId="7A978A41" w14:textId="77777777" w:rsidR="001F1705" w:rsidRPr="007969E7" w:rsidRDefault="001F1705" w:rsidP="00DC5056">
      <w:pPr>
        <w:pStyle w:val="ListBullet2"/>
        <w:numPr>
          <w:ilvl w:val="0"/>
          <w:numId w:val="6"/>
        </w:numPr>
        <w:rPr>
          <w:lang w:val="en-US"/>
        </w:rPr>
      </w:pPr>
      <w:r w:rsidRPr="007969E7">
        <w:rPr>
          <w:lang w:val="en-US"/>
        </w:rPr>
        <w:t>It is appropriate to select indication wording that does not require use after specific agents, but to specify that at least one other anti-HER2 therapy should have been tried in the metastatic setting, as this sufficiently reflects the actually enrolled trial population as well as an acceptable level of reliance on clinician expert knowledge and decision-making.</w:t>
      </w:r>
    </w:p>
    <w:p w14:paraId="229FD720" w14:textId="77777777" w:rsidR="001F1705" w:rsidRPr="001F1705" w:rsidRDefault="001F1705" w:rsidP="001F1705">
      <w:r w:rsidRPr="007969E7">
        <w:rPr>
          <w:lang w:val="en-US"/>
        </w:rPr>
        <w:t xml:space="preserve">The independent Australian clinical experts did not identify any further questions, clarifications, or areas of uncertainty further to those </w:t>
      </w:r>
      <w:r>
        <w:rPr>
          <w:lang w:val="en-US"/>
        </w:rPr>
        <w:t>considered in this document.</w:t>
      </w:r>
    </w:p>
    <w:p w14:paraId="690CB5AC" w14:textId="364D1ADA" w:rsidR="007D53B6" w:rsidRDefault="007D53B6" w:rsidP="007D53B6">
      <w:pPr>
        <w:pStyle w:val="Heading4"/>
      </w:pPr>
      <w:r>
        <w:t xml:space="preserve">Questions for </w:t>
      </w:r>
      <w:r w:rsidR="00744121">
        <w:t xml:space="preserve">the </w:t>
      </w:r>
      <w:r>
        <w:t>sponsor</w:t>
      </w:r>
    </w:p>
    <w:p w14:paraId="27A27987" w14:textId="77777777" w:rsidR="00362E37" w:rsidRPr="00362E37" w:rsidRDefault="00744121" w:rsidP="00362E37">
      <w:r>
        <w:t>The sponsor provided the following response to questions from the Delegate.</w:t>
      </w:r>
    </w:p>
    <w:p w14:paraId="1F1CF50E" w14:textId="77777777" w:rsidR="00362E37" w:rsidRPr="00362E37" w:rsidRDefault="00362E37" w:rsidP="00362E37">
      <w:pPr>
        <w:rPr>
          <w:b/>
          <w:i/>
        </w:rPr>
      </w:pPr>
      <w:r w:rsidRPr="00362E37">
        <w:rPr>
          <w:b/>
          <w:i/>
        </w:rPr>
        <w:t>In the expert Australian clinician advice received, note was made that exploratory data for subgroups by number of prior lines of therapy and basic descriptive statistics for the subgroups would be reassuring if available</w:t>
      </w:r>
      <w:r w:rsidR="001F1705">
        <w:rPr>
          <w:b/>
          <w:i/>
        </w:rPr>
        <w:t>. Would it be possible for the s</w:t>
      </w:r>
      <w:r w:rsidRPr="00362E37">
        <w:rPr>
          <w:b/>
          <w:i/>
        </w:rPr>
        <w:t>ponsor to provide the following?</w:t>
      </w:r>
    </w:p>
    <w:p w14:paraId="34F1D8BA" w14:textId="77777777" w:rsidR="00362E37" w:rsidRPr="00362E37" w:rsidRDefault="00362E37" w:rsidP="00362E37">
      <w:pPr>
        <w:pStyle w:val="Numberbullet0"/>
        <w:rPr>
          <w:b/>
          <w:i/>
        </w:rPr>
      </w:pPr>
      <w:r w:rsidRPr="00362E37">
        <w:rPr>
          <w:b/>
          <w:i/>
        </w:rPr>
        <w:t>The number of patients who were in each of the following categories of number of prior systemic therapies received in the metastatic setting: 1, 2, 3, 4, 5, 6 or more.</w:t>
      </w:r>
    </w:p>
    <w:p w14:paraId="3D142BB7" w14:textId="5EDBED7F" w:rsidR="007D53B6" w:rsidRDefault="00362E37" w:rsidP="00362E37">
      <w:r w:rsidRPr="00362E37">
        <w:t>The number of patients in the ITT-OS population who received 1 to 6 or more prior lines of systemic therapy in th</w:t>
      </w:r>
      <w:r w:rsidR="00E66FC0">
        <w:t>e metastatic setting is summaris</w:t>
      </w:r>
      <w:r w:rsidRPr="00362E37">
        <w:t>ed in</w:t>
      </w:r>
      <w:r w:rsidR="00E66FC0">
        <w:t xml:space="preserve"> </w:t>
      </w:r>
      <w:r w:rsidR="00E66FC0">
        <w:fldChar w:fldCharType="begin"/>
      </w:r>
      <w:r w:rsidR="00E66FC0">
        <w:instrText xml:space="preserve"> REF _Ref64233556 \h </w:instrText>
      </w:r>
      <w:r w:rsidR="00E66FC0">
        <w:fldChar w:fldCharType="separate"/>
      </w:r>
      <w:r w:rsidR="00F979FB">
        <w:t xml:space="preserve">Table </w:t>
      </w:r>
      <w:r w:rsidR="00F979FB">
        <w:rPr>
          <w:noProof/>
        </w:rPr>
        <w:t>23</w:t>
      </w:r>
      <w:r w:rsidR="00E66FC0">
        <w:fldChar w:fldCharType="end"/>
      </w:r>
      <w:r w:rsidRPr="00362E37">
        <w:t>. The proportion of patients in each of the categories was balanced between the two treatment arms. Patients on both treat</w:t>
      </w:r>
      <w:r w:rsidR="00E66FC0">
        <w:t>ment arms received a median of three</w:t>
      </w:r>
      <w:r w:rsidRPr="00362E37">
        <w:t xml:space="preserve"> prior lines of therapy in the metastatic setting with a range of 1 to 14 prior lines.</w:t>
      </w:r>
    </w:p>
    <w:p w14:paraId="49DDE4A5" w14:textId="545A411F" w:rsidR="00362E37" w:rsidRDefault="00343DD3" w:rsidP="00343DD3">
      <w:pPr>
        <w:pStyle w:val="TableTitle"/>
      </w:pPr>
      <w:bookmarkStart w:id="73" w:name="_Ref64233556"/>
      <w:r>
        <w:t xml:space="preserve">Table </w:t>
      </w:r>
      <w:fldSimple w:instr=" SEQ Table \* ARABIC ">
        <w:r w:rsidR="00F979FB">
          <w:rPr>
            <w:noProof/>
          </w:rPr>
          <w:t>23</w:t>
        </w:r>
      </w:fldSimple>
      <w:bookmarkEnd w:id="73"/>
      <w:r>
        <w:t xml:space="preserve">: </w:t>
      </w:r>
      <w:r w:rsidR="00362E37">
        <w:t>Summary of prior systemic therapies in the metastatic setting (</w:t>
      </w:r>
      <w:r w:rsidR="00E66FC0">
        <w:t>intent to treat – overall survival</w:t>
      </w:r>
      <w:r w:rsidR="00362E37">
        <w:rPr>
          <w:spacing w:val="-14"/>
        </w:rPr>
        <w:t xml:space="preserve"> </w:t>
      </w:r>
      <w:r w:rsidR="00362E37">
        <w:t>population)</w:t>
      </w:r>
    </w:p>
    <w:p w14:paraId="60996DA0" w14:textId="77777777" w:rsidR="00362E37" w:rsidRDefault="00343DD3" w:rsidP="00343DD3">
      <w:r>
        <w:rPr>
          <w:noProof/>
          <w:lang w:eastAsia="en-AU"/>
        </w:rPr>
        <w:drawing>
          <wp:inline distT="0" distB="0" distL="0" distR="0" wp14:anchorId="785EB107" wp14:editId="63BA4C08">
            <wp:extent cx="5400040" cy="1840230"/>
            <wp:effectExtent l="0" t="0" r="0" b="7620"/>
            <wp:docPr id="8" name="Picture 8" descr="Summary of prior systemic therapies in the metastatic setting (intent to treat – overall survival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400040" cy="1840230"/>
                    </a:xfrm>
                    <a:prstGeom prst="rect">
                      <a:avLst/>
                    </a:prstGeom>
                  </pic:spPr>
                </pic:pic>
              </a:graphicData>
            </a:graphic>
          </wp:inline>
        </w:drawing>
      </w:r>
    </w:p>
    <w:p w14:paraId="790F6B3D" w14:textId="77777777" w:rsidR="00362E37" w:rsidRPr="001F1705" w:rsidRDefault="00362E37" w:rsidP="00362E37">
      <w:pPr>
        <w:pStyle w:val="Numberbullet0"/>
        <w:rPr>
          <w:b/>
          <w:i/>
        </w:rPr>
      </w:pPr>
      <w:r w:rsidRPr="001F1705">
        <w:rPr>
          <w:b/>
          <w:i/>
        </w:rPr>
        <w:t>for each of the following subgroups:</w:t>
      </w:r>
    </w:p>
    <w:p w14:paraId="5F91F460" w14:textId="77777777" w:rsidR="00362E37" w:rsidRPr="001F1705" w:rsidRDefault="00362E37" w:rsidP="00362E37">
      <w:pPr>
        <w:pStyle w:val="Numberbullet2"/>
        <w:rPr>
          <w:b/>
          <w:i/>
        </w:rPr>
      </w:pPr>
      <w:r w:rsidRPr="001F1705">
        <w:rPr>
          <w:b/>
          <w:i/>
        </w:rPr>
        <w:t>Patients who had received 1 prior systemic therapy in the metastatic</w:t>
      </w:r>
      <w:r w:rsidRPr="001F1705">
        <w:rPr>
          <w:b/>
          <w:i/>
          <w:spacing w:val="-1"/>
        </w:rPr>
        <w:t xml:space="preserve"> </w:t>
      </w:r>
      <w:r w:rsidRPr="001F1705">
        <w:rPr>
          <w:b/>
          <w:i/>
        </w:rPr>
        <w:t>setting</w:t>
      </w:r>
    </w:p>
    <w:p w14:paraId="7D58F265" w14:textId="77777777" w:rsidR="00362E37" w:rsidRPr="001F1705" w:rsidRDefault="00362E37" w:rsidP="00362E37">
      <w:pPr>
        <w:pStyle w:val="Numberbullet2"/>
        <w:rPr>
          <w:b/>
          <w:i/>
        </w:rPr>
      </w:pPr>
      <w:r w:rsidRPr="001F1705">
        <w:rPr>
          <w:b/>
          <w:i/>
        </w:rPr>
        <w:t>Patients who had received 2 prior systemic therapies in</w:t>
      </w:r>
      <w:r w:rsidRPr="001F1705">
        <w:rPr>
          <w:b/>
          <w:i/>
          <w:spacing w:val="-20"/>
        </w:rPr>
        <w:t xml:space="preserve"> </w:t>
      </w:r>
      <w:r w:rsidRPr="001F1705">
        <w:rPr>
          <w:b/>
          <w:i/>
        </w:rPr>
        <w:t>the metastatic</w:t>
      </w:r>
      <w:r w:rsidRPr="001F1705">
        <w:rPr>
          <w:b/>
          <w:i/>
          <w:spacing w:val="-1"/>
        </w:rPr>
        <w:t xml:space="preserve"> </w:t>
      </w:r>
      <w:r w:rsidRPr="001F1705">
        <w:rPr>
          <w:b/>
          <w:i/>
        </w:rPr>
        <w:t>setting</w:t>
      </w:r>
    </w:p>
    <w:p w14:paraId="5857FFA1" w14:textId="77777777" w:rsidR="00362E37" w:rsidRPr="001F1705" w:rsidRDefault="001F1705" w:rsidP="00362E37">
      <w:pPr>
        <w:pStyle w:val="Numberbullet0"/>
        <w:numPr>
          <w:ilvl w:val="0"/>
          <w:numId w:val="0"/>
        </w:numPr>
        <w:ind w:left="425"/>
        <w:rPr>
          <w:b/>
          <w:i/>
        </w:rPr>
      </w:pPr>
      <w:r w:rsidRPr="001F1705">
        <w:rPr>
          <w:b/>
          <w:i/>
        </w:rPr>
        <w:t xml:space="preserve">provide </w:t>
      </w:r>
      <w:r w:rsidR="00362E37" w:rsidRPr="001F1705">
        <w:rPr>
          <w:b/>
          <w:i/>
        </w:rPr>
        <w:t>an exploratory subgroup analysis of the primary and key second endpoints, that is:</w:t>
      </w:r>
    </w:p>
    <w:p w14:paraId="42F6B5E7" w14:textId="77777777" w:rsidR="00362E37" w:rsidRPr="001F1705" w:rsidRDefault="00362E37" w:rsidP="00362E37">
      <w:pPr>
        <w:pStyle w:val="Numberbullet3"/>
        <w:rPr>
          <w:b/>
          <w:i/>
        </w:rPr>
      </w:pPr>
      <w:r w:rsidRPr="001F1705">
        <w:rPr>
          <w:b/>
          <w:i/>
        </w:rPr>
        <w:t>PFS per BICR in the first 480 randomised</w:t>
      </w:r>
      <w:r w:rsidRPr="001F1705">
        <w:rPr>
          <w:b/>
          <w:i/>
          <w:spacing w:val="-7"/>
        </w:rPr>
        <w:t xml:space="preserve"> </w:t>
      </w:r>
      <w:r w:rsidRPr="001F1705">
        <w:rPr>
          <w:b/>
          <w:i/>
        </w:rPr>
        <w:t>patients</w:t>
      </w:r>
    </w:p>
    <w:p w14:paraId="0DAD46C6" w14:textId="77777777" w:rsidR="00362E37" w:rsidRPr="001F1705" w:rsidRDefault="00362E37" w:rsidP="00362E37">
      <w:pPr>
        <w:pStyle w:val="Numberbullet3"/>
        <w:rPr>
          <w:b/>
          <w:i/>
        </w:rPr>
      </w:pPr>
      <w:r w:rsidRPr="001F1705">
        <w:rPr>
          <w:b/>
          <w:i/>
        </w:rPr>
        <w:t>OS in all randomised</w:t>
      </w:r>
      <w:r w:rsidRPr="001F1705">
        <w:rPr>
          <w:b/>
          <w:i/>
          <w:spacing w:val="-5"/>
        </w:rPr>
        <w:t xml:space="preserve"> </w:t>
      </w:r>
      <w:r w:rsidRPr="001F1705">
        <w:rPr>
          <w:b/>
          <w:i/>
        </w:rPr>
        <w:t>patients</w:t>
      </w:r>
    </w:p>
    <w:p w14:paraId="4B80C3F7" w14:textId="77777777" w:rsidR="00362E37" w:rsidRPr="001F1705" w:rsidRDefault="00362E37" w:rsidP="00362E37">
      <w:pPr>
        <w:pStyle w:val="Numberbullet3"/>
        <w:rPr>
          <w:b/>
          <w:i/>
        </w:rPr>
      </w:pPr>
      <w:r w:rsidRPr="001F1705">
        <w:rPr>
          <w:b/>
          <w:i/>
        </w:rPr>
        <w:t>PFS per BICR in patients with brain</w:t>
      </w:r>
      <w:r w:rsidRPr="001F1705">
        <w:rPr>
          <w:b/>
          <w:i/>
          <w:spacing w:val="-7"/>
        </w:rPr>
        <w:t xml:space="preserve"> </w:t>
      </w:r>
      <w:r w:rsidRPr="001F1705">
        <w:rPr>
          <w:b/>
          <w:i/>
        </w:rPr>
        <w:t>metastases</w:t>
      </w:r>
    </w:p>
    <w:p w14:paraId="25EAB0C0" w14:textId="7B8DF7C0" w:rsidR="00362E37" w:rsidRPr="00362E37" w:rsidRDefault="00362E37" w:rsidP="00362E37">
      <w:r w:rsidRPr="00362E37">
        <w:t xml:space="preserve">The requested exploratory subgroup analyses of the primary and key secondary endpoints in patients who received </w:t>
      </w:r>
      <w:r w:rsidR="00F31A54">
        <w:t>one and two</w:t>
      </w:r>
      <w:r w:rsidRPr="00362E37">
        <w:t xml:space="preserve"> prior systemic lines of therapy in the metastatic setting are provided in </w:t>
      </w:r>
      <w:r w:rsidR="00E66FC0">
        <w:fldChar w:fldCharType="begin"/>
      </w:r>
      <w:r w:rsidR="00E66FC0">
        <w:instrText xml:space="preserve"> REF _Ref64233614 \h </w:instrText>
      </w:r>
      <w:r w:rsidR="00E66FC0">
        <w:fldChar w:fldCharType="separate"/>
      </w:r>
      <w:r w:rsidR="00F979FB">
        <w:t xml:space="preserve">Table </w:t>
      </w:r>
      <w:r w:rsidR="00F979FB">
        <w:rPr>
          <w:noProof/>
        </w:rPr>
        <w:t>24</w:t>
      </w:r>
      <w:r w:rsidR="00E66FC0">
        <w:fldChar w:fldCharType="end"/>
      </w:r>
      <w:r w:rsidR="00E66FC0">
        <w:t xml:space="preserve"> </w:t>
      </w:r>
      <w:r w:rsidRPr="00362E37">
        <w:t>and</w:t>
      </w:r>
      <w:r w:rsidR="00E66FC0">
        <w:t xml:space="preserve"> </w:t>
      </w:r>
      <w:r w:rsidR="00E66FC0">
        <w:fldChar w:fldCharType="begin"/>
      </w:r>
      <w:r w:rsidR="00E66FC0">
        <w:instrText xml:space="preserve"> REF _Ref64233626 \h </w:instrText>
      </w:r>
      <w:r w:rsidR="00E66FC0">
        <w:fldChar w:fldCharType="separate"/>
      </w:r>
      <w:r w:rsidR="00F979FB">
        <w:t xml:space="preserve">Table </w:t>
      </w:r>
      <w:r w:rsidR="00F979FB">
        <w:rPr>
          <w:noProof/>
        </w:rPr>
        <w:t>25</w:t>
      </w:r>
      <w:r w:rsidR="00E66FC0">
        <w:fldChar w:fldCharType="end"/>
      </w:r>
      <w:r w:rsidRPr="00362E37">
        <w:t>, respectively.</w:t>
      </w:r>
    </w:p>
    <w:p w14:paraId="378B7D4F" w14:textId="1AC95268" w:rsidR="00362E37" w:rsidRPr="00362E37" w:rsidRDefault="00362E37" w:rsidP="00362E37">
      <w:r w:rsidRPr="00362E37">
        <w:rPr>
          <w:position w:val="1"/>
        </w:rPr>
        <w:t>The results from these analyses demonstrate PFS, OS, and PFS</w:t>
      </w:r>
      <w:proofErr w:type="spellStart"/>
      <w:r w:rsidRPr="00362E37">
        <w:rPr>
          <w:sz w:val="16"/>
        </w:rPr>
        <w:t>BrainMets</w:t>
      </w:r>
      <w:proofErr w:type="spellEnd"/>
      <w:r w:rsidRPr="00362E37">
        <w:rPr>
          <w:sz w:val="16"/>
        </w:rPr>
        <w:t xml:space="preserve"> </w:t>
      </w:r>
      <w:r w:rsidRPr="00362E37">
        <w:rPr>
          <w:position w:val="1"/>
        </w:rPr>
        <w:t xml:space="preserve">benefits consistent </w:t>
      </w:r>
      <w:r w:rsidRPr="00362E37">
        <w:t xml:space="preserve">with the overall study outcome from the primary analyses, further supporting the efficacy of tucatinib in combination with trastuzumab and capecitabine in patients who received either </w:t>
      </w:r>
      <w:r w:rsidR="00F31A54">
        <w:t>one or two</w:t>
      </w:r>
      <w:r w:rsidRPr="00362E37">
        <w:t xml:space="preserve"> prior systemic lines of therapy. A limitation for these post hoc analyses is the small number of patients in certain subgroups.</w:t>
      </w:r>
    </w:p>
    <w:p w14:paraId="7D530514" w14:textId="05D3C52E" w:rsidR="00362E37" w:rsidRDefault="00343DD3" w:rsidP="002C210B">
      <w:pPr>
        <w:pStyle w:val="TableTitle"/>
        <w:pageBreakBefore/>
      </w:pPr>
      <w:bookmarkStart w:id="74" w:name="_bookmark1"/>
      <w:bookmarkStart w:id="75" w:name="_Ref64233614"/>
      <w:bookmarkEnd w:id="74"/>
      <w:r>
        <w:t xml:space="preserve">Table </w:t>
      </w:r>
      <w:fldSimple w:instr=" SEQ Table \* ARABIC ">
        <w:r w:rsidR="00F979FB">
          <w:rPr>
            <w:noProof/>
          </w:rPr>
          <w:t>24</w:t>
        </w:r>
      </w:fldSimple>
      <w:bookmarkEnd w:id="75"/>
      <w:r>
        <w:t xml:space="preserve">: </w:t>
      </w:r>
      <w:r w:rsidR="00362E37">
        <w:t xml:space="preserve">Efficacy results in </w:t>
      </w:r>
      <w:r w:rsidR="00E66FC0">
        <w:t xml:space="preserve">the </w:t>
      </w:r>
      <w:r w:rsidR="00362E37">
        <w:t xml:space="preserve">HER2CLIMB </w:t>
      </w:r>
      <w:r w:rsidR="00E66FC0">
        <w:t xml:space="preserve">trial </w:t>
      </w:r>
      <w:r w:rsidR="00362E37">
        <w:t>(subjects who had 1 previous line of therapy in the metastatic</w:t>
      </w:r>
      <w:r w:rsidR="00362E37">
        <w:rPr>
          <w:spacing w:val="-4"/>
        </w:rPr>
        <w:t xml:space="preserve"> </w:t>
      </w:r>
      <w:r w:rsidR="00362E37">
        <w:t>setting)</w:t>
      </w:r>
    </w:p>
    <w:p w14:paraId="74F6D81C" w14:textId="77777777" w:rsidR="00362E37" w:rsidRDefault="00343DD3" w:rsidP="002C210B">
      <w:r>
        <w:rPr>
          <w:noProof/>
          <w:lang w:eastAsia="en-AU"/>
        </w:rPr>
        <w:drawing>
          <wp:inline distT="0" distB="0" distL="0" distR="0" wp14:anchorId="7D03BDB9" wp14:editId="139254DA">
            <wp:extent cx="5400040" cy="2865120"/>
            <wp:effectExtent l="0" t="0" r="0" b="0"/>
            <wp:docPr id="11" name="Picture 11" descr="Efficacy results in the HER2CLIMB trial (subjects who had 1 previous line of therapy in the metastatic set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400040" cy="2865120"/>
                    </a:xfrm>
                    <a:prstGeom prst="rect">
                      <a:avLst/>
                    </a:prstGeom>
                  </pic:spPr>
                </pic:pic>
              </a:graphicData>
            </a:graphic>
          </wp:inline>
        </w:drawing>
      </w:r>
    </w:p>
    <w:p w14:paraId="3CCD9026" w14:textId="2B6D8F1B" w:rsidR="00362E37" w:rsidRDefault="00343DD3" w:rsidP="002C210B">
      <w:pPr>
        <w:pStyle w:val="TableDescription"/>
      </w:pPr>
      <w:r>
        <w:t xml:space="preserve">a: </w:t>
      </w:r>
      <w:r w:rsidR="00362E37" w:rsidRPr="00362E37">
        <w:t>Calculated using the complementary log-log</w:t>
      </w:r>
      <w:r w:rsidR="00E66FC0">
        <w:t xml:space="preserve"> transformation method</w:t>
      </w:r>
      <w:r w:rsidR="00362E37" w:rsidRPr="00362E37">
        <w:t>.</w:t>
      </w:r>
      <w:r w:rsidR="00362E37">
        <w:t xml:space="preserve"> </w:t>
      </w:r>
      <w:r>
        <w:t xml:space="preserve">b: </w:t>
      </w:r>
      <w:r w:rsidR="00362E37">
        <w:t xml:space="preserve">Hazard ratio comparing </w:t>
      </w:r>
      <w:proofErr w:type="spellStart"/>
      <w:r w:rsidR="00362E37">
        <w:t>Tuc</w:t>
      </w:r>
      <w:proofErr w:type="spellEnd"/>
      <w:r w:rsidR="00E66FC0">
        <w:t xml:space="preserve"> </w:t>
      </w:r>
      <w:r w:rsidR="00362E37">
        <w:t>+</w:t>
      </w:r>
      <w:r w:rsidR="00E66FC0">
        <w:t xml:space="preserve"> </w:t>
      </w:r>
      <w:r w:rsidR="00362E37">
        <w:t>Cap</w:t>
      </w:r>
      <w:r w:rsidR="00E66FC0">
        <w:t xml:space="preserve"> </w:t>
      </w:r>
      <w:r w:rsidR="00362E37">
        <w:t>+</w:t>
      </w:r>
      <w:r w:rsidR="00E66FC0">
        <w:t xml:space="preserve"> </w:t>
      </w:r>
      <w:proofErr w:type="spellStart"/>
      <w:r w:rsidR="00362E37">
        <w:t>Tra</w:t>
      </w:r>
      <w:proofErr w:type="spellEnd"/>
      <w:r w:rsidR="00362E37">
        <w:t xml:space="preserve"> to </w:t>
      </w:r>
      <w:proofErr w:type="spellStart"/>
      <w:r w:rsidR="00362E37">
        <w:t>Pbo</w:t>
      </w:r>
      <w:proofErr w:type="spellEnd"/>
      <w:r w:rsidR="00E66FC0">
        <w:t xml:space="preserve"> </w:t>
      </w:r>
      <w:r w:rsidR="00362E37">
        <w:t>+</w:t>
      </w:r>
      <w:r w:rsidR="00E66FC0">
        <w:t xml:space="preserve"> </w:t>
      </w:r>
      <w:r w:rsidR="00362E37">
        <w:t>Cap</w:t>
      </w:r>
      <w:r w:rsidR="00E66FC0">
        <w:t xml:space="preserve"> </w:t>
      </w:r>
      <w:r w:rsidR="00362E37">
        <w:t>+</w:t>
      </w:r>
      <w:r w:rsidR="00E66FC0">
        <w:t xml:space="preserve"> </w:t>
      </w:r>
      <w:proofErr w:type="spellStart"/>
      <w:r w:rsidR="00362E37">
        <w:t>Tra</w:t>
      </w:r>
      <w:proofErr w:type="spellEnd"/>
      <w:r w:rsidR="00362E37">
        <w:t xml:space="preserve"> calculated from the </w:t>
      </w:r>
      <w:proofErr w:type="spellStart"/>
      <w:r w:rsidR="00362E37">
        <w:t>unstratified</w:t>
      </w:r>
      <w:proofErr w:type="spellEnd"/>
      <w:r w:rsidR="00362E37">
        <w:t xml:space="preserve"> Cox proportional</w:t>
      </w:r>
      <w:r w:rsidR="00362E37">
        <w:rPr>
          <w:spacing w:val="-30"/>
        </w:rPr>
        <w:t xml:space="preserve"> </w:t>
      </w:r>
      <w:r w:rsidR="00362E37">
        <w:t>hazards model. A hazard ratio &lt;</w:t>
      </w:r>
      <w:r w:rsidR="00E66FC0">
        <w:t xml:space="preserve"> </w:t>
      </w:r>
      <w:r w:rsidR="00362E37">
        <w:t>1.0 favo</w:t>
      </w:r>
      <w:r w:rsidR="00C30FE0">
        <w:t>u</w:t>
      </w:r>
      <w:r w:rsidR="00362E37">
        <w:t xml:space="preserve">rs the </w:t>
      </w:r>
      <w:proofErr w:type="spellStart"/>
      <w:r w:rsidR="00362E37">
        <w:t>Tuc</w:t>
      </w:r>
      <w:proofErr w:type="spellEnd"/>
      <w:r w:rsidR="00E66FC0">
        <w:t xml:space="preserve"> </w:t>
      </w:r>
      <w:r w:rsidR="00362E37">
        <w:t>+</w:t>
      </w:r>
      <w:r w:rsidR="00E66FC0">
        <w:t xml:space="preserve"> </w:t>
      </w:r>
      <w:r w:rsidR="00362E37">
        <w:t>Cap</w:t>
      </w:r>
      <w:r w:rsidR="00E66FC0">
        <w:t xml:space="preserve"> </w:t>
      </w:r>
      <w:r w:rsidR="00362E37">
        <w:t>+</w:t>
      </w:r>
      <w:r w:rsidR="00E66FC0">
        <w:t xml:space="preserve"> </w:t>
      </w:r>
      <w:proofErr w:type="spellStart"/>
      <w:r w:rsidR="00362E37">
        <w:t>Tra</w:t>
      </w:r>
      <w:proofErr w:type="spellEnd"/>
      <w:r w:rsidR="00362E37">
        <w:rPr>
          <w:spacing w:val="-3"/>
        </w:rPr>
        <w:t xml:space="preserve"> </w:t>
      </w:r>
      <w:r w:rsidR="00362E37">
        <w:t>arm.</w:t>
      </w:r>
      <w:r>
        <w:t xml:space="preserve"> c: </w:t>
      </w:r>
      <w:r w:rsidR="00362E37">
        <w:t xml:space="preserve">Two-sided p-value calculated from </w:t>
      </w:r>
      <w:proofErr w:type="spellStart"/>
      <w:r w:rsidR="00362E37">
        <w:t>unstratified</w:t>
      </w:r>
      <w:proofErr w:type="spellEnd"/>
      <w:r w:rsidR="00362E37">
        <w:t xml:space="preserve"> log-rank</w:t>
      </w:r>
      <w:r w:rsidR="00362E37">
        <w:rPr>
          <w:spacing w:val="-1"/>
        </w:rPr>
        <w:t xml:space="preserve"> </w:t>
      </w:r>
      <w:r>
        <w:t xml:space="preserve">test. d: </w:t>
      </w:r>
      <w:r w:rsidR="00E66FC0">
        <w:t xml:space="preserve">The p </w:t>
      </w:r>
      <w:r w:rsidR="00362E37">
        <w:t>value is nominal p</w:t>
      </w:r>
      <w:r w:rsidR="00E66FC0">
        <w:t xml:space="preserve"> </w:t>
      </w:r>
      <w:r>
        <w:t xml:space="preserve">value calculated from post hoc </w:t>
      </w:r>
      <w:r w:rsidR="00362E37">
        <w:t>explorato</w:t>
      </w:r>
      <w:r w:rsidR="00E66FC0">
        <w:t xml:space="preserve">ry analysis. Data </w:t>
      </w:r>
      <w:r w:rsidR="00C30FE0">
        <w:t>cut-off date</w:t>
      </w:r>
      <w:r w:rsidR="00E66FC0">
        <w:t xml:space="preserve">: </w:t>
      </w:r>
      <w:r w:rsidR="00362E37">
        <w:t>4</w:t>
      </w:r>
      <w:r w:rsidR="00E66FC0">
        <w:t xml:space="preserve"> September </w:t>
      </w:r>
      <w:r w:rsidR="00362E37">
        <w:t>2019</w:t>
      </w:r>
      <w:r w:rsidR="00F31A54">
        <w:t>.</w:t>
      </w:r>
    </w:p>
    <w:p w14:paraId="351FE3E3" w14:textId="15E54BD7" w:rsidR="00362E37" w:rsidRDefault="00343DD3" w:rsidP="00343DD3">
      <w:pPr>
        <w:pStyle w:val="TableTitle"/>
      </w:pPr>
      <w:bookmarkStart w:id="76" w:name="_Ref64233626"/>
      <w:r>
        <w:t xml:space="preserve">Table </w:t>
      </w:r>
      <w:fldSimple w:instr=" SEQ Table \* ARABIC ">
        <w:r w:rsidR="00F979FB">
          <w:rPr>
            <w:noProof/>
          </w:rPr>
          <w:t>25</w:t>
        </w:r>
      </w:fldSimple>
      <w:bookmarkEnd w:id="76"/>
      <w:r>
        <w:t xml:space="preserve">: </w:t>
      </w:r>
      <w:r w:rsidR="00362E37">
        <w:t xml:space="preserve">Efficacy results in </w:t>
      </w:r>
      <w:r w:rsidR="00E66FC0">
        <w:t xml:space="preserve">the </w:t>
      </w:r>
      <w:r w:rsidR="00362E37">
        <w:t xml:space="preserve">HER2CLIMB </w:t>
      </w:r>
      <w:r w:rsidR="00E66FC0">
        <w:t xml:space="preserve">trial </w:t>
      </w:r>
      <w:r w:rsidR="00362E37">
        <w:t>(subjects who had 2 previous lines of therapy in the metastatic</w:t>
      </w:r>
      <w:r w:rsidR="00362E37">
        <w:rPr>
          <w:spacing w:val="-4"/>
        </w:rPr>
        <w:t xml:space="preserve"> </w:t>
      </w:r>
      <w:r w:rsidR="00362E37">
        <w:t>setting)</w:t>
      </w:r>
    </w:p>
    <w:p w14:paraId="23764C64" w14:textId="77777777" w:rsidR="00362E37" w:rsidRDefault="00343DD3" w:rsidP="00343DD3">
      <w:r>
        <w:rPr>
          <w:noProof/>
          <w:lang w:eastAsia="en-AU"/>
        </w:rPr>
        <w:drawing>
          <wp:inline distT="0" distB="0" distL="0" distR="0" wp14:anchorId="6FCDDF5F" wp14:editId="47FF37D9">
            <wp:extent cx="5400040" cy="2828925"/>
            <wp:effectExtent l="0" t="0" r="0" b="9525"/>
            <wp:docPr id="12" name="Picture 12" descr="Efficacy results in the HER2CLIMB trial (subjects who had 2 previous lines of therapy in the metastatic set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400040" cy="2828925"/>
                    </a:xfrm>
                    <a:prstGeom prst="rect">
                      <a:avLst/>
                    </a:prstGeom>
                  </pic:spPr>
                </pic:pic>
              </a:graphicData>
            </a:graphic>
          </wp:inline>
        </w:drawing>
      </w:r>
    </w:p>
    <w:p w14:paraId="0C5D5267" w14:textId="4966C97F" w:rsidR="00B51ED1" w:rsidRPr="00343DD3" w:rsidRDefault="00343DD3" w:rsidP="00343DD3">
      <w:pPr>
        <w:pStyle w:val="TableDescription"/>
      </w:pPr>
      <w:r>
        <w:t xml:space="preserve">a: </w:t>
      </w:r>
      <w:r w:rsidR="00362E37">
        <w:t>Calculated using the complementary log-log</w:t>
      </w:r>
      <w:r w:rsidR="00E66FC0">
        <w:t xml:space="preserve"> transformation method</w:t>
      </w:r>
      <w:r w:rsidR="00362E37">
        <w:t>.</w:t>
      </w:r>
      <w:r>
        <w:t xml:space="preserve"> b: </w:t>
      </w:r>
      <w:r w:rsidR="00362E37">
        <w:t xml:space="preserve">Hazard ratio comparing </w:t>
      </w:r>
      <w:proofErr w:type="spellStart"/>
      <w:r w:rsidR="00362E37">
        <w:t>Tuc</w:t>
      </w:r>
      <w:proofErr w:type="spellEnd"/>
      <w:r w:rsidR="00E66FC0">
        <w:t xml:space="preserve"> </w:t>
      </w:r>
      <w:r w:rsidR="00362E37">
        <w:t>+</w:t>
      </w:r>
      <w:r w:rsidR="00E66FC0">
        <w:t xml:space="preserve"> </w:t>
      </w:r>
      <w:r w:rsidR="00362E37">
        <w:t>Cap</w:t>
      </w:r>
      <w:r w:rsidR="00E66FC0">
        <w:t xml:space="preserve"> </w:t>
      </w:r>
      <w:r w:rsidR="00362E37">
        <w:t>+</w:t>
      </w:r>
      <w:r w:rsidR="00E66FC0">
        <w:t xml:space="preserve"> </w:t>
      </w:r>
      <w:proofErr w:type="spellStart"/>
      <w:r w:rsidR="00362E37">
        <w:t>Tra</w:t>
      </w:r>
      <w:proofErr w:type="spellEnd"/>
      <w:r w:rsidR="00362E37">
        <w:t xml:space="preserve"> to </w:t>
      </w:r>
      <w:proofErr w:type="spellStart"/>
      <w:r w:rsidR="00362E37">
        <w:t>Pbo</w:t>
      </w:r>
      <w:proofErr w:type="spellEnd"/>
      <w:r w:rsidR="00E66FC0">
        <w:t xml:space="preserve"> </w:t>
      </w:r>
      <w:r w:rsidR="00362E37">
        <w:t>+</w:t>
      </w:r>
      <w:r w:rsidR="00E66FC0">
        <w:t xml:space="preserve"> </w:t>
      </w:r>
      <w:r w:rsidR="00362E37">
        <w:t>Cap</w:t>
      </w:r>
      <w:r w:rsidR="00E66FC0">
        <w:t xml:space="preserve"> </w:t>
      </w:r>
      <w:r w:rsidR="00362E37">
        <w:t>+</w:t>
      </w:r>
      <w:r w:rsidR="00E66FC0">
        <w:t xml:space="preserve"> </w:t>
      </w:r>
      <w:proofErr w:type="spellStart"/>
      <w:r w:rsidR="00362E37">
        <w:t>Tra</w:t>
      </w:r>
      <w:proofErr w:type="spellEnd"/>
      <w:r w:rsidR="00362E37">
        <w:t xml:space="preserve"> calculated from the stratified Cox proportional hazards</w:t>
      </w:r>
      <w:r w:rsidR="00362E37">
        <w:rPr>
          <w:spacing w:val="-27"/>
        </w:rPr>
        <w:t xml:space="preserve"> </w:t>
      </w:r>
      <w:r>
        <w:t xml:space="preserve">model. </w:t>
      </w:r>
      <w:r w:rsidR="00362E37">
        <w:t>A hazard ratio &lt;</w:t>
      </w:r>
      <w:r w:rsidR="00E66FC0">
        <w:t xml:space="preserve"> </w:t>
      </w:r>
      <w:r>
        <w:t>1.0 favo</w:t>
      </w:r>
      <w:r w:rsidR="00C30FE0">
        <w:t>u</w:t>
      </w:r>
      <w:r>
        <w:t xml:space="preserve">rs the </w:t>
      </w:r>
      <w:proofErr w:type="spellStart"/>
      <w:r>
        <w:t>Tuc</w:t>
      </w:r>
      <w:proofErr w:type="spellEnd"/>
      <w:r w:rsidR="00E66FC0">
        <w:t xml:space="preserve"> </w:t>
      </w:r>
      <w:r>
        <w:t>+</w:t>
      </w:r>
      <w:r w:rsidR="00E66FC0">
        <w:t xml:space="preserve"> </w:t>
      </w:r>
      <w:r>
        <w:t>Cap</w:t>
      </w:r>
      <w:r w:rsidR="00E66FC0">
        <w:t xml:space="preserve"> </w:t>
      </w:r>
      <w:r>
        <w:t>+</w:t>
      </w:r>
      <w:r w:rsidR="00E66FC0">
        <w:t xml:space="preserve"> </w:t>
      </w:r>
      <w:proofErr w:type="spellStart"/>
      <w:r>
        <w:t>Tra</w:t>
      </w:r>
      <w:proofErr w:type="spellEnd"/>
      <w:r>
        <w:t xml:space="preserve"> arm. c: </w:t>
      </w:r>
      <w:r w:rsidR="00362E37">
        <w:t>Computed using stratification factors (Presence or history of brain metastases: Yes/No, ECOG performance status:</w:t>
      </w:r>
      <w:r w:rsidR="00362E37">
        <w:rPr>
          <w:spacing w:val="-31"/>
        </w:rPr>
        <w:t xml:space="preserve"> </w:t>
      </w:r>
      <w:r w:rsidR="00362E37">
        <w:t>0/1 and Region of world: North America /Rest of World) at</w:t>
      </w:r>
      <w:r w:rsidR="00362E37">
        <w:rPr>
          <w:spacing w:val="-6"/>
        </w:rPr>
        <w:t xml:space="preserve"> </w:t>
      </w:r>
      <w:r w:rsidR="00F31A54">
        <w:t>randomis</w:t>
      </w:r>
      <w:r>
        <w:t xml:space="preserve">ation. d: </w:t>
      </w:r>
      <w:r w:rsidR="00362E37">
        <w:t xml:space="preserve">Two-sided p-value calculated from </w:t>
      </w:r>
      <w:proofErr w:type="spellStart"/>
      <w:r w:rsidR="00362E37">
        <w:t>unstratified</w:t>
      </w:r>
      <w:proofErr w:type="spellEnd"/>
      <w:r w:rsidR="00362E37">
        <w:t xml:space="preserve"> log-rank</w:t>
      </w:r>
      <w:r w:rsidR="00362E37">
        <w:rPr>
          <w:spacing w:val="-1"/>
        </w:rPr>
        <w:t xml:space="preserve"> </w:t>
      </w:r>
      <w:r>
        <w:t xml:space="preserve">test. e: </w:t>
      </w:r>
      <w:r w:rsidR="00362E37">
        <w:t>The p-value is nominal p-value calculated from post hoc explorato</w:t>
      </w:r>
      <w:r w:rsidR="0067093A">
        <w:t xml:space="preserve">ry analysis. Data </w:t>
      </w:r>
      <w:r w:rsidR="00C30FE0">
        <w:t>cut-off date</w:t>
      </w:r>
      <w:r w:rsidR="0067093A">
        <w:t xml:space="preserve">: </w:t>
      </w:r>
      <w:r w:rsidR="00362E37">
        <w:t>4</w:t>
      </w:r>
      <w:r w:rsidR="0067093A">
        <w:t xml:space="preserve"> September </w:t>
      </w:r>
      <w:r w:rsidR="00362E37">
        <w:t>2019</w:t>
      </w:r>
      <w:r>
        <w:t>.</w:t>
      </w:r>
    </w:p>
    <w:p w14:paraId="732EE420" w14:textId="77777777" w:rsidR="008E7846" w:rsidRDefault="008E7846" w:rsidP="007D53B6">
      <w:pPr>
        <w:pStyle w:val="Heading4"/>
      </w:pPr>
      <w:r>
        <w:t xml:space="preserve">Advisory Committee </w:t>
      </w:r>
      <w:r w:rsidR="007D53B6">
        <w:t>c</w:t>
      </w:r>
      <w:r>
        <w:t>onsiderations</w:t>
      </w:r>
      <w:r w:rsidR="00456765">
        <w:rPr>
          <w:rStyle w:val="FootnoteReference"/>
        </w:rPr>
        <w:footnoteReference w:id="18"/>
      </w:r>
    </w:p>
    <w:p w14:paraId="68F28DFE" w14:textId="77777777" w:rsidR="00744121" w:rsidRPr="007D53B6" w:rsidRDefault="00744121" w:rsidP="00744121">
      <w:bookmarkStart w:id="77" w:name="_Toc247691532"/>
      <w:bookmarkStart w:id="78" w:name="_Toc314842516"/>
      <w:bookmarkEnd w:id="30"/>
      <w:bookmarkEnd w:id="69"/>
      <w:bookmarkEnd w:id="70"/>
      <w:r w:rsidRPr="007D53B6">
        <w:t>The Delegate did not refer this application to the Advisory Committee on Medicines (ACM) for advice.</w:t>
      </w:r>
    </w:p>
    <w:p w14:paraId="3C3E388B" w14:textId="77777777" w:rsidR="008E7846" w:rsidRPr="002E238E" w:rsidRDefault="008E7846" w:rsidP="008E7846">
      <w:pPr>
        <w:pStyle w:val="Heading3"/>
      </w:pPr>
      <w:bookmarkStart w:id="79" w:name="_Toc67579152"/>
      <w:r>
        <w:t>Outcome</w:t>
      </w:r>
      <w:bookmarkEnd w:id="77"/>
      <w:bookmarkEnd w:id="78"/>
      <w:bookmarkEnd w:id="79"/>
    </w:p>
    <w:p w14:paraId="3A0BFC38" w14:textId="77777777" w:rsidR="00744121" w:rsidRDefault="00744121" w:rsidP="00744121">
      <w:bookmarkStart w:id="80" w:name="_Toc247691533"/>
      <w:bookmarkStart w:id="81" w:name="_Toc314842517"/>
      <w:r>
        <w:t xml:space="preserve">Based on a review of quality, safety and efficacy, the TGA approved the registration of </w:t>
      </w:r>
      <w:r w:rsidR="00B51ED1" w:rsidRPr="00A27EE2">
        <w:rPr>
          <w:rFonts w:eastAsia="Calibri"/>
        </w:rPr>
        <w:t>Tukysa (tucatinib)</w:t>
      </w:r>
      <w:r w:rsidR="00B51ED1" w:rsidRPr="00250271">
        <w:t xml:space="preserve"> </w:t>
      </w:r>
      <w:r w:rsidR="00B51ED1" w:rsidRPr="00A27EE2">
        <w:rPr>
          <w:rFonts w:eastAsia="Calibri"/>
        </w:rPr>
        <w:t>50 mg, 150 mg</w:t>
      </w:r>
      <w:r w:rsidR="00B51ED1" w:rsidRPr="00250271">
        <w:t xml:space="preserve"> </w:t>
      </w:r>
      <w:r w:rsidR="00B51ED1">
        <w:t>film coated tablet</w:t>
      </w:r>
      <w:r w:rsidR="00174507">
        <w:t>s</w:t>
      </w:r>
      <w:r>
        <w:t>, indicated for:</w:t>
      </w:r>
    </w:p>
    <w:p w14:paraId="78D7D45F" w14:textId="77777777" w:rsidR="00D23139" w:rsidRPr="00B51ED1" w:rsidRDefault="00B51ED1" w:rsidP="00B51ED1">
      <w:pPr>
        <w:ind w:left="720"/>
        <w:rPr>
          <w:i/>
        </w:rPr>
      </w:pPr>
      <w:r w:rsidRPr="00A27EE2">
        <w:rPr>
          <w:i/>
        </w:rPr>
        <w:t>Tukysa is indicated in combination with trastuzumab and capecitabine for treatment of patients with advanced unresectable or metastatic HER2-positive breast cancer, including patients with brain metastases, who have received one or more prior anti-HER2-based regimens in the metastatic setting.</w:t>
      </w:r>
    </w:p>
    <w:p w14:paraId="0AFB2D29" w14:textId="77777777" w:rsidR="00D23139" w:rsidRPr="00D23139" w:rsidRDefault="00D23139" w:rsidP="00D23139">
      <w:pPr>
        <w:pStyle w:val="Heading4"/>
      </w:pPr>
      <w:r w:rsidRPr="00D23139">
        <w:t>Specific conditions of registration applying to these goods</w:t>
      </w:r>
    </w:p>
    <w:p w14:paraId="6100400E" w14:textId="77777777" w:rsidR="00B51ED1" w:rsidRPr="00B20291" w:rsidRDefault="00B51ED1" w:rsidP="00B51ED1">
      <w:pPr>
        <w:pStyle w:val="ListBullet"/>
      </w:pPr>
      <w:r w:rsidRPr="00B20291">
        <w:t xml:space="preserve">Tukysa (tucatinib) is to be included in the Black Triangle Scheme. The </w:t>
      </w:r>
      <w:r w:rsidR="0067093A">
        <w:t>PI</w:t>
      </w:r>
      <w:r w:rsidRPr="00B20291">
        <w:t xml:space="preserve"> and </w:t>
      </w:r>
      <w:r w:rsidR="0067093A">
        <w:t>CMI</w:t>
      </w:r>
      <w:r w:rsidRPr="00B20291">
        <w:t xml:space="preserve"> for</w:t>
      </w:r>
      <w:r w:rsidRPr="00B20291">
        <w:rPr>
          <w:b/>
          <w:bCs/>
        </w:rPr>
        <w:t xml:space="preserve"> </w:t>
      </w:r>
      <w:r w:rsidRPr="00A27EE2">
        <w:t>Tukysa must include the black triangle symbol and mandatory accompanying text for</w:t>
      </w:r>
      <w:r w:rsidRPr="00B20291">
        <w:rPr>
          <w:b/>
          <w:bCs/>
        </w:rPr>
        <w:t xml:space="preserve"> </w:t>
      </w:r>
      <w:r w:rsidRPr="00A27EE2">
        <w:t>five years, which starts from the date that the sponsor notifies the TGA of supply of the</w:t>
      </w:r>
      <w:r w:rsidRPr="00B20291">
        <w:rPr>
          <w:b/>
          <w:bCs/>
        </w:rPr>
        <w:t xml:space="preserve"> </w:t>
      </w:r>
      <w:r w:rsidRPr="00A27EE2">
        <w:t>product.</w:t>
      </w:r>
    </w:p>
    <w:p w14:paraId="61A641D5" w14:textId="77777777" w:rsidR="00B51ED1" w:rsidRPr="00B20291" w:rsidRDefault="00B51ED1" w:rsidP="00B51ED1">
      <w:pPr>
        <w:pStyle w:val="ListBullet"/>
      </w:pPr>
      <w:r w:rsidRPr="00A27EE2">
        <w:t xml:space="preserve">The Tukysa </w:t>
      </w:r>
      <w:r w:rsidR="0067093A">
        <w:t>EU-RMP</w:t>
      </w:r>
      <w:r w:rsidRPr="00B20291">
        <w:t xml:space="preserve"> (version 0.1, dated 20 December 2019; </w:t>
      </w:r>
      <w:r w:rsidR="0067093A">
        <w:t>DLP</w:t>
      </w:r>
      <w:r w:rsidRPr="00B20291">
        <w:t xml:space="preserve"> </w:t>
      </w:r>
      <w:r w:rsidRPr="00A27EE2">
        <w:t xml:space="preserve">4 September 2019), with </w:t>
      </w:r>
      <w:r w:rsidR="0067093A">
        <w:t xml:space="preserve">ASA </w:t>
      </w:r>
      <w:r w:rsidRPr="00A27EE2">
        <w:t>version 0.2, dated May 2020), included with submission PM-2020-00066</w:t>
      </w:r>
      <w:r w:rsidRPr="00B20291">
        <w:t>-1-4, and any subsequent revisions, as agreed with the TGA will be implemented in Australia.</w:t>
      </w:r>
    </w:p>
    <w:p w14:paraId="42388609" w14:textId="77777777" w:rsidR="00B51ED1" w:rsidRPr="00B20291" w:rsidRDefault="00B51ED1" w:rsidP="00B51ED1">
      <w:pPr>
        <w:pStyle w:val="ListBullet"/>
        <w:numPr>
          <w:ilvl w:val="0"/>
          <w:numId w:val="0"/>
        </w:numPr>
        <w:ind w:left="360"/>
      </w:pPr>
      <w:r w:rsidRPr="00A27EE2">
        <w:t xml:space="preserve">An obligatory component of risk management plans is routine pharmacovigilance. Routine pharmacovigilance includes the submission of </w:t>
      </w:r>
      <w:r w:rsidR="0067093A">
        <w:t>PSURs</w:t>
      </w:r>
      <w:r w:rsidRPr="00A27EE2">
        <w:t>.</w:t>
      </w:r>
    </w:p>
    <w:p w14:paraId="0D7AD234" w14:textId="77777777" w:rsidR="00B51ED1" w:rsidRPr="00B20291" w:rsidRDefault="00B51ED1" w:rsidP="00B51ED1">
      <w:pPr>
        <w:pStyle w:val="ListBullet"/>
        <w:numPr>
          <w:ilvl w:val="0"/>
          <w:numId w:val="0"/>
        </w:numPr>
        <w:ind w:left="360"/>
      </w:pPr>
      <w:r w:rsidRPr="00A27EE2">
        <w:t>Unless agreed separately between the supplier who is the recipient of the approval and the TGA, the first report must be submitted to TGA no later than 15 calendar months after the date of the</w:t>
      </w:r>
      <w:r w:rsidRPr="00B20291">
        <w:t xml:space="preserve"> approval letter. The subsequent reports must be submitted no less frequently than annually from the date of the first submitted report until the period covered by such reports is not less than three years from the date of the approval letter.</w:t>
      </w:r>
    </w:p>
    <w:p w14:paraId="3BDEBA95" w14:textId="77777777" w:rsidR="00B51ED1" w:rsidRPr="00B20291" w:rsidRDefault="00B51ED1" w:rsidP="00B51ED1">
      <w:pPr>
        <w:pStyle w:val="ListBullet"/>
        <w:numPr>
          <w:ilvl w:val="0"/>
          <w:numId w:val="0"/>
        </w:numPr>
        <w:ind w:left="360"/>
      </w:pPr>
      <w:r w:rsidRPr="00A27EE2">
        <w:t>The annual submission may be made up of two PSURs each covering six months. If the sponsor wishes, the six monthly reports may be submitted separately as they become available.</w:t>
      </w:r>
    </w:p>
    <w:p w14:paraId="6AA8A79D" w14:textId="77777777" w:rsidR="00B51ED1" w:rsidRPr="00B20291" w:rsidRDefault="00B51ED1" w:rsidP="00B51ED1">
      <w:pPr>
        <w:pStyle w:val="ListBullet"/>
        <w:numPr>
          <w:ilvl w:val="0"/>
          <w:numId w:val="0"/>
        </w:numPr>
        <w:ind w:left="360"/>
      </w:pPr>
      <w:r w:rsidRPr="00A27EE2">
        <w:t>If the product is approved in the EU during the three years period, reports can be provided in line with the published list of EU reference dates no less frequently than annually from the date of the first submitted report until the period covered by such reports is not less than t</w:t>
      </w:r>
      <w:r>
        <w:t>hree years from the date of the</w:t>
      </w:r>
      <w:r w:rsidRPr="00A27EE2">
        <w:t xml:space="preserve"> approval letter.</w:t>
      </w:r>
    </w:p>
    <w:p w14:paraId="633328CB" w14:textId="77777777" w:rsidR="009752A5" w:rsidRDefault="00B51ED1" w:rsidP="00B51ED1">
      <w:pPr>
        <w:pStyle w:val="ListBullet"/>
        <w:numPr>
          <w:ilvl w:val="0"/>
          <w:numId w:val="0"/>
        </w:numPr>
        <w:ind w:left="360"/>
      </w:pPr>
      <w:r w:rsidRPr="00A27EE2">
        <w:t xml:space="preserve">The reports are to at least meet the requirements for PSURs as described in the European Medicines Agency’s Guideline on </w:t>
      </w:r>
      <w:r w:rsidRPr="00B20291">
        <w:t>Good Pharmacovigilance Practices (GVP) Module VII-periodic safety update report (Rev 1), Part VII.B Structures and processes. Note that submission of a PSUR does not constitute an application to vary the registration. Each report must have been prepared within ninety calendar days of the data lock point for that report.</w:t>
      </w:r>
    </w:p>
    <w:p w14:paraId="3CB0F021" w14:textId="77777777" w:rsidR="008E7846" w:rsidRDefault="00A80B5B" w:rsidP="00D23139">
      <w:pPr>
        <w:pStyle w:val="Heading2"/>
      </w:pPr>
      <w:bookmarkStart w:id="82" w:name="_Toc67579153"/>
      <w:r>
        <w:t xml:space="preserve">Attachment 1. </w:t>
      </w:r>
      <w:r w:rsidR="008E7846">
        <w:t xml:space="preserve">Product </w:t>
      </w:r>
      <w:r w:rsidR="00AA0ED0">
        <w:t>I</w:t>
      </w:r>
      <w:r w:rsidR="008E7846">
        <w:t>nformation</w:t>
      </w:r>
      <w:bookmarkEnd w:id="80"/>
      <w:bookmarkEnd w:id="81"/>
      <w:bookmarkEnd w:id="82"/>
    </w:p>
    <w:p w14:paraId="6AF8E98B" w14:textId="78689B73" w:rsidR="00291957" w:rsidRPr="001F1705" w:rsidRDefault="006136D7" w:rsidP="001F1705">
      <w:pPr>
        <w:rPr>
          <w:color w:val="000000"/>
          <w:lang w:eastAsia="en-AU"/>
        </w:rPr>
      </w:pPr>
      <w:r w:rsidRPr="002B3624">
        <w:t xml:space="preserve">The </w:t>
      </w:r>
      <w:r>
        <w:t>PI</w:t>
      </w:r>
      <w:r w:rsidRPr="002B3624">
        <w:t xml:space="preserve"> for </w:t>
      </w:r>
      <w:r w:rsidR="001F1705">
        <w:t>Tukysa</w:t>
      </w:r>
      <w:r w:rsidRPr="002B3624">
        <w:t xml:space="preserve"> </w:t>
      </w:r>
      <w:r>
        <w:t xml:space="preserve">approved with the submission which is described in </w:t>
      </w:r>
      <w:r w:rsidRPr="002B3624">
        <w:t xml:space="preserve">this AusPAR is at Attachment 1. For the most recent </w:t>
      </w:r>
      <w:r>
        <w:t>PI,</w:t>
      </w:r>
      <w:r w:rsidRPr="002B3624">
        <w:t xml:space="preserve"> please refer to the </w:t>
      </w:r>
      <w:r w:rsidRPr="007C6B9B">
        <w:t xml:space="preserve">TGA website at </w:t>
      </w:r>
      <w:r w:rsidR="007C6B9B" w:rsidRPr="007C6B9B">
        <w:t>&lt;</w:t>
      </w:r>
      <w:hyperlink r:id="rId30" w:history="1">
        <w:r w:rsidR="007C6B9B" w:rsidRPr="007C6B9B">
          <w:rPr>
            <w:rStyle w:val="Hyperlink"/>
          </w:rPr>
          <w:t>https://www.tga.gov.au/product-information-pi</w:t>
        </w:r>
      </w:hyperlink>
      <w:r w:rsidR="001F1705">
        <w:t>&gt;.</w:t>
      </w:r>
    </w:p>
    <w:p w14:paraId="6A24653E" w14:textId="77777777" w:rsidR="00744121" w:rsidRDefault="00744121" w:rsidP="00744121">
      <w:pPr>
        <w:rPr>
          <w:lang w:eastAsia="ja-JP"/>
        </w:rPr>
      </w:pPr>
    </w:p>
    <w:p w14:paraId="114CDD28" w14:textId="77777777" w:rsidR="00C80137" w:rsidRPr="001D043B" w:rsidRDefault="00C80137" w:rsidP="003A7F6C">
      <w:pPr>
        <w:pStyle w:val="TableTitle"/>
        <w:sectPr w:rsidR="00C80137" w:rsidRPr="001D043B" w:rsidSect="00B452CE">
          <w:headerReference w:type="even" r:id="rId31"/>
          <w:headerReference w:type="default" r:id="rId32"/>
          <w:headerReference w:type="first" r:id="rId33"/>
          <w:footerReference w:type="first" r:id="rId34"/>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72ABC085" w14:textId="77777777" w:rsidTr="00A05FA4">
        <w:trPr>
          <w:trHeight w:hRule="exact" w:val="704"/>
        </w:trPr>
        <w:tc>
          <w:tcPr>
            <w:tcW w:w="9175" w:type="dxa"/>
          </w:tcPr>
          <w:p w14:paraId="4CCD1502" w14:textId="77777777" w:rsidR="001C32CD" w:rsidRPr="00487162" w:rsidRDefault="001C32CD" w:rsidP="00A05FA4">
            <w:pPr>
              <w:pStyle w:val="TGASignoff"/>
            </w:pPr>
            <w:r w:rsidRPr="00487162">
              <w:t>Therapeutic Goods Administration</w:t>
            </w:r>
          </w:p>
        </w:tc>
      </w:tr>
      <w:tr w:rsidR="001C32CD" w:rsidRPr="004C239D" w14:paraId="3F6E7E8B" w14:textId="77777777" w:rsidTr="00A05FA4">
        <w:trPr>
          <w:trHeight w:val="1221"/>
        </w:trPr>
        <w:tc>
          <w:tcPr>
            <w:tcW w:w="9175" w:type="dxa"/>
            <w:tcMar>
              <w:top w:w="28" w:type="dxa"/>
            </w:tcMar>
          </w:tcPr>
          <w:p w14:paraId="4205A381" w14:textId="77777777" w:rsidR="001C32CD" w:rsidRPr="00487162" w:rsidRDefault="001C32CD" w:rsidP="00A05FA4">
            <w:pPr>
              <w:pStyle w:val="Address"/>
            </w:pPr>
            <w:r w:rsidRPr="00487162">
              <w:t>PO Box 100 Woden ACT 2606 Australia</w:t>
            </w:r>
          </w:p>
          <w:p w14:paraId="6D5E68FF" w14:textId="60208223" w:rsidR="001C32CD" w:rsidRPr="00487162" w:rsidRDefault="001C32CD" w:rsidP="00A05FA4">
            <w:pPr>
              <w:pStyle w:val="Address"/>
            </w:pPr>
            <w:r w:rsidRPr="00487162">
              <w:t xml:space="preserve">Email: </w:t>
            </w:r>
            <w:hyperlink r:id="rId35" w:history="1">
              <w:r w:rsidRPr="004C239D">
                <w:rPr>
                  <w:rStyle w:val="Hyperlink"/>
                </w:rPr>
                <w:t>info@tga.gov.au</w:t>
              </w:r>
            </w:hyperlink>
            <w:r w:rsidRPr="00487162">
              <w:t xml:space="preserve">  Phone: 1800 020 653  Fax: 02 6232 8605</w:t>
            </w:r>
          </w:p>
          <w:p w14:paraId="59EEF65F" w14:textId="5A2D6031" w:rsidR="001C32CD" w:rsidRPr="004C239D" w:rsidRDefault="007E6EF0" w:rsidP="00A05FA4">
            <w:pPr>
              <w:pStyle w:val="Address"/>
              <w:spacing w:line="260" w:lineRule="atLeast"/>
              <w:rPr>
                <w:b/>
                <w:color w:val="0000FF"/>
                <w:u w:val="single"/>
              </w:rPr>
            </w:pPr>
            <w:hyperlink r:id="rId36" w:history="1">
              <w:r w:rsidR="007C6B9B" w:rsidRPr="007C6B9B">
                <w:rPr>
                  <w:rStyle w:val="Hyperlink"/>
                  <w:b/>
                </w:rPr>
                <w:t>https://www.tga.gov.au</w:t>
              </w:r>
            </w:hyperlink>
          </w:p>
        </w:tc>
      </w:tr>
    </w:tbl>
    <w:p w14:paraId="0CF960C8" w14:textId="77777777" w:rsidR="00774E1D" w:rsidRPr="008A5E0B" w:rsidRDefault="00774E1D" w:rsidP="004C239D"/>
    <w:sectPr w:rsidR="00774E1D" w:rsidRPr="008A5E0B" w:rsidSect="001C32CD">
      <w:headerReference w:type="even" r:id="rId37"/>
      <w:headerReference w:type="default" r:id="rId38"/>
      <w:footerReference w:type="default" r:id="rId39"/>
      <w:headerReference w:type="first" r:id="rId40"/>
      <w:footerReference w:type="first" r:id="rId41"/>
      <w:pgSz w:w="11906" w:h="16838" w:code="9"/>
      <w:pgMar w:top="13467" w:right="1701" w:bottom="426" w:left="1701" w:header="907"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C4F24" w16cex:dateUtc="2021-03-05T14:33:00Z"/>
  <w16cex:commentExtensible w16cex:durableId="23EC4F4A" w16cex:dateUtc="2021-03-05T14:33:00Z"/>
  <w16cex:commentExtensible w16cex:durableId="23EBA289" w16cex:dateUtc="2021-03-05T02:16:00Z"/>
  <w16cex:commentExtensible w16cex:durableId="23EBA300" w16cex:dateUtc="2021-03-05T02:18:00Z"/>
  <w16cex:commentExtensible w16cex:durableId="23EBBE9C" w16cex:dateUtc="2021-03-05T04:16:00Z"/>
  <w16cex:commentExtensible w16cex:durableId="23EBC0E9" w16cex:dateUtc="2021-03-05T04: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5793969" w16cid:durableId="23EC4F24"/>
  <w16cid:commentId w16cid:paraId="0D90E5EB" w16cid:durableId="23EC4F4A"/>
  <w16cid:commentId w16cid:paraId="359A7356" w16cid:durableId="23EBA289"/>
  <w16cid:commentId w16cid:paraId="531A0990" w16cid:durableId="23EBA300"/>
  <w16cid:commentId w16cid:paraId="7C6BA3AC" w16cid:durableId="23EBBE9C"/>
  <w16cid:commentId w16cid:paraId="2B307D98" w16cid:durableId="23EBC0E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13B6B" w14:textId="77777777" w:rsidR="007E6EF0" w:rsidRDefault="007E6EF0" w:rsidP="00C40A36">
      <w:pPr>
        <w:spacing w:after="0"/>
      </w:pPr>
      <w:r>
        <w:separator/>
      </w:r>
    </w:p>
  </w:endnote>
  <w:endnote w:type="continuationSeparator" w:id="0">
    <w:p w14:paraId="288BE731" w14:textId="77777777" w:rsidR="007E6EF0" w:rsidRDefault="007E6EF0" w:rsidP="00C40A36">
      <w:pPr>
        <w:spacing w:after="0"/>
      </w:pPr>
      <w:r>
        <w:continuationSeparator/>
      </w:r>
    </w:p>
  </w:endnote>
  <w:endnote w:type="continuationNotice" w:id="1">
    <w:p w14:paraId="66A0AE38" w14:textId="77777777" w:rsidR="007E6EF0" w:rsidRDefault="007E6EF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A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MS Mincho">
    <w:altName w:val="ＭＳ 明朝"/>
    <w:panose1 w:val="02020609040205080304"/>
    <w:charset w:val="80"/>
    <w:family w:val="modern"/>
    <w:pitch w:val="fixed"/>
    <w:sig w:usb0="A00002BF" w:usb1="68C7FCFB" w:usb2="00000010" w:usb3="00000000" w:csb0="000200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D6E2D" w14:textId="77777777" w:rsidR="007E6EF0" w:rsidRDefault="007E6E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7E6EF0" w:rsidRPr="00487162" w14:paraId="1D59B16D" w14:textId="77777777" w:rsidTr="00DB750B">
      <w:trPr>
        <w:trHeight w:val="269"/>
      </w:trPr>
      <w:tc>
        <w:tcPr>
          <w:tcW w:w="7371" w:type="dxa"/>
          <w:tcMar>
            <w:top w:w="142" w:type="dxa"/>
            <w:bottom w:w="0" w:type="dxa"/>
          </w:tcMar>
        </w:tcPr>
        <w:p w14:paraId="53E5255E" w14:textId="2EBBBB21" w:rsidR="007E6EF0" w:rsidRPr="00487162" w:rsidRDefault="007E6EF0" w:rsidP="00F979FB">
          <w:pPr>
            <w:pStyle w:val="Footer"/>
          </w:pPr>
          <w:r w:rsidRPr="00487162">
            <w:t>AusPA</w:t>
          </w:r>
          <w:r>
            <w:t xml:space="preserve">R - </w:t>
          </w:r>
          <w:r w:rsidRPr="00E119D9">
            <w:t>TUKYSA - tucatinib - AA-Med Pty Limited - PM-2020-00066-1-4</w:t>
          </w:r>
          <w:r>
            <w:br/>
            <w:t>FINAL 17 March 2021</w:t>
          </w:r>
        </w:p>
      </w:tc>
      <w:tc>
        <w:tcPr>
          <w:tcW w:w="1490" w:type="dxa"/>
          <w:tcMar>
            <w:top w:w="142" w:type="dxa"/>
            <w:bottom w:w="0" w:type="dxa"/>
          </w:tcMar>
        </w:tcPr>
        <w:p w14:paraId="18D7796B" w14:textId="51346CFA" w:rsidR="007E6EF0" w:rsidRPr="00487162" w:rsidRDefault="007E6EF0" w:rsidP="00DB750B">
          <w:pPr>
            <w:pStyle w:val="Footer"/>
            <w:jc w:val="right"/>
          </w:pPr>
          <w:r w:rsidRPr="00487162">
            <w:t xml:space="preserve">Page </w:t>
          </w:r>
          <w:r>
            <w:fldChar w:fldCharType="begin"/>
          </w:r>
          <w:r>
            <w:instrText xml:space="preserve"> PAGE  \* Arabic </w:instrText>
          </w:r>
          <w:r>
            <w:fldChar w:fldCharType="separate"/>
          </w:r>
          <w:r w:rsidR="002C210B">
            <w:rPr>
              <w:noProof/>
            </w:rPr>
            <w:t>21</w:t>
          </w:r>
          <w:r>
            <w:fldChar w:fldCharType="end"/>
          </w:r>
          <w:r w:rsidRPr="00487162">
            <w:t xml:space="preserve"> of </w:t>
          </w:r>
          <w:fldSimple w:instr=" NUMPAGES  \* Arabic ">
            <w:r w:rsidR="002C210B">
              <w:rPr>
                <w:noProof/>
              </w:rPr>
              <w:t>46</w:t>
            </w:r>
          </w:fldSimple>
        </w:p>
      </w:tc>
    </w:tr>
  </w:tbl>
  <w:p w14:paraId="14F854E1" w14:textId="77777777" w:rsidR="007E6EF0" w:rsidRDefault="007E6EF0" w:rsidP="003D1E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7C2AE" w14:textId="77777777" w:rsidR="007E6EF0" w:rsidRDefault="007E6E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7E6EF0" w:rsidRPr="00487162" w14:paraId="6BB4A309" w14:textId="77777777" w:rsidTr="00E45619">
      <w:trPr>
        <w:trHeight w:val="269"/>
      </w:trPr>
      <w:tc>
        <w:tcPr>
          <w:tcW w:w="4519" w:type="dxa"/>
          <w:tcBorders>
            <w:top w:val="single" w:sz="4" w:space="0" w:color="auto"/>
          </w:tcBorders>
          <w:tcMar>
            <w:top w:w="142" w:type="dxa"/>
            <w:bottom w:w="0" w:type="dxa"/>
          </w:tcMar>
        </w:tcPr>
        <w:p w14:paraId="145F3F64" w14:textId="77777777" w:rsidR="007E6EF0" w:rsidRPr="00487162" w:rsidRDefault="007E6EF0" w:rsidP="00FE1DEE">
          <w:pPr>
            <w:pStyle w:val="Footer"/>
          </w:pPr>
          <w:r w:rsidRPr="00487162">
            <w:t>Document title, Part #, Section # - Section title</w:t>
          </w:r>
        </w:p>
        <w:p w14:paraId="250FADEE" w14:textId="77777777" w:rsidR="007E6EF0" w:rsidRPr="00487162" w:rsidRDefault="007E6EF0" w:rsidP="00FE1DEE">
          <w:pPr>
            <w:pStyle w:val="Footer"/>
          </w:pPr>
          <w:r w:rsidRPr="00487162">
            <w:t>V1.0 October 2010</w:t>
          </w:r>
        </w:p>
      </w:tc>
      <w:tc>
        <w:tcPr>
          <w:tcW w:w="4342" w:type="dxa"/>
          <w:tcBorders>
            <w:top w:val="single" w:sz="4" w:space="0" w:color="auto"/>
          </w:tcBorders>
          <w:tcMar>
            <w:top w:w="142" w:type="dxa"/>
            <w:bottom w:w="0" w:type="dxa"/>
          </w:tcMar>
        </w:tcPr>
        <w:p w14:paraId="65904BB1" w14:textId="77777777" w:rsidR="007E6EF0" w:rsidRPr="00487162" w:rsidRDefault="007E6EF0"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2</w:t>
            </w:r>
          </w:fldSimple>
        </w:p>
      </w:tc>
    </w:tr>
  </w:tbl>
  <w:p w14:paraId="0BDF7307" w14:textId="77777777" w:rsidR="007E6EF0" w:rsidRDefault="007E6EF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8FD2D" w14:textId="77777777" w:rsidR="007E6EF0" w:rsidRPr="001C32CD" w:rsidRDefault="007E6EF0" w:rsidP="001C32C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7E6EF0" w14:paraId="2B428455" w14:textId="77777777" w:rsidTr="0010601F">
      <w:trPr>
        <w:trHeight w:val="108"/>
      </w:trPr>
      <w:tc>
        <w:tcPr>
          <w:tcW w:w="8875" w:type="dxa"/>
          <w:gridSpan w:val="2"/>
          <w:tcBorders>
            <w:bottom w:val="single" w:sz="4" w:space="0" w:color="auto"/>
          </w:tcBorders>
          <w:tcMar>
            <w:right w:w="284" w:type="dxa"/>
          </w:tcMar>
        </w:tcPr>
        <w:p w14:paraId="3DE0BC2A" w14:textId="77777777" w:rsidR="007E6EF0" w:rsidRDefault="007E6EF0" w:rsidP="006E08B3">
          <w:pPr>
            <w:pStyle w:val="Heading3"/>
          </w:pPr>
          <w:r>
            <w:t>Copyright</w:t>
          </w:r>
        </w:p>
        <w:p w14:paraId="719F7810" w14:textId="77777777" w:rsidR="007E6EF0" w:rsidRDefault="007E6EF0" w:rsidP="006E08B3">
          <w:r>
            <w:rPr>
              <w:rFonts w:cs="Arial"/>
            </w:rPr>
            <w:t>©</w:t>
          </w:r>
          <w:r>
            <w:t xml:space="preserve"> Commonwealth of Australia [add year]</w:t>
          </w:r>
        </w:p>
        <w:p w14:paraId="0DCDF1BB" w14:textId="77777777" w:rsidR="007E6EF0" w:rsidRDefault="007E6EF0" w:rsidP="006E08B3"/>
        <w:p w14:paraId="30BF4669" w14:textId="77777777" w:rsidR="007E6EF0" w:rsidRDefault="007E6EF0"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34FCFBD1" w14:textId="77777777" w:rsidR="007E6EF0" w:rsidRDefault="007E6EF0" w:rsidP="006E08B3"/>
        <w:p w14:paraId="68555A50" w14:textId="77777777" w:rsidR="007E6EF0" w:rsidRDefault="007E6EF0" w:rsidP="006E08B3">
          <w:pPr>
            <w:pStyle w:val="Heading3"/>
          </w:pPr>
          <w:r>
            <w:t>Confidentiality</w:t>
          </w:r>
        </w:p>
        <w:p w14:paraId="2D76A3A7" w14:textId="77777777" w:rsidR="007E6EF0" w:rsidRDefault="007E6EF0"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3B71096C" w14:textId="77777777" w:rsidR="007E6EF0" w:rsidRDefault="007E6EF0" w:rsidP="006E08B3"/>
        <w:p w14:paraId="7A834035" w14:textId="77777777" w:rsidR="007E6EF0" w:rsidRDefault="007E6EF0" w:rsidP="006E08B3">
          <w:r>
            <w:t>For submission made by individuals, all personal details, other than your name, will be removed from your submission before it is published on the TGA’s Internet site.</w:t>
          </w:r>
        </w:p>
        <w:p w14:paraId="18433881" w14:textId="77777777" w:rsidR="007E6EF0" w:rsidRDefault="007E6EF0" w:rsidP="006E08B3"/>
        <w:p w14:paraId="65DB5B18" w14:textId="77777777" w:rsidR="007E6EF0" w:rsidRDefault="007E6EF0"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7E6EF0" w14:paraId="0A5FBE1A" w14:textId="77777777" w:rsidTr="0010601F">
      <w:trPr>
        <w:trHeight w:val="417"/>
      </w:trPr>
      <w:tc>
        <w:tcPr>
          <w:tcW w:w="4519" w:type="dxa"/>
          <w:tcBorders>
            <w:top w:val="single" w:sz="4" w:space="0" w:color="auto"/>
          </w:tcBorders>
          <w:tcMar>
            <w:top w:w="142" w:type="dxa"/>
            <w:bottom w:w="0" w:type="dxa"/>
          </w:tcMar>
        </w:tcPr>
        <w:p w14:paraId="31DB77D6" w14:textId="77777777" w:rsidR="007E6EF0" w:rsidRDefault="007E6EF0" w:rsidP="006E08B3">
          <w:r>
            <w:t>Document title, Part #, Section # - Section title</w:t>
          </w:r>
        </w:p>
        <w:p w14:paraId="4B91271B" w14:textId="77777777" w:rsidR="007E6EF0" w:rsidRDefault="007E6EF0" w:rsidP="006E08B3">
          <w:r>
            <w:t>V1.0 October 2010</w:t>
          </w:r>
        </w:p>
      </w:tc>
      <w:tc>
        <w:tcPr>
          <w:tcW w:w="4356" w:type="dxa"/>
          <w:tcBorders>
            <w:top w:val="single" w:sz="4" w:space="0" w:color="auto"/>
          </w:tcBorders>
          <w:tcMar>
            <w:top w:w="142" w:type="dxa"/>
            <w:bottom w:w="0" w:type="dxa"/>
          </w:tcMar>
        </w:tcPr>
        <w:p w14:paraId="1A9612E6" w14:textId="77777777" w:rsidR="007E6EF0" w:rsidRDefault="007E6EF0"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2</w:t>
            </w:r>
          </w:fldSimple>
          <w:r>
            <w:t xml:space="preserve">  </w:t>
          </w:r>
        </w:p>
      </w:tc>
    </w:tr>
  </w:tbl>
  <w:p w14:paraId="160C95EF" w14:textId="77777777" w:rsidR="007E6EF0" w:rsidRDefault="007E6EF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CD76AA" w14:textId="77777777" w:rsidR="007E6EF0" w:rsidRDefault="007E6EF0" w:rsidP="00C40A36">
      <w:pPr>
        <w:spacing w:after="0"/>
      </w:pPr>
      <w:r>
        <w:separator/>
      </w:r>
    </w:p>
  </w:footnote>
  <w:footnote w:type="continuationSeparator" w:id="0">
    <w:p w14:paraId="3FCE80E0" w14:textId="77777777" w:rsidR="007E6EF0" w:rsidRDefault="007E6EF0" w:rsidP="00C40A36">
      <w:pPr>
        <w:spacing w:after="0"/>
      </w:pPr>
      <w:r>
        <w:continuationSeparator/>
      </w:r>
    </w:p>
  </w:footnote>
  <w:footnote w:type="continuationNotice" w:id="1">
    <w:p w14:paraId="69CA4D6E" w14:textId="77777777" w:rsidR="007E6EF0" w:rsidRDefault="007E6EF0">
      <w:pPr>
        <w:spacing w:before="0" w:after="0" w:line="240" w:lineRule="auto"/>
      </w:pPr>
    </w:p>
  </w:footnote>
  <w:footnote w:id="2">
    <w:p w14:paraId="2A9823A4" w14:textId="77777777" w:rsidR="007E6EF0" w:rsidRDefault="007E6EF0" w:rsidP="00E119D9">
      <w:pPr>
        <w:pStyle w:val="FootnoteText"/>
      </w:pPr>
      <w:r>
        <w:rPr>
          <w:rStyle w:val="FootnoteReference"/>
        </w:rPr>
        <w:footnoteRef/>
      </w:r>
      <w:r>
        <w:t xml:space="preserve"> </w:t>
      </w:r>
      <w:r w:rsidRPr="00460036">
        <w:t xml:space="preserve">The </w:t>
      </w:r>
      <w:r w:rsidRPr="00460036">
        <w:rPr>
          <w:b/>
        </w:rPr>
        <w:t>Black Triangle Scheme</w:t>
      </w:r>
      <w:r w:rsidRPr="00460036">
        <w:t xml:space="preserve"> provides a simple means for practitioners and patients to identify certain types of new prescription medicines, including those being used in new ways and to encourage the reporting of adverse events associated with their use. The Black Triangle does not denote that there are known safety problems, just that the TGA is encouraging adverse event reporting to help us build up the full picture of a medicine's safety profile.</w:t>
      </w:r>
    </w:p>
  </w:footnote>
  <w:footnote w:id="3">
    <w:p w14:paraId="299C1954" w14:textId="77777777" w:rsidR="007E6EF0" w:rsidRDefault="007E6EF0">
      <w:pPr>
        <w:pStyle w:val="FootnoteText"/>
      </w:pPr>
      <w:r>
        <w:rPr>
          <w:rStyle w:val="FootnoteReference"/>
        </w:rPr>
        <w:footnoteRef/>
      </w:r>
      <w:r>
        <w:t xml:space="preserve"> </w:t>
      </w:r>
      <w:proofErr w:type="spellStart"/>
      <w:r w:rsidRPr="00CE5EF1">
        <w:t>Loibl</w:t>
      </w:r>
      <w:proofErr w:type="spellEnd"/>
      <w:r>
        <w:t>, S.</w:t>
      </w:r>
      <w:r w:rsidRPr="00CE5EF1">
        <w:t xml:space="preserve"> </w:t>
      </w:r>
      <w:r>
        <w:t xml:space="preserve">&amp; </w:t>
      </w:r>
      <w:r w:rsidRPr="00CE5EF1">
        <w:t>Gianni</w:t>
      </w:r>
      <w:r>
        <w:t>,</w:t>
      </w:r>
      <w:r w:rsidRPr="00CE5EF1">
        <w:t xml:space="preserve"> L. HER2-positive breast cancer. </w:t>
      </w:r>
      <w:r w:rsidRPr="00CE5EF1">
        <w:rPr>
          <w:i/>
        </w:rPr>
        <w:t>Lancet</w:t>
      </w:r>
      <w:r w:rsidRPr="00CE5EF1">
        <w:t>. 2017;</w:t>
      </w:r>
      <w:r>
        <w:t xml:space="preserve"> </w:t>
      </w:r>
      <w:r w:rsidRPr="00CE5EF1">
        <w:t>389(10087):</w:t>
      </w:r>
      <w:r>
        <w:t xml:space="preserve"> </w:t>
      </w:r>
      <w:r w:rsidRPr="00CE5EF1">
        <w:t>2415-</w:t>
      </w:r>
      <w:r>
        <w:t>24</w:t>
      </w:r>
      <w:r w:rsidRPr="00CE5EF1">
        <w:t>29.</w:t>
      </w:r>
    </w:p>
  </w:footnote>
  <w:footnote w:id="4">
    <w:p w14:paraId="648481AE" w14:textId="77777777" w:rsidR="007E6EF0" w:rsidRDefault="007E6EF0" w:rsidP="00E6400A">
      <w:pPr>
        <w:pStyle w:val="FootnoteText"/>
      </w:pPr>
      <w:r>
        <w:rPr>
          <w:rStyle w:val="FootnoteReference"/>
        </w:rPr>
        <w:footnoteRef/>
      </w:r>
      <w:r>
        <w:t xml:space="preserve"> Murphy, B.L., et al. Adolescents and young adults with breast cancer have more aggressive disease and treatment than patients in their forties. </w:t>
      </w:r>
      <w:r w:rsidRPr="00E6400A">
        <w:rPr>
          <w:i/>
        </w:rPr>
        <w:t xml:space="preserve">Ann </w:t>
      </w:r>
      <w:proofErr w:type="spellStart"/>
      <w:r w:rsidRPr="00E6400A">
        <w:rPr>
          <w:i/>
        </w:rPr>
        <w:t>Surg</w:t>
      </w:r>
      <w:proofErr w:type="spellEnd"/>
      <w:r w:rsidRPr="00E6400A">
        <w:rPr>
          <w:i/>
        </w:rPr>
        <w:t xml:space="preserve"> </w:t>
      </w:r>
      <w:proofErr w:type="spellStart"/>
      <w:r w:rsidRPr="00E6400A">
        <w:rPr>
          <w:i/>
        </w:rPr>
        <w:t>Oncol</w:t>
      </w:r>
      <w:proofErr w:type="spellEnd"/>
      <w:r>
        <w:t>, 2019; 26(12): 3920-3930.</w:t>
      </w:r>
    </w:p>
  </w:footnote>
  <w:footnote w:id="5">
    <w:p w14:paraId="1663065A" w14:textId="63E940BA" w:rsidR="007E6EF0" w:rsidRPr="003E3DF2" w:rsidRDefault="007E6EF0" w:rsidP="003E3DF2">
      <w:pPr>
        <w:pStyle w:val="FootnoteText"/>
      </w:pPr>
      <w:r>
        <w:rPr>
          <w:rStyle w:val="FootnoteReference"/>
        </w:rPr>
        <w:footnoteRef/>
      </w:r>
      <w:r>
        <w:t xml:space="preserve"> US FDA Accelerated Approval regulations: These regulations allowed drugs for serious conditions that filled an unmet medical need to be approved based on a surrogate endpoint.</w:t>
      </w:r>
    </w:p>
  </w:footnote>
  <w:footnote w:id="6">
    <w:p w14:paraId="4A6FEC11" w14:textId="77777777" w:rsidR="007E6EF0" w:rsidRDefault="007E6EF0" w:rsidP="00E6400A">
      <w:pPr>
        <w:pStyle w:val="FootnoteText"/>
      </w:pPr>
      <w:r>
        <w:rPr>
          <w:rStyle w:val="FootnoteReference"/>
        </w:rPr>
        <w:footnoteRef/>
      </w:r>
      <w:r>
        <w:t xml:space="preserve"> Clayton A.J., et al. Incidence of cerebral metastases in patients treated with trastuzumab for metastatic breast cancer. </w:t>
      </w:r>
      <w:r w:rsidRPr="0044586C">
        <w:rPr>
          <w:i/>
        </w:rPr>
        <w:t>Br J Cancer</w:t>
      </w:r>
      <w:r>
        <w:t>, 2004; 91(4): 639-43.</w:t>
      </w:r>
    </w:p>
  </w:footnote>
  <w:footnote w:id="7">
    <w:p w14:paraId="42C02BAE" w14:textId="77777777" w:rsidR="007E6EF0" w:rsidRDefault="007E6EF0" w:rsidP="00E6400A">
      <w:pPr>
        <w:pStyle w:val="FootnoteText"/>
      </w:pPr>
      <w:r>
        <w:rPr>
          <w:rStyle w:val="FootnoteReference"/>
        </w:rPr>
        <w:footnoteRef/>
      </w:r>
      <w:r>
        <w:t xml:space="preserve"> Lin, N.U. Breast cancer brain metastases: new directions in systemic therapy. </w:t>
      </w:r>
      <w:proofErr w:type="spellStart"/>
      <w:r w:rsidRPr="00E0433A">
        <w:rPr>
          <w:i/>
        </w:rPr>
        <w:t>Ecancermedicalscience</w:t>
      </w:r>
      <w:proofErr w:type="spellEnd"/>
      <w:r w:rsidRPr="00E0433A">
        <w:rPr>
          <w:i/>
        </w:rPr>
        <w:t xml:space="preserve"> </w:t>
      </w:r>
      <w:r w:rsidRPr="00E0433A">
        <w:t>2013</w:t>
      </w:r>
      <w:r>
        <w:rPr>
          <w:i/>
        </w:rPr>
        <w:t xml:space="preserve">; </w:t>
      </w:r>
      <w:r>
        <w:t>7: 307.</w:t>
      </w:r>
    </w:p>
  </w:footnote>
  <w:footnote w:id="8">
    <w:p w14:paraId="61589471" w14:textId="77777777" w:rsidR="007E6EF0" w:rsidRDefault="007E6EF0" w:rsidP="00CE5EF1">
      <w:pPr>
        <w:pStyle w:val="FootnoteText"/>
      </w:pPr>
      <w:r>
        <w:rPr>
          <w:rStyle w:val="FootnoteReference"/>
        </w:rPr>
        <w:footnoteRef/>
      </w:r>
      <w:r>
        <w:t xml:space="preserve"> </w:t>
      </w:r>
      <w:proofErr w:type="spellStart"/>
      <w:r>
        <w:t>Brufsky</w:t>
      </w:r>
      <w:proofErr w:type="spellEnd"/>
      <w:r>
        <w:t xml:space="preserve">, A.M., et al. Central nervous system metastases in patients with HER2-positive metastatic breast cancer: incidence, treatment, and survival in patients from </w:t>
      </w:r>
      <w:proofErr w:type="spellStart"/>
      <w:r>
        <w:t>registHER</w:t>
      </w:r>
      <w:proofErr w:type="spellEnd"/>
      <w:r>
        <w:t xml:space="preserve">. </w:t>
      </w:r>
      <w:proofErr w:type="spellStart"/>
      <w:r w:rsidRPr="00CE5EF1">
        <w:rPr>
          <w:i/>
        </w:rPr>
        <w:t>Clin</w:t>
      </w:r>
      <w:proofErr w:type="spellEnd"/>
      <w:r w:rsidRPr="00CE5EF1">
        <w:rPr>
          <w:i/>
        </w:rPr>
        <w:t xml:space="preserve"> Cancer Res</w:t>
      </w:r>
      <w:r>
        <w:t>. 2011; 17(14): 4834-4843.</w:t>
      </w:r>
    </w:p>
  </w:footnote>
  <w:footnote w:id="9">
    <w:p w14:paraId="1E4391EA" w14:textId="77777777" w:rsidR="007E6EF0" w:rsidRDefault="007E6EF0">
      <w:pPr>
        <w:pStyle w:val="FootnoteText"/>
      </w:pPr>
      <w:r>
        <w:rPr>
          <w:rStyle w:val="FootnoteReference"/>
        </w:rPr>
        <w:footnoteRef/>
      </w:r>
      <w:r>
        <w:t xml:space="preserve"> </w:t>
      </w:r>
      <w:proofErr w:type="spellStart"/>
      <w:r>
        <w:t>Bachelot</w:t>
      </w:r>
      <w:proofErr w:type="spellEnd"/>
      <w:r>
        <w:t xml:space="preserve">, T. et al. </w:t>
      </w:r>
      <w:proofErr w:type="spellStart"/>
      <w:r w:rsidRPr="00EE3732">
        <w:t>Lapatinib</w:t>
      </w:r>
      <w:proofErr w:type="spellEnd"/>
      <w:r w:rsidRPr="00EE3732">
        <w:t xml:space="preserve"> plus capecitabine in patients with previously untreated brain metastases from HER2-positive metastatic breast cancer (LANDSCAPE): a single-group phase 2 study</w:t>
      </w:r>
      <w:r>
        <w:t xml:space="preserve">, </w:t>
      </w:r>
      <w:r w:rsidRPr="00EE3732">
        <w:rPr>
          <w:i/>
        </w:rPr>
        <w:t xml:space="preserve">Lancet </w:t>
      </w:r>
      <w:proofErr w:type="spellStart"/>
      <w:r w:rsidRPr="00EE3732">
        <w:rPr>
          <w:i/>
        </w:rPr>
        <w:t>Oncol</w:t>
      </w:r>
      <w:proofErr w:type="spellEnd"/>
      <w:r>
        <w:t xml:space="preserve">, 2012; </w:t>
      </w:r>
      <w:r w:rsidRPr="00EE3732">
        <w:t>14(1):</w:t>
      </w:r>
      <w:r>
        <w:t xml:space="preserve"> </w:t>
      </w:r>
      <w:r w:rsidRPr="00EE3732">
        <w:t>64-71</w:t>
      </w:r>
      <w:r>
        <w:t>.</w:t>
      </w:r>
    </w:p>
  </w:footnote>
  <w:footnote w:id="10">
    <w:p w14:paraId="21416FD6" w14:textId="77777777" w:rsidR="007E6EF0" w:rsidRDefault="007E6EF0">
      <w:pPr>
        <w:pStyle w:val="FootnoteText"/>
      </w:pPr>
      <w:r>
        <w:rPr>
          <w:rStyle w:val="FootnoteReference"/>
        </w:rPr>
        <w:footnoteRef/>
      </w:r>
      <w:r>
        <w:t xml:space="preserve"> </w:t>
      </w:r>
      <w:r w:rsidRPr="00D47EC3">
        <w:rPr>
          <w:b/>
        </w:rPr>
        <w:t>Project Orbis</w:t>
      </w:r>
      <w:r w:rsidRPr="00D47EC3">
        <w:t xml:space="preserve"> seeks to increase collaboration among international regulators, which may in turn allow patients with cancer to receive earlier access to products in other countries where there may be significant delays in regulatory submissions, regardless of whether the product has received approval. Pivotal clinical trials in oncology are commonly conducted internationally and these global trials are increasingly important for investigating the safety and effectiveness of cancer drugs for approval across jurisdictions. Future drug development may benefit by establishing a greater uniformity of new global standards of treatment, leading to the optimal design of these important trials. For further information visit: </w:t>
      </w:r>
      <w:hyperlink r:id="rId1" w:history="1">
        <w:r w:rsidRPr="0043476E">
          <w:rPr>
            <w:rStyle w:val="Hyperlink"/>
          </w:rPr>
          <w:t>https://www.fda.gov/about-fda/oncology-center-excellence/project-orbis</w:t>
        </w:r>
      </w:hyperlink>
      <w:r>
        <w:t>.</w:t>
      </w:r>
    </w:p>
  </w:footnote>
  <w:footnote w:id="11">
    <w:p w14:paraId="666C3690" w14:textId="77777777" w:rsidR="007E6EF0" w:rsidRDefault="007E6EF0">
      <w:pPr>
        <w:pStyle w:val="FootnoteText"/>
      </w:pPr>
      <w:r>
        <w:rPr>
          <w:rStyle w:val="FootnoteReference"/>
        </w:rPr>
        <w:footnoteRef/>
      </w:r>
      <w:r>
        <w:t xml:space="preserve"> FDA, Multi-Discipline Review, </w:t>
      </w:r>
      <w:r w:rsidRPr="00A27EE2">
        <w:rPr>
          <w:rFonts w:eastAsia="Calibri"/>
        </w:rPr>
        <w:t>Tukysa (tucatinib)</w:t>
      </w:r>
      <w:r w:rsidRPr="00250271">
        <w:t xml:space="preserve"> </w:t>
      </w:r>
      <w:r>
        <w:rPr>
          <w:rFonts w:eastAsia="Calibri"/>
        </w:rPr>
        <w:t xml:space="preserve">50 mg or </w:t>
      </w:r>
      <w:r w:rsidRPr="00A27EE2">
        <w:rPr>
          <w:rFonts w:eastAsia="Calibri"/>
        </w:rPr>
        <w:t>150 mg</w:t>
      </w:r>
      <w:r>
        <w:t xml:space="preserve"> tablets, Application </w:t>
      </w:r>
      <w:r w:rsidRPr="00174507">
        <w:t>213411Orig1s000</w:t>
      </w:r>
      <w:r>
        <w:t>, April 2020. Available from the FDA website.</w:t>
      </w:r>
    </w:p>
  </w:footnote>
  <w:footnote w:id="12">
    <w:p w14:paraId="6ADEED02" w14:textId="77777777" w:rsidR="007E6EF0" w:rsidRDefault="007E6EF0" w:rsidP="00A90F5F">
      <w:pPr>
        <w:pStyle w:val="FootnoteText"/>
      </w:pPr>
      <w:r>
        <w:rPr>
          <w:rStyle w:val="FootnoteReference"/>
        </w:rPr>
        <w:footnoteRef/>
      </w:r>
      <w:r>
        <w:t xml:space="preserve"> </w:t>
      </w:r>
      <w:r w:rsidRPr="00F979FB">
        <w:rPr>
          <w:b/>
        </w:rPr>
        <w:t>Cytochrome P450</w:t>
      </w:r>
      <w:r>
        <w:t xml:space="preserve"> (</w:t>
      </w:r>
      <w:r w:rsidRPr="00F979FB">
        <w:rPr>
          <w:b/>
        </w:rPr>
        <w:t>CYP</w:t>
      </w:r>
      <w:r>
        <w:t xml:space="preserve">) </w:t>
      </w:r>
      <w:r w:rsidRPr="00F979FB">
        <w:rPr>
          <w:b/>
        </w:rPr>
        <w:t>enzymes</w:t>
      </w:r>
      <w:r>
        <w:t xml:space="preserve">: CYPs are the major enzymes involved in drug metabolism, accounting for large part of the total metabolism. Most drugs undergo deactivation by CYPs, either directly or by facilitated excretion from the body. Also, many substances are </w:t>
      </w:r>
      <w:proofErr w:type="spellStart"/>
      <w:r>
        <w:t>bioactivated</w:t>
      </w:r>
      <w:proofErr w:type="spellEnd"/>
      <w:r>
        <w:t xml:space="preserve"> by CYPs to form their active compounds.</w:t>
      </w:r>
    </w:p>
    <w:p w14:paraId="6FAE24E6" w14:textId="7195D930" w:rsidR="007E6EF0" w:rsidRPr="00F979FB" w:rsidRDefault="007E6EF0" w:rsidP="00A90F5F">
      <w:pPr>
        <w:pStyle w:val="FootnoteText"/>
        <w:rPr>
          <w:lang w:val="en-US"/>
        </w:rPr>
      </w:pPr>
      <w:r>
        <w:t>Many drugs may increase or decrease the activity of various CYP isozymes either by inducing the biosynthesis of an isozyme (enzyme induction) or by directly inhibiting the activity of the CYP (enzyme inhibition). This is a major source of adverse drug interactions, since changes in CYP enzyme activity may affect the metabolism and clearance of various drugs. Such drug interactions are especially important to take into account when using drugs of vital importance to the patient, drugs with important side-effects and drugs with small therapeutic windows, but any drug may be subject to an altered plasma concentration due to altered drug metabolism.</w:t>
      </w:r>
    </w:p>
  </w:footnote>
  <w:footnote w:id="13">
    <w:p w14:paraId="607619A3" w14:textId="77777777" w:rsidR="007E6EF0" w:rsidRDefault="007E6EF0" w:rsidP="00EE3732">
      <w:pPr>
        <w:pStyle w:val="FootnoteText"/>
      </w:pPr>
      <w:r>
        <w:rPr>
          <w:rStyle w:val="FootnoteReference"/>
        </w:rPr>
        <w:footnoteRef/>
      </w:r>
      <w:r>
        <w:t xml:space="preserve"> </w:t>
      </w:r>
      <w:r w:rsidRPr="00EE3732">
        <w:rPr>
          <w:b/>
        </w:rPr>
        <w:t>Australian Pregnancy Category D</w:t>
      </w:r>
      <w:r>
        <w:t>: drugs which have caused, are suspected to have caused or may be expected to cause, an increased incidence of human fetal malformations or irreversible damage. These drugs may also have adverse pharmacological effects. Accompanying texts should be consulted for further details.</w:t>
      </w:r>
    </w:p>
  </w:footnote>
  <w:footnote w:id="14">
    <w:p w14:paraId="2DC26E90" w14:textId="77777777" w:rsidR="007E6EF0" w:rsidRPr="00D47EC3" w:rsidRDefault="007E6EF0" w:rsidP="00D47EC3">
      <w:pPr>
        <w:pStyle w:val="FootnoteText"/>
        <w:rPr>
          <w:rStyle w:val="FootnoteTextChar"/>
          <w:lang w:eastAsia="en-AU"/>
        </w:rPr>
      </w:pPr>
      <w:r>
        <w:rPr>
          <w:rStyle w:val="FootnoteReference"/>
        </w:rPr>
        <w:footnoteRef/>
      </w:r>
      <w:r>
        <w:t xml:space="preserve"> </w:t>
      </w:r>
      <w:r w:rsidRPr="00D47EC3">
        <w:rPr>
          <w:rStyle w:val="FootnoteTextChar"/>
          <w:lang w:eastAsia="en-AU"/>
        </w:rPr>
        <w:t xml:space="preserve">The </w:t>
      </w:r>
      <w:r w:rsidRPr="00D47EC3">
        <w:rPr>
          <w:rStyle w:val="FootnoteTextChar"/>
          <w:b/>
          <w:lang w:eastAsia="en-AU"/>
        </w:rPr>
        <w:t>Child-Pugh score</w:t>
      </w:r>
      <w:r w:rsidRPr="00D47EC3">
        <w:rPr>
          <w:rStyle w:val="FootnoteTextChar"/>
          <w:lang w:eastAsia="en-AU"/>
        </w:rPr>
        <w:t xml:space="preserve"> is used to assess the prognosis of chronic liver disease. The score employs five clinical measures of liver disease. Each measure is scored 1 to 3, with 3 indicating most severe derangement. Class A: 5 to 6 points, least severe liver disease, one to five year survival rate of 95%. Class B: 7 to 9 points, moderately severe liver disease, one to five year survival of 75%. Class C: 10 to 15 points, most severe liver disease, 1 to 5 year survival rate 50%.</w:t>
      </w:r>
    </w:p>
  </w:footnote>
  <w:footnote w:id="15">
    <w:p w14:paraId="1443BA7B" w14:textId="3C2E225A" w:rsidR="007E6EF0" w:rsidRPr="00F979FB" w:rsidRDefault="007E6EF0">
      <w:pPr>
        <w:pStyle w:val="FootnoteText"/>
        <w:rPr>
          <w:lang w:val="en-US"/>
        </w:rPr>
      </w:pPr>
      <w:r>
        <w:rPr>
          <w:rStyle w:val="FootnoteReference"/>
        </w:rPr>
        <w:footnoteRef/>
      </w:r>
      <w:r>
        <w:t xml:space="preserve"> </w:t>
      </w:r>
      <w:r w:rsidRPr="00AC422B">
        <w:t xml:space="preserve">The </w:t>
      </w:r>
      <w:r w:rsidRPr="00F979FB">
        <w:rPr>
          <w:b/>
        </w:rPr>
        <w:t>QT interval</w:t>
      </w:r>
      <w:r w:rsidRPr="00AC422B">
        <w:t xml:space="preserve"> is the time from the start of the QRS wave complex to the end of the corresponding T wave. It approximates to the time taken for ventricular depolarisation and repolarisation, that is to say, the period of ventricular systole from ventricular </w:t>
      </w:r>
      <w:proofErr w:type="spellStart"/>
      <w:r w:rsidRPr="00AC422B">
        <w:t>isovolumetric</w:t>
      </w:r>
      <w:proofErr w:type="spellEnd"/>
      <w:r w:rsidRPr="00AC422B">
        <w:t xml:space="preserve"> contraction to </w:t>
      </w:r>
      <w:proofErr w:type="spellStart"/>
      <w:r w:rsidRPr="00AC422B">
        <w:t>isovolumetric</w:t>
      </w:r>
      <w:proofErr w:type="spellEnd"/>
      <w:r w:rsidRPr="00AC422B">
        <w:t xml:space="preserve"> relaxation.</w:t>
      </w:r>
      <w:r>
        <w:t xml:space="preserve"> A thorough QT study helps characterise the potential of a drug to cause prolongation of the QT interval, and associated arrhythmias.</w:t>
      </w:r>
    </w:p>
  </w:footnote>
  <w:footnote w:id="16">
    <w:p w14:paraId="171856D1" w14:textId="77777777" w:rsidR="007E6EF0" w:rsidRDefault="007E6EF0">
      <w:pPr>
        <w:pStyle w:val="FootnoteText"/>
      </w:pPr>
      <w:r>
        <w:rPr>
          <w:rStyle w:val="FootnoteReference"/>
        </w:rPr>
        <w:footnoteRef/>
      </w:r>
      <w:r>
        <w:t xml:space="preserve"> DILI = drug induced liver injury.</w:t>
      </w:r>
    </w:p>
  </w:footnote>
  <w:footnote w:id="17">
    <w:p w14:paraId="1BC754DD" w14:textId="77777777" w:rsidR="007E6EF0" w:rsidRDefault="007E6EF0" w:rsidP="007D53B6">
      <w:pPr>
        <w:pStyle w:val="FootnoteText"/>
      </w:pPr>
      <w:r>
        <w:rPr>
          <w:rStyle w:val="FootnoteReference"/>
        </w:rPr>
        <w:footnoteRef/>
      </w:r>
      <w:r>
        <w:t xml:space="preserve"> </w:t>
      </w:r>
      <w:r w:rsidRPr="007D53B6">
        <w:rPr>
          <w:i/>
        </w:rPr>
        <w:t xml:space="preserve">Routine risk minimisation </w:t>
      </w:r>
      <w:r>
        <w:t>activities may be limited to ensuring that suitable warnings are included in the product information or by careful use of labelling and packaging.</w:t>
      </w:r>
    </w:p>
    <w:p w14:paraId="490F59F5" w14:textId="77777777" w:rsidR="007E6EF0" w:rsidRDefault="007E6EF0" w:rsidP="007D53B6">
      <w:pPr>
        <w:pStyle w:val="FootnoteText"/>
      </w:pPr>
      <w:r w:rsidRPr="007D53B6">
        <w:rPr>
          <w:i/>
        </w:rPr>
        <w:t>Routine pharmacovigilance</w:t>
      </w:r>
      <w:r>
        <w:t xml:space="preserve"> practices involve the following activities:</w:t>
      </w:r>
    </w:p>
    <w:p w14:paraId="6CFAE444" w14:textId="77777777" w:rsidR="007E6EF0" w:rsidRDefault="007E6EF0" w:rsidP="00DC5056">
      <w:pPr>
        <w:pStyle w:val="FootnoteText"/>
        <w:numPr>
          <w:ilvl w:val="0"/>
          <w:numId w:val="5"/>
        </w:numPr>
        <w:ind w:left="284" w:hanging="284"/>
      </w:pPr>
      <w:r>
        <w:t>All suspected adverse reactions that are reported to the personnel of the company are collected and collated in an accessible manner;</w:t>
      </w:r>
    </w:p>
    <w:p w14:paraId="701403DB" w14:textId="77777777" w:rsidR="007E6EF0" w:rsidRDefault="007E6EF0" w:rsidP="00DC5056">
      <w:pPr>
        <w:pStyle w:val="FootnoteText"/>
        <w:numPr>
          <w:ilvl w:val="0"/>
          <w:numId w:val="5"/>
        </w:numPr>
        <w:ind w:left="284" w:hanging="284"/>
      </w:pPr>
      <w:r>
        <w:t>Reporting to regulatory authorities;</w:t>
      </w:r>
    </w:p>
    <w:p w14:paraId="4AE4CBD7" w14:textId="77777777" w:rsidR="007E6EF0" w:rsidRDefault="007E6EF0" w:rsidP="00DC5056">
      <w:pPr>
        <w:pStyle w:val="FootnoteText"/>
        <w:numPr>
          <w:ilvl w:val="0"/>
          <w:numId w:val="5"/>
        </w:numPr>
        <w:ind w:left="284" w:hanging="284"/>
      </w:pPr>
      <w:r>
        <w:t>Continuous monitoring of the safety profiles of approved products including signal detection and updating of labelling;</w:t>
      </w:r>
    </w:p>
    <w:p w14:paraId="466CC482" w14:textId="77777777" w:rsidR="007E6EF0" w:rsidRDefault="007E6EF0" w:rsidP="00DC5056">
      <w:pPr>
        <w:pStyle w:val="FootnoteText"/>
        <w:numPr>
          <w:ilvl w:val="0"/>
          <w:numId w:val="5"/>
        </w:numPr>
        <w:ind w:left="284" w:hanging="284"/>
      </w:pPr>
      <w:r>
        <w:t>Submission of PSURs;</w:t>
      </w:r>
    </w:p>
    <w:p w14:paraId="55BB7B0E" w14:textId="77777777" w:rsidR="007E6EF0" w:rsidRDefault="007E6EF0" w:rsidP="00DC5056">
      <w:pPr>
        <w:pStyle w:val="FootnoteText"/>
        <w:numPr>
          <w:ilvl w:val="0"/>
          <w:numId w:val="5"/>
        </w:numPr>
        <w:ind w:left="284" w:hanging="284"/>
      </w:pPr>
      <w:r>
        <w:t>Meeting other local regulatory agency requirements.</w:t>
      </w:r>
    </w:p>
  </w:footnote>
  <w:footnote w:id="18">
    <w:p w14:paraId="146C9B09" w14:textId="77777777" w:rsidR="007E6EF0" w:rsidRDefault="007E6EF0" w:rsidP="00456765">
      <w:pPr>
        <w:pStyle w:val="FootnoteText"/>
      </w:pPr>
      <w:r>
        <w:rPr>
          <w:rStyle w:val="FootnoteReference"/>
        </w:rPr>
        <w:footnoteRef/>
      </w:r>
      <w:r>
        <w:t xml:space="preserve"> The ACM provides independent medical and scientific advice to the Minister for Health and the Therapeutic Goods Administration (TGA) on issues relating to the safety, quality and efficacy of medicines supplied in Australia including issues relating to pre-market and post-market functions for medicines.</w:t>
      </w:r>
    </w:p>
    <w:p w14:paraId="25845EAB" w14:textId="77777777" w:rsidR="007E6EF0" w:rsidRPr="00456765" w:rsidRDefault="007E6EF0" w:rsidP="00456765">
      <w:pPr>
        <w:pStyle w:val="FootnoteText"/>
        <w:rPr>
          <w:lang w:val="en-US"/>
        </w:rPr>
      </w:pPr>
      <w:r>
        <w:t xml:space="preserve">The Committee is established under Regulation 35 of the Therapeutic Goods Regulations 1990. Members are appointed by the Minister. The ACM was established in January 2017 replacing </w:t>
      </w:r>
      <w:r w:rsidRPr="009E0C19">
        <w:t xml:space="preserve">Advisory Committee on Prescription Medicines (ACPM) </w:t>
      </w:r>
      <w:r>
        <w:t xml:space="preserve">which </w:t>
      </w:r>
      <w:r w:rsidRPr="009E0C19">
        <w:t>was formed in January 2010</w:t>
      </w:r>
      <w:r>
        <w:t>. ACM encompass pre and post-market advice for medicines, following the consolidation of the previous functions of the Advisory Committee on Prescription Medicines (ACPM), the Advisory Committee on the Safety of Medicines (ACSOM) and the Advisory Committee on Non-Prescription Medicines (ACNM). Membership comprises of professionals with specific scientific, medical or clinical expertise, as well as appropriate consumer health issues relating to medicines.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84659" w14:textId="77777777" w:rsidR="007E6EF0" w:rsidRDefault="007E6E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506B6" w14:textId="77777777" w:rsidR="007E6EF0" w:rsidRDefault="007E6EF0" w:rsidP="00E45619">
    <w:pPr>
      <w:pStyle w:val="Header"/>
    </w:pPr>
    <w: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28A8A" w14:textId="77777777" w:rsidR="007E6EF0" w:rsidRDefault="007E6EF0">
    <w:pPr>
      <w:rPr>
        <w:noProof/>
        <w:lang w:eastAsia="en-AU"/>
      </w:rPr>
    </w:pPr>
    <w:r w:rsidRPr="00347824">
      <w:rPr>
        <w:noProof/>
        <w:lang w:eastAsia="en-AU"/>
      </w:rPr>
      <w:drawing>
        <wp:anchor distT="0" distB="0" distL="114300" distR="114300" simplePos="0" relativeHeight="251657216" behindDoc="1" locked="0" layoutInCell="1" allowOverlap="1" wp14:anchorId="21531DF4" wp14:editId="0CB0ED0A">
          <wp:simplePos x="0" y="0"/>
          <wp:positionH relativeFrom="column">
            <wp:posOffset>-1089660</wp:posOffset>
          </wp:positionH>
          <wp:positionV relativeFrom="paragraph">
            <wp:posOffset>-585470</wp:posOffset>
          </wp:positionV>
          <wp:extent cx="7572375" cy="10706100"/>
          <wp:effectExtent l="19050" t="0" r="0" b="0"/>
          <wp:wrapNone/>
          <wp:docPr id="10"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6329BEBA" w14:textId="1F515B73" w:rsidR="007E6EF0" w:rsidRDefault="007E6EF0" w:rsidP="00593AD1">
    <w:pPr>
      <w:pStyle w:val="HeaderNoLin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F6A17" w14:textId="77777777" w:rsidR="007E6EF0" w:rsidRDefault="007E6EF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44B46" w14:textId="77777777" w:rsidR="007E6EF0" w:rsidRDefault="007E6EF0">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6463E" w14:textId="77777777" w:rsidR="007E6EF0" w:rsidRDefault="007E6EF0">
    <w:pPr>
      <w:pStyle w:val="Header"/>
    </w:pPr>
    <w:r>
      <w:t>Therapeutic Goods Administration</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A8197" w14:textId="77777777" w:rsidR="007E6EF0" w:rsidRDefault="007E6EF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7F0E0" w14:textId="77777777" w:rsidR="007E6EF0" w:rsidRDefault="007E6EF0" w:rsidP="004C239D">
    <w:pPr>
      <w:pStyle w:val="HeaderNoLin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E4BD3" w14:textId="77777777" w:rsidR="007E6EF0" w:rsidRDefault="007E6EF0" w:rsidP="006E08B3">
    <w:r>
      <w:t>Therapeutic Goods Administration</w:t>
    </w:r>
  </w:p>
  <w:p w14:paraId="5D4F9C84" w14:textId="77777777" w:rsidR="007E6EF0" w:rsidRDefault="007E6EF0" w:rsidP="006D03E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68C0AA2"/>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7FC9C0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1833ED"/>
    <w:multiLevelType w:val="hybridMultilevel"/>
    <w:tmpl w:val="B1A8FE6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E9108CD"/>
    <w:multiLevelType w:val="hybridMultilevel"/>
    <w:tmpl w:val="F07C7BCA"/>
    <w:lvl w:ilvl="0" w:tplc="7E7496A6">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15:restartNumberingAfterBreak="0">
    <w:nsid w:val="168F13E9"/>
    <w:multiLevelType w:val="multilevel"/>
    <w:tmpl w:val="7C8C7E92"/>
    <w:styleLink w:val="ListBullets"/>
    <w:lvl w:ilvl="0">
      <w:start w:val="1"/>
      <w:numFmt w:val="bullet"/>
      <w:pStyle w:val="ListBullet"/>
      <w:lvlText w:val="•"/>
      <w:lvlJc w:val="left"/>
      <w:pPr>
        <w:ind w:left="360" w:hanging="360"/>
      </w:pPr>
      <w:rPr>
        <w:rFonts w:ascii="Arial" w:hAnsi="Aria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1FFA6884"/>
    <w:multiLevelType w:val="hybridMultilevel"/>
    <w:tmpl w:val="D43ED18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5817091"/>
    <w:multiLevelType w:val="hybridMultilevel"/>
    <w:tmpl w:val="8D962C80"/>
    <w:lvl w:ilvl="0" w:tplc="B35A1FA2">
      <w:numFmt w:val="bullet"/>
      <w:lvlText w:val=""/>
      <w:lvlJc w:val="left"/>
      <w:pPr>
        <w:ind w:left="1920" w:hanging="360"/>
      </w:pPr>
      <w:rPr>
        <w:rFonts w:ascii="Symbol" w:eastAsia="Symbol" w:hAnsi="Symbol" w:cs="Symbol" w:hint="default"/>
        <w:w w:val="100"/>
        <w:sz w:val="24"/>
        <w:szCs w:val="24"/>
      </w:rPr>
    </w:lvl>
    <w:lvl w:ilvl="1" w:tplc="CFA47C18">
      <w:numFmt w:val="bullet"/>
      <w:lvlText w:val="o"/>
      <w:lvlJc w:val="left"/>
      <w:pPr>
        <w:ind w:left="2280" w:hanging="360"/>
      </w:pPr>
      <w:rPr>
        <w:rFonts w:ascii="Courier New" w:eastAsia="Courier New" w:hAnsi="Courier New" w:cs="Courier New" w:hint="default"/>
        <w:w w:val="100"/>
        <w:sz w:val="24"/>
        <w:szCs w:val="24"/>
      </w:rPr>
    </w:lvl>
    <w:lvl w:ilvl="2" w:tplc="40509F0C">
      <w:numFmt w:val="bullet"/>
      <w:lvlText w:val="•"/>
      <w:lvlJc w:val="left"/>
      <w:pPr>
        <w:ind w:left="3051" w:hanging="360"/>
      </w:pPr>
      <w:rPr>
        <w:rFonts w:hint="default"/>
      </w:rPr>
    </w:lvl>
    <w:lvl w:ilvl="3" w:tplc="2CAE7546">
      <w:numFmt w:val="bullet"/>
      <w:lvlText w:val="•"/>
      <w:lvlJc w:val="left"/>
      <w:pPr>
        <w:ind w:left="3822" w:hanging="360"/>
      </w:pPr>
      <w:rPr>
        <w:rFonts w:hint="default"/>
      </w:rPr>
    </w:lvl>
    <w:lvl w:ilvl="4" w:tplc="5F663CB6">
      <w:numFmt w:val="bullet"/>
      <w:lvlText w:val="•"/>
      <w:lvlJc w:val="left"/>
      <w:pPr>
        <w:ind w:left="4593" w:hanging="360"/>
      </w:pPr>
      <w:rPr>
        <w:rFonts w:hint="default"/>
      </w:rPr>
    </w:lvl>
    <w:lvl w:ilvl="5" w:tplc="65B2FC76">
      <w:numFmt w:val="bullet"/>
      <w:lvlText w:val="•"/>
      <w:lvlJc w:val="left"/>
      <w:pPr>
        <w:ind w:left="5364" w:hanging="360"/>
      </w:pPr>
      <w:rPr>
        <w:rFonts w:hint="default"/>
      </w:rPr>
    </w:lvl>
    <w:lvl w:ilvl="6" w:tplc="E0606F60">
      <w:numFmt w:val="bullet"/>
      <w:lvlText w:val="•"/>
      <w:lvlJc w:val="left"/>
      <w:pPr>
        <w:ind w:left="6135" w:hanging="360"/>
      </w:pPr>
      <w:rPr>
        <w:rFonts w:hint="default"/>
      </w:rPr>
    </w:lvl>
    <w:lvl w:ilvl="7" w:tplc="55FAC8F4">
      <w:numFmt w:val="bullet"/>
      <w:lvlText w:val="•"/>
      <w:lvlJc w:val="left"/>
      <w:pPr>
        <w:ind w:left="6906" w:hanging="360"/>
      </w:pPr>
      <w:rPr>
        <w:rFonts w:hint="default"/>
      </w:rPr>
    </w:lvl>
    <w:lvl w:ilvl="8" w:tplc="E04EBE4E">
      <w:numFmt w:val="bullet"/>
      <w:lvlText w:val="•"/>
      <w:lvlJc w:val="left"/>
      <w:pPr>
        <w:ind w:left="7677" w:hanging="360"/>
      </w:pPr>
      <w:rPr>
        <w:rFonts w:hint="default"/>
      </w:rPr>
    </w:lvl>
  </w:abstractNum>
  <w:abstractNum w:abstractNumId="8" w15:restartNumberingAfterBreak="0">
    <w:nsid w:val="3364370D"/>
    <w:multiLevelType w:val="hybridMultilevel"/>
    <w:tmpl w:val="47141ED6"/>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9" w15:restartNumberingAfterBreak="0">
    <w:nsid w:val="34415AE5"/>
    <w:multiLevelType w:val="hybridMultilevel"/>
    <w:tmpl w:val="B218E1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515321D"/>
    <w:multiLevelType w:val="hybridMultilevel"/>
    <w:tmpl w:val="874AC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914314"/>
    <w:multiLevelType w:val="hybridMultilevel"/>
    <w:tmpl w:val="A87626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5EC228E"/>
    <w:multiLevelType w:val="hybridMultilevel"/>
    <w:tmpl w:val="C14870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9B15D7"/>
    <w:multiLevelType w:val="hybridMultilevel"/>
    <w:tmpl w:val="3D2E60CC"/>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D35E11"/>
    <w:multiLevelType w:val="hybridMultilevel"/>
    <w:tmpl w:val="1D4075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1E61F6"/>
    <w:multiLevelType w:val="hybridMultilevel"/>
    <w:tmpl w:val="C08EB250"/>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E0D7BB5"/>
    <w:multiLevelType w:val="hybridMultilevel"/>
    <w:tmpl w:val="6538A4BC"/>
    <w:lvl w:ilvl="0" w:tplc="4D040328">
      <w:start w:val="1"/>
      <w:numFmt w:val="lowerLetter"/>
      <w:lvlText w:val="%1"/>
      <w:lvlJc w:val="left"/>
      <w:pPr>
        <w:ind w:left="480" w:hanging="360"/>
      </w:pPr>
      <w:rPr>
        <w:rFonts w:ascii="Times New Roman" w:eastAsia="Times New Roman" w:hAnsi="Times New Roman" w:cs="Times New Roman" w:hint="default"/>
        <w:w w:val="100"/>
        <w:sz w:val="18"/>
        <w:szCs w:val="18"/>
      </w:rPr>
    </w:lvl>
    <w:lvl w:ilvl="1" w:tplc="6360C0E8">
      <w:numFmt w:val="bullet"/>
      <w:lvlText w:val="•"/>
      <w:lvlJc w:val="left"/>
      <w:pPr>
        <w:ind w:left="1354" w:hanging="360"/>
      </w:pPr>
      <w:rPr>
        <w:rFonts w:hint="default"/>
      </w:rPr>
    </w:lvl>
    <w:lvl w:ilvl="2" w:tplc="0DCCC426">
      <w:numFmt w:val="bullet"/>
      <w:lvlText w:val="•"/>
      <w:lvlJc w:val="left"/>
      <w:pPr>
        <w:ind w:left="2228" w:hanging="360"/>
      </w:pPr>
      <w:rPr>
        <w:rFonts w:hint="default"/>
      </w:rPr>
    </w:lvl>
    <w:lvl w:ilvl="3" w:tplc="96105FE0">
      <w:numFmt w:val="bullet"/>
      <w:lvlText w:val="•"/>
      <w:lvlJc w:val="left"/>
      <w:pPr>
        <w:ind w:left="3102" w:hanging="360"/>
      </w:pPr>
      <w:rPr>
        <w:rFonts w:hint="default"/>
      </w:rPr>
    </w:lvl>
    <w:lvl w:ilvl="4" w:tplc="8DB263B2">
      <w:numFmt w:val="bullet"/>
      <w:lvlText w:val="•"/>
      <w:lvlJc w:val="left"/>
      <w:pPr>
        <w:ind w:left="3976" w:hanging="360"/>
      </w:pPr>
      <w:rPr>
        <w:rFonts w:hint="default"/>
      </w:rPr>
    </w:lvl>
    <w:lvl w:ilvl="5" w:tplc="15AE2F72">
      <w:numFmt w:val="bullet"/>
      <w:lvlText w:val="•"/>
      <w:lvlJc w:val="left"/>
      <w:pPr>
        <w:ind w:left="4850" w:hanging="360"/>
      </w:pPr>
      <w:rPr>
        <w:rFonts w:hint="default"/>
      </w:rPr>
    </w:lvl>
    <w:lvl w:ilvl="6" w:tplc="7D2A47A0">
      <w:numFmt w:val="bullet"/>
      <w:lvlText w:val="•"/>
      <w:lvlJc w:val="left"/>
      <w:pPr>
        <w:ind w:left="5724" w:hanging="360"/>
      </w:pPr>
      <w:rPr>
        <w:rFonts w:hint="default"/>
      </w:rPr>
    </w:lvl>
    <w:lvl w:ilvl="7" w:tplc="562426B4">
      <w:numFmt w:val="bullet"/>
      <w:lvlText w:val="•"/>
      <w:lvlJc w:val="left"/>
      <w:pPr>
        <w:ind w:left="6598" w:hanging="360"/>
      </w:pPr>
      <w:rPr>
        <w:rFonts w:hint="default"/>
      </w:rPr>
    </w:lvl>
    <w:lvl w:ilvl="8" w:tplc="473E9A6E">
      <w:numFmt w:val="bullet"/>
      <w:lvlText w:val="•"/>
      <w:lvlJc w:val="left"/>
      <w:pPr>
        <w:ind w:left="7472" w:hanging="360"/>
      </w:pPr>
      <w:rPr>
        <w:rFonts w:hint="default"/>
      </w:rPr>
    </w:lvl>
  </w:abstractNum>
  <w:abstractNum w:abstractNumId="17" w15:restartNumberingAfterBreak="0">
    <w:nsid w:val="507279CB"/>
    <w:multiLevelType w:val="hybridMultilevel"/>
    <w:tmpl w:val="324839D4"/>
    <w:lvl w:ilvl="0" w:tplc="E5EACD22">
      <w:numFmt w:val="bullet"/>
      <w:lvlText w:val="•"/>
      <w:lvlJc w:val="left"/>
      <w:pPr>
        <w:ind w:left="720" w:hanging="72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4AD3DC9"/>
    <w:multiLevelType w:val="hybridMultilevel"/>
    <w:tmpl w:val="27983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935759E"/>
    <w:multiLevelType w:val="hybridMultilevel"/>
    <w:tmpl w:val="F97CD794"/>
    <w:lvl w:ilvl="0" w:tplc="D8049F0A">
      <w:start w:val="1"/>
      <w:numFmt w:val="bullet"/>
      <w:lvlText w:val="•"/>
      <w:lvlJc w:val="left"/>
      <w:pPr>
        <w:tabs>
          <w:tab w:val="num" w:pos="360"/>
        </w:tabs>
        <w:ind w:left="360" w:hanging="360"/>
      </w:pPr>
      <w:rPr>
        <w:rFonts w:ascii="Arial" w:hAnsi="Arial" w:hint="default"/>
      </w:rPr>
    </w:lvl>
    <w:lvl w:ilvl="1" w:tplc="DD6C06C0">
      <w:start w:val="142"/>
      <w:numFmt w:val="bullet"/>
      <w:lvlText w:val="–"/>
      <w:lvlJc w:val="left"/>
      <w:pPr>
        <w:tabs>
          <w:tab w:val="num" w:pos="1080"/>
        </w:tabs>
        <w:ind w:left="1080" w:hanging="360"/>
      </w:pPr>
      <w:rPr>
        <w:rFonts w:ascii="Arial" w:hAnsi="Arial" w:hint="default"/>
      </w:rPr>
    </w:lvl>
    <w:lvl w:ilvl="2" w:tplc="7646FF3E">
      <w:start w:val="1"/>
      <w:numFmt w:val="bullet"/>
      <w:lvlText w:val="•"/>
      <w:lvlJc w:val="left"/>
      <w:pPr>
        <w:tabs>
          <w:tab w:val="num" w:pos="1800"/>
        </w:tabs>
        <w:ind w:left="1800" w:hanging="360"/>
      </w:pPr>
      <w:rPr>
        <w:rFonts w:ascii="Arial" w:hAnsi="Arial" w:hint="default"/>
      </w:rPr>
    </w:lvl>
    <w:lvl w:ilvl="3" w:tplc="B9E058F8" w:tentative="1">
      <w:start w:val="1"/>
      <w:numFmt w:val="bullet"/>
      <w:lvlText w:val="•"/>
      <w:lvlJc w:val="left"/>
      <w:pPr>
        <w:tabs>
          <w:tab w:val="num" w:pos="2520"/>
        </w:tabs>
        <w:ind w:left="2520" w:hanging="360"/>
      </w:pPr>
      <w:rPr>
        <w:rFonts w:ascii="Arial" w:hAnsi="Arial" w:hint="default"/>
      </w:rPr>
    </w:lvl>
    <w:lvl w:ilvl="4" w:tplc="79FE651A" w:tentative="1">
      <w:start w:val="1"/>
      <w:numFmt w:val="bullet"/>
      <w:lvlText w:val="•"/>
      <w:lvlJc w:val="left"/>
      <w:pPr>
        <w:tabs>
          <w:tab w:val="num" w:pos="3240"/>
        </w:tabs>
        <w:ind w:left="3240" w:hanging="360"/>
      </w:pPr>
      <w:rPr>
        <w:rFonts w:ascii="Arial" w:hAnsi="Arial" w:hint="default"/>
      </w:rPr>
    </w:lvl>
    <w:lvl w:ilvl="5" w:tplc="37705356" w:tentative="1">
      <w:start w:val="1"/>
      <w:numFmt w:val="bullet"/>
      <w:lvlText w:val="•"/>
      <w:lvlJc w:val="left"/>
      <w:pPr>
        <w:tabs>
          <w:tab w:val="num" w:pos="3960"/>
        </w:tabs>
        <w:ind w:left="3960" w:hanging="360"/>
      </w:pPr>
      <w:rPr>
        <w:rFonts w:ascii="Arial" w:hAnsi="Arial" w:hint="default"/>
      </w:rPr>
    </w:lvl>
    <w:lvl w:ilvl="6" w:tplc="72A00396" w:tentative="1">
      <w:start w:val="1"/>
      <w:numFmt w:val="bullet"/>
      <w:lvlText w:val="•"/>
      <w:lvlJc w:val="left"/>
      <w:pPr>
        <w:tabs>
          <w:tab w:val="num" w:pos="4680"/>
        </w:tabs>
        <w:ind w:left="4680" w:hanging="360"/>
      </w:pPr>
      <w:rPr>
        <w:rFonts w:ascii="Arial" w:hAnsi="Arial" w:hint="default"/>
      </w:rPr>
    </w:lvl>
    <w:lvl w:ilvl="7" w:tplc="F68631A8" w:tentative="1">
      <w:start w:val="1"/>
      <w:numFmt w:val="bullet"/>
      <w:lvlText w:val="•"/>
      <w:lvlJc w:val="left"/>
      <w:pPr>
        <w:tabs>
          <w:tab w:val="num" w:pos="5400"/>
        </w:tabs>
        <w:ind w:left="5400" w:hanging="360"/>
      </w:pPr>
      <w:rPr>
        <w:rFonts w:ascii="Arial" w:hAnsi="Arial" w:hint="default"/>
      </w:rPr>
    </w:lvl>
    <w:lvl w:ilvl="8" w:tplc="84E4A9EE" w:tentative="1">
      <w:start w:val="1"/>
      <w:numFmt w:val="bullet"/>
      <w:lvlText w:val="•"/>
      <w:lvlJc w:val="left"/>
      <w:pPr>
        <w:tabs>
          <w:tab w:val="num" w:pos="6120"/>
        </w:tabs>
        <w:ind w:left="6120" w:hanging="360"/>
      </w:pPr>
      <w:rPr>
        <w:rFonts w:ascii="Arial" w:hAnsi="Arial" w:hint="default"/>
      </w:rPr>
    </w:lvl>
  </w:abstractNum>
  <w:abstractNum w:abstractNumId="20" w15:restartNumberingAfterBreak="0">
    <w:nsid w:val="6CA95783"/>
    <w:multiLevelType w:val="hybridMultilevel"/>
    <w:tmpl w:val="20722F64"/>
    <w:lvl w:ilvl="0" w:tplc="6F2455EA">
      <w:start w:val="1"/>
      <w:numFmt w:val="lowerLetter"/>
      <w:lvlText w:val="%1"/>
      <w:lvlJc w:val="left"/>
      <w:pPr>
        <w:ind w:left="480" w:hanging="360"/>
      </w:pPr>
      <w:rPr>
        <w:rFonts w:ascii="Times New Roman" w:eastAsia="Times New Roman" w:hAnsi="Times New Roman" w:cs="Times New Roman" w:hint="default"/>
        <w:w w:val="100"/>
        <w:sz w:val="18"/>
        <w:szCs w:val="18"/>
      </w:rPr>
    </w:lvl>
    <w:lvl w:ilvl="1" w:tplc="49E2E304">
      <w:numFmt w:val="bullet"/>
      <w:lvlText w:val="•"/>
      <w:lvlJc w:val="left"/>
      <w:pPr>
        <w:ind w:left="1354" w:hanging="360"/>
      </w:pPr>
      <w:rPr>
        <w:rFonts w:hint="default"/>
      </w:rPr>
    </w:lvl>
    <w:lvl w:ilvl="2" w:tplc="B7ACE9D8">
      <w:numFmt w:val="bullet"/>
      <w:lvlText w:val="•"/>
      <w:lvlJc w:val="left"/>
      <w:pPr>
        <w:ind w:left="2228" w:hanging="360"/>
      </w:pPr>
      <w:rPr>
        <w:rFonts w:hint="default"/>
      </w:rPr>
    </w:lvl>
    <w:lvl w:ilvl="3" w:tplc="8E76DC84">
      <w:numFmt w:val="bullet"/>
      <w:lvlText w:val="•"/>
      <w:lvlJc w:val="left"/>
      <w:pPr>
        <w:ind w:left="3102" w:hanging="360"/>
      </w:pPr>
      <w:rPr>
        <w:rFonts w:hint="default"/>
      </w:rPr>
    </w:lvl>
    <w:lvl w:ilvl="4" w:tplc="66F8BCD8">
      <w:numFmt w:val="bullet"/>
      <w:lvlText w:val="•"/>
      <w:lvlJc w:val="left"/>
      <w:pPr>
        <w:ind w:left="3976" w:hanging="360"/>
      </w:pPr>
      <w:rPr>
        <w:rFonts w:hint="default"/>
      </w:rPr>
    </w:lvl>
    <w:lvl w:ilvl="5" w:tplc="55F29E56">
      <w:numFmt w:val="bullet"/>
      <w:lvlText w:val="•"/>
      <w:lvlJc w:val="left"/>
      <w:pPr>
        <w:ind w:left="4850" w:hanging="360"/>
      </w:pPr>
      <w:rPr>
        <w:rFonts w:hint="default"/>
      </w:rPr>
    </w:lvl>
    <w:lvl w:ilvl="6" w:tplc="C21085F0">
      <w:numFmt w:val="bullet"/>
      <w:lvlText w:val="•"/>
      <w:lvlJc w:val="left"/>
      <w:pPr>
        <w:ind w:left="5724" w:hanging="360"/>
      </w:pPr>
      <w:rPr>
        <w:rFonts w:hint="default"/>
      </w:rPr>
    </w:lvl>
    <w:lvl w:ilvl="7" w:tplc="C888843C">
      <w:numFmt w:val="bullet"/>
      <w:lvlText w:val="•"/>
      <w:lvlJc w:val="left"/>
      <w:pPr>
        <w:ind w:left="6598" w:hanging="360"/>
      </w:pPr>
      <w:rPr>
        <w:rFonts w:hint="default"/>
      </w:rPr>
    </w:lvl>
    <w:lvl w:ilvl="8" w:tplc="52BA1E78">
      <w:numFmt w:val="bullet"/>
      <w:lvlText w:val="•"/>
      <w:lvlJc w:val="left"/>
      <w:pPr>
        <w:ind w:left="7472" w:hanging="360"/>
      </w:pPr>
      <w:rPr>
        <w:rFonts w:hint="default"/>
      </w:rPr>
    </w:lvl>
  </w:abstractNum>
  <w:abstractNum w:abstractNumId="21" w15:restartNumberingAfterBreak="0">
    <w:nsid w:val="76532397"/>
    <w:multiLevelType w:val="hybridMultilevel"/>
    <w:tmpl w:val="217CE0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5"/>
  </w:num>
  <w:num w:numId="4">
    <w:abstractNumId w:val="4"/>
  </w:num>
  <w:num w:numId="5">
    <w:abstractNumId w:val="17"/>
  </w:num>
  <w:num w:numId="6">
    <w:abstractNumId w:val="8"/>
  </w:num>
  <w:num w:numId="7">
    <w:abstractNumId w:val="12"/>
  </w:num>
  <w:num w:numId="8">
    <w:abstractNumId w:val="18"/>
  </w:num>
  <w:num w:numId="9">
    <w:abstractNumId w:val="13"/>
  </w:num>
  <w:num w:numId="10">
    <w:abstractNumId w:val="11"/>
  </w:num>
  <w:num w:numId="11">
    <w:abstractNumId w:val="19"/>
  </w:num>
  <w:num w:numId="12">
    <w:abstractNumId w:val="14"/>
  </w:num>
  <w:num w:numId="13">
    <w:abstractNumId w:val="21"/>
  </w:num>
  <w:num w:numId="14">
    <w:abstractNumId w:val="2"/>
  </w:num>
  <w:num w:numId="15">
    <w:abstractNumId w:val="6"/>
  </w:num>
  <w:num w:numId="16">
    <w:abstractNumId w:val="15"/>
  </w:num>
  <w:num w:numId="17">
    <w:abstractNumId w:val="10"/>
  </w:num>
  <w:num w:numId="18">
    <w:abstractNumId w:val="3"/>
  </w:num>
  <w:num w:numId="19">
    <w:abstractNumId w:val="7"/>
  </w:num>
  <w:num w:numId="20">
    <w:abstractNumId w:val="20"/>
  </w:num>
  <w:num w:numId="21">
    <w:abstractNumId w:val="16"/>
  </w:num>
  <w:num w:numId="22">
    <w:abstractNumId w:val="1"/>
  </w:num>
  <w:num w:numId="23">
    <w:abstractNumId w:val="0"/>
  </w:num>
  <w:num w:numId="24">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s-ES" w:vendorID="64" w:dllVersion="6"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AU"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es-ES" w:vendorID="64" w:dllVersion="131078" w:nlCheck="1" w:checkStyle="0"/>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94A"/>
    <w:rsid w:val="00002031"/>
    <w:rsid w:val="0000433A"/>
    <w:rsid w:val="00004734"/>
    <w:rsid w:val="00006B22"/>
    <w:rsid w:val="00006FAB"/>
    <w:rsid w:val="0001276A"/>
    <w:rsid w:val="000246AE"/>
    <w:rsid w:val="00025C67"/>
    <w:rsid w:val="00036B0F"/>
    <w:rsid w:val="00044772"/>
    <w:rsid w:val="0004541C"/>
    <w:rsid w:val="0005559E"/>
    <w:rsid w:val="000604D6"/>
    <w:rsid w:val="000734D8"/>
    <w:rsid w:val="00077775"/>
    <w:rsid w:val="00090471"/>
    <w:rsid w:val="00096AA7"/>
    <w:rsid w:val="000A3AED"/>
    <w:rsid w:val="000B3532"/>
    <w:rsid w:val="000B3A75"/>
    <w:rsid w:val="000C00C2"/>
    <w:rsid w:val="000C690F"/>
    <w:rsid w:val="000D1295"/>
    <w:rsid w:val="000D391B"/>
    <w:rsid w:val="000D3D6D"/>
    <w:rsid w:val="000D4FC7"/>
    <w:rsid w:val="000E6196"/>
    <w:rsid w:val="000F4869"/>
    <w:rsid w:val="000F5B42"/>
    <w:rsid w:val="000F6E6F"/>
    <w:rsid w:val="0010601F"/>
    <w:rsid w:val="0010788A"/>
    <w:rsid w:val="00107A31"/>
    <w:rsid w:val="00110EA5"/>
    <w:rsid w:val="00112F56"/>
    <w:rsid w:val="00122C2E"/>
    <w:rsid w:val="00124ACD"/>
    <w:rsid w:val="00125318"/>
    <w:rsid w:val="001305A2"/>
    <w:rsid w:val="00130658"/>
    <w:rsid w:val="00133238"/>
    <w:rsid w:val="00133A1B"/>
    <w:rsid w:val="0014197B"/>
    <w:rsid w:val="0014391A"/>
    <w:rsid w:val="001447CD"/>
    <w:rsid w:val="00150BEF"/>
    <w:rsid w:val="001516B1"/>
    <w:rsid w:val="00154EBB"/>
    <w:rsid w:val="00156316"/>
    <w:rsid w:val="00161181"/>
    <w:rsid w:val="00162D14"/>
    <w:rsid w:val="00163780"/>
    <w:rsid w:val="00165389"/>
    <w:rsid w:val="00173146"/>
    <w:rsid w:val="00174507"/>
    <w:rsid w:val="0017693F"/>
    <w:rsid w:val="0018110E"/>
    <w:rsid w:val="00181684"/>
    <w:rsid w:val="001819D2"/>
    <w:rsid w:val="001843C6"/>
    <w:rsid w:val="001850E0"/>
    <w:rsid w:val="001A03AF"/>
    <w:rsid w:val="001A2158"/>
    <w:rsid w:val="001A525F"/>
    <w:rsid w:val="001B09F9"/>
    <w:rsid w:val="001B5C90"/>
    <w:rsid w:val="001B6448"/>
    <w:rsid w:val="001C0164"/>
    <w:rsid w:val="001C32CD"/>
    <w:rsid w:val="001D1308"/>
    <w:rsid w:val="001D2984"/>
    <w:rsid w:val="001E07CF"/>
    <w:rsid w:val="001E0BE3"/>
    <w:rsid w:val="001E59F1"/>
    <w:rsid w:val="001F0C57"/>
    <w:rsid w:val="001F1705"/>
    <w:rsid w:val="001F2CEE"/>
    <w:rsid w:val="001F49EB"/>
    <w:rsid w:val="001F58F4"/>
    <w:rsid w:val="001F6CBA"/>
    <w:rsid w:val="00201D4E"/>
    <w:rsid w:val="002076C9"/>
    <w:rsid w:val="00220B8A"/>
    <w:rsid w:val="002257F3"/>
    <w:rsid w:val="00233456"/>
    <w:rsid w:val="002339A5"/>
    <w:rsid w:val="00250271"/>
    <w:rsid w:val="00257848"/>
    <w:rsid w:val="002578E8"/>
    <w:rsid w:val="0027084A"/>
    <w:rsid w:val="002751D2"/>
    <w:rsid w:val="00280265"/>
    <w:rsid w:val="00286434"/>
    <w:rsid w:val="00286C59"/>
    <w:rsid w:val="00291957"/>
    <w:rsid w:val="002942D1"/>
    <w:rsid w:val="0029501A"/>
    <w:rsid w:val="002A36CA"/>
    <w:rsid w:val="002A3721"/>
    <w:rsid w:val="002A46F3"/>
    <w:rsid w:val="002B1638"/>
    <w:rsid w:val="002B3624"/>
    <w:rsid w:val="002C210B"/>
    <w:rsid w:val="002D0952"/>
    <w:rsid w:val="002D67CF"/>
    <w:rsid w:val="002D7AEE"/>
    <w:rsid w:val="002E40B3"/>
    <w:rsid w:val="002E4C9A"/>
    <w:rsid w:val="002F11F8"/>
    <w:rsid w:val="002F3F56"/>
    <w:rsid w:val="002F44B5"/>
    <w:rsid w:val="002F5122"/>
    <w:rsid w:val="003009EF"/>
    <w:rsid w:val="00305E60"/>
    <w:rsid w:val="003067B5"/>
    <w:rsid w:val="00311AC0"/>
    <w:rsid w:val="00316C3A"/>
    <w:rsid w:val="003176FC"/>
    <w:rsid w:val="003201DC"/>
    <w:rsid w:val="003221BC"/>
    <w:rsid w:val="00324E45"/>
    <w:rsid w:val="0032583B"/>
    <w:rsid w:val="003262C1"/>
    <w:rsid w:val="00327883"/>
    <w:rsid w:val="00335504"/>
    <w:rsid w:val="00337E2B"/>
    <w:rsid w:val="00340C18"/>
    <w:rsid w:val="00343DD3"/>
    <w:rsid w:val="003442FD"/>
    <w:rsid w:val="00347824"/>
    <w:rsid w:val="00350567"/>
    <w:rsid w:val="003521E8"/>
    <w:rsid w:val="0035734A"/>
    <w:rsid w:val="00362E37"/>
    <w:rsid w:val="00370AC6"/>
    <w:rsid w:val="00370CE3"/>
    <w:rsid w:val="003728F3"/>
    <w:rsid w:val="003735BC"/>
    <w:rsid w:val="0037496E"/>
    <w:rsid w:val="00382E95"/>
    <w:rsid w:val="00383221"/>
    <w:rsid w:val="00386150"/>
    <w:rsid w:val="003874CE"/>
    <w:rsid w:val="00390900"/>
    <w:rsid w:val="003A5E9E"/>
    <w:rsid w:val="003A7F6C"/>
    <w:rsid w:val="003B200E"/>
    <w:rsid w:val="003B4D60"/>
    <w:rsid w:val="003B7E39"/>
    <w:rsid w:val="003C18A7"/>
    <w:rsid w:val="003C58DC"/>
    <w:rsid w:val="003D1E62"/>
    <w:rsid w:val="003E0B99"/>
    <w:rsid w:val="003E2486"/>
    <w:rsid w:val="003E3208"/>
    <w:rsid w:val="003E3DF2"/>
    <w:rsid w:val="003F0B04"/>
    <w:rsid w:val="0040134E"/>
    <w:rsid w:val="004334C7"/>
    <w:rsid w:val="0043798E"/>
    <w:rsid w:val="00440A2D"/>
    <w:rsid w:val="00441C3F"/>
    <w:rsid w:val="00444D1A"/>
    <w:rsid w:val="0044586C"/>
    <w:rsid w:val="0045186A"/>
    <w:rsid w:val="004564A7"/>
    <w:rsid w:val="00456765"/>
    <w:rsid w:val="00460036"/>
    <w:rsid w:val="004617BF"/>
    <w:rsid w:val="00463658"/>
    <w:rsid w:val="004637A0"/>
    <w:rsid w:val="0047148F"/>
    <w:rsid w:val="004722CC"/>
    <w:rsid w:val="00490483"/>
    <w:rsid w:val="004936E4"/>
    <w:rsid w:val="00494E60"/>
    <w:rsid w:val="00497487"/>
    <w:rsid w:val="004A2771"/>
    <w:rsid w:val="004A6189"/>
    <w:rsid w:val="004A656E"/>
    <w:rsid w:val="004A7390"/>
    <w:rsid w:val="004B0AD5"/>
    <w:rsid w:val="004B7B76"/>
    <w:rsid w:val="004C239D"/>
    <w:rsid w:val="004C2DCA"/>
    <w:rsid w:val="004C4FBE"/>
    <w:rsid w:val="004C61D2"/>
    <w:rsid w:val="004E468A"/>
    <w:rsid w:val="004F0C4A"/>
    <w:rsid w:val="004F0F38"/>
    <w:rsid w:val="004F47D6"/>
    <w:rsid w:val="004F5578"/>
    <w:rsid w:val="00500337"/>
    <w:rsid w:val="00501921"/>
    <w:rsid w:val="00530354"/>
    <w:rsid w:val="005339D3"/>
    <w:rsid w:val="0053625B"/>
    <w:rsid w:val="005434C6"/>
    <w:rsid w:val="00543B39"/>
    <w:rsid w:val="00546154"/>
    <w:rsid w:val="00550096"/>
    <w:rsid w:val="00555280"/>
    <w:rsid w:val="00557FF9"/>
    <w:rsid w:val="00562327"/>
    <w:rsid w:val="005711D5"/>
    <w:rsid w:val="00576378"/>
    <w:rsid w:val="00577130"/>
    <w:rsid w:val="00577945"/>
    <w:rsid w:val="00577E38"/>
    <w:rsid w:val="00585322"/>
    <w:rsid w:val="005857C6"/>
    <w:rsid w:val="00587566"/>
    <w:rsid w:val="00592F6E"/>
    <w:rsid w:val="00593AD1"/>
    <w:rsid w:val="005A68B6"/>
    <w:rsid w:val="005C457A"/>
    <w:rsid w:val="005C5570"/>
    <w:rsid w:val="005C5B66"/>
    <w:rsid w:val="005C79A4"/>
    <w:rsid w:val="005D0EEE"/>
    <w:rsid w:val="005D5442"/>
    <w:rsid w:val="005F6228"/>
    <w:rsid w:val="00603F32"/>
    <w:rsid w:val="00605AD4"/>
    <w:rsid w:val="006136D7"/>
    <w:rsid w:val="00625A6E"/>
    <w:rsid w:val="00632398"/>
    <w:rsid w:val="00640FC3"/>
    <w:rsid w:val="00642020"/>
    <w:rsid w:val="0064294A"/>
    <w:rsid w:val="006430EE"/>
    <w:rsid w:val="006526DD"/>
    <w:rsid w:val="0065337B"/>
    <w:rsid w:val="0065419D"/>
    <w:rsid w:val="006603BC"/>
    <w:rsid w:val="006604D8"/>
    <w:rsid w:val="00664A5B"/>
    <w:rsid w:val="0066735C"/>
    <w:rsid w:val="0067093A"/>
    <w:rsid w:val="006763D2"/>
    <w:rsid w:val="00680C08"/>
    <w:rsid w:val="00683FE0"/>
    <w:rsid w:val="00686F1C"/>
    <w:rsid w:val="006916A0"/>
    <w:rsid w:val="006931B1"/>
    <w:rsid w:val="006A15C0"/>
    <w:rsid w:val="006A58A8"/>
    <w:rsid w:val="006C1F1E"/>
    <w:rsid w:val="006C3E2A"/>
    <w:rsid w:val="006C642F"/>
    <w:rsid w:val="006D03E5"/>
    <w:rsid w:val="006D11D1"/>
    <w:rsid w:val="006D5D3E"/>
    <w:rsid w:val="006E08B3"/>
    <w:rsid w:val="006F17AC"/>
    <w:rsid w:val="006F25B8"/>
    <w:rsid w:val="006F572E"/>
    <w:rsid w:val="00700B9B"/>
    <w:rsid w:val="007046D6"/>
    <w:rsid w:val="00704EA1"/>
    <w:rsid w:val="00705DB0"/>
    <w:rsid w:val="00706F48"/>
    <w:rsid w:val="007127FB"/>
    <w:rsid w:val="00722B57"/>
    <w:rsid w:val="00730F8A"/>
    <w:rsid w:val="00735A8C"/>
    <w:rsid w:val="0074253D"/>
    <w:rsid w:val="00744121"/>
    <w:rsid w:val="0074429B"/>
    <w:rsid w:val="007479AE"/>
    <w:rsid w:val="007615BC"/>
    <w:rsid w:val="00762F05"/>
    <w:rsid w:val="007652FF"/>
    <w:rsid w:val="00766085"/>
    <w:rsid w:val="00770CAC"/>
    <w:rsid w:val="00770EF1"/>
    <w:rsid w:val="00773EF7"/>
    <w:rsid w:val="00774E1D"/>
    <w:rsid w:val="007765D8"/>
    <w:rsid w:val="0077675A"/>
    <w:rsid w:val="00780355"/>
    <w:rsid w:val="007819FD"/>
    <w:rsid w:val="00785717"/>
    <w:rsid w:val="00785721"/>
    <w:rsid w:val="007912D9"/>
    <w:rsid w:val="00792667"/>
    <w:rsid w:val="00793A59"/>
    <w:rsid w:val="007A46F5"/>
    <w:rsid w:val="007A6505"/>
    <w:rsid w:val="007B6132"/>
    <w:rsid w:val="007B6E9F"/>
    <w:rsid w:val="007C1216"/>
    <w:rsid w:val="007C1AF7"/>
    <w:rsid w:val="007C6B9B"/>
    <w:rsid w:val="007D3046"/>
    <w:rsid w:val="007D53B6"/>
    <w:rsid w:val="007E6EF0"/>
    <w:rsid w:val="007F2AE5"/>
    <w:rsid w:val="007F5695"/>
    <w:rsid w:val="00805D27"/>
    <w:rsid w:val="00806DCB"/>
    <w:rsid w:val="00816BD3"/>
    <w:rsid w:val="00821776"/>
    <w:rsid w:val="00822A5F"/>
    <w:rsid w:val="008321F5"/>
    <w:rsid w:val="00832369"/>
    <w:rsid w:val="00834660"/>
    <w:rsid w:val="00836BC2"/>
    <w:rsid w:val="0085156D"/>
    <w:rsid w:val="00852B28"/>
    <w:rsid w:val="0085641B"/>
    <w:rsid w:val="00857136"/>
    <w:rsid w:val="008711A4"/>
    <w:rsid w:val="00871790"/>
    <w:rsid w:val="00875A6B"/>
    <w:rsid w:val="00885B11"/>
    <w:rsid w:val="00886669"/>
    <w:rsid w:val="00886D15"/>
    <w:rsid w:val="00887DD8"/>
    <w:rsid w:val="00891A62"/>
    <w:rsid w:val="00891BA9"/>
    <w:rsid w:val="00896018"/>
    <w:rsid w:val="008960DD"/>
    <w:rsid w:val="0089635C"/>
    <w:rsid w:val="008A2B9D"/>
    <w:rsid w:val="008A3D9F"/>
    <w:rsid w:val="008A5E0B"/>
    <w:rsid w:val="008A6D59"/>
    <w:rsid w:val="008B4B03"/>
    <w:rsid w:val="008B596F"/>
    <w:rsid w:val="008C159F"/>
    <w:rsid w:val="008C1623"/>
    <w:rsid w:val="008C1850"/>
    <w:rsid w:val="008C51A9"/>
    <w:rsid w:val="008D454B"/>
    <w:rsid w:val="008E5124"/>
    <w:rsid w:val="008E7846"/>
    <w:rsid w:val="008F02E5"/>
    <w:rsid w:val="008F1CCC"/>
    <w:rsid w:val="008F20BB"/>
    <w:rsid w:val="008F2967"/>
    <w:rsid w:val="008F6943"/>
    <w:rsid w:val="00902A21"/>
    <w:rsid w:val="0091523F"/>
    <w:rsid w:val="00920330"/>
    <w:rsid w:val="009219D7"/>
    <w:rsid w:val="00922D53"/>
    <w:rsid w:val="00923B70"/>
    <w:rsid w:val="00924482"/>
    <w:rsid w:val="00930237"/>
    <w:rsid w:val="00937C17"/>
    <w:rsid w:val="00940A89"/>
    <w:rsid w:val="00941F77"/>
    <w:rsid w:val="00946EA5"/>
    <w:rsid w:val="00960520"/>
    <w:rsid w:val="00962BBE"/>
    <w:rsid w:val="00962CB5"/>
    <w:rsid w:val="00963C08"/>
    <w:rsid w:val="0097156D"/>
    <w:rsid w:val="0097367A"/>
    <w:rsid w:val="009752A5"/>
    <w:rsid w:val="0098585A"/>
    <w:rsid w:val="009A4CED"/>
    <w:rsid w:val="009A690D"/>
    <w:rsid w:val="009B1D12"/>
    <w:rsid w:val="009B416B"/>
    <w:rsid w:val="009B4AAE"/>
    <w:rsid w:val="009C4BD5"/>
    <w:rsid w:val="009C7615"/>
    <w:rsid w:val="009D5730"/>
    <w:rsid w:val="009D7B77"/>
    <w:rsid w:val="009E0BB0"/>
    <w:rsid w:val="009E3FBB"/>
    <w:rsid w:val="009F7353"/>
    <w:rsid w:val="00A04F85"/>
    <w:rsid w:val="00A05FA4"/>
    <w:rsid w:val="00A102E4"/>
    <w:rsid w:val="00A1219C"/>
    <w:rsid w:val="00A12C42"/>
    <w:rsid w:val="00A14DF7"/>
    <w:rsid w:val="00A22D57"/>
    <w:rsid w:val="00A3246D"/>
    <w:rsid w:val="00A33D6C"/>
    <w:rsid w:val="00A36FA7"/>
    <w:rsid w:val="00A44DDB"/>
    <w:rsid w:val="00A475B7"/>
    <w:rsid w:val="00A47AF7"/>
    <w:rsid w:val="00A47C3E"/>
    <w:rsid w:val="00A50226"/>
    <w:rsid w:val="00A60BAD"/>
    <w:rsid w:val="00A77F87"/>
    <w:rsid w:val="00A80B5B"/>
    <w:rsid w:val="00A84E36"/>
    <w:rsid w:val="00A90F5F"/>
    <w:rsid w:val="00A964D1"/>
    <w:rsid w:val="00AA0ED0"/>
    <w:rsid w:val="00AC2B40"/>
    <w:rsid w:val="00AC2BB2"/>
    <w:rsid w:val="00AC2C3C"/>
    <w:rsid w:val="00AC422B"/>
    <w:rsid w:val="00AC512D"/>
    <w:rsid w:val="00AD0083"/>
    <w:rsid w:val="00AD0A2B"/>
    <w:rsid w:val="00AD3935"/>
    <w:rsid w:val="00AE5DB5"/>
    <w:rsid w:val="00AE65EB"/>
    <w:rsid w:val="00AE67A7"/>
    <w:rsid w:val="00AF1D94"/>
    <w:rsid w:val="00AF60C5"/>
    <w:rsid w:val="00B009C6"/>
    <w:rsid w:val="00B01548"/>
    <w:rsid w:val="00B130C5"/>
    <w:rsid w:val="00B13EBD"/>
    <w:rsid w:val="00B21D29"/>
    <w:rsid w:val="00B21FD6"/>
    <w:rsid w:val="00B25034"/>
    <w:rsid w:val="00B33588"/>
    <w:rsid w:val="00B33863"/>
    <w:rsid w:val="00B37D17"/>
    <w:rsid w:val="00B4175E"/>
    <w:rsid w:val="00B41C85"/>
    <w:rsid w:val="00B452CE"/>
    <w:rsid w:val="00B51ED1"/>
    <w:rsid w:val="00B54C25"/>
    <w:rsid w:val="00B55DE1"/>
    <w:rsid w:val="00B73945"/>
    <w:rsid w:val="00B76B91"/>
    <w:rsid w:val="00B77EB1"/>
    <w:rsid w:val="00B811C6"/>
    <w:rsid w:val="00B855B0"/>
    <w:rsid w:val="00B92E08"/>
    <w:rsid w:val="00B95A36"/>
    <w:rsid w:val="00BC622A"/>
    <w:rsid w:val="00BC7691"/>
    <w:rsid w:val="00BE0A78"/>
    <w:rsid w:val="00BE79F0"/>
    <w:rsid w:val="00BF046D"/>
    <w:rsid w:val="00BF1190"/>
    <w:rsid w:val="00BF3774"/>
    <w:rsid w:val="00BF494A"/>
    <w:rsid w:val="00BF5D04"/>
    <w:rsid w:val="00C009AA"/>
    <w:rsid w:val="00C00E1C"/>
    <w:rsid w:val="00C1164D"/>
    <w:rsid w:val="00C16861"/>
    <w:rsid w:val="00C30FE0"/>
    <w:rsid w:val="00C346AB"/>
    <w:rsid w:val="00C404A6"/>
    <w:rsid w:val="00C40A36"/>
    <w:rsid w:val="00C44419"/>
    <w:rsid w:val="00C45E7B"/>
    <w:rsid w:val="00C471B1"/>
    <w:rsid w:val="00C525A2"/>
    <w:rsid w:val="00C52E24"/>
    <w:rsid w:val="00C6316B"/>
    <w:rsid w:val="00C634A9"/>
    <w:rsid w:val="00C64586"/>
    <w:rsid w:val="00C70A36"/>
    <w:rsid w:val="00C70D53"/>
    <w:rsid w:val="00C73D0B"/>
    <w:rsid w:val="00C74F5C"/>
    <w:rsid w:val="00C772FF"/>
    <w:rsid w:val="00C80137"/>
    <w:rsid w:val="00C801AF"/>
    <w:rsid w:val="00C80256"/>
    <w:rsid w:val="00C83861"/>
    <w:rsid w:val="00C94CD4"/>
    <w:rsid w:val="00C9554B"/>
    <w:rsid w:val="00C9747E"/>
    <w:rsid w:val="00CB01AF"/>
    <w:rsid w:val="00CB6BC0"/>
    <w:rsid w:val="00CC075C"/>
    <w:rsid w:val="00CC1B7C"/>
    <w:rsid w:val="00CC727F"/>
    <w:rsid w:val="00CE5EF1"/>
    <w:rsid w:val="00CF15C3"/>
    <w:rsid w:val="00CF2B6F"/>
    <w:rsid w:val="00CF2F3E"/>
    <w:rsid w:val="00CF58B6"/>
    <w:rsid w:val="00CF5DAD"/>
    <w:rsid w:val="00D0062D"/>
    <w:rsid w:val="00D017ED"/>
    <w:rsid w:val="00D040D3"/>
    <w:rsid w:val="00D04C65"/>
    <w:rsid w:val="00D153D8"/>
    <w:rsid w:val="00D201D2"/>
    <w:rsid w:val="00D224FE"/>
    <w:rsid w:val="00D23139"/>
    <w:rsid w:val="00D267C1"/>
    <w:rsid w:val="00D425BB"/>
    <w:rsid w:val="00D453FA"/>
    <w:rsid w:val="00D47EC3"/>
    <w:rsid w:val="00D6493E"/>
    <w:rsid w:val="00D7195D"/>
    <w:rsid w:val="00D7301E"/>
    <w:rsid w:val="00D83AE1"/>
    <w:rsid w:val="00D855D4"/>
    <w:rsid w:val="00D902C9"/>
    <w:rsid w:val="00D92FED"/>
    <w:rsid w:val="00D93466"/>
    <w:rsid w:val="00DA1124"/>
    <w:rsid w:val="00DA17B9"/>
    <w:rsid w:val="00DA64CB"/>
    <w:rsid w:val="00DB06B8"/>
    <w:rsid w:val="00DB6124"/>
    <w:rsid w:val="00DB750B"/>
    <w:rsid w:val="00DB75B7"/>
    <w:rsid w:val="00DC0A2F"/>
    <w:rsid w:val="00DC1948"/>
    <w:rsid w:val="00DC5056"/>
    <w:rsid w:val="00DC6E02"/>
    <w:rsid w:val="00DD28CD"/>
    <w:rsid w:val="00DE02AE"/>
    <w:rsid w:val="00DE39D1"/>
    <w:rsid w:val="00DE4C80"/>
    <w:rsid w:val="00DF1D7F"/>
    <w:rsid w:val="00DF4BE4"/>
    <w:rsid w:val="00E02382"/>
    <w:rsid w:val="00E02FB4"/>
    <w:rsid w:val="00E0433A"/>
    <w:rsid w:val="00E1109A"/>
    <w:rsid w:val="00E119D9"/>
    <w:rsid w:val="00E13FC7"/>
    <w:rsid w:val="00E20571"/>
    <w:rsid w:val="00E235F7"/>
    <w:rsid w:val="00E23659"/>
    <w:rsid w:val="00E239D4"/>
    <w:rsid w:val="00E25CCF"/>
    <w:rsid w:val="00E26130"/>
    <w:rsid w:val="00E33D42"/>
    <w:rsid w:val="00E40B22"/>
    <w:rsid w:val="00E44ED1"/>
    <w:rsid w:val="00E45619"/>
    <w:rsid w:val="00E4588F"/>
    <w:rsid w:val="00E46DA3"/>
    <w:rsid w:val="00E51BB1"/>
    <w:rsid w:val="00E55CB0"/>
    <w:rsid w:val="00E624A5"/>
    <w:rsid w:val="00E6400A"/>
    <w:rsid w:val="00E64BA4"/>
    <w:rsid w:val="00E66E96"/>
    <w:rsid w:val="00E66FC0"/>
    <w:rsid w:val="00E72097"/>
    <w:rsid w:val="00E7344E"/>
    <w:rsid w:val="00E82665"/>
    <w:rsid w:val="00EA2BA2"/>
    <w:rsid w:val="00EB0798"/>
    <w:rsid w:val="00EB40AD"/>
    <w:rsid w:val="00EB586E"/>
    <w:rsid w:val="00EB5FC8"/>
    <w:rsid w:val="00EC463D"/>
    <w:rsid w:val="00EC7A85"/>
    <w:rsid w:val="00ED2922"/>
    <w:rsid w:val="00ED2CCD"/>
    <w:rsid w:val="00ED3CAD"/>
    <w:rsid w:val="00ED5A41"/>
    <w:rsid w:val="00EE1DE8"/>
    <w:rsid w:val="00EE27C2"/>
    <w:rsid w:val="00EE3732"/>
    <w:rsid w:val="00EE52B7"/>
    <w:rsid w:val="00EF4BAD"/>
    <w:rsid w:val="00EF59DC"/>
    <w:rsid w:val="00F033EC"/>
    <w:rsid w:val="00F04F68"/>
    <w:rsid w:val="00F12670"/>
    <w:rsid w:val="00F13686"/>
    <w:rsid w:val="00F1424C"/>
    <w:rsid w:val="00F14B27"/>
    <w:rsid w:val="00F3148D"/>
    <w:rsid w:val="00F31A54"/>
    <w:rsid w:val="00F325C5"/>
    <w:rsid w:val="00F32FE0"/>
    <w:rsid w:val="00F35298"/>
    <w:rsid w:val="00F42805"/>
    <w:rsid w:val="00F47268"/>
    <w:rsid w:val="00F47333"/>
    <w:rsid w:val="00F47E37"/>
    <w:rsid w:val="00F53C07"/>
    <w:rsid w:val="00F54B65"/>
    <w:rsid w:val="00F63DBF"/>
    <w:rsid w:val="00F640B6"/>
    <w:rsid w:val="00F66DF2"/>
    <w:rsid w:val="00F80E40"/>
    <w:rsid w:val="00F848D9"/>
    <w:rsid w:val="00F979FB"/>
    <w:rsid w:val="00FA5069"/>
    <w:rsid w:val="00FA5B82"/>
    <w:rsid w:val="00FA639E"/>
    <w:rsid w:val="00FB0B92"/>
    <w:rsid w:val="00FB1752"/>
    <w:rsid w:val="00FC1FCA"/>
    <w:rsid w:val="00FC25E4"/>
    <w:rsid w:val="00FC4EF7"/>
    <w:rsid w:val="00FD0824"/>
    <w:rsid w:val="00FD119B"/>
    <w:rsid w:val="00FD1EDC"/>
    <w:rsid w:val="00FE1DEE"/>
    <w:rsid w:val="00FE5702"/>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C7D763E"/>
  <w15:docId w15:val="{9182583E-ACF2-4B72-A91C-E4C5A62AB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qFormat="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66FC0"/>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uiPriority w:val="9"/>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qFormat/>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qFormat/>
    <w:rsid w:val="00770CAC"/>
    <w:pPr>
      <w:keepNext/>
      <w:spacing w:after="60" w:line="180" w:lineRule="atLeast"/>
      <w:outlineLvl w:val="6"/>
    </w:pPr>
    <w:rPr>
      <w:rFonts w:eastAsia="Times New Roman"/>
      <w:bCs/>
      <w:sz w:val="20"/>
      <w:szCs w:val="24"/>
    </w:rPr>
  </w:style>
  <w:style w:type="paragraph" w:styleId="Heading8">
    <w:name w:val="heading 8"/>
    <w:basedOn w:val="Normal"/>
    <w:next w:val="Normal"/>
    <w:link w:val="Heading8Char"/>
    <w:uiPriority w:val="9"/>
    <w:unhideWhenUsed/>
    <w:qFormat/>
    <w:rsid w:val="00B51ED1"/>
    <w:pPr>
      <w:keepNext/>
      <w:keepLines/>
      <w:spacing w:before="40" w:after="0"/>
      <w:outlineLvl w:val="7"/>
    </w:pPr>
    <w:rPr>
      <w:rFonts w:asciiTheme="majorHAnsi" w:eastAsiaTheme="majorEastAsia" w:hAnsiTheme="majorHAnsi" w:cstheme="majorBidi"/>
      <w:i/>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qFormat/>
    <w:rsid w:val="00F3148D"/>
    <w:pPr>
      <w:spacing w:after="0" w:line="240" w:lineRule="auto"/>
    </w:pPr>
    <w:rPr>
      <w:rFonts w:ascii="Arial" w:hAnsi="Arial"/>
      <w:noProof/>
      <w:sz w:val="14"/>
      <w:lang w:eastAsia="en-AU"/>
    </w:rPr>
  </w:style>
  <w:style w:type="paragraph" w:customStyle="1" w:styleId="AxisTitle">
    <w:name w:val="Axis Title"/>
    <w:basedOn w:val="Normal"/>
    <w:qFormat/>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qFormat/>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qFormat/>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qFormat/>
    <w:rsid w:val="00F3148D"/>
    <w:rPr>
      <w:sz w:val="14"/>
    </w:rPr>
  </w:style>
  <w:style w:type="paragraph" w:customStyle="1" w:styleId="LegalCopy">
    <w:name w:val="Legal Copy"/>
    <w:basedOn w:val="Footer"/>
    <w:qFormat/>
    <w:rsid w:val="00F3148D"/>
  </w:style>
  <w:style w:type="paragraph" w:customStyle="1" w:styleId="LegalSubheading">
    <w:name w:val="Legal Subheading"/>
    <w:basedOn w:val="Footer"/>
    <w:qFormat/>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7E6EF0"/>
    <w:pPr>
      <w:numPr>
        <w:numId w:val="3"/>
      </w:numPr>
    </w:pPr>
  </w:style>
  <w:style w:type="paragraph" w:styleId="ListBullet2">
    <w:name w:val="List Bullet 2"/>
    <w:basedOn w:val="Normal"/>
    <w:uiPriority w:val="99"/>
    <w:qFormat/>
    <w:rsid w:val="004C2DCA"/>
    <w:pPr>
      <w:numPr>
        <w:ilvl w:val="1"/>
        <w:numId w:val="3"/>
      </w:numPr>
    </w:pPr>
  </w:style>
  <w:style w:type="paragraph" w:styleId="ListBullet3">
    <w:name w:val="List Bullet 3"/>
    <w:basedOn w:val="Normal"/>
    <w:uiPriority w:val="99"/>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qFormat/>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qFormat/>
    <w:rsid w:val="002E40B3"/>
    <w:pPr>
      <w:keepNext/>
    </w:pPr>
    <w:rPr>
      <w:b/>
    </w:rPr>
  </w:style>
  <w:style w:type="paragraph" w:customStyle="1" w:styleId="TGASignoff">
    <w:name w:val="TGA Signoff"/>
    <w:basedOn w:val="Normal"/>
    <w:qFormat/>
    <w:rsid w:val="00F3148D"/>
    <w:pPr>
      <w:jc w:val="center"/>
    </w:pPr>
    <w:rPr>
      <w:rFonts w:ascii="Arial" w:hAnsi="Arial"/>
      <w:b/>
      <w:sz w:val="28"/>
    </w:rPr>
  </w:style>
  <w:style w:type="paragraph" w:styleId="Title">
    <w:name w:val="Title"/>
    <w:next w:val="Normal"/>
    <w:link w:val="TitleChar"/>
    <w:uiPriority w:val="10"/>
    <w:rsid w:val="00C74F5C"/>
    <w:pPr>
      <w:spacing w:after="480" w:line="240" w:lineRule="auto"/>
      <w:contextualSpacing/>
      <w:outlineLvl w:val="0"/>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C74F5C"/>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ListParagraph">
    <w:name w:val="List Paragraph"/>
    <w:basedOn w:val="Normal"/>
    <w:link w:val="ListParagraphChar"/>
    <w:uiPriority w:val="34"/>
    <w:qFormat/>
    <w:rsid w:val="00B51ED1"/>
    <w:pPr>
      <w:adjustRightInd w:val="0"/>
      <w:snapToGrid w:val="0"/>
      <w:spacing w:before="180" w:after="180"/>
      <w:ind w:left="720"/>
      <w:contextualSpacing/>
    </w:pPr>
    <w:rPr>
      <w:rFonts w:eastAsia="MS Mincho"/>
      <w:szCs w:val="20"/>
      <w:lang w:eastAsia="ja-JP"/>
    </w:rPr>
  </w:style>
  <w:style w:type="character" w:customStyle="1" w:styleId="ListParagraphChar">
    <w:name w:val="List Paragraph Char"/>
    <w:basedOn w:val="DefaultParagraphFont"/>
    <w:link w:val="ListParagraph"/>
    <w:uiPriority w:val="34"/>
    <w:rsid w:val="00B51ED1"/>
    <w:rPr>
      <w:rFonts w:ascii="Cambria" w:eastAsia="MS Mincho" w:hAnsi="Cambria" w:cs="Times New Roman"/>
      <w:szCs w:val="20"/>
      <w:lang w:eastAsia="ja-JP"/>
    </w:rPr>
  </w:style>
  <w:style w:type="paragraph" w:customStyle="1" w:styleId="Bulletpoint">
    <w:name w:val="Bullet point"/>
    <w:basedOn w:val="Normal"/>
    <w:rsid w:val="00B51ED1"/>
    <w:pPr>
      <w:numPr>
        <w:numId w:val="9"/>
      </w:numPr>
      <w:tabs>
        <w:tab w:val="clear" w:pos="369"/>
        <w:tab w:val="left" w:pos="397"/>
        <w:tab w:val="num" w:pos="511"/>
      </w:tabs>
      <w:spacing w:before="0" w:after="180" w:line="252" w:lineRule="auto"/>
      <w:ind w:left="0" w:firstLine="0"/>
    </w:pPr>
    <w:rPr>
      <w:rFonts w:eastAsia="Times New Roman"/>
      <w:snapToGrid w:val="0"/>
      <w:kern w:val="16"/>
      <w:szCs w:val="24"/>
    </w:rPr>
  </w:style>
  <w:style w:type="character" w:customStyle="1" w:styleId="Heading8Char">
    <w:name w:val="Heading 8 Char"/>
    <w:basedOn w:val="DefaultParagraphFont"/>
    <w:link w:val="Heading8"/>
    <w:uiPriority w:val="9"/>
    <w:rsid w:val="00B51ED1"/>
    <w:rPr>
      <w:rFonts w:asciiTheme="majorHAnsi" w:eastAsiaTheme="majorEastAsia" w:hAnsiTheme="majorHAnsi" w:cstheme="majorBidi"/>
      <w:i/>
      <w:color w:val="272727" w:themeColor="text1" w:themeTint="D8"/>
      <w:sz w:val="18"/>
      <w:szCs w:val="21"/>
    </w:rPr>
  </w:style>
  <w:style w:type="paragraph" w:customStyle="1" w:styleId="FigureCaption">
    <w:name w:val="Figure Caption"/>
    <w:basedOn w:val="Normal"/>
    <w:qFormat/>
    <w:rsid w:val="00B51ED1"/>
    <w:pPr>
      <w:adjustRightInd w:val="0"/>
      <w:snapToGrid w:val="0"/>
      <w:spacing w:before="180" w:after="180"/>
    </w:pPr>
    <w:rPr>
      <w:rFonts w:eastAsia="MS Mincho"/>
      <w:szCs w:val="20"/>
      <w:lang w:eastAsia="ja-JP"/>
    </w:rPr>
  </w:style>
  <w:style w:type="paragraph" w:customStyle="1" w:styleId="TableCaption">
    <w:name w:val="Table Caption"/>
    <w:basedOn w:val="FigureCaption"/>
    <w:qFormat/>
    <w:rsid w:val="00B51ED1"/>
    <w:pPr>
      <w:spacing w:after="240"/>
    </w:pPr>
    <w:rPr>
      <w:sz w:val="17"/>
    </w:rPr>
  </w:style>
  <w:style w:type="table" w:customStyle="1" w:styleId="TableTGA2">
    <w:name w:val="Table TGA 2"/>
    <w:basedOn w:val="TableNormal"/>
    <w:uiPriority w:val="99"/>
    <w:rsid w:val="00B51ED1"/>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Subject">
    <w:name w:val="Subject"/>
    <w:basedOn w:val="Normal"/>
    <w:qFormat/>
    <w:rsid w:val="00B51ED1"/>
    <w:pPr>
      <w:adjustRightInd w:val="0"/>
      <w:snapToGrid w:val="0"/>
      <w:spacing w:before="180" w:after="180"/>
    </w:pPr>
    <w:rPr>
      <w:rFonts w:eastAsia="MS Mincho"/>
      <w:b/>
      <w:szCs w:val="20"/>
      <w:lang w:eastAsia="ja-JP"/>
    </w:rPr>
  </w:style>
  <w:style w:type="paragraph" w:customStyle="1" w:styleId="Addressee">
    <w:name w:val="Addressee"/>
    <w:basedOn w:val="Normal"/>
    <w:qFormat/>
    <w:rsid w:val="00B51ED1"/>
    <w:pPr>
      <w:adjustRightInd w:val="0"/>
      <w:snapToGrid w:val="0"/>
      <w:spacing w:before="180" w:after="180"/>
    </w:pPr>
    <w:rPr>
      <w:rFonts w:eastAsia="MS Mincho"/>
      <w:szCs w:val="20"/>
      <w:lang w:eastAsia="ja-JP"/>
    </w:rPr>
  </w:style>
  <w:style w:type="character" w:customStyle="1" w:styleId="ABN">
    <w:name w:val="ABN"/>
    <w:basedOn w:val="DefaultParagraphFont"/>
    <w:uiPriority w:val="1"/>
    <w:qFormat/>
    <w:rsid w:val="00B51ED1"/>
    <w:rPr>
      <w:rFonts w:ascii="Arial" w:hAnsi="Arial"/>
      <w:color w:val="002C47"/>
      <w:sz w:val="14"/>
    </w:rPr>
  </w:style>
  <w:style w:type="paragraph" w:customStyle="1" w:styleId="BodyCopy">
    <w:name w:val="Body Copy"/>
    <w:basedOn w:val="Normal"/>
    <w:qFormat/>
    <w:rsid w:val="00B51ED1"/>
    <w:pPr>
      <w:adjustRightInd w:val="0"/>
      <w:snapToGrid w:val="0"/>
      <w:spacing w:before="180" w:after="180"/>
    </w:pPr>
    <w:rPr>
      <w:rFonts w:eastAsia="MS Mincho"/>
      <w:szCs w:val="20"/>
      <w:lang w:eastAsia="ja-JP"/>
    </w:rPr>
  </w:style>
  <w:style w:type="paragraph" w:customStyle="1" w:styleId="Standard">
    <w:name w:val="Standard"/>
    <w:basedOn w:val="Normal"/>
    <w:link w:val="StandardChar"/>
    <w:qFormat/>
    <w:rsid w:val="00B51ED1"/>
    <w:pPr>
      <w:spacing w:before="0" w:after="220" w:line="252" w:lineRule="auto"/>
    </w:pPr>
    <w:rPr>
      <w:rFonts w:eastAsia="Times New Roman"/>
      <w:snapToGrid w:val="0"/>
      <w:kern w:val="16"/>
      <w:sz w:val="23"/>
      <w:szCs w:val="24"/>
    </w:rPr>
  </w:style>
  <w:style w:type="character" w:customStyle="1" w:styleId="StandardChar">
    <w:name w:val="Standard Char"/>
    <w:basedOn w:val="DefaultParagraphFont"/>
    <w:link w:val="Standard"/>
    <w:rsid w:val="00B51ED1"/>
    <w:rPr>
      <w:rFonts w:ascii="Cambria" w:eastAsia="Times New Roman" w:hAnsi="Cambria" w:cs="Times New Roman"/>
      <w:snapToGrid w:val="0"/>
      <w:kern w:val="16"/>
      <w:sz w:val="23"/>
      <w:szCs w:val="24"/>
    </w:rPr>
  </w:style>
  <w:style w:type="paragraph" w:customStyle="1" w:styleId="PISubsection">
    <w:name w:val="PI Subsection"/>
    <w:basedOn w:val="Standard"/>
    <w:next w:val="Standard"/>
    <w:rsid w:val="00B51ED1"/>
    <w:pPr>
      <w:keepNext/>
      <w:spacing w:after="120"/>
    </w:pPr>
    <w:rPr>
      <w:b/>
      <w:i/>
      <w:kern w:val="2"/>
      <w:sz w:val="22"/>
    </w:rPr>
  </w:style>
  <w:style w:type="paragraph" w:customStyle="1" w:styleId="mine">
    <w:name w:val="mine"/>
    <w:basedOn w:val="Normal"/>
    <w:qFormat/>
    <w:rsid w:val="00B51ED1"/>
    <w:pPr>
      <w:widowControl w:val="0"/>
      <w:adjustRightInd w:val="0"/>
      <w:snapToGrid w:val="0"/>
      <w:spacing w:before="0" w:after="0" w:line="240" w:lineRule="auto"/>
      <w:contextualSpacing/>
    </w:pPr>
    <w:rPr>
      <w:rFonts w:asciiTheme="minorHAnsi" w:eastAsia="MS Mincho" w:hAnsiTheme="minorHAnsi" w:cstheme="minorBidi"/>
      <w:szCs w:val="21"/>
      <w:lang w:eastAsia="en-AU"/>
    </w:rPr>
  </w:style>
  <w:style w:type="table" w:customStyle="1" w:styleId="TableTGAblue1">
    <w:name w:val="Table TGA blue1"/>
    <w:basedOn w:val="TableNormal"/>
    <w:uiPriority w:val="99"/>
    <w:qFormat/>
    <w:rsid w:val="00B51ED1"/>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paragraph" w:styleId="NormalWeb">
    <w:name w:val="Normal (Web)"/>
    <w:basedOn w:val="Normal"/>
    <w:uiPriority w:val="99"/>
    <w:semiHidden/>
    <w:unhideWhenUsed/>
    <w:rsid w:val="00B51ED1"/>
    <w:pPr>
      <w:spacing w:before="100" w:beforeAutospacing="1" w:after="100" w:afterAutospacing="1" w:line="240" w:lineRule="auto"/>
    </w:pPr>
    <w:rPr>
      <w:rFonts w:ascii="Times New Roman" w:eastAsia="Times New Roman" w:hAnsi="Times New Roman"/>
      <w:sz w:val="24"/>
      <w:szCs w:val="24"/>
      <w:lang w:eastAsia="en-AU"/>
    </w:rPr>
  </w:style>
  <w:style w:type="table" w:customStyle="1" w:styleId="TableGrid0">
    <w:name w:val="TableGrid"/>
    <w:rsid w:val="00B51ED1"/>
    <w:pPr>
      <w:spacing w:after="0" w:line="240" w:lineRule="auto"/>
    </w:pPr>
    <w:rPr>
      <w:rFonts w:eastAsiaTheme="minorEastAsia"/>
      <w:lang w:eastAsia="en-AU"/>
    </w:rPr>
    <w:tblPr>
      <w:tblCellMar>
        <w:top w:w="0" w:type="dxa"/>
        <w:left w:w="0" w:type="dxa"/>
        <w:bottom w:w="0" w:type="dxa"/>
        <w:right w:w="0" w:type="dxa"/>
      </w:tblCellMar>
    </w:tblPr>
  </w:style>
  <w:style w:type="paragraph" w:customStyle="1" w:styleId="Default">
    <w:name w:val="Default"/>
    <w:rsid w:val="00B51ED1"/>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Grid1"/>
    <w:rsid w:val="00B51ED1"/>
    <w:pPr>
      <w:spacing w:after="0" w:line="240" w:lineRule="auto"/>
    </w:pPr>
    <w:rPr>
      <w:rFonts w:eastAsia="Times New Roman"/>
      <w:lang w:eastAsia="en-AU"/>
    </w:rPr>
    <w:tblPr>
      <w:tblCellMar>
        <w:top w:w="0" w:type="dxa"/>
        <w:left w:w="0" w:type="dxa"/>
        <w:bottom w:w="0" w:type="dxa"/>
        <w:right w:w="0" w:type="dxa"/>
      </w:tblCellMar>
    </w:tblPr>
  </w:style>
  <w:style w:type="paragraph" w:customStyle="1" w:styleId="Bulletlist">
    <w:name w:val="Bullet list"/>
    <w:basedOn w:val="Standard"/>
    <w:link w:val="BulletlistChar"/>
    <w:qFormat/>
    <w:rsid w:val="00370AC6"/>
    <w:pPr>
      <w:numPr>
        <w:numId w:val="18"/>
      </w:numPr>
      <w:spacing w:after="180"/>
      <w:ind w:left="426" w:hanging="284"/>
    </w:pPr>
    <w:rPr>
      <w:kern w:val="2"/>
    </w:rPr>
  </w:style>
  <w:style w:type="character" w:customStyle="1" w:styleId="TabletextChar">
    <w:name w:val="Table text Char"/>
    <w:basedOn w:val="StandardChar"/>
    <w:link w:val="Tabletext"/>
    <w:rsid w:val="00370AC6"/>
    <w:rPr>
      <w:rFonts w:ascii="Cambria" w:eastAsia="Cambria" w:hAnsi="Cambria" w:cs="Times New Roman"/>
      <w:snapToGrid/>
      <w:kern w:val="16"/>
      <w:sz w:val="19"/>
      <w:szCs w:val="24"/>
    </w:rPr>
  </w:style>
  <w:style w:type="character" w:customStyle="1" w:styleId="BulletlistChar">
    <w:name w:val="Bullet list Char"/>
    <w:basedOn w:val="StandardChar"/>
    <w:link w:val="Bulletlist"/>
    <w:rsid w:val="00370AC6"/>
    <w:rPr>
      <w:rFonts w:ascii="Cambria" w:eastAsia="Times New Roman" w:hAnsi="Cambria" w:cs="Times New Roman"/>
      <w:snapToGrid w:val="0"/>
      <w:kern w:val="2"/>
      <w:sz w:val="23"/>
      <w:szCs w:val="24"/>
    </w:rPr>
  </w:style>
  <w:style w:type="paragraph" w:styleId="BodyText">
    <w:name w:val="Body Text"/>
    <w:basedOn w:val="Normal"/>
    <w:link w:val="BodyTextChar"/>
    <w:uiPriority w:val="1"/>
    <w:qFormat/>
    <w:rsid w:val="00362E37"/>
    <w:pPr>
      <w:widowControl w:val="0"/>
      <w:autoSpaceDE w:val="0"/>
      <w:autoSpaceDN w:val="0"/>
      <w:spacing w:before="0" w:after="0" w:line="240" w:lineRule="auto"/>
    </w:pPr>
    <w:rPr>
      <w:rFonts w:ascii="Times New Roman" w:eastAsia="Times New Roman" w:hAnsi="Times New Roman"/>
      <w:sz w:val="18"/>
      <w:szCs w:val="18"/>
      <w:lang w:val="en-US"/>
    </w:rPr>
  </w:style>
  <w:style w:type="character" w:customStyle="1" w:styleId="BodyTextChar">
    <w:name w:val="Body Text Char"/>
    <w:basedOn w:val="DefaultParagraphFont"/>
    <w:link w:val="BodyText"/>
    <w:uiPriority w:val="1"/>
    <w:rsid w:val="00362E37"/>
    <w:rPr>
      <w:rFonts w:ascii="Times New Roman" w:eastAsia="Times New Roman" w:hAnsi="Times New Roman" w:cs="Times New Roman"/>
      <w:sz w:val="18"/>
      <w:szCs w:val="18"/>
      <w:lang w:val="en-US"/>
    </w:rPr>
  </w:style>
  <w:style w:type="paragraph" w:customStyle="1" w:styleId="TableParagraph">
    <w:name w:val="Table Paragraph"/>
    <w:basedOn w:val="Normal"/>
    <w:uiPriority w:val="1"/>
    <w:qFormat/>
    <w:rsid w:val="00362E37"/>
    <w:pPr>
      <w:widowControl w:val="0"/>
      <w:autoSpaceDE w:val="0"/>
      <w:autoSpaceDN w:val="0"/>
      <w:spacing w:before="34" w:after="0" w:line="240" w:lineRule="auto"/>
    </w:pPr>
    <w:rPr>
      <w:rFonts w:ascii="Times New Roman" w:eastAsia="Times New Roman" w:hAnsi="Times New Roman"/>
      <w:lang w:val="en-US"/>
    </w:rPr>
  </w:style>
  <w:style w:type="character" w:styleId="Emphasis">
    <w:name w:val="Emphasis"/>
    <w:basedOn w:val="DefaultParagraphFont"/>
    <w:uiPriority w:val="20"/>
    <w:qFormat/>
    <w:rsid w:val="00B21F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75378">
      <w:bodyDiv w:val="1"/>
      <w:marLeft w:val="0"/>
      <w:marRight w:val="0"/>
      <w:marTop w:val="0"/>
      <w:marBottom w:val="0"/>
      <w:divBdr>
        <w:top w:val="none" w:sz="0" w:space="0" w:color="auto"/>
        <w:left w:val="none" w:sz="0" w:space="0" w:color="auto"/>
        <w:bottom w:val="none" w:sz="0" w:space="0" w:color="auto"/>
        <w:right w:val="none" w:sz="0" w:space="0" w:color="auto"/>
      </w:divBdr>
    </w:div>
    <w:div w:id="819662747">
      <w:bodyDiv w:val="1"/>
      <w:marLeft w:val="0"/>
      <w:marRight w:val="0"/>
      <w:marTop w:val="0"/>
      <w:marBottom w:val="0"/>
      <w:divBdr>
        <w:top w:val="none" w:sz="0" w:space="0" w:color="auto"/>
        <w:left w:val="none" w:sz="0" w:space="0" w:color="auto"/>
        <w:bottom w:val="none" w:sz="0" w:space="0" w:color="auto"/>
        <w:right w:val="none" w:sz="0" w:space="0" w:color="auto"/>
      </w:divBdr>
    </w:div>
    <w:div w:id="1249457920">
      <w:bodyDiv w:val="1"/>
      <w:marLeft w:val="0"/>
      <w:marRight w:val="0"/>
      <w:marTop w:val="0"/>
      <w:marBottom w:val="0"/>
      <w:divBdr>
        <w:top w:val="none" w:sz="0" w:space="0" w:color="auto"/>
        <w:left w:val="none" w:sz="0" w:space="0" w:color="auto"/>
        <w:bottom w:val="none" w:sz="0" w:space="0" w:color="auto"/>
        <w:right w:val="none" w:sz="0" w:space="0" w:color="auto"/>
      </w:divBdr>
    </w:div>
    <w:div w:id="130935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ga.copyright@tga.gov.au" TargetMode="External"/><Relationship Id="rId18" Type="http://schemas.openxmlformats.org/officeDocument/2006/relationships/header" Target="header3.xml"/><Relationship Id="rId26" Type="http://schemas.openxmlformats.org/officeDocument/2006/relationships/image" Target="media/image7.png"/><Relationship Id="rId39"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image" Target="media/image2.jpg"/><Relationship Id="rId34" Type="http://schemas.openxmlformats.org/officeDocument/2006/relationships/footer" Target="footer4.xml"/><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tga.gov.au" TargetMode="External"/><Relationship Id="rId17" Type="http://schemas.openxmlformats.org/officeDocument/2006/relationships/footer" Target="footer2.xml"/><Relationship Id="rId25" Type="http://schemas.openxmlformats.org/officeDocument/2006/relationships/image" Target="media/image6.png"/><Relationship Id="rId33" Type="http://schemas.openxmlformats.org/officeDocument/2006/relationships/header" Target="header6.xml"/><Relationship Id="rId38"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tga.gov.au/product-information-pi" TargetMode="External"/><Relationship Id="rId29" Type="http://schemas.openxmlformats.org/officeDocument/2006/relationships/image" Target="media/image10.png"/><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32" Type="http://schemas.openxmlformats.org/officeDocument/2006/relationships/header" Target="header5.xml"/><Relationship Id="rId37" Type="http://schemas.openxmlformats.org/officeDocument/2006/relationships/header" Target="header7.xml"/><Relationship Id="rId40" Type="http://schemas.openxmlformats.org/officeDocument/2006/relationships/header" Target="header9.xml"/><Relationship Id="rId45"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image" Target="media/image4.emf"/><Relationship Id="rId28" Type="http://schemas.openxmlformats.org/officeDocument/2006/relationships/image" Target="media/image9.png"/><Relationship Id="rId36" Type="http://schemas.openxmlformats.org/officeDocument/2006/relationships/hyperlink" Target="https://www.tga.gov.au" TargetMode="Externa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eader" Target="header4.xml"/><Relationship Id="rId44"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hyperlink" Target="https://www.tga.gov.au/product-information-pi" TargetMode="External"/><Relationship Id="rId35" Type="http://schemas.openxmlformats.org/officeDocument/2006/relationships/hyperlink" Target="mailto:info@tga.gov.au" TargetMode="Externa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da.gov/about-fda/oncology-center-excellence/project-orbi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gul\AppData\Local\Hewlett-Packard\HP%20TRIM\TEMP\HPTRIM.15420\t0QQ36Z5.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e80f2ba6a2d48c191cd073276d85099 xmlns="77e77efb-65a0-4b55-9b77-19abaf6cf8cc">
      <Terms xmlns="http://schemas.microsoft.com/office/infopath/2007/PartnerControls">
        <TermInfo xmlns="http://schemas.microsoft.com/office/infopath/2007/PartnerControls">
          <TermName xmlns="http://schemas.microsoft.com/office/infopath/2007/PartnerControls">Tucatinib</TermName>
          <TermId xmlns="http://schemas.microsoft.com/office/infopath/2007/PartnerControls">c0e77c2a-c88a-4117-874e-bfdf11b30dc2</TermId>
        </TermInfo>
      </Terms>
    </fe80f2ba6a2d48c191cd073276d85099>
    <IconOverlay xmlns="http://schemas.microsoft.com/sharepoint/v4" xsi:nil="true"/>
    <TaxKeywordTaxHTField xmlns="4417bab4-ff4b-465d-8af1-ff747e8571d8">
      <Terms xmlns="http://schemas.microsoft.com/office/infopath/2007/PartnerControls"/>
    </TaxKeywordTaxHTField>
    <CL_x0020_Collaboration_x0020_Contact xmlns="77e77efb-65a0-4b55-9b77-19abaf6cf8cc">
      <UserInfo>
        <DisplayName>Whitney Graves</DisplayName>
        <AccountId>1064</AccountId>
        <AccountType/>
      </UserInfo>
    </CL_x0020_Collaboration_x0020_Contact>
    <TaxCatchAll xmlns="77e77efb-65a0-4b55-9b77-19abaf6cf8cc">
      <Value>81</Value>
      <Value>2</Value>
      <Value>574</Value>
    </TaxCatchAll>
    <f960f4e01a3040a3847f6bc8497ea25c xmlns="77e77efb-65a0-4b55-9b77-19abaf6cf8cc">
      <Terms xmlns="http://schemas.microsoft.com/office/infopath/2007/PartnerControls">
        <TermInfo xmlns="http://schemas.microsoft.com/office/infopath/2007/PartnerControls">
          <TermName xmlns="http://schemas.microsoft.com/office/infopath/2007/PartnerControls">6580 - Medical Writing</TermName>
          <TermId xmlns="http://schemas.microsoft.com/office/infopath/2007/PartnerControls">088bdef2-d27c-4875-852a-e7304064336f</TermId>
        </TermInfo>
      </Terms>
    </f960f4e01a3040a3847f6bc8497ea25c>
    <CL_x0020_Collaboration_x0020_End_x0020_Date xmlns="77e77efb-65a0-4b55-9b77-19abaf6cf8cc">2021-04-02T07:00:00+00:00</CL_x0020_Collaboration_x0020_End_x0020_Date>
    <na5393032163403a99f18cff399d04ee xmlns="77e77efb-65a0-4b55-9b77-19abaf6cf8cc">
      <Terms xmlns="http://schemas.microsoft.com/office/infopath/2007/PartnerControls"/>
    </na5393032163403a99f18cff399d04ee>
    <_dlc_DocId xmlns="98328171-abf8-4e2a-90c7-30f09b8dcd3a">CLINICAL-8-32434</_dlc_DocId>
    <_dlc_DocIdUrl xmlns="98328171-abf8-4e2a-90c7-30f09b8dcd3a">
      <Url>https://ecms.seagen.com/divisions/Clinical/_layouts/15/DocIdRedir.aspx?ID=CLINICAL-8-32434</Url>
      <Description>CLINICAL-8-32434</Description>
    </_dlc_DocIdUrl>
    <SharedWithUsers xmlns="98328171-abf8-4e2a-90c7-30f09b8dcd3a">
      <UserInfo>
        <DisplayName>Everyone</DisplayName>
        <AccountId>1498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BD86F3EB41D14E8CC6856095F922D0" ma:contentTypeVersion="9" ma:contentTypeDescription="Create a new document." ma:contentTypeScope="" ma:versionID="020cc6e8995486bb201a80284b8a89d5">
  <xsd:schema xmlns:xsd="http://www.w3.org/2001/XMLSchema" xmlns:xs="http://www.w3.org/2001/XMLSchema" xmlns:p="http://schemas.microsoft.com/office/2006/metadata/properties" xmlns:ns2="98328171-abf8-4e2a-90c7-30f09b8dcd3a" xmlns:ns3="77e77efb-65a0-4b55-9b77-19abaf6cf8cc" xmlns:ns5="http://schemas.microsoft.com/sharepoint/v4" xmlns:ns6="4417bab4-ff4b-465d-8af1-ff747e8571d8" targetNamespace="http://schemas.microsoft.com/office/2006/metadata/properties" ma:root="true" ma:fieldsID="6ba9a1c560a6b864ba946b1dd23e1a6a" ns2:_="" ns3:_="" ns5:_="" ns6:_="">
    <xsd:import namespace="98328171-abf8-4e2a-90c7-30f09b8dcd3a"/>
    <xsd:import namespace="77e77efb-65a0-4b55-9b77-19abaf6cf8cc"/>
    <xsd:import namespace="http://schemas.microsoft.com/sharepoint/v4"/>
    <xsd:import namespace="4417bab4-ff4b-465d-8af1-ff747e8571d8"/>
    <xsd:element name="properties">
      <xsd:complexType>
        <xsd:sequence>
          <xsd:element name="documentManagement">
            <xsd:complexType>
              <xsd:all>
                <xsd:element ref="ns2:_dlc_DocId" minOccurs="0"/>
                <xsd:element ref="ns2:_dlc_DocIdUrl" minOccurs="0"/>
                <xsd:element ref="ns2:_dlc_DocIdPersistId" minOccurs="0"/>
                <xsd:element ref="ns3:na5393032163403a99f18cff399d04ee" minOccurs="0"/>
                <xsd:element ref="ns3:TaxCatchAll" minOccurs="0"/>
                <xsd:element ref="ns3:TaxCatchAllLabel" minOccurs="0"/>
                <xsd:element ref="ns3:CL_x0020_Collaboration_x0020_End_x0020_Date" minOccurs="0"/>
                <xsd:element ref="ns3:CL_x0020_Collaboration_x0020_Contact" minOccurs="0"/>
                <xsd:element ref="ns3:fe80f2ba6a2d48c191cd073276d85099" minOccurs="0"/>
                <xsd:element ref="ns3:f960f4e01a3040a3847f6bc8497ea25c" minOccurs="0"/>
                <xsd:element ref="ns5:IconOverlay" minOccurs="0"/>
                <xsd:element ref="ns6:TaxKeywordTaxHTFiel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328171-abf8-4e2a-90c7-30f09b8dcd3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e77efb-65a0-4b55-9b77-19abaf6cf8cc" elementFormDefault="qualified">
    <xsd:import namespace="http://schemas.microsoft.com/office/2006/documentManagement/types"/>
    <xsd:import namespace="http://schemas.microsoft.com/office/infopath/2007/PartnerControls"/>
    <xsd:element name="na5393032163403a99f18cff399d04ee" ma:index="11" nillable="true" ma:taxonomy="true" ma:internalName="na5393032163403a99f18cff399d04ee" ma:taxonomyFieldName="CL_x0020_Study" ma:displayName="CL Study" ma:readOnly="false" ma:default="" ma:fieldId="{7a539303-2163-403a-99f1-8cff399d04ee}" ma:sspId="7b6c6038-b863-4dd7-8729-f8920a5a47fb" ma:termSetId="65b5db19-eec9-4c21-9761-6c7cec6e883f"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5e9b5b11-40d5-42a9-8d82-83b4c63aa979}" ma:internalName="TaxCatchAll" ma:showField="CatchAllData" ma:web="98328171-abf8-4e2a-90c7-30f09b8dcd3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5e9b5b11-40d5-42a9-8d82-83b4c63aa979}" ma:internalName="TaxCatchAllLabel" ma:readOnly="true" ma:showField="CatchAllDataLabel" ma:web="98328171-abf8-4e2a-90c7-30f09b8dcd3a">
      <xsd:complexType>
        <xsd:complexContent>
          <xsd:extension base="dms:MultiChoiceLookup">
            <xsd:sequence>
              <xsd:element name="Value" type="dms:Lookup" maxOccurs="unbounded" minOccurs="0" nillable="true"/>
            </xsd:sequence>
          </xsd:extension>
        </xsd:complexContent>
      </xsd:complexType>
    </xsd:element>
    <xsd:element name="CL_x0020_Collaboration_x0020_End_x0020_Date" ma:index="15" nillable="true" ma:displayName="CL Collaboration End Date" ma:format="DateOnly" ma:indexed="true" ma:internalName="CL_x0020_Collaboration_x0020_End_x0020_Date">
      <xsd:simpleType>
        <xsd:restriction base="dms:DateTime"/>
      </xsd:simpleType>
    </xsd:element>
    <xsd:element name="CL_x0020_Collaboration_x0020_Contact" ma:index="16" nillable="true" ma:displayName="CL Collaboration Contact" ma:indexed="true" ma:list="UserInfo" ma:SharePointGroup="0" ma:internalName="CL_x0020_Collaboration_x0020_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e80f2ba6a2d48c191cd073276d85099" ma:index="17" nillable="true" ma:taxonomy="true" ma:internalName="fe80f2ba6a2d48c191cd073276d85099" ma:taxonomyFieldName="Program" ma:displayName="Program" ma:default="" ma:fieldId="{fe80f2ba-6a2d-48c1-91cd-073276d85099}" ma:sspId="7b6c6038-b863-4dd7-8729-f8920a5a47fb" ma:termSetId="5e31695b-36a4-4a26-92a1-3fc8fea929c8" ma:anchorId="d93bdf96-dc99-4c1e-b0a5-dc5c582fc3f4" ma:open="false" ma:isKeyword="false">
      <xsd:complexType>
        <xsd:sequence>
          <xsd:element ref="pc:Terms" minOccurs="0" maxOccurs="1"/>
        </xsd:sequence>
      </xsd:complexType>
    </xsd:element>
    <xsd:element name="f960f4e01a3040a3847f6bc8497ea25c" ma:index="19" nillable="true" ma:taxonomy="true" ma:internalName="f960f4e01a3040a3847f6bc8497ea25c" ma:taxonomyFieldName="Department_x0020_Name" ma:displayName="Department Name" ma:readOnly="false" ma:default="" ma:fieldId="{f960f4e0-1a30-40a3-847f-6bc8497ea25c}" ma:sspId="7b6c6038-b863-4dd7-8729-f8920a5a47fb" ma:termSetId="4b5a03e9-b096-485b-aca0-52ca2f331e7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7bab4-ff4b-465d-8af1-ff747e8571d8"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7b6c6038-b863-4dd7-8729-f8920a5a47fb"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7D9ED-A8FB-4907-A225-366C6138D25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sharepoint/v4"/>
    <ds:schemaRef ds:uri="http://purl.org/dc/terms/"/>
    <ds:schemaRef ds:uri="4417bab4-ff4b-465d-8af1-ff747e8571d8"/>
    <ds:schemaRef ds:uri="77e77efb-65a0-4b55-9b77-19abaf6cf8cc"/>
    <ds:schemaRef ds:uri="98328171-abf8-4e2a-90c7-30f09b8dcd3a"/>
    <ds:schemaRef ds:uri="http://www.w3.org/XML/1998/namespace"/>
    <ds:schemaRef ds:uri="http://purl.org/dc/dcmitype/"/>
  </ds:schemaRefs>
</ds:datastoreItem>
</file>

<file path=customXml/itemProps2.xml><?xml version="1.0" encoding="utf-8"?>
<ds:datastoreItem xmlns:ds="http://schemas.openxmlformats.org/officeDocument/2006/customXml" ds:itemID="{96D148CE-67D7-4737-A56F-CCE233519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328171-abf8-4e2a-90c7-30f09b8dcd3a"/>
    <ds:schemaRef ds:uri="77e77efb-65a0-4b55-9b77-19abaf6cf8cc"/>
    <ds:schemaRef ds:uri="http://schemas.microsoft.com/sharepoint/v4"/>
    <ds:schemaRef ds:uri="4417bab4-ff4b-465d-8af1-ff747e857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CE1589-72CF-44A3-A3B6-01F395C97CAA}">
  <ds:schemaRefs>
    <ds:schemaRef ds:uri="http://schemas.microsoft.com/sharepoint/events"/>
  </ds:schemaRefs>
</ds:datastoreItem>
</file>

<file path=customXml/itemProps4.xml><?xml version="1.0" encoding="utf-8"?>
<ds:datastoreItem xmlns:ds="http://schemas.openxmlformats.org/officeDocument/2006/customXml" ds:itemID="{B0FBBD71-EC5E-42C8-AA55-A077F715BDA7}">
  <ds:schemaRefs>
    <ds:schemaRef ds:uri="http://schemas.microsoft.com/sharepoint/v3/contenttype/forms"/>
  </ds:schemaRefs>
</ds:datastoreItem>
</file>

<file path=customXml/itemProps5.xml><?xml version="1.0" encoding="utf-8"?>
<ds:datastoreItem xmlns:ds="http://schemas.openxmlformats.org/officeDocument/2006/customXml" ds:itemID="{0C20D8D3-102E-43EC-BF26-04C44A87D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t0QQ36Z5.DOTX</Template>
  <TotalTime>7</TotalTime>
  <Pages>46</Pages>
  <Words>12470</Words>
  <Characters>71081</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Australian public assessment report for</vt:lpstr>
    </vt:vector>
  </TitlesOfParts>
  <Company>Department of Health Therapeutic Goods Administration</Company>
  <LinksUpToDate>false</LinksUpToDate>
  <CharactersWithSpaces>83385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Tucatinib</dc:title>
  <dc:subject>prescription medicines</dc:subject>
  <dc:creator>Therapeutic Goods Administration</dc:creator>
  <cp:keywords/>
  <cp:lastPrinted>2019-08-14T04:30:00Z</cp:lastPrinted>
  <dcterms:created xsi:type="dcterms:W3CDTF">2021-03-25T04:31:00Z</dcterms:created>
  <dcterms:modified xsi:type="dcterms:W3CDTF">2021-03-25T04:39:00Z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0x01010024BD86F3EB41D14E8CC6856095F922D0</vt:lpwstr>
  </property>
  <property fmtid="{D5CDD505-2E9C-101B-9397-08002B2CF9AE}" pid="3" name="Department Name">
    <vt:lpwstr>81;#6580 - Medical Writing|088bdef2-d27c-4875-852a-e7304064336f</vt:lpwstr>
  </property>
  <property fmtid="{D5CDD505-2E9C-101B-9397-08002B2CF9AE}" pid="4" name="gbfd8249e522456a9d37c7da42e1223f">
    <vt:lpwstr>3 Yr|c8cd55a2-159d-41a5-94cb-7dd28dd1c861</vt:lpwstr>
  </property>
  <property fmtid="{D5CDD505-2E9C-101B-9397-08002B2CF9AE}" pid="5" name="CL Study">
    <vt:lpwstr/>
  </property>
  <property fmtid="{D5CDD505-2E9C-101B-9397-08002B2CF9AE}" pid="6" name="Program">
    <vt:lpwstr>574;#Tucatinib|c0e77c2a-c88a-4117-874e-bfdf11b30dc2</vt:lpwstr>
  </property>
  <property fmtid="{D5CDD505-2E9C-101B-9397-08002B2CF9AE}" pid="7" name="_dlc_DocIdItemGuid">
    <vt:lpwstr>3e34d294-20ad-4cb5-98e5-07505182447b</vt:lpwstr>
  </property>
  <property fmtid="{D5CDD505-2E9C-101B-9397-08002B2CF9AE}" pid="8" name="TaxKeyword">
    <vt:lpwstr/>
  </property>
  <property fmtid="{D5CDD505-2E9C-101B-9397-08002B2CF9AE}" pid="9" name="Document Retention Period">
    <vt:lpwstr>2;#3 Yr|c8cd55a2-159d-41a5-94cb-7dd28dd1c861</vt:lpwstr>
  </property>
  <property fmtid="{D5CDD505-2E9C-101B-9397-08002B2CF9AE}" pid="10" name="Year">
    <vt:lpwstr/>
  </property>
  <property fmtid="{D5CDD505-2E9C-101B-9397-08002B2CF9AE}" pid="11" name="i308ec846d044751bfd4c39c7ef29359">
    <vt:lpwstr/>
  </property>
</Properties>
</file>