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tblpY="3316"/>
        <w:tblW w:w="9109" w:type="dxa"/>
        <w:tblLayout w:type="fixed"/>
        <w:tblLook w:val="04A0" w:firstRow="1" w:lastRow="0" w:firstColumn="1" w:lastColumn="0" w:noHBand="0" w:noVBand="1"/>
        <w:tblDescription w:val="AusPAR Attachment 2&#10;Extract from the Clinical Evaluation Report for trifluridine / tipiracil&#10;Proprietary Product Name: Lonsurf and Orcantas&#10;Sponsor: Servier Laboratories Australia Pty Ltd&#10;"/>
      </w:tblPr>
      <w:tblGrid>
        <w:gridCol w:w="9109"/>
      </w:tblGrid>
      <w:tr w:rsidR="0032583B" w:rsidRPr="007709B8" w14:paraId="24CA86AF" w14:textId="77777777" w:rsidTr="005C2FCA">
        <w:trPr>
          <w:trHeight w:val="1548"/>
        </w:trPr>
        <w:tc>
          <w:tcPr>
            <w:tcW w:w="9109" w:type="dxa"/>
          </w:tcPr>
          <w:p w14:paraId="217F1EBA" w14:textId="77777777" w:rsidR="0032583B" w:rsidRPr="007709B8" w:rsidRDefault="00E07F15" w:rsidP="00C246E8">
            <w:pPr>
              <w:pStyle w:val="Title"/>
              <w:rPr>
                <w:color w:val="FFFFFF" w:themeColor="background1"/>
              </w:rPr>
            </w:pPr>
            <w:r w:rsidRPr="007709B8">
              <w:rPr>
                <w:color w:val="FFFFFF" w:themeColor="background1"/>
              </w:rPr>
              <w:t>AusPAR A</w:t>
            </w:r>
            <w:r w:rsidR="00C246E8" w:rsidRPr="007709B8">
              <w:rPr>
                <w:color w:val="FFFFFF" w:themeColor="background1"/>
              </w:rPr>
              <w:t>t</w:t>
            </w:r>
            <w:r w:rsidRPr="007709B8">
              <w:rPr>
                <w:color w:val="FFFFFF" w:themeColor="background1"/>
              </w:rPr>
              <w:t>tachment 2</w:t>
            </w:r>
          </w:p>
        </w:tc>
      </w:tr>
      <w:tr w:rsidR="00E07F15" w:rsidRPr="007709B8" w14:paraId="262EBB66" w14:textId="77777777" w:rsidTr="005C2FCA">
        <w:trPr>
          <w:trHeight w:val="1154"/>
        </w:trPr>
        <w:tc>
          <w:tcPr>
            <w:tcW w:w="9109" w:type="dxa"/>
          </w:tcPr>
          <w:p w14:paraId="089DBB7F" w14:textId="2378B994" w:rsidR="00E07F15" w:rsidRPr="007709B8" w:rsidRDefault="00E07F15" w:rsidP="00FB45D2">
            <w:pPr>
              <w:pStyle w:val="Title"/>
              <w:rPr>
                <w:color w:val="FFFFFF" w:themeColor="background1"/>
              </w:rPr>
            </w:pPr>
            <w:r w:rsidRPr="007709B8">
              <w:rPr>
                <w:color w:val="FFFFFF" w:themeColor="background1"/>
              </w:rPr>
              <w:t>Extract from the Clinical Evaluation Report</w:t>
            </w:r>
            <w:r w:rsidR="004D00E8" w:rsidRPr="007709B8">
              <w:rPr>
                <w:color w:val="FFFFFF" w:themeColor="background1"/>
              </w:rPr>
              <w:t xml:space="preserve"> for</w:t>
            </w:r>
            <w:r w:rsidR="00DF61BC" w:rsidRPr="007709B8">
              <w:rPr>
                <w:rFonts w:cs="Arial"/>
                <w:color w:val="FFFFFF"/>
                <w:szCs w:val="28"/>
              </w:rPr>
              <w:t xml:space="preserve"> </w:t>
            </w:r>
            <w:r w:rsidR="00FB45D2" w:rsidRPr="007709B8">
              <w:rPr>
                <w:color w:val="FFFFFF" w:themeColor="background1"/>
              </w:rPr>
              <w:t>trifluridine</w:t>
            </w:r>
            <w:r w:rsidR="00A26576">
              <w:rPr>
                <w:color w:val="FFFFFF" w:themeColor="background1"/>
              </w:rPr>
              <w:t xml:space="preserve"> </w:t>
            </w:r>
            <w:r w:rsidR="00FB45D2" w:rsidRPr="007709B8">
              <w:rPr>
                <w:color w:val="FFFFFF" w:themeColor="background1"/>
              </w:rPr>
              <w:t>/</w:t>
            </w:r>
            <w:r w:rsidR="00A26576">
              <w:rPr>
                <w:color w:val="FFFFFF" w:themeColor="background1"/>
              </w:rPr>
              <w:t xml:space="preserve"> </w:t>
            </w:r>
            <w:r w:rsidR="00FB45D2" w:rsidRPr="007709B8">
              <w:rPr>
                <w:color w:val="FFFFFF" w:themeColor="background1"/>
              </w:rPr>
              <w:t>tipiracil</w:t>
            </w:r>
          </w:p>
        </w:tc>
      </w:tr>
      <w:tr w:rsidR="00E07F15" w:rsidRPr="007709B8" w14:paraId="1E2E12A7" w14:textId="77777777" w:rsidTr="005C2FCA">
        <w:tc>
          <w:tcPr>
            <w:tcW w:w="9109" w:type="dxa"/>
          </w:tcPr>
          <w:p w14:paraId="69D7FDBC" w14:textId="6AA574A8" w:rsidR="00E07F15" w:rsidRPr="007709B8" w:rsidRDefault="00E07F15" w:rsidP="005C2FCA">
            <w:pPr>
              <w:pStyle w:val="Subtitle"/>
              <w:ind w:left="0"/>
              <w:rPr>
                <w:color w:val="FFFFFF" w:themeColor="background1"/>
              </w:rPr>
            </w:pPr>
            <w:r w:rsidRPr="007709B8">
              <w:rPr>
                <w:color w:val="FFFFFF" w:themeColor="background1"/>
              </w:rPr>
              <w:t>Proprietary Product Name:</w:t>
            </w:r>
            <w:r w:rsidR="006F2707" w:rsidRPr="007709B8">
              <w:rPr>
                <w:rFonts w:cs="Arial"/>
                <w:color w:val="FFFFFF"/>
                <w:szCs w:val="28"/>
              </w:rPr>
              <w:t xml:space="preserve"> Lonsurf</w:t>
            </w:r>
            <w:r w:rsidR="00DF61BC" w:rsidRPr="007709B8">
              <w:rPr>
                <w:rFonts w:cs="Arial"/>
                <w:color w:val="FFFFFF"/>
                <w:szCs w:val="28"/>
              </w:rPr>
              <w:t xml:space="preserve"> and </w:t>
            </w:r>
            <w:r w:rsidR="006F2707" w:rsidRPr="007709B8">
              <w:rPr>
                <w:rFonts w:cs="Arial"/>
                <w:color w:val="FFFFFF"/>
                <w:szCs w:val="28"/>
              </w:rPr>
              <w:t>Orcantas</w:t>
            </w:r>
          </w:p>
        </w:tc>
      </w:tr>
      <w:tr w:rsidR="00E07F15" w:rsidRPr="007709B8" w14:paraId="290BBF66" w14:textId="77777777" w:rsidTr="005C2FCA">
        <w:trPr>
          <w:trHeight w:val="486"/>
        </w:trPr>
        <w:tc>
          <w:tcPr>
            <w:tcW w:w="9109" w:type="dxa"/>
          </w:tcPr>
          <w:p w14:paraId="39EF3688" w14:textId="5560805A" w:rsidR="00E07F15" w:rsidRPr="007709B8" w:rsidRDefault="00E07F15" w:rsidP="005C2FCA">
            <w:pPr>
              <w:pStyle w:val="Subtitle"/>
              <w:ind w:left="0"/>
              <w:rPr>
                <w:color w:val="FFFFFF" w:themeColor="background1"/>
              </w:rPr>
            </w:pPr>
            <w:r w:rsidRPr="007709B8">
              <w:rPr>
                <w:color w:val="FFFFFF" w:themeColor="background1"/>
              </w:rPr>
              <w:t>Sponsor:</w:t>
            </w:r>
            <w:r w:rsidR="006F2707" w:rsidRPr="007709B8">
              <w:rPr>
                <w:rFonts w:cs="Arial"/>
                <w:color w:val="FFFFFF"/>
                <w:szCs w:val="28"/>
              </w:rPr>
              <w:t xml:space="preserve"> </w:t>
            </w:r>
            <w:r w:rsidR="00DF61BC" w:rsidRPr="007709B8">
              <w:rPr>
                <w:rFonts w:cs="Arial"/>
                <w:color w:val="FFFFFF"/>
                <w:szCs w:val="28"/>
              </w:rPr>
              <w:t xml:space="preserve">Servier Laboratories </w:t>
            </w:r>
            <w:r w:rsidR="006F2707" w:rsidRPr="007709B8">
              <w:rPr>
                <w:rFonts w:cs="Arial"/>
                <w:color w:val="FFFFFF"/>
                <w:szCs w:val="28"/>
              </w:rPr>
              <w:t>Australia</w:t>
            </w:r>
            <w:r w:rsidR="00DF61BC" w:rsidRPr="007709B8">
              <w:rPr>
                <w:rFonts w:cs="Arial"/>
                <w:color w:val="FFFFFF"/>
                <w:szCs w:val="28"/>
              </w:rPr>
              <w:t xml:space="preserve"> Pty Ltd</w:t>
            </w:r>
          </w:p>
        </w:tc>
      </w:tr>
    </w:tbl>
    <w:tbl>
      <w:tblPr>
        <w:tblpPr w:leftFromText="180" w:rightFromText="180" w:vertAnchor="text" w:horzAnchor="margin" w:tblpXSpec="center" w:tblpY="9907"/>
        <w:tblOverlap w:val="neve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usPAR Attachment 2&#10;Extract from the Clinical Evaluation Report for trifluridine / tipiracil&#10;Proprietary Product Name: Lonsurf and Orcantas&#10;Sponsor: Servier Laboratories Australia Pty Ltd&#10;"/>
      </w:tblPr>
      <w:tblGrid>
        <w:gridCol w:w="9497"/>
      </w:tblGrid>
      <w:tr w:rsidR="000B3AB3" w:rsidRPr="007709B8" w14:paraId="76369BE0" w14:textId="77777777" w:rsidTr="0041712E">
        <w:trPr>
          <w:trHeight w:val="1620"/>
        </w:trPr>
        <w:tc>
          <w:tcPr>
            <w:tcW w:w="9497" w:type="dxa"/>
            <w:tcBorders>
              <w:top w:val="nil"/>
              <w:left w:val="nil"/>
              <w:bottom w:val="nil"/>
              <w:right w:val="nil"/>
            </w:tcBorders>
          </w:tcPr>
          <w:p w14:paraId="42BA642D" w14:textId="1847761A" w:rsidR="000B3AB3" w:rsidRPr="007709B8" w:rsidRDefault="00FB45D2" w:rsidP="00FB45D2">
            <w:pPr>
              <w:pStyle w:val="Style1"/>
              <w:numPr>
                <w:ilvl w:val="0"/>
                <w:numId w:val="0"/>
              </w:numPr>
              <w:rPr>
                <w:rFonts w:ascii="Arial" w:hAnsi="Arial" w:cs="Arial"/>
                <w:b/>
                <w:color w:val="002C47"/>
                <w:sz w:val="36"/>
                <w:highlight w:val="yellow"/>
              </w:rPr>
            </w:pPr>
            <w:r w:rsidRPr="007709B8">
              <w:rPr>
                <w:rFonts w:ascii="Arial" w:hAnsi="Arial" w:cs="Arial"/>
                <w:b/>
                <w:color w:val="002C47"/>
                <w:sz w:val="36"/>
              </w:rPr>
              <w:t>F</w:t>
            </w:r>
            <w:r w:rsidR="000B3AB3" w:rsidRPr="007709B8">
              <w:rPr>
                <w:rFonts w:ascii="Arial" w:hAnsi="Arial" w:cs="Arial"/>
                <w:b/>
                <w:color w:val="002C47"/>
                <w:sz w:val="36"/>
              </w:rPr>
              <w:t>irst round report:</w:t>
            </w:r>
            <w:r w:rsidR="00B75A7B" w:rsidRPr="007709B8">
              <w:rPr>
                <w:rFonts w:ascii="Arial" w:hAnsi="Arial" w:cs="Arial"/>
                <w:b/>
                <w:color w:val="002C47"/>
                <w:sz w:val="36"/>
              </w:rPr>
              <w:t xml:space="preserve"> </w:t>
            </w:r>
            <w:r w:rsidR="00DF61BC" w:rsidRPr="007709B8">
              <w:rPr>
                <w:rFonts w:ascii="Arial" w:hAnsi="Arial" w:cs="Arial"/>
                <w:b/>
                <w:color w:val="002C47"/>
                <w:sz w:val="36"/>
                <w:szCs w:val="28"/>
              </w:rPr>
              <w:t>July 2016</w:t>
            </w:r>
          </w:p>
          <w:p w14:paraId="03A1EE10" w14:textId="77777777" w:rsidR="000B3AB3" w:rsidRPr="007709B8" w:rsidRDefault="00FB45D2" w:rsidP="001C0996">
            <w:pPr>
              <w:pStyle w:val="Style1"/>
              <w:numPr>
                <w:ilvl w:val="0"/>
                <w:numId w:val="0"/>
              </w:numPr>
              <w:ind w:left="360" w:hanging="360"/>
              <w:rPr>
                <w:rFonts w:ascii="Arial" w:hAnsi="Arial" w:cs="Arial"/>
                <w:b/>
                <w:color w:val="002C47"/>
                <w:sz w:val="36"/>
              </w:rPr>
            </w:pPr>
            <w:bookmarkStart w:id="0" w:name="_Toc460584701"/>
            <w:r w:rsidRPr="007709B8">
              <w:rPr>
                <w:rFonts w:ascii="Arial" w:hAnsi="Arial" w:cs="Arial"/>
                <w:b/>
                <w:color w:val="002C47"/>
                <w:sz w:val="36"/>
              </w:rPr>
              <w:t>S</w:t>
            </w:r>
            <w:r w:rsidR="000B3AB3" w:rsidRPr="007709B8">
              <w:rPr>
                <w:rFonts w:ascii="Arial" w:hAnsi="Arial" w:cs="Arial"/>
                <w:b/>
                <w:color w:val="002C47"/>
                <w:sz w:val="36"/>
              </w:rPr>
              <w:t>econd round report:</w:t>
            </w:r>
            <w:r w:rsidR="0085068D" w:rsidRPr="007709B8">
              <w:rPr>
                <w:rFonts w:ascii="Arial" w:hAnsi="Arial" w:cs="Arial"/>
                <w:b/>
                <w:color w:val="002C47"/>
                <w:sz w:val="36"/>
              </w:rPr>
              <w:t xml:space="preserve"> </w:t>
            </w:r>
            <w:r w:rsidR="00DF61BC" w:rsidRPr="007709B8">
              <w:rPr>
                <w:rFonts w:ascii="Arial" w:hAnsi="Arial" w:cs="Arial"/>
                <w:b/>
                <w:color w:val="002C47"/>
                <w:sz w:val="36"/>
                <w:szCs w:val="28"/>
              </w:rPr>
              <w:t>January 2017</w:t>
            </w:r>
            <w:bookmarkEnd w:id="0"/>
          </w:p>
        </w:tc>
      </w:tr>
    </w:tbl>
    <w:p w14:paraId="014839DB" w14:textId="77777777" w:rsidR="008E7846" w:rsidRPr="007709B8" w:rsidRDefault="008E7846" w:rsidP="008E7846">
      <w:pPr>
        <w:pStyle w:val="NonTOCHeading2"/>
      </w:pPr>
      <w:r w:rsidRPr="007709B8">
        <w:br w:type="page"/>
      </w:r>
    </w:p>
    <w:p w14:paraId="4AE039E2" w14:textId="77777777" w:rsidR="008E7846" w:rsidRPr="007709B8" w:rsidRDefault="008E7846" w:rsidP="0058475B">
      <w:pPr>
        <w:pStyle w:val="NonTOCHeading2"/>
      </w:pPr>
      <w:r w:rsidRPr="007709B8">
        <w:lastRenderedPageBreak/>
        <w:t>About the Therapeutic Goods Administration (TGA)</w:t>
      </w:r>
    </w:p>
    <w:p w14:paraId="17197D34" w14:textId="77777777" w:rsidR="008E7846" w:rsidRPr="007709B8" w:rsidRDefault="008E7846" w:rsidP="00BF39D2">
      <w:pPr>
        <w:pStyle w:val="ListBullet"/>
        <w:numPr>
          <w:ilvl w:val="0"/>
          <w:numId w:val="1"/>
        </w:numPr>
        <w:ind w:left="357" w:hanging="357"/>
      </w:pPr>
      <w:r w:rsidRPr="007709B8">
        <w:t xml:space="preserve">The Therapeutic Goods Administration (TGA) is </w:t>
      </w:r>
      <w:r w:rsidR="00E624A5" w:rsidRPr="007709B8">
        <w:t xml:space="preserve">part </w:t>
      </w:r>
      <w:r w:rsidRPr="007709B8">
        <w:t>of the Australian Government Department of Health, and is responsible for regulating medicines and medical devices.</w:t>
      </w:r>
    </w:p>
    <w:p w14:paraId="47E4FA9F" w14:textId="77777777" w:rsidR="008E7846" w:rsidRPr="007709B8" w:rsidRDefault="00C811C0" w:rsidP="00BF39D2">
      <w:pPr>
        <w:pStyle w:val="ListBullet"/>
        <w:numPr>
          <w:ilvl w:val="0"/>
          <w:numId w:val="1"/>
        </w:numPr>
        <w:ind w:left="357" w:hanging="357"/>
      </w:pPr>
      <w:r w:rsidRPr="007709B8">
        <w:t xml:space="preserve">The </w:t>
      </w:r>
      <w:r w:rsidR="008E7846" w:rsidRPr="007709B8">
        <w:t xml:space="preserve">TGA administers the </w:t>
      </w:r>
      <w:r w:rsidR="008E7846" w:rsidRPr="007709B8">
        <w:rPr>
          <w:i/>
        </w:rPr>
        <w:t>Therapeutic Goods Act 1989</w:t>
      </w:r>
      <w:r w:rsidR="008E7846" w:rsidRPr="007709B8">
        <w:t xml:space="preserve"> (the Act), applying a risk management approach designed to ensure therapeutic goods supplied in Australia meet acceptable standards of quality, safety and efficacy (performance), when necessary.</w:t>
      </w:r>
    </w:p>
    <w:p w14:paraId="366F9196" w14:textId="77777777" w:rsidR="008E7846" w:rsidRPr="007709B8" w:rsidRDefault="008E7846" w:rsidP="00BF39D2">
      <w:pPr>
        <w:pStyle w:val="ListBullet"/>
        <w:numPr>
          <w:ilvl w:val="0"/>
          <w:numId w:val="1"/>
        </w:numPr>
        <w:ind w:left="357" w:hanging="357"/>
      </w:pPr>
      <w:r w:rsidRPr="007709B8">
        <w:t>The work of the TGA is based on applying scientific and clinical expertise to decision-making, to ensure that the benefits to consumers outweigh any risks associated with the use of medicines and medical devices.</w:t>
      </w:r>
    </w:p>
    <w:p w14:paraId="7130E994" w14:textId="77777777" w:rsidR="008E7846" w:rsidRPr="007709B8" w:rsidRDefault="008E7846" w:rsidP="00BF39D2">
      <w:pPr>
        <w:pStyle w:val="ListBullet"/>
        <w:numPr>
          <w:ilvl w:val="0"/>
          <w:numId w:val="1"/>
        </w:numPr>
        <w:ind w:left="357" w:hanging="357"/>
      </w:pPr>
      <w:r w:rsidRPr="007709B8">
        <w:t>The TGA relies on the public, healthcare professionals and industry to report problems with medicines or medical devices. TGA investigates reports received by it to determine any necessary regulatory action.</w:t>
      </w:r>
    </w:p>
    <w:p w14:paraId="7C7DB48B" w14:textId="77777777" w:rsidR="008E7846" w:rsidRPr="007709B8" w:rsidRDefault="008E7846" w:rsidP="00BF39D2">
      <w:pPr>
        <w:pStyle w:val="ListBullet"/>
        <w:numPr>
          <w:ilvl w:val="0"/>
          <w:numId w:val="1"/>
        </w:numPr>
        <w:ind w:left="357" w:hanging="357"/>
      </w:pPr>
      <w:r w:rsidRPr="007709B8">
        <w:t>To report a problem with a medicine or medical device, please see the information on the TGA website</w:t>
      </w:r>
      <w:r w:rsidR="00112F56" w:rsidRPr="007709B8">
        <w:t xml:space="preserve"> &lt;</w:t>
      </w:r>
      <w:hyperlink r:id="rId9" w:history="1">
        <w:r w:rsidR="00E979F4" w:rsidRPr="007709B8">
          <w:rPr>
            <w:rStyle w:val="Hyperlink"/>
          </w:rPr>
          <w:t>https://www.tga.gov.au</w:t>
        </w:r>
      </w:hyperlink>
      <w:r w:rsidR="00112F56" w:rsidRPr="007709B8">
        <w:t>&gt;</w:t>
      </w:r>
      <w:r w:rsidRPr="007709B8">
        <w:t>.</w:t>
      </w:r>
    </w:p>
    <w:p w14:paraId="7D843A58" w14:textId="77777777" w:rsidR="0017078F" w:rsidRPr="007709B8" w:rsidRDefault="0017078F" w:rsidP="00D276A3">
      <w:pPr>
        <w:pStyle w:val="NonTOCHeading2"/>
      </w:pPr>
      <w:r w:rsidRPr="007709B8">
        <w:t>About the Extract from the Clinical Evaluation Report</w:t>
      </w:r>
    </w:p>
    <w:p w14:paraId="54BF39EE" w14:textId="77777777" w:rsidR="0017078F" w:rsidRPr="007709B8" w:rsidRDefault="003D0A3B" w:rsidP="0017078F">
      <w:pPr>
        <w:pStyle w:val="ListBullet"/>
      </w:pPr>
      <w:r w:rsidRPr="007709B8">
        <w:t>This document provides a more detailed evaluation of the clinical findings, extracted from the Clinical Evaluation Report (CER) prepared by the TGA. This extract does not include sections from the CER regarding product document</w:t>
      </w:r>
      <w:r w:rsidR="001067D5" w:rsidRPr="007709B8">
        <w:t>ation or post market activities.</w:t>
      </w:r>
    </w:p>
    <w:p w14:paraId="471E31F5" w14:textId="44799C77" w:rsidR="003D0A3B" w:rsidRPr="007709B8" w:rsidRDefault="003D0A3B" w:rsidP="003D0A3B">
      <w:pPr>
        <w:pStyle w:val="ListBullet"/>
      </w:pPr>
      <w:r w:rsidRPr="007709B8">
        <w:t xml:space="preserve">The words </w:t>
      </w:r>
      <w:r w:rsidR="00A0007E" w:rsidRPr="007709B8">
        <w:t>(</w:t>
      </w:r>
      <w:r w:rsidRPr="007709B8">
        <w:t>Information redacted</w:t>
      </w:r>
      <w:r w:rsidR="00A0007E" w:rsidRPr="007709B8">
        <w:t>)</w:t>
      </w:r>
      <w:r w:rsidRPr="007709B8">
        <w:t>, where they appear in this document, indicate that confidential information has been deleted.</w:t>
      </w:r>
    </w:p>
    <w:p w14:paraId="6C6F5D51" w14:textId="77777777" w:rsidR="0017078F" w:rsidRPr="007709B8" w:rsidRDefault="003D0A3B" w:rsidP="008911A1">
      <w:pPr>
        <w:pStyle w:val="ListBullet"/>
      </w:pPr>
      <w:r w:rsidRPr="007709B8">
        <w:t>For the most</w:t>
      </w:r>
      <w:r w:rsidR="000771AD" w:rsidRPr="007709B8">
        <w:t xml:space="preserve"> </w:t>
      </w:r>
      <w:r w:rsidRPr="007709B8">
        <w:t xml:space="preserve">recent Product Information (PI), please refer to the TGA website </w:t>
      </w:r>
      <w:r w:rsidR="00B1425E" w:rsidRPr="007709B8">
        <w:t>&lt;</w:t>
      </w:r>
      <w:hyperlink r:id="rId10" w:history="1">
        <w:r w:rsidR="0010193C" w:rsidRPr="007709B8">
          <w:rPr>
            <w:rStyle w:val="Hyperlink"/>
          </w:rPr>
          <w:t>https://www.tga.gov.au/product-information-pi</w:t>
        </w:r>
      </w:hyperlink>
      <w:r w:rsidR="0017078F" w:rsidRPr="007709B8">
        <w:t>&gt;.</w:t>
      </w:r>
    </w:p>
    <w:p w14:paraId="075BDA0D" w14:textId="77777777" w:rsidR="00924482" w:rsidRPr="007709B8" w:rsidRDefault="00924482" w:rsidP="00E03FEE">
      <w:pPr>
        <w:pStyle w:val="LegalSubheading"/>
        <w:spacing w:before="3600"/>
      </w:pPr>
      <w:r w:rsidRPr="007709B8">
        <w:t>Copyright</w:t>
      </w:r>
    </w:p>
    <w:p w14:paraId="69C8CE4E" w14:textId="77777777" w:rsidR="00924482" w:rsidRPr="007709B8" w:rsidRDefault="00924482" w:rsidP="00924482">
      <w:pPr>
        <w:pStyle w:val="LegalCopy"/>
      </w:pPr>
      <w:r w:rsidRPr="005C2FCA">
        <w:t>© Commonwealth of Australia 201</w:t>
      </w:r>
      <w:r w:rsidR="001C36A6" w:rsidRPr="005C2FCA">
        <w:t>8</w:t>
      </w:r>
      <w:r w:rsidRPr="005C2FCA">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5C2FCA">
        <w:rPr>
          <w:i/>
        </w:rPr>
        <w:t>Copyright Act 1968</w:t>
      </w:r>
      <w:r w:rsidRPr="005C2FCA">
        <w:t xml:space="preserve"> or allowed by this copyright notice, all other rights are reserved and you are not allowed to reproduce the whole or any part of this work in any way (</w:t>
      </w:r>
      <w:r w:rsidR="007073AB" w:rsidRPr="005C2FCA">
        <w:t>electronic or otherwise) without</w:t>
      </w:r>
      <w:r w:rsidRPr="005C2FCA">
        <w:t xml:space="preserve">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5C2FCA">
          <w:rPr>
            <w:rStyle w:val="Hyperlink"/>
          </w:rPr>
          <w:t>tga.copyright@tga.gov.au</w:t>
        </w:r>
      </w:hyperlink>
      <w:r w:rsidRPr="007709B8">
        <w:t>&gt;.</w:t>
      </w:r>
    </w:p>
    <w:p w14:paraId="579F7F45" w14:textId="77777777" w:rsidR="00924482" w:rsidRPr="007709B8" w:rsidRDefault="00924482" w:rsidP="00924482">
      <w:pPr>
        <w:pStyle w:val="LegalCopy"/>
        <w:sectPr w:rsidR="00924482" w:rsidRPr="007709B8" w:rsidSect="00264F16">
          <w:headerReference w:type="default" r:id="rId12"/>
          <w:footerReference w:type="even" r:id="rId13"/>
          <w:footerReference w:type="default" r:id="rId14"/>
          <w:headerReference w:type="first" r:id="rId15"/>
          <w:footerReference w:type="first" r:id="rId16"/>
          <w:pgSz w:w="11906" w:h="16838" w:code="9"/>
          <w:pgMar w:top="426" w:right="1701" w:bottom="0" w:left="1701" w:header="907" w:footer="142" w:gutter="0"/>
          <w:pgNumType w:start="1"/>
          <w:cols w:space="708"/>
          <w:titlePg/>
          <w:docGrid w:linePitch="360"/>
        </w:sectPr>
      </w:pPr>
    </w:p>
    <w:p w14:paraId="291E89A2" w14:textId="77777777" w:rsidR="00DF61BC" w:rsidRPr="007709B8" w:rsidRDefault="00586F98" w:rsidP="00323CC6">
      <w:pPr>
        <w:pStyle w:val="TOC2"/>
        <w:spacing w:before="480" w:after="120"/>
        <w:ind w:left="0"/>
        <w:rPr>
          <w:sz w:val="32"/>
          <w:szCs w:val="32"/>
        </w:rPr>
      </w:pPr>
      <w:bookmarkStart w:id="1" w:name="_Toc351716269"/>
      <w:bookmarkStart w:id="2" w:name="_Toc351718881"/>
      <w:bookmarkStart w:id="3" w:name="_Toc355338616"/>
      <w:bookmarkStart w:id="4" w:name="_Toc196046425"/>
      <w:bookmarkStart w:id="5" w:name="_Toc247691501"/>
      <w:bookmarkStart w:id="6" w:name="_Toc314842482"/>
      <w:r w:rsidRPr="007709B8">
        <w:rPr>
          <w:sz w:val="32"/>
          <w:szCs w:val="32"/>
        </w:rPr>
        <w:lastRenderedPageBreak/>
        <w:t>List of abbreviations</w:t>
      </w:r>
      <w:bookmarkEnd w:id="1"/>
      <w:bookmarkEnd w:id="2"/>
      <w:bookmarkEnd w:id="3"/>
    </w:p>
    <w:tbl>
      <w:tblPr>
        <w:tblStyle w:val="TableTGAblue"/>
        <w:tblW w:w="0" w:type="auto"/>
        <w:tblLayout w:type="fixed"/>
        <w:tblLook w:val="04A0" w:firstRow="1" w:lastRow="0" w:firstColumn="1" w:lastColumn="0" w:noHBand="0" w:noVBand="1"/>
        <w:tblDescription w:val="List of abbreviations"/>
      </w:tblPr>
      <w:tblGrid>
        <w:gridCol w:w="2093"/>
        <w:gridCol w:w="6946"/>
      </w:tblGrid>
      <w:tr w:rsidR="00DF61BC" w:rsidRPr="007709B8" w14:paraId="354490BB" w14:textId="77777777" w:rsidTr="00840E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3" w:type="dxa"/>
          </w:tcPr>
          <w:p w14:paraId="1392D762" w14:textId="77777777" w:rsidR="00DF61BC" w:rsidRPr="007709B8" w:rsidRDefault="00DF61BC" w:rsidP="00DF61BC">
            <w:pPr>
              <w:rPr>
                <w:rFonts w:asciiTheme="minorHAnsi" w:eastAsia="Times New Roman" w:hAnsiTheme="minorHAnsi" w:cs="Calibri"/>
                <w:szCs w:val="22"/>
              </w:rPr>
            </w:pPr>
            <w:r w:rsidRPr="007709B8">
              <w:rPr>
                <w:rFonts w:asciiTheme="minorHAnsi" w:eastAsia="Times New Roman" w:hAnsiTheme="minorHAnsi" w:cs="Calibri"/>
                <w:szCs w:val="22"/>
              </w:rPr>
              <w:t>Abbreviations</w:t>
            </w:r>
          </w:p>
        </w:tc>
        <w:tc>
          <w:tcPr>
            <w:tcW w:w="6946" w:type="dxa"/>
          </w:tcPr>
          <w:p w14:paraId="035D81AE" w14:textId="77777777" w:rsidR="00DF61BC" w:rsidRPr="007709B8" w:rsidRDefault="00DF61BC" w:rsidP="00DF61BC">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szCs w:val="22"/>
              </w:rPr>
            </w:pPr>
            <w:r w:rsidRPr="007709B8">
              <w:rPr>
                <w:rFonts w:asciiTheme="minorHAnsi" w:eastAsia="Times New Roman" w:hAnsiTheme="minorHAnsi" w:cs="Calibri"/>
                <w:szCs w:val="22"/>
              </w:rPr>
              <w:t>Meaning</w:t>
            </w:r>
          </w:p>
        </w:tc>
      </w:tr>
      <w:tr w:rsidR="00DF61BC" w:rsidRPr="007709B8" w14:paraId="680AAABC"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22712955" w14:textId="5EC31D67" w:rsidR="00DF61BC" w:rsidRPr="007709B8" w:rsidRDefault="00DF61BC"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AE</w:t>
            </w:r>
          </w:p>
        </w:tc>
        <w:tc>
          <w:tcPr>
            <w:tcW w:w="6946" w:type="dxa"/>
          </w:tcPr>
          <w:p w14:paraId="6A4B5BB9" w14:textId="7E4BD70D" w:rsidR="00DF61BC" w:rsidRPr="007709B8" w:rsidRDefault="00DF61BC"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Adverse event</w:t>
            </w:r>
          </w:p>
        </w:tc>
      </w:tr>
      <w:tr w:rsidR="00DF61BC" w:rsidRPr="007709B8" w14:paraId="4B741D6E"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7C44E907" w14:textId="3E85F75F" w:rsidR="00DF61BC" w:rsidRPr="007709B8" w:rsidRDefault="00DF61BC"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AT</w:t>
            </w:r>
          </w:p>
        </w:tc>
        <w:tc>
          <w:tcPr>
            <w:tcW w:w="6946" w:type="dxa"/>
          </w:tcPr>
          <w:p w14:paraId="7AAC9F9C" w14:textId="4165F3DE" w:rsidR="00DF61BC" w:rsidRPr="007709B8" w:rsidRDefault="00DF61BC"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As</w:t>
            </w:r>
            <w:r w:rsidR="00955252" w:rsidRPr="007709B8">
              <w:rPr>
                <w:rFonts w:asciiTheme="minorHAnsi" w:eastAsia="Times New Roman" w:hAnsiTheme="minorHAnsi" w:cs="Calibri"/>
                <w:color w:val="000000"/>
                <w:szCs w:val="22"/>
              </w:rPr>
              <w:t xml:space="preserve"> </w:t>
            </w:r>
            <w:r w:rsidRPr="007709B8">
              <w:rPr>
                <w:rFonts w:asciiTheme="minorHAnsi" w:eastAsia="Times New Roman" w:hAnsiTheme="minorHAnsi" w:cs="Calibri"/>
                <w:color w:val="000000"/>
                <w:szCs w:val="22"/>
              </w:rPr>
              <w:t>treated (population)</w:t>
            </w:r>
          </w:p>
        </w:tc>
      </w:tr>
      <w:tr w:rsidR="00DF61BC" w:rsidRPr="007709B8" w14:paraId="6FBC676D"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4099E53E" w14:textId="3C62CE1E" w:rsidR="00DF61BC" w:rsidRPr="007709B8" w:rsidRDefault="00DF61BC"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AUC</w:t>
            </w:r>
          </w:p>
        </w:tc>
        <w:tc>
          <w:tcPr>
            <w:tcW w:w="6946" w:type="dxa"/>
          </w:tcPr>
          <w:p w14:paraId="6AFC6505" w14:textId="358A3A94" w:rsidR="00DF61BC" w:rsidRPr="007709B8" w:rsidRDefault="00DF61BC"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Area under the curve</w:t>
            </w:r>
          </w:p>
        </w:tc>
      </w:tr>
      <w:tr w:rsidR="00DF61BC" w:rsidRPr="007709B8" w14:paraId="68678881"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29D8AF1E" w14:textId="12F605E7" w:rsidR="00DF61BC" w:rsidRPr="007709B8" w:rsidRDefault="00DF61BC"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BCS</w:t>
            </w:r>
          </w:p>
        </w:tc>
        <w:tc>
          <w:tcPr>
            <w:tcW w:w="6946" w:type="dxa"/>
          </w:tcPr>
          <w:p w14:paraId="78C2E8BD" w14:textId="034D22FF" w:rsidR="00DF61BC" w:rsidRPr="007709B8" w:rsidRDefault="00DF61BC"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Biopharmaceutics Classification System</w:t>
            </w:r>
          </w:p>
        </w:tc>
      </w:tr>
      <w:tr w:rsidR="00DF61BC" w:rsidRPr="007709B8" w14:paraId="05DAFC06"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66ECA1CA" w14:textId="41444D54" w:rsidR="00DF61BC" w:rsidRPr="007709B8" w:rsidRDefault="00DF61BC"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BD</w:t>
            </w:r>
          </w:p>
        </w:tc>
        <w:tc>
          <w:tcPr>
            <w:tcW w:w="6946" w:type="dxa"/>
          </w:tcPr>
          <w:p w14:paraId="1F07B5ED" w14:textId="74576E4D" w:rsidR="00DF61BC" w:rsidRPr="007709B8" w:rsidRDefault="00DF61BC"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Twice daily</w:t>
            </w:r>
          </w:p>
        </w:tc>
      </w:tr>
      <w:tr w:rsidR="00DF61BC" w:rsidRPr="007709B8" w14:paraId="628657CC"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3D032B20" w14:textId="592F6832" w:rsidR="00DF61BC" w:rsidRPr="007709B8" w:rsidRDefault="00DF61BC"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BSA</w:t>
            </w:r>
          </w:p>
        </w:tc>
        <w:tc>
          <w:tcPr>
            <w:tcW w:w="6946" w:type="dxa"/>
          </w:tcPr>
          <w:p w14:paraId="3D9A4643" w14:textId="77777777" w:rsidR="00DF61BC" w:rsidRPr="007709B8" w:rsidRDefault="00DF61BC"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Body surface area </w:t>
            </w:r>
          </w:p>
        </w:tc>
      </w:tr>
      <w:tr w:rsidR="00DF61BC" w:rsidRPr="007709B8" w14:paraId="0E4645B6"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56E316AF" w14:textId="0ABD397B" w:rsidR="00DF61BC" w:rsidRPr="007709B8" w:rsidRDefault="00DF61BC"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BSC</w:t>
            </w:r>
          </w:p>
        </w:tc>
        <w:tc>
          <w:tcPr>
            <w:tcW w:w="6946" w:type="dxa"/>
          </w:tcPr>
          <w:p w14:paraId="60EA0ECA" w14:textId="1852EC11" w:rsidR="00DF61BC"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Best supportive care</w:t>
            </w:r>
          </w:p>
        </w:tc>
      </w:tr>
      <w:tr w:rsidR="00DF61BC" w:rsidRPr="007709B8" w14:paraId="56B0BA52"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38ED00EE" w14:textId="40370D7C" w:rsidR="00DF61BC"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CER</w:t>
            </w:r>
          </w:p>
        </w:tc>
        <w:tc>
          <w:tcPr>
            <w:tcW w:w="6946" w:type="dxa"/>
          </w:tcPr>
          <w:p w14:paraId="77496B92" w14:textId="77777777" w:rsidR="00DF61BC"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Clinical evaluation report</w:t>
            </w:r>
          </w:p>
        </w:tc>
      </w:tr>
      <w:tr w:rsidR="00DF61BC" w:rsidRPr="007709B8" w14:paraId="745EACCA"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54E8C669" w14:textId="1B0D2890" w:rsidR="00DF61BC"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CI</w:t>
            </w:r>
          </w:p>
        </w:tc>
        <w:tc>
          <w:tcPr>
            <w:tcW w:w="6946" w:type="dxa"/>
          </w:tcPr>
          <w:p w14:paraId="01109632" w14:textId="77777777" w:rsidR="00DF61BC"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Confidence interval</w:t>
            </w:r>
          </w:p>
        </w:tc>
      </w:tr>
      <w:tr w:rsidR="00DF61BC" w:rsidRPr="007709B8" w14:paraId="0DD18E43"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6F17BD2A" w14:textId="62D9DFF9" w:rsidR="00DF61BC"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CL/F</w:t>
            </w:r>
          </w:p>
        </w:tc>
        <w:tc>
          <w:tcPr>
            <w:tcW w:w="6946" w:type="dxa"/>
          </w:tcPr>
          <w:p w14:paraId="7CC0DC54" w14:textId="77777777" w:rsidR="00DF61BC"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Apparent oral clearance</w:t>
            </w:r>
          </w:p>
        </w:tc>
      </w:tr>
      <w:tr w:rsidR="00DF61BC" w:rsidRPr="007709B8" w14:paraId="113B3250"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3B4B4AAD" w14:textId="5B722E1E" w:rsidR="00DF61BC"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Cmax</w:t>
            </w:r>
          </w:p>
        </w:tc>
        <w:tc>
          <w:tcPr>
            <w:tcW w:w="6946" w:type="dxa"/>
          </w:tcPr>
          <w:p w14:paraId="527C9A60" w14:textId="77777777" w:rsidR="00DF61BC"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Maximum plasma concentration</w:t>
            </w:r>
          </w:p>
        </w:tc>
      </w:tr>
      <w:tr w:rsidR="00DF61BC" w:rsidRPr="007709B8" w14:paraId="1BF826E9"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2705EDF2" w14:textId="46602CDC" w:rsidR="00DF61BC"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CR</w:t>
            </w:r>
          </w:p>
        </w:tc>
        <w:tc>
          <w:tcPr>
            <w:tcW w:w="6946" w:type="dxa"/>
          </w:tcPr>
          <w:p w14:paraId="29863050" w14:textId="77777777" w:rsidR="00DF61BC"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Complete response</w:t>
            </w:r>
          </w:p>
        </w:tc>
      </w:tr>
      <w:tr w:rsidR="00DF61BC" w:rsidRPr="007709B8" w14:paraId="1D864F88"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19F974D1" w14:textId="72A5C657" w:rsidR="00DF61BC"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CRC</w:t>
            </w:r>
          </w:p>
        </w:tc>
        <w:tc>
          <w:tcPr>
            <w:tcW w:w="6946" w:type="dxa"/>
          </w:tcPr>
          <w:p w14:paraId="120323EF" w14:textId="77777777" w:rsidR="00DF61BC"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Colorectal Cancer</w:t>
            </w:r>
          </w:p>
        </w:tc>
      </w:tr>
      <w:tr w:rsidR="00DF61BC" w:rsidRPr="007709B8" w14:paraId="3F1422DA"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44A5E7BA" w14:textId="5CB6F050" w:rsidR="00DF61BC"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CSR</w:t>
            </w:r>
          </w:p>
        </w:tc>
        <w:tc>
          <w:tcPr>
            <w:tcW w:w="6946" w:type="dxa"/>
          </w:tcPr>
          <w:p w14:paraId="2BB7A3D0" w14:textId="77777777" w:rsidR="00DF61BC"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Clinical study report</w:t>
            </w:r>
          </w:p>
        </w:tc>
      </w:tr>
      <w:tr w:rsidR="006F2707" w:rsidRPr="007709B8" w14:paraId="19010C79"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0289D932" w14:textId="712E1EE0" w:rsidR="006F2707" w:rsidRPr="007709B8" w:rsidRDefault="006F2707" w:rsidP="006F2707">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CTCAE</w:t>
            </w:r>
          </w:p>
        </w:tc>
        <w:tc>
          <w:tcPr>
            <w:tcW w:w="6946" w:type="dxa"/>
          </w:tcPr>
          <w:p w14:paraId="7D5DF806" w14:textId="77777777" w:rsidR="006F2707" w:rsidRPr="007709B8" w:rsidRDefault="006F2707" w:rsidP="006F27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Common Terminology Criteria for Adverse Events</w:t>
            </w:r>
          </w:p>
        </w:tc>
      </w:tr>
      <w:tr w:rsidR="006F2707" w:rsidRPr="007709B8" w14:paraId="0730A612"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584845F6" w14:textId="11637435"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CV</w:t>
            </w:r>
          </w:p>
        </w:tc>
        <w:tc>
          <w:tcPr>
            <w:tcW w:w="6946" w:type="dxa"/>
          </w:tcPr>
          <w:p w14:paraId="67B0DD8F"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Coefficient of variation</w:t>
            </w:r>
          </w:p>
        </w:tc>
      </w:tr>
      <w:tr w:rsidR="006F2707" w:rsidRPr="007709B8" w14:paraId="6264D934"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705FC253" w14:textId="2F6DE042"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CYP</w:t>
            </w:r>
          </w:p>
        </w:tc>
        <w:tc>
          <w:tcPr>
            <w:tcW w:w="6946" w:type="dxa"/>
          </w:tcPr>
          <w:p w14:paraId="24AED66D"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Cytochrome P450</w:t>
            </w:r>
          </w:p>
        </w:tc>
      </w:tr>
      <w:tr w:rsidR="006F2707" w:rsidRPr="007709B8" w14:paraId="1478C80B"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51ED9647" w14:textId="25411700"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DCR</w:t>
            </w:r>
          </w:p>
        </w:tc>
        <w:tc>
          <w:tcPr>
            <w:tcW w:w="6946" w:type="dxa"/>
          </w:tcPr>
          <w:p w14:paraId="22AAFB56"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Disease control rate</w:t>
            </w:r>
          </w:p>
        </w:tc>
      </w:tr>
      <w:tr w:rsidR="006F2707" w:rsidRPr="007709B8" w14:paraId="13E68E7C"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789F1181" w14:textId="4D1C185E"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DR</w:t>
            </w:r>
          </w:p>
        </w:tc>
        <w:tc>
          <w:tcPr>
            <w:tcW w:w="6946" w:type="dxa"/>
          </w:tcPr>
          <w:p w14:paraId="096F74F5"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Duration of response </w:t>
            </w:r>
          </w:p>
        </w:tc>
      </w:tr>
      <w:tr w:rsidR="006F2707" w:rsidRPr="007709B8" w14:paraId="0C5F1C02"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0EF4D65C" w14:textId="49DF9EEC"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ECG</w:t>
            </w:r>
          </w:p>
        </w:tc>
        <w:tc>
          <w:tcPr>
            <w:tcW w:w="6946" w:type="dxa"/>
          </w:tcPr>
          <w:p w14:paraId="61D03A72"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Electrocardiogram</w:t>
            </w:r>
          </w:p>
        </w:tc>
      </w:tr>
      <w:tr w:rsidR="006F2707" w:rsidRPr="007709B8" w14:paraId="7B01E241"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37C21E1E" w14:textId="22E0963C"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ECOG</w:t>
            </w:r>
          </w:p>
        </w:tc>
        <w:tc>
          <w:tcPr>
            <w:tcW w:w="6946" w:type="dxa"/>
          </w:tcPr>
          <w:p w14:paraId="2D0A30E1"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Eastern Cooperative Oncology Group</w:t>
            </w:r>
          </w:p>
        </w:tc>
      </w:tr>
      <w:tr w:rsidR="006F2707" w:rsidRPr="007709B8" w14:paraId="28D3EEBC"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1251D280" w14:textId="1CF02EC0"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eCRF</w:t>
            </w:r>
          </w:p>
        </w:tc>
        <w:tc>
          <w:tcPr>
            <w:tcW w:w="6946" w:type="dxa"/>
          </w:tcPr>
          <w:p w14:paraId="680527C7"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Electronic case report form</w:t>
            </w:r>
          </w:p>
        </w:tc>
      </w:tr>
      <w:tr w:rsidR="006F2707" w:rsidRPr="007709B8" w14:paraId="1A4FAF23"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657A7C49" w14:textId="453E4302"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EGFR</w:t>
            </w:r>
          </w:p>
        </w:tc>
        <w:tc>
          <w:tcPr>
            <w:tcW w:w="6946" w:type="dxa"/>
          </w:tcPr>
          <w:p w14:paraId="26FEDC21"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Epidermal growth factor receptor</w:t>
            </w:r>
          </w:p>
        </w:tc>
      </w:tr>
      <w:tr w:rsidR="006F2707" w:rsidRPr="007709B8" w14:paraId="16811B4C"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7DFEA0B0" w14:textId="009D739B"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EMA</w:t>
            </w:r>
          </w:p>
        </w:tc>
        <w:tc>
          <w:tcPr>
            <w:tcW w:w="6946" w:type="dxa"/>
          </w:tcPr>
          <w:p w14:paraId="2C676B03" w14:textId="77777777" w:rsidR="006F2707" w:rsidRPr="007709B8" w:rsidRDefault="00FB45D2" w:rsidP="00FB45D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European M</w:t>
            </w:r>
            <w:r w:rsidR="006F2707" w:rsidRPr="007709B8">
              <w:rPr>
                <w:rFonts w:asciiTheme="minorHAnsi" w:eastAsia="Times New Roman" w:hAnsiTheme="minorHAnsi" w:cs="Calibri"/>
                <w:color w:val="000000"/>
                <w:szCs w:val="22"/>
              </w:rPr>
              <w:t xml:space="preserve">edicines </w:t>
            </w:r>
            <w:r w:rsidRPr="007709B8">
              <w:rPr>
                <w:rFonts w:asciiTheme="minorHAnsi" w:eastAsia="Times New Roman" w:hAnsiTheme="minorHAnsi" w:cs="Calibri"/>
                <w:color w:val="000000"/>
                <w:szCs w:val="22"/>
              </w:rPr>
              <w:t>A</w:t>
            </w:r>
            <w:r w:rsidR="006F2707" w:rsidRPr="007709B8">
              <w:rPr>
                <w:rFonts w:asciiTheme="minorHAnsi" w:eastAsia="Times New Roman" w:hAnsiTheme="minorHAnsi" w:cs="Calibri"/>
                <w:color w:val="000000"/>
                <w:szCs w:val="22"/>
              </w:rPr>
              <w:t>gency</w:t>
            </w:r>
          </w:p>
        </w:tc>
      </w:tr>
      <w:tr w:rsidR="006F2707" w:rsidRPr="007709B8" w14:paraId="32017A4F"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7200F7D7" w14:textId="3368A68D" w:rsidR="006F2707" w:rsidRPr="007709B8" w:rsidRDefault="006F2707" w:rsidP="006F2707">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lastRenderedPageBreak/>
              <w:t>FAS</w:t>
            </w:r>
          </w:p>
        </w:tc>
        <w:tc>
          <w:tcPr>
            <w:tcW w:w="6946" w:type="dxa"/>
          </w:tcPr>
          <w:p w14:paraId="2A30ED04" w14:textId="77777777" w:rsidR="006F2707" w:rsidRPr="007709B8" w:rsidRDefault="006F2707" w:rsidP="006F27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Full analysis set </w:t>
            </w:r>
          </w:p>
        </w:tc>
      </w:tr>
      <w:tr w:rsidR="006F2707" w:rsidRPr="007709B8" w14:paraId="1415607B"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7DBE09F4" w14:textId="50CA2D44"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FDA</w:t>
            </w:r>
          </w:p>
        </w:tc>
        <w:tc>
          <w:tcPr>
            <w:tcW w:w="6946" w:type="dxa"/>
          </w:tcPr>
          <w:p w14:paraId="7E90CCFF"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Food and Drug Administration</w:t>
            </w:r>
          </w:p>
        </w:tc>
      </w:tr>
      <w:tr w:rsidR="006F2707" w:rsidRPr="007709B8" w14:paraId="050C4099"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1322FC51" w14:textId="773757F6"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FTD</w:t>
            </w:r>
          </w:p>
        </w:tc>
        <w:tc>
          <w:tcPr>
            <w:tcW w:w="6946" w:type="dxa"/>
          </w:tcPr>
          <w:p w14:paraId="40367AA7"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Trifluridine</w:t>
            </w:r>
          </w:p>
        </w:tc>
      </w:tr>
      <w:tr w:rsidR="006F2707" w:rsidRPr="007709B8" w14:paraId="1C10AE43"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4216DE96" w14:textId="21368130"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FTY</w:t>
            </w:r>
          </w:p>
        </w:tc>
        <w:tc>
          <w:tcPr>
            <w:tcW w:w="6946" w:type="dxa"/>
          </w:tcPr>
          <w:p w14:paraId="0265F265"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5-trifluoromethyl-2,4(1H,3H)-pyrimidinedione</w:t>
            </w:r>
          </w:p>
        </w:tc>
      </w:tr>
      <w:tr w:rsidR="006F2707" w:rsidRPr="007709B8" w14:paraId="4F472C46"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46FA0234" w14:textId="4306DBD7"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GCP</w:t>
            </w:r>
          </w:p>
        </w:tc>
        <w:tc>
          <w:tcPr>
            <w:tcW w:w="6946" w:type="dxa"/>
          </w:tcPr>
          <w:p w14:paraId="003368C6" w14:textId="3E0DADC5"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Good clinical </w:t>
            </w:r>
            <w:r w:rsidR="00955252" w:rsidRPr="007709B8">
              <w:rPr>
                <w:rFonts w:asciiTheme="minorHAnsi" w:eastAsia="Times New Roman" w:hAnsiTheme="minorHAnsi" w:cs="Calibri"/>
                <w:color w:val="000000"/>
                <w:szCs w:val="22"/>
              </w:rPr>
              <w:t>P</w:t>
            </w:r>
            <w:r w:rsidRPr="007709B8">
              <w:rPr>
                <w:rFonts w:asciiTheme="minorHAnsi" w:eastAsia="Times New Roman" w:hAnsiTheme="minorHAnsi" w:cs="Calibri"/>
                <w:color w:val="000000"/>
                <w:szCs w:val="22"/>
              </w:rPr>
              <w:t>ractice</w:t>
            </w:r>
          </w:p>
        </w:tc>
      </w:tr>
      <w:tr w:rsidR="006F2707" w:rsidRPr="007709B8" w14:paraId="2C9A8522"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787A6A0C" w14:textId="2DD03B67"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G-CSF</w:t>
            </w:r>
          </w:p>
        </w:tc>
        <w:tc>
          <w:tcPr>
            <w:tcW w:w="6946" w:type="dxa"/>
          </w:tcPr>
          <w:p w14:paraId="0B4336D0" w14:textId="2883BA48" w:rsidR="006F2707" w:rsidRPr="007709B8" w:rsidRDefault="006F2707" w:rsidP="0095525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Granulocyte colony</w:t>
            </w:r>
            <w:r w:rsidR="00955252" w:rsidRPr="007709B8">
              <w:rPr>
                <w:rFonts w:asciiTheme="minorHAnsi" w:eastAsia="Times New Roman" w:hAnsiTheme="minorHAnsi" w:cs="Calibri"/>
                <w:color w:val="000000"/>
                <w:szCs w:val="22"/>
              </w:rPr>
              <w:t xml:space="preserve"> </w:t>
            </w:r>
            <w:r w:rsidRPr="007709B8">
              <w:rPr>
                <w:rFonts w:asciiTheme="minorHAnsi" w:eastAsia="Times New Roman" w:hAnsiTheme="minorHAnsi" w:cs="Calibri"/>
                <w:color w:val="000000"/>
                <w:szCs w:val="22"/>
              </w:rPr>
              <w:t>stimulating factor</w:t>
            </w:r>
          </w:p>
        </w:tc>
      </w:tr>
      <w:tr w:rsidR="006F2707" w:rsidRPr="007709B8" w14:paraId="525152B2"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3EF22C56" w14:textId="608E2A28"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HPLC</w:t>
            </w:r>
          </w:p>
        </w:tc>
        <w:tc>
          <w:tcPr>
            <w:tcW w:w="6946" w:type="dxa"/>
          </w:tcPr>
          <w:p w14:paraId="6B9BC7EA"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High performance liquid chromatography</w:t>
            </w:r>
          </w:p>
        </w:tc>
      </w:tr>
      <w:tr w:rsidR="006F2707" w:rsidRPr="007709B8" w14:paraId="67746EE7"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14DE45B7" w14:textId="48F41DBE"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HR</w:t>
            </w:r>
          </w:p>
        </w:tc>
        <w:tc>
          <w:tcPr>
            <w:tcW w:w="6946" w:type="dxa"/>
          </w:tcPr>
          <w:p w14:paraId="2E254929"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Hazard ratio</w:t>
            </w:r>
          </w:p>
        </w:tc>
      </w:tr>
      <w:tr w:rsidR="006F2707" w:rsidRPr="007709B8" w14:paraId="317395FB"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78CF78EB" w14:textId="5825DA5D"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ICH</w:t>
            </w:r>
          </w:p>
        </w:tc>
        <w:tc>
          <w:tcPr>
            <w:tcW w:w="6946" w:type="dxa"/>
          </w:tcPr>
          <w:p w14:paraId="4A5EC9E1"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International Conference on Harmonisation</w:t>
            </w:r>
          </w:p>
        </w:tc>
      </w:tr>
      <w:tr w:rsidR="006F2707" w:rsidRPr="007709B8" w14:paraId="0CAC4ADF"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3A4D7E79" w14:textId="3F37018B"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ITT</w:t>
            </w:r>
          </w:p>
        </w:tc>
        <w:tc>
          <w:tcPr>
            <w:tcW w:w="6946" w:type="dxa"/>
          </w:tcPr>
          <w:p w14:paraId="49F9BBF4"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Intent-to-treat</w:t>
            </w:r>
          </w:p>
        </w:tc>
      </w:tr>
      <w:tr w:rsidR="006F2707" w:rsidRPr="007709B8" w14:paraId="3CB2FB77"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48C10E93" w14:textId="3C431095"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LC/MS/MS</w:t>
            </w:r>
          </w:p>
        </w:tc>
        <w:tc>
          <w:tcPr>
            <w:tcW w:w="6946" w:type="dxa"/>
          </w:tcPr>
          <w:p w14:paraId="3158F4C5"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Liquid chromatography-tandem mass spectrometry</w:t>
            </w:r>
          </w:p>
        </w:tc>
      </w:tr>
      <w:tr w:rsidR="006F2707" w:rsidRPr="007709B8" w14:paraId="31745724"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3965CC2A" w14:textId="73DFEADC"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mCRC</w:t>
            </w:r>
          </w:p>
        </w:tc>
        <w:tc>
          <w:tcPr>
            <w:tcW w:w="6946" w:type="dxa"/>
          </w:tcPr>
          <w:p w14:paraId="1156291F"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Metastatic colorectal cancer</w:t>
            </w:r>
          </w:p>
        </w:tc>
      </w:tr>
      <w:tr w:rsidR="006F2707" w:rsidRPr="007709B8" w14:paraId="3A834D08"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573FC17D" w14:textId="7041E5BE"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MedDRA</w:t>
            </w:r>
          </w:p>
        </w:tc>
        <w:tc>
          <w:tcPr>
            <w:tcW w:w="6946" w:type="dxa"/>
          </w:tcPr>
          <w:p w14:paraId="43EEC834"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Medical Dictionary for Regulatory Activities</w:t>
            </w:r>
          </w:p>
        </w:tc>
      </w:tr>
      <w:tr w:rsidR="006F2707" w:rsidRPr="007709B8" w14:paraId="1E021411"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5A2EF316" w14:textId="2B17928D"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NCCN</w:t>
            </w:r>
          </w:p>
        </w:tc>
        <w:tc>
          <w:tcPr>
            <w:tcW w:w="6946" w:type="dxa"/>
          </w:tcPr>
          <w:p w14:paraId="56308242"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National Comprehensive Cancer Network</w:t>
            </w:r>
          </w:p>
        </w:tc>
      </w:tr>
      <w:tr w:rsidR="006F2707" w:rsidRPr="007709B8" w14:paraId="5E777720"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50C88DD7" w14:textId="425DEDAF"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NCI</w:t>
            </w:r>
          </w:p>
        </w:tc>
        <w:tc>
          <w:tcPr>
            <w:tcW w:w="6946" w:type="dxa"/>
          </w:tcPr>
          <w:p w14:paraId="38F65DC1"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National Cancer Institute</w:t>
            </w:r>
          </w:p>
        </w:tc>
      </w:tr>
      <w:tr w:rsidR="006F2707" w:rsidRPr="007709B8" w14:paraId="408205E3"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2821E171" w14:textId="287430D6"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OCT2</w:t>
            </w:r>
          </w:p>
        </w:tc>
        <w:tc>
          <w:tcPr>
            <w:tcW w:w="6946" w:type="dxa"/>
          </w:tcPr>
          <w:p w14:paraId="36D26539"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Organic cation transporter-2</w:t>
            </w:r>
          </w:p>
        </w:tc>
      </w:tr>
      <w:tr w:rsidR="006F2707" w:rsidRPr="007709B8" w14:paraId="5AA38CF4"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5728A88F" w14:textId="0C82488E"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ORR </w:t>
            </w:r>
          </w:p>
        </w:tc>
        <w:tc>
          <w:tcPr>
            <w:tcW w:w="6946" w:type="dxa"/>
          </w:tcPr>
          <w:p w14:paraId="4DD760A6"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Overall response rate </w:t>
            </w:r>
          </w:p>
        </w:tc>
      </w:tr>
      <w:tr w:rsidR="006F2707" w:rsidRPr="007709B8" w14:paraId="6FD402A2"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4F6365E0" w14:textId="7D2615A5"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OS</w:t>
            </w:r>
          </w:p>
        </w:tc>
        <w:tc>
          <w:tcPr>
            <w:tcW w:w="6946" w:type="dxa"/>
          </w:tcPr>
          <w:p w14:paraId="3348182B"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Overall survival </w:t>
            </w:r>
          </w:p>
        </w:tc>
      </w:tr>
      <w:tr w:rsidR="006F2707" w:rsidRPr="007709B8" w14:paraId="6602EA8B"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3375F8F6" w14:textId="391965A2"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PFS </w:t>
            </w:r>
          </w:p>
        </w:tc>
        <w:tc>
          <w:tcPr>
            <w:tcW w:w="6946" w:type="dxa"/>
          </w:tcPr>
          <w:p w14:paraId="4FDCD5CD"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Progression-free survival </w:t>
            </w:r>
          </w:p>
        </w:tc>
      </w:tr>
      <w:tr w:rsidR="006F2707" w:rsidRPr="007709B8" w14:paraId="6B61D470"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18ECC4DE" w14:textId="1E5CDA16"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PD</w:t>
            </w:r>
          </w:p>
        </w:tc>
        <w:tc>
          <w:tcPr>
            <w:tcW w:w="6946" w:type="dxa"/>
          </w:tcPr>
          <w:p w14:paraId="4E49417A"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Pharmacodynamics</w:t>
            </w:r>
          </w:p>
        </w:tc>
      </w:tr>
      <w:tr w:rsidR="006F2707" w:rsidRPr="007709B8" w14:paraId="6FE7B8BA"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231FB4D7" w14:textId="6B27367C"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PK </w:t>
            </w:r>
          </w:p>
        </w:tc>
        <w:tc>
          <w:tcPr>
            <w:tcW w:w="6946" w:type="dxa"/>
          </w:tcPr>
          <w:p w14:paraId="1269622B"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Pharmacokinetics </w:t>
            </w:r>
          </w:p>
        </w:tc>
      </w:tr>
      <w:tr w:rsidR="006F2707" w:rsidRPr="007709B8" w14:paraId="2846BDBA"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27A69EC0" w14:textId="5A623199"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PS </w:t>
            </w:r>
          </w:p>
        </w:tc>
        <w:tc>
          <w:tcPr>
            <w:tcW w:w="6946" w:type="dxa"/>
          </w:tcPr>
          <w:p w14:paraId="3E24E3DF"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Performance status </w:t>
            </w:r>
          </w:p>
        </w:tc>
      </w:tr>
      <w:tr w:rsidR="006F2707" w:rsidRPr="007709B8" w14:paraId="41730BED"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3CE948A2" w14:textId="0415B2D9"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PT</w:t>
            </w:r>
          </w:p>
        </w:tc>
        <w:tc>
          <w:tcPr>
            <w:tcW w:w="6946" w:type="dxa"/>
          </w:tcPr>
          <w:p w14:paraId="5C94544E"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Preferred term </w:t>
            </w:r>
          </w:p>
        </w:tc>
      </w:tr>
      <w:tr w:rsidR="006F2707" w:rsidRPr="007709B8" w14:paraId="68A54478"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759D69E5" w14:textId="4F7AD066"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QC </w:t>
            </w:r>
          </w:p>
        </w:tc>
        <w:tc>
          <w:tcPr>
            <w:tcW w:w="6946" w:type="dxa"/>
          </w:tcPr>
          <w:p w14:paraId="32F47E7D"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Quality Control </w:t>
            </w:r>
          </w:p>
        </w:tc>
      </w:tr>
      <w:tr w:rsidR="006F2707" w:rsidRPr="007709B8" w14:paraId="5BD2C635"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27409F3D" w14:textId="3599C148"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QD </w:t>
            </w:r>
          </w:p>
        </w:tc>
        <w:tc>
          <w:tcPr>
            <w:tcW w:w="6946" w:type="dxa"/>
          </w:tcPr>
          <w:p w14:paraId="7529B35C"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Once daily </w:t>
            </w:r>
          </w:p>
        </w:tc>
      </w:tr>
      <w:tr w:rsidR="006F2707" w:rsidRPr="007709B8" w14:paraId="7DB8C28A"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400ACDC6" w14:textId="6698B408"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QTc </w:t>
            </w:r>
          </w:p>
        </w:tc>
        <w:tc>
          <w:tcPr>
            <w:tcW w:w="6946" w:type="dxa"/>
          </w:tcPr>
          <w:p w14:paraId="7984FBB2"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QT interval corrected for heart rate </w:t>
            </w:r>
          </w:p>
        </w:tc>
      </w:tr>
      <w:tr w:rsidR="006F2707" w:rsidRPr="007709B8" w14:paraId="6A105C29"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340C111C" w14:textId="0B3F7EAF"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lastRenderedPageBreak/>
              <w:t xml:space="preserve">QTcB </w:t>
            </w:r>
          </w:p>
        </w:tc>
        <w:tc>
          <w:tcPr>
            <w:tcW w:w="6946" w:type="dxa"/>
          </w:tcPr>
          <w:p w14:paraId="4DF92514"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QT interval corrected for heart rate using Bazett’s correction</w:t>
            </w:r>
          </w:p>
        </w:tc>
      </w:tr>
      <w:tr w:rsidR="006F2707" w:rsidRPr="007709B8" w14:paraId="157C46FF"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10AC8051" w14:textId="1DEBC902"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QTcF </w:t>
            </w:r>
          </w:p>
        </w:tc>
        <w:tc>
          <w:tcPr>
            <w:tcW w:w="6946" w:type="dxa"/>
          </w:tcPr>
          <w:p w14:paraId="44C35AB9"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QT interval corrected for heart rate using Fridericia’s correction </w:t>
            </w:r>
          </w:p>
        </w:tc>
      </w:tr>
      <w:tr w:rsidR="006F2707" w:rsidRPr="007709B8" w14:paraId="26301A1C"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5BBC6BAB" w14:textId="798B0580"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RECIST </w:t>
            </w:r>
          </w:p>
        </w:tc>
        <w:tc>
          <w:tcPr>
            <w:tcW w:w="6946" w:type="dxa"/>
          </w:tcPr>
          <w:p w14:paraId="667B6073"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Response Evaluation Criteria in Solid Tumours </w:t>
            </w:r>
          </w:p>
        </w:tc>
      </w:tr>
      <w:tr w:rsidR="006F2707" w:rsidRPr="007709B8" w14:paraId="2C670A6F"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1E666117" w14:textId="655EED0B"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SAE</w:t>
            </w:r>
          </w:p>
        </w:tc>
        <w:tc>
          <w:tcPr>
            <w:tcW w:w="6946" w:type="dxa"/>
          </w:tcPr>
          <w:p w14:paraId="58A77CAE"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Serious adverse event </w:t>
            </w:r>
          </w:p>
        </w:tc>
      </w:tr>
      <w:tr w:rsidR="006F2707" w:rsidRPr="007709B8" w14:paraId="05A1EFE6"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08081B65" w14:textId="05B8AE45"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SmPC</w:t>
            </w:r>
          </w:p>
        </w:tc>
        <w:tc>
          <w:tcPr>
            <w:tcW w:w="6946" w:type="dxa"/>
          </w:tcPr>
          <w:p w14:paraId="3A0FA7B7"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Summary of Product Characteristics </w:t>
            </w:r>
          </w:p>
        </w:tc>
      </w:tr>
      <w:tr w:rsidR="006F2707" w:rsidRPr="007709B8" w14:paraId="76CB0E59"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307D0AEB" w14:textId="1902366E"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SOC </w:t>
            </w:r>
          </w:p>
        </w:tc>
        <w:tc>
          <w:tcPr>
            <w:tcW w:w="6946" w:type="dxa"/>
          </w:tcPr>
          <w:p w14:paraId="4818B455"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System organ class </w:t>
            </w:r>
          </w:p>
        </w:tc>
      </w:tr>
      <w:tr w:rsidR="006F2707" w:rsidRPr="007709B8" w14:paraId="61C5F651"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66F254A1" w14:textId="04EED7A1"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TDS </w:t>
            </w:r>
          </w:p>
        </w:tc>
        <w:tc>
          <w:tcPr>
            <w:tcW w:w="6946" w:type="dxa"/>
          </w:tcPr>
          <w:p w14:paraId="79A59EB1"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Three times daily </w:t>
            </w:r>
          </w:p>
        </w:tc>
      </w:tr>
      <w:tr w:rsidR="006F2707" w:rsidRPr="007709B8" w14:paraId="66BC8077"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028771BF" w14:textId="59D301C5"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T1/2</w:t>
            </w:r>
          </w:p>
        </w:tc>
        <w:tc>
          <w:tcPr>
            <w:tcW w:w="6946" w:type="dxa"/>
          </w:tcPr>
          <w:p w14:paraId="21236A94" w14:textId="0EF7CAF2"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Terminal elimination half-life </w:t>
            </w:r>
          </w:p>
        </w:tc>
      </w:tr>
      <w:tr w:rsidR="006F2707" w:rsidRPr="007709B8" w14:paraId="7E30C752"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689937C2" w14:textId="53315A5D"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TK1 </w:t>
            </w:r>
          </w:p>
        </w:tc>
        <w:tc>
          <w:tcPr>
            <w:tcW w:w="6946" w:type="dxa"/>
          </w:tcPr>
          <w:p w14:paraId="58FD0835"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Thymidine kinase 1 </w:t>
            </w:r>
          </w:p>
        </w:tc>
      </w:tr>
      <w:tr w:rsidR="006F2707" w:rsidRPr="007709B8" w14:paraId="105011D2"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305B8E79" w14:textId="27648152"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Tmax </w:t>
            </w:r>
          </w:p>
        </w:tc>
        <w:tc>
          <w:tcPr>
            <w:tcW w:w="6946" w:type="dxa"/>
          </w:tcPr>
          <w:p w14:paraId="43759132"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Time of maximum observed plasma concentration </w:t>
            </w:r>
          </w:p>
        </w:tc>
      </w:tr>
      <w:tr w:rsidR="006F2707" w:rsidRPr="007709B8" w14:paraId="0B72AF4C"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6AC852EB" w14:textId="55C1F0F8"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Tpase </w:t>
            </w:r>
          </w:p>
        </w:tc>
        <w:tc>
          <w:tcPr>
            <w:tcW w:w="6946" w:type="dxa"/>
          </w:tcPr>
          <w:p w14:paraId="2221F2F7"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Thymidine phosphorylase </w:t>
            </w:r>
          </w:p>
        </w:tc>
      </w:tr>
      <w:tr w:rsidR="006F2707" w:rsidRPr="007709B8" w14:paraId="6415AFC1"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49BBA79D" w14:textId="0C462D31"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TPI </w:t>
            </w:r>
          </w:p>
        </w:tc>
        <w:tc>
          <w:tcPr>
            <w:tcW w:w="6946" w:type="dxa"/>
          </w:tcPr>
          <w:p w14:paraId="3F1A03EF"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Tipiracil hydrochloride </w:t>
            </w:r>
          </w:p>
        </w:tc>
      </w:tr>
      <w:tr w:rsidR="006F2707" w:rsidRPr="007709B8" w14:paraId="4CC5F375"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2F046757" w14:textId="7B407522"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TR </w:t>
            </w:r>
          </w:p>
        </w:tc>
        <w:tc>
          <w:tcPr>
            <w:tcW w:w="6946" w:type="dxa"/>
          </w:tcPr>
          <w:p w14:paraId="56FD417B"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Tumour response (evaluable population) </w:t>
            </w:r>
          </w:p>
        </w:tc>
      </w:tr>
      <w:tr w:rsidR="006F2707" w:rsidRPr="007709B8" w14:paraId="4C3FACEE"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6119BF4C" w14:textId="72DA8C5D"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TTF </w:t>
            </w:r>
          </w:p>
        </w:tc>
        <w:tc>
          <w:tcPr>
            <w:tcW w:w="6946" w:type="dxa"/>
          </w:tcPr>
          <w:p w14:paraId="33CCA0C0" w14:textId="77777777"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Time to treatment failure </w:t>
            </w:r>
          </w:p>
        </w:tc>
      </w:tr>
      <w:tr w:rsidR="006F2707" w:rsidRPr="007709B8" w14:paraId="6954EF0F" w14:textId="77777777" w:rsidTr="00840E05">
        <w:tc>
          <w:tcPr>
            <w:cnfStyle w:val="001000000000" w:firstRow="0" w:lastRow="0" w:firstColumn="1" w:lastColumn="0" w:oddVBand="0" w:evenVBand="0" w:oddHBand="0" w:evenHBand="0" w:firstRowFirstColumn="0" w:firstRowLastColumn="0" w:lastRowFirstColumn="0" w:lastRowLastColumn="0"/>
            <w:tcW w:w="2093" w:type="dxa"/>
          </w:tcPr>
          <w:p w14:paraId="41DA15BB" w14:textId="4547C518" w:rsidR="006F2707" w:rsidRPr="007709B8" w:rsidRDefault="006F2707" w:rsidP="00DF61BC">
            <w:pPr>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VEGF</w:t>
            </w:r>
          </w:p>
        </w:tc>
        <w:tc>
          <w:tcPr>
            <w:tcW w:w="6946" w:type="dxa"/>
          </w:tcPr>
          <w:p w14:paraId="668076A8" w14:textId="6D61068D" w:rsidR="006F2707" w:rsidRPr="007709B8" w:rsidRDefault="006F2707" w:rsidP="00DF61B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22"/>
              </w:rPr>
            </w:pPr>
            <w:r w:rsidRPr="007709B8">
              <w:rPr>
                <w:rFonts w:asciiTheme="minorHAnsi" w:eastAsia="Times New Roman" w:hAnsiTheme="minorHAnsi" w:cs="Calibri"/>
                <w:color w:val="000000"/>
                <w:szCs w:val="22"/>
              </w:rPr>
              <w:t xml:space="preserve">Vascular endothelial growth factor </w:t>
            </w:r>
          </w:p>
        </w:tc>
      </w:tr>
    </w:tbl>
    <w:p w14:paraId="693E2417" w14:textId="77777777" w:rsidR="0094614A" w:rsidRPr="007709B8" w:rsidRDefault="0094614A" w:rsidP="00955252">
      <w:pPr>
        <w:pStyle w:val="Heading2"/>
        <w:pageBreakBefore/>
        <w:rPr>
          <w:lang w:eastAsia="en-AU"/>
        </w:rPr>
      </w:pPr>
      <w:bookmarkStart w:id="7" w:name="_Toc510016857"/>
      <w:bookmarkStart w:id="8" w:name="_Toc351718900"/>
      <w:bookmarkStart w:id="9" w:name="_Toc355338635"/>
      <w:r w:rsidRPr="007709B8">
        <w:rPr>
          <w:lang w:eastAsia="en-AU"/>
        </w:rPr>
        <w:lastRenderedPageBreak/>
        <w:t>Introduction</w:t>
      </w:r>
      <w:bookmarkEnd w:id="7"/>
    </w:p>
    <w:p w14:paraId="1440837C" w14:textId="77777777" w:rsidR="00AA7141" w:rsidRDefault="00DF61BC" w:rsidP="00DF61BC">
      <w:pPr>
        <w:rPr>
          <w:color w:val="000000"/>
        </w:rPr>
      </w:pPr>
      <w:r w:rsidRPr="007709B8">
        <w:rPr>
          <w:color w:val="000000"/>
        </w:rPr>
        <w:t>This is a submission to register a new chemical entity (NCE) fixed-dose combination tablet consisting of trifluridine and tipiracil (trade names Lonsurf and Orcantas) for the treatment of metastatic colorectal carcinoma (mCRC).</w:t>
      </w:r>
    </w:p>
    <w:p w14:paraId="3F8E2BD0" w14:textId="40D3B12B" w:rsidR="00DF61BC" w:rsidRPr="007709B8" w:rsidRDefault="00DF61BC" w:rsidP="00955252">
      <w:pPr>
        <w:pStyle w:val="Heading3"/>
      </w:pPr>
      <w:bookmarkStart w:id="10" w:name="_Toc272414596"/>
      <w:bookmarkStart w:id="11" w:name="_Toc290846218"/>
      <w:bookmarkStart w:id="12" w:name="_Toc470948445"/>
      <w:bookmarkStart w:id="13" w:name="_Toc510016858"/>
      <w:r w:rsidRPr="007709B8">
        <w:t>Drug class and therapeutic indication</w:t>
      </w:r>
      <w:bookmarkEnd w:id="10"/>
      <w:bookmarkEnd w:id="11"/>
      <w:bookmarkEnd w:id="12"/>
      <w:bookmarkEnd w:id="13"/>
    </w:p>
    <w:p w14:paraId="4C33909F" w14:textId="77777777" w:rsidR="00DF61BC" w:rsidRPr="007709B8" w:rsidRDefault="00DF61BC" w:rsidP="00955252">
      <w:pPr>
        <w:pStyle w:val="Heading4"/>
      </w:pPr>
      <w:bookmarkStart w:id="14" w:name="_Toc470948446"/>
      <w:r w:rsidRPr="007709B8">
        <w:t>Drug class</w:t>
      </w:r>
      <w:bookmarkEnd w:id="14"/>
    </w:p>
    <w:p w14:paraId="5E218E23" w14:textId="77777777" w:rsidR="00AA7141" w:rsidRDefault="00DF61BC" w:rsidP="00DF61BC">
      <w:pPr>
        <w:rPr>
          <w:color w:val="000000"/>
        </w:rPr>
      </w:pPr>
      <w:r w:rsidRPr="007709B8">
        <w:rPr>
          <w:color w:val="000000"/>
        </w:rPr>
        <w:t>Pharmacotherapeutic group: antineoplastic agents, antimetabolites. ATC code: L01BC59.</w:t>
      </w:r>
      <w:r w:rsidR="00955252" w:rsidRPr="007709B8">
        <w:rPr>
          <w:color w:val="000000"/>
        </w:rPr>
        <w:t xml:space="preserve"> </w:t>
      </w:r>
      <w:r w:rsidRPr="007709B8">
        <w:rPr>
          <w:color w:val="000000"/>
        </w:rPr>
        <w:t>Trifluridine is an antineoplastic thymidine-based nucleoside analog which is incorporated into deoxyribonucleic acid (DNA) in tumour cells following phosphorylation. Tipiracil inhibits degradation of trifluridine by inhibiting thymidine phosphorylase (TPase), resulting in increased systemic exposure to trifluridine when trifluridine and tipiracil are given together.</w:t>
      </w:r>
    </w:p>
    <w:p w14:paraId="403CB1B7" w14:textId="77777777" w:rsidR="00AA7141" w:rsidRDefault="00DF61BC" w:rsidP="00955252">
      <w:pPr>
        <w:pStyle w:val="Heading4"/>
      </w:pPr>
      <w:bookmarkStart w:id="15" w:name="_Toc470948447"/>
      <w:r w:rsidRPr="007709B8">
        <w:t>Proposed indication</w:t>
      </w:r>
      <w:bookmarkEnd w:id="15"/>
    </w:p>
    <w:p w14:paraId="19D23429" w14:textId="4856AD21" w:rsidR="00DF61BC" w:rsidRPr="007709B8" w:rsidRDefault="00DF61BC" w:rsidP="00DF61BC">
      <w:pPr>
        <w:rPr>
          <w:color w:val="000000"/>
        </w:rPr>
      </w:pPr>
      <w:r w:rsidRPr="007709B8">
        <w:rPr>
          <w:color w:val="000000"/>
        </w:rPr>
        <w:t>The proposed indication is the treatment of adult patients with metastatic colorectal cancer (mCRC) who have been previously treated with, or are not considered candidates for, available therapies including fluoropyrimidine-, oxaliplatin- and irinotecan-based chemotherapies, anti-VEGF agents, and anti-EGFR agents.</w:t>
      </w:r>
    </w:p>
    <w:p w14:paraId="3027BE3F" w14:textId="77777777" w:rsidR="00DF61BC" w:rsidRPr="007709B8" w:rsidRDefault="00DF61BC" w:rsidP="00955252">
      <w:pPr>
        <w:pStyle w:val="Heading3"/>
      </w:pPr>
      <w:bookmarkStart w:id="16" w:name="_Toc272414597"/>
      <w:bookmarkStart w:id="17" w:name="_Toc290846219"/>
      <w:bookmarkStart w:id="18" w:name="_Toc470948448"/>
      <w:bookmarkStart w:id="19" w:name="_Toc510016859"/>
      <w:r w:rsidRPr="007709B8">
        <w:t>Dosage forms and strengths</w:t>
      </w:r>
      <w:bookmarkEnd w:id="16"/>
      <w:bookmarkEnd w:id="17"/>
      <w:bookmarkEnd w:id="18"/>
      <w:bookmarkEnd w:id="19"/>
    </w:p>
    <w:p w14:paraId="7FBA36F2" w14:textId="77777777" w:rsidR="00DF61BC" w:rsidRPr="007709B8" w:rsidRDefault="00DF61BC" w:rsidP="00DF61BC">
      <w:pPr>
        <w:rPr>
          <w:color w:val="000000"/>
        </w:rPr>
      </w:pPr>
      <w:r w:rsidRPr="007709B8">
        <w:rPr>
          <w:color w:val="000000"/>
        </w:rPr>
        <w:t>The submission proposes registration of the following dosage forms and strengths:</w:t>
      </w:r>
    </w:p>
    <w:p w14:paraId="25DAEDBB" w14:textId="70B93387" w:rsidR="00DF61BC" w:rsidRPr="007709B8" w:rsidRDefault="00DF61BC" w:rsidP="007B6BC4">
      <w:pPr>
        <w:pStyle w:val="ListBullet"/>
      </w:pPr>
      <w:r w:rsidRPr="007709B8">
        <w:t>L</w:t>
      </w:r>
      <w:r w:rsidR="00842E8F" w:rsidRPr="007709B8">
        <w:t>onsurf</w:t>
      </w:r>
      <w:r w:rsidRPr="007709B8">
        <w:t>/O</w:t>
      </w:r>
      <w:r w:rsidR="00842E8F" w:rsidRPr="007709B8">
        <w:t>rcantas</w:t>
      </w:r>
      <w:r w:rsidRPr="007709B8">
        <w:t xml:space="preserve"> 15/6.14</w:t>
      </w:r>
      <w:r w:rsidR="00842E8F" w:rsidRPr="007709B8">
        <w:t>:</w:t>
      </w:r>
      <w:r w:rsidRPr="007709B8">
        <w:t xml:space="preserve"> white, round, biconvex, immediate-release, film-coated tablet consisting of the fixed-dose combination of trifluridine 15 mg and tipiracil hydrochloride 7.065 mg (equivalent to tipiracil 6.14 mg) imprinted with </w:t>
      </w:r>
      <w:r w:rsidR="00842E8F" w:rsidRPr="007709B8">
        <w:t>‘</w:t>
      </w:r>
      <w:r w:rsidRPr="007709B8">
        <w:t>15</w:t>
      </w:r>
      <w:r w:rsidR="00842E8F" w:rsidRPr="007709B8">
        <w:t>’</w:t>
      </w:r>
      <w:r w:rsidRPr="007709B8">
        <w:t xml:space="preserve"> on one side and </w:t>
      </w:r>
      <w:r w:rsidR="00842E8F" w:rsidRPr="007709B8">
        <w:t>‘</w:t>
      </w:r>
      <w:r w:rsidRPr="007709B8">
        <w:t>102</w:t>
      </w:r>
      <w:r w:rsidR="00842E8F" w:rsidRPr="007709B8">
        <w:t>’</w:t>
      </w:r>
      <w:r w:rsidRPr="007709B8">
        <w:t xml:space="preserve"> and </w:t>
      </w:r>
      <w:r w:rsidR="00842E8F" w:rsidRPr="007709B8">
        <w:t>‘</w:t>
      </w:r>
      <w:r w:rsidRPr="007709B8">
        <w:t>15 mg</w:t>
      </w:r>
      <w:r w:rsidR="00842E8F" w:rsidRPr="007709B8">
        <w:t>’</w:t>
      </w:r>
      <w:r w:rsidRPr="007709B8">
        <w:t xml:space="preserve"> on the other side i</w:t>
      </w:r>
      <w:r w:rsidR="00ED2BC9">
        <w:t>n grey ink. To be taken orally.</w:t>
      </w:r>
    </w:p>
    <w:p w14:paraId="5ADEF6AC" w14:textId="0D926965" w:rsidR="00DF61BC" w:rsidRPr="007709B8" w:rsidRDefault="00DF61BC" w:rsidP="007B6BC4">
      <w:pPr>
        <w:pStyle w:val="ListBullet"/>
      </w:pPr>
      <w:r w:rsidRPr="007709B8">
        <w:t>L</w:t>
      </w:r>
      <w:r w:rsidR="00842E8F" w:rsidRPr="007709B8">
        <w:t>onsurf</w:t>
      </w:r>
      <w:r w:rsidRPr="007709B8">
        <w:t>/O</w:t>
      </w:r>
      <w:r w:rsidR="00842E8F" w:rsidRPr="007709B8">
        <w:t>rcantas</w:t>
      </w:r>
      <w:r w:rsidRPr="007709B8">
        <w:t xml:space="preserve"> 20/8.19</w:t>
      </w:r>
      <w:r w:rsidR="00842E8F" w:rsidRPr="007709B8">
        <w:t>:</w:t>
      </w:r>
      <w:r w:rsidRPr="007709B8">
        <w:t xml:space="preserve"> pale red, round, biconvex, immediate-release, film-coated tablet consisting of the fixed-dose combination of trifluridine 20 mg and tipiracil hydrochloride 9.420 mg (equivalent to tipiracil 8.19 mg) imprinted with </w:t>
      </w:r>
      <w:r w:rsidR="00842E8F" w:rsidRPr="007709B8">
        <w:t>‘</w:t>
      </w:r>
      <w:r w:rsidRPr="007709B8">
        <w:t>20</w:t>
      </w:r>
      <w:r w:rsidR="00842E8F" w:rsidRPr="007709B8">
        <w:t>’</w:t>
      </w:r>
      <w:r w:rsidRPr="007709B8">
        <w:t xml:space="preserve"> on one side and </w:t>
      </w:r>
      <w:r w:rsidR="00842E8F" w:rsidRPr="007709B8">
        <w:t>‘</w:t>
      </w:r>
      <w:r w:rsidRPr="007709B8">
        <w:t>102</w:t>
      </w:r>
      <w:r w:rsidR="00842E8F" w:rsidRPr="007709B8">
        <w:t>’</w:t>
      </w:r>
      <w:r w:rsidRPr="007709B8">
        <w:t xml:space="preserve"> and </w:t>
      </w:r>
      <w:r w:rsidR="00842E8F" w:rsidRPr="007709B8">
        <w:t>‘</w:t>
      </w:r>
      <w:r w:rsidRPr="007709B8">
        <w:t>20 mg on the other side in grey ink. To be taken orally.</w:t>
      </w:r>
    </w:p>
    <w:p w14:paraId="36AA1939" w14:textId="77777777" w:rsidR="00DF61BC" w:rsidRPr="007709B8" w:rsidRDefault="00DF61BC" w:rsidP="00955252">
      <w:pPr>
        <w:pStyle w:val="Heading3"/>
      </w:pPr>
      <w:bookmarkStart w:id="20" w:name="_Toc272414598"/>
      <w:bookmarkStart w:id="21" w:name="_Toc290846220"/>
      <w:bookmarkStart w:id="22" w:name="_Toc470948449"/>
      <w:bookmarkStart w:id="23" w:name="_Toc510016860"/>
      <w:r w:rsidRPr="007709B8">
        <w:t>Dosage and administration</w:t>
      </w:r>
      <w:bookmarkEnd w:id="20"/>
      <w:bookmarkEnd w:id="21"/>
      <w:bookmarkEnd w:id="22"/>
      <w:bookmarkEnd w:id="23"/>
    </w:p>
    <w:p w14:paraId="36967966" w14:textId="5F9B33C4" w:rsidR="00DF61BC" w:rsidRPr="007709B8" w:rsidRDefault="00DF61BC" w:rsidP="00DF61BC">
      <w:pPr>
        <w:rPr>
          <w:color w:val="000000"/>
        </w:rPr>
      </w:pPr>
      <w:r w:rsidRPr="007709B8">
        <w:rPr>
          <w:color w:val="000000"/>
        </w:rPr>
        <w:t>The proposed Product Information (PI) states that the recommended starting dose of Lonsurf/Orcantas in adults is 35 mg/m</w:t>
      </w:r>
      <w:r w:rsidRPr="007709B8">
        <w:rPr>
          <w:color w:val="000000"/>
          <w:vertAlign w:val="superscript"/>
        </w:rPr>
        <w:t>2</w:t>
      </w:r>
      <w:r w:rsidRPr="007709B8">
        <w:rPr>
          <w:color w:val="000000"/>
        </w:rPr>
        <w:t>/dose administered orally twice daily on Days 1 to 5 and Days 8 to 12 of each 28</w:t>
      </w:r>
      <w:r w:rsidR="00842E8F" w:rsidRPr="007709B8">
        <w:rPr>
          <w:color w:val="000000"/>
        </w:rPr>
        <w:t xml:space="preserve"> </w:t>
      </w:r>
      <w:r w:rsidRPr="007709B8">
        <w:rPr>
          <w:color w:val="000000"/>
        </w:rPr>
        <w:t>day cycle as long as benefit is observed or until unacceptable toxicity occurs. The dose is calculated according to body surface area (BSA), rounded to the nearest 5 mg increment. The dosage should not exceed 80 mg/dose. If doses are missed or held, the patient should not make up for missed doses. The PI provides guidelines for dose modification based on individual safety and tolerability relating to both haematologic and non-haematologic toxicities. The PI also includes recommendations for dosage in special populations. The PI specifies that Lonsurf/Orcantas should be taken with a glass of water, within 1 hour after completion of</w:t>
      </w:r>
      <w:r w:rsidR="00ED2BC9">
        <w:rPr>
          <w:color w:val="000000"/>
        </w:rPr>
        <w:t xml:space="preserve"> the morning and evening meals.</w:t>
      </w:r>
    </w:p>
    <w:p w14:paraId="45BC01CA" w14:textId="2B67DE10" w:rsidR="00DF61BC" w:rsidRPr="007709B8" w:rsidRDefault="00DF61BC" w:rsidP="005C2FCA">
      <w:pPr>
        <w:pStyle w:val="Comment"/>
      </w:pPr>
      <w:r w:rsidRPr="005C2FCA">
        <w:rPr>
          <w:b/>
        </w:rPr>
        <w:t>Comment:</w:t>
      </w:r>
      <w:r w:rsidR="00842E8F" w:rsidRPr="007709B8">
        <w:t xml:space="preserve"> </w:t>
      </w:r>
      <w:r w:rsidRPr="007709B8">
        <w:t xml:space="preserve"> The dosage of 35 mg/m</w:t>
      </w:r>
      <w:r w:rsidRPr="007709B8">
        <w:rPr>
          <w:vertAlign w:val="superscript"/>
        </w:rPr>
        <w:t>2</w:t>
      </w:r>
      <w:r w:rsidRPr="007709B8">
        <w:t>/dose is based on the trifluridine component of the fixed-dose combination.</w:t>
      </w:r>
    </w:p>
    <w:p w14:paraId="589D8403" w14:textId="77777777" w:rsidR="00295C34" w:rsidRPr="007709B8" w:rsidRDefault="00586F98" w:rsidP="00955252">
      <w:pPr>
        <w:pStyle w:val="Heading2"/>
      </w:pPr>
      <w:bookmarkStart w:id="24" w:name="_Toc510016861"/>
      <w:r w:rsidRPr="007709B8">
        <w:lastRenderedPageBreak/>
        <w:t>Clinical rationale</w:t>
      </w:r>
      <w:bookmarkEnd w:id="24"/>
    </w:p>
    <w:p w14:paraId="2DDE5AEE" w14:textId="4ABEDC96" w:rsidR="00DF61BC" w:rsidRPr="007709B8" w:rsidRDefault="00DF61BC" w:rsidP="00DF61BC">
      <w:pPr>
        <w:rPr>
          <w:color w:val="000000"/>
        </w:rPr>
      </w:pPr>
      <w:r w:rsidRPr="007709B8">
        <w:rPr>
          <w:color w:val="000000"/>
        </w:rPr>
        <w:t>The submission included a clinical rationale (justification) for the proposed fixed-do</w:t>
      </w:r>
      <w:r w:rsidR="00AC6798" w:rsidRPr="007709B8">
        <w:rPr>
          <w:color w:val="000000"/>
        </w:rPr>
        <w:t>se combination tablet</w:t>
      </w:r>
      <w:r w:rsidRPr="007709B8">
        <w:rPr>
          <w:color w:val="000000"/>
        </w:rPr>
        <w:t>. The key aspects of the clinical rationale provided by the sponsor are provided below.</w:t>
      </w:r>
    </w:p>
    <w:p w14:paraId="46532F42" w14:textId="77777777" w:rsidR="00DF61BC" w:rsidRPr="007709B8" w:rsidRDefault="00DF61BC" w:rsidP="00A03D42">
      <w:pPr>
        <w:rPr>
          <w:color w:val="000000"/>
        </w:rPr>
      </w:pPr>
      <w:r w:rsidRPr="007709B8">
        <w:rPr>
          <w:color w:val="000000"/>
        </w:rPr>
        <w:t>Servier is the Australian sponsor of a new fixed dose combination product (FDC) containing a combination of trifluridine (FTD) and tipiracil hydrochloride (TPI) at a molar ratio 1:0.5 (weight ratio, 1:0.471) to be used in the treatment of metastatic colorectal cancer (mCRC). FTD is an antineoplastic thymidine-based nucleoside analog which is incorporated into deoxyribonucleic acid (DNA) in tumour cells following phosphorylation. TPI inhibits degradation of FTD by inhibiting thymidine phosphorylase (TPase), thus increasing systemic exposure to FTD when FTD and TPI are given together.</w:t>
      </w:r>
    </w:p>
    <w:p w14:paraId="0048C5CE" w14:textId="77777777" w:rsidR="00DF61BC" w:rsidRPr="007709B8" w:rsidRDefault="00DF61BC" w:rsidP="00A03D42">
      <w:pPr>
        <w:rPr>
          <w:color w:val="000000"/>
        </w:rPr>
      </w:pPr>
      <w:r w:rsidRPr="007709B8">
        <w:rPr>
          <w:color w:val="000000"/>
        </w:rPr>
        <w:t>Colorectal cancer (CRC) is the third most frequently diagnosed cancer worldwide. In Australia, there were 17,070 projected new cases diagnosed in 2014, with CRC comprising 13.5% of all new cancer cases diagnosed in 2015. In Australia, patients with unresectable mCRC usually die from the disease, with five year overall survival of about 15%. The primary chemotherapy for mCRC is a combined regimen containing a fluoropyrimidine, such as 5-fluoruracil (5-FU) or capecitabine, along with other agents such as leucovorin (LV), irinotecan and oxaliplatin.</w:t>
      </w:r>
    </w:p>
    <w:p w14:paraId="02D9269D" w14:textId="77777777" w:rsidR="00DF61BC" w:rsidRPr="007709B8" w:rsidRDefault="00DF61BC" w:rsidP="00A03D42">
      <w:pPr>
        <w:rPr>
          <w:color w:val="000000"/>
        </w:rPr>
      </w:pPr>
      <w:r w:rsidRPr="007709B8">
        <w:rPr>
          <w:color w:val="000000"/>
        </w:rPr>
        <w:t>In patients who are refractory to fluoropyrimidines, oxaliplatin and irinotecan and biological targeted agents, treatment options are limited, with the only approved agent in Australia, the USA, EU, and other countries, being the small molecule multi-kinase inhibitor, regorafenib. Due to its unique mechanism of action, L</w:t>
      </w:r>
      <w:r w:rsidR="00991E93" w:rsidRPr="007709B8">
        <w:rPr>
          <w:color w:val="000000"/>
        </w:rPr>
        <w:t>onsurf</w:t>
      </w:r>
      <w:r w:rsidRPr="007709B8">
        <w:rPr>
          <w:color w:val="000000"/>
        </w:rPr>
        <w:t xml:space="preserve"> will offer an additional oral treatment option for patients with mCRC previously treated with, or not considered suitable candidates for current available therapies, a group who currently have few effective therapies available.</w:t>
      </w:r>
    </w:p>
    <w:p w14:paraId="5FAB000B" w14:textId="2B659A61" w:rsidR="0085068D" w:rsidRPr="007709B8" w:rsidRDefault="00DF61BC" w:rsidP="005C2FCA">
      <w:pPr>
        <w:pStyle w:val="Comment"/>
      </w:pPr>
      <w:r w:rsidRPr="005C2FCA">
        <w:rPr>
          <w:b/>
        </w:rPr>
        <w:t>Comment:</w:t>
      </w:r>
      <w:r w:rsidR="00991E93" w:rsidRPr="007709B8">
        <w:t xml:space="preserve"> </w:t>
      </w:r>
      <w:r w:rsidRPr="007709B8">
        <w:t xml:space="preserve"> The sponsor’s clinical rationale for the submission is </w:t>
      </w:r>
      <w:r w:rsidR="00ED2BC9">
        <w:t>considered to be satisfactory.</w:t>
      </w:r>
    </w:p>
    <w:p w14:paraId="3E2D9840" w14:textId="77777777" w:rsidR="00586F98" w:rsidRPr="007709B8" w:rsidRDefault="00586F98" w:rsidP="00955252">
      <w:pPr>
        <w:pStyle w:val="Heading2"/>
        <w:rPr>
          <w:lang w:eastAsia="en-AU"/>
        </w:rPr>
      </w:pPr>
      <w:bookmarkStart w:id="25" w:name="_Toc510016862"/>
      <w:r w:rsidRPr="007709B8">
        <w:rPr>
          <w:lang w:eastAsia="en-AU"/>
        </w:rPr>
        <w:t>Contents of the clinical dossier</w:t>
      </w:r>
      <w:bookmarkEnd w:id="8"/>
      <w:bookmarkEnd w:id="9"/>
      <w:bookmarkEnd w:id="25"/>
    </w:p>
    <w:p w14:paraId="7636A93C" w14:textId="77777777" w:rsidR="00586F98" w:rsidRPr="007709B8" w:rsidRDefault="00586F98" w:rsidP="00955252">
      <w:pPr>
        <w:pStyle w:val="Heading3"/>
      </w:pPr>
      <w:bookmarkStart w:id="26" w:name="_Toc510016863"/>
      <w:r w:rsidRPr="007709B8">
        <w:t>Scope of the clinical dossier</w:t>
      </w:r>
      <w:bookmarkEnd w:id="26"/>
    </w:p>
    <w:p w14:paraId="2A0768C5" w14:textId="77777777" w:rsidR="00DF61BC" w:rsidRPr="007709B8" w:rsidRDefault="00DF61BC" w:rsidP="00DF61BC">
      <w:pPr>
        <w:rPr>
          <w:color w:val="000000"/>
        </w:rPr>
      </w:pPr>
      <w:r w:rsidRPr="007709B8">
        <w:rPr>
          <w:color w:val="000000"/>
        </w:rPr>
        <w:t>The submission contained the following clinical information:</w:t>
      </w:r>
    </w:p>
    <w:p w14:paraId="794B1EB6" w14:textId="77777777" w:rsidR="00DF61BC" w:rsidRPr="007709B8" w:rsidRDefault="00DF61BC" w:rsidP="00AE7582">
      <w:pPr>
        <w:pStyle w:val="ListBullet"/>
      </w:pPr>
      <w:r w:rsidRPr="007709B8">
        <w:t>6 clinical pharmacology Phase I studies, including pharmacody</w:t>
      </w:r>
      <w:r w:rsidR="00AE7582" w:rsidRPr="007709B8">
        <w:t>namic and pharmacokinetic data</w:t>
      </w:r>
    </w:p>
    <w:p w14:paraId="51E62174" w14:textId="77777777" w:rsidR="00DF61BC" w:rsidRPr="007709B8" w:rsidRDefault="00DF61BC" w:rsidP="00AE7582">
      <w:pPr>
        <w:pStyle w:val="ListBullet"/>
      </w:pPr>
      <w:r w:rsidRPr="007709B8">
        <w:t>1 popul</w:t>
      </w:r>
      <w:r w:rsidR="00AE7582" w:rsidRPr="007709B8">
        <w:t>ation pharmacokinetic analysis</w:t>
      </w:r>
    </w:p>
    <w:p w14:paraId="049E4A5E" w14:textId="77777777" w:rsidR="00DF61BC" w:rsidRPr="007709B8" w:rsidRDefault="00DF61BC" w:rsidP="00AE7582">
      <w:pPr>
        <w:pStyle w:val="ListBullet"/>
      </w:pPr>
      <w:r w:rsidRPr="007709B8">
        <w:t>1 pivotal P</w:t>
      </w:r>
      <w:r w:rsidR="00AE7582" w:rsidRPr="007709B8">
        <w:t>hase III efficacy/safety study</w:t>
      </w:r>
    </w:p>
    <w:p w14:paraId="4797A8DA" w14:textId="77777777" w:rsidR="00DF61BC" w:rsidRPr="007709B8" w:rsidRDefault="00DF61BC" w:rsidP="00AE7582">
      <w:pPr>
        <w:pStyle w:val="ListBullet"/>
      </w:pPr>
      <w:r w:rsidRPr="007709B8">
        <w:t>5 preliminary Phase I dose-finding studies (l</w:t>
      </w:r>
      <w:r w:rsidR="00AE7582" w:rsidRPr="007709B8">
        <w:t>egacy studies)</w:t>
      </w:r>
    </w:p>
    <w:p w14:paraId="20358F96" w14:textId="77777777" w:rsidR="00DF61BC" w:rsidRPr="007709B8" w:rsidRDefault="00DF61BC" w:rsidP="00AE7582">
      <w:pPr>
        <w:pStyle w:val="ListBullet"/>
      </w:pPr>
      <w:r w:rsidRPr="007709B8">
        <w:t>1 supportive Phase II clinical efficacy and sa</w:t>
      </w:r>
      <w:r w:rsidR="00AE7582" w:rsidRPr="007709B8">
        <w:t>fety study in Japanese patients</w:t>
      </w:r>
    </w:p>
    <w:p w14:paraId="41D21F8B" w14:textId="77777777" w:rsidR="00DF61BC" w:rsidRPr="007709B8" w:rsidRDefault="00DF61BC" w:rsidP="00AE7582">
      <w:pPr>
        <w:pStyle w:val="ListBullet"/>
      </w:pPr>
      <w:r w:rsidRPr="007709B8">
        <w:t xml:space="preserve">1 integrated summary of efficacy, </w:t>
      </w:r>
      <w:r w:rsidR="00AE7582" w:rsidRPr="007709B8">
        <w:t>1 integrated summary of safety</w:t>
      </w:r>
    </w:p>
    <w:p w14:paraId="3510FE39" w14:textId="77777777" w:rsidR="00DF61BC" w:rsidRPr="007709B8" w:rsidRDefault="00DF61BC" w:rsidP="00AE7582">
      <w:pPr>
        <w:pStyle w:val="ListBullet"/>
      </w:pPr>
      <w:r w:rsidRPr="005C2FCA">
        <w:t>In vitro</w:t>
      </w:r>
      <w:r w:rsidRPr="007709B8">
        <w:t xml:space="preserve"> human biomaterial studies, and </w:t>
      </w:r>
      <w:r w:rsidRPr="005C2FCA">
        <w:t>in vitro</w:t>
      </w:r>
      <w:r w:rsidR="00AE7582" w:rsidRPr="007709B8">
        <w:t xml:space="preserve"> bioanalytical reports</w:t>
      </w:r>
    </w:p>
    <w:p w14:paraId="67F5ABAB" w14:textId="77777777" w:rsidR="00586F98" w:rsidRPr="007709B8" w:rsidRDefault="00586F98" w:rsidP="00955252">
      <w:pPr>
        <w:pStyle w:val="Heading3"/>
      </w:pPr>
      <w:bookmarkStart w:id="27" w:name="_Toc510016864"/>
      <w:r w:rsidRPr="007709B8">
        <w:t>Paediatric data</w:t>
      </w:r>
      <w:bookmarkEnd w:id="27"/>
    </w:p>
    <w:p w14:paraId="56C7AC97" w14:textId="172138FE" w:rsidR="00DF61BC" w:rsidRPr="007709B8" w:rsidRDefault="00DF61BC" w:rsidP="0085068D">
      <w:pPr>
        <w:rPr>
          <w:color w:val="000000"/>
        </w:rPr>
      </w:pPr>
      <w:r w:rsidRPr="007709B8">
        <w:rPr>
          <w:color w:val="000000"/>
        </w:rPr>
        <w:t>The submission did not include paediatric data. No paediatric data were submitted to the EMA or the FDA. The sponsor states that it has a waiver from having to submit a Paediatric Investigation Plan (PIP) in Europe as the proposed indication in that jurisdiction is considered to be a waived condition (</w:t>
      </w:r>
      <w:r w:rsidR="00B2072D" w:rsidRPr="007709B8">
        <w:rPr>
          <w:color w:val="000000"/>
        </w:rPr>
        <w:t>that is,</w:t>
      </w:r>
      <w:r w:rsidRPr="007709B8">
        <w:rPr>
          <w:color w:val="000000"/>
        </w:rPr>
        <w:t xml:space="preserve"> adenocarcinoma of the colon and rectum). The sponsor also states that it has a waiver from the FDA from having to submit paediatric studies.</w:t>
      </w:r>
    </w:p>
    <w:p w14:paraId="45350528" w14:textId="7F779A15" w:rsidR="0085068D" w:rsidRPr="00AB478B" w:rsidRDefault="00DF61BC" w:rsidP="00AB478B">
      <w:pPr>
        <w:pStyle w:val="Comment"/>
      </w:pPr>
      <w:r w:rsidRPr="00AB478B">
        <w:rPr>
          <w:b/>
        </w:rPr>
        <w:t>Comment:</w:t>
      </w:r>
      <w:r w:rsidRPr="00AB478B">
        <w:t xml:space="preserve"> The absence of paediatric data from the submission to the TGA is considered to be acceptable. The relevant indication is considered to occur</w:t>
      </w:r>
      <w:r w:rsidR="00ED2BC9">
        <w:t xml:space="preserve"> almost exclusively in adults.</w:t>
      </w:r>
    </w:p>
    <w:p w14:paraId="1E13A361" w14:textId="77777777" w:rsidR="00586F98" w:rsidRPr="007709B8" w:rsidRDefault="00586F98" w:rsidP="00955252">
      <w:pPr>
        <w:pStyle w:val="Heading3"/>
      </w:pPr>
      <w:bookmarkStart w:id="28" w:name="_Toc510016865"/>
      <w:r w:rsidRPr="007709B8">
        <w:lastRenderedPageBreak/>
        <w:t>Good clinical practice</w:t>
      </w:r>
      <w:bookmarkEnd w:id="28"/>
    </w:p>
    <w:p w14:paraId="726F7D87" w14:textId="06EC74E1" w:rsidR="0085068D" w:rsidRPr="007709B8" w:rsidRDefault="00DF61BC" w:rsidP="0085068D">
      <w:pPr>
        <w:rPr>
          <w:color w:val="000000"/>
          <w:szCs w:val="23"/>
        </w:rPr>
      </w:pPr>
      <w:r w:rsidRPr="007709B8">
        <w:rPr>
          <w:color w:val="000000"/>
          <w:szCs w:val="23"/>
        </w:rPr>
        <w:t xml:space="preserve">The sponsor stated that </w:t>
      </w:r>
      <w:r w:rsidR="00842E8F" w:rsidRPr="007709B8">
        <w:rPr>
          <w:color w:val="000000"/>
          <w:szCs w:val="23"/>
        </w:rPr>
        <w:t>‘</w:t>
      </w:r>
      <w:r w:rsidR="00A0007E" w:rsidRPr="007709B8">
        <w:rPr>
          <w:color w:val="000000"/>
          <w:szCs w:val="23"/>
        </w:rPr>
        <w:t>(</w:t>
      </w:r>
      <w:r w:rsidRPr="007709B8">
        <w:rPr>
          <w:color w:val="000000"/>
          <w:szCs w:val="23"/>
        </w:rPr>
        <w:t>a</w:t>
      </w:r>
      <w:r w:rsidR="00A0007E" w:rsidRPr="007709B8">
        <w:rPr>
          <w:color w:val="000000"/>
          <w:szCs w:val="23"/>
        </w:rPr>
        <w:t>)</w:t>
      </w:r>
      <w:r w:rsidRPr="007709B8">
        <w:rPr>
          <w:color w:val="000000"/>
          <w:szCs w:val="23"/>
        </w:rPr>
        <w:t>ll completed and ongoing clinical studies of TAS-102 have been performed in accordance with International Conference on Harmonisation (ICH) Good Clini</w:t>
      </w:r>
      <w:r w:rsidR="00A03D42" w:rsidRPr="007709B8">
        <w:rPr>
          <w:color w:val="000000"/>
          <w:szCs w:val="23"/>
        </w:rPr>
        <w:t>cal Practice (GCP) guidelines</w:t>
      </w:r>
      <w:r w:rsidR="00842E8F" w:rsidRPr="007709B8">
        <w:rPr>
          <w:color w:val="000000"/>
          <w:szCs w:val="23"/>
        </w:rPr>
        <w:t>’</w:t>
      </w:r>
      <w:r w:rsidR="00A03D42" w:rsidRPr="007709B8">
        <w:rPr>
          <w:color w:val="000000"/>
          <w:szCs w:val="23"/>
        </w:rPr>
        <w:t>.</w:t>
      </w:r>
    </w:p>
    <w:p w14:paraId="3A2F9436" w14:textId="2A5F0E8B" w:rsidR="00166DA5" w:rsidRPr="007709B8" w:rsidRDefault="00586F98" w:rsidP="00955252">
      <w:pPr>
        <w:pStyle w:val="Heading2"/>
      </w:pPr>
      <w:bookmarkStart w:id="29" w:name="_Toc355338639"/>
      <w:bookmarkStart w:id="30" w:name="_Toc510016866"/>
      <w:r w:rsidRPr="007709B8">
        <w:t>Pharmacokinetics</w:t>
      </w:r>
      <w:bookmarkEnd w:id="29"/>
      <w:bookmarkEnd w:id="30"/>
    </w:p>
    <w:p w14:paraId="4E55B24F" w14:textId="77777777" w:rsidR="00DF61BC" w:rsidRPr="007709B8" w:rsidRDefault="00DF61BC" w:rsidP="00955252">
      <w:pPr>
        <w:pStyle w:val="Heading3"/>
      </w:pPr>
      <w:bookmarkStart w:id="31" w:name="_Ref271017296"/>
      <w:bookmarkStart w:id="32" w:name="_Ref271018924"/>
      <w:bookmarkStart w:id="33" w:name="_Ref271018934"/>
      <w:bookmarkStart w:id="34" w:name="_Toc272414614"/>
      <w:bookmarkStart w:id="35" w:name="_Toc290846238"/>
      <w:bookmarkStart w:id="36" w:name="_Toc470948466"/>
      <w:bookmarkStart w:id="37" w:name="_Toc510016867"/>
      <w:r w:rsidRPr="007709B8">
        <w:t>Studies</w:t>
      </w:r>
      <w:bookmarkEnd w:id="31"/>
      <w:bookmarkEnd w:id="32"/>
      <w:bookmarkEnd w:id="33"/>
      <w:r w:rsidRPr="007709B8">
        <w:t xml:space="preserve"> providing pharmacokinetic data</w:t>
      </w:r>
      <w:bookmarkEnd w:id="34"/>
      <w:bookmarkEnd w:id="35"/>
      <w:bookmarkEnd w:id="36"/>
      <w:bookmarkEnd w:id="37"/>
    </w:p>
    <w:p w14:paraId="48A6609B" w14:textId="384C9CA1" w:rsidR="00DF61BC" w:rsidRPr="007709B8" w:rsidRDefault="00DF61BC" w:rsidP="00955252">
      <w:pPr>
        <w:pStyle w:val="Heading4"/>
      </w:pPr>
      <w:bookmarkStart w:id="38" w:name="_Toc470948467"/>
      <w:r w:rsidRPr="007709B8">
        <w:t>Clinical studies</w:t>
      </w:r>
      <w:bookmarkEnd w:id="38"/>
    </w:p>
    <w:p w14:paraId="31D50755" w14:textId="5CE72F4A" w:rsidR="00DF61BC" w:rsidRPr="007709B8" w:rsidRDefault="00DF61BC" w:rsidP="00083CFA">
      <w:pPr>
        <w:autoSpaceDE w:val="0"/>
        <w:autoSpaceDN w:val="0"/>
        <w:adjustRightInd w:val="0"/>
        <w:spacing w:before="0" w:line="240" w:lineRule="auto"/>
        <w:rPr>
          <w:rFonts w:eastAsia="Times New Roman"/>
          <w:kern w:val="16"/>
          <w:szCs w:val="24"/>
          <w:lang w:eastAsia="en-AU"/>
        </w:rPr>
      </w:pPr>
      <w:r w:rsidRPr="007709B8">
        <w:rPr>
          <w:rFonts w:eastAsia="Times New Roman"/>
          <w:kern w:val="16"/>
          <w:lang w:eastAsia="en-AU"/>
        </w:rPr>
        <w:t xml:space="preserve">The PK and tolerability profile of TAS-102 in patients with cancer have been assessed in 11 TAS-102 clinical pharmacology studies. These 11 studies included 5 initial dose-finding Phase I studies (legacy studies) conducted in the United States (US), and 6 Phase I studies providing the key PK data for TAS-102. In addition, the submission also included a population PK study </w:t>
      </w:r>
      <w:r w:rsidR="00991E93" w:rsidRPr="007709B8">
        <w:rPr>
          <w:rFonts w:eastAsia="Times New Roman"/>
          <w:kern w:val="16"/>
          <w:lang w:eastAsia="en-AU"/>
        </w:rPr>
        <w:t xml:space="preserve">(Study </w:t>
      </w:r>
      <w:r w:rsidRPr="007709B8">
        <w:rPr>
          <w:rFonts w:eastAsia="Times New Roman"/>
          <w:kern w:val="16"/>
          <w:lang w:eastAsia="en-AU"/>
        </w:rPr>
        <w:t>12DA25</w:t>
      </w:r>
      <w:r w:rsidR="00991E93" w:rsidRPr="007709B8">
        <w:rPr>
          <w:rFonts w:eastAsia="Times New Roman"/>
          <w:kern w:val="16"/>
          <w:lang w:eastAsia="en-AU"/>
        </w:rPr>
        <w:t>)</w:t>
      </w:r>
      <w:r w:rsidRPr="007709B8">
        <w:rPr>
          <w:rFonts w:eastAsia="Times New Roman"/>
          <w:kern w:val="16"/>
          <w:lang w:eastAsia="en-AU"/>
        </w:rPr>
        <w:t xml:space="preserve">. </w:t>
      </w:r>
      <w:r w:rsidRPr="007709B8">
        <w:rPr>
          <w:rFonts w:eastAsia="Times New Roman"/>
          <w:kern w:val="16"/>
          <w:szCs w:val="24"/>
          <w:lang w:eastAsia="en-AU"/>
        </w:rPr>
        <w:t>All clinical pharmacology studies were undertaken in patients with advanced solid tumours. There were no clinical pharmacology studies in healthy volunteers, which is acceptable for the investigation of the PK of a cytotoxic compound.</w:t>
      </w:r>
    </w:p>
    <w:p w14:paraId="5487065E" w14:textId="77777777" w:rsidR="00DF61BC" w:rsidRPr="007709B8" w:rsidRDefault="00DF61BC" w:rsidP="00083CF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line="240" w:lineRule="auto"/>
        <w:rPr>
          <w:rFonts w:eastAsia="Times New Roman"/>
          <w:kern w:val="16"/>
          <w:lang w:eastAsia="en-AU"/>
        </w:rPr>
      </w:pPr>
      <w:r w:rsidRPr="007709B8">
        <w:rPr>
          <w:rFonts w:eastAsia="Times New Roman"/>
          <w:lang w:eastAsia="en-AU"/>
        </w:rPr>
        <w:t>The sponsor stated that the clinical pharmacology program was developed to:</w:t>
      </w:r>
    </w:p>
    <w:p w14:paraId="5B0C30B8" w14:textId="77777777" w:rsidR="00DF61BC" w:rsidRPr="007709B8" w:rsidRDefault="00DF61BC" w:rsidP="00083CFA">
      <w:pPr>
        <w:pStyle w:val="ListBullet"/>
      </w:pPr>
      <w:r w:rsidRPr="007709B8">
        <w:t>establish the tolerability of TAS-102 at a dose of 35 mg/m</w:t>
      </w:r>
      <w:r w:rsidRPr="007709B8">
        <w:rPr>
          <w:vertAlign w:val="superscript"/>
        </w:rPr>
        <w:t>2</w:t>
      </w:r>
      <w:r w:rsidRPr="007709B8">
        <w:t xml:space="preserve"> BD in patients with solid tumours;</w:t>
      </w:r>
    </w:p>
    <w:p w14:paraId="7DB5E43F" w14:textId="77777777" w:rsidR="00DF61BC" w:rsidRPr="007709B8" w:rsidRDefault="00DF61BC" w:rsidP="00083CFA">
      <w:pPr>
        <w:pStyle w:val="ListBullet"/>
      </w:pPr>
      <w:r w:rsidRPr="007709B8">
        <w:t>demonstrate the effect of tipiracil (TPI) on the PK of trifluridine (FTD);</w:t>
      </w:r>
    </w:p>
    <w:p w14:paraId="46024A2F" w14:textId="77777777" w:rsidR="00DF61BC" w:rsidRPr="007709B8" w:rsidRDefault="00DF61BC" w:rsidP="00083CFA">
      <w:pPr>
        <w:pStyle w:val="ListBullet"/>
      </w:pPr>
      <w:r w:rsidRPr="007709B8">
        <w:t>establish the relative bioavailability of TAS-102;</w:t>
      </w:r>
    </w:p>
    <w:p w14:paraId="60E4CC4E" w14:textId="77777777" w:rsidR="00DF61BC" w:rsidRPr="007709B8" w:rsidRDefault="00DF61BC" w:rsidP="00083CFA">
      <w:pPr>
        <w:pStyle w:val="ListBullet"/>
      </w:pPr>
      <w:r w:rsidRPr="007709B8">
        <w:t>investigate the effect of food on the PK of TAS-102;</w:t>
      </w:r>
    </w:p>
    <w:p w14:paraId="447EC75E" w14:textId="2C0E0F0A" w:rsidR="00DF61BC" w:rsidRPr="007709B8" w:rsidRDefault="00DF61BC" w:rsidP="00083CFA">
      <w:pPr>
        <w:pStyle w:val="ListBullet"/>
      </w:pPr>
      <w:r w:rsidRPr="007709B8">
        <w:t>evaluate the QT corrected for heart rate (QTc) prolongation potential of TAS-102; and</w:t>
      </w:r>
    </w:p>
    <w:p w14:paraId="4EB344BA" w14:textId="3263AE5A" w:rsidR="00DF61BC" w:rsidRPr="007709B8" w:rsidRDefault="00DF61BC" w:rsidP="00083CFA">
      <w:pPr>
        <w:pStyle w:val="ListBullet"/>
      </w:pPr>
      <w:r w:rsidRPr="007709B8">
        <w:t>assess the intrinsic and extrinsic factors that might influence the PK of TAS-102 based on a population PK analysis.</w:t>
      </w:r>
    </w:p>
    <w:p w14:paraId="4E607CC5" w14:textId="3524839E" w:rsidR="00DF61BC" w:rsidRPr="007709B8" w:rsidRDefault="00DF61BC" w:rsidP="00A03D42">
      <w:pPr>
        <w:pStyle w:val="Heading5"/>
        <w:rPr>
          <w:lang w:eastAsia="en-AU"/>
        </w:rPr>
      </w:pPr>
      <w:r w:rsidRPr="007709B8">
        <w:rPr>
          <w:lang w:eastAsia="en-AU"/>
        </w:rPr>
        <w:t>Key PK clinical studies (6 studies)</w:t>
      </w:r>
    </w:p>
    <w:p w14:paraId="669F6C4D" w14:textId="54DA24D5" w:rsidR="00DF61BC" w:rsidRPr="007709B8" w:rsidRDefault="00DF61BC" w:rsidP="00DF61BC">
      <w:pPr>
        <w:autoSpaceDE w:val="0"/>
        <w:autoSpaceDN w:val="0"/>
        <w:adjustRightInd w:val="0"/>
        <w:spacing w:before="0" w:line="240" w:lineRule="auto"/>
        <w:jc w:val="both"/>
        <w:rPr>
          <w:rFonts w:eastAsia="Times New Roman"/>
          <w:kern w:val="16"/>
          <w:szCs w:val="24"/>
          <w:lang w:eastAsia="en-AU"/>
        </w:rPr>
      </w:pPr>
      <w:r w:rsidRPr="007709B8">
        <w:rPr>
          <w:rFonts w:eastAsia="Times New Roman"/>
          <w:kern w:val="16"/>
          <w:lang w:eastAsia="en-AU"/>
        </w:rPr>
        <w:t>The 6 key PK studies are briefly summarised below</w:t>
      </w:r>
      <w:r w:rsidRPr="007709B8">
        <w:rPr>
          <w:rFonts w:eastAsia="Times New Roman"/>
          <w:kern w:val="16"/>
          <w:szCs w:val="24"/>
          <w:lang w:eastAsia="en-AU"/>
        </w:rPr>
        <w:t>.</w:t>
      </w:r>
    </w:p>
    <w:p w14:paraId="0D0AC4E8" w14:textId="4FC3D073" w:rsidR="00551B28" w:rsidRPr="007709B8" w:rsidRDefault="00551B28">
      <w:pPr>
        <w:spacing w:before="0" w:after="200" w:line="0" w:lineRule="auto"/>
        <w:rPr>
          <w:rFonts w:cstheme="minorBidi"/>
          <w:b/>
          <w:lang w:eastAsia="en-AU"/>
        </w:rPr>
      </w:pPr>
      <w:bookmarkStart w:id="39" w:name="_Toc470948650"/>
    </w:p>
    <w:p w14:paraId="7130A037" w14:textId="6CC70D59" w:rsidR="00DF61BC" w:rsidRPr="007709B8" w:rsidRDefault="00DF61BC" w:rsidP="0058475B">
      <w:pPr>
        <w:pStyle w:val="Tabletitle"/>
        <w:rPr>
          <w:lang w:eastAsia="en-AU"/>
        </w:rPr>
      </w:pPr>
      <w:r w:rsidRPr="007709B8">
        <w:rPr>
          <w:lang w:eastAsia="en-AU"/>
        </w:rPr>
        <w:t xml:space="preserve">Table </w:t>
      </w:r>
      <w:r w:rsidR="00551B28" w:rsidRPr="007709B8">
        <w:rPr>
          <w:lang w:eastAsia="en-AU"/>
        </w:rPr>
        <w:t xml:space="preserve">1: </w:t>
      </w:r>
      <w:r w:rsidRPr="007709B8">
        <w:rPr>
          <w:lang w:eastAsia="en-AU"/>
        </w:rPr>
        <w:t>Key studies providing pharmacokinetic data.</w:t>
      </w:r>
      <w:bookmarkEnd w:id="39"/>
    </w:p>
    <w:tbl>
      <w:tblPr>
        <w:tblStyle w:val="TableGrid7"/>
        <w:tblW w:w="9322" w:type="dxa"/>
        <w:tblLayout w:type="fixed"/>
        <w:tblLook w:val="04A0" w:firstRow="1" w:lastRow="0" w:firstColumn="1" w:lastColumn="0" w:noHBand="0" w:noVBand="1"/>
        <w:tblDescription w:val="Table 1: Key studies providing pharmacokinetic data."/>
      </w:tblPr>
      <w:tblGrid>
        <w:gridCol w:w="1242"/>
        <w:gridCol w:w="1418"/>
        <w:gridCol w:w="1984"/>
        <w:gridCol w:w="993"/>
        <w:gridCol w:w="3685"/>
      </w:tblGrid>
      <w:tr w:rsidR="00DF61BC" w:rsidRPr="007709B8" w14:paraId="11BC269C" w14:textId="77777777" w:rsidTr="005C2FCA">
        <w:trPr>
          <w:cantSplit/>
          <w:trHeight w:val="368"/>
          <w:tblHeader/>
        </w:trPr>
        <w:tc>
          <w:tcPr>
            <w:tcW w:w="1242" w:type="dxa"/>
            <w:shd w:val="clear" w:color="auto" w:fill="auto"/>
          </w:tcPr>
          <w:p w14:paraId="717F5710" w14:textId="77777777" w:rsidR="00DF61BC" w:rsidRPr="007709B8" w:rsidRDefault="00DF61BC" w:rsidP="00551B28">
            <w:pPr>
              <w:keepNext/>
              <w:autoSpaceDE w:val="0"/>
              <w:autoSpaceDN w:val="0"/>
              <w:adjustRightInd w:val="0"/>
              <w:spacing w:before="0" w:after="0" w:line="240" w:lineRule="auto"/>
              <w:ind w:left="170" w:right="170"/>
              <w:rPr>
                <w:rFonts w:eastAsia="Times New Roman"/>
                <w:b/>
                <w:kern w:val="16"/>
                <w:sz w:val="18"/>
                <w:szCs w:val="18"/>
              </w:rPr>
            </w:pPr>
            <w:r w:rsidRPr="007709B8">
              <w:rPr>
                <w:rFonts w:eastAsia="Times New Roman"/>
                <w:b/>
                <w:kern w:val="16"/>
                <w:sz w:val="18"/>
                <w:szCs w:val="18"/>
              </w:rPr>
              <w:t xml:space="preserve">Study </w:t>
            </w:r>
          </w:p>
        </w:tc>
        <w:tc>
          <w:tcPr>
            <w:tcW w:w="1418" w:type="dxa"/>
            <w:shd w:val="clear" w:color="auto" w:fill="auto"/>
          </w:tcPr>
          <w:p w14:paraId="3D3BEF08" w14:textId="77777777" w:rsidR="00DF61BC" w:rsidRPr="007709B8" w:rsidRDefault="00DF61BC" w:rsidP="00551B28">
            <w:pPr>
              <w:keepNext/>
              <w:autoSpaceDE w:val="0"/>
              <w:autoSpaceDN w:val="0"/>
              <w:adjustRightInd w:val="0"/>
              <w:spacing w:before="0" w:after="0" w:line="240" w:lineRule="auto"/>
              <w:ind w:left="170" w:right="170"/>
              <w:rPr>
                <w:rFonts w:eastAsia="Times New Roman"/>
                <w:b/>
                <w:kern w:val="16"/>
                <w:sz w:val="18"/>
                <w:szCs w:val="18"/>
              </w:rPr>
            </w:pPr>
            <w:r w:rsidRPr="007709B8">
              <w:rPr>
                <w:rFonts w:eastAsia="Times New Roman"/>
                <w:b/>
                <w:kern w:val="16"/>
                <w:sz w:val="18"/>
                <w:szCs w:val="18"/>
              </w:rPr>
              <w:t>Purpose</w:t>
            </w:r>
          </w:p>
        </w:tc>
        <w:tc>
          <w:tcPr>
            <w:tcW w:w="1984" w:type="dxa"/>
            <w:shd w:val="clear" w:color="auto" w:fill="auto"/>
          </w:tcPr>
          <w:p w14:paraId="3F4DE73D" w14:textId="77777777" w:rsidR="00DF61BC" w:rsidRPr="007709B8" w:rsidRDefault="00DF61BC" w:rsidP="00551B28">
            <w:pPr>
              <w:keepNext/>
              <w:autoSpaceDE w:val="0"/>
              <w:autoSpaceDN w:val="0"/>
              <w:adjustRightInd w:val="0"/>
              <w:spacing w:before="0" w:after="0" w:line="240" w:lineRule="auto"/>
              <w:ind w:left="170" w:right="170"/>
              <w:rPr>
                <w:rFonts w:eastAsia="Times New Roman"/>
                <w:b/>
                <w:kern w:val="16"/>
                <w:sz w:val="18"/>
                <w:szCs w:val="18"/>
              </w:rPr>
            </w:pPr>
            <w:r w:rsidRPr="007709B8">
              <w:rPr>
                <w:rFonts w:eastAsia="Times New Roman"/>
                <w:b/>
                <w:kern w:val="16"/>
                <w:sz w:val="18"/>
                <w:szCs w:val="18"/>
              </w:rPr>
              <w:t xml:space="preserve">Population </w:t>
            </w:r>
          </w:p>
        </w:tc>
        <w:tc>
          <w:tcPr>
            <w:tcW w:w="993" w:type="dxa"/>
            <w:shd w:val="clear" w:color="auto" w:fill="auto"/>
          </w:tcPr>
          <w:p w14:paraId="2AACE721" w14:textId="77777777" w:rsidR="00DF61BC" w:rsidRPr="007709B8" w:rsidRDefault="00DF61BC" w:rsidP="00551B28">
            <w:pPr>
              <w:keepNext/>
              <w:autoSpaceDE w:val="0"/>
              <w:autoSpaceDN w:val="0"/>
              <w:adjustRightInd w:val="0"/>
              <w:spacing w:before="0" w:after="0" w:line="240" w:lineRule="auto"/>
              <w:ind w:left="170" w:right="170"/>
              <w:rPr>
                <w:rFonts w:eastAsia="Times New Roman"/>
                <w:b/>
                <w:kern w:val="16"/>
                <w:sz w:val="18"/>
                <w:szCs w:val="18"/>
              </w:rPr>
            </w:pPr>
            <w:r w:rsidRPr="007709B8">
              <w:rPr>
                <w:rFonts w:eastAsia="Times New Roman"/>
                <w:b/>
                <w:kern w:val="16"/>
                <w:sz w:val="18"/>
                <w:szCs w:val="18"/>
              </w:rPr>
              <w:t>N (PK)</w:t>
            </w:r>
          </w:p>
        </w:tc>
        <w:tc>
          <w:tcPr>
            <w:tcW w:w="3685" w:type="dxa"/>
            <w:shd w:val="clear" w:color="auto" w:fill="auto"/>
          </w:tcPr>
          <w:p w14:paraId="462B99E8" w14:textId="77777777" w:rsidR="00DF61BC" w:rsidRPr="007709B8" w:rsidRDefault="00DF61BC" w:rsidP="00551B28">
            <w:pPr>
              <w:keepNext/>
              <w:autoSpaceDE w:val="0"/>
              <w:autoSpaceDN w:val="0"/>
              <w:adjustRightInd w:val="0"/>
              <w:spacing w:before="0" w:after="0" w:line="240" w:lineRule="auto"/>
              <w:ind w:left="170" w:right="170"/>
              <w:rPr>
                <w:rFonts w:eastAsia="Times New Roman"/>
                <w:b/>
                <w:kern w:val="16"/>
                <w:sz w:val="18"/>
                <w:szCs w:val="18"/>
              </w:rPr>
            </w:pPr>
            <w:r w:rsidRPr="007709B8">
              <w:rPr>
                <w:rFonts w:eastAsia="Times New Roman"/>
                <w:b/>
                <w:kern w:val="16"/>
                <w:sz w:val="18"/>
                <w:szCs w:val="18"/>
              </w:rPr>
              <w:t xml:space="preserve">Dose </w:t>
            </w:r>
          </w:p>
        </w:tc>
      </w:tr>
      <w:tr w:rsidR="00DF61BC" w:rsidRPr="007709B8" w14:paraId="4FE77CE2" w14:textId="77777777" w:rsidTr="00551B28">
        <w:tc>
          <w:tcPr>
            <w:tcW w:w="1242" w:type="dxa"/>
            <w:shd w:val="clear" w:color="auto" w:fill="auto"/>
          </w:tcPr>
          <w:p w14:paraId="7A21F387" w14:textId="071BBF3F" w:rsidR="00DF61BC" w:rsidRPr="007709B8" w:rsidRDefault="00DF61BC" w:rsidP="00955252">
            <w:pPr>
              <w:spacing w:before="0" w:after="0" w:line="240" w:lineRule="auto"/>
              <w:rPr>
                <w:rFonts w:asciiTheme="minorHAnsi" w:eastAsia="Times New Roman" w:hAnsiTheme="minorHAnsi" w:cs="Calibri"/>
                <w:kern w:val="16"/>
                <w:sz w:val="18"/>
                <w:szCs w:val="18"/>
              </w:rPr>
            </w:pPr>
            <w:r w:rsidRPr="007709B8">
              <w:rPr>
                <w:rFonts w:asciiTheme="minorHAnsi" w:eastAsia="Times New Roman" w:hAnsiTheme="minorHAnsi" w:cs="Calibri"/>
                <w:kern w:val="16"/>
                <w:sz w:val="18"/>
                <w:szCs w:val="18"/>
              </w:rPr>
              <w:t>TPU-TAS</w:t>
            </w:r>
            <w:r w:rsidR="00955252" w:rsidRPr="007709B8">
              <w:rPr>
                <w:rFonts w:asciiTheme="minorHAnsi" w:eastAsia="Times New Roman" w:hAnsiTheme="minorHAnsi" w:cs="Calibri"/>
                <w:kern w:val="16"/>
                <w:sz w:val="18"/>
                <w:szCs w:val="18"/>
              </w:rPr>
              <w:t xml:space="preserve"> </w:t>
            </w:r>
            <w:r w:rsidRPr="007709B8">
              <w:rPr>
                <w:rFonts w:asciiTheme="minorHAnsi" w:eastAsia="Times New Roman" w:hAnsiTheme="minorHAnsi" w:cs="Calibri"/>
                <w:kern w:val="16"/>
                <w:sz w:val="18"/>
                <w:szCs w:val="18"/>
              </w:rPr>
              <w:t xml:space="preserve">102-104. </w:t>
            </w:r>
            <w:r w:rsidR="00842E8F" w:rsidRPr="007709B8">
              <w:rPr>
                <w:rFonts w:asciiTheme="minorHAnsi" w:eastAsia="Times New Roman" w:hAnsiTheme="minorHAnsi" w:cs="Calibri"/>
                <w:kern w:val="16"/>
                <w:sz w:val="18"/>
                <w:szCs w:val="18"/>
              </w:rPr>
              <w:t>Phase I</w:t>
            </w:r>
          </w:p>
        </w:tc>
        <w:tc>
          <w:tcPr>
            <w:tcW w:w="1418" w:type="dxa"/>
            <w:shd w:val="clear" w:color="auto" w:fill="auto"/>
          </w:tcPr>
          <w:p w14:paraId="03887F7A" w14:textId="4E8499CB" w:rsidR="00DF61BC" w:rsidRPr="007709B8" w:rsidRDefault="00DF61BC" w:rsidP="00551B28">
            <w:pPr>
              <w:spacing w:before="0" w:after="0" w:line="240" w:lineRule="auto"/>
              <w:rPr>
                <w:rFonts w:asciiTheme="minorHAnsi" w:eastAsia="Times New Roman" w:hAnsiTheme="minorHAnsi" w:cs="Calibri"/>
                <w:kern w:val="16"/>
                <w:sz w:val="18"/>
                <w:szCs w:val="18"/>
              </w:rPr>
            </w:pPr>
            <w:r w:rsidRPr="007709B8">
              <w:rPr>
                <w:rFonts w:asciiTheme="minorHAnsi" w:eastAsia="Times New Roman" w:hAnsiTheme="minorHAnsi" w:cs="Calibri"/>
                <w:kern w:val="16"/>
                <w:sz w:val="18"/>
                <w:szCs w:val="18"/>
              </w:rPr>
              <w:t>Relative BA</w:t>
            </w:r>
          </w:p>
        </w:tc>
        <w:tc>
          <w:tcPr>
            <w:tcW w:w="1984" w:type="dxa"/>
            <w:shd w:val="clear" w:color="auto" w:fill="auto"/>
          </w:tcPr>
          <w:p w14:paraId="268F217F" w14:textId="77777777" w:rsidR="00DF61BC" w:rsidRPr="007709B8" w:rsidRDefault="00DF61BC" w:rsidP="00551B28">
            <w:pPr>
              <w:spacing w:before="0" w:after="0" w:line="240" w:lineRule="auto"/>
              <w:rPr>
                <w:rFonts w:asciiTheme="minorHAnsi" w:eastAsia="Times New Roman" w:hAnsiTheme="minorHAnsi" w:cs="Calibri"/>
                <w:kern w:val="16"/>
                <w:sz w:val="18"/>
                <w:szCs w:val="18"/>
              </w:rPr>
            </w:pPr>
            <w:r w:rsidRPr="007709B8">
              <w:rPr>
                <w:rFonts w:asciiTheme="minorHAnsi" w:eastAsia="Times New Roman" w:hAnsiTheme="minorHAnsi" w:cs="Calibri"/>
                <w:kern w:val="16"/>
                <w:sz w:val="18"/>
                <w:szCs w:val="18"/>
              </w:rPr>
              <w:t xml:space="preserve">US patients with advanced solid tumours (excluding breast) for which no standard therapy exists. Single-dose PK data. </w:t>
            </w:r>
          </w:p>
        </w:tc>
        <w:tc>
          <w:tcPr>
            <w:tcW w:w="993" w:type="dxa"/>
            <w:shd w:val="clear" w:color="auto" w:fill="auto"/>
          </w:tcPr>
          <w:p w14:paraId="5C04C520" w14:textId="500CECA4" w:rsidR="00DF61BC" w:rsidRPr="007709B8" w:rsidRDefault="00DF61BC" w:rsidP="00551B28">
            <w:pPr>
              <w:spacing w:before="0" w:after="0" w:line="240" w:lineRule="auto"/>
              <w:rPr>
                <w:rFonts w:asciiTheme="minorHAnsi" w:eastAsia="Times New Roman" w:hAnsiTheme="minorHAnsi" w:cs="Calibri"/>
                <w:kern w:val="16"/>
                <w:sz w:val="18"/>
                <w:szCs w:val="18"/>
              </w:rPr>
            </w:pPr>
            <w:r w:rsidRPr="007709B8">
              <w:rPr>
                <w:rFonts w:asciiTheme="minorHAnsi" w:eastAsia="Times New Roman" w:hAnsiTheme="minorHAnsi" w:cs="Calibri"/>
                <w:kern w:val="16"/>
                <w:sz w:val="18"/>
                <w:szCs w:val="18"/>
              </w:rPr>
              <w:t>38</w:t>
            </w:r>
          </w:p>
        </w:tc>
        <w:tc>
          <w:tcPr>
            <w:tcW w:w="3685" w:type="dxa"/>
            <w:shd w:val="clear" w:color="auto" w:fill="auto"/>
          </w:tcPr>
          <w:p w14:paraId="3E0B3B1C" w14:textId="1ADF3F00" w:rsidR="00DF61BC" w:rsidRPr="007709B8" w:rsidRDefault="00DF61BC" w:rsidP="00551B28">
            <w:pPr>
              <w:spacing w:before="0" w:after="0" w:line="240" w:lineRule="auto"/>
              <w:rPr>
                <w:rFonts w:asciiTheme="minorHAnsi" w:eastAsia="Times New Roman" w:hAnsiTheme="minorHAnsi" w:cs="Calibri"/>
                <w:kern w:val="16"/>
                <w:sz w:val="18"/>
                <w:szCs w:val="18"/>
              </w:rPr>
            </w:pPr>
            <w:r w:rsidRPr="007709B8">
              <w:rPr>
                <w:rFonts w:asciiTheme="minorHAnsi" w:eastAsia="Times New Roman" w:hAnsiTheme="minorHAnsi" w:cs="Calibri"/>
                <w:kern w:val="16"/>
                <w:sz w:val="18"/>
                <w:szCs w:val="18"/>
              </w:rPr>
              <w:t>TAS-102 (15, 20 mg) - 60 mg (3 x 20 mg tablets) and oral solution 60 mg/40 mL, single-dose, crossover, 7</w:t>
            </w:r>
            <w:r w:rsidR="009C0389" w:rsidRPr="007709B8">
              <w:rPr>
                <w:rFonts w:asciiTheme="minorHAnsi" w:eastAsia="Times New Roman" w:hAnsiTheme="minorHAnsi" w:cs="Calibri"/>
                <w:kern w:val="16"/>
                <w:sz w:val="18"/>
                <w:szCs w:val="18"/>
              </w:rPr>
              <w:t xml:space="preserve"> day</w:t>
            </w:r>
            <w:r w:rsidRPr="007709B8">
              <w:rPr>
                <w:rFonts w:asciiTheme="minorHAnsi" w:eastAsia="Times New Roman" w:hAnsiTheme="minorHAnsi" w:cs="Calibri"/>
                <w:kern w:val="16"/>
                <w:sz w:val="18"/>
                <w:szCs w:val="18"/>
              </w:rPr>
              <w:t xml:space="preserve"> washout, followed by OL extension.  </w:t>
            </w:r>
          </w:p>
        </w:tc>
      </w:tr>
      <w:tr w:rsidR="00DF61BC" w:rsidRPr="007709B8" w14:paraId="1153A013" w14:textId="77777777" w:rsidTr="00551B28">
        <w:tc>
          <w:tcPr>
            <w:tcW w:w="1242" w:type="dxa"/>
            <w:shd w:val="clear" w:color="auto" w:fill="auto"/>
          </w:tcPr>
          <w:p w14:paraId="7EAED086" w14:textId="01809A4D" w:rsidR="00DF61BC" w:rsidRPr="007709B8" w:rsidRDefault="00DF61BC" w:rsidP="00551B28">
            <w:pPr>
              <w:spacing w:before="0" w:after="0" w:line="240" w:lineRule="auto"/>
              <w:rPr>
                <w:rFonts w:asciiTheme="minorHAnsi" w:eastAsia="Times New Roman" w:hAnsiTheme="minorHAnsi" w:cs="Calibri"/>
                <w:kern w:val="16"/>
                <w:sz w:val="18"/>
                <w:szCs w:val="18"/>
              </w:rPr>
            </w:pPr>
            <w:r w:rsidRPr="007709B8">
              <w:rPr>
                <w:rFonts w:asciiTheme="minorHAnsi" w:eastAsia="Times New Roman" w:hAnsiTheme="minorHAnsi" w:cs="Calibri"/>
                <w:kern w:val="16"/>
                <w:sz w:val="18"/>
                <w:szCs w:val="18"/>
              </w:rPr>
              <w:t xml:space="preserve">J001-10040010. </w:t>
            </w:r>
            <w:r w:rsidR="00842E8F" w:rsidRPr="007709B8">
              <w:rPr>
                <w:rFonts w:asciiTheme="minorHAnsi" w:eastAsia="Times New Roman" w:hAnsiTheme="minorHAnsi" w:cs="Calibri"/>
                <w:kern w:val="16"/>
                <w:sz w:val="18"/>
                <w:szCs w:val="18"/>
              </w:rPr>
              <w:t>Phase I</w:t>
            </w:r>
            <w:r w:rsidRPr="007709B8">
              <w:rPr>
                <w:rFonts w:asciiTheme="minorHAnsi" w:eastAsia="Times New Roman" w:hAnsiTheme="minorHAnsi" w:cs="Calibri"/>
                <w:kern w:val="16"/>
                <w:sz w:val="18"/>
                <w:szCs w:val="18"/>
              </w:rPr>
              <w:t xml:space="preserve">. </w:t>
            </w:r>
          </w:p>
        </w:tc>
        <w:tc>
          <w:tcPr>
            <w:tcW w:w="1418" w:type="dxa"/>
            <w:shd w:val="clear" w:color="auto" w:fill="auto"/>
          </w:tcPr>
          <w:p w14:paraId="409DA085" w14:textId="77777777" w:rsidR="00AA7141" w:rsidRDefault="00DF61BC" w:rsidP="00551B28">
            <w:pPr>
              <w:spacing w:before="0" w:after="0" w:line="240" w:lineRule="auto"/>
              <w:rPr>
                <w:rFonts w:asciiTheme="minorHAnsi" w:eastAsia="Times New Roman" w:hAnsiTheme="minorHAnsi" w:cs="Calibri"/>
                <w:kern w:val="16"/>
                <w:sz w:val="18"/>
                <w:szCs w:val="18"/>
              </w:rPr>
            </w:pPr>
            <w:r w:rsidRPr="007709B8">
              <w:rPr>
                <w:rFonts w:asciiTheme="minorHAnsi" w:eastAsia="Times New Roman" w:hAnsiTheme="minorHAnsi" w:cs="Calibri"/>
                <w:kern w:val="16"/>
                <w:sz w:val="18"/>
                <w:szCs w:val="18"/>
              </w:rPr>
              <w:t>PK/ initial tolerability/</w:t>
            </w:r>
          </w:p>
          <w:p w14:paraId="17B9CFE1" w14:textId="737A9471" w:rsidR="00DF61BC" w:rsidRPr="007709B8" w:rsidRDefault="00DF61BC" w:rsidP="00551B28">
            <w:pPr>
              <w:spacing w:before="0" w:after="0" w:line="240" w:lineRule="auto"/>
              <w:rPr>
                <w:rFonts w:asciiTheme="minorHAnsi" w:eastAsia="Times New Roman" w:hAnsiTheme="minorHAnsi" w:cs="Calibri"/>
                <w:kern w:val="16"/>
                <w:sz w:val="18"/>
                <w:szCs w:val="18"/>
              </w:rPr>
            </w:pPr>
            <w:r w:rsidRPr="007709B8">
              <w:rPr>
                <w:rFonts w:asciiTheme="minorHAnsi" w:eastAsia="Times New Roman" w:hAnsiTheme="minorHAnsi" w:cs="Calibri"/>
                <w:kern w:val="16"/>
                <w:sz w:val="18"/>
                <w:szCs w:val="18"/>
              </w:rPr>
              <w:t>dose-finding</w:t>
            </w:r>
          </w:p>
        </w:tc>
        <w:tc>
          <w:tcPr>
            <w:tcW w:w="1984" w:type="dxa"/>
            <w:shd w:val="clear" w:color="auto" w:fill="auto"/>
          </w:tcPr>
          <w:p w14:paraId="4E68B91D" w14:textId="77777777" w:rsidR="00DF61BC" w:rsidRPr="007709B8" w:rsidRDefault="00DF61BC" w:rsidP="00551B28">
            <w:pPr>
              <w:spacing w:before="0" w:after="0" w:line="240" w:lineRule="auto"/>
              <w:rPr>
                <w:rFonts w:asciiTheme="minorHAnsi" w:eastAsia="Times New Roman" w:hAnsiTheme="minorHAnsi" w:cs="Calibri"/>
                <w:kern w:val="16"/>
                <w:sz w:val="18"/>
                <w:szCs w:val="18"/>
              </w:rPr>
            </w:pPr>
            <w:r w:rsidRPr="007709B8">
              <w:rPr>
                <w:rFonts w:asciiTheme="minorHAnsi" w:eastAsia="Times New Roman" w:hAnsiTheme="minorHAnsi" w:cs="Calibri"/>
                <w:kern w:val="16"/>
                <w:sz w:val="18"/>
                <w:szCs w:val="18"/>
              </w:rPr>
              <w:t xml:space="preserve">Japanese patients with confirmed solid tumours responding poorly to standard treatment. Single- and repeat-dose PK data. </w:t>
            </w:r>
          </w:p>
        </w:tc>
        <w:tc>
          <w:tcPr>
            <w:tcW w:w="993" w:type="dxa"/>
            <w:shd w:val="clear" w:color="auto" w:fill="auto"/>
          </w:tcPr>
          <w:p w14:paraId="658EDFCE" w14:textId="66DCF254" w:rsidR="00DF61BC" w:rsidRPr="007709B8" w:rsidRDefault="00DF61BC" w:rsidP="005C2FCA">
            <w:pPr>
              <w:autoSpaceDE w:val="0"/>
              <w:autoSpaceDN w:val="0"/>
              <w:adjustRightInd w:val="0"/>
              <w:spacing w:before="0" w:after="0" w:line="240" w:lineRule="auto"/>
              <w:rPr>
                <w:rFonts w:asciiTheme="minorHAnsi" w:eastAsia="Times New Roman" w:hAnsiTheme="minorHAnsi" w:cs="Calibri"/>
                <w:kern w:val="16"/>
                <w:sz w:val="18"/>
                <w:szCs w:val="18"/>
              </w:rPr>
            </w:pPr>
            <w:r w:rsidRPr="007709B8">
              <w:rPr>
                <w:rFonts w:asciiTheme="minorHAnsi" w:eastAsia="Times New Roman" w:hAnsiTheme="minorHAnsi" w:cs="Calibri"/>
                <w:color w:val="000000"/>
                <w:sz w:val="18"/>
                <w:szCs w:val="18"/>
              </w:rPr>
              <w:t>21</w:t>
            </w:r>
          </w:p>
        </w:tc>
        <w:tc>
          <w:tcPr>
            <w:tcW w:w="3685" w:type="dxa"/>
            <w:shd w:val="clear" w:color="auto" w:fill="auto"/>
          </w:tcPr>
          <w:p w14:paraId="352CC378" w14:textId="742ED21F" w:rsidR="00DF61BC" w:rsidRPr="007709B8" w:rsidRDefault="00DF61BC" w:rsidP="00551B28">
            <w:pPr>
              <w:spacing w:before="0" w:after="0" w:line="240" w:lineRule="auto"/>
              <w:rPr>
                <w:rFonts w:asciiTheme="minorHAnsi" w:eastAsia="Times New Roman" w:hAnsiTheme="minorHAnsi" w:cs="Calibri"/>
                <w:kern w:val="16"/>
                <w:sz w:val="18"/>
                <w:szCs w:val="18"/>
              </w:rPr>
            </w:pPr>
            <w:r w:rsidRPr="007709B8">
              <w:rPr>
                <w:rFonts w:asciiTheme="minorHAnsi" w:eastAsia="Times New Roman" w:hAnsiTheme="minorHAnsi" w:cs="Calibri"/>
                <w:kern w:val="16"/>
                <w:sz w:val="18"/>
                <w:szCs w:val="18"/>
              </w:rPr>
              <w:t>TAS-102 tablets (15, 20 mg) - escalating doses of 15 (</w:t>
            </w:r>
            <w:r w:rsidR="009C0389" w:rsidRPr="007709B8">
              <w:rPr>
                <w:rFonts w:asciiTheme="minorHAnsi" w:eastAsia="Times New Roman" w:hAnsiTheme="minorHAnsi" w:cs="Calibri"/>
                <w:kern w:val="16"/>
                <w:sz w:val="18"/>
                <w:szCs w:val="18"/>
              </w:rPr>
              <w:t xml:space="preserve">n = </w:t>
            </w:r>
            <w:r w:rsidRPr="007709B8">
              <w:rPr>
                <w:rFonts w:asciiTheme="minorHAnsi" w:eastAsia="Times New Roman" w:hAnsiTheme="minorHAnsi" w:cs="Calibri"/>
                <w:kern w:val="16"/>
                <w:sz w:val="18"/>
                <w:szCs w:val="18"/>
              </w:rPr>
              <w:t>6), 20 (</w:t>
            </w:r>
            <w:r w:rsidR="009C0389" w:rsidRPr="007709B8">
              <w:rPr>
                <w:rFonts w:asciiTheme="minorHAnsi" w:eastAsia="Times New Roman" w:hAnsiTheme="minorHAnsi" w:cs="Calibri"/>
                <w:kern w:val="16"/>
                <w:sz w:val="18"/>
                <w:szCs w:val="18"/>
              </w:rPr>
              <w:t xml:space="preserve">n = </w:t>
            </w:r>
            <w:r w:rsidRPr="007709B8">
              <w:rPr>
                <w:rFonts w:asciiTheme="minorHAnsi" w:eastAsia="Times New Roman" w:hAnsiTheme="minorHAnsi" w:cs="Calibri"/>
                <w:kern w:val="16"/>
                <w:sz w:val="18"/>
                <w:szCs w:val="18"/>
              </w:rPr>
              <w:t>3), 25 (</w:t>
            </w:r>
            <w:r w:rsidR="009C0389" w:rsidRPr="007709B8">
              <w:rPr>
                <w:rFonts w:asciiTheme="minorHAnsi" w:eastAsia="Times New Roman" w:hAnsiTheme="minorHAnsi" w:cs="Calibri"/>
                <w:kern w:val="16"/>
                <w:sz w:val="18"/>
                <w:szCs w:val="18"/>
              </w:rPr>
              <w:t xml:space="preserve">n = </w:t>
            </w:r>
            <w:r w:rsidRPr="007709B8">
              <w:rPr>
                <w:rFonts w:asciiTheme="minorHAnsi" w:eastAsia="Times New Roman" w:hAnsiTheme="minorHAnsi" w:cs="Calibri"/>
                <w:kern w:val="16"/>
                <w:sz w:val="18"/>
                <w:szCs w:val="18"/>
              </w:rPr>
              <w:t>3), 30 (</w:t>
            </w:r>
            <w:r w:rsidR="009C0389" w:rsidRPr="007709B8">
              <w:rPr>
                <w:rFonts w:asciiTheme="minorHAnsi" w:eastAsia="Times New Roman" w:hAnsiTheme="minorHAnsi" w:cs="Calibri"/>
                <w:kern w:val="16"/>
                <w:sz w:val="18"/>
                <w:szCs w:val="18"/>
              </w:rPr>
              <w:t xml:space="preserve">n = </w:t>
            </w:r>
            <w:r w:rsidRPr="007709B8">
              <w:rPr>
                <w:rFonts w:asciiTheme="minorHAnsi" w:eastAsia="Times New Roman" w:hAnsiTheme="minorHAnsi" w:cs="Calibri"/>
                <w:kern w:val="16"/>
                <w:sz w:val="18"/>
                <w:szCs w:val="18"/>
              </w:rPr>
              <w:t>3) and 35 (</w:t>
            </w:r>
            <w:r w:rsidR="009C0389" w:rsidRPr="007709B8">
              <w:rPr>
                <w:rFonts w:asciiTheme="minorHAnsi" w:eastAsia="Times New Roman" w:hAnsiTheme="minorHAnsi" w:cs="Calibri"/>
                <w:kern w:val="16"/>
                <w:sz w:val="18"/>
                <w:szCs w:val="18"/>
              </w:rPr>
              <w:t xml:space="preserve">n = </w:t>
            </w:r>
            <w:r w:rsidRPr="007709B8">
              <w:rPr>
                <w:rFonts w:asciiTheme="minorHAnsi" w:eastAsia="Times New Roman" w:hAnsiTheme="minorHAnsi" w:cs="Calibri"/>
                <w:kern w:val="16"/>
                <w:sz w:val="18"/>
                <w:szCs w:val="18"/>
              </w:rPr>
              <w:t>6) mg/m</w:t>
            </w:r>
            <w:r w:rsidRPr="007709B8">
              <w:rPr>
                <w:rFonts w:asciiTheme="minorHAnsi" w:eastAsia="Times New Roman" w:hAnsiTheme="minorHAnsi" w:cs="Calibri"/>
                <w:kern w:val="16"/>
                <w:sz w:val="18"/>
                <w:szCs w:val="18"/>
                <w:vertAlign w:val="superscript"/>
              </w:rPr>
              <w:t>2</w:t>
            </w:r>
            <w:r w:rsidRPr="007709B8">
              <w:rPr>
                <w:rFonts w:asciiTheme="minorHAnsi" w:eastAsia="Times New Roman" w:hAnsiTheme="minorHAnsi" w:cs="Calibri"/>
                <w:kern w:val="16"/>
                <w:sz w:val="18"/>
                <w:szCs w:val="18"/>
              </w:rPr>
              <w:t xml:space="preserve"> PO BD, proposed regimen. </w:t>
            </w:r>
          </w:p>
        </w:tc>
      </w:tr>
      <w:tr w:rsidR="00DF61BC" w:rsidRPr="00C94C33" w14:paraId="38B56F67" w14:textId="77777777" w:rsidTr="00551B28">
        <w:tc>
          <w:tcPr>
            <w:tcW w:w="1242" w:type="dxa"/>
            <w:shd w:val="clear" w:color="auto" w:fill="auto"/>
          </w:tcPr>
          <w:p w14:paraId="50BBBF1D" w14:textId="77777777" w:rsidR="00AA7141" w:rsidRDefault="00DF61BC" w:rsidP="00551B28">
            <w:pPr>
              <w:spacing w:before="0" w:after="0" w:line="240" w:lineRule="auto"/>
              <w:rPr>
                <w:rFonts w:asciiTheme="minorHAnsi" w:eastAsia="Times New Roman" w:hAnsiTheme="minorHAnsi" w:cs="Calibri"/>
                <w:kern w:val="16"/>
                <w:sz w:val="18"/>
                <w:szCs w:val="18"/>
              </w:rPr>
            </w:pPr>
            <w:r w:rsidRPr="007709B8">
              <w:rPr>
                <w:rFonts w:asciiTheme="minorHAnsi" w:eastAsia="Times New Roman" w:hAnsiTheme="minorHAnsi" w:cs="Calibri"/>
                <w:kern w:val="16"/>
                <w:sz w:val="18"/>
                <w:szCs w:val="18"/>
              </w:rPr>
              <w:t>J004-10040040.</w:t>
            </w:r>
          </w:p>
          <w:p w14:paraId="7543A310" w14:textId="7A23F6B0" w:rsidR="00DF61BC" w:rsidRPr="007709B8" w:rsidRDefault="00842E8F" w:rsidP="00551B28">
            <w:pPr>
              <w:spacing w:before="0" w:after="0" w:line="240" w:lineRule="auto"/>
              <w:rPr>
                <w:rFonts w:asciiTheme="minorHAnsi" w:eastAsia="Times New Roman" w:hAnsiTheme="minorHAnsi" w:cs="Calibri"/>
                <w:kern w:val="16"/>
                <w:sz w:val="18"/>
                <w:szCs w:val="18"/>
              </w:rPr>
            </w:pPr>
            <w:r w:rsidRPr="007709B8">
              <w:rPr>
                <w:rFonts w:asciiTheme="minorHAnsi" w:eastAsia="Times New Roman" w:hAnsiTheme="minorHAnsi" w:cs="Calibri"/>
                <w:kern w:val="16"/>
                <w:sz w:val="18"/>
                <w:szCs w:val="18"/>
              </w:rPr>
              <w:t>Phase I</w:t>
            </w:r>
            <w:r w:rsidR="00DF61BC" w:rsidRPr="007709B8">
              <w:rPr>
                <w:rFonts w:asciiTheme="minorHAnsi" w:eastAsia="Times New Roman" w:hAnsiTheme="minorHAnsi" w:cs="Calibri"/>
                <w:kern w:val="16"/>
                <w:sz w:val="18"/>
                <w:szCs w:val="18"/>
              </w:rPr>
              <w:t xml:space="preserve"> </w:t>
            </w:r>
          </w:p>
        </w:tc>
        <w:tc>
          <w:tcPr>
            <w:tcW w:w="1418" w:type="dxa"/>
            <w:shd w:val="clear" w:color="auto" w:fill="auto"/>
          </w:tcPr>
          <w:p w14:paraId="3ED3A050" w14:textId="05514B50" w:rsidR="00DF61BC" w:rsidRPr="007709B8" w:rsidRDefault="00DF61BC" w:rsidP="00551B28">
            <w:pPr>
              <w:spacing w:before="0" w:after="0" w:line="240" w:lineRule="auto"/>
              <w:rPr>
                <w:rFonts w:asciiTheme="minorHAnsi" w:eastAsia="Times New Roman" w:hAnsiTheme="minorHAnsi" w:cs="Calibri"/>
                <w:kern w:val="16"/>
                <w:sz w:val="18"/>
                <w:szCs w:val="18"/>
              </w:rPr>
            </w:pPr>
            <w:r w:rsidRPr="007709B8">
              <w:rPr>
                <w:rFonts w:asciiTheme="minorHAnsi" w:eastAsia="Times New Roman" w:hAnsiTheme="minorHAnsi" w:cs="Calibri"/>
                <w:kern w:val="16"/>
                <w:sz w:val="18"/>
                <w:szCs w:val="18"/>
              </w:rPr>
              <w:t>Food effect</w:t>
            </w:r>
          </w:p>
        </w:tc>
        <w:tc>
          <w:tcPr>
            <w:tcW w:w="1984" w:type="dxa"/>
            <w:shd w:val="clear" w:color="auto" w:fill="auto"/>
          </w:tcPr>
          <w:p w14:paraId="57B9EE82" w14:textId="77777777" w:rsidR="00DF61BC" w:rsidRPr="007709B8" w:rsidRDefault="00DF61BC" w:rsidP="00551B28">
            <w:pPr>
              <w:spacing w:before="0" w:after="0" w:line="240" w:lineRule="auto"/>
              <w:rPr>
                <w:rFonts w:asciiTheme="minorHAnsi" w:eastAsia="Times New Roman" w:hAnsiTheme="minorHAnsi" w:cs="Calibri"/>
                <w:kern w:val="16"/>
                <w:sz w:val="18"/>
                <w:szCs w:val="18"/>
              </w:rPr>
            </w:pPr>
            <w:r w:rsidRPr="007709B8">
              <w:rPr>
                <w:rFonts w:asciiTheme="minorHAnsi" w:eastAsia="Times New Roman" w:hAnsiTheme="minorHAnsi" w:cs="Calibri"/>
                <w:kern w:val="16"/>
                <w:sz w:val="18"/>
                <w:szCs w:val="18"/>
              </w:rPr>
              <w:t xml:space="preserve">Japanese patients with solid tumours (excluding gastric cancer). Single-dose PK data. </w:t>
            </w:r>
          </w:p>
        </w:tc>
        <w:tc>
          <w:tcPr>
            <w:tcW w:w="993" w:type="dxa"/>
            <w:shd w:val="clear" w:color="auto" w:fill="auto"/>
          </w:tcPr>
          <w:p w14:paraId="12FFDC14" w14:textId="1AC2DED5" w:rsidR="00DF61BC" w:rsidRPr="00C94C33" w:rsidRDefault="00DF61BC" w:rsidP="00551B28">
            <w:pPr>
              <w:spacing w:before="0" w:after="0" w:line="240" w:lineRule="auto"/>
              <w:rPr>
                <w:rFonts w:asciiTheme="minorHAnsi" w:eastAsia="Times New Roman" w:hAnsiTheme="minorHAnsi" w:cs="Calibri"/>
                <w:kern w:val="16"/>
                <w:sz w:val="18"/>
                <w:szCs w:val="18"/>
              </w:rPr>
            </w:pPr>
            <w:r w:rsidRPr="007709B8">
              <w:rPr>
                <w:rFonts w:asciiTheme="minorHAnsi" w:eastAsia="Times New Roman" w:hAnsiTheme="minorHAnsi" w:cs="Calibri"/>
                <w:kern w:val="16"/>
                <w:sz w:val="18"/>
                <w:szCs w:val="18"/>
              </w:rPr>
              <w:t>16</w:t>
            </w:r>
          </w:p>
        </w:tc>
        <w:tc>
          <w:tcPr>
            <w:tcW w:w="3685" w:type="dxa"/>
            <w:shd w:val="clear" w:color="auto" w:fill="auto"/>
          </w:tcPr>
          <w:p w14:paraId="7CAA9F7D" w14:textId="77777777" w:rsidR="00DF61BC" w:rsidRPr="00C94C33" w:rsidRDefault="00DF61BC" w:rsidP="00551B28">
            <w:pPr>
              <w:spacing w:before="0" w:after="0" w:line="240" w:lineRule="auto"/>
              <w:rPr>
                <w:rFonts w:asciiTheme="minorHAnsi" w:eastAsia="Times New Roman" w:hAnsiTheme="minorHAnsi" w:cs="Calibri"/>
                <w:kern w:val="16"/>
                <w:sz w:val="18"/>
                <w:szCs w:val="18"/>
              </w:rPr>
            </w:pPr>
            <w:r w:rsidRPr="00C94C33">
              <w:rPr>
                <w:rFonts w:asciiTheme="minorHAnsi" w:eastAsia="Times New Roman" w:hAnsiTheme="minorHAnsi" w:cs="Calibri"/>
                <w:kern w:val="16"/>
                <w:sz w:val="18"/>
                <w:szCs w:val="18"/>
              </w:rPr>
              <w:t>TAS-102 tablets  (15, 20 mg) – 2 doses of 35 mg/m</w:t>
            </w:r>
            <w:r w:rsidRPr="00C94C33">
              <w:rPr>
                <w:rFonts w:asciiTheme="minorHAnsi" w:eastAsia="Times New Roman" w:hAnsiTheme="minorHAnsi" w:cs="Calibri"/>
                <w:kern w:val="16"/>
                <w:sz w:val="18"/>
                <w:szCs w:val="18"/>
                <w:vertAlign w:val="superscript"/>
              </w:rPr>
              <w:t>2</w:t>
            </w:r>
            <w:r w:rsidRPr="00C94C33">
              <w:rPr>
                <w:rFonts w:asciiTheme="minorHAnsi" w:eastAsia="Times New Roman" w:hAnsiTheme="minorHAnsi" w:cs="Calibri"/>
                <w:kern w:val="16"/>
                <w:sz w:val="18"/>
                <w:szCs w:val="18"/>
              </w:rPr>
              <w:t xml:space="preserve"> PO under fasting and fed conditions, crossover with ≥ 5 day washout, followed by OL extension. </w:t>
            </w:r>
          </w:p>
        </w:tc>
      </w:tr>
      <w:tr w:rsidR="00DF61BC" w:rsidRPr="00C94C33" w14:paraId="64CF001D" w14:textId="77777777" w:rsidTr="005C2FCA">
        <w:trPr>
          <w:cantSplit/>
        </w:trPr>
        <w:tc>
          <w:tcPr>
            <w:tcW w:w="1242" w:type="dxa"/>
            <w:shd w:val="clear" w:color="auto" w:fill="auto"/>
          </w:tcPr>
          <w:p w14:paraId="237F98F6" w14:textId="40EB4FA5" w:rsidR="00DF61BC" w:rsidRPr="00C94C33" w:rsidRDefault="00DF61BC" w:rsidP="00551B28">
            <w:pPr>
              <w:spacing w:before="0" w:after="0" w:line="240" w:lineRule="auto"/>
              <w:rPr>
                <w:rFonts w:asciiTheme="minorHAnsi" w:eastAsia="Times New Roman" w:hAnsiTheme="minorHAnsi" w:cs="Calibri"/>
                <w:kern w:val="16"/>
                <w:sz w:val="18"/>
                <w:szCs w:val="18"/>
              </w:rPr>
            </w:pPr>
            <w:r w:rsidRPr="00C94C33">
              <w:rPr>
                <w:rFonts w:asciiTheme="minorHAnsi" w:eastAsia="Times New Roman" w:hAnsiTheme="minorHAnsi" w:cs="Calibri"/>
                <w:kern w:val="16"/>
                <w:sz w:val="18"/>
                <w:szCs w:val="18"/>
              </w:rPr>
              <w:lastRenderedPageBreak/>
              <w:t xml:space="preserve">TPU-TAS-102-101. </w:t>
            </w:r>
            <w:r w:rsidR="00842E8F" w:rsidRPr="00C94C33">
              <w:rPr>
                <w:rFonts w:asciiTheme="minorHAnsi" w:eastAsia="Times New Roman" w:hAnsiTheme="minorHAnsi" w:cs="Calibri"/>
                <w:kern w:val="16"/>
                <w:sz w:val="18"/>
                <w:szCs w:val="18"/>
              </w:rPr>
              <w:t>Phase I</w:t>
            </w:r>
            <w:r w:rsidRPr="00C94C33">
              <w:rPr>
                <w:rFonts w:asciiTheme="minorHAnsi" w:eastAsia="Times New Roman" w:hAnsiTheme="minorHAnsi" w:cs="Calibri"/>
                <w:kern w:val="16"/>
                <w:sz w:val="18"/>
                <w:szCs w:val="18"/>
              </w:rPr>
              <w:t xml:space="preserve">.  </w:t>
            </w:r>
          </w:p>
        </w:tc>
        <w:tc>
          <w:tcPr>
            <w:tcW w:w="1418" w:type="dxa"/>
            <w:shd w:val="clear" w:color="auto" w:fill="auto"/>
          </w:tcPr>
          <w:p w14:paraId="711BE756" w14:textId="77777777" w:rsidR="00DF61BC" w:rsidRPr="00C94C33" w:rsidRDefault="00DF61BC" w:rsidP="00551B28">
            <w:pPr>
              <w:spacing w:before="0" w:after="0" w:line="240" w:lineRule="auto"/>
              <w:rPr>
                <w:rFonts w:asciiTheme="minorHAnsi" w:eastAsia="Times New Roman" w:hAnsiTheme="minorHAnsi" w:cs="Calibri"/>
                <w:kern w:val="16"/>
                <w:sz w:val="18"/>
                <w:szCs w:val="18"/>
              </w:rPr>
            </w:pPr>
            <w:r w:rsidRPr="00C94C33">
              <w:rPr>
                <w:rFonts w:asciiTheme="minorHAnsi" w:eastAsia="Times New Roman" w:hAnsiTheme="minorHAnsi" w:cs="Calibri"/>
                <w:kern w:val="16"/>
                <w:sz w:val="18"/>
                <w:szCs w:val="18"/>
              </w:rPr>
              <w:t xml:space="preserve">PK/initial tolerability/ RP3D </w:t>
            </w:r>
          </w:p>
        </w:tc>
        <w:tc>
          <w:tcPr>
            <w:tcW w:w="1984" w:type="dxa"/>
            <w:shd w:val="clear" w:color="auto" w:fill="auto"/>
          </w:tcPr>
          <w:p w14:paraId="5686C381" w14:textId="77777777" w:rsidR="00DF61BC" w:rsidRPr="00C94C33" w:rsidRDefault="00DF61BC" w:rsidP="00551B28">
            <w:pPr>
              <w:spacing w:before="0" w:after="0" w:line="240" w:lineRule="auto"/>
              <w:rPr>
                <w:rFonts w:asciiTheme="minorHAnsi" w:eastAsia="Times New Roman" w:hAnsiTheme="minorHAnsi" w:cs="Calibri"/>
                <w:kern w:val="16"/>
                <w:sz w:val="18"/>
                <w:szCs w:val="18"/>
              </w:rPr>
            </w:pPr>
            <w:r w:rsidRPr="00C94C33">
              <w:rPr>
                <w:rFonts w:asciiTheme="minorHAnsi" w:eastAsia="Times New Roman" w:hAnsiTheme="minorHAnsi" w:cs="Calibri"/>
                <w:kern w:val="16"/>
                <w:sz w:val="18"/>
                <w:szCs w:val="18"/>
              </w:rPr>
              <w:t xml:space="preserve">US patients with refractory mCRC who had received ≥ 2 lines of prior chemotherapy for mCRC. No PK data.  </w:t>
            </w:r>
          </w:p>
        </w:tc>
        <w:tc>
          <w:tcPr>
            <w:tcW w:w="993" w:type="dxa"/>
            <w:shd w:val="clear" w:color="auto" w:fill="auto"/>
          </w:tcPr>
          <w:p w14:paraId="0B07100C" w14:textId="1E5B449C" w:rsidR="00DF61BC" w:rsidRPr="00C94C33" w:rsidRDefault="00DF61BC" w:rsidP="00551B28">
            <w:pPr>
              <w:spacing w:before="0" w:after="0" w:line="240" w:lineRule="auto"/>
              <w:rPr>
                <w:rFonts w:asciiTheme="minorHAnsi" w:eastAsia="Times New Roman" w:hAnsiTheme="minorHAnsi" w:cs="Calibri"/>
                <w:kern w:val="16"/>
                <w:sz w:val="18"/>
                <w:szCs w:val="18"/>
              </w:rPr>
            </w:pPr>
            <w:r w:rsidRPr="00C94C33">
              <w:rPr>
                <w:rFonts w:asciiTheme="minorHAnsi" w:eastAsia="Times New Roman" w:hAnsiTheme="minorHAnsi" w:cs="Calibri"/>
                <w:kern w:val="16"/>
                <w:sz w:val="18"/>
                <w:szCs w:val="18"/>
              </w:rPr>
              <w:t>27</w:t>
            </w:r>
          </w:p>
        </w:tc>
        <w:tc>
          <w:tcPr>
            <w:tcW w:w="3685" w:type="dxa"/>
            <w:shd w:val="clear" w:color="auto" w:fill="auto"/>
          </w:tcPr>
          <w:p w14:paraId="28FF4A38" w14:textId="03ECC1C7" w:rsidR="00DF61BC" w:rsidRPr="00C94C33" w:rsidRDefault="00DF61BC" w:rsidP="00551B28">
            <w:pPr>
              <w:spacing w:before="0" w:after="0" w:line="240" w:lineRule="auto"/>
              <w:rPr>
                <w:rFonts w:asciiTheme="minorHAnsi" w:eastAsia="Times New Roman" w:hAnsiTheme="minorHAnsi" w:cs="Calibri"/>
                <w:kern w:val="16"/>
                <w:sz w:val="18"/>
                <w:szCs w:val="18"/>
              </w:rPr>
            </w:pPr>
            <w:r w:rsidRPr="00C94C33">
              <w:rPr>
                <w:rFonts w:asciiTheme="minorHAnsi" w:eastAsia="Times New Roman" w:hAnsiTheme="minorHAnsi" w:cs="Calibri"/>
                <w:kern w:val="16"/>
                <w:sz w:val="18"/>
                <w:szCs w:val="18"/>
              </w:rPr>
              <w:t>TAS-102 tablets (15, 20 mg); 30 mg/m</w:t>
            </w:r>
            <w:r w:rsidRPr="00C94C33">
              <w:rPr>
                <w:rFonts w:asciiTheme="minorHAnsi" w:eastAsia="Times New Roman" w:hAnsiTheme="minorHAnsi" w:cs="Calibri"/>
                <w:kern w:val="16"/>
                <w:sz w:val="18"/>
                <w:szCs w:val="18"/>
                <w:vertAlign w:val="superscript"/>
              </w:rPr>
              <w:t>2</w:t>
            </w:r>
            <w:r w:rsidRPr="00C94C33">
              <w:rPr>
                <w:rFonts w:asciiTheme="minorHAnsi" w:eastAsia="Times New Roman" w:hAnsiTheme="minorHAnsi" w:cs="Calibri"/>
                <w:kern w:val="16"/>
                <w:sz w:val="18"/>
                <w:szCs w:val="18"/>
              </w:rPr>
              <w:t xml:space="preserve"> (cohort 1 </w:t>
            </w:r>
            <w:r w:rsidR="00A0007E" w:rsidRPr="00C94C33">
              <w:rPr>
                <w:rFonts w:asciiTheme="minorHAnsi" w:eastAsia="Times New Roman" w:hAnsiTheme="minorHAnsi" w:cs="Calibri"/>
                <w:kern w:val="16"/>
                <w:sz w:val="18"/>
                <w:szCs w:val="18"/>
              </w:rPr>
              <w:t>(</w:t>
            </w:r>
            <w:r w:rsidR="009C0389" w:rsidRPr="00C94C33">
              <w:rPr>
                <w:rFonts w:asciiTheme="minorHAnsi" w:eastAsia="Times New Roman" w:hAnsiTheme="minorHAnsi" w:cs="Calibri"/>
                <w:kern w:val="16"/>
                <w:sz w:val="18"/>
                <w:szCs w:val="18"/>
              </w:rPr>
              <w:t xml:space="preserve">n = </w:t>
            </w:r>
            <w:r w:rsidRPr="00C94C33">
              <w:rPr>
                <w:rFonts w:asciiTheme="minorHAnsi" w:eastAsia="Times New Roman" w:hAnsiTheme="minorHAnsi" w:cs="Calibri"/>
                <w:kern w:val="16"/>
                <w:sz w:val="18"/>
                <w:szCs w:val="18"/>
              </w:rPr>
              <w:t>3</w:t>
            </w:r>
            <w:r w:rsidR="00A0007E" w:rsidRPr="00C94C33">
              <w:rPr>
                <w:rFonts w:asciiTheme="minorHAnsi" w:eastAsia="Times New Roman" w:hAnsiTheme="minorHAnsi" w:cs="Calibri"/>
                <w:kern w:val="16"/>
                <w:sz w:val="18"/>
                <w:szCs w:val="18"/>
              </w:rPr>
              <w:t>)</w:t>
            </w:r>
            <w:r w:rsidRPr="00C94C33">
              <w:rPr>
                <w:rFonts w:asciiTheme="minorHAnsi" w:eastAsia="Times New Roman" w:hAnsiTheme="minorHAnsi" w:cs="Calibri"/>
                <w:kern w:val="16"/>
                <w:sz w:val="18"/>
                <w:szCs w:val="18"/>
              </w:rPr>
              <w:t>) or 35 mg/m</w:t>
            </w:r>
            <w:r w:rsidRPr="00C94C33">
              <w:rPr>
                <w:rFonts w:asciiTheme="minorHAnsi" w:eastAsia="Times New Roman" w:hAnsiTheme="minorHAnsi" w:cs="Calibri"/>
                <w:kern w:val="16"/>
                <w:sz w:val="18"/>
                <w:szCs w:val="18"/>
                <w:vertAlign w:val="superscript"/>
              </w:rPr>
              <w:t>2</w:t>
            </w:r>
            <w:r w:rsidRPr="00C94C33">
              <w:rPr>
                <w:rFonts w:asciiTheme="minorHAnsi" w:eastAsia="Times New Roman" w:hAnsiTheme="minorHAnsi" w:cs="Calibri"/>
                <w:kern w:val="16"/>
                <w:sz w:val="18"/>
                <w:szCs w:val="18"/>
              </w:rPr>
              <w:t xml:space="preserve"> (cohort 2 </w:t>
            </w:r>
            <w:r w:rsidR="004E44C4" w:rsidRPr="00C94C33">
              <w:rPr>
                <w:rFonts w:asciiTheme="minorHAnsi" w:eastAsia="Times New Roman" w:hAnsiTheme="minorHAnsi" w:cs="Calibri"/>
                <w:kern w:val="16"/>
                <w:sz w:val="18"/>
                <w:szCs w:val="18"/>
              </w:rPr>
              <w:t>(</w:t>
            </w:r>
            <w:r w:rsidR="009C0389" w:rsidRPr="00C94C33">
              <w:rPr>
                <w:rFonts w:asciiTheme="minorHAnsi" w:eastAsia="Times New Roman" w:hAnsiTheme="minorHAnsi" w:cs="Calibri"/>
                <w:kern w:val="16"/>
                <w:sz w:val="18"/>
                <w:szCs w:val="18"/>
              </w:rPr>
              <w:t xml:space="preserve">n = </w:t>
            </w:r>
            <w:r w:rsidRPr="00C94C33">
              <w:rPr>
                <w:rFonts w:asciiTheme="minorHAnsi" w:eastAsia="Times New Roman" w:hAnsiTheme="minorHAnsi" w:cs="Calibri"/>
                <w:kern w:val="16"/>
                <w:sz w:val="18"/>
                <w:szCs w:val="18"/>
              </w:rPr>
              <w:t>9</w:t>
            </w:r>
            <w:r w:rsidR="004E44C4" w:rsidRPr="00C94C33">
              <w:rPr>
                <w:rFonts w:asciiTheme="minorHAnsi" w:eastAsia="Times New Roman" w:hAnsiTheme="minorHAnsi" w:cs="Calibri"/>
                <w:kern w:val="16"/>
                <w:sz w:val="18"/>
                <w:szCs w:val="18"/>
              </w:rPr>
              <w:t>)</w:t>
            </w:r>
            <w:r w:rsidRPr="00C94C33">
              <w:rPr>
                <w:rFonts w:asciiTheme="minorHAnsi" w:eastAsia="Times New Roman" w:hAnsiTheme="minorHAnsi" w:cs="Calibri"/>
                <w:kern w:val="16"/>
                <w:sz w:val="18"/>
                <w:szCs w:val="18"/>
              </w:rPr>
              <w:t>) PO BD for 5 days a week with 2 days rest period for 2 weeks, followed by a 14</w:t>
            </w:r>
            <w:r w:rsidR="009C0389" w:rsidRPr="00C94C33">
              <w:rPr>
                <w:rFonts w:asciiTheme="minorHAnsi" w:eastAsia="Times New Roman" w:hAnsiTheme="minorHAnsi" w:cs="Calibri"/>
                <w:kern w:val="16"/>
                <w:sz w:val="18"/>
                <w:szCs w:val="18"/>
              </w:rPr>
              <w:t xml:space="preserve"> day</w:t>
            </w:r>
            <w:r w:rsidRPr="00C94C33">
              <w:rPr>
                <w:rFonts w:asciiTheme="minorHAnsi" w:eastAsia="Times New Roman" w:hAnsiTheme="minorHAnsi" w:cs="Calibri"/>
                <w:kern w:val="16"/>
                <w:sz w:val="18"/>
                <w:szCs w:val="18"/>
              </w:rPr>
              <w:t xml:space="preserve"> rest period, repeated every 4 weeks (sequential cohorts plus expansion cohort </w:t>
            </w:r>
            <w:r w:rsidR="004E44C4" w:rsidRPr="00C94C33">
              <w:rPr>
                <w:rFonts w:asciiTheme="minorHAnsi" w:eastAsia="Times New Roman" w:hAnsiTheme="minorHAnsi" w:cs="Calibri"/>
                <w:kern w:val="16"/>
                <w:sz w:val="18"/>
                <w:szCs w:val="18"/>
              </w:rPr>
              <w:t>(</w:t>
            </w:r>
            <w:r w:rsidR="009C0389" w:rsidRPr="00C94C33">
              <w:rPr>
                <w:rFonts w:asciiTheme="minorHAnsi" w:eastAsia="Times New Roman" w:hAnsiTheme="minorHAnsi" w:cs="Calibri"/>
                <w:kern w:val="16"/>
                <w:sz w:val="18"/>
                <w:szCs w:val="18"/>
              </w:rPr>
              <w:t xml:space="preserve">n = </w:t>
            </w:r>
            <w:r w:rsidRPr="00C94C33">
              <w:rPr>
                <w:rFonts w:asciiTheme="minorHAnsi" w:eastAsia="Times New Roman" w:hAnsiTheme="minorHAnsi" w:cs="Calibri"/>
                <w:kern w:val="16"/>
                <w:sz w:val="18"/>
                <w:szCs w:val="18"/>
              </w:rPr>
              <w:t>25</w:t>
            </w:r>
            <w:r w:rsidR="004E44C4" w:rsidRPr="00C94C33">
              <w:rPr>
                <w:rFonts w:asciiTheme="minorHAnsi" w:eastAsia="Times New Roman" w:hAnsiTheme="minorHAnsi" w:cs="Calibri"/>
                <w:kern w:val="16"/>
                <w:sz w:val="18"/>
                <w:szCs w:val="18"/>
              </w:rPr>
              <w:t>)</w:t>
            </w:r>
            <w:r w:rsidRPr="00C94C33">
              <w:rPr>
                <w:rFonts w:asciiTheme="minorHAnsi" w:eastAsia="Times New Roman" w:hAnsiTheme="minorHAnsi" w:cs="Calibri"/>
                <w:kern w:val="16"/>
                <w:sz w:val="18"/>
                <w:szCs w:val="18"/>
              </w:rPr>
              <w:t xml:space="preserve"> at 35 mg/m</w:t>
            </w:r>
            <w:r w:rsidRPr="00C94C33">
              <w:rPr>
                <w:rFonts w:asciiTheme="minorHAnsi" w:eastAsia="Times New Roman" w:hAnsiTheme="minorHAnsi" w:cs="Calibri"/>
                <w:kern w:val="16"/>
                <w:sz w:val="18"/>
                <w:szCs w:val="18"/>
                <w:vertAlign w:val="superscript"/>
              </w:rPr>
              <w:t>2</w:t>
            </w:r>
            <w:r w:rsidRPr="00C94C33">
              <w:rPr>
                <w:rFonts w:asciiTheme="minorHAnsi" w:eastAsia="Times New Roman" w:hAnsiTheme="minorHAnsi" w:cs="Calibri"/>
                <w:kern w:val="16"/>
                <w:sz w:val="18"/>
                <w:szCs w:val="18"/>
              </w:rPr>
              <w:t xml:space="preserve">); 28 day cycles continued until discontinuation criterion met. </w:t>
            </w:r>
          </w:p>
        </w:tc>
      </w:tr>
      <w:tr w:rsidR="00DF61BC" w:rsidRPr="00C94C33" w14:paraId="34145ED2" w14:textId="77777777" w:rsidTr="00551B28">
        <w:tc>
          <w:tcPr>
            <w:tcW w:w="1242" w:type="dxa"/>
            <w:shd w:val="clear" w:color="auto" w:fill="auto"/>
          </w:tcPr>
          <w:p w14:paraId="74443418" w14:textId="18394AB8" w:rsidR="00DF61BC" w:rsidRPr="00C94C33" w:rsidRDefault="005D5DE3" w:rsidP="00551B28">
            <w:pPr>
              <w:spacing w:before="0" w:after="0" w:line="240" w:lineRule="auto"/>
              <w:rPr>
                <w:rFonts w:asciiTheme="minorHAnsi" w:eastAsia="Times New Roman" w:hAnsiTheme="minorHAnsi" w:cs="Calibri"/>
                <w:kern w:val="16"/>
                <w:sz w:val="18"/>
                <w:szCs w:val="18"/>
              </w:rPr>
            </w:pPr>
            <w:r>
              <w:rPr>
                <w:rFonts w:asciiTheme="minorHAnsi" w:eastAsia="Times New Roman" w:hAnsiTheme="minorHAnsi" w:cs="Calibri"/>
                <w:kern w:val="16"/>
                <w:sz w:val="18"/>
                <w:szCs w:val="18"/>
              </w:rPr>
              <w:t>TPU-TAS-102-102.</w:t>
            </w:r>
          </w:p>
          <w:p w14:paraId="778F7B92" w14:textId="2CD2A338" w:rsidR="00DF61BC" w:rsidRPr="00C94C33" w:rsidRDefault="00842E8F" w:rsidP="00551B28">
            <w:pPr>
              <w:spacing w:before="0" w:after="0" w:line="240" w:lineRule="auto"/>
              <w:rPr>
                <w:rFonts w:asciiTheme="minorHAnsi" w:eastAsia="Times New Roman" w:hAnsiTheme="minorHAnsi" w:cs="Calibri"/>
                <w:kern w:val="16"/>
                <w:sz w:val="18"/>
                <w:szCs w:val="18"/>
              </w:rPr>
            </w:pPr>
            <w:r w:rsidRPr="00C94C33">
              <w:rPr>
                <w:rFonts w:asciiTheme="minorHAnsi" w:eastAsia="Times New Roman" w:hAnsiTheme="minorHAnsi" w:cs="Calibri"/>
                <w:kern w:val="16"/>
                <w:sz w:val="18"/>
                <w:szCs w:val="18"/>
              </w:rPr>
              <w:t>Phase I</w:t>
            </w:r>
            <w:r w:rsidR="00DF61BC" w:rsidRPr="00C94C33">
              <w:rPr>
                <w:rFonts w:asciiTheme="minorHAnsi" w:eastAsia="Times New Roman" w:hAnsiTheme="minorHAnsi" w:cs="Calibri"/>
                <w:kern w:val="16"/>
                <w:sz w:val="18"/>
                <w:szCs w:val="18"/>
              </w:rPr>
              <w:t xml:space="preserve"> </w:t>
            </w:r>
          </w:p>
        </w:tc>
        <w:tc>
          <w:tcPr>
            <w:tcW w:w="1418" w:type="dxa"/>
            <w:shd w:val="clear" w:color="auto" w:fill="auto"/>
          </w:tcPr>
          <w:p w14:paraId="56847DCF" w14:textId="77777777" w:rsidR="00DF61BC" w:rsidRPr="00C94C33" w:rsidRDefault="00DF61BC" w:rsidP="00551B28">
            <w:pPr>
              <w:spacing w:before="0" w:after="0" w:line="240" w:lineRule="auto"/>
              <w:rPr>
                <w:rFonts w:asciiTheme="minorHAnsi" w:eastAsia="Times New Roman" w:hAnsiTheme="minorHAnsi" w:cs="Calibri"/>
                <w:kern w:val="16"/>
                <w:sz w:val="18"/>
                <w:szCs w:val="18"/>
              </w:rPr>
            </w:pPr>
            <w:r w:rsidRPr="00C94C33">
              <w:rPr>
                <w:rFonts w:asciiTheme="minorHAnsi" w:eastAsia="Times New Roman" w:hAnsiTheme="minorHAnsi" w:cs="Calibri"/>
                <w:kern w:val="16"/>
                <w:sz w:val="18"/>
                <w:szCs w:val="18"/>
              </w:rPr>
              <w:t xml:space="preserve">PK/initial tolerability </w:t>
            </w:r>
          </w:p>
        </w:tc>
        <w:tc>
          <w:tcPr>
            <w:tcW w:w="1984" w:type="dxa"/>
            <w:shd w:val="clear" w:color="auto" w:fill="auto"/>
          </w:tcPr>
          <w:p w14:paraId="33DB4C16" w14:textId="77777777" w:rsidR="00DF61BC" w:rsidRPr="00C94C33" w:rsidRDefault="00DF61BC" w:rsidP="00551B28">
            <w:pPr>
              <w:spacing w:before="0" w:after="0" w:line="240" w:lineRule="auto"/>
              <w:rPr>
                <w:rFonts w:asciiTheme="minorHAnsi" w:eastAsia="Times New Roman" w:hAnsiTheme="minorHAnsi" w:cs="Calibri"/>
                <w:kern w:val="16"/>
                <w:sz w:val="18"/>
                <w:szCs w:val="18"/>
              </w:rPr>
            </w:pPr>
            <w:r w:rsidRPr="00C94C33">
              <w:rPr>
                <w:rFonts w:asciiTheme="minorHAnsi" w:eastAsia="Times New Roman" w:hAnsiTheme="minorHAnsi" w:cs="Calibri"/>
                <w:kern w:val="16"/>
                <w:sz w:val="18"/>
                <w:szCs w:val="18"/>
              </w:rPr>
              <w:t xml:space="preserve">US patients with solid tumours (excluding breast cancer) for which no standard therapy exists. Single-dose PK data for FTD after TAS-102 and FTD alone.  </w:t>
            </w:r>
          </w:p>
        </w:tc>
        <w:tc>
          <w:tcPr>
            <w:tcW w:w="993" w:type="dxa"/>
            <w:shd w:val="clear" w:color="auto" w:fill="auto"/>
          </w:tcPr>
          <w:p w14:paraId="7F02B251" w14:textId="27CC7077" w:rsidR="00DF61BC" w:rsidRPr="00C94C33" w:rsidRDefault="00DF61BC" w:rsidP="00551B28">
            <w:pPr>
              <w:spacing w:before="0" w:after="0" w:line="240" w:lineRule="auto"/>
              <w:rPr>
                <w:rFonts w:asciiTheme="minorHAnsi" w:eastAsia="Times New Roman" w:hAnsiTheme="minorHAnsi" w:cs="Calibri"/>
                <w:kern w:val="16"/>
                <w:sz w:val="18"/>
                <w:szCs w:val="18"/>
              </w:rPr>
            </w:pPr>
            <w:r w:rsidRPr="00C94C33">
              <w:rPr>
                <w:rFonts w:asciiTheme="minorHAnsi" w:eastAsia="Times New Roman" w:hAnsiTheme="minorHAnsi" w:cs="Calibri"/>
                <w:kern w:val="16"/>
                <w:sz w:val="18"/>
                <w:szCs w:val="18"/>
              </w:rPr>
              <w:t>39</w:t>
            </w:r>
          </w:p>
        </w:tc>
        <w:tc>
          <w:tcPr>
            <w:tcW w:w="3685" w:type="dxa"/>
            <w:shd w:val="clear" w:color="auto" w:fill="auto"/>
          </w:tcPr>
          <w:p w14:paraId="257FD4D3" w14:textId="77777777" w:rsidR="00DF61BC" w:rsidRPr="00C94C33" w:rsidRDefault="00DF61BC" w:rsidP="00551B28">
            <w:pPr>
              <w:spacing w:before="0" w:after="0" w:line="240" w:lineRule="auto"/>
              <w:rPr>
                <w:rFonts w:asciiTheme="minorHAnsi" w:eastAsia="Times New Roman" w:hAnsiTheme="minorHAnsi" w:cs="Calibri"/>
                <w:kern w:val="16"/>
                <w:sz w:val="18"/>
                <w:szCs w:val="18"/>
              </w:rPr>
            </w:pPr>
            <w:r w:rsidRPr="00C94C33">
              <w:rPr>
                <w:rFonts w:asciiTheme="minorHAnsi" w:eastAsia="Times New Roman" w:hAnsiTheme="minorHAnsi" w:cs="Calibri"/>
                <w:kern w:val="16"/>
                <w:sz w:val="18"/>
                <w:szCs w:val="18"/>
              </w:rPr>
              <w:t>PK (Part 1) data for FTD after TAS-102 and FTD alone after single-dose 35 mg/m</w:t>
            </w:r>
            <w:r w:rsidRPr="00C94C33">
              <w:rPr>
                <w:rFonts w:asciiTheme="minorHAnsi" w:eastAsia="Times New Roman" w:hAnsiTheme="minorHAnsi" w:cs="Calibri"/>
                <w:kern w:val="16"/>
                <w:sz w:val="18"/>
                <w:szCs w:val="18"/>
                <w:vertAlign w:val="superscript"/>
              </w:rPr>
              <w:t>2</w:t>
            </w:r>
            <w:r w:rsidRPr="00C94C33">
              <w:rPr>
                <w:rFonts w:asciiTheme="minorHAnsi" w:eastAsia="Times New Roman" w:hAnsiTheme="minorHAnsi" w:cs="Calibri"/>
                <w:kern w:val="16"/>
                <w:sz w:val="18"/>
                <w:szCs w:val="18"/>
              </w:rPr>
              <w:t xml:space="preserve">, followed by OL extension (Part 2).  </w:t>
            </w:r>
          </w:p>
        </w:tc>
      </w:tr>
      <w:tr w:rsidR="00DF61BC" w:rsidRPr="00C94C33" w14:paraId="42C9C831" w14:textId="77777777" w:rsidTr="00551B28">
        <w:tc>
          <w:tcPr>
            <w:tcW w:w="1242" w:type="dxa"/>
            <w:shd w:val="clear" w:color="auto" w:fill="auto"/>
          </w:tcPr>
          <w:p w14:paraId="0C8672A9" w14:textId="77777777" w:rsidR="00DF61BC" w:rsidRPr="00C94C33" w:rsidRDefault="00DF61BC" w:rsidP="00551B28">
            <w:pPr>
              <w:spacing w:before="0" w:after="0" w:line="240" w:lineRule="auto"/>
              <w:rPr>
                <w:rFonts w:asciiTheme="minorHAnsi" w:eastAsia="Times New Roman" w:hAnsiTheme="minorHAnsi" w:cs="Calibri"/>
                <w:kern w:val="16"/>
                <w:sz w:val="18"/>
                <w:szCs w:val="18"/>
              </w:rPr>
            </w:pPr>
            <w:r w:rsidRPr="00C94C33">
              <w:rPr>
                <w:rFonts w:asciiTheme="minorHAnsi" w:eastAsia="Times New Roman" w:hAnsiTheme="minorHAnsi" w:cs="Calibri"/>
                <w:kern w:val="16"/>
                <w:sz w:val="18"/>
                <w:szCs w:val="18"/>
              </w:rPr>
              <w:t>TPU-TAS-102-103</w:t>
            </w:r>
          </w:p>
          <w:p w14:paraId="1CE9851A" w14:textId="690345E4" w:rsidR="00DF61BC" w:rsidRPr="00C94C33" w:rsidRDefault="00842E8F" w:rsidP="00551B28">
            <w:pPr>
              <w:spacing w:before="0" w:after="0" w:line="240" w:lineRule="auto"/>
              <w:rPr>
                <w:rFonts w:asciiTheme="minorHAnsi" w:eastAsia="Times New Roman" w:hAnsiTheme="minorHAnsi" w:cs="Calibri"/>
                <w:kern w:val="16"/>
                <w:sz w:val="18"/>
                <w:szCs w:val="18"/>
              </w:rPr>
            </w:pPr>
            <w:r w:rsidRPr="00C94C33">
              <w:rPr>
                <w:rFonts w:asciiTheme="minorHAnsi" w:eastAsia="Times New Roman" w:hAnsiTheme="minorHAnsi" w:cs="Calibri"/>
                <w:kern w:val="16"/>
                <w:sz w:val="18"/>
                <w:szCs w:val="18"/>
              </w:rPr>
              <w:t>Phase I</w:t>
            </w:r>
            <w:r w:rsidR="00DF61BC" w:rsidRPr="00C94C33">
              <w:rPr>
                <w:rFonts w:asciiTheme="minorHAnsi" w:eastAsia="Times New Roman" w:hAnsiTheme="minorHAnsi" w:cs="Calibri"/>
                <w:kern w:val="16"/>
                <w:sz w:val="18"/>
                <w:szCs w:val="18"/>
              </w:rPr>
              <w:t xml:space="preserve"> </w:t>
            </w:r>
          </w:p>
        </w:tc>
        <w:tc>
          <w:tcPr>
            <w:tcW w:w="1418" w:type="dxa"/>
            <w:shd w:val="clear" w:color="auto" w:fill="auto"/>
          </w:tcPr>
          <w:p w14:paraId="45A409C4" w14:textId="77777777" w:rsidR="00DF61BC" w:rsidRPr="00C94C33" w:rsidRDefault="00DF61BC" w:rsidP="00551B28">
            <w:pPr>
              <w:spacing w:before="0" w:after="0" w:line="240" w:lineRule="auto"/>
              <w:rPr>
                <w:rFonts w:asciiTheme="minorHAnsi" w:eastAsia="Times New Roman" w:hAnsiTheme="minorHAnsi" w:cs="Calibri"/>
                <w:kern w:val="16"/>
                <w:sz w:val="18"/>
                <w:szCs w:val="18"/>
              </w:rPr>
            </w:pPr>
            <w:r w:rsidRPr="00C94C33">
              <w:rPr>
                <w:rFonts w:asciiTheme="minorHAnsi" w:eastAsia="Times New Roman" w:hAnsiTheme="minorHAnsi" w:cs="Calibri"/>
                <w:kern w:val="16"/>
                <w:sz w:val="18"/>
                <w:szCs w:val="18"/>
              </w:rPr>
              <w:t xml:space="preserve">Cardiac safety; PK/PD analysis. </w:t>
            </w:r>
          </w:p>
        </w:tc>
        <w:tc>
          <w:tcPr>
            <w:tcW w:w="1984" w:type="dxa"/>
            <w:shd w:val="clear" w:color="auto" w:fill="auto"/>
          </w:tcPr>
          <w:p w14:paraId="41177D71" w14:textId="77777777" w:rsidR="00DF61BC" w:rsidRPr="00C94C33" w:rsidRDefault="00DF61BC" w:rsidP="00551B28">
            <w:pPr>
              <w:spacing w:before="0" w:after="0" w:line="240" w:lineRule="auto"/>
              <w:rPr>
                <w:rFonts w:asciiTheme="minorHAnsi" w:eastAsia="Times New Roman" w:hAnsiTheme="minorHAnsi" w:cs="Calibri"/>
                <w:kern w:val="16"/>
                <w:sz w:val="18"/>
                <w:szCs w:val="18"/>
              </w:rPr>
            </w:pPr>
            <w:r w:rsidRPr="00C94C33">
              <w:rPr>
                <w:rFonts w:asciiTheme="minorHAnsi" w:eastAsia="Times New Roman" w:hAnsiTheme="minorHAnsi" w:cs="Calibri"/>
                <w:kern w:val="16"/>
                <w:sz w:val="18"/>
                <w:szCs w:val="18"/>
              </w:rPr>
              <w:t xml:space="preserve">US patients with advanced solid tumours (excluding breast cancer) for which no standard therapy exists. </w:t>
            </w:r>
          </w:p>
        </w:tc>
        <w:tc>
          <w:tcPr>
            <w:tcW w:w="993" w:type="dxa"/>
            <w:shd w:val="clear" w:color="auto" w:fill="auto"/>
          </w:tcPr>
          <w:p w14:paraId="3D343EB4" w14:textId="77777777" w:rsidR="00DF61BC" w:rsidRPr="00C94C33" w:rsidRDefault="00DF61BC" w:rsidP="00551B28">
            <w:pPr>
              <w:spacing w:before="0" w:after="0" w:line="240" w:lineRule="auto"/>
              <w:rPr>
                <w:rFonts w:asciiTheme="minorHAnsi" w:eastAsia="Times New Roman" w:hAnsiTheme="minorHAnsi" w:cs="Calibri"/>
                <w:kern w:val="16"/>
                <w:sz w:val="18"/>
                <w:szCs w:val="18"/>
              </w:rPr>
            </w:pPr>
            <w:r w:rsidRPr="00C94C33">
              <w:rPr>
                <w:rFonts w:asciiTheme="minorHAnsi" w:eastAsia="Times New Roman" w:hAnsiTheme="minorHAnsi" w:cs="Calibri"/>
                <w:kern w:val="16"/>
                <w:sz w:val="18"/>
                <w:szCs w:val="18"/>
              </w:rPr>
              <w:t>41</w:t>
            </w:r>
          </w:p>
        </w:tc>
        <w:tc>
          <w:tcPr>
            <w:tcW w:w="3685" w:type="dxa"/>
            <w:shd w:val="clear" w:color="auto" w:fill="auto"/>
          </w:tcPr>
          <w:p w14:paraId="18565363" w14:textId="77777777" w:rsidR="00DF61BC" w:rsidRPr="00C94C33" w:rsidRDefault="00DF61BC" w:rsidP="00551B28">
            <w:pPr>
              <w:spacing w:before="0" w:after="0" w:line="240" w:lineRule="auto"/>
              <w:rPr>
                <w:rFonts w:asciiTheme="minorHAnsi" w:eastAsia="Times New Roman" w:hAnsiTheme="minorHAnsi" w:cs="Calibri"/>
                <w:kern w:val="16"/>
                <w:sz w:val="18"/>
                <w:szCs w:val="18"/>
              </w:rPr>
            </w:pPr>
            <w:r w:rsidRPr="00C94C33">
              <w:rPr>
                <w:rFonts w:asciiTheme="minorHAnsi" w:eastAsia="Times New Roman" w:hAnsiTheme="minorHAnsi" w:cs="Calibri"/>
                <w:kern w:val="16"/>
                <w:sz w:val="18"/>
                <w:szCs w:val="18"/>
              </w:rPr>
              <w:t xml:space="preserve">TAS -102 (15, 20 mg tablets) – cardiac safety (Cycle 1) single-blind PO placebo dose on Day -1, TAS-102 35 mg/m2 PO BD  on Days 1-5 and 8-12 with rest days 13-28, followed by OL extension. </w:t>
            </w:r>
          </w:p>
        </w:tc>
      </w:tr>
    </w:tbl>
    <w:p w14:paraId="5211E7BA" w14:textId="55E9198A" w:rsidR="00DF61BC" w:rsidRPr="0048322F" w:rsidRDefault="00DF61BC" w:rsidP="00551B28">
      <w:pPr>
        <w:pStyle w:val="TableDescription"/>
        <w:rPr>
          <w:sz w:val="18"/>
          <w:szCs w:val="18"/>
          <w:lang w:eastAsia="en-AU"/>
        </w:rPr>
      </w:pPr>
      <w:r w:rsidRPr="0048322F">
        <w:rPr>
          <w:sz w:val="18"/>
          <w:szCs w:val="18"/>
          <w:lang w:eastAsia="en-AU"/>
        </w:rPr>
        <w:t xml:space="preserve">N (PK) Number of subjects with PK evaluable data. Abbreviations: AUC = area under the curve; BA = bioavailability; BD = twice daily; Cmax = maximum concentrations; Conc = concentrations; E-R = exposure-response; FTD = trifluridine; FTY = 5-trifluoromethyluracil; PO = oral administration; PK/PD = pharmacokinetic/pharmacodynamic; RP3D = recommended </w:t>
      </w:r>
      <w:r w:rsidR="00842E8F" w:rsidRPr="0048322F">
        <w:rPr>
          <w:sz w:val="18"/>
          <w:szCs w:val="18"/>
          <w:lang w:eastAsia="en-AU"/>
        </w:rPr>
        <w:t>Phase III</w:t>
      </w:r>
      <w:r w:rsidRPr="0048322F">
        <w:rPr>
          <w:sz w:val="18"/>
          <w:szCs w:val="18"/>
          <w:lang w:eastAsia="en-AU"/>
        </w:rPr>
        <w:t xml:space="preserve"> dose; OL = open label; mCRC = metastatic colorectal cancer; rd = repeat dose; sd = single-dose; TAS-102 = fixed-dose combination trifluridine and tipiracil;  TPI = tip</w:t>
      </w:r>
      <w:r w:rsidR="00ED2BC9">
        <w:rPr>
          <w:sz w:val="18"/>
          <w:szCs w:val="18"/>
          <w:lang w:eastAsia="en-AU"/>
        </w:rPr>
        <w:t>iracil; 5-CU = 5-carboxyuracil.</w:t>
      </w:r>
    </w:p>
    <w:p w14:paraId="13F3A1F1" w14:textId="2511750B" w:rsidR="00DF61BC" w:rsidRPr="00C94C33" w:rsidRDefault="00DF61BC" w:rsidP="00955252">
      <w:pPr>
        <w:pStyle w:val="Heading6"/>
        <w:rPr>
          <w:lang w:eastAsia="en-AU"/>
        </w:rPr>
      </w:pPr>
      <w:r w:rsidRPr="00C94C33">
        <w:rPr>
          <w:lang w:eastAsia="en-AU"/>
        </w:rPr>
        <w:t>Initial dose-fin</w:t>
      </w:r>
      <w:r w:rsidR="00ED2BC9">
        <w:rPr>
          <w:lang w:eastAsia="en-AU"/>
        </w:rPr>
        <w:t>ding legacy studies (5 studies)</w:t>
      </w:r>
    </w:p>
    <w:p w14:paraId="04984617" w14:textId="5B83BD1B" w:rsidR="00DF61BC" w:rsidRPr="00C94C33" w:rsidRDefault="00DF61BC" w:rsidP="00551B2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line="240" w:lineRule="auto"/>
        <w:rPr>
          <w:rFonts w:eastAsia="Times New Roman"/>
          <w:kern w:val="16"/>
          <w:lang w:eastAsia="en-AU"/>
        </w:rPr>
      </w:pPr>
      <w:r w:rsidRPr="00C94C33">
        <w:rPr>
          <w:rFonts w:eastAsia="Times New Roman"/>
          <w:kern w:val="16"/>
          <w:lang w:eastAsia="en-AU"/>
        </w:rPr>
        <w:t>The initial clinical development of TAS-102 included the evaluation of various dose regimens in 5</w:t>
      </w:r>
      <w:r w:rsidR="004E44C4" w:rsidRPr="00C94C33">
        <w:rPr>
          <w:rFonts w:eastAsia="Times New Roman"/>
          <w:kern w:val="16"/>
          <w:lang w:eastAsia="en-AU"/>
        </w:rPr>
        <w:t> </w:t>
      </w:r>
      <w:r w:rsidRPr="00C94C33">
        <w:rPr>
          <w:rFonts w:eastAsia="Times New Roman"/>
          <w:kern w:val="16"/>
          <w:lang w:eastAsia="en-AU"/>
        </w:rPr>
        <w:t>Phase I studies conducted in the United States (US) in patients with solid tumours (</w:t>
      </w:r>
      <w:r w:rsidR="004E44C4" w:rsidRPr="00C94C33">
        <w:rPr>
          <w:rFonts w:eastAsia="Times New Roman"/>
          <w:kern w:val="16"/>
          <w:lang w:eastAsia="en-AU"/>
        </w:rPr>
        <w:t>Studies </w:t>
      </w:r>
      <w:r w:rsidRPr="00C94C33">
        <w:rPr>
          <w:rFonts w:eastAsia="Times New Roman"/>
          <w:kern w:val="16"/>
          <w:lang w:eastAsia="en-AU"/>
        </w:rPr>
        <w:t>TAS102-9801, TAS102-9802, TAS102-9803, TAS102-9804, and TAS102-9805). As no patient received the proposed dose of TAS-102 (</w:t>
      </w:r>
      <w:r w:rsidR="004E44C4" w:rsidRPr="00C94C33">
        <w:rPr>
          <w:rFonts w:eastAsia="Times New Roman"/>
          <w:kern w:val="16"/>
          <w:lang w:eastAsia="en-AU"/>
        </w:rPr>
        <w:t>that is,</w:t>
      </w:r>
      <w:r w:rsidRPr="00C94C33">
        <w:rPr>
          <w:rFonts w:eastAsia="Times New Roman"/>
          <w:kern w:val="16"/>
          <w:lang w:eastAsia="en-AU"/>
        </w:rPr>
        <w:t xml:space="preserve"> 35 mg/m</w:t>
      </w:r>
      <w:r w:rsidRPr="00C94C33">
        <w:rPr>
          <w:rFonts w:eastAsia="Times New Roman"/>
          <w:kern w:val="16"/>
          <w:vertAlign w:val="superscript"/>
          <w:lang w:eastAsia="en-AU"/>
        </w:rPr>
        <w:t>2</w:t>
      </w:r>
      <w:r w:rsidRPr="00C94C33">
        <w:rPr>
          <w:rFonts w:eastAsia="Times New Roman"/>
          <w:kern w:val="16"/>
          <w:lang w:eastAsia="en-AU"/>
        </w:rPr>
        <w:t xml:space="preserve"> BD), these 5 initial </w:t>
      </w:r>
      <w:r w:rsidR="00842E8F" w:rsidRPr="00C94C33">
        <w:rPr>
          <w:rFonts w:eastAsia="Times New Roman"/>
          <w:kern w:val="16"/>
          <w:lang w:eastAsia="en-AU"/>
        </w:rPr>
        <w:t>Phase I</w:t>
      </w:r>
      <w:r w:rsidRPr="00C94C33">
        <w:rPr>
          <w:rFonts w:eastAsia="Times New Roman"/>
          <w:kern w:val="16"/>
          <w:lang w:eastAsia="en-AU"/>
        </w:rPr>
        <w:t xml:space="preserve"> studies were referred to in the s</w:t>
      </w:r>
      <w:r w:rsidR="00551B28" w:rsidRPr="00C94C33">
        <w:rPr>
          <w:rFonts w:eastAsia="Times New Roman"/>
          <w:kern w:val="16"/>
          <w:lang w:eastAsia="en-AU"/>
        </w:rPr>
        <w:t xml:space="preserve">ubmission as </w:t>
      </w:r>
      <w:r w:rsidR="00842E8F" w:rsidRPr="00C94C33">
        <w:rPr>
          <w:rFonts w:eastAsia="Times New Roman"/>
          <w:kern w:val="16"/>
          <w:lang w:eastAsia="en-AU"/>
        </w:rPr>
        <w:t>‘</w:t>
      </w:r>
      <w:r w:rsidR="00551B28" w:rsidRPr="00C94C33">
        <w:rPr>
          <w:rFonts w:eastAsia="Times New Roman"/>
          <w:kern w:val="16"/>
          <w:lang w:eastAsia="en-AU"/>
        </w:rPr>
        <w:t>legacy studies.</w:t>
      </w:r>
      <w:r w:rsidR="00842E8F" w:rsidRPr="00C94C33">
        <w:rPr>
          <w:rFonts w:eastAsia="Times New Roman"/>
          <w:kern w:val="16"/>
          <w:lang w:eastAsia="en-AU"/>
        </w:rPr>
        <w:t>’</w:t>
      </w:r>
    </w:p>
    <w:p w14:paraId="60C581EC" w14:textId="5A7B9BCC" w:rsidR="00DF61BC" w:rsidRPr="00C94C33" w:rsidRDefault="00DF61BC" w:rsidP="00955252">
      <w:pPr>
        <w:pStyle w:val="Heading6"/>
        <w:rPr>
          <w:rFonts w:ascii="Calibri" w:hAnsi="Calibri" w:cs="Calibri"/>
          <w:lang w:eastAsia="en-AU"/>
        </w:rPr>
      </w:pPr>
      <w:r w:rsidRPr="00C94C33">
        <w:rPr>
          <w:lang w:eastAsia="en-AU"/>
        </w:rPr>
        <w:t xml:space="preserve">Population PK study </w:t>
      </w:r>
      <w:r w:rsidR="00A0007E" w:rsidRPr="00C94C33">
        <w:rPr>
          <w:lang w:eastAsia="en-AU"/>
        </w:rPr>
        <w:t>(</w:t>
      </w:r>
      <w:r w:rsidR="00ED2BC9">
        <w:rPr>
          <w:lang w:eastAsia="en-AU"/>
        </w:rPr>
        <w:t>12DA25)</w:t>
      </w:r>
    </w:p>
    <w:p w14:paraId="141622F6" w14:textId="09FE623B" w:rsidR="00DF61BC" w:rsidRPr="00C94C33" w:rsidRDefault="00DF61BC" w:rsidP="00551B28">
      <w:pPr>
        <w:autoSpaceDE w:val="0"/>
        <w:autoSpaceDN w:val="0"/>
        <w:adjustRightInd w:val="0"/>
        <w:spacing w:before="0" w:line="240" w:lineRule="auto"/>
        <w:rPr>
          <w:rFonts w:eastAsia="Times New Roman"/>
          <w:lang w:eastAsia="en-AU"/>
        </w:rPr>
      </w:pPr>
      <w:r w:rsidRPr="00C94C33">
        <w:rPr>
          <w:rFonts w:eastAsia="Times New Roman"/>
          <w:kern w:val="16"/>
          <w:lang w:eastAsia="en-AU"/>
        </w:rPr>
        <w:t>The submission included one population PK study</w:t>
      </w:r>
      <w:r w:rsidR="004E44C4" w:rsidRPr="00C94C33">
        <w:rPr>
          <w:rFonts w:eastAsia="Times New Roman"/>
          <w:kern w:val="16"/>
          <w:lang w:eastAsia="en-AU"/>
        </w:rPr>
        <w:t xml:space="preserve">(Study </w:t>
      </w:r>
      <w:r w:rsidRPr="00C94C33">
        <w:rPr>
          <w:rFonts w:eastAsia="Times New Roman"/>
          <w:kern w:val="16"/>
          <w:lang w:eastAsia="en-AU"/>
        </w:rPr>
        <w:t>12DA25</w:t>
      </w:r>
      <w:r w:rsidR="004E44C4" w:rsidRPr="00C94C33">
        <w:rPr>
          <w:rFonts w:eastAsia="Times New Roman"/>
          <w:kern w:val="16"/>
          <w:lang w:eastAsia="en-AU"/>
        </w:rPr>
        <w:t>)</w:t>
      </w:r>
      <w:r w:rsidRPr="00C94C33">
        <w:rPr>
          <w:rFonts w:eastAsia="Times New Roman"/>
          <w:kern w:val="16"/>
          <w:lang w:eastAsia="en-AU"/>
        </w:rPr>
        <w:t xml:space="preserve">, which pooled data for trifluridine (FTD) and tipiracil (TPI) obtained from dense sampling from 3, </w:t>
      </w:r>
      <w:r w:rsidR="00842E8F" w:rsidRPr="00C94C33">
        <w:rPr>
          <w:rFonts w:eastAsia="Times New Roman"/>
          <w:kern w:val="16"/>
          <w:lang w:eastAsia="en-AU"/>
        </w:rPr>
        <w:t>Phase I</w:t>
      </w:r>
      <w:r w:rsidRPr="00C94C33">
        <w:rPr>
          <w:rFonts w:eastAsia="Times New Roman"/>
          <w:kern w:val="16"/>
          <w:lang w:eastAsia="en-AU"/>
        </w:rPr>
        <w:t xml:space="preserve"> studies </w:t>
      </w:r>
      <w:r w:rsidR="004E44C4" w:rsidRPr="00C94C33">
        <w:rPr>
          <w:rFonts w:eastAsia="Times New Roman"/>
          <w:kern w:val="16"/>
          <w:lang w:eastAsia="en-AU"/>
        </w:rPr>
        <w:t>(Studies </w:t>
      </w:r>
      <w:r w:rsidRPr="00C94C33">
        <w:rPr>
          <w:rFonts w:eastAsia="Times New Roman"/>
          <w:lang w:eastAsia="en-AU"/>
        </w:rPr>
        <w:t>J001-10040010, TPU-TAS-102-102, TPU-TAS-102-103</w:t>
      </w:r>
      <w:r w:rsidR="004E44C4" w:rsidRPr="00C94C33">
        <w:rPr>
          <w:rFonts w:eastAsia="Times New Roman"/>
          <w:lang w:eastAsia="en-AU"/>
        </w:rPr>
        <w:t>)</w:t>
      </w:r>
      <w:r w:rsidRPr="00C94C33">
        <w:rPr>
          <w:rFonts w:eastAsia="Times New Roman"/>
          <w:lang w:eastAsia="en-AU"/>
        </w:rPr>
        <w:t xml:space="preserve"> and from sparse sampling from the pivotal </w:t>
      </w:r>
      <w:r w:rsidR="00842E8F" w:rsidRPr="00C94C33">
        <w:rPr>
          <w:rFonts w:eastAsia="Times New Roman"/>
          <w:lang w:eastAsia="en-AU"/>
        </w:rPr>
        <w:t>Phase III</w:t>
      </w:r>
      <w:r w:rsidRPr="00C94C33">
        <w:rPr>
          <w:rFonts w:eastAsia="Times New Roman"/>
          <w:lang w:eastAsia="en-AU"/>
        </w:rPr>
        <w:t xml:space="preserve"> study </w:t>
      </w:r>
      <w:r w:rsidR="004E44C4" w:rsidRPr="00C94C33">
        <w:rPr>
          <w:rFonts w:eastAsia="Times New Roman"/>
          <w:lang w:eastAsia="en-AU"/>
        </w:rPr>
        <w:t xml:space="preserve">(Study </w:t>
      </w:r>
      <w:r w:rsidRPr="00C94C33">
        <w:rPr>
          <w:rFonts w:eastAsia="Times New Roman"/>
          <w:lang w:eastAsia="en-AU"/>
        </w:rPr>
        <w:t>TPU-TAS-102-301; RECOURSE</w:t>
      </w:r>
      <w:r w:rsidR="004E44C4" w:rsidRPr="00C94C33">
        <w:rPr>
          <w:rFonts w:eastAsia="Times New Roman"/>
          <w:lang w:eastAsia="en-AU"/>
        </w:rPr>
        <w:t>)</w:t>
      </w:r>
      <w:r w:rsidRPr="00C94C33">
        <w:rPr>
          <w:rFonts w:eastAsia="Times New Roman"/>
          <w:lang w:eastAsia="en-AU"/>
        </w:rPr>
        <w:t>. This study has been reviewed later in this CER, and relevant data from the study has been included the text and accompanying Tables and Figures.</w:t>
      </w:r>
    </w:p>
    <w:p w14:paraId="3048043F" w14:textId="6502E2F7" w:rsidR="00DF61BC" w:rsidRPr="00C94C33" w:rsidRDefault="00DF61BC" w:rsidP="005C2FCA">
      <w:pPr>
        <w:pStyle w:val="Comment"/>
      </w:pPr>
      <w:r w:rsidRPr="005C2FCA">
        <w:rPr>
          <w:b/>
        </w:rPr>
        <w:t>Comment:</w:t>
      </w:r>
      <w:r w:rsidRPr="007709B8">
        <w:t xml:space="preserve"> </w:t>
      </w:r>
      <w:r w:rsidR="004E44C4" w:rsidRPr="00C94C33">
        <w:t xml:space="preserve"> </w:t>
      </w:r>
      <w:r w:rsidR="00FB45D2" w:rsidRPr="00C94C33">
        <w:t xml:space="preserve">The </w:t>
      </w:r>
      <w:r w:rsidRPr="00C94C33">
        <w:t xml:space="preserve">data did not include a mass balance study. However, following a request from the CHMP (Day 120 List of Questions), the sponsor submitted a mass balance study to the EMA. The sponsor included a copy this study </w:t>
      </w:r>
      <w:r w:rsidR="004E44C4" w:rsidRPr="00C94C33">
        <w:t xml:space="preserve">(Study </w:t>
      </w:r>
      <w:r w:rsidRPr="00C94C33">
        <w:t>TPU-TAS-102-108</w:t>
      </w:r>
      <w:r w:rsidR="004E44C4" w:rsidRPr="00C94C33">
        <w:t>)</w:t>
      </w:r>
      <w:r w:rsidRPr="00C94C33">
        <w:t xml:space="preserve"> in the submission. This study has been evaluated in this CER. The data did not include an absolute bioavailability study. However, the sponsor submitted a justification for not undertaking an absolute bioavailability study. This justification is discussed later in this CER.</w:t>
      </w:r>
    </w:p>
    <w:p w14:paraId="55D7A64C" w14:textId="3AC9FA7E" w:rsidR="00DF61BC" w:rsidRPr="00C94C33" w:rsidRDefault="00DF61BC" w:rsidP="00955252">
      <w:pPr>
        <w:pStyle w:val="Heading4"/>
      </w:pPr>
      <w:bookmarkStart w:id="40" w:name="_Toc470948468"/>
      <w:r w:rsidRPr="00C94C33">
        <w:t>Human biomaterial studies (in vitro)</w:t>
      </w:r>
      <w:bookmarkEnd w:id="40"/>
    </w:p>
    <w:p w14:paraId="4D13A167" w14:textId="77777777" w:rsidR="00DF61BC" w:rsidRPr="00C94C33" w:rsidRDefault="00DF61BC" w:rsidP="001C7D0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szCs w:val="24"/>
          <w:lang w:eastAsia="en-AU"/>
        </w:rPr>
      </w:pPr>
      <w:r w:rsidRPr="00C94C33">
        <w:rPr>
          <w:rFonts w:eastAsia="Times New Roman"/>
          <w:kern w:val="16"/>
          <w:szCs w:val="24"/>
          <w:lang w:eastAsia="en-AU"/>
        </w:rPr>
        <w:t xml:space="preserve">In addition to clinical studies, the submission also included a number human biomaterial studies assessing </w:t>
      </w:r>
      <w:r w:rsidRPr="005C2FCA">
        <w:rPr>
          <w:rFonts w:eastAsia="Times New Roman"/>
          <w:kern w:val="16"/>
          <w:szCs w:val="24"/>
          <w:lang w:eastAsia="en-AU"/>
        </w:rPr>
        <w:t>in vitro</w:t>
      </w:r>
      <w:r w:rsidRPr="007709B8">
        <w:rPr>
          <w:rFonts w:eastAsia="Times New Roman"/>
          <w:kern w:val="16"/>
          <w:szCs w:val="24"/>
          <w:lang w:eastAsia="en-AU"/>
        </w:rPr>
        <w:t xml:space="preserve"> </w:t>
      </w:r>
      <w:r w:rsidRPr="00C94C33">
        <w:rPr>
          <w:rFonts w:eastAsia="Times New Roman"/>
          <w:kern w:val="16"/>
          <w:szCs w:val="24"/>
          <w:lang w:eastAsia="en-AU"/>
        </w:rPr>
        <w:t xml:space="preserve">membrane permeability, blood cell distribution, plasma protein binding, metabolism, and potential drug-drug interactions of the components of TAS-102 and its metabolites. Furthermore, the submission included extensive comment and additional data relating to these studies in </w:t>
      </w:r>
      <w:r w:rsidR="00FB45D2" w:rsidRPr="00C94C33">
        <w:rPr>
          <w:rFonts w:eastAsia="Times New Roman"/>
          <w:kern w:val="16"/>
          <w:szCs w:val="24"/>
          <w:lang w:eastAsia="en-AU"/>
        </w:rPr>
        <w:t>Foreign Regulatory Information</w:t>
      </w:r>
      <w:r w:rsidRPr="00C94C33">
        <w:rPr>
          <w:rFonts w:eastAsia="Times New Roman"/>
          <w:kern w:val="16"/>
          <w:szCs w:val="24"/>
          <w:lang w:eastAsia="en-AU"/>
        </w:rPr>
        <w:t xml:space="preserve">, provided by the sponsor in response to the </w:t>
      </w:r>
      <w:r w:rsidRPr="00C94C33">
        <w:rPr>
          <w:rFonts w:eastAsia="Times New Roman"/>
          <w:kern w:val="16"/>
          <w:szCs w:val="24"/>
          <w:lang w:eastAsia="en-AU"/>
        </w:rPr>
        <w:lastRenderedPageBreak/>
        <w:t xml:space="preserve">CHMP’s Day 120 List of Questions, and Day 180 List of Outstanding Issues. Relevant information reported from these </w:t>
      </w:r>
      <w:r w:rsidRPr="005C2FCA">
        <w:rPr>
          <w:rFonts w:eastAsia="Times New Roman"/>
          <w:kern w:val="16"/>
          <w:szCs w:val="24"/>
          <w:lang w:eastAsia="en-AU"/>
        </w:rPr>
        <w:t>in vitro</w:t>
      </w:r>
      <w:r w:rsidRPr="007709B8">
        <w:rPr>
          <w:rFonts w:eastAsia="Times New Roman"/>
          <w:kern w:val="16"/>
          <w:szCs w:val="24"/>
          <w:lang w:eastAsia="en-AU"/>
        </w:rPr>
        <w:t xml:space="preserve"> human biomaterial studies has been inc</w:t>
      </w:r>
      <w:r w:rsidRPr="00C94C33">
        <w:rPr>
          <w:rFonts w:eastAsia="Times New Roman"/>
          <w:kern w:val="16"/>
          <w:szCs w:val="24"/>
          <w:lang w:eastAsia="en-AU"/>
        </w:rPr>
        <w:t xml:space="preserve">orporated into the body of this CER. However, primary evaluation of these </w:t>
      </w:r>
      <w:r w:rsidRPr="005C2FCA">
        <w:rPr>
          <w:rFonts w:eastAsia="Times New Roman"/>
          <w:kern w:val="16"/>
          <w:szCs w:val="24"/>
          <w:lang w:eastAsia="en-AU"/>
        </w:rPr>
        <w:t>in vitro</w:t>
      </w:r>
      <w:r w:rsidRPr="007709B8">
        <w:rPr>
          <w:rFonts w:eastAsia="Times New Roman"/>
          <w:kern w:val="16"/>
          <w:szCs w:val="24"/>
          <w:lang w:eastAsia="en-AU"/>
        </w:rPr>
        <w:t xml:space="preserve"> </w:t>
      </w:r>
      <w:r w:rsidRPr="00C94C33">
        <w:rPr>
          <w:rFonts w:eastAsia="Times New Roman"/>
          <w:kern w:val="16"/>
          <w:szCs w:val="24"/>
          <w:lang w:eastAsia="en-AU"/>
        </w:rPr>
        <w:t>studies rests with the non-clinical evaluator.</w:t>
      </w:r>
    </w:p>
    <w:p w14:paraId="0523C690" w14:textId="77777777" w:rsidR="00DF61BC" w:rsidRPr="00C94C33" w:rsidRDefault="00DF61BC" w:rsidP="00955252">
      <w:pPr>
        <w:pStyle w:val="Heading4"/>
      </w:pPr>
      <w:bookmarkStart w:id="41" w:name="_Toc470948469"/>
      <w:r w:rsidRPr="00C94C33">
        <w:t>Bioanalytical reports (in vitro)</w:t>
      </w:r>
      <w:bookmarkEnd w:id="41"/>
    </w:p>
    <w:p w14:paraId="48852322" w14:textId="719B88AA" w:rsidR="00DF61BC" w:rsidRPr="00C94C33" w:rsidRDefault="00DF61BC" w:rsidP="001C7D06">
      <w:pPr>
        <w:autoSpaceDE w:val="0"/>
        <w:autoSpaceDN w:val="0"/>
        <w:adjustRightInd w:val="0"/>
        <w:spacing w:before="0" w:line="240" w:lineRule="auto"/>
        <w:rPr>
          <w:rFonts w:eastAsia="Times New Roman"/>
          <w:lang w:eastAsia="en-AU"/>
        </w:rPr>
      </w:pPr>
      <w:r w:rsidRPr="00C94C33">
        <w:rPr>
          <w:rFonts w:eastAsia="Times New Roman"/>
          <w:kern w:val="16"/>
          <w:lang w:eastAsia="en-AU"/>
        </w:rPr>
        <w:t xml:space="preserve">In addition to clinical studies, the submission also included a number of </w:t>
      </w:r>
      <w:r w:rsidRPr="005C2FCA">
        <w:rPr>
          <w:rFonts w:eastAsia="Times New Roman"/>
          <w:kern w:val="16"/>
          <w:lang w:eastAsia="en-AU"/>
        </w:rPr>
        <w:t>in vitro</w:t>
      </w:r>
      <w:r w:rsidRPr="007709B8">
        <w:rPr>
          <w:rFonts w:eastAsia="Times New Roman"/>
          <w:kern w:val="16"/>
          <w:lang w:eastAsia="en-AU"/>
        </w:rPr>
        <w:t xml:space="preserve"> validation</w:t>
      </w:r>
      <w:r w:rsidRPr="00C94C33">
        <w:rPr>
          <w:rFonts w:eastAsia="Times New Roman"/>
          <w:kern w:val="16"/>
          <w:lang w:eastAsia="en-AU"/>
        </w:rPr>
        <w:t xml:space="preserve"> reports summarising the analytical methods used to assess plasma and urine concentrations of trifluridine (FTD), tipiracil (TPI), and metabolites in plasma and urine. </w:t>
      </w:r>
      <w:r w:rsidRPr="00C94C33">
        <w:rPr>
          <w:rFonts w:eastAsia="Times New Roman"/>
          <w:lang w:eastAsia="en-AU"/>
        </w:rPr>
        <w:t>Plasma and urine concentrations of FTD and TPI, along with their metabolites, were determined by validated liquid chromatography tandem mass spectrometry (LC-MS/MS).</w:t>
      </w:r>
      <w:r w:rsidRPr="00C94C33">
        <w:rPr>
          <w:rFonts w:eastAsia="Times New Roman"/>
          <w:kern w:val="16"/>
          <w:lang w:eastAsia="en-AU"/>
        </w:rPr>
        <w:t xml:space="preserve"> </w:t>
      </w:r>
      <w:r w:rsidRPr="00C94C33">
        <w:rPr>
          <w:rFonts w:eastAsia="Times New Roman"/>
          <w:lang w:eastAsia="en-AU"/>
        </w:rPr>
        <w:t>The dose of TAS-102 was expressed on the basis of the milligram content of FTD, and</w:t>
      </w:r>
      <w:r w:rsidRPr="00C94C33">
        <w:rPr>
          <w:rFonts w:eastAsia="Times New Roman"/>
          <w:kern w:val="16"/>
          <w:lang w:eastAsia="en-AU"/>
        </w:rPr>
        <w:t xml:space="preserve"> </w:t>
      </w:r>
      <w:r w:rsidRPr="00C94C33">
        <w:rPr>
          <w:rFonts w:eastAsia="Times New Roman"/>
          <w:lang w:eastAsia="en-AU"/>
        </w:rPr>
        <w:t>concentrations of FTD and metabolites were calculated as for the free form. For TPI, the</w:t>
      </w:r>
      <w:r w:rsidRPr="00C94C33">
        <w:rPr>
          <w:rFonts w:eastAsia="Times New Roman"/>
          <w:kern w:val="16"/>
          <w:lang w:eastAsia="en-AU"/>
        </w:rPr>
        <w:t xml:space="preserve"> </w:t>
      </w:r>
      <w:r w:rsidRPr="00C94C33">
        <w:rPr>
          <w:rFonts w:eastAsia="Times New Roman"/>
          <w:lang w:eastAsia="en-AU"/>
        </w:rPr>
        <w:t>concentrations were measured as the TPI free form, and the measured concentrations were converted to the equivalent of the hydrochloride form before being subjected to PK analysis. The sponsor comments that bioanalytical methods were sensitive, selective, accurate and reproducible. The primary responsibility for evaluation of the in vitro bioanalytical reports rests wit</w:t>
      </w:r>
      <w:r w:rsidR="00FB45D2" w:rsidRPr="00C94C33">
        <w:rPr>
          <w:rFonts w:eastAsia="Times New Roman"/>
          <w:lang w:eastAsia="en-AU"/>
        </w:rPr>
        <w:t xml:space="preserve">h the pharmaceutical chemistry </w:t>
      </w:r>
      <w:r w:rsidRPr="00C94C33">
        <w:rPr>
          <w:rFonts w:eastAsia="Times New Roman"/>
          <w:lang w:eastAsia="en-AU"/>
        </w:rPr>
        <w:t>evaluator</w:t>
      </w:r>
      <w:r w:rsidRPr="00C94C33">
        <w:rPr>
          <w:rFonts w:ascii="Times New Roman" w:eastAsia="Times New Roman" w:hAnsi="Times New Roman"/>
          <w:sz w:val="24"/>
          <w:szCs w:val="24"/>
          <w:lang w:eastAsia="en-AU"/>
        </w:rPr>
        <w:t>.</w:t>
      </w:r>
    </w:p>
    <w:p w14:paraId="36A19842" w14:textId="77777777" w:rsidR="00DF61BC" w:rsidRPr="00C94C33" w:rsidRDefault="00DF61BC" w:rsidP="00955252">
      <w:pPr>
        <w:pStyle w:val="Heading3"/>
      </w:pPr>
      <w:bookmarkStart w:id="42" w:name="_Ref269118175"/>
      <w:bookmarkStart w:id="43" w:name="_Toc272414616"/>
      <w:bookmarkStart w:id="44" w:name="_Toc290846239"/>
      <w:bookmarkStart w:id="45" w:name="_Toc470948470"/>
      <w:bookmarkStart w:id="46" w:name="_Toc510016868"/>
      <w:r w:rsidRPr="00C94C33">
        <w:t>Summary of pharmacokinetics</w:t>
      </w:r>
      <w:bookmarkEnd w:id="42"/>
      <w:bookmarkEnd w:id="43"/>
      <w:bookmarkEnd w:id="44"/>
      <w:bookmarkEnd w:id="45"/>
      <w:bookmarkEnd w:id="46"/>
    </w:p>
    <w:p w14:paraId="705AEBB3" w14:textId="76D6DA3D" w:rsidR="00DF61BC" w:rsidRPr="00C94C33" w:rsidRDefault="00DF61BC" w:rsidP="001C7D0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szCs w:val="24"/>
          <w:lang w:eastAsia="en-AU"/>
        </w:rPr>
      </w:pPr>
      <w:r w:rsidRPr="00C94C33">
        <w:rPr>
          <w:rFonts w:eastAsia="Times New Roman"/>
          <w:kern w:val="16"/>
          <w:szCs w:val="24"/>
          <w:lang w:eastAsia="en-AU"/>
        </w:rPr>
        <w:t>The information in the following summary is derived from conventional pharmacokinetic studies unless otherwise stated.</w:t>
      </w:r>
    </w:p>
    <w:p w14:paraId="6B11160E" w14:textId="77777777" w:rsidR="00DF61BC" w:rsidRPr="00C94C33" w:rsidRDefault="00DF61BC" w:rsidP="00955252">
      <w:pPr>
        <w:pStyle w:val="Heading4"/>
      </w:pPr>
      <w:bookmarkStart w:id="47" w:name="_Toc272414617"/>
      <w:bookmarkStart w:id="48" w:name="_Toc290846240"/>
      <w:bookmarkStart w:id="49" w:name="_Toc470948471"/>
      <w:r w:rsidRPr="00C94C33">
        <w:t>Physicochemical characteristics of the active substance</w:t>
      </w:r>
      <w:bookmarkEnd w:id="47"/>
      <w:bookmarkEnd w:id="48"/>
      <w:bookmarkEnd w:id="49"/>
    </w:p>
    <w:p w14:paraId="098803CF" w14:textId="2B7F595C" w:rsidR="00DF61BC" w:rsidRPr="00C94C33" w:rsidRDefault="00DF61BC" w:rsidP="00DF61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rPr>
          <w:rFonts w:eastAsia="Times New Roman"/>
          <w:kern w:val="16"/>
          <w:szCs w:val="24"/>
          <w:lang w:eastAsia="en-AU"/>
        </w:rPr>
      </w:pPr>
      <w:r w:rsidRPr="00C94C33">
        <w:rPr>
          <w:rFonts w:eastAsia="Times New Roman"/>
          <w:kern w:val="16"/>
          <w:szCs w:val="24"/>
          <w:lang w:eastAsia="en-AU"/>
        </w:rPr>
        <w:t>The following information is derived from the sponsor’s summaries.</w:t>
      </w:r>
    </w:p>
    <w:p w14:paraId="4206E541" w14:textId="4F93FA5C" w:rsidR="00DF61BC" w:rsidRPr="00C94C33" w:rsidRDefault="00DF61BC" w:rsidP="00955252">
      <w:pPr>
        <w:pStyle w:val="Heading5"/>
        <w:rPr>
          <w:lang w:eastAsia="en-AU"/>
        </w:rPr>
      </w:pPr>
      <w:r w:rsidRPr="00C94C33">
        <w:rPr>
          <w:lang w:eastAsia="en-AU"/>
        </w:rPr>
        <w:t>Trifluridine</w:t>
      </w:r>
    </w:p>
    <w:p w14:paraId="1D95CC47" w14:textId="7AF87063" w:rsidR="00DF61BC" w:rsidRPr="00C94C33" w:rsidRDefault="00DF61BC" w:rsidP="001C7D0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lang w:eastAsia="en-AU"/>
        </w:rPr>
      </w:pPr>
      <w:r w:rsidRPr="00C94C33">
        <w:rPr>
          <w:rFonts w:eastAsia="Times New Roman"/>
          <w:kern w:val="16"/>
          <w:lang w:eastAsia="en-AU"/>
        </w:rPr>
        <w:t xml:space="preserve">The chemical structure of trifluridine is provided below and the physicochemical properties are summarised below. The molecular formula of trifluridine is </w:t>
      </w:r>
      <w:r w:rsidRPr="00C94C33">
        <w:rPr>
          <w:rFonts w:eastAsia="Times New Roman"/>
          <w:lang w:eastAsia="en-AU"/>
        </w:rPr>
        <w:t>C</w:t>
      </w:r>
      <w:r w:rsidRPr="00C94C33">
        <w:rPr>
          <w:rFonts w:eastAsia="Times New Roman"/>
          <w:vertAlign w:val="subscript"/>
          <w:lang w:eastAsia="en-AU"/>
        </w:rPr>
        <w:t>10</w:t>
      </w:r>
      <w:r w:rsidRPr="00C94C33">
        <w:rPr>
          <w:rFonts w:eastAsia="Times New Roman"/>
          <w:lang w:eastAsia="en-AU"/>
        </w:rPr>
        <w:t>H</w:t>
      </w:r>
      <w:r w:rsidRPr="00C94C33">
        <w:rPr>
          <w:rFonts w:eastAsia="Times New Roman"/>
          <w:vertAlign w:val="subscript"/>
          <w:lang w:eastAsia="en-AU"/>
        </w:rPr>
        <w:t>11</w:t>
      </w:r>
      <w:r w:rsidRPr="00C94C33">
        <w:rPr>
          <w:rFonts w:eastAsia="Times New Roman"/>
          <w:lang w:eastAsia="en-AU"/>
        </w:rPr>
        <w:t>F</w:t>
      </w:r>
      <w:r w:rsidRPr="00C94C33">
        <w:rPr>
          <w:rFonts w:eastAsia="Times New Roman"/>
          <w:vertAlign w:val="subscript"/>
          <w:lang w:eastAsia="en-AU"/>
        </w:rPr>
        <w:t>3</w:t>
      </w:r>
      <w:r w:rsidRPr="00C94C33">
        <w:rPr>
          <w:rFonts w:eastAsia="Times New Roman"/>
          <w:lang w:eastAsia="en-AU"/>
        </w:rPr>
        <w:t>N</w:t>
      </w:r>
      <w:r w:rsidRPr="00C94C33">
        <w:rPr>
          <w:rFonts w:eastAsia="Times New Roman"/>
          <w:vertAlign w:val="subscript"/>
          <w:lang w:eastAsia="en-AU"/>
        </w:rPr>
        <w:t>2</w:t>
      </w:r>
      <w:r w:rsidRPr="00C94C33">
        <w:rPr>
          <w:rFonts w:eastAsia="Times New Roman"/>
          <w:lang w:eastAsia="en-AU"/>
        </w:rPr>
        <w:t>O</w:t>
      </w:r>
      <w:r w:rsidRPr="00C94C33">
        <w:rPr>
          <w:rFonts w:eastAsia="Times New Roman"/>
          <w:vertAlign w:val="subscript"/>
          <w:lang w:eastAsia="en-AU"/>
        </w:rPr>
        <w:t>5</w:t>
      </w:r>
      <w:r w:rsidRPr="00C94C33">
        <w:rPr>
          <w:rFonts w:eastAsia="Times New Roman"/>
          <w:lang w:eastAsia="en-AU"/>
        </w:rPr>
        <w:t xml:space="preserve"> and the relative molecular mass is 296.20.</w:t>
      </w:r>
    </w:p>
    <w:p w14:paraId="16CA7538" w14:textId="27FC856B" w:rsidR="00DF61BC" w:rsidRPr="00C94C33" w:rsidRDefault="00DF61BC" w:rsidP="0058475B">
      <w:pPr>
        <w:pStyle w:val="Tabletitle"/>
        <w:rPr>
          <w:sz w:val="18"/>
          <w:lang w:eastAsia="en-AU"/>
        </w:rPr>
      </w:pPr>
      <w:bookmarkStart w:id="50" w:name="_Toc470948796"/>
      <w:r w:rsidRPr="00C94C33">
        <w:rPr>
          <w:kern w:val="16"/>
          <w:lang w:eastAsia="en-AU"/>
        </w:rPr>
        <w:t>Figure</w:t>
      </w:r>
      <w:r w:rsidR="006103BA" w:rsidRPr="00C94C33">
        <w:rPr>
          <w:kern w:val="16"/>
          <w:lang w:eastAsia="en-AU"/>
        </w:rPr>
        <w:t xml:space="preserve"> 1</w:t>
      </w:r>
      <w:r w:rsidRPr="00C94C33">
        <w:rPr>
          <w:kern w:val="16"/>
          <w:lang w:eastAsia="en-AU"/>
        </w:rPr>
        <w:t xml:space="preserve">: </w:t>
      </w:r>
      <w:r w:rsidRPr="00C94C33">
        <w:rPr>
          <w:lang w:eastAsia="en-AU"/>
        </w:rPr>
        <w:t>Chemical structure of trifluridine</w:t>
      </w:r>
      <w:bookmarkEnd w:id="50"/>
    </w:p>
    <w:p w14:paraId="6FFFAC60" w14:textId="30AB8DE4" w:rsidR="00DF61BC" w:rsidRPr="007709B8" w:rsidRDefault="00ED2BC9" w:rsidP="00DF61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rPr>
          <w:rFonts w:eastAsia="Times New Roman"/>
          <w:lang w:eastAsia="en-AU"/>
        </w:rPr>
      </w:pPr>
      <w:r>
        <w:rPr>
          <w:noProof/>
          <w:lang w:eastAsia="en-AU"/>
        </w:rPr>
        <w:drawing>
          <wp:inline distT="0" distB="0" distL="0" distR="0" wp14:anchorId="1FE4C8D1" wp14:editId="26F8BDF6">
            <wp:extent cx="1828272" cy="1483557"/>
            <wp:effectExtent l="0" t="0" r="635" b="2540"/>
            <wp:docPr id="2093" name="Picture 5" descr="Figure 1: Chemical structure of triflurid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 name="Picture 5" descr="Figure 1: Chemical structure of trifluridine. "/>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272" cy="1483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E84C035" w14:textId="1D9732AA" w:rsidR="00DF61BC" w:rsidRPr="00C94C33" w:rsidRDefault="00DF61BC" w:rsidP="0058475B">
      <w:pPr>
        <w:pStyle w:val="Tabletitle"/>
        <w:rPr>
          <w:lang w:eastAsia="en-AU"/>
        </w:rPr>
      </w:pPr>
      <w:bookmarkStart w:id="51" w:name="_Toc470948651"/>
      <w:r w:rsidRPr="00C94C33">
        <w:rPr>
          <w:lang w:eastAsia="en-AU"/>
        </w:rPr>
        <w:t xml:space="preserve">Table </w:t>
      </w:r>
      <w:r w:rsidR="001C7D06" w:rsidRPr="00C94C33">
        <w:rPr>
          <w:lang w:eastAsia="en-AU"/>
        </w:rPr>
        <w:t xml:space="preserve">2: </w:t>
      </w:r>
      <w:r w:rsidRPr="00C94C33">
        <w:rPr>
          <w:lang w:eastAsia="en-AU"/>
        </w:rPr>
        <w:t>Physicochemical properties of trifluridine</w:t>
      </w:r>
      <w:bookmarkEnd w:id="51"/>
    </w:p>
    <w:p w14:paraId="05CE894C" w14:textId="77777777" w:rsidR="00DF61BC" w:rsidRPr="00C94C33" w:rsidRDefault="00DF61BC" w:rsidP="00DF61BC">
      <w:pPr>
        <w:kinsoku w:val="0"/>
        <w:overflowPunct w:val="0"/>
        <w:autoSpaceDE w:val="0"/>
        <w:autoSpaceDN w:val="0"/>
        <w:adjustRightInd w:val="0"/>
        <w:spacing w:before="10" w:after="0" w:line="240" w:lineRule="auto"/>
        <w:rPr>
          <w:rFonts w:ascii="Times New Roman" w:eastAsia="Times New Roman" w:hAnsi="Times New Roman"/>
          <w:sz w:val="6"/>
          <w:szCs w:val="6"/>
          <w:lang w:eastAsia="en-AU"/>
        </w:rPr>
      </w:pPr>
    </w:p>
    <w:tbl>
      <w:tblPr>
        <w:tblW w:w="0" w:type="auto"/>
        <w:tblInd w:w="112" w:type="dxa"/>
        <w:tblLayout w:type="fixed"/>
        <w:tblCellMar>
          <w:left w:w="0" w:type="dxa"/>
          <w:right w:w="0" w:type="dxa"/>
        </w:tblCellMar>
        <w:tblLook w:val="0000" w:firstRow="0" w:lastRow="0" w:firstColumn="0" w:lastColumn="0" w:noHBand="0" w:noVBand="0"/>
      </w:tblPr>
      <w:tblGrid>
        <w:gridCol w:w="2164"/>
        <w:gridCol w:w="6912"/>
      </w:tblGrid>
      <w:tr w:rsidR="00DF61BC" w:rsidRPr="00C94C33" w14:paraId="45812E34" w14:textId="77777777" w:rsidTr="00ED2BC9">
        <w:trPr>
          <w:trHeight w:hRule="exact" w:val="367"/>
          <w:tblHeader/>
        </w:trPr>
        <w:tc>
          <w:tcPr>
            <w:tcW w:w="21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75EC7E" w14:textId="77777777" w:rsidR="00DF61BC" w:rsidRPr="00C94C33" w:rsidRDefault="00DF61BC" w:rsidP="00ED2BC9">
            <w:pPr>
              <w:pStyle w:val="TableHeading"/>
            </w:pPr>
            <w:r w:rsidRPr="00C94C33">
              <w:t>Item</w:t>
            </w:r>
          </w:p>
        </w:tc>
        <w:tc>
          <w:tcPr>
            <w:tcW w:w="691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FE8D57" w14:textId="77777777" w:rsidR="00DF61BC" w:rsidRPr="00C94C33" w:rsidRDefault="00DF61BC" w:rsidP="00ED2BC9">
            <w:pPr>
              <w:pStyle w:val="TableHeading"/>
            </w:pPr>
            <w:r w:rsidRPr="00C94C33">
              <w:t>Physicochemical</w:t>
            </w:r>
            <w:r w:rsidRPr="00C94C33">
              <w:rPr>
                <w:spacing w:val="-24"/>
              </w:rPr>
              <w:t xml:space="preserve"> </w:t>
            </w:r>
            <w:r w:rsidRPr="00C94C33">
              <w:t>Properties</w:t>
            </w:r>
          </w:p>
        </w:tc>
      </w:tr>
      <w:tr w:rsidR="00DF61BC" w:rsidRPr="00C94C33" w14:paraId="678819E1" w14:textId="77777777" w:rsidTr="00E46D84">
        <w:trPr>
          <w:trHeight w:hRule="exact" w:val="365"/>
        </w:trPr>
        <w:tc>
          <w:tcPr>
            <w:tcW w:w="2164" w:type="dxa"/>
            <w:tcBorders>
              <w:top w:val="single" w:sz="6" w:space="0" w:color="000000"/>
              <w:left w:val="single" w:sz="6" w:space="0" w:color="000000"/>
              <w:bottom w:val="single" w:sz="6" w:space="0" w:color="000000"/>
              <w:right w:val="single" w:sz="6" w:space="0" w:color="000000"/>
            </w:tcBorders>
          </w:tcPr>
          <w:p w14:paraId="07D65470" w14:textId="77777777" w:rsidR="00DF61BC" w:rsidRPr="00C94C33" w:rsidRDefault="00DF61BC" w:rsidP="00ED2BC9">
            <w:pPr>
              <w:pStyle w:val="Tabletext"/>
              <w:rPr>
                <w:lang w:eastAsia="en-AU"/>
              </w:rPr>
            </w:pPr>
            <w:r w:rsidRPr="00C94C33">
              <w:rPr>
                <w:lang w:eastAsia="en-AU"/>
              </w:rPr>
              <w:t>Description</w:t>
            </w:r>
          </w:p>
        </w:tc>
        <w:tc>
          <w:tcPr>
            <w:tcW w:w="6912" w:type="dxa"/>
            <w:tcBorders>
              <w:top w:val="single" w:sz="6" w:space="0" w:color="000000"/>
              <w:left w:val="single" w:sz="6" w:space="0" w:color="000000"/>
              <w:bottom w:val="single" w:sz="6" w:space="0" w:color="000000"/>
              <w:right w:val="single" w:sz="6" w:space="0" w:color="000000"/>
            </w:tcBorders>
          </w:tcPr>
          <w:p w14:paraId="44721478" w14:textId="77777777" w:rsidR="00DF61BC" w:rsidRPr="00C94C33" w:rsidRDefault="00DF61BC" w:rsidP="00ED2BC9">
            <w:pPr>
              <w:pStyle w:val="Tabletext"/>
              <w:rPr>
                <w:lang w:eastAsia="en-AU"/>
              </w:rPr>
            </w:pPr>
            <w:r w:rsidRPr="00C94C33">
              <w:rPr>
                <w:spacing w:val="-1"/>
                <w:lang w:eastAsia="en-AU"/>
              </w:rPr>
              <w:t>White</w:t>
            </w:r>
            <w:r w:rsidRPr="00C94C33">
              <w:rPr>
                <w:spacing w:val="-10"/>
                <w:lang w:eastAsia="en-AU"/>
              </w:rPr>
              <w:t xml:space="preserve"> </w:t>
            </w:r>
            <w:r w:rsidRPr="00C94C33">
              <w:rPr>
                <w:spacing w:val="-1"/>
                <w:lang w:eastAsia="en-AU"/>
              </w:rPr>
              <w:t>crystalline</w:t>
            </w:r>
            <w:r w:rsidRPr="00C94C33">
              <w:rPr>
                <w:spacing w:val="-10"/>
                <w:lang w:eastAsia="en-AU"/>
              </w:rPr>
              <w:t xml:space="preserve"> </w:t>
            </w:r>
            <w:r w:rsidRPr="00C94C33">
              <w:rPr>
                <w:lang w:eastAsia="en-AU"/>
              </w:rPr>
              <w:t>powder</w:t>
            </w:r>
          </w:p>
        </w:tc>
      </w:tr>
      <w:tr w:rsidR="00DF61BC" w:rsidRPr="00C94C33" w14:paraId="5DD4A767" w14:textId="77777777" w:rsidTr="00ED2BC9">
        <w:trPr>
          <w:trHeight w:val="57"/>
        </w:trPr>
        <w:tc>
          <w:tcPr>
            <w:tcW w:w="2164" w:type="dxa"/>
            <w:tcBorders>
              <w:top w:val="single" w:sz="6" w:space="0" w:color="000000"/>
              <w:left w:val="single" w:sz="6" w:space="0" w:color="000000"/>
              <w:bottom w:val="single" w:sz="6" w:space="0" w:color="000000"/>
              <w:right w:val="single" w:sz="6" w:space="0" w:color="000000"/>
            </w:tcBorders>
          </w:tcPr>
          <w:p w14:paraId="6B55C838" w14:textId="77777777" w:rsidR="00DF61BC" w:rsidRPr="00C94C33" w:rsidRDefault="00DF61BC" w:rsidP="00ED2BC9">
            <w:pPr>
              <w:pStyle w:val="Tabletext"/>
              <w:rPr>
                <w:lang w:eastAsia="en-AU"/>
              </w:rPr>
            </w:pPr>
            <w:r w:rsidRPr="00C94C33">
              <w:rPr>
                <w:lang w:eastAsia="en-AU"/>
              </w:rPr>
              <w:t>Solubility</w:t>
            </w:r>
          </w:p>
        </w:tc>
        <w:tc>
          <w:tcPr>
            <w:tcW w:w="6912" w:type="dxa"/>
            <w:tcBorders>
              <w:top w:val="single" w:sz="6" w:space="0" w:color="000000"/>
              <w:left w:val="single" w:sz="6" w:space="0" w:color="000000"/>
              <w:bottom w:val="single" w:sz="6" w:space="0" w:color="000000"/>
              <w:right w:val="single" w:sz="6" w:space="0" w:color="000000"/>
            </w:tcBorders>
          </w:tcPr>
          <w:p w14:paraId="6DFB540F" w14:textId="3087C1F6" w:rsidR="00DF61BC" w:rsidRPr="00C94C33" w:rsidRDefault="00DF61BC" w:rsidP="00ED2BC9">
            <w:pPr>
              <w:pStyle w:val="Tabletext"/>
              <w:rPr>
                <w:lang w:eastAsia="en-AU"/>
              </w:rPr>
            </w:pPr>
            <w:r w:rsidRPr="00C94C33">
              <w:rPr>
                <w:lang w:eastAsia="en-AU"/>
              </w:rPr>
              <w:t>The solubility in water is 4.45 x 10 mg/mL. The s</w:t>
            </w:r>
            <w:r w:rsidR="00323CC6" w:rsidRPr="00C94C33">
              <w:rPr>
                <w:lang w:eastAsia="en-AU"/>
              </w:rPr>
              <w:t>olubility dissolved in Britton-</w:t>
            </w:r>
            <w:r w:rsidRPr="00C94C33">
              <w:rPr>
                <w:lang w:eastAsia="en-AU"/>
              </w:rPr>
              <w:t>Robinson buffer with various pHs (pH 2 to pH 12) at 20</w:t>
            </w:r>
            <w:r w:rsidR="00323CC6" w:rsidRPr="00C94C33">
              <w:rPr>
                <w:lang w:eastAsia="en-AU"/>
              </w:rPr>
              <w:t xml:space="preserve">°C is between 44.3 mg/mL and </w:t>
            </w:r>
            <w:r w:rsidR="00ED2BC9">
              <w:rPr>
                <w:lang w:eastAsia="en-AU"/>
              </w:rPr>
              <w:t>57.1 mg/mL.</w:t>
            </w:r>
          </w:p>
        </w:tc>
      </w:tr>
      <w:tr w:rsidR="00DF61BC" w:rsidRPr="00C94C33" w14:paraId="7BFF3D32" w14:textId="77777777" w:rsidTr="00ED2BC9">
        <w:trPr>
          <w:trHeight w:val="57"/>
        </w:trPr>
        <w:tc>
          <w:tcPr>
            <w:tcW w:w="2164" w:type="dxa"/>
            <w:tcBorders>
              <w:top w:val="single" w:sz="6" w:space="0" w:color="000000"/>
              <w:left w:val="single" w:sz="6" w:space="0" w:color="000000"/>
              <w:bottom w:val="single" w:sz="6" w:space="0" w:color="000000"/>
              <w:right w:val="single" w:sz="6" w:space="0" w:color="000000"/>
            </w:tcBorders>
          </w:tcPr>
          <w:p w14:paraId="4227003F" w14:textId="77777777" w:rsidR="00DF61BC" w:rsidRPr="00C94C33" w:rsidRDefault="00DF61BC" w:rsidP="00ED2BC9">
            <w:pPr>
              <w:pStyle w:val="Tabletext"/>
              <w:rPr>
                <w:lang w:eastAsia="en-AU"/>
              </w:rPr>
            </w:pPr>
            <w:r w:rsidRPr="00C94C33">
              <w:rPr>
                <w:lang w:eastAsia="en-AU"/>
              </w:rPr>
              <w:t>Hygroscopicity</w:t>
            </w:r>
          </w:p>
        </w:tc>
        <w:tc>
          <w:tcPr>
            <w:tcW w:w="6912" w:type="dxa"/>
            <w:tcBorders>
              <w:top w:val="single" w:sz="6" w:space="0" w:color="000000"/>
              <w:left w:val="single" w:sz="6" w:space="0" w:color="000000"/>
              <w:bottom w:val="single" w:sz="6" w:space="0" w:color="000000"/>
              <w:right w:val="single" w:sz="6" w:space="0" w:color="000000"/>
            </w:tcBorders>
          </w:tcPr>
          <w:p w14:paraId="6D4144F4" w14:textId="77777777" w:rsidR="00DF61BC" w:rsidRPr="00C94C33" w:rsidRDefault="00DF61BC" w:rsidP="00ED2BC9">
            <w:pPr>
              <w:pStyle w:val="Tabletext"/>
              <w:rPr>
                <w:lang w:eastAsia="en-AU"/>
              </w:rPr>
            </w:pPr>
            <w:r w:rsidRPr="00C94C33">
              <w:rPr>
                <w:lang w:eastAsia="en-AU"/>
              </w:rPr>
              <w:t>No hygroscopicity of FTD was observed in the water</w:t>
            </w:r>
            <w:r w:rsidR="00323CC6" w:rsidRPr="00C94C33">
              <w:rPr>
                <w:lang w:eastAsia="en-AU"/>
              </w:rPr>
              <w:t xml:space="preserve"> adsorption-desorption isotherm </w:t>
            </w:r>
            <w:r w:rsidRPr="00C94C33">
              <w:rPr>
                <w:lang w:eastAsia="en-AU"/>
              </w:rPr>
              <w:t>at 25</w:t>
            </w:r>
            <w:r w:rsidRPr="00C94C33">
              <w:rPr>
                <w:vertAlign w:val="superscript"/>
                <w:lang w:eastAsia="en-AU"/>
              </w:rPr>
              <w:t>o</w:t>
            </w:r>
            <w:r w:rsidRPr="00C94C33">
              <w:rPr>
                <w:lang w:eastAsia="en-AU"/>
              </w:rPr>
              <w:t>C, 0% RH – 90% RH.</w:t>
            </w:r>
          </w:p>
        </w:tc>
      </w:tr>
      <w:tr w:rsidR="00DF61BC" w:rsidRPr="00C94C33" w14:paraId="2BDBA8E6" w14:textId="77777777" w:rsidTr="00ED2BC9">
        <w:trPr>
          <w:trHeight w:val="57"/>
        </w:trPr>
        <w:tc>
          <w:tcPr>
            <w:tcW w:w="2164" w:type="dxa"/>
            <w:tcBorders>
              <w:top w:val="single" w:sz="6" w:space="0" w:color="000000"/>
              <w:left w:val="single" w:sz="6" w:space="0" w:color="000000"/>
              <w:bottom w:val="single" w:sz="6" w:space="0" w:color="000000"/>
              <w:right w:val="single" w:sz="6" w:space="0" w:color="000000"/>
            </w:tcBorders>
          </w:tcPr>
          <w:p w14:paraId="09DBB169" w14:textId="77777777" w:rsidR="00DF61BC" w:rsidRPr="00C94C33" w:rsidRDefault="00DF61BC" w:rsidP="00ED2BC9">
            <w:pPr>
              <w:pStyle w:val="Tabletext"/>
              <w:rPr>
                <w:lang w:eastAsia="en-AU"/>
              </w:rPr>
            </w:pPr>
            <w:r w:rsidRPr="00C94C33">
              <w:rPr>
                <w:lang w:eastAsia="en-AU"/>
              </w:rPr>
              <w:t>Melting</w:t>
            </w:r>
            <w:r w:rsidRPr="00C94C33">
              <w:rPr>
                <w:spacing w:val="-12"/>
                <w:lang w:eastAsia="en-AU"/>
              </w:rPr>
              <w:t xml:space="preserve"> </w:t>
            </w:r>
            <w:r w:rsidRPr="00C94C33">
              <w:rPr>
                <w:lang w:eastAsia="en-AU"/>
              </w:rPr>
              <w:t>point</w:t>
            </w:r>
          </w:p>
        </w:tc>
        <w:tc>
          <w:tcPr>
            <w:tcW w:w="6912" w:type="dxa"/>
            <w:tcBorders>
              <w:top w:val="single" w:sz="6" w:space="0" w:color="000000"/>
              <w:left w:val="single" w:sz="6" w:space="0" w:color="000000"/>
              <w:bottom w:val="single" w:sz="6" w:space="0" w:color="000000"/>
              <w:right w:val="single" w:sz="6" w:space="0" w:color="000000"/>
            </w:tcBorders>
          </w:tcPr>
          <w:p w14:paraId="4C31C191" w14:textId="77777777" w:rsidR="00DF61BC" w:rsidRPr="00C94C33" w:rsidRDefault="00DF61BC" w:rsidP="00ED2BC9">
            <w:pPr>
              <w:pStyle w:val="Tabletext"/>
              <w:rPr>
                <w:lang w:eastAsia="en-AU"/>
              </w:rPr>
            </w:pPr>
            <w:r w:rsidRPr="00C94C33">
              <w:rPr>
                <w:lang w:eastAsia="en-AU"/>
              </w:rPr>
              <w:t>The melting point was 180°C with decomposition.</w:t>
            </w:r>
          </w:p>
        </w:tc>
      </w:tr>
      <w:tr w:rsidR="00DF61BC" w:rsidRPr="00C94C33" w14:paraId="58AACBDC" w14:textId="77777777" w:rsidTr="00ED2BC9">
        <w:trPr>
          <w:trHeight w:val="57"/>
        </w:trPr>
        <w:tc>
          <w:tcPr>
            <w:tcW w:w="2164" w:type="dxa"/>
            <w:tcBorders>
              <w:top w:val="single" w:sz="6" w:space="0" w:color="000000"/>
              <w:left w:val="single" w:sz="6" w:space="0" w:color="000000"/>
              <w:bottom w:val="single" w:sz="6" w:space="0" w:color="000000"/>
              <w:right w:val="single" w:sz="6" w:space="0" w:color="000000"/>
            </w:tcBorders>
          </w:tcPr>
          <w:p w14:paraId="24EB5580" w14:textId="77777777" w:rsidR="00DF61BC" w:rsidRPr="00C94C33" w:rsidRDefault="00DF61BC" w:rsidP="00ED2BC9">
            <w:pPr>
              <w:pStyle w:val="Tabletext"/>
              <w:rPr>
                <w:lang w:eastAsia="en-AU"/>
              </w:rPr>
            </w:pPr>
            <w:r w:rsidRPr="00C94C33">
              <w:rPr>
                <w:spacing w:val="-1"/>
                <w:lang w:eastAsia="en-AU"/>
              </w:rPr>
              <w:t>Thermal</w:t>
            </w:r>
            <w:r w:rsidRPr="00C94C33">
              <w:rPr>
                <w:spacing w:val="-14"/>
                <w:lang w:eastAsia="en-AU"/>
              </w:rPr>
              <w:t xml:space="preserve"> </w:t>
            </w:r>
            <w:r w:rsidRPr="00C94C33">
              <w:rPr>
                <w:lang w:eastAsia="en-AU"/>
              </w:rPr>
              <w:t>analysis</w:t>
            </w:r>
          </w:p>
        </w:tc>
        <w:tc>
          <w:tcPr>
            <w:tcW w:w="6912" w:type="dxa"/>
            <w:tcBorders>
              <w:top w:val="single" w:sz="6" w:space="0" w:color="000000"/>
              <w:left w:val="single" w:sz="6" w:space="0" w:color="000000"/>
              <w:bottom w:val="single" w:sz="6" w:space="0" w:color="000000"/>
              <w:right w:val="single" w:sz="6" w:space="0" w:color="000000"/>
            </w:tcBorders>
          </w:tcPr>
          <w:p w14:paraId="733BD016" w14:textId="75FBE0CD" w:rsidR="00DF61BC" w:rsidRPr="00C94C33" w:rsidRDefault="00DF61BC" w:rsidP="00ED2BC9">
            <w:pPr>
              <w:pStyle w:val="Tabletext"/>
              <w:rPr>
                <w:kern w:val="16"/>
                <w:lang w:eastAsia="en-AU"/>
              </w:rPr>
            </w:pPr>
            <w:r w:rsidRPr="00C94C33">
              <w:rPr>
                <w:kern w:val="16"/>
                <w:lang w:eastAsia="en-AU"/>
              </w:rPr>
              <w:t>Thermal analysis (TG/DTA and DSC) of FTD was pe</w:t>
            </w:r>
            <w:r w:rsidR="00323CC6" w:rsidRPr="00C94C33">
              <w:rPr>
                <w:kern w:val="16"/>
                <w:lang w:eastAsia="en-AU"/>
              </w:rPr>
              <w:t xml:space="preserve">rformed. The obtained TG curve </w:t>
            </w:r>
            <w:r w:rsidRPr="00C94C33">
              <w:rPr>
                <w:kern w:val="16"/>
                <w:lang w:eastAsia="en-AU"/>
              </w:rPr>
              <w:t>and the DTA curve showed endothermic and ex</w:t>
            </w:r>
            <w:r w:rsidR="00323CC6" w:rsidRPr="00C94C33">
              <w:rPr>
                <w:kern w:val="16"/>
                <w:lang w:eastAsia="en-AU"/>
              </w:rPr>
              <w:t xml:space="preserve">othermic peaks </w:t>
            </w:r>
            <w:r w:rsidR="00323CC6" w:rsidRPr="00C94C33">
              <w:rPr>
                <w:kern w:val="16"/>
                <w:lang w:eastAsia="en-AU"/>
              </w:rPr>
              <w:lastRenderedPageBreak/>
              <w:t>accompanied by</w:t>
            </w:r>
            <w:r w:rsidRPr="00C94C33">
              <w:rPr>
                <w:kern w:val="16"/>
                <w:lang w:eastAsia="en-AU"/>
              </w:rPr>
              <w:t xml:space="preserve"> weight decrease at a temperature range from 170</w:t>
            </w:r>
            <w:r w:rsidRPr="00C94C33">
              <w:rPr>
                <w:kern w:val="16"/>
                <w:vertAlign w:val="superscript"/>
                <w:lang w:eastAsia="en-AU"/>
              </w:rPr>
              <w:t>o</w:t>
            </w:r>
            <w:r w:rsidRPr="00C94C33">
              <w:rPr>
                <w:kern w:val="16"/>
                <w:lang w:eastAsia="en-AU"/>
              </w:rPr>
              <w:t>C to 210</w:t>
            </w:r>
            <w:r w:rsidRPr="00C94C33">
              <w:rPr>
                <w:kern w:val="16"/>
                <w:vertAlign w:val="superscript"/>
                <w:lang w:eastAsia="en-AU"/>
              </w:rPr>
              <w:t>o</w:t>
            </w:r>
            <w:r w:rsidR="00323CC6" w:rsidRPr="00C94C33">
              <w:rPr>
                <w:kern w:val="16"/>
                <w:lang w:eastAsia="en-AU"/>
              </w:rPr>
              <w:t xml:space="preserve">C, which indicates that </w:t>
            </w:r>
            <w:r w:rsidRPr="00C94C33">
              <w:rPr>
                <w:kern w:val="16"/>
                <w:lang w:eastAsia="en-AU"/>
              </w:rPr>
              <w:t>melting and decomposition of FTD occur simultaneousl</w:t>
            </w:r>
            <w:r w:rsidR="00323CC6" w:rsidRPr="00C94C33">
              <w:rPr>
                <w:kern w:val="16"/>
                <w:lang w:eastAsia="en-AU"/>
              </w:rPr>
              <w:t>y. The melting point of FTD</w:t>
            </w:r>
            <w:r w:rsidR="007B0D96">
              <w:rPr>
                <w:kern w:val="16"/>
                <w:lang w:eastAsia="en-AU"/>
              </w:rPr>
              <w:t xml:space="preserve"> </w:t>
            </w:r>
            <w:r w:rsidRPr="00C94C33">
              <w:rPr>
                <w:kern w:val="16"/>
                <w:lang w:eastAsia="en-AU"/>
              </w:rPr>
              <w:t>was calculated to be 190</w:t>
            </w:r>
            <w:r w:rsidRPr="00C94C33">
              <w:rPr>
                <w:kern w:val="16"/>
                <w:vertAlign w:val="superscript"/>
                <w:lang w:eastAsia="en-AU"/>
              </w:rPr>
              <w:t>o</w:t>
            </w:r>
            <w:r w:rsidR="00323CC6" w:rsidRPr="00C94C33">
              <w:rPr>
                <w:kern w:val="16"/>
                <w:lang w:eastAsia="en-AU"/>
              </w:rPr>
              <w:t>C from DTA.</w:t>
            </w:r>
          </w:p>
        </w:tc>
      </w:tr>
      <w:tr w:rsidR="00DF61BC" w:rsidRPr="00C94C33" w14:paraId="020AB645" w14:textId="77777777" w:rsidTr="00ED2BC9">
        <w:trPr>
          <w:trHeight w:val="57"/>
        </w:trPr>
        <w:tc>
          <w:tcPr>
            <w:tcW w:w="2164" w:type="dxa"/>
            <w:tcBorders>
              <w:top w:val="single" w:sz="6" w:space="0" w:color="000000"/>
              <w:left w:val="single" w:sz="6" w:space="0" w:color="000000"/>
              <w:bottom w:val="single" w:sz="6" w:space="0" w:color="000000"/>
              <w:right w:val="single" w:sz="6" w:space="0" w:color="000000"/>
            </w:tcBorders>
          </w:tcPr>
          <w:p w14:paraId="2B5B981B" w14:textId="77777777" w:rsidR="00DF61BC" w:rsidRPr="00C94C33" w:rsidRDefault="00DF61BC" w:rsidP="00ED2BC9">
            <w:pPr>
              <w:pStyle w:val="Tabletext"/>
              <w:rPr>
                <w:lang w:eastAsia="en-AU"/>
              </w:rPr>
            </w:pPr>
            <w:r w:rsidRPr="00C94C33">
              <w:rPr>
                <w:lang w:eastAsia="en-AU"/>
              </w:rPr>
              <w:lastRenderedPageBreak/>
              <w:t>UV</w:t>
            </w:r>
            <w:r w:rsidRPr="00C94C33">
              <w:rPr>
                <w:spacing w:val="-11"/>
                <w:lang w:eastAsia="en-AU"/>
              </w:rPr>
              <w:t xml:space="preserve"> </w:t>
            </w:r>
            <w:r w:rsidRPr="00C94C33">
              <w:rPr>
                <w:lang w:eastAsia="en-AU"/>
              </w:rPr>
              <w:t>spectrum</w:t>
            </w:r>
          </w:p>
        </w:tc>
        <w:tc>
          <w:tcPr>
            <w:tcW w:w="6912" w:type="dxa"/>
            <w:tcBorders>
              <w:top w:val="single" w:sz="6" w:space="0" w:color="000000"/>
              <w:left w:val="single" w:sz="6" w:space="0" w:color="000000"/>
              <w:bottom w:val="single" w:sz="6" w:space="0" w:color="000000"/>
              <w:right w:val="single" w:sz="6" w:space="0" w:color="000000"/>
            </w:tcBorders>
          </w:tcPr>
          <w:p w14:paraId="73E70DD6" w14:textId="4C7F6099" w:rsidR="00DF61BC" w:rsidRPr="00C94C33" w:rsidRDefault="00DF61BC" w:rsidP="00ED2BC9">
            <w:pPr>
              <w:pStyle w:val="Tabletext"/>
              <w:rPr>
                <w:lang w:eastAsia="en-AU"/>
              </w:rPr>
            </w:pPr>
            <w:r w:rsidRPr="00C94C33">
              <w:rPr>
                <w:lang w:eastAsia="en-AU"/>
              </w:rPr>
              <w:t>Two wavelengths of maximum absorption</w:t>
            </w:r>
            <w:r w:rsidR="00323CC6" w:rsidRPr="00C94C33">
              <w:rPr>
                <w:lang w:eastAsia="en-AU"/>
              </w:rPr>
              <w:t xml:space="preserve"> between 203 nm and 212 nm, and </w:t>
            </w:r>
            <w:r w:rsidRPr="00C94C33">
              <w:rPr>
                <w:lang w:eastAsia="en-AU"/>
              </w:rPr>
              <w:t>between 260 nm and 262 nm were observed in ultravio</w:t>
            </w:r>
            <w:r w:rsidR="00323CC6" w:rsidRPr="00C94C33">
              <w:rPr>
                <w:lang w:eastAsia="en-AU"/>
              </w:rPr>
              <w:t xml:space="preserve">let-visible (UV-Vis) absorption </w:t>
            </w:r>
            <w:r w:rsidRPr="00C94C33">
              <w:rPr>
                <w:lang w:eastAsia="en-AU"/>
              </w:rPr>
              <w:t xml:space="preserve">spectra of FTD for 20 </w:t>
            </w:r>
            <w:r w:rsidR="009265E3" w:rsidRPr="00C94C33">
              <w:rPr>
                <w:lang w:eastAsia="en-AU"/>
              </w:rPr>
              <w:t>µ</w:t>
            </w:r>
            <w:r w:rsidRPr="00C94C33">
              <w:rPr>
                <w:lang w:eastAsia="en-AU"/>
              </w:rPr>
              <w:t>g/mL solutions of FTD in Britton-Robinson b</w:t>
            </w:r>
            <w:r w:rsidR="00323CC6" w:rsidRPr="00C94C33">
              <w:rPr>
                <w:lang w:eastAsia="en-AU"/>
              </w:rPr>
              <w:t>uffer solution in the range pH 2 – pH 12.</w:t>
            </w:r>
          </w:p>
        </w:tc>
      </w:tr>
      <w:tr w:rsidR="00DF61BC" w:rsidRPr="00C94C33" w14:paraId="0B64D2CD" w14:textId="77777777" w:rsidTr="00ED2BC9">
        <w:trPr>
          <w:trHeight w:val="57"/>
        </w:trPr>
        <w:tc>
          <w:tcPr>
            <w:tcW w:w="2164" w:type="dxa"/>
            <w:tcBorders>
              <w:top w:val="single" w:sz="6" w:space="0" w:color="000000"/>
              <w:left w:val="single" w:sz="6" w:space="0" w:color="000000"/>
              <w:bottom w:val="single" w:sz="6" w:space="0" w:color="000000"/>
              <w:right w:val="single" w:sz="6" w:space="0" w:color="000000"/>
            </w:tcBorders>
          </w:tcPr>
          <w:p w14:paraId="6FFF1B5A" w14:textId="77777777" w:rsidR="00DF61BC" w:rsidRPr="00C94C33" w:rsidRDefault="00DF61BC" w:rsidP="00ED2BC9">
            <w:pPr>
              <w:pStyle w:val="Tabletext"/>
              <w:rPr>
                <w:lang w:eastAsia="en-AU"/>
              </w:rPr>
            </w:pPr>
            <w:r w:rsidRPr="00C94C33">
              <w:rPr>
                <w:lang w:eastAsia="en-AU"/>
              </w:rPr>
              <w:t>Optical</w:t>
            </w:r>
            <w:r w:rsidRPr="00C94C33">
              <w:rPr>
                <w:spacing w:val="-13"/>
                <w:lang w:eastAsia="en-AU"/>
              </w:rPr>
              <w:t xml:space="preserve"> </w:t>
            </w:r>
            <w:r w:rsidRPr="00C94C33">
              <w:rPr>
                <w:lang w:eastAsia="en-AU"/>
              </w:rPr>
              <w:t>rotation</w:t>
            </w:r>
          </w:p>
        </w:tc>
        <w:tc>
          <w:tcPr>
            <w:tcW w:w="6912" w:type="dxa"/>
            <w:tcBorders>
              <w:top w:val="single" w:sz="6" w:space="0" w:color="000000"/>
              <w:left w:val="single" w:sz="6" w:space="0" w:color="000000"/>
              <w:bottom w:val="single" w:sz="6" w:space="0" w:color="000000"/>
              <w:right w:val="single" w:sz="6" w:space="0" w:color="000000"/>
            </w:tcBorders>
          </w:tcPr>
          <w:p w14:paraId="4C664B55" w14:textId="35197E06" w:rsidR="00DF61BC" w:rsidRPr="00ED2BC9" w:rsidRDefault="00DF61BC" w:rsidP="00ED2BC9">
            <w:pPr>
              <w:pStyle w:val="Tabletext"/>
            </w:pPr>
            <w:r w:rsidRPr="00C94C33">
              <w:rPr>
                <w:lang w:eastAsia="en-AU"/>
              </w:rPr>
              <w:t>Measured value (specific rotation): +49° (3</w:t>
            </w:r>
            <w:r w:rsidR="00ED2BC9">
              <w:rPr>
                <w:lang w:eastAsia="en-AU"/>
              </w:rPr>
              <w:t>0 mg/mL, water, 25°C and 20°C).</w:t>
            </w:r>
          </w:p>
        </w:tc>
      </w:tr>
      <w:tr w:rsidR="00DF61BC" w:rsidRPr="00C94C33" w14:paraId="1C24F04A" w14:textId="77777777" w:rsidTr="00ED2BC9">
        <w:trPr>
          <w:trHeight w:val="57"/>
        </w:trPr>
        <w:tc>
          <w:tcPr>
            <w:tcW w:w="2164" w:type="dxa"/>
            <w:tcBorders>
              <w:top w:val="single" w:sz="6" w:space="0" w:color="000000"/>
              <w:left w:val="single" w:sz="6" w:space="0" w:color="000000"/>
              <w:bottom w:val="single" w:sz="6" w:space="0" w:color="000000"/>
              <w:right w:val="single" w:sz="6" w:space="0" w:color="000000"/>
            </w:tcBorders>
          </w:tcPr>
          <w:p w14:paraId="35F7AA8F" w14:textId="77777777" w:rsidR="00DF61BC" w:rsidRPr="00C94C33" w:rsidRDefault="00DF61BC" w:rsidP="00ED2BC9">
            <w:pPr>
              <w:pStyle w:val="Tabletext"/>
              <w:rPr>
                <w:lang w:eastAsia="en-AU"/>
              </w:rPr>
            </w:pPr>
            <w:r w:rsidRPr="00C94C33">
              <w:rPr>
                <w:spacing w:val="1"/>
                <w:lang w:eastAsia="en-AU"/>
              </w:rPr>
              <w:t>pH</w:t>
            </w:r>
          </w:p>
        </w:tc>
        <w:tc>
          <w:tcPr>
            <w:tcW w:w="6912" w:type="dxa"/>
            <w:tcBorders>
              <w:top w:val="single" w:sz="6" w:space="0" w:color="000000"/>
              <w:left w:val="single" w:sz="6" w:space="0" w:color="000000"/>
              <w:bottom w:val="single" w:sz="6" w:space="0" w:color="000000"/>
              <w:right w:val="single" w:sz="6" w:space="0" w:color="000000"/>
            </w:tcBorders>
          </w:tcPr>
          <w:p w14:paraId="7957109B" w14:textId="77777777" w:rsidR="00DF61BC" w:rsidRPr="00C94C33" w:rsidRDefault="00DF61BC" w:rsidP="00ED2BC9">
            <w:pPr>
              <w:pStyle w:val="Tabletext"/>
              <w:rPr>
                <w:lang w:eastAsia="en-AU"/>
              </w:rPr>
            </w:pPr>
            <w:r w:rsidRPr="00C94C33">
              <w:rPr>
                <w:lang w:eastAsia="en-AU"/>
              </w:rPr>
              <w:t xml:space="preserve">Acidic: pH 4.81 (10 mg/mL, water, at 22.4°C). </w:t>
            </w:r>
          </w:p>
        </w:tc>
      </w:tr>
      <w:tr w:rsidR="00DF61BC" w:rsidRPr="00C94C33" w14:paraId="0D068B16" w14:textId="77777777" w:rsidTr="00ED2BC9">
        <w:trPr>
          <w:trHeight w:val="57"/>
        </w:trPr>
        <w:tc>
          <w:tcPr>
            <w:tcW w:w="2164" w:type="dxa"/>
            <w:tcBorders>
              <w:top w:val="single" w:sz="6" w:space="0" w:color="000000"/>
              <w:left w:val="single" w:sz="6" w:space="0" w:color="000000"/>
              <w:bottom w:val="single" w:sz="6" w:space="0" w:color="000000"/>
              <w:right w:val="single" w:sz="6" w:space="0" w:color="000000"/>
            </w:tcBorders>
          </w:tcPr>
          <w:p w14:paraId="5023029A" w14:textId="77777777" w:rsidR="00DF61BC" w:rsidRPr="00C94C33" w:rsidRDefault="00DF61BC" w:rsidP="00ED2BC9">
            <w:pPr>
              <w:pStyle w:val="Tabletext"/>
              <w:rPr>
                <w:lang w:eastAsia="en-AU"/>
              </w:rPr>
            </w:pPr>
            <w:r w:rsidRPr="00C94C33">
              <w:rPr>
                <w:lang w:eastAsia="en-AU"/>
              </w:rPr>
              <w:t>Dissociation</w:t>
            </w:r>
            <w:r w:rsidRPr="00C94C33">
              <w:rPr>
                <w:spacing w:val="-18"/>
                <w:lang w:eastAsia="en-AU"/>
              </w:rPr>
              <w:t xml:space="preserve"> </w:t>
            </w:r>
            <w:r w:rsidRPr="00C94C33">
              <w:rPr>
                <w:spacing w:val="-1"/>
                <w:lang w:eastAsia="en-AU"/>
              </w:rPr>
              <w:t>constant</w:t>
            </w:r>
          </w:p>
        </w:tc>
        <w:tc>
          <w:tcPr>
            <w:tcW w:w="6912" w:type="dxa"/>
            <w:tcBorders>
              <w:top w:val="single" w:sz="6" w:space="0" w:color="000000"/>
              <w:left w:val="single" w:sz="6" w:space="0" w:color="000000"/>
              <w:bottom w:val="single" w:sz="6" w:space="0" w:color="000000"/>
              <w:right w:val="single" w:sz="6" w:space="0" w:color="000000"/>
            </w:tcBorders>
          </w:tcPr>
          <w:p w14:paraId="6A279EDE" w14:textId="77777777" w:rsidR="00DF61BC" w:rsidRPr="00C94C33" w:rsidRDefault="00DF61BC" w:rsidP="00ED2BC9">
            <w:pPr>
              <w:pStyle w:val="Tabletext"/>
              <w:rPr>
                <w:lang w:eastAsia="en-AU"/>
              </w:rPr>
            </w:pPr>
            <w:r w:rsidRPr="00C94C33">
              <w:rPr>
                <w:lang w:eastAsia="en-AU"/>
              </w:rPr>
              <w:t>(p</w:t>
            </w:r>
            <w:r w:rsidRPr="00C94C33">
              <w:rPr>
                <w:i/>
                <w:iCs/>
                <w:lang w:eastAsia="en-AU"/>
              </w:rPr>
              <w:t>K</w:t>
            </w:r>
            <w:r w:rsidRPr="00C94C33">
              <w:rPr>
                <w:lang w:eastAsia="en-AU"/>
              </w:rPr>
              <w:t xml:space="preserve">a) value of FTD was calculated as 8.08 by titration </w:t>
            </w:r>
            <w:r w:rsidR="00323CC6" w:rsidRPr="00C94C33">
              <w:rPr>
                <w:lang w:eastAsia="en-AU"/>
              </w:rPr>
              <w:t xml:space="preserve">experiment of FTD solution with </w:t>
            </w:r>
            <w:r w:rsidRPr="00C94C33">
              <w:rPr>
                <w:lang w:eastAsia="en-AU"/>
              </w:rPr>
              <w:t>1 mol/L hydrochloric acid and with 1 mol/L potassium hydroxide solution.</w:t>
            </w:r>
          </w:p>
        </w:tc>
      </w:tr>
      <w:tr w:rsidR="00DF61BC" w:rsidRPr="00C94C33" w14:paraId="60120BE2" w14:textId="77777777" w:rsidTr="00ED2BC9">
        <w:trPr>
          <w:trHeight w:val="57"/>
        </w:trPr>
        <w:tc>
          <w:tcPr>
            <w:tcW w:w="2164" w:type="dxa"/>
            <w:tcBorders>
              <w:top w:val="single" w:sz="6" w:space="0" w:color="000000"/>
              <w:left w:val="single" w:sz="6" w:space="0" w:color="000000"/>
              <w:bottom w:val="single" w:sz="6" w:space="0" w:color="000000"/>
              <w:right w:val="single" w:sz="6" w:space="0" w:color="000000"/>
            </w:tcBorders>
          </w:tcPr>
          <w:p w14:paraId="4F1275B3" w14:textId="77777777" w:rsidR="00DF61BC" w:rsidRPr="00C94C33" w:rsidRDefault="00DF61BC" w:rsidP="00ED2BC9">
            <w:pPr>
              <w:pStyle w:val="Tabletext"/>
              <w:rPr>
                <w:lang w:eastAsia="en-AU"/>
              </w:rPr>
            </w:pPr>
            <w:r w:rsidRPr="00C94C33">
              <w:rPr>
                <w:lang w:eastAsia="en-AU"/>
              </w:rPr>
              <w:t>Partition co-efficient</w:t>
            </w:r>
          </w:p>
        </w:tc>
        <w:tc>
          <w:tcPr>
            <w:tcW w:w="6912" w:type="dxa"/>
            <w:tcBorders>
              <w:top w:val="single" w:sz="6" w:space="0" w:color="000000"/>
              <w:left w:val="single" w:sz="6" w:space="0" w:color="000000"/>
              <w:bottom w:val="single" w:sz="6" w:space="0" w:color="000000"/>
              <w:right w:val="single" w:sz="6" w:space="0" w:color="000000"/>
            </w:tcBorders>
          </w:tcPr>
          <w:p w14:paraId="123A4266" w14:textId="77777777" w:rsidR="00DF61BC" w:rsidRPr="00C94C33" w:rsidRDefault="00DF61BC" w:rsidP="00ED2BC9">
            <w:pPr>
              <w:pStyle w:val="Tabletext"/>
              <w:rPr>
                <w:lang w:eastAsia="en-AU"/>
              </w:rPr>
            </w:pPr>
            <w:r w:rsidRPr="00C94C33">
              <w:rPr>
                <w:lang w:eastAsia="en-AU"/>
              </w:rPr>
              <w:t>The 1-octanol/buffer (Britton-Robinson) partition coefficient was measured at 25</w:t>
            </w:r>
            <w:r w:rsidRPr="00C94C33">
              <w:rPr>
                <w:vertAlign w:val="superscript"/>
                <w:lang w:eastAsia="en-AU"/>
              </w:rPr>
              <w:t>o</w:t>
            </w:r>
            <w:r w:rsidR="00323CC6" w:rsidRPr="00C94C33">
              <w:rPr>
                <w:lang w:eastAsia="en-AU"/>
              </w:rPr>
              <w:t xml:space="preserve">C. </w:t>
            </w:r>
            <w:r w:rsidRPr="00C94C33">
              <w:rPr>
                <w:lang w:eastAsia="en-AU"/>
              </w:rPr>
              <w:t>The partition coefficient remain at about -0.4 fro</w:t>
            </w:r>
            <w:r w:rsidR="00323CC6" w:rsidRPr="00C94C33">
              <w:rPr>
                <w:lang w:eastAsia="en-AU"/>
              </w:rPr>
              <w:t xml:space="preserve">m pH 2 to pH 7, while it starts </w:t>
            </w:r>
            <w:r w:rsidRPr="00C94C33">
              <w:rPr>
                <w:lang w:eastAsia="en-AU"/>
              </w:rPr>
              <w:t xml:space="preserve">decreasing rapidly after pH 8 due to degradation of the molecule in alkali solution. </w:t>
            </w:r>
          </w:p>
        </w:tc>
      </w:tr>
      <w:tr w:rsidR="00DF61BC" w:rsidRPr="00C94C33" w14:paraId="7D2E960B" w14:textId="77777777" w:rsidTr="00ED2BC9">
        <w:trPr>
          <w:trHeight w:val="57"/>
        </w:trPr>
        <w:tc>
          <w:tcPr>
            <w:tcW w:w="2164" w:type="dxa"/>
            <w:tcBorders>
              <w:top w:val="single" w:sz="6" w:space="0" w:color="000000"/>
              <w:left w:val="single" w:sz="6" w:space="0" w:color="000000"/>
              <w:bottom w:val="single" w:sz="6" w:space="0" w:color="000000"/>
              <w:right w:val="single" w:sz="6" w:space="0" w:color="000000"/>
            </w:tcBorders>
          </w:tcPr>
          <w:p w14:paraId="2F5ECC39" w14:textId="77777777" w:rsidR="00DF61BC" w:rsidRPr="00C94C33" w:rsidRDefault="00DF61BC" w:rsidP="00ED2BC9">
            <w:pPr>
              <w:pStyle w:val="Tabletext"/>
              <w:rPr>
                <w:lang w:eastAsia="en-AU"/>
              </w:rPr>
            </w:pPr>
            <w:r w:rsidRPr="00C94C33">
              <w:rPr>
                <w:lang w:eastAsia="en-AU"/>
              </w:rPr>
              <w:t>Polymorphism</w:t>
            </w:r>
          </w:p>
        </w:tc>
        <w:tc>
          <w:tcPr>
            <w:tcW w:w="6912" w:type="dxa"/>
            <w:tcBorders>
              <w:top w:val="single" w:sz="6" w:space="0" w:color="000000"/>
              <w:left w:val="single" w:sz="6" w:space="0" w:color="000000"/>
              <w:bottom w:val="single" w:sz="6" w:space="0" w:color="000000"/>
              <w:right w:val="single" w:sz="6" w:space="0" w:color="000000"/>
            </w:tcBorders>
          </w:tcPr>
          <w:p w14:paraId="62CD687E" w14:textId="77777777" w:rsidR="00DF61BC" w:rsidRPr="00C94C33" w:rsidRDefault="00DF61BC" w:rsidP="00ED2BC9">
            <w:pPr>
              <w:pStyle w:val="Tabletext"/>
              <w:rPr>
                <w:lang w:eastAsia="en-AU"/>
              </w:rPr>
            </w:pPr>
            <w:r w:rsidRPr="00C94C33">
              <w:rPr>
                <w:lang w:eastAsia="en-AU"/>
              </w:rPr>
              <w:t xml:space="preserve">Two crystalline forms, Types I and II. </w:t>
            </w:r>
          </w:p>
        </w:tc>
      </w:tr>
    </w:tbl>
    <w:p w14:paraId="7F3F0FE4" w14:textId="4DA9BA4D" w:rsidR="00DF61BC" w:rsidRPr="00C94C33" w:rsidRDefault="00DF61BC" w:rsidP="00EE7AF1">
      <w:pPr>
        <w:pStyle w:val="Heading5"/>
        <w:rPr>
          <w:lang w:eastAsia="en-AU"/>
        </w:rPr>
      </w:pPr>
      <w:r w:rsidRPr="00C94C33">
        <w:rPr>
          <w:lang w:eastAsia="en-AU"/>
        </w:rPr>
        <w:t>Tipiracil</w:t>
      </w:r>
    </w:p>
    <w:p w14:paraId="20A487A0" w14:textId="326CD3CF" w:rsidR="00B5329E" w:rsidRPr="00C94C33" w:rsidRDefault="00DF61BC" w:rsidP="005C2F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b/>
          <w:lang w:eastAsia="en-AU"/>
        </w:rPr>
      </w:pPr>
      <w:r w:rsidRPr="00C94C33">
        <w:rPr>
          <w:rFonts w:eastAsia="Times New Roman"/>
          <w:kern w:val="16"/>
          <w:lang w:eastAsia="en-AU"/>
        </w:rPr>
        <w:t>The chemical structure of tipiracil is provided below and the physicochemical properties are summarised below. The molecular formula of tipiracil is C</w:t>
      </w:r>
      <w:r w:rsidRPr="00C94C33">
        <w:rPr>
          <w:rFonts w:eastAsia="Times New Roman"/>
          <w:kern w:val="16"/>
          <w:vertAlign w:val="subscript"/>
          <w:lang w:eastAsia="en-AU"/>
        </w:rPr>
        <w:t>9</w:t>
      </w:r>
      <w:r w:rsidRPr="00C94C33">
        <w:rPr>
          <w:rFonts w:eastAsia="Times New Roman"/>
          <w:kern w:val="16"/>
          <w:lang w:eastAsia="en-AU"/>
        </w:rPr>
        <w:t>H</w:t>
      </w:r>
      <w:r w:rsidRPr="00C94C33">
        <w:rPr>
          <w:rFonts w:eastAsia="Times New Roman"/>
          <w:kern w:val="16"/>
          <w:vertAlign w:val="subscript"/>
          <w:lang w:eastAsia="en-AU"/>
        </w:rPr>
        <w:t>11</w:t>
      </w:r>
      <w:r w:rsidRPr="00C94C33">
        <w:rPr>
          <w:rFonts w:eastAsia="Times New Roman"/>
          <w:kern w:val="16"/>
          <w:lang w:eastAsia="en-AU"/>
        </w:rPr>
        <w:t>ClN</w:t>
      </w:r>
      <w:r w:rsidRPr="00C94C33">
        <w:rPr>
          <w:rFonts w:eastAsia="Times New Roman"/>
          <w:kern w:val="16"/>
          <w:vertAlign w:val="subscript"/>
          <w:lang w:eastAsia="en-AU"/>
        </w:rPr>
        <w:t>4</w:t>
      </w:r>
      <w:r w:rsidRPr="00C94C33">
        <w:rPr>
          <w:rFonts w:eastAsia="Times New Roman"/>
          <w:kern w:val="16"/>
          <w:lang w:eastAsia="en-AU"/>
        </w:rPr>
        <w:t>O</w:t>
      </w:r>
      <w:r w:rsidRPr="00C94C33">
        <w:rPr>
          <w:rFonts w:eastAsia="Times New Roman"/>
          <w:kern w:val="16"/>
          <w:vertAlign w:val="subscript"/>
          <w:lang w:eastAsia="en-AU"/>
        </w:rPr>
        <w:t>2</w:t>
      </w:r>
      <w:r w:rsidRPr="00C94C33">
        <w:rPr>
          <w:rFonts w:eastAsia="Times New Roman"/>
          <w:kern w:val="16"/>
          <w:lang w:eastAsia="en-AU"/>
        </w:rPr>
        <w:t>•HCl and the molecular weight of the drug is 279.12.</w:t>
      </w:r>
      <w:bookmarkStart w:id="52" w:name="_Toc470948797"/>
    </w:p>
    <w:p w14:paraId="62F3C184" w14:textId="140672DC" w:rsidR="00DF61BC" w:rsidRPr="00C94C33" w:rsidRDefault="00DF61BC" w:rsidP="0058475B">
      <w:pPr>
        <w:pStyle w:val="FigureTitle"/>
        <w:keepNext/>
        <w:rPr>
          <w:lang w:eastAsia="en-AU"/>
        </w:rPr>
      </w:pPr>
      <w:r w:rsidRPr="00C94C33">
        <w:rPr>
          <w:lang w:eastAsia="en-AU"/>
        </w:rPr>
        <w:t xml:space="preserve">Figure </w:t>
      </w:r>
      <w:r w:rsidR="00B5329E" w:rsidRPr="00C94C33">
        <w:rPr>
          <w:lang w:eastAsia="en-AU"/>
        </w:rPr>
        <w:t xml:space="preserve">2: </w:t>
      </w:r>
      <w:r w:rsidRPr="00C94C33">
        <w:rPr>
          <w:lang w:eastAsia="en-AU"/>
        </w:rPr>
        <w:t>Chemical structure of tipiracil</w:t>
      </w:r>
      <w:bookmarkEnd w:id="52"/>
    </w:p>
    <w:p w14:paraId="3C53CE3A" w14:textId="4CF548B7" w:rsidR="00DF61BC" w:rsidRPr="00C94C33" w:rsidRDefault="00B64DE4" w:rsidP="00B64DE4">
      <w:pPr>
        <w:pStyle w:val="FigureTitle"/>
        <w:rPr>
          <w:rFonts w:eastAsia="Times New Roman"/>
          <w:kern w:val="16"/>
          <w:szCs w:val="24"/>
          <w:lang w:eastAsia="en-AU"/>
        </w:rPr>
      </w:pPr>
      <w:r w:rsidRPr="00691F71">
        <w:rPr>
          <w:noProof/>
          <w:lang w:eastAsia="en-AU"/>
        </w:rPr>
        <w:drawing>
          <wp:inline distT="0" distB="0" distL="0" distR="0" wp14:anchorId="1A2A1A1C" wp14:editId="5C385134">
            <wp:extent cx="2255355" cy="1777944"/>
            <wp:effectExtent l="0" t="0" r="0" b="0"/>
            <wp:docPr id="1" name="Picture 1" descr="Figure 2: Chemical structure of tipira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55867" cy="1778348"/>
                    </a:xfrm>
                    <a:prstGeom prst="rect">
                      <a:avLst/>
                    </a:prstGeom>
                  </pic:spPr>
                </pic:pic>
              </a:graphicData>
            </a:graphic>
          </wp:inline>
        </w:drawing>
      </w:r>
      <w:bookmarkStart w:id="53" w:name="1.2._Structure"/>
      <w:bookmarkStart w:id="54" w:name="1.1._Nomenclature"/>
      <w:bookmarkStart w:id="55" w:name="1._GENERAL_INFORMATION_[TIPIRACIL_HYDROC"/>
      <w:bookmarkEnd w:id="53"/>
      <w:bookmarkEnd w:id="54"/>
      <w:bookmarkEnd w:id="55"/>
    </w:p>
    <w:p w14:paraId="761B68C6" w14:textId="78F375E2" w:rsidR="00DF61BC" w:rsidRPr="00C94C33" w:rsidRDefault="00DF61BC" w:rsidP="00ED2BC9">
      <w:pPr>
        <w:pStyle w:val="Tabletitle"/>
        <w:pageBreakBefore/>
        <w:rPr>
          <w:lang w:eastAsia="en-AU"/>
        </w:rPr>
      </w:pPr>
      <w:bookmarkStart w:id="56" w:name="_Toc470948652"/>
      <w:r w:rsidRPr="00C94C33">
        <w:rPr>
          <w:lang w:eastAsia="en-AU"/>
        </w:rPr>
        <w:lastRenderedPageBreak/>
        <w:t xml:space="preserve">Table </w:t>
      </w:r>
      <w:r w:rsidRPr="00C94C33">
        <w:rPr>
          <w:lang w:eastAsia="en-AU"/>
        </w:rPr>
        <w:fldChar w:fldCharType="begin"/>
      </w:r>
      <w:r w:rsidRPr="00C94C33">
        <w:rPr>
          <w:lang w:eastAsia="en-AU"/>
        </w:rPr>
        <w:instrText xml:space="preserve"> SEQ Table \* ARABIC </w:instrText>
      </w:r>
      <w:r w:rsidRPr="00C94C33">
        <w:rPr>
          <w:lang w:eastAsia="en-AU"/>
        </w:rPr>
        <w:fldChar w:fldCharType="separate"/>
      </w:r>
      <w:r w:rsidRPr="00C94C33">
        <w:rPr>
          <w:noProof/>
          <w:lang w:eastAsia="en-AU"/>
        </w:rPr>
        <w:t>3</w:t>
      </w:r>
      <w:r w:rsidRPr="00C94C33">
        <w:rPr>
          <w:lang w:eastAsia="en-AU"/>
        </w:rPr>
        <w:fldChar w:fldCharType="end"/>
      </w:r>
      <w:r w:rsidRPr="00C94C33">
        <w:rPr>
          <w:lang w:eastAsia="en-AU"/>
        </w:rPr>
        <w:t>: Physicochemical properties of tipiracil</w:t>
      </w:r>
      <w:bookmarkEnd w:id="56"/>
    </w:p>
    <w:p w14:paraId="148F6EBD" w14:textId="77777777" w:rsidR="00DF61BC" w:rsidRPr="00C94C33" w:rsidRDefault="00DF61BC" w:rsidP="00DF61BC">
      <w:pPr>
        <w:kinsoku w:val="0"/>
        <w:overflowPunct w:val="0"/>
        <w:autoSpaceDE w:val="0"/>
        <w:autoSpaceDN w:val="0"/>
        <w:adjustRightInd w:val="0"/>
        <w:spacing w:before="10" w:after="0" w:line="240" w:lineRule="auto"/>
        <w:rPr>
          <w:rFonts w:ascii="Times New Roman" w:eastAsia="Times New Roman" w:hAnsi="Times New Roman"/>
          <w:sz w:val="6"/>
          <w:szCs w:val="6"/>
          <w:lang w:eastAsia="en-AU"/>
        </w:rPr>
      </w:pPr>
    </w:p>
    <w:tbl>
      <w:tblPr>
        <w:tblW w:w="0" w:type="auto"/>
        <w:tblInd w:w="112" w:type="dxa"/>
        <w:tblLayout w:type="fixed"/>
        <w:tblCellMar>
          <w:left w:w="0" w:type="dxa"/>
          <w:right w:w="0" w:type="dxa"/>
        </w:tblCellMar>
        <w:tblLook w:val="0000" w:firstRow="0" w:lastRow="0" w:firstColumn="0" w:lastColumn="0" w:noHBand="0" w:noVBand="0"/>
      </w:tblPr>
      <w:tblGrid>
        <w:gridCol w:w="2164"/>
        <w:gridCol w:w="6912"/>
      </w:tblGrid>
      <w:tr w:rsidR="00DF61BC" w:rsidRPr="00C94C33" w14:paraId="208AEB8F" w14:textId="77777777" w:rsidTr="005C2FCA">
        <w:trPr>
          <w:trHeight w:hRule="exact" w:val="367"/>
          <w:tblHeader/>
        </w:trPr>
        <w:tc>
          <w:tcPr>
            <w:tcW w:w="2164" w:type="dxa"/>
            <w:tcBorders>
              <w:top w:val="single" w:sz="6" w:space="0" w:color="000000"/>
              <w:left w:val="single" w:sz="6" w:space="0" w:color="000000"/>
              <w:bottom w:val="single" w:sz="6" w:space="0" w:color="000000"/>
              <w:right w:val="single" w:sz="6" w:space="0" w:color="000000"/>
            </w:tcBorders>
            <w:shd w:val="clear" w:color="auto" w:fill="auto"/>
          </w:tcPr>
          <w:p w14:paraId="5D981769" w14:textId="77777777" w:rsidR="00DF61BC" w:rsidRPr="00C94C33" w:rsidRDefault="00DF61BC" w:rsidP="00ED2BC9">
            <w:pPr>
              <w:pStyle w:val="TableHeading"/>
              <w:keepNext/>
              <w:rPr>
                <w:lang w:eastAsia="en-AU"/>
              </w:rPr>
            </w:pPr>
            <w:bookmarkStart w:id="57" w:name="1.3._General_Properties"/>
            <w:bookmarkEnd w:id="57"/>
            <w:r w:rsidRPr="00C94C33">
              <w:rPr>
                <w:lang w:eastAsia="en-AU"/>
              </w:rPr>
              <w:t>Item</w:t>
            </w:r>
          </w:p>
        </w:tc>
        <w:tc>
          <w:tcPr>
            <w:tcW w:w="6912" w:type="dxa"/>
            <w:tcBorders>
              <w:top w:val="single" w:sz="6" w:space="0" w:color="000000"/>
              <w:left w:val="single" w:sz="6" w:space="0" w:color="000000"/>
              <w:bottom w:val="single" w:sz="6" w:space="0" w:color="000000"/>
              <w:right w:val="single" w:sz="6" w:space="0" w:color="000000"/>
            </w:tcBorders>
            <w:shd w:val="clear" w:color="auto" w:fill="auto"/>
          </w:tcPr>
          <w:p w14:paraId="2EC6ED50" w14:textId="77777777" w:rsidR="00DF61BC" w:rsidRPr="00C94C33" w:rsidRDefault="00DF61BC" w:rsidP="00ED2BC9">
            <w:pPr>
              <w:pStyle w:val="TableHeading"/>
              <w:rPr>
                <w:lang w:eastAsia="en-AU"/>
              </w:rPr>
            </w:pPr>
            <w:r w:rsidRPr="00C94C33">
              <w:rPr>
                <w:lang w:eastAsia="en-AU"/>
              </w:rPr>
              <w:t>Physicochemical</w:t>
            </w:r>
            <w:r w:rsidRPr="00C94C33">
              <w:rPr>
                <w:spacing w:val="-24"/>
                <w:lang w:eastAsia="en-AU"/>
              </w:rPr>
              <w:t xml:space="preserve"> </w:t>
            </w:r>
            <w:r w:rsidRPr="00C94C33">
              <w:rPr>
                <w:lang w:eastAsia="en-AU"/>
              </w:rPr>
              <w:t>Properties</w:t>
            </w:r>
          </w:p>
        </w:tc>
      </w:tr>
      <w:tr w:rsidR="00DF61BC" w:rsidRPr="00C94C33" w14:paraId="546B375A" w14:textId="77777777" w:rsidTr="00E46D84">
        <w:trPr>
          <w:trHeight w:hRule="exact" w:val="365"/>
        </w:trPr>
        <w:tc>
          <w:tcPr>
            <w:tcW w:w="2164" w:type="dxa"/>
            <w:tcBorders>
              <w:top w:val="single" w:sz="6" w:space="0" w:color="000000"/>
              <w:left w:val="single" w:sz="6" w:space="0" w:color="000000"/>
              <w:bottom w:val="single" w:sz="6" w:space="0" w:color="000000"/>
              <w:right w:val="single" w:sz="6" w:space="0" w:color="000000"/>
            </w:tcBorders>
          </w:tcPr>
          <w:p w14:paraId="0C7B8A18" w14:textId="77777777" w:rsidR="00DF61BC" w:rsidRPr="00C94C33" w:rsidRDefault="00DF61BC" w:rsidP="00ED2BC9">
            <w:pPr>
              <w:pStyle w:val="Tabletext"/>
              <w:rPr>
                <w:lang w:eastAsia="en-AU"/>
              </w:rPr>
            </w:pPr>
            <w:r w:rsidRPr="00C94C33">
              <w:rPr>
                <w:lang w:eastAsia="en-AU"/>
              </w:rPr>
              <w:t>Description</w:t>
            </w:r>
          </w:p>
        </w:tc>
        <w:tc>
          <w:tcPr>
            <w:tcW w:w="6912" w:type="dxa"/>
            <w:tcBorders>
              <w:top w:val="single" w:sz="6" w:space="0" w:color="000000"/>
              <w:left w:val="single" w:sz="6" w:space="0" w:color="000000"/>
              <w:bottom w:val="single" w:sz="6" w:space="0" w:color="000000"/>
              <w:right w:val="single" w:sz="6" w:space="0" w:color="000000"/>
            </w:tcBorders>
          </w:tcPr>
          <w:p w14:paraId="7A6D7695" w14:textId="77777777" w:rsidR="00DF61BC" w:rsidRPr="00C94C33" w:rsidRDefault="00DF61BC" w:rsidP="00ED2BC9">
            <w:pPr>
              <w:pStyle w:val="Tabletext"/>
              <w:rPr>
                <w:lang w:eastAsia="en-AU"/>
              </w:rPr>
            </w:pPr>
            <w:r w:rsidRPr="00C94C33">
              <w:rPr>
                <w:spacing w:val="-1"/>
                <w:lang w:eastAsia="en-AU"/>
              </w:rPr>
              <w:t>White</w:t>
            </w:r>
            <w:r w:rsidRPr="00C94C33">
              <w:rPr>
                <w:spacing w:val="-10"/>
                <w:lang w:eastAsia="en-AU"/>
              </w:rPr>
              <w:t xml:space="preserve"> </w:t>
            </w:r>
            <w:r w:rsidRPr="00C94C33">
              <w:rPr>
                <w:spacing w:val="-1"/>
                <w:lang w:eastAsia="en-AU"/>
              </w:rPr>
              <w:t>crystalline</w:t>
            </w:r>
            <w:r w:rsidRPr="00C94C33">
              <w:rPr>
                <w:spacing w:val="-10"/>
                <w:lang w:eastAsia="en-AU"/>
              </w:rPr>
              <w:t xml:space="preserve"> </w:t>
            </w:r>
            <w:r w:rsidRPr="00C94C33">
              <w:rPr>
                <w:lang w:eastAsia="en-AU"/>
              </w:rPr>
              <w:t>powder</w:t>
            </w:r>
          </w:p>
        </w:tc>
      </w:tr>
      <w:tr w:rsidR="00DF61BC" w:rsidRPr="00C94C33" w14:paraId="085B2B2B" w14:textId="77777777" w:rsidTr="00CB36BC">
        <w:trPr>
          <w:trHeight w:hRule="exact" w:val="1201"/>
        </w:trPr>
        <w:tc>
          <w:tcPr>
            <w:tcW w:w="2164" w:type="dxa"/>
            <w:tcBorders>
              <w:top w:val="single" w:sz="6" w:space="0" w:color="000000"/>
              <w:left w:val="single" w:sz="6" w:space="0" w:color="000000"/>
              <w:bottom w:val="single" w:sz="6" w:space="0" w:color="000000"/>
              <w:right w:val="single" w:sz="6" w:space="0" w:color="000000"/>
            </w:tcBorders>
          </w:tcPr>
          <w:p w14:paraId="30375009" w14:textId="77777777" w:rsidR="00DF61BC" w:rsidRPr="00C94C33" w:rsidRDefault="00DF61BC" w:rsidP="00ED2BC9">
            <w:pPr>
              <w:pStyle w:val="Tabletext"/>
              <w:rPr>
                <w:lang w:eastAsia="en-AU"/>
              </w:rPr>
            </w:pPr>
            <w:r w:rsidRPr="00C94C33">
              <w:rPr>
                <w:lang w:eastAsia="en-AU"/>
              </w:rPr>
              <w:t>Solubility</w:t>
            </w:r>
          </w:p>
        </w:tc>
        <w:tc>
          <w:tcPr>
            <w:tcW w:w="6912" w:type="dxa"/>
            <w:tcBorders>
              <w:top w:val="single" w:sz="6" w:space="0" w:color="000000"/>
              <w:left w:val="single" w:sz="6" w:space="0" w:color="000000"/>
              <w:bottom w:val="single" w:sz="6" w:space="0" w:color="000000"/>
              <w:right w:val="single" w:sz="6" w:space="0" w:color="000000"/>
            </w:tcBorders>
          </w:tcPr>
          <w:p w14:paraId="55064907" w14:textId="77777777" w:rsidR="00DF61BC" w:rsidRPr="00C94C33" w:rsidRDefault="00DF61BC" w:rsidP="00ED2BC9">
            <w:pPr>
              <w:pStyle w:val="Tabletext"/>
              <w:rPr>
                <w:lang w:eastAsia="en-AU"/>
              </w:rPr>
            </w:pPr>
            <w:r w:rsidRPr="00C94C33">
              <w:rPr>
                <w:lang w:eastAsia="en-AU"/>
              </w:rPr>
              <w:t>TPI</w:t>
            </w:r>
            <w:r w:rsidRPr="00C94C33">
              <w:rPr>
                <w:spacing w:val="-5"/>
                <w:lang w:eastAsia="en-AU"/>
              </w:rPr>
              <w:t xml:space="preserve"> </w:t>
            </w:r>
            <w:r w:rsidRPr="00C94C33">
              <w:rPr>
                <w:lang w:eastAsia="en-AU"/>
              </w:rPr>
              <w:t>is</w:t>
            </w:r>
            <w:r w:rsidRPr="00C94C33">
              <w:rPr>
                <w:spacing w:val="-6"/>
                <w:lang w:eastAsia="en-AU"/>
              </w:rPr>
              <w:t xml:space="preserve"> </w:t>
            </w:r>
            <w:r w:rsidRPr="00C94C33">
              <w:rPr>
                <w:spacing w:val="-1"/>
                <w:lang w:eastAsia="en-AU"/>
              </w:rPr>
              <w:t>very</w:t>
            </w:r>
            <w:r w:rsidRPr="00C94C33">
              <w:rPr>
                <w:spacing w:val="-6"/>
                <w:lang w:eastAsia="en-AU"/>
              </w:rPr>
              <w:t xml:space="preserve"> </w:t>
            </w:r>
            <w:r w:rsidRPr="00C94C33">
              <w:rPr>
                <w:lang w:eastAsia="en-AU"/>
              </w:rPr>
              <w:t>slightly</w:t>
            </w:r>
            <w:r w:rsidRPr="00C94C33">
              <w:rPr>
                <w:spacing w:val="-6"/>
                <w:lang w:eastAsia="en-AU"/>
              </w:rPr>
              <w:t xml:space="preserve"> </w:t>
            </w:r>
            <w:r w:rsidRPr="00C94C33">
              <w:rPr>
                <w:spacing w:val="-1"/>
                <w:lang w:eastAsia="en-AU"/>
              </w:rPr>
              <w:t>soluble</w:t>
            </w:r>
            <w:r w:rsidRPr="00C94C33">
              <w:rPr>
                <w:spacing w:val="-5"/>
                <w:lang w:eastAsia="en-AU"/>
              </w:rPr>
              <w:t xml:space="preserve"> </w:t>
            </w:r>
            <w:r w:rsidRPr="00C94C33">
              <w:rPr>
                <w:lang w:eastAsia="en-AU"/>
              </w:rPr>
              <w:t>in</w:t>
            </w:r>
            <w:r w:rsidRPr="00C94C33">
              <w:rPr>
                <w:spacing w:val="-4"/>
                <w:lang w:eastAsia="en-AU"/>
              </w:rPr>
              <w:t xml:space="preserve"> </w:t>
            </w:r>
            <w:r w:rsidRPr="00C94C33">
              <w:rPr>
                <w:spacing w:val="-1"/>
                <w:lang w:eastAsia="en-AU"/>
              </w:rPr>
              <w:t>ethanol,</w:t>
            </w:r>
            <w:r w:rsidRPr="00C94C33">
              <w:rPr>
                <w:spacing w:val="-5"/>
                <w:lang w:eastAsia="en-AU"/>
              </w:rPr>
              <w:t xml:space="preserve"> </w:t>
            </w:r>
            <w:r w:rsidRPr="00C94C33">
              <w:rPr>
                <w:lang w:eastAsia="en-AU"/>
              </w:rPr>
              <w:t>slightly</w:t>
            </w:r>
            <w:r w:rsidRPr="00C94C33">
              <w:rPr>
                <w:spacing w:val="-5"/>
                <w:lang w:eastAsia="en-AU"/>
              </w:rPr>
              <w:t xml:space="preserve"> </w:t>
            </w:r>
            <w:r w:rsidRPr="00C94C33">
              <w:rPr>
                <w:lang w:eastAsia="en-AU"/>
              </w:rPr>
              <w:t>soluble</w:t>
            </w:r>
            <w:r w:rsidRPr="00C94C33">
              <w:rPr>
                <w:spacing w:val="-5"/>
                <w:lang w:eastAsia="en-AU"/>
              </w:rPr>
              <w:t xml:space="preserve"> </w:t>
            </w:r>
            <w:r w:rsidRPr="00C94C33">
              <w:rPr>
                <w:lang w:eastAsia="en-AU"/>
              </w:rPr>
              <w:t>in</w:t>
            </w:r>
            <w:r w:rsidRPr="00C94C33">
              <w:rPr>
                <w:spacing w:val="-4"/>
                <w:lang w:eastAsia="en-AU"/>
              </w:rPr>
              <w:t xml:space="preserve"> </w:t>
            </w:r>
            <w:r w:rsidRPr="00C94C33">
              <w:rPr>
                <w:spacing w:val="-1"/>
                <w:lang w:eastAsia="en-AU"/>
              </w:rPr>
              <w:t>methanol,</w:t>
            </w:r>
            <w:r w:rsidRPr="00C94C33">
              <w:rPr>
                <w:spacing w:val="51"/>
                <w:w w:val="99"/>
                <w:lang w:eastAsia="en-AU"/>
              </w:rPr>
              <w:t xml:space="preserve"> </w:t>
            </w:r>
            <w:r w:rsidRPr="00C94C33">
              <w:rPr>
                <w:lang w:eastAsia="en-AU"/>
              </w:rPr>
              <w:t>practically</w:t>
            </w:r>
            <w:r w:rsidRPr="00C94C33">
              <w:rPr>
                <w:spacing w:val="-12"/>
                <w:lang w:eastAsia="en-AU"/>
              </w:rPr>
              <w:t xml:space="preserve"> </w:t>
            </w:r>
            <w:r w:rsidRPr="00C94C33">
              <w:rPr>
                <w:spacing w:val="-1"/>
                <w:lang w:eastAsia="en-AU"/>
              </w:rPr>
              <w:t>insoluble</w:t>
            </w:r>
            <w:r w:rsidRPr="00C94C33">
              <w:rPr>
                <w:spacing w:val="-8"/>
                <w:lang w:eastAsia="en-AU"/>
              </w:rPr>
              <w:t xml:space="preserve"> </w:t>
            </w:r>
            <w:r w:rsidRPr="00C94C33">
              <w:rPr>
                <w:spacing w:val="1"/>
                <w:lang w:eastAsia="en-AU"/>
              </w:rPr>
              <w:t>in</w:t>
            </w:r>
            <w:r w:rsidRPr="00C94C33">
              <w:rPr>
                <w:spacing w:val="-9"/>
                <w:lang w:eastAsia="en-AU"/>
              </w:rPr>
              <w:t xml:space="preserve"> </w:t>
            </w:r>
            <w:r w:rsidRPr="00C94C33">
              <w:rPr>
                <w:lang w:eastAsia="en-AU"/>
              </w:rPr>
              <w:t>2-propanol,</w:t>
            </w:r>
            <w:r w:rsidRPr="00C94C33">
              <w:rPr>
                <w:spacing w:val="-8"/>
                <w:lang w:eastAsia="en-AU"/>
              </w:rPr>
              <w:t xml:space="preserve"> </w:t>
            </w:r>
            <w:r w:rsidRPr="00C94C33">
              <w:rPr>
                <w:spacing w:val="-1"/>
                <w:lang w:eastAsia="en-AU"/>
              </w:rPr>
              <w:t>acetonitrile,</w:t>
            </w:r>
            <w:r w:rsidRPr="00C94C33">
              <w:rPr>
                <w:spacing w:val="-7"/>
                <w:lang w:eastAsia="en-AU"/>
              </w:rPr>
              <w:t xml:space="preserve"> </w:t>
            </w:r>
            <w:r w:rsidRPr="00C94C33">
              <w:rPr>
                <w:spacing w:val="-1"/>
                <w:lang w:eastAsia="en-AU"/>
              </w:rPr>
              <w:t>acetone,</w:t>
            </w:r>
            <w:r w:rsidRPr="00C94C33">
              <w:rPr>
                <w:spacing w:val="-7"/>
                <w:lang w:eastAsia="en-AU"/>
              </w:rPr>
              <w:t xml:space="preserve"> </w:t>
            </w:r>
            <w:r w:rsidRPr="00C94C33">
              <w:rPr>
                <w:spacing w:val="-1"/>
                <w:lang w:eastAsia="en-AU"/>
              </w:rPr>
              <w:t>diisopropyl</w:t>
            </w:r>
            <w:r w:rsidRPr="00C94C33">
              <w:rPr>
                <w:spacing w:val="-9"/>
                <w:lang w:eastAsia="en-AU"/>
              </w:rPr>
              <w:t xml:space="preserve"> </w:t>
            </w:r>
            <w:r w:rsidRPr="00C94C33">
              <w:rPr>
                <w:lang w:eastAsia="en-AU"/>
              </w:rPr>
              <w:t>ether</w:t>
            </w:r>
            <w:r w:rsidRPr="00C94C33">
              <w:rPr>
                <w:spacing w:val="88"/>
                <w:w w:val="99"/>
                <w:lang w:eastAsia="en-AU"/>
              </w:rPr>
              <w:t xml:space="preserve"> </w:t>
            </w:r>
            <w:r w:rsidRPr="00C94C33">
              <w:rPr>
                <w:spacing w:val="-1"/>
                <w:lang w:eastAsia="en-AU"/>
              </w:rPr>
              <w:t>and</w:t>
            </w:r>
            <w:r w:rsidRPr="00C94C33">
              <w:rPr>
                <w:spacing w:val="-6"/>
                <w:lang w:eastAsia="en-AU"/>
              </w:rPr>
              <w:t xml:space="preserve"> </w:t>
            </w:r>
            <w:r w:rsidRPr="00C94C33">
              <w:rPr>
                <w:lang w:eastAsia="en-AU"/>
              </w:rPr>
              <w:t>diethyl</w:t>
            </w:r>
            <w:r w:rsidRPr="00C94C33">
              <w:rPr>
                <w:spacing w:val="-7"/>
                <w:lang w:eastAsia="en-AU"/>
              </w:rPr>
              <w:t xml:space="preserve"> </w:t>
            </w:r>
            <w:r w:rsidRPr="00C94C33">
              <w:rPr>
                <w:spacing w:val="-1"/>
                <w:lang w:eastAsia="en-AU"/>
              </w:rPr>
              <w:t>ether.</w:t>
            </w:r>
          </w:p>
          <w:p w14:paraId="6D2C70A0" w14:textId="77777777" w:rsidR="00DF61BC" w:rsidRPr="00C94C33" w:rsidRDefault="00DF61BC" w:rsidP="00ED2BC9">
            <w:pPr>
              <w:pStyle w:val="Tabletext"/>
              <w:rPr>
                <w:lang w:eastAsia="en-AU"/>
              </w:rPr>
            </w:pPr>
            <w:r w:rsidRPr="00C94C33">
              <w:rPr>
                <w:lang w:eastAsia="en-AU"/>
              </w:rPr>
              <w:t>TPI</w:t>
            </w:r>
            <w:r w:rsidRPr="00C94C33">
              <w:rPr>
                <w:spacing w:val="-5"/>
                <w:lang w:eastAsia="en-AU"/>
              </w:rPr>
              <w:t xml:space="preserve"> </w:t>
            </w:r>
            <w:r w:rsidRPr="00C94C33">
              <w:rPr>
                <w:lang w:eastAsia="en-AU"/>
              </w:rPr>
              <w:t>is</w:t>
            </w:r>
            <w:r w:rsidRPr="00C94C33">
              <w:rPr>
                <w:spacing w:val="-5"/>
                <w:lang w:eastAsia="en-AU"/>
              </w:rPr>
              <w:t xml:space="preserve"> </w:t>
            </w:r>
            <w:r w:rsidRPr="00C94C33">
              <w:rPr>
                <w:spacing w:val="-1"/>
                <w:lang w:eastAsia="en-AU"/>
              </w:rPr>
              <w:t>soluble</w:t>
            </w:r>
            <w:r w:rsidRPr="00C94C33">
              <w:rPr>
                <w:spacing w:val="-4"/>
                <w:lang w:eastAsia="en-AU"/>
              </w:rPr>
              <w:t xml:space="preserve"> </w:t>
            </w:r>
            <w:r w:rsidRPr="00C94C33">
              <w:rPr>
                <w:lang w:eastAsia="en-AU"/>
              </w:rPr>
              <w:t>in</w:t>
            </w:r>
            <w:r w:rsidRPr="00C94C33">
              <w:rPr>
                <w:spacing w:val="-6"/>
                <w:lang w:eastAsia="en-AU"/>
              </w:rPr>
              <w:t xml:space="preserve"> </w:t>
            </w:r>
            <w:r w:rsidRPr="00C94C33">
              <w:rPr>
                <w:lang w:eastAsia="en-AU"/>
              </w:rPr>
              <w:t>0.01</w:t>
            </w:r>
            <w:r w:rsidRPr="00C94C33">
              <w:rPr>
                <w:spacing w:val="-3"/>
                <w:lang w:eastAsia="en-AU"/>
              </w:rPr>
              <w:t xml:space="preserve"> </w:t>
            </w:r>
            <w:r w:rsidRPr="00C94C33">
              <w:rPr>
                <w:lang w:eastAsia="en-AU"/>
              </w:rPr>
              <w:t>M</w:t>
            </w:r>
            <w:r w:rsidRPr="00C94C33">
              <w:rPr>
                <w:spacing w:val="-4"/>
                <w:lang w:eastAsia="en-AU"/>
              </w:rPr>
              <w:t xml:space="preserve"> </w:t>
            </w:r>
            <w:r w:rsidRPr="00C94C33">
              <w:rPr>
                <w:spacing w:val="-1"/>
                <w:lang w:eastAsia="en-AU"/>
              </w:rPr>
              <w:t>hydrochloric</w:t>
            </w:r>
            <w:r w:rsidRPr="00C94C33">
              <w:rPr>
                <w:spacing w:val="-5"/>
                <w:lang w:eastAsia="en-AU"/>
              </w:rPr>
              <w:t xml:space="preserve"> </w:t>
            </w:r>
            <w:r w:rsidRPr="00C94C33">
              <w:rPr>
                <w:lang w:eastAsia="en-AU"/>
              </w:rPr>
              <w:t>acid</w:t>
            </w:r>
            <w:r w:rsidRPr="00C94C33">
              <w:rPr>
                <w:spacing w:val="-3"/>
                <w:lang w:eastAsia="en-AU"/>
              </w:rPr>
              <w:t xml:space="preserve"> </w:t>
            </w:r>
            <w:r w:rsidRPr="00C94C33">
              <w:rPr>
                <w:spacing w:val="-1"/>
                <w:lang w:eastAsia="en-AU"/>
              </w:rPr>
              <w:t>and</w:t>
            </w:r>
            <w:r w:rsidRPr="00C94C33">
              <w:rPr>
                <w:spacing w:val="-3"/>
                <w:lang w:eastAsia="en-AU"/>
              </w:rPr>
              <w:t xml:space="preserve"> </w:t>
            </w:r>
            <w:r w:rsidRPr="00C94C33">
              <w:rPr>
                <w:lang w:eastAsia="en-AU"/>
              </w:rPr>
              <w:t>in</w:t>
            </w:r>
            <w:r w:rsidRPr="00C94C33">
              <w:rPr>
                <w:spacing w:val="-6"/>
                <w:lang w:eastAsia="en-AU"/>
              </w:rPr>
              <w:t xml:space="preserve"> </w:t>
            </w:r>
            <w:r w:rsidRPr="00C94C33">
              <w:rPr>
                <w:lang w:eastAsia="en-AU"/>
              </w:rPr>
              <w:t>0.01</w:t>
            </w:r>
            <w:r w:rsidRPr="00C94C33">
              <w:rPr>
                <w:spacing w:val="-3"/>
                <w:lang w:eastAsia="en-AU"/>
              </w:rPr>
              <w:t xml:space="preserve"> </w:t>
            </w:r>
            <w:r w:rsidRPr="00C94C33">
              <w:rPr>
                <w:lang w:eastAsia="en-AU"/>
              </w:rPr>
              <w:t>M</w:t>
            </w:r>
            <w:r w:rsidRPr="00C94C33">
              <w:rPr>
                <w:spacing w:val="-5"/>
                <w:lang w:eastAsia="en-AU"/>
              </w:rPr>
              <w:t xml:space="preserve"> </w:t>
            </w:r>
            <w:r w:rsidRPr="00C94C33">
              <w:rPr>
                <w:spacing w:val="-1"/>
                <w:lang w:eastAsia="en-AU"/>
              </w:rPr>
              <w:t>sodium</w:t>
            </w:r>
            <w:r w:rsidRPr="00C94C33">
              <w:rPr>
                <w:spacing w:val="-6"/>
                <w:lang w:eastAsia="en-AU"/>
              </w:rPr>
              <w:t xml:space="preserve"> </w:t>
            </w:r>
            <w:r w:rsidRPr="00C94C33">
              <w:rPr>
                <w:spacing w:val="-1"/>
                <w:lang w:eastAsia="en-AU"/>
              </w:rPr>
              <w:t>hydroxide</w:t>
            </w:r>
            <w:r w:rsidRPr="00C94C33">
              <w:rPr>
                <w:spacing w:val="67"/>
                <w:w w:val="99"/>
                <w:lang w:eastAsia="en-AU"/>
              </w:rPr>
              <w:t xml:space="preserve"> </w:t>
            </w:r>
            <w:r w:rsidRPr="00C94C33">
              <w:rPr>
                <w:spacing w:val="-1"/>
                <w:lang w:eastAsia="en-AU"/>
              </w:rPr>
              <w:t>solution.</w:t>
            </w:r>
          </w:p>
          <w:p w14:paraId="5CE99738" w14:textId="77777777" w:rsidR="00DF61BC" w:rsidRPr="00C94C33" w:rsidRDefault="00DF61BC" w:rsidP="00ED2BC9">
            <w:pPr>
              <w:pStyle w:val="Tabletext"/>
              <w:rPr>
                <w:lang w:eastAsia="en-AU"/>
              </w:rPr>
            </w:pPr>
            <w:r w:rsidRPr="00C94C33">
              <w:rPr>
                <w:lang w:eastAsia="en-AU"/>
              </w:rPr>
              <w:t>TPI</w:t>
            </w:r>
            <w:r w:rsidRPr="00C94C33">
              <w:rPr>
                <w:spacing w:val="-6"/>
                <w:lang w:eastAsia="en-AU"/>
              </w:rPr>
              <w:t xml:space="preserve"> </w:t>
            </w:r>
            <w:r w:rsidRPr="00C94C33">
              <w:rPr>
                <w:lang w:eastAsia="en-AU"/>
              </w:rPr>
              <w:t>is</w:t>
            </w:r>
            <w:r w:rsidRPr="00C94C33">
              <w:rPr>
                <w:spacing w:val="-5"/>
                <w:lang w:eastAsia="en-AU"/>
              </w:rPr>
              <w:t xml:space="preserve"> </w:t>
            </w:r>
            <w:r w:rsidRPr="00C94C33">
              <w:rPr>
                <w:spacing w:val="-1"/>
                <w:lang w:eastAsia="en-AU"/>
              </w:rPr>
              <w:t>soluble</w:t>
            </w:r>
            <w:r w:rsidRPr="00C94C33">
              <w:rPr>
                <w:spacing w:val="-5"/>
                <w:lang w:eastAsia="en-AU"/>
              </w:rPr>
              <w:t xml:space="preserve"> </w:t>
            </w:r>
            <w:r w:rsidRPr="00C94C33">
              <w:rPr>
                <w:spacing w:val="-1"/>
                <w:lang w:eastAsia="en-AU"/>
              </w:rPr>
              <w:t>over</w:t>
            </w:r>
            <w:r w:rsidRPr="00C94C33">
              <w:rPr>
                <w:spacing w:val="-5"/>
                <w:lang w:eastAsia="en-AU"/>
              </w:rPr>
              <w:t xml:space="preserve"> </w:t>
            </w:r>
            <w:r w:rsidRPr="00C94C33">
              <w:rPr>
                <w:spacing w:val="-1"/>
                <w:lang w:eastAsia="en-AU"/>
              </w:rPr>
              <w:t>the</w:t>
            </w:r>
            <w:r w:rsidRPr="00C94C33">
              <w:rPr>
                <w:spacing w:val="-5"/>
                <w:lang w:eastAsia="en-AU"/>
              </w:rPr>
              <w:t xml:space="preserve"> </w:t>
            </w:r>
            <w:r w:rsidRPr="00C94C33">
              <w:rPr>
                <w:lang w:eastAsia="en-AU"/>
              </w:rPr>
              <w:t>pH</w:t>
            </w:r>
            <w:r w:rsidRPr="00C94C33">
              <w:rPr>
                <w:spacing w:val="-5"/>
                <w:lang w:eastAsia="en-AU"/>
              </w:rPr>
              <w:t xml:space="preserve"> </w:t>
            </w:r>
            <w:r w:rsidRPr="00C94C33">
              <w:rPr>
                <w:spacing w:val="-1"/>
                <w:lang w:eastAsia="en-AU"/>
              </w:rPr>
              <w:t>range</w:t>
            </w:r>
            <w:r w:rsidRPr="00C94C33">
              <w:rPr>
                <w:spacing w:val="-5"/>
                <w:lang w:eastAsia="en-AU"/>
              </w:rPr>
              <w:t xml:space="preserve"> </w:t>
            </w:r>
            <w:r w:rsidRPr="00C94C33">
              <w:rPr>
                <w:spacing w:val="1"/>
                <w:lang w:eastAsia="en-AU"/>
              </w:rPr>
              <w:t>2–12</w:t>
            </w:r>
            <w:r w:rsidRPr="00C94C33">
              <w:rPr>
                <w:spacing w:val="-4"/>
                <w:lang w:eastAsia="en-AU"/>
              </w:rPr>
              <w:t xml:space="preserve"> </w:t>
            </w:r>
            <w:r w:rsidRPr="00C94C33">
              <w:rPr>
                <w:lang w:eastAsia="en-AU"/>
              </w:rPr>
              <w:t>in</w:t>
            </w:r>
            <w:r w:rsidRPr="00C94C33">
              <w:rPr>
                <w:spacing w:val="-7"/>
                <w:lang w:eastAsia="en-AU"/>
              </w:rPr>
              <w:t xml:space="preserve"> </w:t>
            </w:r>
            <w:r w:rsidRPr="00C94C33">
              <w:rPr>
                <w:lang w:eastAsia="en-AU"/>
              </w:rPr>
              <w:t>Britton-Robinson</w:t>
            </w:r>
            <w:r w:rsidRPr="00C94C33">
              <w:rPr>
                <w:spacing w:val="-6"/>
                <w:lang w:eastAsia="en-AU"/>
              </w:rPr>
              <w:t xml:space="preserve"> </w:t>
            </w:r>
            <w:r w:rsidRPr="00C94C33">
              <w:rPr>
                <w:spacing w:val="-1"/>
                <w:lang w:eastAsia="en-AU"/>
              </w:rPr>
              <w:t>buffer</w:t>
            </w:r>
            <w:r w:rsidRPr="00C94C33">
              <w:rPr>
                <w:spacing w:val="-4"/>
                <w:lang w:eastAsia="en-AU"/>
              </w:rPr>
              <w:t xml:space="preserve"> </w:t>
            </w:r>
            <w:r w:rsidRPr="00C94C33">
              <w:rPr>
                <w:lang w:eastAsia="en-AU"/>
              </w:rPr>
              <w:t>solutions.</w:t>
            </w:r>
            <w:r w:rsidRPr="00C94C33">
              <w:rPr>
                <w:spacing w:val="48"/>
                <w:w w:val="99"/>
                <w:lang w:eastAsia="en-AU"/>
              </w:rPr>
              <w:t xml:space="preserve"> </w:t>
            </w:r>
            <w:r w:rsidRPr="00C94C33">
              <w:rPr>
                <w:lang w:eastAsia="en-AU"/>
              </w:rPr>
              <w:t>TPI</w:t>
            </w:r>
            <w:r w:rsidRPr="00C94C33">
              <w:rPr>
                <w:spacing w:val="-5"/>
                <w:lang w:eastAsia="en-AU"/>
              </w:rPr>
              <w:t xml:space="preserve"> </w:t>
            </w:r>
            <w:r w:rsidRPr="00C94C33">
              <w:rPr>
                <w:lang w:eastAsia="en-AU"/>
              </w:rPr>
              <w:t>is</w:t>
            </w:r>
            <w:r w:rsidRPr="00C94C33">
              <w:rPr>
                <w:spacing w:val="-5"/>
                <w:lang w:eastAsia="en-AU"/>
              </w:rPr>
              <w:t xml:space="preserve"> </w:t>
            </w:r>
            <w:r w:rsidRPr="00C94C33">
              <w:rPr>
                <w:lang w:eastAsia="en-AU"/>
              </w:rPr>
              <w:t>freely</w:t>
            </w:r>
            <w:r w:rsidRPr="00C94C33">
              <w:rPr>
                <w:spacing w:val="-8"/>
                <w:lang w:eastAsia="en-AU"/>
              </w:rPr>
              <w:t xml:space="preserve"> </w:t>
            </w:r>
            <w:r w:rsidRPr="00C94C33">
              <w:rPr>
                <w:spacing w:val="-1"/>
                <w:lang w:eastAsia="en-AU"/>
              </w:rPr>
              <w:t>soluble</w:t>
            </w:r>
            <w:r w:rsidRPr="00C94C33">
              <w:rPr>
                <w:spacing w:val="-5"/>
                <w:lang w:eastAsia="en-AU"/>
              </w:rPr>
              <w:t xml:space="preserve"> </w:t>
            </w:r>
            <w:r w:rsidRPr="00C94C33">
              <w:rPr>
                <w:spacing w:val="-1"/>
                <w:lang w:eastAsia="en-AU"/>
              </w:rPr>
              <w:t>over</w:t>
            </w:r>
            <w:r w:rsidRPr="00C94C33">
              <w:rPr>
                <w:spacing w:val="-3"/>
                <w:lang w:eastAsia="en-AU"/>
              </w:rPr>
              <w:t xml:space="preserve"> </w:t>
            </w:r>
            <w:r w:rsidRPr="00C94C33">
              <w:rPr>
                <w:lang w:eastAsia="en-AU"/>
              </w:rPr>
              <w:t>the</w:t>
            </w:r>
            <w:r w:rsidRPr="00C94C33">
              <w:rPr>
                <w:spacing w:val="-2"/>
                <w:lang w:eastAsia="en-AU"/>
              </w:rPr>
              <w:t xml:space="preserve"> </w:t>
            </w:r>
            <w:r w:rsidRPr="00C94C33">
              <w:rPr>
                <w:lang w:eastAsia="en-AU"/>
              </w:rPr>
              <w:t>pH</w:t>
            </w:r>
            <w:r w:rsidRPr="00C94C33">
              <w:rPr>
                <w:spacing w:val="-5"/>
                <w:lang w:eastAsia="en-AU"/>
              </w:rPr>
              <w:t xml:space="preserve"> </w:t>
            </w:r>
            <w:r w:rsidRPr="00C94C33">
              <w:rPr>
                <w:spacing w:val="-1"/>
                <w:lang w:eastAsia="en-AU"/>
              </w:rPr>
              <w:t>range</w:t>
            </w:r>
            <w:r w:rsidRPr="00C94C33">
              <w:rPr>
                <w:spacing w:val="-4"/>
                <w:lang w:eastAsia="en-AU"/>
              </w:rPr>
              <w:t xml:space="preserve"> </w:t>
            </w:r>
            <w:r w:rsidRPr="00C94C33">
              <w:rPr>
                <w:spacing w:val="1"/>
                <w:lang w:eastAsia="en-AU"/>
              </w:rPr>
              <w:t>1–7.5</w:t>
            </w:r>
            <w:r w:rsidRPr="00C94C33">
              <w:rPr>
                <w:spacing w:val="-4"/>
                <w:lang w:eastAsia="en-AU"/>
              </w:rPr>
              <w:t xml:space="preserve"> </w:t>
            </w:r>
            <w:r w:rsidRPr="00C94C33">
              <w:rPr>
                <w:lang w:eastAsia="en-AU"/>
              </w:rPr>
              <w:t>of</w:t>
            </w:r>
            <w:r w:rsidRPr="00C94C33">
              <w:rPr>
                <w:spacing w:val="-6"/>
                <w:lang w:eastAsia="en-AU"/>
              </w:rPr>
              <w:t xml:space="preserve"> </w:t>
            </w:r>
            <w:r w:rsidRPr="00C94C33">
              <w:rPr>
                <w:spacing w:val="-1"/>
                <w:lang w:eastAsia="en-AU"/>
              </w:rPr>
              <w:t>typical</w:t>
            </w:r>
            <w:r w:rsidRPr="00C94C33">
              <w:rPr>
                <w:spacing w:val="-4"/>
                <w:lang w:eastAsia="en-AU"/>
              </w:rPr>
              <w:t xml:space="preserve"> </w:t>
            </w:r>
            <w:r w:rsidRPr="00C94C33">
              <w:rPr>
                <w:lang w:eastAsia="en-AU"/>
              </w:rPr>
              <w:t>dissolution</w:t>
            </w:r>
            <w:r w:rsidRPr="00C94C33">
              <w:rPr>
                <w:spacing w:val="-4"/>
                <w:lang w:eastAsia="en-AU"/>
              </w:rPr>
              <w:t xml:space="preserve"> </w:t>
            </w:r>
            <w:r w:rsidRPr="00C94C33">
              <w:rPr>
                <w:spacing w:val="-1"/>
                <w:lang w:eastAsia="en-AU"/>
              </w:rPr>
              <w:t>media.</w:t>
            </w:r>
          </w:p>
        </w:tc>
      </w:tr>
      <w:tr w:rsidR="00DF61BC" w:rsidRPr="00C94C33" w14:paraId="38E9A22F" w14:textId="77777777" w:rsidTr="00E46D84">
        <w:trPr>
          <w:trHeight w:hRule="exact" w:val="379"/>
        </w:trPr>
        <w:tc>
          <w:tcPr>
            <w:tcW w:w="2164" w:type="dxa"/>
            <w:tcBorders>
              <w:top w:val="single" w:sz="6" w:space="0" w:color="000000"/>
              <w:left w:val="single" w:sz="6" w:space="0" w:color="000000"/>
              <w:bottom w:val="single" w:sz="6" w:space="0" w:color="000000"/>
              <w:right w:val="single" w:sz="6" w:space="0" w:color="000000"/>
            </w:tcBorders>
          </w:tcPr>
          <w:p w14:paraId="2C93D2B6" w14:textId="77777777" w:rsidR="00DF61BC" w:rsidRPr="00C94C33" w:rsidRDefault="00DF61BC" w:rsidP="00ED2BC9">
            <w:pPr>
              <w:pStyle w:val="Tabletext"/>
              <w:rPr>
                <w:lang w:eastAsia="en-AU"/>
              </w:rPr>
            </w:pPr>
            <w:r w:rsidRPr="00C94C33">
              <w:rPr>
                <w:lang w:eastAsia="en-AU"/>
              </w:rPr>
              <w:t>Hygroscopicity</w:t>
            </w:r>
          </w:p>
        </w:tc>
        <w:tc>
          <w:tcPr>
            <w:tcW w:w="6912" w:type="dxa"/>
            <w:tcBorders>
              <w:top w:val="single" w:sz="6" w:space="0" w:color="000000"/>
              <w:left w:val="single" w:sz="6" w:space="0" w:color="000000"/>
              <w:bottom w:val="single" w:sz="6" w:space="0" w:color="000000"/>
              <w:right w:val="single" w:sz="6" w:space="0" w:color="000000"/>
            </w:tcBorders>
          </w:tcPr>
          <w:p w14:paraId="3E074B89" w14:textId="77777777" w:rsidR="00DF61BC" w:rsidRPr="00C94C33" w:rsidRDefault="00DF61BC" w:rsidP="00ED2BC9">
            <w:pPr>
              <w:pStyle w:val="Tabletext"/>
              <w:rPr>
                <w:lang w:eastAsia="en-AU"/>
              </w:rPr>
            </w:pPr>
            <w:r w:rsidRPr="00C94C33">
              <w:rPr>
                <w:lang w:eastAsia="en-AU"/>
              </w:rPr>
              <w:t>No</w:t>
            </w:r>
            <w:r w:rsidRPr="00C94C33">
              <w:rPr>
                <w:spacing w:val="-4"/>
                <w:lang w:eastAsia="en-AU"/>
              </w:rPr>
              <w:t xml:space="preserve"> </w:t>
            </w:r>
            <w:r w:rsidRPr="00C94C33">
              <w:rPr>
                <w:lang w:eastAsia="en-AU"/>
              </w:rPr>
              <w:t>hygroscopicity</w:t>
            </w:r>
            <w:r w:rsidRPr="00C94C33">
              <w:rPr>
                <w:spacing w:val="-5"/>
                <w:lang w:eastAsia="en-AU"/>
              </w:rPr>
              <w:t xml:space="preserve"> </w:t>
            </w:r>
            <w:r w:rsidRPr="00C94C33">
              <w:rPr>
                <w:spacing w:val="-1"/>
                <w:lang w:eastAsia="en-AU"/>
              </w:rPr>
              <w:t>was</w:t>
            </w:r>
            <w:r w:rsidRPr="00C94C33">
              <w:rPr>
                <w:spacing w:val="-5"/>
                <w:lang w:eastAsia="en-AU"/>
              </w:rPr>
              <w:t xml:space="preserve"> </w:t>
            </w:r>
            <w:r w:rsidRPr="00C94C33">
              <w:rPr>
                <w:lang w:eastAsia="en-AU"/>
              </w:rPr>
              <w:t>observed</w:t>
            </w:r>
            <w:r w:rsidRPr="00C94C33">
              <w:rPr>
                <w:spacing w:val="-4"/>
                <w:lang w:eastAsia="en-AU"/>
              </w:rPr>
              <w:t xml:space="preserve"> </w:t>
            </w:r>
            <w:r w:rsidRPr="00C94C33">
              <w:rPr>
                <w:lang w:eastAsia="en-AU"/>
              </w:rPr>
              <w:t>at</w:t>
            </w:r>
            <w:r w:rsidRPr="00C94C33">
              <w:rPr>
                <w:spacing w:val="-4"/>
                <w:lang w:eastAsia="en-AU"/>
              </w:rPr>
              <w:t xml:space="preserve"> </w:t>
            </w:r>
            <w:r w:rsidRPr="00C94C33">
              <w:rPr>
                <w:lang w:eastAsia="en-AU"/>
              </w:rPr>
              <w:t>25</w:t>
            </w:r>
            <w:r w:rsidRPr="00C94C33">
              <w:rPr>
                <w:vertAlign w:val="superscript"/>
                <w:lang w:eastAsia="en-AU"/>
              </w:rPr>
              <w:t>o</w:t>
            </w:r>
            <w:r w:rsidRPr="00C94C33">
              <w:rPr>
                <w:spacing w:val="-1"/>
                <w:lang w:eastAsia="en-AU"/>
              </w:rPr>
              <w:t>C</w:t>
            </w:r>
            <w:r w:rsidRPr="00C94C33">
              <w:rPr>
                <w:spacing w:val="-5"/>
                <w:lang w:eastAsia="en-AU"/>
              </w:rPr>
              <w:t xml:space="preserve"> </w:t>
            </w:r>
            <w:r w:rsidRPr="00C94C33">
              <w:rPr>
                <w:spacing w:val="-1"/>
                <w:lang w:eastAsia="en-AU"/>
              </w:rPr>
              <w:t>between</w:t>
            </w:r>
            <w:r w:rsidRPr="00C94C33">
              <w:rPr>
                <w:spacing w:val="-5"/>
                <w:lang w:eastAsia="en-AU"/>
              </w:rPr>
              <w:t xml:space="preserve"> </w:t>
            </w:r>
            <w:r w:rsidRPr="00C94C33">
              <w:rPr>
                <w:lang w:eastAsia="en-AU"/>
              </w:rPr>
              <w:t>0%</w:t>
            </w:r>
            <w:r w:rsidRPr="00C94C33">
              <w:rPr>
                <w:spacing w:val="-5"/>
                <w:lang w:eastAsia="en-AU"/>
              </w:rPr>
              <w:t xml:space="preserve"> </w:t>
            </w:r>
            <w:r w:rsidRPr="00C94C33">
              <w:rPr>
                <w:lang w:eastAsia="en-AU"/>
              </w:rPr>
              <w:t>RH</w:t>
            </w:r>
            <w:r w:rsidRPr="00C94C33">
              <w:rPr>
                <w:spacing w:val="-5"/>
                <w:lang w:eastAsia="en-AU"/>
              </w:rPr>
              <w:t xml:space="preserve"> </w:t>
            </w:r>
            <w:r w:rsidRPr="00C94C33">
              <w:rPr>
                <w:spacing w:val="-1"/>
                <w:lang w:eastAsia="en-AU"/>
              </w:rPr>
              <w:t>and</w:t>
            </w:r>
            <w:r w:rsidRPr="00C94C33">
              <w:rPr>
                <w:spacing w:val="-3"/>
                <w:lang w:eastAsia="en-AU"/>
              </w:rPr>
              <w:t xml:space="preserve"> </w:t>
            </w:r>
            <w:r w:rsidRPr="00C94C33">
              <w:rPr>
                <w:lang w:eastAsia="en-AU"/>
              </w:rPr>
              <w:t>90%</w:t>
            </w:r>
            <w:r w:rsidRPr="00C94C33">
              <w:rPr>
                <w:spacing w:val="-3"/>
                <w:lang w:eastAsia="en-AU"/>
              </w:rPr>
              <w:t xml:space="preserve"> </w:t>
            </w:r>
            <w:r w:rsidRPr="00C94C33">
              <w:rPr>
                <w:spacing w:val="-1"/>
                <w:lang w:eastAsia="en-AU"/>
              </w:rPr>
              <w:t>RH.</w:t>
            </w:r>
          </w:p>
        </w:tc>
      </w:tr>
      <w:tr w:rsidR="00DF61BC" w:rsidRPr="00C94C33" w14:paraId="6E0DD30D" w14:textId="77777777" w:rsidTr="00E46D84">
        <w:trPr>
          <w:trHeight w:hRule="exact" w:val="379"/>
        </w:trPr>
        <w:tc>
          <w:tcPr>
            <w:tcW w:w="2164" w:type="dxa"/>
            <w:tcBorders>
              <w:top w:val="single" w:sz="6" w:space="0" w:color="000000"/>
              <w:left w:val="single" w:sz="6" w:space="0" w:color="000000"/>
              <w:bottom w:val="single" w:sz="6" w:space="0" w:color="000000"/>
              <w:right w:val="single" w:sz="6" w:space="0" w:color="000000"/>
            </w:tcBorders>
          </w:tcPr>
          <w:p w14:paraId="75FFAFA0" w14:textId="77777777" w:rsidR="00DF61BC" w:rsidRPr="00C94C33" w:rsidRDefault="00DF61BC" w:rsidP="00ED2BC9">
            <w:pPr>
              <w:pStyle w:val="Tabletext"/>
              <w:rPr>
                <w:lang w:eastAsia="en-AU"/>
              </w:rPr>
            </w:pPr>
            <w:r w:rsidRPr="00C94C33">
              <w:rPr>
                <w:lang w:eastAsia="en-AU"/>
              </w:rPr>
              <w:t>Melting</w:t>
            </w:r>
            <w:r w:rsidRPr="00C94C33">
              <w:rPr>
                <w:spacing w:val="-12"/>
                <w:lang w:eastAsia="en-AU"/>
              </w:rPr>
              <w:t xml:space="preserve"> </w:t>
            </w:r>
            <w:r w:rsidRPr="00C94C33">
              <w:rPr>
                <w:lang w:eastAsia="en-AU"/>
              </w:rPr>
              <w:t>point</w:t>
            </w:r>
          </w:p>
        </w:tc>
        <w:tc>
          <w:tcPr>
            <w:tcW w:w="6912" w:type="dxa"/>
            <w:tcBorders>
              <w:top w:val="single" w:sz="6" w:space="0" w:color="000000"/>
              <w:left w:val="single" w:sz="6" w:space="0" w:color="000000"/>
              <w:bottom w:val="single" w:sz="6" w:space="0" w:color="000000"/>
              <w:right w:val="single" w:sz="6" w:space="0" w:color="000000"/>
            </w:tcBorders>
          </w:tcPr>
          <w:p w14:paraId="6D01830F" w14:textId="77777777" w:rsidR="00DF61BC" w:rsidRPr="00C94C33" w:rsidRDefault="00DF61BC" w:rsidP="00ED2BC9">
            <w:pPr>
              <w:pStyle w:val="Tabletext"/>
              <w:rPr>
                <w:lang w:eastAsia="en-AU"/>
              </w:rPr>
            </w:pPr>
            <w:r w:rsidRPr="00C94C33">
              <w:rPr>
                <w:lang w:eastAsia="en-AU"/>
              </w:rPr>
              <w:t>240</w:t>
            </w:r>
            <w:r w:rsidRPr="00C94C33">
              <w:rPr>
                <w:spacing w:val="-7"/>
                <w:vertAlign w:val="superscript"/>
                <w:lang w:eastAsia="en-AU"/>
              </w:rPr>
              <w:t>o</w:t>
            </w:r>
            <w:r w:rsidRPr="00C94C33">
              <w:rPr>
                <w:spacing w:val="-1"/>
                <w:lang w:eastAsia="en-AU"/>
              </w:rPr>
              <w:t>C</w:t>
            </w:r>
            <w:r w:rsidRPr="00C94C33">
              <w:rPr>
                <w:spacing w:val="-8"/>
                <w:lang w:eastAsia="en-AU"/>
              </w:rPr>
              <w:t xml:space="preserve"> </w:t>
            </w:r>
            <w:r w:rsidRPr="00C94C33">
              <w:rPr>
                <w:spacing w:val="-1"/>
                <w:lang w:eastAsia="en-AU"/>
              </w:rPr>
              <w:t>(with</w:t>
            </w:r>
            <w:r w:rsidRPr="00C94C33">
              <w:rPr>
                <w:spacing w:val="-8"/>
                <w:lang w:eastAsia="en-AU"/>
              </w:rPr>
              <w:t xml:space="preserve"> </w:t>
            </w:r>
            <w:r w:rsidRPr="00C94C33">
              <w:rPr>
                <w:spacing w:val="-1"/>
                <w:lang w:eastAsia="en-AU"/>
              </w:rPr>
              <w:t>decomposition)</w:t>
            </w:r>
          </w:p>
        </w:tc>
      </w:tr>
      <w:tr w:rsidR="00DF61BC" w:rsidRPr="00C94C33" w14:paraId="5BC424E4" w14:textId="77777777" w:rsidTr="00E46D84">
        <w:trPr>
          <w:trHeight w:hRule="exact" w:val="610"/>
        </w:trPr>
        <w:tc>
          <w:tcPr>
            <w:tcW w:w="2164" w:type="dxa"/>
            <w:tcBorders>
              <w:top w:val="single" w:sz="6" w:space="0" w:color="000000"/>
              <w:left w:val="single" w:sz="6" w:space="0" w:color="000000"/>
              <w:bottom w:val="single" w:sz="6" w:space="0" w:color="000000"/>
              <w:right w:val="single" w:sz="6" w:space="0" w:color="000000"/>
            </w:tcBorders>
          </w:tcPr>
          <w:p w14:paraId="23669CA0" w14:textId="77777777" w:rsidR="00DF61BC" w:rsidRPr="00C94C33" w:rsidRDefault="00DF61BC" w:rsidP="00ED2BC9">
            <w:pPr>
              <w:pStyle w:val="Tabletext"/>
              <w:rPr>
                <w:lang w:eastAsia="en-AU"/>
              </w:rPr>
            </w:pPr>
            <w:r w:rsidRPr="00C94C33">
              <w:rPr>
                <w:spacing w:val="-1"/>
                <w:lang w:eastAsia="en-AU"/>
              </w:rPr>
              <w:t>Thermal</w:t>
            </w:r>
            <w:r w:rsidRPr="00C94C33">
              <w:rPr>
                <w:spacing w:val="-14"/>
                <w:lang w:eastAsia="en-AU"/>
              </w:rPr>
              <w:t xml:space="preserve"> </w:t>
            </w:r>
            <w:r w:rsidRPr="00C94C33">
              <w:rPr>
                <w:lang w:eastAsia="en-AU"/>
              </w:rPr>
              <w:t>analysis</w:t>
            </w:r>
          </w:p>
        </w:tc>
        <w:tc>
          <w:tcPr>
            <w:tcW w:w="6912" w:type="dxa"/>
            <w:tcBorders>
              <w:top w:val="single" w:sz="6" w:space="0" w:color="000000"/>
              <w:left w:val="single" w:sz="6" w:space="0" w:color="000000"/>
              <w:bottom w:val="single" w:sz="6" w:space="0" w:color="000000"/>
              <w:right w:val="single" w:sz="6" w:space="0" w:color="000000"/>
            </w:tcBorders>
          </w:tcPr>
          <w:p w14:paraId="32936631" w14:textId="77777777" w:rsidR="00DF61BC" w:rsidRPr="00C94C33" w:rsidRDefault="00DF61BC" w:rsidP="00ED2BC9">
            <w:pPr>
              <w:pStyle w:val="Tabletext"/>
              <w:rPr>
                <w:lang w:eastAsia="en-AU"/>
              </w:rPr>
            </w:pPr>
            <w:r w:rsidRPr="00C94C33">
              <w:rPr>
                <w:spacing w:val="-1"/>
                <w:lang w:eastAsia="en-AU"/>
              </w:rPr>
              <w:t>Endothermic</w:t>
            </w:r>
            <w:r w:rsidRPr="00C94C33">
              <w:rPr>
                <w:spacing w:val="-6"/>
                <w:lang w:eastAsia="en-AU"/>
              </w:rPr>
              <w:t xml:space="preserve"> </w:t>
            </w:r>
            <w:r w:rsidRPr="00C94C33">
              <w:rPr>
                <w:spacing w:val="1"/>
                <w:lang w:eastAsia="en-AU"/>
              </w:rPr>
              <w:t>peak</w:t>
            </w:r>
            <w:r w:rsidRPr="00C94C33">
              <w:rPr>
                <w:spacing w:val="-6"/>
                <w:lang w:eastAsia="en-AU"/>
              </w:rPr>
              <w:t xml:space="preserve"> </w:t>
            </w:r>
            <w:r w:rsidRPr="00C94C33">
              <w:rPr>
                <w:spacing w:val="-1"/>
                <w:lang w:eastAsia="en-AU"/>
              </w:rPr>
              <w:t>and</w:t>
            </w:r>
            <w:r w:rsidRPr="00C94C33">
              <w:rPr>
                <w:spacing w:val="-5"/>
                <w:lang w:eastAsia="en-AU"/>
              </w:rPr>
              <w:t xml:space="preserve"> </w:t>
            </w:r>
            <w:r w:rsidRPr="00C94C33">
              <w:rPr>
                <w:spacing w:val="-1"/>
                <w:lang w:eastAsia="en-AU"/>
              </w:rPr>
              <w:t>loss</w:t>
            </w:r>
            <w:r w:rsidRPr="00C94C33">
              <w:rPr>
                <w:spacing w:val="-6"/>
                <w:lang w:eastAsia="en-AU"/>
              </w:rPr>
              <w:t xml:space="preserve"> </w:t>
            </w:r>
            <w:r w:rsidRPr="00C94C33">
              <w:rPr>
                <w:spacing w:val="1"/>
                <w:lang w:eastAsia="en-AU"/>
              </w:rPr>
              <w:t>in</w:t>
            </w:r>
            <w:r w:rsidRPr="00C94C33">
              <w:rPr>
                <w:spacing w:val="-5"/>
                <w:lang w:eastAsia="en-AU"/>
              </w:rPr>
              <w:t xml:space="preserve"> </w:t>
            </w:r>
            <w:r w:rsidRPr="00C94C33">
              <w:rPr>
                <w:spacing w:val="-1"/>
                <w:lang w:eastAsia="en-AU"/>
              </w:rPr>
              <w:t>mass</w:t>
            </w:r>
            <w:r w:rsidRPr="00C94C33">
              <w:rPr>
                <w:spacing w:val="-6"/>
                <w:lang w:eastAsia="en-AU"/>
              </w:rPr>
              <w:t xml:space="preserve"> </w:t>
            </w:r>
            <w:r w:rsidRPr="00C94C33">
              <w:rPr>
                <w:lang w:eastAsia="en-AU"/>
              </w:rPr>
              <w:t>associated</w:t>
            </w:r>
            <w:r w:rsidRPr="00C94C33">
              <w:rPr>
                <w:spacing w:val="-3"/>
                <w:lang w:eastAsia="en-AU"/>
              </w:rPr>
              <w:t xml:space="preserve"> </w:t>
            </w:r>
            <w:r w:rsidRPr="00C94C33">
              <w:rPr>
                <w:spacing w:val="-1"/>
                <w:lang w:eastAsia="en-AU"/>
              </w:rPr>
              <w:t>with</w:t>
            </w:r>
            <w:r w:rsidRPr="00C94C33">
              <w:rPr>
                <w:spacing w:val="-4"/>
                <w:lang w:eastAsia="en-AU"/>
              </w:rPr>
              <w:t xml:space="preserve"> </w:t>
            </w:r>
            <w:r w:rsidRPr="00C94C33">
              <w:rPr>
                <w:spacing w:val="-1"/>
                <w:lang w:eastAsia="en-AU"/>
              </w:rPr>
              <w:t>melting</w:t>
            </w:r>
            <w:r w:rsidRPr="00C94C33">
              <w:rPr>
                <w:spacing w:val="-5"/>
                <w:lang w:eastAsia="en-AU"/>
              </w:rPr>
              <w:t xml:space="preserve"> </w:t>
            </w:r>
            <w:r w:rsidRPr="00C94C33">
              <w:rPr>
                <w:spacing w:val="-1"/>
                <w:lang w:eastAsia="en-AU"/>
              </w:rPr>
              <w:t>were</w:t>
            </w:r>
            <w:r w:rsidRPr="00C94C33">
              <w:rPr>
                <w:spacing w:val="-5"/>
                <w:lang w:eastAsia="en-AU"/>
              </w:rPr>
              <w:t xml:space="preserve"> </w:t>
            </w:r>
            <w:r w:rsidRPr="00C94C33">
              <w:rPr>
                <w:lang w:eastAsia="en-AU"/>
              </w:rPr>
              <w:t>observed</w:t>
            </w:r>
            <w:r w:rsidRPr="00C94C33">
              <w:rPr>
                <w:spacing w:val="51"/>
                <w:w w:val="99"/>
                <w:lang w:eastAsia="en-AU"/>
              </w:rPr>
              <w:t xml:space="preserve"> </w:t>
            </w:r>
            <w:r w:rsidRPr="00C94C33">
              <w:rPr>
                <w:lang w:eastAsia="en-AU"/>
              </w:rPr>
              <w:t>between</w:t>
            </w:r>
            <w:r w:rsidRPr="00C94C33">
              <w:rPr>
                <w:spacing w:val="-5"/>
                <w:lang w:eastAsia="en-AU"/>
              </w:rPr>
              <w:t xml:space="preserve"> </w:t>
            </w:r>
            <w:r w:rsidRPr="00C94C33">
              <w:rPr>
                <w:lang w:eastAsia="en-AU"/>
              </w:rPr>
              <w:t>250</w:t>
            </w:r>
            <w:r w:rsidRPr="00C94C33">
              <w:rPr>
                <w:spacing w:val="-3"/>
                <w:vertAlign w:val="superscript"/>
                <w:lang w:eastAsia="en-AU"/>
              </w:rPr>
              <w:t>o</w:t>
            </w:r>
            <w:r w:rsidRPr="00C94C33">
              <w:rPr>
                <w:spacing w:val="-1"/>
                <w:lang w:eastAsia="en-AU"/>
              </w:rPr>
              <w:t>C</w:t>
            </w:r>
            <w:r w:rsidRPr="00C94C33">
              <w:rPr>
                <w:spacing w:val="-5"/>
                <w:lang w:eastAsia="en-AU"/>
              </w:rPr>
              <w:t xml:space="preserve"> </w:t>
            </w:r>
            <w:r w:rsidRPr="00C94C33">
              <w:rPr>
                <w:spacing w:val="-1"/>
                <w:lang w:eastAsia="en-AU"/>
              </w:rPr>
              <w:t>and</w:t>
            </w:r>
            <w:r w:rsidRPr="00C94C33">
              <w:rPr>
                <w:spacing w:val="-3"/>
                <w:lang w:eastAsia="en-AU"/>
              </w:rPr>
              <w:t xml:space="preserve"> </w:t>
            </w:r>
            <w:r w:rsidRPr="00C94C33">
              <w:rPr>
                <w:lang w:eastAsia="en-AU"/>
              </w:rPr>
              <w:t>280</w:t>
            </w:r>
            <w:r w:rsidRPr="00C94C33">
              <w:rPr>
                <w:spacing w:val="-2"/>
                <w:vertAlign w:val="superscript"/>
                <w:lang w:eastAsia="en-AU"/>
              </w:rPr>
              <w:t>o</w:t>
            </w:r>
            <w:r w:rsidRPr="00C94C33">
              <w:rPr>
                <w:spacing w:val="-1"/>
                <w:lang w:eastAsia="en-AU"/>
              </w:rPr>
              <w:t>C.</w:t>
            </w:r>
          </w:p>
        </w:tc>
      </w:tr>
      <w:tr w:rsidR="00DF61BC" w:rsidRPr="00C94C33" w14:paraId="7D7AC16A" w14:textId="77777777" w:rsidTr="00E46D84">
        <w:trPr>
          <w:trHeight w:hRule="exact" w:val="595"/>
        </w:trPr>
        <w:tc>
          <w:tcPr>
            <w:tcW w:w="2164" w:type="dxa"/>
            <w:tcBorders>
              <w:top w:val="single" w:sz="6" w:space="0" w:color="000000"/>
              <w:left w:val="single" w:sz="6" w:space="0" w:color="000000"/>
              <w:bottom w:val="single" w:sz="6" w:space="0" w:color="000000"/>
              <w:right w:val="single" w:sz="6" w:space="0" w:color="000000"/>
            </w:tcBorders>
          </w:tcPr>
          <w:p w14:paraId="0EC8166C" w14:textId="77777777" w:rsidR="00DF61BC" w:rsidRPr="00C94C33" w:rsidRDefault="00DF61BC" w:rsidP="00ED2BC9">
            <w:pPr>
              <w:pStyle w:val="Tabletext"/>
              <w:rPr>
                <w:lang w:eastAsia="en-AU"/>
              </w:rPr>
            </w:pPr>
            <w:r w:rsidRPr="00C94C33">
              <w:rPr>
                <w:lang w:eastAsia="en-AU"/>
              </w:rPr>
              <w:t>UV</w:t>
            </w:r>
            <w:r w:rsidRPr="00C94C33">
              <w:rPr>
                <w:spacing w:val="-11"/>
                <w:lang w:eastAsia="en-AU"/>
              </w:rPr>
              <w:t xml:space="preserve"> </w:t>
            </w:r>
            <w:r w:rsidRPr="00C94C33">
              <w:rPr>
                <w:lang w:eastAsia="en-AU"/>
              </w:rPr>
              <w:t>spectrum</w:t>
            </w:r>
          </w:p>
        </w:tc>
        <w:tc>
          <w:tcPr>
            <w:tcW w:w="6912" w:type="dxa"/>
            <w:tcBorders>
              <w:top w:val="single" w:sz="6" w:space="0" w:color="000000"/>
              <w:left w:val="single" w:sz="6" w:space="0" w:color="000000"/>
              <w:bottom w:val="single" w:sz="6" w:space="0" w:color="000000"/>
              <w:right w:val="single" w:sz="6" w:space="0" w:color="000000"/>
            </w:tcBorders>
          </w:tcPr>
          <w:p w14:paraId="2D10EDAD" w14:textId="77777777" w:rsidR="00DF61BC" w:rsidRPr="00C94C33" w:rsidRDefault="00DF61BC" w:rsidP="00ED2BC9">
            <w:pPr>
              <w:pStyle w:val="Tabletext"/>
              <w:rPr>
                <w:lang w:eastAsia="en-AU"/>
              </w:rPr>
            </w:pPr>
            <w:r w:rsidRPr="00C94C33">
              <w:rPr>
                <w:spacing w:val="-1"/>
                <w:lang w:eastAsia="en-AU"/>
              </w:rPr>
              <w:t>Two</w:t>
            </w:r>
            <w:r w:rsidRPr="00C94C33">
              <w:rPr>
                <w:spacing w:val="-3"/>
                <w:lang w:eastAsia="en-AU"/>
              </w:rPr>
              <w:t xml:space="preserve"> </w:t>
            </w:r>
            <w:r w:rsidRPr="00C94C33">
              <w:rPr>
                <w:spacing w:val="-1"/>
                <w:lang w:eastAsia="en-AU"/>
              </w:rPr>
              <w:t>wavelengths</w:t>
            </w:r>
            <w:r w:rsidRPr="00C94C33">
              <w:rPr>
                <w:spacing w:val="-6"/>
                <w:lang w:eastAsia="en-AU"/>
              </w:rPr>
              <w:t xml:space="preserve"> </w:t>
            </w:r>
            <w:r w:rsidRPr="00C94C33">
              <w:rPr>
                <w:lang w:eastAsia="en-AU"/>
              </w:rPr>
              <w:t>of</w:t>
            </w:r>
            <w:r w:rsidRPr="00C94C33">
              <w:rPr>
                <w:spacing w:val="-4"/>
                <w:lang w:eastAsia="en-AU"/>
              </w:rPr>
              <w:t xml:space="preserve"> </w:t>
            </w:r>
            <w:r w:rsidRPr="00C94C33">
              <w:rPr>
                <w:spacing w:val="-1"/>
                <w:lang w:eastAsia="en-AU"/>
              </w:rPr>
              <w:t>maximum</w:t>
            </w:r>
            <w:r w:rsidRPr="00C94C33">
              <w:rPr>
                <w:spacing w:val="-7"/>
                <w:lang w:eastAsia="en-AU"/>
              </w:rPr>
              <w:t xml:space="preserve"> </w:t>
            </w:r>
            <w:r w:rsidRPr="00C94C33">
              <w:rPr>
                <w:lang w:eastAsia="en-AU"/>
              </w:rPr>
              <w:t>absorption</w:t>
            </w:r>
            <w:r w:rsidRPr="00C94C33">
              <w:rPr>
                <w:spacing w:val="-6"/>
                <w:lang w:eastAsia="en-AU"/>
              </w:rPr>
              <w:t xml:space="preserve"> </w:t>
            </w:r>
            <w:r w:rsidRPr="00C94C33">
              <w:rPr>
                <w:lang w:eastAsia="en-AU"/>
              </w:rPr>
              <w:t>between</w:t>
            </w:r>
            <w:r w:rsidRPr="00C94C33">
              <w:rPr>
                <w:spacing w:val="-6"/>
                <w:lang w:eastAsia="en-AU"/>
              </w:rPr>
              <w:t xml:space="preserve"> </w:t>
            </w:r>
            <w:r w:rsidRPr="00C94C33">
              <w:rPr>
                <w:lang w:eastAsia="en-AU"/>
              </w:rPr>
              <w:t>205</w:t>
            </w:r>
            <w:r w:rsidRPr="00C94C33">
              <w:rPr>
                <w:spacing w:val="-4"/>
                <w:lang w:eastAsia="en-AU"/>
              </w:rPr>
              <w:t xml:space="preserve"> </w:t>
            </w:r>
            <w:r w:rsidRPr="00C94C33">
              <w:rPr>
                <w:lang w:eastAsia="en-AU"/>
              </w:rPr>
              <w:t>nm</w:t>
            </w:r>
            <w:r w:rsidRPr="00C94C33">
              <w:rPr>
                <w:spacing w:val="-7"/>
                <w:lang w:eastAsia="en-AU"/>
              </w:rPr>
              <w:t xml:space="preserve"> </w:t>
            </w:r>
            <w:r w:rsidRPr="00C94C33">
              <w:rPr>
                <w:spacing w:val="-1"/>
                <w:lang w:eastAsia="en-AU"/>
              </w:rPr>
              <w:t>and</w:t>
            </w:r>
            <w:r w:rsidRPr="00C94C33">
              <w:rPr>
                <w:spacing w:val="-4"/>
                <w:lang w:eastAsia="en-AU"/>
              </w:rPr>
              <w:t xml:space="preserve"> </w:t>
            </w:r>
            <w:r w:rsidRPr="00C94C33">
              <w:rPr>
                <w:lang w:eastAsia="en-AU"/>
              </w:rPr>
              <w:t>213</w:t>
            </w:r>
            <w:r w:rsidRPr="00C94C33">
              <w:rPr>
                <w:spacing w:val="2"/>
                <w:lang w:eastAsia="en-AU"/>
              </w:rPr>
              <w:t xml:space="preserve"> </w:t>
            </w:r>
            <w:r w:rsidRPr="00C94C33">
              <w:rPr>
                <w:spacing w:val="-2"/>
                <w:lang w:eastAsia="en-AU"/>
              </w:rPr>
              <w:t>nm,</w:t>
            </w:r>
            <w:r w:rsidRPr="00C94C33">
              <w:rPr>
                <w:spacing w:val="-5"/>
                <w:lang w:eastAsia="en-AU"/>
              </w:rPr>
              <w:t xml:space="preserve"> </w:t>
            </w:r>
            <w:r w:rsidRPr="00C94C33">
              <w:rPr>
                <w:lang w:eastAsia="en-AU"/>
              </w:rPr>
              <w:t>and</w:t>
            </w:r>
            <w:r w:rsidRPr="00C94C33">
              <w:rPr>
                <w:spacing w:val="54"/>
                <w:w w:val="99"/>
                <w:lang w:eastAsia="en-AU"/>
              </w:rPr>
              <w:t xml:space="preserve"> </w:t>
            </w:r>
            <w:r w:rsidRPr="00C94C33">
              <w:rPr>
                <w:lang w:eastAsia="en-AU"/>
              </w:rPr>
              <w:t>between</w:t>
            </w:r>
            <w:r w:rsidRPr="00C94C33">
              <w:rPr>
                <w:spacing w:val="-6"/>
                <w:lang w:eastAsia="en-AU"/>
              </w:rPr>
              <w:t xml:space="preserve"> </w:t>
            </w:r>
            <w:r w:rsidRPr="00C94C33">
              <w:rPr>
                <w:lang w:eastAsia="en-AU"/>
              </w:rPr>
              <w:t>277</w:t>
            </w:r>
            <w:r w:rsidRPr="00C94C33">
              <w:rPr>
                <w:spacing w:val="-4"/>
                <w:lang w:eastAsia="en-AU"/>
              </w:rPr>
              <w:t xml:space="preserve"> </w:t>
            </w:r>
            <w:r w:rsidRPr="00C94C33">
              <w:rPr>
                <w:lang w:eastAsia="en-AU"/>
              </w:rPr>
              <w:t>nm</w:t>
            </w:r>
            <w:r w:rsidRPr="00C94C33">
              <w:rPr>
                <w:spacing w:val="-8"/>
                <w:lang w:eastAsia="en-AU"/>
              </w:rPr>
              <w:t xml:space="preserve"> </w:t>
            </w:r>
            <w:r w:rsidRPr="00C94C33">
              <w:rPr>
                <w:spacing w:val="-1"/>
                <w:lang w:eastAsia="en-AU"/>
              </w:rPr>
              <w:t>and</w:t>
            </w:r>
            <w:r w:rsidRPr="00C94C33">
              <w:rPr>
                <w:spacing w:val="-4"/>
                <w:lang w:eastAsia="en-AU"/>
              </w:rPr>
              <w:t xml:space="preserve"> </w:t>
            </w:r>
            <w:r w:rsidRPr="00C94C33">
              <w:rPr>
                <w:lang w:eastAsia="en-AU"/>
              </w:rPr>
              <w:t>301</w:t>
            </w:r>
            <w:r w:rsidRPr="00C94C33">
              <w:rPr>
                <w:spacing w:val="-4"/>
                <w:lang w:eastAsia="en-AU"/>
              </w:rPr>
              <w:t xml:space="preserve"> </w:t>
            </w:r>
            <w:r w:rsidRPr="00C94C33">
              <w:rPr>
                <w:lang w:eastAsia="en-AU"/>
              </w:rPr>
              <w:t>nm</w:t>
            </w:r>
            <w:r w:rsidRPr="00C94C33">
              <w:rPr>
                <w:spacing w:val="-6"/>
                <w:lang w:eastAsia="en-AU"/>
              </w:rPr>
              <w:t xml:space="preserve"> </w:t>
            </w:r>
            <w:r w:rsidRPr="00C94C33">
              <w:rPr>
                <w:spacing w:val="-1"/>
                <w:lang w:eastAsia="en-AU"/>
              </w:rPr>
              <w:t>were</w:t>
            </w:r>
            <w:r w:rsidRPr="00C94C33">
              <w:rPr>
                <w:spacing w:val="-5"/>
                <w:lang w:eastAsia="en-AU"/>
              </w:rPr>
              <w:t xml:space="preserve"> </w:t>
            </w:r>
            <w:r w:rsidRPr="00C94C33">
              <w:rPr>
                <w:lang w:eastAsia="en-AU"/>
              </w:rPr>
              <w:t>observed.</w:t>
            </w:r>
          </w:p>
        </w:tc>
      </w:tr>
      <w:tr w:rsidR="00DF61BC" w:rsidRPr="00C94C33" w14:paraId="31FC47DD" w14:textId="77777777" w:rsidTr="00E46D84">
        <w:trPr>
          <w:trHeight w:hRule="exact" w:val="656"/>
        </w:trPr>
        <w:tc>
          <w:tcPr>
            <w:tcW w:w="2164" w:type="dxa"/>
            <w:tcBorders>
              <w:top w:val="single" w:sz="6" w:space="0" w:color="000000"/>
              <w:left w:val="single" w:sz="6" w:space="0" w:color="000000"/>
              <w:bottom w:val="single" w:sz="6" w:space="0" w:color="000000"/>
              <w:right w:val="single" w:sz="6" w:space="0" w:color="000000"/>
            </w:tcBorders>
          </w:tcPr>
          <w:p w14:paraId="695AE8DB" w14:textId="77777777" w:rsidR="00DF61BC" w:rsidRPr="00C94C33" w:rsidRDefault="00DF61BC" w:rsidP="00ED2BC9">
            <w:pPr>
              <w:pStyle w:val="Tabletext"/>
              <w:rPr>
                <w:lang w:eastAsia="en-AU"/>
              </w:rPr>
            </w:pPr>
            <w:r w:rsidRPr="00C94C33">
              <w:rPr>
                <w:lang w:eastAsia="en-AU"/>
              </w:rPr>
              <w:t>Optical</w:t>
            </w:r>
            <w:r w:rsidRPr="00C94C33">
              <w:rPr>
                <w:spacing w:val="-13"/>
                <w:lang w:eastAsia="en-AU"/>
              </w:rPr>
              <w:t xml:space="preserve"> </w:t>
            </w:r>
            <w:r w:rsidRPr="00C94C33">
              <w:rPr>
                <w:lang w:eastAsia="en-AU"/>
              </w:rPr>
              <w:t>rotation</w:t>
            </w:r>
          </w:p>
        </w:tc>
        <w:tc>
          <w:tcPr>
            <w:tcW w:w="6912" w:type="dxa"/>
            <w:tcBorders>
              <w:top w:val="single" w:sz="6" w:space="0" w:color="000000"/>
              <w:left w:val="single" w:sz="6" w:space="0" w:color="000000"/>
              <w:bottom w:val="single" w:sz="6" w:space="0" w:color="000000"/>
              <w:right w:val="single" w:sz="6" w:space="0" w:color="000000"/>
            </w:tcBorders>
          </w:tcPr>
          <w:p w14:paraId="5FA40262" w14:textId="2EFE6466" w:rsidR="00DF61BC" w:rsidRPr="00C94C33" w:rsidRDefault="00DF61BC" w:rsidP="00ED2BC9">
            <w:pPr>
              <w:pStyle w:val="Tabletext"/>
              <w:rPr>
                <w:lang w:eastAsia="en-AU"/>
              </w:rPr>
            </w:pPr>
            <w:r w:rsidRPr="00C94C33">
              <w:rPr>
                <w:lang w:eastAsia="en-AU"/>
              </w:rPr>
              <w:t>TPI</w:t>
            </w:r>
            <w:r w:rsidRPr="00C94C33">
              <w:rPr>
                <w:spacing w:val="-6"/>
                <w:lang w:eastAsia="en-AU"/>
              </w:rPr>
              <w:t xml:space="preserve"> </w:t>
            </w:r>
            <w:r w:rsidRPr="00C94C33">
              <w:rPr>
                <w:lang w:eastAsia="en-AU"/>
              </w:rPr>
              <w:t>is</w:t>
            </w:r>
            <w:r w:rsidRPr="00C94C33">
              <w:rPr>
                <w:spacing w:val="-6"/>
                <w:lang w:eastAsia="en-AU"/>
              </w:rPr>
              <w:t xml:space="preserve"> </w:t>
            </w:r>
            <w:r w:rsidRPr="00C94C33">
              <w:rPr>
                <w:spacing w:val="-1"/>
                <w:lang w:eastAsia="en-AU"/>
              </w:rPr>
              <w:t>achiral.</w:t>
            </w:r>
            <w:r w:rsidRPr="00C94C33">
              <w:rPr>
                <w:spacing w:val="28"/>
                <w:w w:val="99"/>
                <w:lang w:eastAsia="en-AU"/>
              </w:rPr>
              <w:t xml:space="preserve"> </w:t>
            </w:r>
            <w:r w:rsidRPr="00C94C33">
              <w:rPr>
                <w:lang w:eastAsia="en-AU"/>
              </w:rPr>
              <w:t>Not</w:t>
            </w:r>
            <w:r w:rsidR="00A86387" w:rsidRPr="00C94C33">
              <w:rPr>
                <w:spacing w:val="-13"/>
                <w:lang w:eastAsia="en-AU"/>
              </w:rPr>
              <w:t> </w:t>
            </w:r>
            <w:r w:rsidRPr="00C94C33">
              <w:rPr>
                <w:lang w:eastAsia="en-AU"/>
              </w:rPr>
              <w:t>applicable</w:t>
            </w:r>
            <w:r w:rsidR="00A86387" w:rsidRPr="00C94C33">
              <w:rPr>
                <w:lang w:eastAsia="en-AU"/>
              </w:rPr>
              <w:t>.</w:t>
            </w:r>
          </w:p>
        </w:tc>
      </w:tr>
      <w:tr w:rsidR="00DF61BC" w:rsidRPr="00C94C33" w14:paraId="098450C6" w14:textId="77777777" w:rsidTr="00E46D84">
        <w:trPr>
          <w:trHeight w:hRule="exact" w:val="365"/>
        </w:trPr>
        <w:tc>
          <w:tcPr>
            <w:tcW w:w="2164" w:type="dxa"/>
            <w:tcBorders>
              <w:top w:val="single" w:sz="6" w:space="0" w:color="000000"/>
              <w:left w:val="single" w:sz="6" w:space="0" w:color="000000"/>
              <w:bottom w:val="single" w:sz="6" w:space="0" w:color="000000"/>
              <w:right w:val="single" w:sz="6" w:space="0" w:color="000000"/>
            </w:tcBorders>
          </w:tcPr>
          <w:p w14:paraId="365DB018" w14:textId="77777777" w:rsidR="00DF61BC" w:rsidRPr="00C94C33" w:rsidRDefault="00DF61BC" w:rsidP="00ED2BC9">
            <w:pPr>
              <w:pStyle w:val="Tabletext"/>
              <w:rPr>
                <w:lang w:eastAsia="en-AU"/>
              </w:rPr>
            </w:pPr>
            <w:r w:rsidRPr="00C94C33">
              <w:rPr>
                <w:spacing w:val="1"/>
                <w:lang w:eastAsia="en-AU"/>
              </w:rPr>
              <w:t>pH</w:t>
            </w:r>
          </w:p>
        </w:tc>
        <w:tc>
          <w:tcPr>
            <w:tcW w:w="6912" w:type="dxa"/>
            <w:tcBorders>
              <w:top w:val="single" w:sz="6" w:space="0" w:color="000000"/>
              <w:left w:val="single" w:sz="6" w:space="0" w:color="000000"/>
              <w:bottom w:val="single" w:sz="6" w:space="0" w:color="000000"/>
              <w:right w:val="single" w:sz="6" w:space="0" w:color="000000"/>
            </w:tcBorders>
          </w:tcPr>
          <w:p w14:paraId="43395525" w14:textId="77777777" w:rsidR="00DF61BC" w:rsidRPr="00C94C33" w:rsidRDefault="00DF61BC" w:rsidP="00ED2BC9">
            <w:pPr>
              <w:pStyle w:val="Tabletext"/>
              <w:rPr>
                <w:lang w:eastAsia="en-AU"/>
              </w:rPr>
            </w:pPr>
            <w:r w:rsidRPr="00C94C33">
              <w:rPr>
                <w:lang w:eastAsia="en-AU"/>
              </w:rPr>
              <w:t>pH</w:t>
            </w:r>
            <w:r w:rsidRPr="00C94C33">
              <w:rPr>
                <w:spacing w:val="-5"/>
                <w:lang w:eastAsia="en-AU"/>
              </w:rPr>
              <w:t xml:space="preserve"> </w:t>
            </w:r>
            <w:r w:rsidRPr="00C94C33">
              <w:rPr>
                <w:lang w:eastAsia="en-AU"/>
              </w:rPr>
              <w:t>3.74</w:t>
            </w:r>
            <w:r w:rsidRPr="00C94C33">
              <w:rPr>
                <w:spacing w:val="-6"/>
                <w:lang w:eastAsia="en-AU"/>
              </w:rPr>
              <w:t xml:space="preserve"> </w:t>
            </w:r>
            <w:r w:rsidRPr="00C94C33">
              <w:rPr>
                <w:spacing w:val="-1"/>
                <w:lang w:eastAsia="en-AU"/>
              </w:rPr>
              <w:t>(10</w:t>
            </w:r>
            <w:r w:rsidRPr="00C94C33">
              <w:rPr>
                <w:spacing w:val="-4"/>
                <w:lang w:eastAsia="en-AU"/>
              </w:rPr>
              <w:t xml:space="preserve"> </w:t>
            </w:r>
            <w:r w:rsidRPr="00C94C33">
              <w:rPr>
                <w:spacing w:val="-1"/>
                <w:lang w:eastAsia="en-AU"/>
              </w:rPr>
              <w:t>mg/mL,</w:t>
            </w:r>
            <w:r w:rsidRPr="00C94C33">
              <w:rPr>
                <w:spacing w:val="-3"/>
                <w:lang w:eastAsia="en-AU"/>
              </w:rPr>
              <w:t xml:space="preserve"> </w:t>
            </w:r>
            <w:r w:rsidRPr="00C94C33">
              <w:rPr>
                <w:spacing w:val="-1"/>
                <w:lang w:eastAsia="en-AU"/>
              </w:rPr>
              <w:t>water)</w:t>
            </w:r>
          </w:p>
        </w:tc>
      </w:tr>
      <w:tr w:rsidR="00DF61BC" w:rsidRPr="00C94C33" w14:paraId="77BEB764" w14:textId="77777777" w:rsidTr="00E46D84">
        <w:trPr>
          <w:trHeight w:hRule="exact" w:val="367"/>
        </w:trPr>
        <w:tc>
          <w:tcPr>
            <w:tcW w:w="2164" w:type="dxa"/>
            <w:tcBorders>
              <w:top w:val="single" w:sz="6" w:space="0" w:color="000000"/>
              <w:left w:val="single" w:sz="6" w:space="0" w:color="000000"/>
              <w:bottom w:val="single" w:sz="6" w:space="0" w:color="000000"/>
              <w:right w:val="single" w:sz="6" w:space="0" w:color="000000"/>
            </w:tcBorders>
          </w:tcPr>
          <w:p w14:paraId="341B77B9" w14:textId="77777777" w:rsidR="00DF61BC" w:rsidRPr="00C94C33" w:rsidRDefault="00DF61BC" w:rsidP="00ED2BC9">
            <w:pPr>
              <w:pStyle w:val="Tabletext"/>
              <w:rPr>
                <w:lang w:eastAsia="en-AU"/>
              </w:rPr>
            </w:pPr>
            <w:r w:rsidRPr="00C94C33">
              <w:rPr>
                <w:lang w:eastAsia="en-AU"/>
              </w:rPr>
              <w:t>Dissociation</w:t>
            </w:r>
            <w:r w:rsidRPr="00C94C33">
              <w:rPr>
                <w:spacing w:val="-18"/>
                <w:lang w:eastAsia="en-AU"/>
              </w:rPr>
              <w:t xml:space="preserve"> </w:t>
            </w:r>
            <w:r w:rsidRPr="00C94C33">
              <w:rPr>
                <w:spacing w:val="-1"/>
                <w:lang w:eastAsia="en-AU"/>
              </w:rPr>
              <w:t>constant</w:t>
            </w:r>
          </w:p>
        </w:tc>
        <w:tc>
          <w:tcPr>
            <w:tcW w:w="6912" w:type="dxa"/>
            <w:tcBorders>
              <w:top w:val="single" w:sz="6" w:space="0" w:color="000000"/>
              <w:left w:val="single" w:sz="6" w:space="0" w:color="000000"/>
              <w:bottom w:val="single" w:sz="6" w:space="0" w:color="000000"/>
              <w:right w:val="single" w:sz="6" w:space="0" w:color="000000"/>
            </w:tcBorders>
          </w:tcPr>
          <w:p w14:paraId="1CCCCC1A" w14:textId="77777777" w:rsidR="00DF61BC" w:rsidRPr="00C94C33" w:rsidRDefault="00DF61BC" w:rsidP="00ED2BC9">
            <w:pPr>
              <w:pStyle w:val="Tabletext"/>
              <w:rPr>
                <w:lang w:eastAsia="en-AU"/>
              </w:rPr>
            </w:pPr>
            <w:r w:rsidRPr="00C94C33">
              <w:rPr>
                <w:lang w:eastAsia="en-AU"/>
              </w:rPr>
              <w:t>p</w:t>
            </w:r>
            <w:r w:rsidRPr="00C94C33">
              <w:rPr>
                <w:i/>
                <w:iCs/>
                <w:lang w:eastAsia="en-AU"/>
              </w:rPr>
              <w:t>K</w:t>
            </w:r>
            <w:r w:rsidRPr="00C94C33">
              <w:rPr>
                <w:position w:val="-3"/>
                <w:lang w:eastAsia="en-AU"/>
              </w:rPr>
              <w:t>a</w:t>
            </w:r>
            <w:r w:rsidRPr="00C94C33">
              <w:rPr>
                <w:spacing w:val="12"/>
                <w:position w:val="-3"/>
                <w:lang w:eastAsia="en-AU"/>
              </w:rPr>
              <w:t xml:space="preserve"> </w:t>
            </w:r>
            <w:r w:rsidRPr="00C94C33">
              <w:rPr>
                <w:lang w:eastAsia="en-AU"/>
              </w:rPr>
              <w:t>=</w:t>
            </w:r>
            <w:r w:rsidRPr="00C94C33">
              <w:rPr>
                <w:spacing w:val="-6"/>
                <w:lang w:eastAsia="en-AU"/>
              </w:rPr>
              <w:t xml:space="preserve"> </w:t>
            </w:r>
            <w:r w:rsidRPr="00C94C33">
              <w:rPr>
                <w:lang w:eastAsia="en-AU"/>
              </w:rPr>
              <w:t>5.95</w:t>
            </w:r>
            <w:r w:rsidRPr="00C94C33">
              <w:rPr>
                <w:spacing w:val="-6"/>
                <w:lang w:eastAsia="en-AU"/>
              </w:rPr>
              <w:t xml:space="preserve"> </w:t>
            </w:r>
            <w:r w:rsidRPr="00C94C33">
              <w:rPr>
                <w:lang w:eastAsia="en-AU"/>
              </w:rPr>
              <w:t>(titration</w:t>
            </w:r>
            <w:r w:rsidRPr="00C94C33">
              <w:rPr>
                <w:spacing w:val="-4"/>
                <w:lang w:eastAsia="en-AU"/>
              </w:rPr>
              <w:t xml:space="preserve"> </w:t>
            </w:r>
            <w:r w:rsidRPr="00C94C33">
              <w:rPr>
                <w:spacing w:val="-1"/>
                <w:lang w:eastAsia="en-AU"/>
              </w:rPr>
              <w:t>method)</w:t>
            </w:r>
          </w:p>
        </w:tc>
      </w:tr>
    </w:tbl>
    <w:p w14:paraId="6A8E6F23" w14:textId="705E7C49" w:rsidR="00DF61BC" w:rsidRPr="00C94C33" w:rsidRDefault="00DF61BC" w:rsidP="005C2FCA">
      <w:pPr>
        <w:pStyle w:val="Comment"/>
      </w:pPr>
      <w:r w:rsidRPr="005C2FCA">
        <w:rPr>
          <w:b/>
        </w:rPr>
        <w:t>Comment:</w:t>
      </w:r>
      <w:r w:rsidRPr="007709B8">
        <w:t xml:space="preserve"> </w:t>
      </w:r>
      <w:r w:rsidR="00A86387" w:rsidRPr="00C94C33">
        <w:t xml:space="preserve"> </w:t>
      </w:r>
      <w:r w:rsidRPr="00C94C33">
        <w:t>The solubility of FTD ranged from 44.3 mg/mL to 57.1 mg/mL in buffer solutions ranging in pH from 2 to 12, and was 44.5 mg/mL in water, 45.1 mg/mL in 1 M HCl, and 47.7 mg/mL in 1 M NaOH, TPI is freely soluble across the pH range 1 to 12, and is soluble in 0.01 M HCL and 0.01 M NaOH. The sponsor reported that both FTD and TPI can regarded as highly soluble drugs, according to the Biopharmaceutics Classification System (BCS).</w:t>
      </w:r>
    </w:p>
    <w:p w14:paraId="7F0CCBB7" w14:textId="77777777" w:rsidR="00AA7141" w:rsidRDefault="00DF61BC" w:rsidP="00955252">
      <w:pPr>
        <w:pStyle w:val="Heading3"/>
      </w:pPr>
      <w:bookmarkStart w:id="58" w:name="_Ref271189106"/>
      <w:bookmarkStart w:id="59" w:name="_Ref271189143"/>
      <w:bookmarkStart w:id="60" w:name="_Toc272414618"/>
      <w:bookmarkStart w:id="61" w:name="_Toc290846241"/>
      <w:bookmarkStart w:id="62" w:name="_Toc470948472"/>
      <w:bookmarkStart w:id="63" w:name="_Toc510016869"/>
      <w:r w:rsidRPr="00C94C33">
        <w:t xml:space="preserve">Pharmacokinetics in </w:t>
      </w:r>
      <w:bookmarkEnd w:id="58"/>
      <w:bookmarkEnd w:id="59"/>
      <w:bookmarkEnd w:id="60"/>
      <w:bookmarkEnd w:id="61"/>
      <w:r w:rsidRPr="00C94C33">
        <w:t>patients with advanced solid tumours</w:t>
      </w:r>
      <w:bookmarkEnd w:id="62"/>
      <w:bookmarkEnd w:id="63"/>
    </w:p>
    <w:p w14:paraId="459C5AC5" w14:textId="4D9F9B11" w:rsidR="00DF61BC" w:rsidRPr="00C94C33" w:rsidRDefault="00DF61BC" w:rsidP="00955252">
      <w:pPr>
        <w:pStyle w:val="Heading4"/>
      </w:pPr>
      <w:bookmarkStart w:id="64" w:name="_Toc272414619"/>
      <w:bookmarkStart w:id="65" w:name="_Toc290846242"/>
      <w:bookmarkStart w:id="66" w:name="_Toc470948473"/>
      <w:r w:rsidRPr="00C94C33">
        <w:t>Absorption</w:t>
      </w:r>
      <w:bookmarkEnd w:id="64"/>
      <w:bookmarkEnd w:id="65"/>
      <w:bookmarkEnd w:id="66"/>
    </w:p>
    <w:p w14:paraId="1A532497" w14:textId="77777777" w:rsidR="00DF61BC" w:rsidRPr="00C94C33" w:rsidRDefault="00DF61BC" w:rsidP="00955252">
      <w:pPr>
        <w:pStyle w:val="Heading5"/>
        <w:rPr>
          <w:lang w:eastAsia="en-AU"/>
        </w:rPr>
      </w:pPr>
      <w:r w:rsidRPr="00C94C33">
        <w:rPr>
          <w:lang w:eastAsia="en-AU"/>
        </w:rPr>
        <w:t>Sites and mechanisms of absorption</w:t>
      </w:r>
    </w:p>
    <w:p w14:paraId="1FC5F5F6" w14:textId="77777777" w:rsidR="00AA7141" w:rsidRDefault="00DF61BC" w:rsidP="00B5329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line="240" w:lineRule="auto"/>
        <w:rPr>
          <w:rFonts w:eastAsia="Times New Roman"/>
          <w:kern w:val="16"/>
          <w:lang w:eastAsia="en-AU"/>
        </w:rPr>
      </w:pPr>
      <w:r w:rsidRPr="00C94C33">
        <w:rPr>
          <w:rFonts w:eastAsia="Times New Roman"/>
          <w:kern w:val="16"/>
          <w:lang w:eastAsia="en-AU"/>
        </w:rPr>
        <w:t>Trifluridine (FTD) and tipiracil (TPI) are both reported to be BCS class III compounds (</w:t>
      </w:r>
      <w:r w:rsidR="00A86387" w:rsidRPr="00C94C33">
        <w:rPr>
          <w:rFonts w:eastAsia="Times New Roman"/>
          <w:kern w:val="16"/>
          <w:lang w:eastAsia="en-AU"/>
        </w:rPr>
        <w:t>that is</w:t>
      </w:r>
      <w:r w:rsidRPr="00C94C33">
        <w:rPr>
          <w:rFonts w:eastAsia="Times New Roman"/>
          <w:kern w:val="16"/>
          <w:lang w:eastAsia="en-AU"/>
        </w:rPr>
        <w:t xml:space="preserve">, low permeability, high solubility), based on </w:t>
      </w:r>
      <w:r w:rsidRPr="00C94C33">
        <w:rPr>
          <w:rFonts w:eastAsia="Times New Roman"/>
          <w:i/>
          <w:kern w:val="16"/>
          <w:lang w:eastAsia="en-AU"/>
        </w:rPr>
        <w:t>in vitro</w:t>
      </w:r>
      <w:r w:rsidRPr="00C94C33">
        <w:rPr>
          <w:rFonts w:eastAsia="Times New Roman"/>
          <w:kern w:val="16"/>
          <w:lang w:eastAsia="en-AU"/>
        </w:rPr>
        <w:t xml:space="preserve"> data reported to show low membrane permeability </w:t>
      </w:r>
      <w:r w:rsidRPr="00C94C33">
        <w:rPr>
          <w:rFonts w:eastAsia="Times New Roman"/>
          <w:i/>
          <w:kern w:val="16"/>
          <w:lang w:eastAsia="en-AU"/>
        </w:rPr>
        <w:t>in vitro</w:t>
      </w:r>
      <w:r w:rsidRPr="00C94C33">
        <w:rPr>
          <w:rFonts w:eastAsia="Times New Roman"/>
          <w:kern w:val="16"/>
          <w:lang w:eastAsia="en-AU"/>
        </w:rPr>
        <w:t xml:space="preserve"> across Caco-2 cell monolayers </w:t>
      </w:r>
      <w:r w:rsidR="00A0007E" w:rsidRPr="00C94C33">
        <w:rPr>
          <w:rFonts w:eastAsia="Times New Roman"/>
          <w:kern w:val="16"/>
          <w:lang w:eastAsia="en-AU"/>
        </w:rPr>
        <w:t>(</w:t>
      </w:r>
      <w:r w:rsidRPr="00C94C33">
        <w:rPr>
          <w:rFonts w:eastAsia="Times New Roman"/>
          <w:kern w:val="16"/>
          <w:lang w:eastAsia="en-AU"/>
        </w:rPr>
        <w:t>P041295</w:t>
      </w:r>
      <w:r w:rsidR="00A0007E" w:rsidRPr="00C94C33">
        <w:rPr>
          <w:rFonts w:eastAsia="Times New Roman"/>
          <w:kern w:val="16"/>
          <w:lang w:eastAsia="en-AU"/>
        </w:rPr>
        <w:t>)</w:t>
      </w:r>
      <w:r w:rsidRPr="00C94C33">
        <w:rPr>
          <w:rFonts w:eastAsia="Times New Roman"/>
          <w:kern w:val="16"/>
          <w:lang w:eastAsia="en-AU"/>
        </w:rPr>
        <w:t xml:space="preserve"> and high solubility in buffer solutions ranging from 1 to 7.5.</w:t>
      </w:r>
    </w:p>
    <w:p w14:paraId="1FE8E38B" w14:textId="28F024F1" w:rsidR="00DF61BC" w:rsidRPr="00C94C33" w:rsidRDefault="00DF61BC" w:rsidP="00B5329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line="240" w:lineRule="auto"/>
        <w:rPr>
          <w:rFonts w:eastAsia="Times New Roman"/>
          <w:kern w:val="16"/>
          <w:szCs w:val="24"/>
          <w:lang w:eastAsia="en-AU"/>
        </w:rPr>
      </w:pPr>
      <w:r w:rsidRPr="00C94C33">
        <w:rPr>
          <w:rFonts w:eastAsia="Times New Roman"/>
          <w:kern w:val="16"/>
          <w:szCs w:val="24"/>
          <w:lang w:eastAsia="en-AU"/>
        </w:rPr>
        <w:t>Following a single 35 mg/m</w:t>
      </w:r>
      <w:r w:rsidRPr="00C94C33">
        <w:rPr>
          <w:rFonts w:eastAsia="Times New Roman"/>
          <w:kern w:val="16"/>
          <w:szCs w:val="24"/>
          <w:vertAlign w:val="superscript"/>
          <w:lang w:eastAsia="en-AU"/>
        </w:rPr>
        <w:t>2</w:t>
      </w:r>
      <w:r w:rsidRPr="00C94C33">
        <w:rPr>
          <w:rFonts w:eastAsia="Times New Roman"/>
          <w:kern w:val="16"/>
          <w:szCs w:val="24"/>
          <w:lang w:eastAsia="en-AU"/>
        </w:rPr>
        <w:t xml:space="preserve"> dose of TAS-102 administered in the fed state, the median T</w:t>
      </w:r>
      <w:r w:rsidRPr="00C94C33">
        <w:rPr>
          <w:rFonts w:eastAsia="Times New Roman"/>
          <w:kern w:val="16"/>
          <w:sz w:val="18"/>
          <w:szCs w:val="18"/>
          <w:lang w:eastAsia="en-AU"/>
        </w:rPr>
        <w:t>max</w:t>
      </w:r>
      <w:r w:rsidRPr="00C94C33">
        <w:rPr>
          <w:rFonts w:eastAsia="Times New Roman"/>
          <w:kern w:val="16"/>
          <w:szCs w:val="24"/>
          <w:lang w:eastAsia="en-AU"/>
        </w:rPr>
        <w:t xml:space="preserve"> values were approximately 2 hours for FTD and 3.5 hours for TPI </w:t>
      </w:r>
      <w:r w:rsidR="00A0007E" w:rsidRPr="00C94C33">
        <w:rPr>
          <w:rFonts w:eastAsia="Times New Roman"/>
          <w:kern w:val="16"/>
          <w:szCs w:val="24"/>
          <w:lang w:eastAsia="en-AU"/>
        </w:rPr>
        <w:t>(</w:t>
      </w:r>
      <w:r w:rsidRPr="00C94C33">
        <w:rPr>
          <w:rFonts w:eastAsia="Times New Roman"/>
          <w:kern w:val="16"/>
          <w:szCs w:val="24"/>
          <w:lang w:eastAsia="en-AU"/>
        </w:rPr>
        <w:t>TPU-TAS-102-102; TPU-TAS-102-103</w:t>
      </w:r>
      <w:r w:rsidR="00A0007E" w:rsidRPr="00C94C33">
        <w:rPr>
          <w:rFonts w:eastAsia="Times New Roman"/>
          <w:kern w:val="16"/>
          <w:szCs w:val="24"/>
          <w:lang w:eastAsia="en-AU"/>
        </w:rPr>
        <w:t>)</w:t>
      </w:r>
      <w:r w:rsidRPr="00C94C33">
        <w:rPr>
          <w:rFonts w:eastAsia="Times New Roman"/>
          <w:kern w:val="16"/>
          <w:szCs w:val="24"/>
          <w:lang w:eastAsia="en-AU"/>
        </w:rPr>
        <w:t>. The median T</w:t>
      </w:r>
      <w:r w:rsidRPr="00C94C33">
        <w:rPr>
          <w:rFonts w:eastAsia="Times New Roman"/>
          <w:kern w:val="16"/>
          <w:sz w:val="18"/>
          <w:szCs w:val="18"/>
          <w:lang w:eastAsia="en-AU"/>
        </w:rPr>
        <w:t>max</w:t>
      </w:r>
      <w:r w:rsidRPr="00C94C33">
        <w:rPr>
          <w:rFonts w:eastAsia="Times New Roman"/>
          <w:kern w:val="16"/>
          <w:szCs w:val="24"/>
          <w:lang w:eastAsia="en-AU"/>
        </w:rPr>
        <w:t xml:space="preserve"> values at steady-state in the fed state were consistent with the values following single-dosing for both FTD (approximately 2.5 hours) and TPI (approximately 3 hours) </w:t>
      </w:r>
      <w:r w:rsidR="00A0007E" w:rsidRPr="00C94C33">
        <w:rPr>
          <w:rFonts w:eastAsia="Times New Roman"/>
          <w:kern w:val="16"/>
          <w:szCs w:val="24"/>
          <w:lang w:eastAsia="en-AU"/>
        </w:rPr>
        <w:t>(</w:t>
      </w:r>
      <w:r w:rsidRPr="00C94C33">
        <w:rPr>
          <w:rFonts w:eastAsia="Times New Roman"/>
          <w:kern w:val="16"/>
          <w:szCs w:val="24"/>
          <w:lang w:eastAsia="en-AU"/>
        </w:rPr>
        <w:t>TPU-TAS-102-102; TPU-TAS-102-103</w:t>
      </w:r>
      <w:r w:rsidR="00A0007E" w:rsidRPr="00C94C33">
        <w:rPr>
          <w:rFonts w:eastAsia="Times New Roman"/>
          <w:kern w:val="16"/>
          <w:szCs w:val="24"/>
          <w:lang w:eastAsia="en-AU"/>
        </w:rPr>
        <w:t>)</w:t>
      </w:r>
      <w:r w:rsidRPr="00C94C33">
        <w:rPr>
          <w:rFonts w:eastAsia="Times New Roman"/>
          <w:kern w:val="16"/>
          <w:szCs w:val="24"/>
          <w:lang w:eastAsia="en-AU"/>
        </w:rPr>
        <w:t>. The results indicate that both components of TAS-102 are relatively rapidly absorbed following administration in the fed state.</w:t>
      </w:r>
    </w:p>
    <w:p w14:paraId="446E068B" w14:textId="77777777" w:rsidR="00DF61BC" w:rsidRPr="00C94C33" w:rsidRDefault="00DF61BC" w:rsidP="00955252">
      <w:pPr>
        <w:pStyle w:val="Heading3"/>
      </w:pPr>
      <w:bookmarkStart w:id="67" w:name="_Toc241374287"/>
      <w:bookmarkStart w:id="68" w:name="_Toc272414620"/>
      <w:bookmarkStart w:id="69" w:name="_Toc290846243"/>
      <w:bookmarkStart w:id="70" w:name="_Toc470948474"/>
      <w:bookmarkStart w:id="71" w:name="_Toc510016870"/>
      <w:r w:rsidRPr="00C94C33">
        <w:t>Bioavailability</w:t>
      </w:r>
      <w:bookmarkEnd w:id="67"/>
      <w:bookmarkEnd w:id="68"/>
      <w:bookmarkEnd w:id="69"/>
      <w:bookmarkEnd w:id="70"/>
      <w:bookmarkEnd w:id="71"/>
    </w:p>
    <w:p w14:paraId="4BFDD212" w14:textId="77777777" w:rsidR="00DF61BC" w:rsidRPr="00C94C33" w:rsidRDefault="00DF61BC" w:rsidP="00955252">
      <w:pPr>
        <w:pStyle w:val="Heading4"/>
      </w:pPr>
      <w:r w:rsidRPr="00C94C33">
        <w:t>Absolute bioavailability</w:t>
      </w:r>
    </w:p>
    <w:p w14:paraId="6370D2A1" w14:textId="337C96C1" w:rsidR="00DF61BC" w:rsidRPr="00C94C33" w:rsidRDefault="00DF61BC" w:rsidP="00B5329E">
      <w:pPr>
        <w:autoSpaceDE w:val="0"/>
        <w:autoSpaceDN w:val="0"/>
        <w:adjustRightInd w:val="0"/>
        <w:spacing w:before="0" w:line="240" w:lineRule="auto"/>
        <w:rPr>
          <w:rFonts w:eastAsia="Times New Roman"/>
          <w:lang w:eastAsia="en-AU"/>
        </w:rPr>
      </w:pPr>
      <w:r w:rsidRPr="00C94C33">
        <w:rPr>
          <w:rFonts w:eastAsia="Times New Roman"/>
          <w:kern w:val="16"/>
          <w:lang w:eastAsia="en-AU"/>
        </w:rPr>
        <w:t>No absolute bioavailability study in humans was submitted. The sponsor submitted a justification for not underta</w:t>
      </w:r>
      <w:r w:rsidR="00FB45D2" w:rsidRPr="00C94C33">
        <w:rPr>
          <w:rFonts w:eastAsia="Times New Roman"/>
          <w:kern w:val="16"/>
          <w:lang w:eastAsia="en-AU"/>
        </w:rPr>
        <w:t>king such a study</w:t>
      </w:r>
      <w:r w:rsidRPr="00C94C33">
        <w:rPr>
          <w:rFonts w:eastAsia="Times New Roman"/>
          <w:kern w:val="16"/>
          <w:lang w:eastAsia="en-AU"/>
        </w:rPr>
        <w:t>. The sponsor commented that when tipiracil (TPI) was administered in combination with trifluridine (FTD) the AUC</w:t>
      </w:r>
      <w:r w:rsidRPr="00C94C33">
        <w:rPr>
          <w:rFonts w:eastAsia="Times New Roman"/>
          <w:kern w:val="16"/>
          <w:sz w:val="20"/>
          <w:szCs w:val="20"/>
          <w:lang w:eastAsia="en-AU"/>
        </w:rPr>
        <w:t xml:space="preserve">0-last </w:t>
      </w:r>
      <w:r w:rsidRPr="00C94C33">
        <w:rPr>
          <w:rFonts w:eastAsia="Times New Roman"/>
          <w:kern w:val="16"/>
          <w:lang w:eastAsia="en-AU"/>
        </w:rPr>
        <w:t>and C</w:t>
      </w:r>
      <w:r w:rsidRPr="00C94C33">
        <w:rPr>
          <w:rFonts w:eastAsia="Times New Roman"/>
          <w:kern w:val="16"/>
          <w:sz w:val="20"/>
          <w:szCs w:val="20"/>
          <w:lang w:eastAsia="en-AU"/>
        </w:rPr>
        <w:t>max</w:t>
      </w:r>
      <w:r w:rsidRPr="00C94C33">
        <w:rPr>
          <w:rFonts w:eastAsia="Times New Roman"/>
          <w:kern w:val="16"/>
          <w:lang w:eastAsia="en-AU"/>
        </w:rPr>
        <w:t xml:space="preserve"> values of FTD were increased by 37-fold and 22-fold, respectively, compared to administration of FTD alone. </w:t>
      </w:r>
      <w:r w:rsidRPr="00C94C33">
        <w:rPr>
          <w:rFonts w:eastAsia="Times New Roman"/>
          <w:kern w:val="16"/>
          <w:lang w:eastAsia="en-AU"/>
        </w:rPr>
        <w:lastRenderedPageBreak/>
        <w:t xml:space="preserve">Consequently, the sponsor states that as TPI is a PK modulator of FTD with no anti-tumour pharmacological efficacy if TAS-102 is administered IV the change in TPI profile compared to oral administration will </w:t>
      </w:r>
      <w:r w:rsidR="00842E8F" w:rsidRPr="00C94C33">
        <w:rPr>
          <w:rFonts w:eastAsia="Times New Roman"/>
          <w:kern w:val="16"/>
          <w:lang w:eastAsia="en-AU"/>
        </w:rPr>
        <w:t>‘</w:t>
      </w:r>
      <w:r w:rsidRPr="00C94C33">
        <w:rPr>
          <w:rFonts w:eastAsia="Times New Roman"/>
          <w:kern w:val="16"/>
          <w:lang w:eastAsia="en-AU"/>
        </w:rPr>
        <w:t>greatly affect the plasma concentration</w:t>
      </w:r>
      <w:r w:rsidR="00842E8F" w:rsidRPr="00C94C33">
        <w:rPr>
          <w:rFonts w:eastAsia="Times New Roman"/>
          <w:kern w:val="16"/>
          <w:lang w:eastAsia="en-AU"/>
        </w:rPr>
        <w:t>’</w:t>
      </w:r>
      <w:r w:rsidRPr="00C94C33">
        <w:rPr>
          <w:rFonts w:eastAsia="Times New Roman"/>
          <w:kern w:val="16"/>
          <w:lang w:eastAsia="en-AU"/>
        </w:rPr>
        <w:t xml:space="preserve"> of FTD. </w:t>
      </w:r>
      <w:r w:rsidRPr="00C94C33">
        <w:rPr>
          <w:rFonts w:eastAsia="Times New Roman"/>
          <w:lang w:eastAsia="en-AU"/>
        </w:rPr>
        <w:t xml:space="preserve">Therefore, the sponsor concludes that the </w:t>
      </w:r>
      <w:r w:rsidR="00842E8F" w:rsidRPr="00C94C33">
        <w:rPr>
          <w:rFonts w:eastAsia="Times New Roman"/>
          <w:lang w:eastAsia="en-AU"/>
        </w:rPr>
        <w:t>‘</w:t>
      </w:r>
      <w:r w:rsidRPr="00C94C33">
        <w:rPr>
          <w:rFonts w:eastAsia="Times New Roman"/>
          <w:lang w:eastAsia="en-AU"/>
        </w:rPr>
        <w:t>absolute bioavailability value of FTD calculated from oral and intravenous administration of TAS-102 is not informative, and the evaluation of absolute bioavailability of FTD in TAS-102 is technically impossible</w:t>
      </w:r>
      <w:r w:rsidR="00842E8F" w:rsidRPr="00C94C33">
        <w:rPr>
          <w:rFonts w:eastAsia="Times New Roman"/>
          <w:lang w:eastAsia="en-AU"/>
        </w:rPr>
        <w:t>’</w:t>
      </w:r>
      <w:r w:rsidRPr="00C94C33">
        <w:rPr>
          <w:rFonts w:eastAsia="Times New Roman"/>
          <w:lang w:eastAsia="en-AU"/>
        </w:rPr>
        <w:t xml:space="preserve">. Due to these issues, </w:t>
      </w:r>
      <w:r w:rsidRPr="00C94C33">
        <w:rPr>
          <w:rFonts w:eastAsia="Times New Roman"/>
          <w:kern w:val="16"/>
          <w:lang w:eastAsia="en-AU"/>
        </w:rPr>
        <w:t xml:space="preserve">the sponsor submitted a relative bioavailability study in lieu of an absolute bioavailability study. The sponsor states that in </w:t>
      </w:r>
      <w:r w:rsidR="00842E8F" w:rsidRPr="00C94C33">
        <w:rPr>
          <w:rFonts w:eastAsia="Times New Roman"/>
          <w:kern w:val="16"/>
          <w:lang w:eastAsia="en-AU"/>
        </w:rPr>
        <w:t>‘</w:t>
      </w:r>
      <w:r w:rsidRPr="00C94C33">
        <w:rPr>
          <w:rFonts w:eastAsia="Times New Roman"/>
          <w:lang w:eastAsia="en-AU"/>
        </w:rPr>
        <w:t xml:space="preserve">accordance with </w:t>
      </w:r>
      <w:r w:rsidR="009F5E3D" w:rsidRPr="00C94C33">
        <w:rPr>
          <w:rFonts w:eastAsia="Times New Roman"/>
          <w:lang w:eastAsia="en-AU"/>
        </w:rPr>
        <w:t>the TGA Guidance</w:t>
      </w:r>
      <w:r w:rsidRPr="00C94C33">
        <w:rPr>
          <w:rFonts w:eastAsia="Times New Roman"/>
          <w:lang w:eastAsia="en-AU"/>
        </w:rPr>
        <w:t>, for a new chemical entity such as the fixed dose combination product trifluridine/tipiracil, a relative bioavailability study is acceptable in the absence of an absolute bioavailability study</w:t>
      </w:r>
      <w:r w:rsidR="00842E8F" w:rsidRPr="00C94C33">
        <w:rPr>
          <w:rFonts w:eastAsia="Times New Roman"/>
          <w:lang w:eastAsia="en-AU"/>
        </w:rPr>
        <w:t>’</w:t>
      </w:r>
      <w:r w:rsidRPr="00C94C33">
        <w:rPr>
          <w:rFonts w:eastAsia="Times New Roman"/>
          <w:lang w:eastAsia="en-AU"/>
        </w:rPr>
        <w:t>.</w:t>
      </w:r>
    </w:p>
    <w:p w14:paraId="7A4D5F60" w14:textId="4DB04779" w:rsidR="00DF61BC" w:rsidRPr="00C94C33" w:rsidRDefault="00B5329E" w:rsidP="005C2FCA">
      <w:pPr>
        <w:pStyle w:val="Comment"/>
      </w:pPr>
      <w:r w:rsidRPr="005C2FCA">
        <w:rPr>
          <w:b/>
        </w:rPr>
        <w:t>Comment:</w:t>
      </w:r>
      <w:r w:rsidRPr="007709B8">
        <w:t xml:space="preserve"> </w:t>
      </w:r>
      <w:r w:rsidR="00C77E7B" w:rsidRPr="00C94C33">
        <w:t xml:space="preserve"> </w:t>
      </w:r>
      <w:r w:rsidR="00DF61BC" w:rsidRPr="00C94C33">
        <w:t>The sponsor’s justification for not submitting an absolute bioavailability study is considered to be acceptable.</w:t>
      </w:r>
    </w:p>
    <w:p w14:paraId="0550CD81" w14:textId="77777777" w:rsidR="00DF61BC" w:rsidRPr="00C94C33" w:rsidRDefault="00DF61BC" w:rsidP="00955252">
      <w:pPr>
        <w:pStyle w:val="Heading4"/>
      </w:pPr>
      <w:r w:rsidRPr="00C94C33">
        <w:t>Bioavailability relative to an oral solution or micronized suspension</w:t>
      </w:r>
    </w:p>
    <w:p w14:paraId="07E8896F" w14:textId="2A105680" w:rsidR="00DF61BC" w:rsidRPr="00C94C33" w:rsidRDefault="00DF61BC" w:rsidP="00CB36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line="240" w:lineRule="auto"/>
        <w:rPr>
          <w:rFonts w:eastAsia="Times New Roman"/>
          <w:kern w:val="16"/>
          <w:lang w:eastAsia="en-AU"/>
        </w:rPr>
      </w:pPr>
      <w:r w:rsidRPr="00C94C33">
        <w:rPr>
          <w:rFonts w:eastAsia="Times New Roman"/>
          <w:kern w:val="16"/>
          <w:lang w:eastAsia="en-AU"/>
        </w:rPr>
        <w:t xml:space="preserve">The submission included 1 clinical study assessing the relative bioavailability of TAS-102 tablets (Late CTM formulation) compared to an oral solution </w:t>
      </w:r>
      <w:r w:rsidR="00C77E7B" w:rsidRPr="00C94C33">
        <w:rPr>
          <w:rFonts w:eastAsia="Times New Roman"/>
          <w:kern w:val="16"/>
          <w:lang w:eastAsia="en-AU"/>
        </w:rPr>
        <w:t xml:space="preserve">(Study </w:t>
      </w:r>
      <w:r w:rsidRPr="00C94C33">
        <w:rPr>
          <w:rFonts w:eastAsia="Times New Roman"/>
          <w:kern w:val="16"/>
          <w:lang w:eastAsia="en-AU"/>
        </w:rPr>
        <w:t>TPU-TAS-102-104</w:t>
      </w:r>
      <w:r w:rsidR="00C77E7B" w:rsidRPr="00C94C33">
        <w:rPr>
          <w:rFonts w:eastAsia="Times New Roman"/>
          <w:kern w:val="16"/>
          <w:lang w:eastAsia="en-AU"/>
        </w:rPr>
        <w:t>)</w:t>
      </w:r>
      <w:r w:rsidRPr="00C94C33">
        <w:rPr>
          <w:rFonts w:eastAsia="Times New Roman"/>
          <w:kern w:val="16"/>
          <w:lang w:eastAsia="en-AU"/>
        </w:rPr>
        <w:t xml:space="preserve">. In this </w:t>
      </w:r>
      <w:r w:rsidR="00842E8F" w:rsidRPr="00C94C33">
        <w:rPr>
          <w:rFonts w:eastAsia="Times New Roman"/>
          <w:kern w:val="16"/>
          <w:lang w:eastAsia="en-AU"/>
        </w:rPr>
        <w:t>Phase I</w:t>
      </w:r>
      <w:r w:rsidRPr="00C94C33">
        <w:rPr>
          <w:rFonts w:eastAsia="Times New Roman"/>
          <w:kern w:val="16"/>
          <w:lang w:eastAsia="en-AU"/>
        </w:rPr>
        <w:t xml:space="preserve"> study, patients with advanced solid tumours (excluding breast cancer) for which no standard therapy exists took single 60 mg doses of TAS-102 (3 x 20 mg tablets) and TAS-102 oral solution following an overnight fast of at least 8 hours in a crossover design with a 7</w:t>
      </w:r>
      <w:r w:rsidR="009C0389" w:rsidRPr="00C94C33">
        <w:rPr>
          <w:rFonts w:eastAsia="Times New Roman"/>
          <w:kern w:val="16"/>
          <w:lang w:eastAsia="en-AU"/>
        </w:rPr>
        <w:t xml:space="preserve"> day</w:t>
      </w:r>
      <w:r w:rsidRPr="00C94C33">
        <w:rPr>
          <w:rFonts w:eastAsia="Times New Roman"/>
          <w:kern w:val="16"/>
          <w:lang w:eastAsia="en-AU"/>
        </w:rPr>
        <w:t xml:space="preserve"> washout between doses. In addition to the single-dose cross-over relative bioavailability part of the study (Part 1), the study also included a multiple-dose extension part (Part 2) to assess the safety and anti-tumour activity of TAS-102. Only the results of the relative bioavailability part of the study are reviewed in this section of the CER.</w:t>
      </w:r>
    </w:p>
    <w:p w14:paraId="7EED2A4E" w14:textId="77777777" w:rsidR="00DF61BC" w:rsidRPr="00C94C33" w:rsidRDefault="00DF61BC" w:rsidP="00CB36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line="240" w:lineRule="auto"/>
        <w:rPr>
          <w:rFonts w:eastAsia="Times New Roman"/>
          <w:kern w:val="16"/>
          <w:lang w:eastAsia="en-AU"/>
        </w:rPr>
      </w:pPr>
      <w:r w:rsidRPr="00C94C33">
        <w:rPr>
          <w:rFonts w:eastAsia="Times New Roman"/>
          <w:kern w:val="16"/>
          <w:lang w:eastAsia="en-AU"/>
        </w:rPr>
        <w:t xml:space="preserve">In Part 1 of the study, patients randomised to Sequence A received tablets in Period 1, oral solution in Period 2, and oral solution in Period 3. Patients randomised to Sequence B received oral solution in Period 1, tablets in Period 2, and tablets in Period 3. </w:t>
      </w:r>
      <w:r w:rsidRPr="00C94C33">
        <w:rPr>
          <w:rFonts w:eastAsia="Times New Roman"/>
          <w:lang w:eastAsia="en-AU"/>
        </w:rPr>
        <w:t>Blood samples were collected for measurement of plasma and urine concentrations of trifluridine (FTD), tipiracil (TPI), and metabolites of FTD. For both treatment sequences, blood samples were collected on Day 1 of Periods 1, 2, and 3 immediately prior to dosing (0 hour) and at 15 minutes, 30 minutes, 1, 1.5, 2, 4, 6, 8, 10, and 12 hours post-dose.</w:t>
      </w:r>
    </w:p>
    <w:p w14:paraId="6B7D015F" w14:textId="281D9161" w:rsidR="00DF61BC" w:rsidRPr="00C94C33" w:rsidRDefault="00DF61BC" w:rsidP="00CB36BC">
      <w:pPr>
        <w:autoSpaceDE w:val="0"/>
        <w:autoSpaceDN w:val="0"/>
        <w:adjustRightInd w:val="0"/>
        <w:spacing w:before="0" w:line="240" w:lineRule="auto"/>
        <w:rPr>
          <w:rFonts w:eastAsia="Times New Roman"/>
          <w:kern w:val="16"/>
          <w:lang w:eastAsia="en-AU"/>
        </w:rPr>
      </w:pPr>
      <w:r w:rsidRPr="00C94C33">
        <w:rPr>
          <w:rFonts w:eastAsia="Times New Roman"/>
          <w:kern w:val="16"/>
          <w:lang w:eastAsia="en-AU"/>
        </w:rPr>
        <w:t xml:space="preserve">Of the 46 treated patients, 38 (82.6%) were included in the Crossover BA PK Population, and 45 (97.8%) were included in the All PK population. The Crossover BA PK Population included patients with evaluable PK profiles for at least 2 of the 3 crossover periods, including both tablets and oral solution. In the 38 patients in the Crossover BA PK Population, the median age was 63.5 years (range: 35, 76 years), 55.3% were males, and 89.5% were </w:t>
      </w:r>
      <w:r w:rsidR="00842E8F" w:rsidRPr="00C94C33">
        <w:rPr>
          <w:rFonts w:eastAsia="Times New Roman"/>
          <w:kern w:val="16"/>
          <w:lang w:eastAsia="en-AU"/>
        </w:rPr>
        <w:t>‘</w:t>
      </w:r>
      <w:r w:rsidRPr="00C94C33">
        <w:rPr>
          <w:rFonts w:eastAsia="Times New Roman"/>
          <w:kern w:val="16"/>
          <w:lang w:eastAsia="en-AU"/>
        </w:rPr>
        <w:t>White</w:t>
      </w:r>
      <w:r w:rsidR="00842E8F" w:rsidRPr="00C94C33">
        <w:rPr>
          <w:rFonts w:eastAsia="Times New Roman"/>
          <w:kern w:val="16"/>
          <w:lang w:eastAsia="en-AU"/>
        </w:rPr>
        <w:t>’</w:t>
      </w:r>
      <w:r w:rsidRPr="00C94C33">
        <w:rPr>
          <w:rFonts w:eastAsia="Times New Roman"/>
          <w:kern w:val="16"/>
          <w:lang w:eastAsia="en-AU"/>
        </w:rPr>
        <w:t>. The majority of patients in the Crossover BA PK Population had either colon cancer (36.8%) or pancreatic cancer (26.3%).</w:t>
      </w:r>
    </w:p>
    <w:p w14:paraId="35AA9046" w14:textId="212A2D82" w:rsidR="00DF61BC" w:rsidRPr="00C94C33" w:rsidRDefault="00DF61BC" w:rsidP="00CB36BC">
      <w:pPr>
        <w:autoSpaceDE w:val="0"/>
        <w:autoSpaceDN w:val="0"/>
        <w:adjustRightInd w:val="0"/>
        <w:spacing w:before="0" w:line="240" w:lineRule="auto"/>
        <w:rPr>
          <w:rFonts w:eastAsia="Times New Roman"/>
          <w:lang w:eastAsia="en-AU"/>
        </w:rPr>
      </w:pPr>
      <w:r w:rsidRPr="00C94C33">
        <w:rPr>
          <w:rFonts w:eastAsia="Times New Roman"/>
          <w:color w:val="000000"/>
          <w:lang w:eastAsia="en-AU"/>
        </w:rPr>
        <w:t>21 of the 23 patients randomised to Sequence A and 17 of the 23 patients randomised to Sequence B were included in the Crossover BA PK Population. The most frequent reason for exclusion was inadequate documentation of fasting conditions. Of the 21 patients randomised to Sequence A and included in the Crossover BA PK Population, 19 patients were dosed in all 3 crossover periods (1</w:t>
      </w:r>
      <w:r w:rsidR="00B2072D" w:rsidRPr="00C94C33">
        <w:rPr>
          <w:rFonts w:eastAsia="Times New Roman"/>
          <w:color w:val="000000"/>
          <w:lang w:eastAsia="en-AU"/>
        </w:rPr>
        <w:t> </w:t>
      </w:r>
      <w:r w:rsidRPr="00C94C33">
        <w:rPr>
          <w:rFonts w:eastAsia="Times New Roman"/>
          <w:color w:val="000000"/>
          <w:lang w:eastAsia="en-AU"/>
        </w:rPr>
        <w:t xml:space="preserve">tablet and 2 oral solution periods) and 2 patients received 1 tablet and 1 oral solution dose. </w:t>
      </w:r>
      <w:r w:rsidRPr="00C94C33">
        <w:rPr>
          <w:rFonts w:eastAsia="Times New Roman"/>
          <w:lang w:eastAsia="en-AU"/>
        </w:rPr>
        <w:t>Of the 17 patients randomised to Sequence B and included in the Crossover BA PK population, 15 patients were dosed in all 3 crossover periods (1 oral solution and 2 tablet periods), and 2 patients received 1 oral solution and 1 tablet dose.</w:t>
      </w:r>
    </w:p>
    <w:p w14:paraId="6B6DA385" w14:textId="183B0EA8" w:rsidR="00DF61BC" w:rsidRPr="00C94C33" w:rsidRDefault="00DF61BC" w:rsidP="00CB36BC">
      <w:pPr>
        <w:autoSpaceDE w:val="0"/>
        <w:autoSpaceDN w:val="0"/>
        <w:adjustRightInd w:val="0"/>
        <w:spacing w:before="0" w:line="240" w:lineRule="auto"/>
        <w:rPr>
          <w:rFonts w:eastAsia="Times New Roman"/>
          <w:kern w:val="16"/>
          <w:lang w:eastAsia="en-AU"/>
        </w:rPr>
      </w:pPr>
      <w:r w:rsidRPr="00C94C33">
        <w:rPr>
          <w:rFonts w:eastAsia="Times New Roman"/>
          <w:lang w:eastAsia="en-AU"/>
        </w:rPr>
        <w:t>The primary PK endpoints for comparison of TAS-102 tablets and oral solution were the AUC</w:t>
      </w:r>
      <w:r w:rsidRPr="00C94C33">
        <w:rPr>
          <w:rFonts w:eastAsia="Times New Roman"/>
          <w:sz w:val="20"/>
          <w:szCs w:val="20"/>
          <w:lang w:eastAsia="en-AU"/>
        </w:rPr>
        <w:t>0-last</w:t>
      </w:r>
      <w:r w:rsidRPr="00C94C33">
        <w:rPr>
          <w:rFonts w:eastAsia="Times New Roman"/>
          <w:lang w:eastAsia="en-AU"/>
        </w:rPr>
        <w:t>, AUC</w:t>
      </w:r>
      <w:r w:rsidRPr="00C94C33">
        <w:rPr>
          <w:rFonts w:eastAsia="Times New Roman"/>
          <w:sz w:val="20"/>
          <w:szCs w:val="20"/>
          <w:lang w:eastAsia="en-AU"/>
        </w:rPr>
        <w:t>0-inf</w:t>
      </w:r>
      <w:r w:rsidRPr="00C94C33">
        <w:rPr>
          <w:rFonts w:eastAsia="Times New Roman"/>
          <w:lang w:eastAsia="en-AU"/>
        </w:rPr>
        <w:t>, and C</w:t>
      </w:r>
      <w:r w:rsidRPr="00C94C33">
        <w:rPr>
          <w:rFonts w:eastAsia="Times New Roman"/>
          <w:sz w:val="20"/>
          <w:szCs w:val="20"/>
          <w:lang w:eastAsia="en-AU"/>
        </w:rPr>
        <w:t>max</w:t>
      </w:r>
      <w:r w:rsidRPr="00C94C33">
        <w:rPr>
          <w:rFonts w:eastAsia="Times New Roman"/>
          <w:lang w:eastAsia="en-AU"/>
        </w:rPr>
        <w:t xml:space="preserve"> of FTD and TPI. The bioavailability of the two formulations was compared using standard statistical methods for the analysis of bioequivalence (</w:t>
      </w:r>
      <w:r w:rsidR="00B2072D" w:rsidRPr="00C94C33">
        <w:rPr>
          <w:rFonts w:eastAsia="Times New Roman"/>
          <w:lang w:eastAsia="en-AU"/>
        </w:rPr>
        <w:t>that is,</w:t>
      </w:r>
      <w:r w:rsidRPr="00C94C33">
        <w:rPr>
          <w:rFonts w:eastAsia="Times New Roman"/>
          <w:lang w:eastAsia="en-AU"/>
        </w:rPr>
        <w:t xml:space="preserve"> analysis of variance </w:t>
      </w:r>
      <w:r w:rsidR="00C77E7B" w:rsidRPr="00C94C33">
        <w:rPr>
          <w:rFonts w:eastAsia="Times New Roman"/>
          <w:lang w:eastAsia="en-AU"/>
        </w:rPr>
        <w:t>(</w:t>
      </w:r>
      <w:r w:rsidRPr="00C94C33">
        <w:rPr>
          <w:rFonts w:eastAsia="Times New Roman"/>
          <w:lang w:eastAsia="en-AU"/>
        </w:rPr>
        <w:t>ANOVA</w:t>
      </w:r>
      <w:r w:rsidR="00C77E7B" w:rsidRPr="00C94C33">
        <w:rPr>
          <w:rFonts w:eastAsia="Times New Roman"/>
          <w:lang w:eastAsia="en-AU"/>
        </w:rPr>
        <w:t>)</w:t>
      </w:r>
      <w:r w:rsidRPr="00C94C33">
        <w:rPr>
          <w:rFonts w:eastAsia="Times New Roman"/>
          <w:lang w:eastAsia="en-AU"/>
        </w:rPr>
        <w:t>). The two formulations (oral solution and tablets) would be considered to have comparable bioavailability if the 90% CIs of the geometric mean ratios of the AUC</w:t>
      </w:r>
      <w:r w:rsidRPr="00C94C33">
        <w:rPr>
          <w:rFonts w:eastAsia="Times New Roman"/>
          <w:sz w:val="20"/>
          <w:szCs w:val="20"/>
          <w:lang w:eastAsia="en-AU"/>
        </w:rPr>
        <w:t>0-last</w:t>
      </w:r>
      <w:r w:rsidRPr="00C94C33">
        <w:rPr>
          <w:rFonts w:eastAsia="Times New Roman"/>
          <w:lang w:eastAsia="en-AU"/>
        </w:rPr>
        <w:t>, AUC</w:t>
      </w:r>
      <w:r w:rsidRPr="00C94C33">
        <w:rPr>
          <w:rFonts w:eastAsia="Times New Roman"/>
          <w:sz w:val="20"/>
          <w:szCs w:val="20"/>
          <w:lang w:eastAsia="en-AU"/>
        </w:rPr>
        <w:t>0-inf</w:t>
      </w:r>
      <w:r w:rsidRPr="00C94C33">
        <w:rPr>
          <w:rFonts w:eastAsia="Times New Roman"/>
          <w:lang w:eastAsia="en-AU"/>
        </w:rPr>
        <w:t>, and C</w:t>
      </w:r>
      <w:r w:rsidRPr="00C94C33">
        <w:rPr>
          <w:rFonts w:eastAsia="Times New Roman"/>
          <w:sz w:val="20"/>
          <w:szCs w:val="20"/>
          <w:lang w:eastAsia="en-AU"/>
        </w:rPr>
        <w:t>max</w:t>
      </w:r>
      <w:r w:rsidRPr="00C94C33">
        <w:rPr>
          <w:rFonts w:eastAsia="Times New Roman"/>
          <w:lang w:eastAsia="en-AU"/>
        </w:rPr>
        <w:t xml:space="preserve"> values for TAS-102 (experimental treatment) fell within the 0.80 to 1.25 boundary for demonstration of bioequivalence to the oral solution (reference treatment).</w:t>
      </w:r>
      <w:r w:rsidRPr="00C94C33">
        <w:rPr>
          <w:rFonts w:eastAsia="Times New Roman"/>
          <w:kern w:val="16"/>
          <w:lang w:eastAsia="en-AU"/>
        </w:rPr>
        <w:t xml:space="preserve"> The results of the relative bioavailability study are summarised below.</w:t>
      </w:r>
    </w:p>
    <w:p w14:paraId="68271A34" w14:textId="1264799F" w:rsidR="00DF61BC" w:rsidRPr="00C94C33" w:rsidRDefault="00DF61BC" w:rsidP="00CB36BC">
      <w:pPr>
        <w:pStyle w:val="Tabletitle"/>
        <w:rPr>
          <w:rFonts w:ascii="Times New Roman" w:hAnsi="Times New Roman"/>
          <w:lang w:eastAsia="en-AU"/>
        </w:rPr>
      </w:pPr>
      <w:bookmarkStart w:id="72" w:name="_Toc470948653"/>
      <w:r w:rsidRPr="00C94C33">
        <w:rPr>
          <w:lang w:eastAsia="en-AU"/>
        </w:rPr>
        <w:lastRenderedPageBreak/>
        <w:t xml:space="preserve">Table </w:t>
      </w:r>
      <w:r w:rsidR="00CB36BC" w:rsidRPr="00C94C33">
        <w:rPr>
          <w:lang w:eastAsia="en-AU"/>
        </w:rPr>
        <w:t xml:space="preserve">4: </w:t>
      </w:r>
      <w:r w:rsidR="00A167ED">
        <w:rPr>
          <w:lang w:eastAsia="en-AU"/>
        </w:rPr>
        <w:t>TAS-102</w:t>
      </w:r>
      <w:r w:rsidRPr="00C94C33">
        <w:rPr>
          <w:lang w:eastAsia="en-AU"/>
        </w:rPr>
        <w:t>-104</w:t>
      </w:r>
      <w:r w:rsidR="00C77E7B" w:rsidRPr="00C94C33">
        <w:rPr>
          <w:lang w:eastAsia="en-AU"/>
        </w:rPr>
        <w:t xml:space="preserve">; </w:t>
      </w:r>
      <w:r w:rsidRPr="00C94C33">
        <w:rPr>
          <w:lang w:eastAsia="en-AU"/>
        </w:rPr>
        <w:t>Relative bioavailability following TAS-102 tablets and oral solution, single 60 mg dose, cross-over BA PK population (</w:t>
      </w:r>
      <w:r w:rsidR="009C0389" w:rsidRPr="00C94C33">
        <w:rPr>
          <w:lang w:eastAsia="en-AU"/>
        </w:rPr>
        <w:t xml:space="preserve">n = </w:t>
      </w:r>
      <w:r w:rsidRPr="00C94C33">
        <w:rPr>
          <w:lang w:eastAsia="en-AU"/>
        </w:rPr>
        <w:t>38)</w:t>
      </w:r>
      <w:bookmarkEnd w:id="72"/>
    </w:p>
    <w:p w14:paraId="3F252484" w14:textId="77777777" w:rsidR="00DF61BC" w:rsidRPr="00C94C33" w:rsidRDefault="00DF61BC" w:rsidP="00DF61BC">
      <w:pPr>
        <w:kinsoku w:val="0"/>
        <w:overflowPunct w:val="0"/>
        <w:autoSpaceDE w:val="0"/>
        <w:autoSpaceDN w:val="0"/>
        <w:adjustRightInd w:val="0"/>
        <w:spacing w:before="3" w:after="0" w:line="240" w:lineRule="auto"/>
        <w:rPr>
          <w:rFonts w:ascii="Times New Roman" w:eastAsia="Times New Roman" w:hAnsi="Times New Roman"/>
          <w:sz w:val="3"/>
          <w:szCs w:val="3"/>
          <w:lang w:eastAsia="en-AU"/>
        </w:rPr>
      </w:pPr>
    </w:p>
    <w:tbl>
      <w:tblPr>
        <w:tblW w:w="0" w:type="auto"/>
        <w:tblInd w:w="112" w:type="dxa"/>
        <w:tblLayout w:type="fixed"/>
        <w:tblCellMar>
          <w:left w:w="0" w:type="dxa"/>
          <w:right w:w="0" w:type="dxa"/>
        </w:tblCellMar>
        <w:tblLook w:val="0020" w:firstRow="1" w:lastRow="0" w:firstColumn="0" w:lastColumn="0" w:noHBand="0" w:noVBand="0"/>
      </w:tblPr>
      <w:tblGrid>
        <w:gridCol w:w="2178"/>
        <w:gridCol w:w="2070"/>
        <w:gridCol w:w="2077"/>
        <w:gridCol w:w="1265"/>
        <w:gridCol w:w="1518"/>
      </w:tblGrid>
      <w:tr w:rsidR="00DF61BC" w:rsidRPr="00C94C33" w14:paraId="7E5402D4" w14:textId="77777777" w:rsidTr="00AC09C5">
        <w:trPr>
          <w:trHeight w:val="20"/>
          <w:tblHeader/>
        </w:trPr>
        <w:tc>
          <w:tcPr>
            <w:tcW w:w="2178" w:type="dxa"/>
            <w:vMerge w:val="restart"/>
            <w:tcBorders>
              <w:top w:val="single" w:sz="7" w:space="0" w:color="000000"/>
              <w:left w:val="single" w:sz="6" w:space="0" w:color="000000"/>
              <w:bottom w:val="single" w:sz="7" w:space="0" w:color="000000"/>
              <w:right w:val="single" w:sz="6" w:space="0" w:color="000000"/>
            </w:tcBorders>
            <w:shd w:val="clear" w:color="auto" w:fill="auto"/>
          </w:tcPr>
          <w:p w14:paraId="2ADC9095" w14:textId="77777777" w:rsidR="00DF61BC" w:rsidRPr="00C94C33" w:rsidRDefault="00DF61BC" w:rsidP="00AC09C5">
            <w:pPr>
              <w:pStyle w:val="TableHeading"/>
              <w:spacing w:after="0"/>
              <w:jc w:val="center"/>
              <w:rPr>
                <w:lang w:eastAsia="en-AU"/>
              </w:rPr>
            </w:pPr>
            <w:bookmarkStart w:id="73" w:name="bookmark1"/>
            <w:bookmarkEnd w:id="73"/>
            <w:r w:rsidRPr="00C94C33">
              <w:rPr>
                <w:lang w:eastAsia="en-AU"/>
              </w:rPr>
              <w:t>Analyte</w:t>
            </w:r>
            <w:r w:rsidRPr="00C94C33">
              <w:rPr>
                <w:spacing w:val="23"/>
                <w:lang w:eastAsia="en-AU"/>
              </w:rPr>
              <w:t xml:space="preserve"> </w:t>
            </w:r>
            <w:r w:rsidRPr="00C94C33">
              <w:rPr>
                <w:lang w:eastAsia="en-AU"/>
              </w:rPr>
              <w:t>Para</w:t>
            </w:r>
            <w:bookmarkStart w:id="74" w:name="11.1.3._Analysis_of_Relative_Bioavailabi"/>
            <w:bookmarkEnd w:id="74"/>
            <w:r w:rsidRPr="00C94C33">
              <w:rPr>
                <w:lang w:eastAsia="en-AU"/>
              </w:rPr>
              <w:t>meter</w:t>
            </w:r>
          </w:p>
        </w:tc>
        <w:tc>
          <w:tcPr>
            <w:tcW w:w="2070" w:type="dxa"/>
            <w:tcBorders>
              <w:top w:val="single" w:sz="7" w:space="0" w:color="000000"/>
              <w:left w:val="single" w:sz="6" w:space="0" w:color="000000"/>
              <w:bottom w:val="single" w:sz="7" w:space="0" w:color="000000"/>
              <w:right w:val="single" w:sz="6" w:space="0" w:color="000000"/>
            </w:tcBorders>
            <w:shd w:val="clear" w:color="auto" w:fill="auto"/>
          </w:tcPr>
          <w:p w14:paraId="1A3BE643" w14:textId="77777777" w:rsidR="00DF61BC" w:rsidRPr="00C94C33" w:rsidRDefault="00DF61BC" w:rsidP="00AC09C5">
            <w:pPr>
              <w:pStyle w:val="TableHeading"/>
              <w:spacing w:after="0"/>
              <w:jc w:val="center"/>
              <w:rPr>
                <w:lang w:eastAsia="en-AU"/>
              </w:rPr>
            </w:pPr>
            <w:r w:rsidRPr="00C94C33">
              <w:rPr>
                <w:lang w:eastAsia="en-AU"/>
              </w:rPr>
              <w:t>Tablet</w:t>
            </w:r>
          </w:p>
        </w:tc>
        <w:tc>
          <w:tcPr>
            <w:tcW w:w="2077" w:type="dxa"/>
            <w:tcBorders>
              <w:top w:val="single" w:sz="7" w:space="0" w:color="000000"/>
              <w:left w:val="single" w:sz="6" w:space="0" w:color="000000"/>
              <w:bottom w:val="single" w:sz="7" w:space="0" w:color="000000"/>
              <w:right w:val="single" w:sz="6" w:space="0" w:color="000000"/>
            </w:tcBorders>
            <w:shd w:val="clear" w:color="auto" w:fill="auto"/>
          </w:tcPr>
          <w:p w14:paraId="42FB4CED" w14:textId="77777777" w:rsidR="00DF61BC" w:rsidRPr="00C94C33" w:rsidRDefault="00DF61BC" w:rsidP="00AC09C5">
            <w:pPr>
              <w:pStyle w:val="TableHeading"/>
              <w:spacing w:after="0"/>
              <w:jc w:val="center"/>
              <w:rPr>
                <w:lang w:eastAsia="en-AU"/>
              </w:rPr>
            </w:pPr>
            <w:r w:rsidRPr="00C94C33">
              <w:rPr>
                <w:lang w:eastAsia="en-AU"/>
              </w:rPr>
              <w:t>Oral Solution</w:t>
            </w:r>
          </w:p>
        </w:tc>
        <w:tc>
          <w:tcPr>
            <w:tcW w:w="2783" w:type="dxa"/>
            <w:gridSpan w:val="2"/>
            <w:tcBorders>
              <w:top w:val="single" w:sz="7" w:space="0" w:color="000000"/>
              <w:left w:val="single" w:sz="6" w:space="0" w:color="000000"/>
              <w:bottom w:val="single" w:sz="7" w:space="0" w:color="000000"/>
              <w:right w:val="single" w:sz="6" w:space="0" w:color="000000"/>
            </w:tcBorders>
            <w:shd w:val="clear" w:color="auto" w:fill="auto"/>
          </w:tcPr>
          <w:p w14:paraId="3DC30999" w14:textId="77777777" w:rsidR="00DF61BC" w:rsidRPr="00C94C33" w:rsidRDefault="00DF61BC" w:rsidP="00AC09C5">
            <w:pPr>
              <w:pStyle w:val="TableHeading"/>
              <w:spacing w:after="0"/>
              <w:jc w:val="center"/>
              <w:rPr>
                <w:lang w:eastAsia="en-AU"/>
              </w:rPr>
            </w:pPr>
            <w:r w:rsidRPr="00C94C33">
              <w:rPr>
                <w:lang w:eastAsia="en-AU"/>
              </w:rPr>
              <w:t>Ratio of Geometric Means</w:t>
            </w:r>
            <w:r w:rsidRPr="00C94C33">
              <w:rPr>
                <w:spacing w:val="22"/>
                <w:lang w:eastAsia="en-AU"/>
              </w:rPr>
              <w:t xml:space="preserve"> </w:t>
            </w:r>
            <w:r w:rsidRPr="00C94C33">
              <w:rPr>
                <w:lang w:eastAsia="en-AU"/>
              </w:rPr>
              <w:t>(Tablet/Oral solution)</w:t>
            </w:r>
          </w:p>
        </w:tc>
      </w:tr>
      <w:tr w:rsidR="00DF61BC" w:rsidRPr="00C94C33" w14:paraId="5669E9F6" w14:textId="77777777" w:rsidTr="00AC09C5">
        <w:trPr>
          <w:trHeight w:val="20"/>
          <w:tblHeader/>
        </w:trPr>
        <w:tc>
          <w:tcPr>
            <w:tcW w:w="2178" w:type="dxa"/>
            <w:vMerge/>
            <w:tcBorders>
              <w:top w:val="single" w:sz="7" w:space="0" w:color="000000"/>
              <w:left w:val="single" w:sz="6" w:space="0" w:color="000000"/>
              <w:bottom w:val="single" w:sz="7" w:space="0" w:color="000000"/>
              <w:right w:val="single" w:sz="6" w:space="0" w:color="000000"/>
            </w:tcBorders>
            <w:shd w:val="clear" w:color="auto" w:fill="auto"/>
          </w:tcPr>
          <w:p w14:paraId="77FD6D75" w14:textId="77777777" w:rsidR="00DF61BC" w:rsidRPr="00C94C33" w:rsidRDefault="00DF61BC" w:rsidP="00AC09C5">
            <w:pPr>
              <w:pStyle w:val="TableHeading"/>
              <w:spacing w:after="0"/>
              <w:jc w:val="center"/>
              <w:rPr>
                <w:lang w:eastAsia="en-AU"/>
              </w:rPr>
            </w:pPr>
          </w:p>
        </w:tc>
        <w:tc>
          <w:tcPr>
            <w:tcW w:w="2070" w:type="dxa"/>
            <w:tcBorders>
              <w:top w:val="single" w:sz="7" w:space="0" w:color="000000"/>
              <w:left w:val="single" w:sz="6" w:space="0" w:color="000000"/>
              <w:bottom w:val="single" w:sz="7" w:space="0" w:color="000000"/>
              <w:right w:val="single" w:sz="6" w:space="0" w:color="000000"/>
            </w:tcBorders>
            <w:shd w:val="clear" w:color="auto" w:fill="auto"/>
          </w:tcPr>
          <w:p w14:paraId="505D17D1" w14:textId="4F664D78" w:rsidR="00DF61BC" w:rsidRPr="00C94C33" w:rsidRDefault="00DF61BC" w:rsidP="00AC09C5">
            <w:pPr>
              <w:pStyle w:val="TableHeading"/>
              <w:spacing w:after="0"/>
              <w:jc w:val="center"/>
              <w:rPr>
                <w:lang w:eastAsia="en-AU"/>
              </w:rPr>
            </w:pPr>
            <w:r w:rsidRPr="00C94C33">
              <w:rPr>
                <w:lang w:eastAsia="en-AU"/>
              </w:rPr>
              <w:t>Geometric Mean</w:t>
            </w:r>
            <w:r w:rsidRPr="00C94C33">
              <w:rPr>
                <w:position w:val="10"/>
                <w:lang w:eastAsia="en-AU"/>
              </w:rPr>
              <w:t>a</w:t>
            </w:r>
          </w:p>
        </w:tc>
        <w:tc>
          <w:tcPr>
            <w:tcW w:w="2077" w:type="dxa"/>
            <w:tcBorders>
              <w:top w:val="single" w:sz="7" w:space="0" w:color="000000"/>
              <w:left w:val="single" w:sz="6" w:space="0" w:color="000000"/>
              <w:bottom w:val="single" w:sz="7" w:space="0" w:color="000000"/>
              <w:right w:val="single" w:sz="6" w:space="0" w:color="000000"/>
            </w:tcBorders>
            <w:shd w:val="clear" w:color="auto" w:fill="auto"/>
          </w:tcPr>
          <w:p w14:paraId="1E677F93" w14:textId="6DE17857" w:rsidR="00DF61BC" w:rsidRPr="00C94C33" w:rsidRDefault="00DF61BC" w:rsidP="00AC09C5">
            <w:pPr>
              <w:pStyle w:val="TableHeading"/>
              <w:spacing w:after="0"/>
              <w:jc w:val="center"/>
              <w:rPr>
                <w:lang w:eastAsia="en-AU"/>
              </w:rPr>
            </w:pPr>
            <w:r w:rsidRPr="00C94C33">
              <w:rPr>
                <w:lang w:eastAsia="en-AU"/>
              </w:rPr>
              <w:t>Geometric Mean</w:t>
            </w:r>
            <w:r w:rsidRPr="00C94C33">
              <w:rPr>
                <w:position w:val="10"/>
                <w:lang w:eastAsia="en-AU"/>
              </w:rPr>
              <w:t>a</w:t>
            </w:r>
          </w:p>
        </w:tc>
        <w:tc>
          <w:tcPr>
            <w:tcW w:w="1265" w:type="dxa"/>
            <w:tcBorders>
              <w:top w:val="single" w:sz="7" w:space="0" w:color="000000"/>
              <w:left w:val="single" w:sz="6" w:space="0" w:color="000000"/>
              <w:bottom w:val="single" w:sz="7" w:space="0" w:color="000000"/>
              <w:right w:val="single" w:sz="6" w:space="0" w:color="000000"/>
            </w:tcBorders>
            <w:shd w:val="clear" w:color="auto" w:fill="auto"/>
          </w:tcPr>
          <w:p w14:paraId="0395EB4B" w14:textId="54943C6C" w:rsidR="00DF61BC" w:rsidRPr="00C94C33" w:rsidRDefault="00DF61BC" w:rsidP="00AC09C5">
            <w:pPr>
              <w:pStyle w:val="TableHeading"/>
              <w:spacing w:after="0"/>
              <w:jc w:val="center"/>
              <w:rPr>
                <w:lang w:eastAsia="en-AU"/>
              </w:rPr>
            </w:pPr>
            <w:r w:rsidRPr="00C94C33">
              <w:rPr>
                <w:lang w:eastAsia="en-AU"/>
              </w:rPr>
              <w:t>Estimate</w:t>
            </w:r>
          </w:p>
        </w:tc>
        <w:tc>
          <w:tcPr>
            <w:tcW w:w="1518" w:type="dxa"/>
            <w:tcBorders>
              <w:top w:val="single" w:sz="7" w:space="0" w:color="000000"/>
              <w:left w:val="single" w:sz="6" w:space="0" w:color="000000"/>
              <w:bottom w:val="single" w:sz="7" w:space="0" w:color="000000"/>
              <w:right w:val="single" w:sz="6" w:space="0" w:color="000000"/>
            </w:tcBorders>
            <w:shd w:val="clear" w:color="auto" w:fill="auto"/>
          </w:tcPr>
          <w:p w14:paraId="29705B43" w14:textId="0B1A6BE4" w:rsidR="00DF61BC" w:rsidRPr="00C94C33" w:rsidRDefault="00DF61BC" w:rsidP="00AC09C5">
            <w:pPr>
              <w:pStyle w:val="TableHeading"/>
              <w:spacing w:after="0"/>
              <w:jc w:val="center"/>
              <w:rPr>
                <w:lang w:eastAsia="en-AU"/>
              </w:rPr>
            </w:pPr>
            <w:r w:rsidRPr="00C94C33">
              <w:rPr>
                <w:lang w:eastAsia="en-AU"/>
              </w:rPr>
              <w:t>(90%</w:t>
            </w:r>
            <w:r w:rsidRPr="00C94C33">
              <w:rPr>
                <w:spacing w:val="-4"/>
                <w:lang w:eastAsia="en-AU"/>
              </w:rPr>
              <w:t xml:space="preserve"> </w:t>
            </w:r>
            <w:r w:rsidRPr="00C94C33">
              <w:rPr>
                <w:lang w:eastAsia="en-AU"/>
              </w:rPr>
              <w:t>CI)</w:t>
            </w:r>
          </w:p>
        </w:tc>
      </w:tr>
      <w:tr w:rsidR="00DF61BC" w:rsidRPr="00C94C33" w14:paraId="0DAED4D1" w14:textId="77777777" w:rsidTr="005C2FCA">
        <w:trPr>
          <w:trHeight w:hRule="exact" w:val="365"/>
        </w:trPr>
        <w:tc>
          <w:tcPr>
            <w:tcW w:w="2178" w:type="dxa"/>
            <w:tcBorders>
              <w:top w:val="single" w:sz="7" w:space="0" w:color="000000"/>
              <w:left w:val="single" w:sz="6" w:space="0" w:color="000000"/>
              <w:bottom w:val="single" w:sz="7" w:space="0" w:color="000000"/>
              <w:right w:val="single" w:sz="6" w:space="0" w:color="000000"/>
            </w:tcBorders>
            <w:shd w:val="clear" w:color="auto" w:fill="auto"/>
          </w:tcPr>
          <w:p w14:paraId="38416D4A" w14:textId="77777777" w:rsidR="00DF61BC" w:rsidRPr="00C94C33" w:rsidRDefault="00DF61BC" w:rsidP="002C0F7C">
            <w:pPr>
              <w:pStyle w:val="TableHeading"/>
              <w:rPr>
                <w:lang w:eastAsia="en-AU"/>
              </w:rPr>
            </w:pPr>
            <w:r w:rsidRPr="00C94C33">
              <w:rPr>
                <w:lang w:eastAsia="en-AU"/>
              </w:rPr>
              <w:t>Trifluridine (FTD)</w:t>
            </w:r>
          </w:p>
        </w:tc>
        <w:tc>
          <w:tcPr>
            <w:tcW w:w="2070" w:type="dxa"/>
            <w:tcBorders>
              <w:top w:val="single" w:sz="7" w:space="0" w:color="000000"/>
              <w:left w:val="single" w:sz="6" w:space="0" w:color="000000"/>
              <w:bottom w:val="single" w:sz="7" w:space="0" w:color="000000"/>
              <w:right w:val="single" w:sz="6" w:space="0" w:color="000000"/>
            </w:tcBorders>
            <w:shd w:val="clear" w:color="auto" w:fill="auto"/>
          </w:tcPr>
          <w:p w14:paraId="410A9171" w14:textId="77777777" w:rsidR="00DF61BC" w:rsidRPr="00C94C33" w:rsidRDefault="00DF61BC" w:rsidP="008E57F5">
            <w:pPr>
              <w:autoSpaceDE w:val="0"/>
              <w:autoSpaceDN w:val="0"/>
              <w:adjustRightInd w:val="0"/>
              <w:spacing w:before="0" w:after="0" w:line="240" w:lineRule="auto"/>
              <w:rPr>
                <w:rFonts w:ascii="Calibri" w:eastAsia="Times New Roman" w:hAnsi="Calibri" w:cs="Calibri"/>
                <w:sz w:val="18"/>
                <w:szCs w:val="18"/>
                <w:lang w:eastAsia="en-AU"/>
              </w:rPr>
            </w:pPr>
          </w:p>
        </w:tc>
        <w:tc>
          <w:tcPr>
            <w:tcW w:w="2077" w:type="dxa"/>
            <w:tcBorders>
              <w:top w:val="single" w:sz="7" w:space="0" w:color="000000"/>
              <w:left w:val="single" w:sz="6" w:space="0" w:color="000000"/>
              <w:bottom w:val="single" w:sz="7" w:space="0" w:color="000000"/>
              <w:right w:val="single" w:sz="6" w:space="0" w:color="000000"/>
            </w:tcBorders>
            <w:shd w:val="clear" w:color="auto" w:fill="auto"/>
          </w:tcPr>
          <w:p w14:paraId="4D7A628F" w14:textId="77777777" w:rsidR="00DF61BC" w:rsidRPr="00C94C33" w:rsidRDefault="00DF61BC" w:rsidP="008E57F5">
            <w:pPr>
              <w:autoSpaceDE w:val="0"/>
              <w:autoSpaceDN w:val="0"/>
              <w:adjustRightInd w:val="0"/>
              <w:spacing w:before="0" w:after="0" w:line="240" w:lineRule="auto"/>
              <w:rPr>
                <w:rFonts w:ascii="Calibri" w:eastAsia="Times New Roman" w:hAnsi="Calibri" w:cs="Calibri"/>
                <w:sz w:val="18"/>
                <w:szCs w:val="18"/>
                <w:lang w:eastAsia="en-AU"/>
              </w:rPr>
            </w:pPr>
          </w:p>
        </w:tc>
        <w:tc>
          <w:tcPr>
            <w:tcW w:w="1265" w:type="dxa"/>
            <w:tcBorders>
              <w:top w:val="single" w:sz="7" w:space="0" w:color="000000"/>
              <w:left w:val="single" w:sz="6" w:space="0" w:color="000000"/>
              <w:bottom w:val="single" w:sz="7" w:space="0" w:color="000000"/>
              <w:right w:val="single" w:sz="6" w:space="0" w:color="000000"/>
            </w:tcBorders>
            <w:shd w:val="clear" w:color="auto" w:fill="auto"/>
          </w:tcPr>
          <w:p w14:paraId="6B23DEDD" w14:textId="77777777" w:rsidR="00DF61BC" w:rsidRPr="00C94C33" w:rsidRDefault="00DF61BC" w:rsidP="008E57F5">
            <w:pPr>
              <w:autoSpaceDE w:val="0"/>
              <w:autoSpaceDN w:val="0"/>
              <w:adjustRightInd w:val="0"/>
              <w:spacing w:before="0" w:after="0" w:line="240" w:lineRule="auto"/>
              <w:rPr>
                <w:rFonts w:ascii="Calibri" w:eastAsia="Times New Roman" w:hAnsi="Calibri" w:cs="Calibri"/>
                <w:sz w:val="18"/>
                <w:szCs w:val="18"/>
                <w:lang w:eastAsia="en-AU"/>
              </w:rPr>
            </w:pPr>
          </w:p>
        </w:tc>
        <w:tc>
          <w:tcPr>
            <w:tcW w:w="1518" w:type="dxa"/>
            <w:tcBorders>
              <w:top w:val="single" w:sz="7" w:space="0" w:color="000000"/>
              <w:left w:val="single" w:sz="6" w:space="0" w:color="000000"/>
              <w:bottom w:val="single" w:sz="7" w:space="0" w:color="000000"/>
              <w:right w:val="single" w:sz="6" w:space="0" w:color="000000"/>
            </w:tcBorders>
            <w:shd w:val="clear" w:color="auto" w:fill="auto"/>
          </w:tcPr>
          <w:p w14:paraId="5A29B919" w14:textId="77777777" w:rsidR="00DF61BC" w:rsidRPr="00C94C33" w:rsidRDefault="00DF61BC" w:rsidP="008E57F5">
            <w:pPr>
              <w:autoSpaceDE w:val="0"/>
              <w:autoSpaceDN w:val="0"/>
              <w:adjustRightInd w:val="0"/>
              <w:spacing w:before="0" w:after="0" w:line="240" w:lineRule="auto"/>
              <w:rPr>
                <w:rFonts w:ascii="Calibri" w:eastAsia="Times New Roman" w:hAnsi="Calibri" w:cs="Calibri"/>
                <w:sz w:val="18"/>
                <w:szCs w:val="18"/>
                <w:lang w:eastAsia="en-AU"/>
              </w:rPr>
            </w:pPr>
          </w:p>
        </w:tc>
      </w:tr>
      <w:tr w:rsidR="00DF61BC" w:rsidRPr="00C94C33" w14:paraId="53B86ACC" w14:textId="77777777" w:rsidTr="002C0F7C">
        <w:trPr>
          <w:trHeight w:val="20"/>
        </w:trPr>
        <w:tc>
          <w:tcPr>
            <w:tcW w:w="2178" w:type="dxa"/>
            <w:tcBorders>
              <w:top w:val="single" w:sz="7" w:space="0" w:color="000000"/>
              <w:left w:val="single" w:sz="6" w:space="0" w:color="000000"/>
              <w:bottom w:val="single" w:sz="7" w:space="0" w:color="000000"/>
              <w:right w:val="single" w:sz="6" w:space="0" w:color="000000"/>
            </w:tcBorders>
          </w:tcPr>
          <w:p w14:paraId="07271C83" w14:textId="77777777" w:rsidR="00DF61BC" w:rsidRPr="00C94C33" w:rsidRDefault="00DF61BC" w:rsidP="002C0F7C">
            <w:pPr>
              <w:pStyle w:val="Tabletext"/>
              <w:jc w:val="center"/>
              <w:rPr>
                <w:lang w:eastAsia="en-AU"/>
              </w:rPr>
            </w:pPr>
            <w:r w:rsidRPr="00C94C33">
              <w:rPr>
                <w:lang w:eastAsia="en-AU"/>
              </w:rPr>
              <w:t>AUC</w:t>
            </w:r>
            <w:r w:rsidRPr="00C94C33">
              <w:rPr>
                <w:position w:val="-3"/>
                <w:lang w:eastAsia="en-AU"/>
              </w:rPr>
              <w:t>0-last</w:t>
            </w:r>
            <w:r w:rsidRPr="00C94C33">
              <w:rPr>
                <w:spacing w:val="-4"/>
                <w:position w:val="-3"/>
                <w:lang w:eastAsia="en-AU"/>
              </w:rPr>
              <w:t xml:space="preserve"> </w:t>
            </w:r>
            <w:r w:rsidRPr="00C94C33">
              <w:rPr>
                <w:lang w:eastAsia="en-AU"/>
              </w:rPr>
              <w:t>(ng*hr/mL)</w:t>
            </w:r>
          </w:p>
        </w:tc>
        <w:tc>
          <w:tcPr>
            <w:tcW w:w="2070" w:type="dxa"/>
            <w:tcBorders>
              <w:top w:val="single" w:sz="7" w:space="0" w:color="000000"/>
              <w:left w:val="single" w:sz="6" w:space="0" w:color="000000"/>
              <w:bottom w:val="single" w:sz="7" w:space="0" w:color="000000"/>
              <w:right w:val="single" w:sz="6" w:space="0" w:color="000000"/>
            </w:tcBorders>
          </w:tcPr>
          <w:p w14:paraId="027D851E" w14:textId="77777777" w:rsidR="00DF61BC" w:rsidRPr="00C94C33" w:rsidRDefault="00DF61BC" w:rsidP="002C0F7C">
            <w:pPr>
              <w:pStyle w:val="Tabletext"/>
              <w:jc w:val="center"/>
              <w:rPr>
                <w:lang w:eastAsia="en-AU"/>
              </w:rPr>
            </w:pPr>
            <w:r w:rsidRPr="00C94C33">
              <w:rPr>
                <w:lang w:eastAsia="en-AU"/>
              </w:rPr>
              <w:t>6482.74</w:t>
            </w:r>
          </w:p>
        </w:tc>
        <w:tc>
          <w:tcPr>
            <w:tcW w:w="2077" w:type="dxa"/>
            <w:tcBorders>
              <w:top w:val="single" w:sz="7" w:space="0" w:color="000000"/>
              <w:left w:val="single" w:sz="6" w:space="0" w:color="000000"/>
              <w:bottom w:val="single" w:sz="7" w:space="0" w:color="000000"/>
              <w:right w:val="single" w:sz="6" w:space="0" w:color="000000"/>
            </w:tcBorders>
          </w:tcPr>
          <w:p w14:paraId="246873DE" w14:textId="77777777" w:rsidR="00DF61BC" w:rsidRPr="00C94C33" w:rsidRDefault="00DF61BC" w:rsidP="002C0F7C">
            <w:pPr>
              <w:pStyle w:val="Tabletext"/>
              <w:jc w:val="center"/>
              <w:rPr>
                <w:lang w:eastAsia="en-AU"/>
              </w:rPr>
            </w:pPr>
            <w:r w:rsidRPr="00C94C33">
              <w:rPr>
                <w:lang w:eastAsia="en-AU"/>
              </w:rPr>
              <w:t>6454.59</w:t>
            </w:r>
          </w:p>
        </w:tc>
        <w:tc>
          <w:tcPr>
            <w:tcW w:w="1265" w:type="dxa"/>
            <w:tcBorders>
              <w:top w:val="single" w:sz="7" w:space="0" w:color="000000"/>
              <w:left w:val="single" w:sz="6" w:space="0" w:color="000000"/>
              <w:bottom w:val="single" w:sz="7" w:space="0" w:color="000000"/>
              <w:right w:val="single" w:sz="6" w:space="0" w:color="000000"/>
            </w:tcBorders>
          </w:tcPr>
          <w:p w14:paraId="5631C652" w14:textId="77777777" w:rsidR="00DF61BC" w:rsidRPr="00C94C33" w:rsidRDefault="00DF61BC" w:rsidP="002C0F7C">
            <w:pPr>
              <w:pStyle w:val="Tabletext"/>
              <w:jc w:val="center"/>
              <w:rPr>
                <w:lang w:eastAsia="en-AU"/>
              </w:rPr>
            </w:pPr>
            <w:r w:rsidRPr="00C94C33">
              <w:rPr>
                <w:lang w:eastAsia="en-AU"/>
              </w:rPr>
              <w:t>1.004</w:t>
            </w:r>
          </w:p>
        </w:tc>
        <w:tc>
          <w:tcPr>
            <w:tcW w:w="1518" w:type="dxa"/>
            <w:tcBorders>
              <w:top w:val="single" w:sz="7" w:space="0" w:color="000000"/>
              <w:left w:val="single" w:sz="6" w:space="0" w:color="000000"/>
              <w:bottom w:val="single" w:sz="7" w:space="0" w:color="000000"/>
              <w:right w:val="single" w:sz="6" w:space="0" w:color="000000"/>
            </w:tcBorders>
          </w:tcPr>
          <w:p w14:paraId="4E920AE2" w14:textId="77777777" w:rsidR="00DF61BC" w:rsidRPr="00C94C33" w:rsidRDefault="00DF61BC" w:rsidP="002C0F7C">
            <w:pPr>
              <w:pStyle w:val="Tabletext"/>
              <w:jc w:val="center"/>
              <w:rPr>
                <w:lang w:eastAsia="en-AU"/>
              </w:rPr>
            </w:pPr>
            <w:r w:rsidRPr="00C94C33">
              <w:rPr>
                <w:lang w:eastAsia="en-AU"/>
              </w:rPr>
              <w:t>(0.926</w:t>
            </w:r>
            <w:r w:rsidRPr="00C94C33">
              <w:rPr>
                <w:spacing w:val="1"/>
                <w:lang w:eastAsia="en-AU"/>
              </w:rPr>
              <w:t xml:space="preserve"> </w:t>
            </w:r>
            <w:r w:rsidRPr="00C94C33">
              <w:rPr>
                <w:lang w:eastAsia="en-AU"/>
              </w:rPr>
              <w:t>- 1.089)</w:t>
            </w:r>
          </w:p>
        </w:tc>
      </w:tr>
      <w:tr w:rsidR="00DF61BC" w:rsidRPr="00C94C33" w14:paraId="15598389" w14:textId="77777777" w:rsidTr="002C0F7C">
        <w:trPr>
          <w:trHeight w:val="20"/>
        </w:trPr>
        <w:tc>
          <w:tcPr>
            <w:tcW w:w="2178" w:type="dxa"/>
            <w:tcBorders>
              <w:top w:val="single" w:sz="7" w:space="0" w:color="000000"/>
              <w:left w:val="single" w:sz="6" w:space="0" w:color="000000"/>
              <w:bottom w:val="single" w:sz="7" w:space="0" w:color="000000"/>
              <w:right w:val="single" w:sz="6" w:space="0" w:color="000000"/>
            </w:tcBorders>
          </w:tcPr>
          <w:p w14:paraId="64E6071F" w14:textId="77777777" w:rsidR="00DF61BC" w:rsidRPr="00C94C33" w:rsidRDefault="00DF61BC" w:rsidP="002C0F7C">
            <w:pPr>
              <w:pStyle w:val="Tabletext"/>
              <w:jc w:val="center"/>
              <w:rPr>
                <w:lang w:eastAsia="en-AU"/>
              </w:rPr>
            </w:pPr>
            <w:r w:rsidRPr="00C94C33">
              <w:rPr>
                <w:lang w:eastAsia="en-AU"/>
              </w:rPr>
              <w:t>C</w:t>
            </w:r>
            <w:r w:rsidRPr="00C94C33">
              <w:rPr>
                <w:position w:val="-3"/>
                <w:lang w:eastAsia="en-AU"/>
              </w:rPr>
              <w:t>max</w:t>
            </w:r>
            <w:r w:rsidRPr="00C94C33">
              <w:rPr>
                <w:spacing w:val="15"/>
                <w:position w:val="-3"/>
                <w:lang w:eastAsia="en-AU"/>
              </w:rPr>
              <w:t xml:space="preserve"> </w:t>
            </w:r>
            <w:r w:rsidRPr="00C94C33">
              <w:rPr>
                <w:lang w:eastAsia="en-AU"/>
              </w:rPr>
              <w:t>(ng/mL)</w:t>
            </w:r>
          </w:p>
        </w:tc>
        <w:tc>
          <w:tcPr>
            <w:tcW w:w="2070" w:type="dxa"/>
            <w:tcBorders>
              <w:top w:val="single" w:sz="7" w:space="0" w:color="000000"/>
              <w:left w:val="single" w:sz="6" w:space="0" w:color="000000"/>
              <w:bottom w:val="single" w:sz="7" w:space="0" w:color="000000"/>
              <w:right w:val="single" w:sz="6" w:space="0" w:color="000000"/>
            </w:tcBorders>
          </w:tcPr>
          <w:p w14:paraId="67AC297E" w14:textId="77777777" w:rsidR="00DF61BC" w:rsidRPr="00C94C33" w:rsidRDefault="00DF61BC" w:rsidP="002C0F7C">
            <w:pPr>
              <w:pStyle w:val="Tabletext"/>
              <w:jc w:val="center"/>
              <w:rPr>
                <w:lang w:eastAsia="en-AU"/>
              </w:rPr>
            </w:pPr>
            <w:r w:rsidRPr="00C94C33">
              <w:rPr>
                <w:lang w:eastAsia="en-AU"/>
              </w:rPr>
              <w:t>3547.07</w:t>
            </w:r>
          </w:p>
        </w:tc>
        <w:tc>
          <w:tcPr>
            <w:tcW w:w="2077" w:type="dxa"/>
            <w:tcBorders>
              <w:top w:val="single" w:sz="7" w:space="0" w:color="000000"/>
              <w:left w:val="single" w:sz="6" w:space="0" w:color="000000"/>
              <w:bottom w:val="single" w:sz="7" w:space="0" w:color="000000"/>
              <w:right w:val="single" w:sz="6" w:space="0" w:color="000000"/>
            </w:tcBorders>
          </w:tcPr>
          <w:p w14:paraId="52C0C2EE" w14:textId="77777777" w:rsidR="00DF61BC" w:rsidRPr="00C94C33" w:rsidRDefault="00DF61BC" w:rsidP="002C0F7C">
            <w:pPr>
              <w:pStyle w:val="Tabletext"/>
              <w:jc w:val="center"/>
              <w:rPr>
                <w:lang w:eastAsia="en-AU"/>
              </w:rPr>
            </w:pPr>
            <w:r w:rsidRPr="00C94C33">
              <w:rPr>
                <w:lang w:eastAsia="en-AU"/>
              </w:rPr>
              <w:t>4115.58</w:t>
            </w:r>
          </w:p>
        </w:tc>
        <w:tc>
          <w:tcPr>
            <w:tcW w:w="1265" w:type="dxa"/>
            <w:tcBorders>
              <w:top w:val="single" w:sz="7" w:space="0" w:color="000000"/>
              <w:left w:val="single" w:sz="6" w:space="0" w:color="000000"/>
              <w:bottom w:val="single" w:sz="7" w:space="0" w:color="000000"/>
              <w:right w:val="single" w:sz="6" w:space="0" w:color="000000"/>
            </w:tcBorders>
          </w:tcPr>
          <w:p w14:paraId="4802FD7A" w14:textId="77777777" w:rsidR="00DF61BC" w:rsidRPr="00C94C33" w:rsidRDefault="00DF61BC" w:rsidP="002C0F7C">
            <w:pPr>
              <w:pStyle w:val="Tabletext"/>
              <w:jc w:val="center"/>
              <w:rPr>
                <w:lang w:eastAsia="en-AU"/>
              </w:rPr>
            </w:pPr>
            <w:r w:rsidRPr="00C94C33">
              <w:rPr>
                <w:lang w:eastAsia="en-AU"/>
              </w:rPr>
              <w:t>0.862</w:t>
            </w:r>
          </w:p>
        </w:tc>
        <w:tc>
          <w:tcPr>
            <w:tcW w:w="1518" w:type="dxa"/>
            <w:tcBorders>
              <w:top w:val="single" w:sz="7" w:space="0" w:color="000000"/>
              <w:left w:val="single" w:sz="6" w:space="0" w:color="000000"/>
              <w:bottom w:val="single" w:sz="7" w:space="0" w:color="000000"/>
              <w:right w:val="single" w:sz="6" w:space="0" w:color="000000"/>
            </w:tcBorders>
          </w:tcPr>
          <w:p w14:paraId="35C30311" w14:textId="77777777" w:rsidR="00DF61BC" w:rsidRPr="00C94C33" w:rsidRDefault="00DF61BC" w:rsidP="002C0F7C">
            <w:pPr>
              <w:pStyle w:val="Tabletext"/>
              <w:jc w:val="center"/>
              <w:rPr>
                <w:lang w:eastAsia="en-AU"/>
              </w:rPr>
            </w:pPr>
            <w:r w:rsidRPr="00C94C33">
              <w:rPr>
                <w:lang w:eastAsia="en-AU"/>
              </w:rPr>
              <w:t>(0.786</w:t>
            </w:r>
            <w:r w:rsidRPr="00C94C33">
              <w:rPr>
                <w:spacing w:val="1"/>
                <w:lang w:eastAsia="en-AU"/>
              </w:rPr>
              <w:t xml:space="preserve"> </w:t>
            </w:r>
            <w:r w:rsidRPr="00C94C33">
              <w:rPr>
                <w:lang w:eastAsia="en-AU"/>
              </w:rPr>
              <w:t>- 0.945)</w:t>
            </w:r>
          </w:p>
        </w:tc>
      </w:tr>
      <w:tr w:rsidR="00DF61BC" w:rsidRPr="00C94C33" w14:paraId="5C8B34F7" w14:textId="77777777" w:rsidTr="002C0F7C">
        <w:trPr>
          <w:trHeight w:val="20"/>
        </w:trPr>
        <w:tc>
          <w:tcPr>
            <w:tcW w:w="2178" w:type="dxa"/>
            <w:tcBorders>
              <w:top w:val="single" w:sz="7" w:space="0" w:color="000000"/>
              <w:left w:val="single" w:sz="6" w:space="0" w:color="000000"/>
              <w:bottom w:val="single" w:sz="7" w:space="0" w:color="000000"/>
              <w:right w:val="single" w:sz="6" w:space="0" w:color="000000"/>
            </w:tcBorders>
          </w:tcPr>
          <w:p w14:paraId="2617E8E0" w14:textId="77777777" w:rsidR="00DF61BC" w:rsidRPr="00C94C33" w:rsidRDefault="00DF61BC" w:rsidP="002C0F7C">
            <w:pPr>
              <w:pStyle w:val="Tabletext"/>
              <w:jc w:val="center"/>
              <w:rPr>
                <w:lang w:eastAsia="en-AU"/>
              </w:rPr>
            </w:pPr>
            <w:r w:rsidRPr="00C94C33">
              <w:rPr>
                <w:lang w:eastAsia="en-AU"/>
              </w:rPr>
              <w:t>AUC</w:t>
            </w:r>
            <w:r w:rsidRPr="00C94C33">
              <w:rPr>
                <w:position w:val="-3"/>
                <w:lang w:eastAsia="en-AU"/>
              </w:rPr>
              <w:t>0-inf</w:t>
            </w:r>
            <w:r w:rsidRPr="00C94C33">
              <w:rPr>
                <w:spacing w:val="15"/>
                <w:position w:val="-3"/>
                <w:lang w:eastAsia="en-AU"/>
              </w:rPr>
              <w:t xml:space="preserve"> </w:t>
            </w:r>
            <w:r w:rsidRPr="00C94C33">
              <w:rPr>
                <w:lang w:eastAsia="en-AU"/>
              </w:rPr>
              <w:t>(ng*hr/mL)</w:t>
            </w:r>
          </w:p>
        </w:tc>
        <w:tc>
          <w:tcPr>
            <w:tcW w:w="2070" w:type="dxa"/>
            <w:tcBorders>
              <w:top w:val="single" w:sz="7" w:space="0" w:color="000000"/>
              <w:left w:val="single" w:sz="6" w:space="0" w:color="000000"/>
              <w:bottom w:val="single" w:sz="7" w:space="0" w:color="000000"/>
              <w:right w:val="single" w:sz="6" w:space="0" w:color="000000"/>
            </w:tcBorders>
          </w:tcPr>
          <w:p w14:paraId="7E4DA580" w14:textId="77777777" w:rsidR="00DF61BC" w:rsidRPr="00C94C33" w:rsidRDefault="00DF61BC" w:rsidP="002C0F7C">
            <w:pPr>
              <w:pStyle w:val="Tabletext"/>
              <w:jc w:val="center"/>
              <w:rPr>
                <w:lang w:eastAsia="en-AU"/>
              </w:rPr>
            </w:pPr>
            <w:r w:rsidRPr="00C94C33">
              <w:rPr>
                <w:lang w:eastAsia="en-AU"/>
              </w:rPr>
              <w:t>6572.53</w:t>
            </w:r>
          </w:p>
        </w:tc>
        <w:tc>
          <w:tcPr>
            <w:tcW w:w="2077" w:type="dxa"/>
            <w:tcBorders>
              <w:top w:val="single" w:sz="7" w:space="0" w:color="000000"/>
              <w:left w:val="single" w:sz="6" w:space="0" w:color="000000"/>
              <w:bottom w:val="single" w:sz="7" w:space="0" w:color="000000"/>
              <w:right w:val="single" w:sz="6" w:space="0" w:color="000000"/>
            </w:tcBorders>
          </w:tcPr>
          <w:p w14:paraId="03D30E53" w14:textId="77777777" w:rsidR="00DF61BC" w:rsidRPr="00C94C33" w:rsidRDefault="00DF61BC" w:rsidP="002C0F7C">
            <w:pPr>
              <w:pStyle w:val="Tabletext"/>
              <w:jc w:val="center"/>
              <w:rPr>
                <w:lang w:eastAsia="en-AU"/>
              </w:rPr>
            </w:pPr>
            <w:r w:rsidRPr="00C94C33">
              <w:rPr>
                <w:lang w:eastAsia="en-AU"/>
              </w:rPr>
              <w:t>6581.22</w:t>
            </w:r>
          </w:p>
        </w:tc>
        <w:tc>
          <w:tcPr>
            <w:tcW w:w="1265" w:type="dxa"/>
            <w:tcBorders>
              <w:top w:val="single" w:sz="7" w:space="0" w:color="000000"/>
              <w:left w:val="single" w:sz="6" w:space="0" w:color="000000"/>
              <w:bottom w:val="single" w:sz="7" w:space="0" w:color="000000"/>
              <w:right w:val="single" w:sz="6" w:space="0" w:color="000000"/>
            </w:tcBorders>
          </w:tcPr>
          <w:p w14:paraId="52D92C24" w14:textId="77777777" w:rsidR="00DF61BC" w:rsidRPr="00C94C33" w:rsidRDefault="00DF61BC" w:rsidP="002C0F7C">
            <w:pPr>
              <w:pStyle w:val="Tabletext"/>
              <w:jc w:val="center"/>
              <w:rPr>
                <w:lang w:eastAsia="en-AU"/>
              </w:rPr>
            </w:pPr>
            <w:r w:rsidRPr="00C94C33">
              <w:rPr>
                <w:lang w:eastAsia="en-AU"/>
              </w:rPr>
              <w:t>0.999</w:t>
            </w:r>
          </w:p>
        </w:tc>
        <w:tc>
          <w:tcPr>
            <w:tcW w:w="1518" w:type="dxa"/>
            <w:tcBorders>
              <w:top w:val="single" w:sz="7" w:space="0" w:color="000000"/>
              <w:left w:val="single" w:sz="6" w:space="0" w:color="000000"/>
              <w:bottom w:val="single" w:sz="7" w:space="0" w:color="000000"/>
              <w:right w:val="single" w:sz="6" w:space="0" w:color="000000"/>
            </w:tcBorders>
          </w:tcPr>
          <w:p w14:paraId="707F3E70" w14:textId="77777777" w:rsidR="00DF61BC" w:rsidRPr="00C94C33" w:rsidRDefault="00DF61BC" w:rsidP="002C0F7C">
            <w:pPr>
              <w:pStyle w:val="Tabletext"/>
              <w:jc w:val="center"/>
              <w:rPr>
                <w:lang w:eastAsia="en-AU"/>
              </w:rPr>
            </w:pPr>
            <w:r w:rsidRPr="00C94C33">
              <w:rPr>
                <w:lang w:eastAsia="en-AU"/>
              </w:rPr>
              <w:t>(0.918</w:t>
            </w:r>
            <w:r w:rsidRPr="00C94C33">
              <w:rPr>
                <w:spacing w:val="1"/>
                <w:lang w:eastAsia="en-AU"/>
              </w:rPr>
              <w:t xml:space="preserve"> </w:t>
            </w:r>
            <w:r w:rsidRPr="00C94C33">
              <w:rPr>
                <w:lang w:eastAsia="en-AU"/>
              </w:rPr>
              <w:t>- 1.087)</w:t>
            </w:r>
          </w:p>
        </w:tc>
      </w:tr>
      <w:tr w:rsidR="00DF61BC" w:rsidRPr="00C94C33" w14:paraId="00558A0E" w14:textId="77777777" w:rsidTr="005C2FCA">
        <w:trPr>
          <w:trHeight w:hRule="exact" w:val="365"/>
        </w:trPr>
        <w:tc>
          <w:tcPr>
            <w:tcW w:w="2178" w:type="dxa"/>
            <w:tcBorders>
              <w:top w:val="single" w:sz="7" w:space="0" w:color="000000"/>
              <w:left w:val="single" w:sz="6" w:space="0" w:color="000000"/>
              <w:bottom w:val="single" w:sz="7" w:space="0" w:color="000000"/>
              <w:right w:val="single" w:sz="6" w:space="0" w:color="000000"/>
            </w:tcBorders>
          </w:tcPr>
          <w:p w14:paraId="637BBF52" w14:textId="77777777" w:rsidR="00DF61BC" w:rsidRPr="00C94C33" w:rsidRDefault="00DF61BC" w:rsidP="002C0F7C">
            <w:pPr>
              <w:pStyle w:val="TableHeading"/>
              <w:rPr>
                <w:lang w:eastAsia="en-AU"/>
              </w:rPr>
            </w:pPr>
            <w:r w:rsidRPr="00C94C33">
              <w:rPr>
                <w:lang w:eastAsia="en-AU"/>
              </w:rPr>
              <w:t>Tipiracil (TPI)</w:t>
            </w:r>
          </w:p>
        </w:tc>
        <w:tc>
          <w:tcPr>
            <w:tcW w:w="2070" w:type="dxa"/>
            <w:tcBorders>
              <w:top w:val="single" w:sz="7" w:space="0" w:color="000000"/>
              <w:left w:val="single" w:sz="6" w:space="0" w:color="000000"/>
              <w:bottom w:val="single" w:sz="7" w:space="0" w:color="000000"/>
              <w:right w:val="single" w:sz="6" w:space="0" w:color="000000"/>
            </w:tcBorders>
          </w:tcPr>
          <w:p w14:paraId="1D679398" w14:textId="77777777" w:rsidR="00DF61BC" w:rsidRPr="00C94C33" w:rsidRDefault="00DF61BC" w:rsidP="008E57F5">
            <w:pPr>
              <w:autoSpaceDE w:val="0"/>
              <w:autoSpaceDN w:val="0"/>
              <w:adjustRightInd w:val="0"/>
              <w:spacing w:before="0" w:after="0" w:line="240" w:lineRule="auto"/>
              <w:rPr>
                <w:rFonts w:asciiTheme="minorHAnsi" w:eastAsia="Times New Roman" w:hAnsiTheme="minorHAnsi" w:cs="Calibri"/>
                <w:sz w:val="18"/>
                <w:szCs w:val="18"/>
                <w:lang w:eastAsia="en-AU"/>
              </w:rPr>
            </w:pPr>
          </w:p>
        </w:tc>
        <w:tc>
          <w:tcPr>
            <w:tcW w:w="2077" w:type="dxa"/>
            <w:tcBorders>
              <w:top w:val="single" w:sz="7" w:space="0" w:color="000000"/>
              <w:left w:val="single" w:sz="6" w:space="0" w:color="000000"/>
              <w:bottom w:val="single" w:sz="7" w:space="0" w:color="000000"/>
              <w:right w:val="single" w:sz="6" w:space="0" w:color="000000"/>
            </w:tcBorders>
          </w:tcPr>
          <w:p w14:paraId="2995E9CA" w14:textId="77777777" w:rsidR="00DF61BC" w:rsidRPr="00C94C33" w:rsidRDefault="00DF61BC" w:rsidP="008E57F5">
            <w:pPr>
              <w:autoSpaceDE w:val="0"/>
              <w:autoSpaceDN w:val="0"/>
              <w:adjustRightInd w:val="0"/>
              <w:spacing w:before="0" w:after="0" w:line="240" w:lineRule="auto"/>
              <w:rPr>
                <w:rFonts w:asciiTheme="minorHAnsi" w:eastAsia="Times New Roman" w:hAnsiTheme="minorHAnsi" w:cs="Calibri"/>
                <w:sz w:val="18"/>
                <w:szCs w:val="18"/>
                <w:lang w:eastAsia="en-AU"/>
              </w:rPr>
            </w:pPr>
          </w:p>
        </w:tc>
        <w:tc>
          <w:tcPr>
            <w:tcW w:w="1265" w:type="dxa"/>
            <w:tcBorders>
              <w:top w:val="single" w:sz="7" w:space="0" w:color="000000"/>
              <w:left w:val="single" w:sz="6" w:space="0" w:color="000000"/>
              <w:bottom w:val="single" w:sz="7" w:space="0" w:color="000000"/>
              <w:right w:val="single" w:sz="6" w:space="0" w:color="000000"/>
            </w:tcBorders>
          </w:tcPr>
          <w:p w14:paraId="7736AD5E" w14:textId="77777777" w:rsidR="00DF61BC" w:rsidRPr="00C94C33" w:rsidRDefault="00DF61BC" w:rsidP="008E57F5">
            <w:pPr>
              <w:autoSpaceDE w:val="0"/>
              <w:autoSpaceDN w:val="0"/>
              <w:adjustRightInd w:val="0"/>
              <w:spacing w:before="0" w:after="0" w:line="240" w:lineRule="auto"/>
              <w:rPr>
                <w:rFonts w:asciiTheme="minorHAnsi" w:eastAsia="Times New Roman" w:hAnsiTheme="minorHAnsi" w:cs="Calibri"/>
                <w:sz w:val="18"/>
                <w:szCs w:val="18"/>
                <w:lang w:eastAsia="en-AU"/>
              </w:rPr>
            </w:pPr>
          </w:p>
        </w:tc>
        <w:tc>
          <w:tcPr>
            <w:tcW w:w="1518" w:type="dxa"/>
            <w:tcBorders>
              <w:top w:val="single" w:sz="7" w:space="0" w:color="000000"/>
              <w:left w:val="single" w:sz="6" w:space="0" w:color="000000"/>
              <w:bottom w:val="single" w:sz="7" w:space="0" w:color="000000"/>
              <w:right w:val="single" w:sz="6" w:space="0" w:color="000000"/>
            </w:tcBorders>
          </w:tcPr>
          <w:p w14:paraId="07A5D7D4" w14:textId="77777777" w:rsidR="00DF61BC" w:rsidRPr="00C94C33" w:rsidRDefault="00DF61BC" w:rsidP="008E57F5">
            <w:pPr>
              <w:autoSpaceDE w:val="0"/>
              <w:autoSpaceDN w:val="0"/>
              <w:adjustRightInd w:val="0"/>
              <w:spacing w:before="0" w:after="0" w:line="240" w:lineRule="auto"/>
              <w:rPr>
                <w:rFonts w:asciiTheme="minorHAnsi" w:eastAsia="Times New Roman" w:hAnsiTheme="minorHAnsi" w:cs="Calibri"/>
                <w:sz w:val="18"/>
                <w:szCs w:val="18"/>
                <w:lang w:eastAsia="en-AU"/>
              </w:rPr>
            </w:pPr>
          </w:p>
        </w:tc>
      </w:tr>
      <w:tr w:rsidR="00DF61BC" w:rsidRPr="00C94C33" w14:paraId="2E85EF5F" w14:textId="77777777" w:rsidTr="002C0F7C">
        <w:trPr>
          <w:trHeight w:val="20"/>
        </w:trPr>
        <w:tc>
          <w:tcPr>
            <w:tcW w:w="2178" w:type="dxa"/>
            <w:tcBorders>
              <w:top w:val="single" w:sz="7" w:space="0" w:color="000000"/>
              <w:left w:val="single" w:sz="6" w:space="0" w:color="000000"/>
              <w:bottom w:val="single" w:sz="7" w:space="0" w:color="000000"/>
              <w:right w:val="single" w:sz="6" w:space="0" w:color="000000"/>
            </w:tcBorders>
          </w:tcPr>
          <w:p w14:paraId="6C9DEABD" w14:textId="77777777" w:rsidR="00DF61BC" w:rsidRPr="00C94C33" w:rsidRDefault="00DF61BC" w:rsidP="002C0F7C">
            <w:pPr>
              <w:pStyle w:val="Tabletext"/>
              <w:jc w:val="center"/>
              <w:rPr>
                <w:lang w:eastAsia="en-AU"/>
              </w:rPr>
            </w:pPr>
            <w:r w:rsidRPr="00C94C33">
              <w:rPr>
                <w:lang w:eastAsia="en-AU"/>
              </w:rPr>
              <w:t>AUC</w:t>
            </w:r>
            <w:r w:rsidRPr="00C94C33">
              <w:rPr>
                <w:position w:val="-3"/>
                <w:lang w:eastAsia="en-AU"/>
              </w:rPr>
              <w:t>0-last</w:t>
            </w:r>
            <w:r w:rsidRPr="00C94C33">
              <w:rPr>
                <w:spacing w:val="-4"/>
                <w:position w:val="-3"/>
                <w:lang w:eastAsia="en-AU"/>
              </w:rPr>
              <w:t xml:space="preserve"> </w:t>
            </w:r>
            <w:r w:rsidRPr="00C94C33">
              <w:rPr>
                <w:lang w:eastAsia="en-AU"/>
              </w:rPr>
              <w:t>(ng*hr/mL)</w:t>
            </w:r>
          </w:p>
        </w:tc>
        <w:tc>
          <w:tcPr>
            <w:tcW w:w="2070" w:type="dxa"/>
            <w:tcBorders>
              <w:top w:val="single" w:sz="7" w:space="0" w:color="000000"/>
              <w:left w:val="single" w:sz="6" w:space="0" w:color="000000"/>
              <w:bottom w:val="single" w:sz="7" w:space="0" w:color="000000"/>
              <w:right w:val="single" w:sz="6" w:space="0" w:color="000000"/>
            </w:tcBorders>
          </w:tcPr>
          <w:p w14:paraId="01434296" w14:textId="77777777" w:rsidR="00DF61BC" w:rsidRPr="00C94C33" w:rsidRDefault="00DF61BC" w:rsidP="002C0F7C">
            <w:pPr>
              <w:pStyle w:val="Tabletext"/>
              <w:jc w:val="center"/>
              <w:rPr>
                <w:lang w:eastAsia="en-AU"/>
              </w:rPr>
            </w:pPr>
            <w:r w:rsidRPr="00C94C33">
              <w:rPr>
                <w:lang w:eastAsia="en-AU"/>
              </w:rPr>
              <w:t>425.39</w:t>
            </w:r>
          </w:p>
        </w:tc>
        <w:tc>
          <w:tcPr>
            <w:tcW w:w="2077" w:type="dxa"/>
            <w:tcBorders>
              <w:top w:val="single" w:sz="7" w:space="0" w:color="000000"/>
              <w:left w:val="single" w:sz="6" w:space="0" w:color="000000"/>
              <w:bottom w:val="single" w:sz="7" w:space="0" w:color="000000"/>
              <w:right w:val="single" w:sz="6" w:space="0" w:color="000000"/>
            </w:tcBorders>
          </w:tcPr>
          <w:p w14:paraId="0C5E21FA" w14:textId="77777777" w:rsidR="00DF61BC" w:rsidRPr="00C94C33" w:rsidRDefault="00DF61BC" w:rsidP="002C0F7C">
            <w:pPr>
              <w:pStyle w:val="Tabletext"/>
              <w:jc w:val="center"/>
              <w:rPr>
                <w:lang w:eastAsia="en-AU"/>
              </w:rPr>
            </w:pPr>
            <w:r w:rsidRPr="00C94C33">
              <w:rPr>
                <w:lang w:eastAsia="en-AU"/>
              </w:rPr>
              <w:t>442.94</w:t>
            </w:r>
          </w:p>
        </w:tc>
        <w:tc>
          <w:tcPr>
            <w:tcW w:w="1265" w:type="dxa"/>
            <w:tcBorders>
              <w:top w:val="single" w:sz="7" w:space="0" w:color="000000"/>
              <w:left w:val="single" w:sz="6" w:space="0" w:color="000000"/>
              <w:bottom w:val="single" w:sz="7" w:space="0" w:color="000000"/>
              <w:right w:val="single" w:sz="6" w:space="0" w:color="000000"/>
            </w:tcBorders>
          </w:tcPr>
          <w:p w14:paraId="124A311E" w14:textId="77777777" w:rsidR="00DF61BC" w:rsidRPr="00C94C33" w:rsidRDefault="00DF61BC" w:rsidP="002C0F7C">
            <w:pPr>
              <w:pStyle w:val="Tabletext"/>
              <w:jc w:val="center"/>
              <w:rPr>
                <w:lang w:eastAsia="en-AU"/>
              </w:rPr>
            </w:pPr>
            <w:r w:rsidRPr="00C94C33">
              <w:rPr>
                <w:lang w:eastAsia="en-AU"/>
              </w:rPr>
              <w:t>0.960</w:t>
            </w:r>
          </w:p>
        </w:tc>
        <w:tc>
          <w:tcPr>
            <w:tcW w:w="1518" w:type="dxa"/>
            <w:tcBorders>
              <w:top w:val="single" w:sz="7" w:space="0" w:color="000000"/>
              <w:left w:val="single" w:sz="6" w:space="0" w:color="000000"/>
              <w:bottom w:val="single" w:sz="7" w:space="0" w:color="000000"/>
              <w:right w:val="single" w:sz="6" w:space="0" w:color="000000"/>
            </w:tcBorders>
          </w:tcPr>
          <w:p w14:paraId="434AFAD7" w14:textId="77777777" w:rsidR="00DF61BC" w:rsidRPr="00C94C33" w:rsidRDefault="00DF61BC" w:rsidP="002C0F7C">
            <w:pPr>
              <w:pStyle w:val="Tabletext"/>
              <w:jc w:val="center"/>
              <w:rPr>
                <w:lang w:eastAsia="en-AU"/>
              </w:rPr>
            </w:pPr>
            <w:r w:rsidRPr="00C94C33">
              <w:rPr>
                <w:lang w:eastAsia="en-AU"/>
              </w:rPr>
              <w:t>(0.859 - 1.073)</w:t>
            </w:r>
          </w:p>
        </w:tc>
      </w:tr>
      <w:tr w:rsidR="00DF61BC" w:rsidRPr="00C94C33" w14:paraId="727E40FA" w14:textId="77777777" w:rsidTr="002C0F7C">
        <w:trPr>
          <w:trHeight w:val="20"/>
        </w:trPr>
        <w:tc>
          <w:tcPr>
            <w:tcW w:w="2178" w:type="dxa"/>
            <w:tcBorders>
              <w:top w:val="single" w:sz="7" w:space="0" w:color="000000"/>
              <w:left w:val="single" w:sz="6" w:space="0" w:color="000000"/>
              <w:bottom w:val="single" w:sz="7" w:space="0" w:color="000000"/>
              <w:right w:val="single" w:sz="6" w:space="0" w:color="000000"/>
            </w:tcBorders>
          </w:tcPr>
          <w:p w14:paraId="633CE8D3" w14:textId="77777777" w:rsidR="00DF61BC" w:rsidRPr="00C94C33" w:rsidRDefault="00DF61BC" w:rsidP="002C0F7C">
            <w:pPr>
              <w:pStyle w:val="Tabletext"/>
              <w:jc w:val="center"/>
              <w:rPr>
                <w:lang w:eastAsia="en-AU"/>
              </w:rPr>
            </w:pPr>
            <w:r w:rsidRPr="00C94C33">
              <w:rPr>
                <w:lang w:eastAsia="en-AU"/>
              </w:rPr>
              <w:t>C</w:t>
            </w:r>
            <w:r w:rsidRPr="00C94C33">
              <w:rPr>
                <w:position w:val="-3"/>
                <w:lang w:eastAsia="en-AU"/>
              </w:rPr>
              <w:t>max</w:t>
            </w:r>
            <w:r w:rsidRPr="00C94C33">
              <w:rPr>
                <w:spacing w:val="15"/>
                <w:position w:val="-3"/>
                <w:lang w:eastAsia="en-AU"/>
              </w:rPr>
              <w:t xml:space="preserve"> </w:t>
            </w:r>
            <w:r w:rsidRPr="00C94C33">
              <w:rPr>
                <w:lang w:eastAsia="en-AU"/>
              </w:rPr>
              <w:t>(ng/mL)</w:t>
            </w:r>
          </w:p>
        </w:tc>
        <w:tc>
          <w:tcPr>
            <w:tcW w:w="2070" w:type="dxa"/>
            <w:tcBorders>
              <w:top w:val="single" w:sz="7" w:space="0" w:color="000000"/>
              <w:left w:val="single" w:sz="6" w:space="0" w:color="000000"/>
              <w:bottom w:val="single" w:sz="7" w:space="0" w:color="000000"/>
              <w:right w:val="single" w:sz="6" w:space="0" w:color="000000"/>
            </w:tcBorders>
          </w:tcPr>
          <w:p w14:paraId="32BCD446" w14:textId="77777777" w:rsidR="00DF61BC" w:rsidRPr="00C94C33" w:rsidRDefault="00DF61BC" w:rsidP="002C0F7C">
            <w:pPr>
              <w:pStyle w:val="Tabletext"/>
              <w:jc w:val="center"/>
              <w:rPr>
                <w:lang w:eastAsia="en-AU"/>
              </w:rPr>
            </w:pPr>
            <w:r w:rsidRPr="00C94C33">
              <w:rPr>
                <w:lang w:eastAsia="en-AU"/>
              </w:rPr>
              <w:t>96.84</w:t>
            </w:r>
          </w:p>
        </w:tc>
        <w:tc>
          <w:tcPr>
            <w:tcW w:w="2077" w:type="dxa"/>
            <w:tcBorders>
              <w:top w:val="single" w:sz="7" w:space="0" w:color="000000"/>
              <w:left w:val="single" w:sz="6" w:space="0" w:color="000000"/>
              <w:bottom w:val="single" w:sz="7" w:space="0" w:color="000000"/>
              <w:right w:val="single" w:sz="6" w:space="0" w:color="000000"/>
            </w:tcBorders>
          </w:tcPr>
          <w:p w14:paraId="1128514E" w14:textId="77777777" w:rsidR="00DF61BC" w:rsidRPr="00C94C33" w:rsidRDefault="00DF61BC" w:rsidP="002C0F7C">
            <w:pPr>
              <w:pStyle w:val="Tabletext"/>
              <w:jc w:val="center"/>
              <w:rPr>
                <w:lang w:eastAsia="en-AU"/>
              </w:rPr>
            </w:pPr>
            <w:r w:rsidRPr="00C94C33">
              <w:rPr>
                <w:lang w:eastAsia="en-AU"/>
              </w:rPr>
              <w:t>95.74</w:t>
            </w:r>
          </w:p>
        </w:tc>
        <w:tc>
          <w:tcPr>
            <w:tcW w:w="1265" w:type="dxa"/>
            <w:tcBorders>
              <w:top w:val="single" w:sz="7" w:space="0" w:color="000000"/>
              <w:left w:val="single" w:sz="6" w:space="0" w:color="000000"/>
              <w:bottom w:val="single" w:sz="7" w:space="0" w:color="000000"/>
              <w:right w:val="single" w:sz="6" w:space="0" w:color="000000"/>
            </w:tcBorders>
          </w:tcPr>
          <w:p w14:paraId="52C3E8F0" w14:textId="77777777" w:rsidR="00DF61BC" w:rsidRPr="00C94C33" w:rsidRDefault="00DF61BC" w:rsidP="002C0F7C">
            <w:pPr>
              <w:pStyle w:val="Tabletext"/>
              <w:jc w:val="center"/>
              <w:rPr>
                <w:lang w:eastAsia="en-AU"/>
              </w:rPr>
            </w:pPr>
            <w:r w:rsidRPr="00C94C33">
              <w:rPr>
                <w:lang w:eastAsia="en-AU"/>
              </w:rPr>
              <w:t>1.012</w:t>
            </w:r>
          </w:p>
        </w:tc>
        <w:tc>
          <w:tcPr>
            <w:tcW w:w="1518" w:type="dxa"/>
            <w:tcBorders>
              <w:top w:val="single" w:sz="7" w:space="0" w:color="000000"/>
              <w:left w:val="single" w:sz="6" w:space="0" w:color="000000"/>
              <w:bottom w:val="single" w:sz="7" w:space="0" w:color="000000"/>
              <w:right w:val="single" w:sz="6" w:space="0" w:color="000000"/>
            </w:tcBorders>
          </w:tcPr>
          <w:p w14:paraId="40CC2397" w14:textId="77777777" w:rsidR="00DF61BC" w:rsidRPr="00C94C33" w:rsidRDefault="00DF61BC" w:rsidP="002C0F7C">
            <w:pPr>
              <w:pStyle w:val="Tabletext"/>
              <w:jc w:val="center"/>
              <w:rPr>
                <w:lang w:eastAsia="en-AU"/>
              </w:rPr>
            </w:pPr>
            <w:r w:rsidRPr="00C94C33">
              <w:rPr>
                <w:lang w:eastAsia="en-AU"/>
              </w:rPr>
              <w:t>(0.885 - 1.156)</w:t>
            </w:r>
          </w:p>
        </w:tc>
      </w:tr>
      <w:tr w:rsidR="00DF61BC" w:rsidRPr="00C94C33" w14:paraId="3117A114" w14:textId="77777777" w:rsidTr="002C0F7C">
        <w:trPr>
          <w:trHeight w:val="20"/>
        </w:trPr>
        <w:tc>
          <w:tcPr>
            <w:tcW w:w="2178" w:type="dxa"/>
            <w:tcBorders>
              <w:top w:val="single" w:sz="7" w:space="0" w:color="000000"/>
              <w:left w:val="single" w:sz="6" w:space="0" w:color="000000"/>
              <w:bottom w:val="single" w:sz="18" w:space="0" w:color="000000"/>
              <w:right w:val="single" w:sz="6" w:space="0" w:color="000000"/>
            </w:tcBorders>
          </w:tcPr>
          <w:p w14:paraId="708FB0F3" w14:textId="77777777" w:rsidR="00DF61BC" w:rsidRPr="00C94C33" w:rsidRDefault="00DF61BC" w:rsidP="002C0F7C">
            <w:pPr>
              <w:pStyle w:val="Tabletext"/>
              <w:jc w:val="center"/>
              <w:rPr>
                <w:lang w:eastAsia="en-AU"/>
              </w:rPr>
            </w:pPr>
            <w:r w:rsidRPr="00C94C33">
              <w:rPr>
                <w:lang w:eastAsia="en-AU"/>
              </w:rPr>
              <w:t>AUC</w:t>
            </w:r>
            <w:r w:rsidRPr="00C94C33">
              <w:rPr>
                <w:position w:val="-3"/>
                <w:lang w:eastAsia="en-AU"/>
              </w:rPr>
              <w:t>0-inf</w:t>
            </w:r>
            <w:r w:rsidRPr="00C94C33">
              <w:rPr>
                <w:spacing w:val="15"/>
                <w:position w:val="-3"/>
                <w:lang w:eastAsia="en-AU"/>
              </w:rPr>
              <w:t xml:space="preserve"> </w:t>
            </w:r>
            <w:r w:rsidRPr="00C94C33">
              <w:rPr>
                <w:lang w:eastAsia="en-AU"/>
              </w:rPr>
              <w:t>(ng*hr/mL)</w:t>
            </w:r>
          </w:p>
        </w:tc>
        <w:tc>
          <w:tcPr>
            <w:tcW w:w="2070" w:type="dxa"/>
            <w:tcBorders>
              <w:top w:val="single" w:sz="7" w:space="0" w:color="000000"/>
              <w:left w:val="single" w:sz="6" w:space="0" w:color="000000"/>
              <w:bottom w:val="single" w:sz="18" w:space="0" w:color="000000"/>
              <w:right w:val="single" w:sz="6" w:space="0" w:color="000000"/>
            </w:tcBorders>
          </w:tcPr>
          <w:p w14:paraId="53845D7A" w14:textId="77777777" w:rsidR="00DF61BC" w:rsidRPr="00C94C33" w:rsidRDefault="00DF61BC" w:rsidP="002C0F7C">
            <w:pPr>
              <w:pStyle w:val="Tabletext"/>
              <w:jc w:val="center"/>
              <w:rPr>
                <w:lang w:eastAsia="en-AU"/>
              </w:rPr>
            </w:pPr>
            <w:r w:rsidRPr="00C94C33">
              <w:rPr>
                <w:lang w:eastAsia="en-AU"/>
              </w:rPr>
              <w:t>448.45</w:t>
            </w:r>
          </w:p>
        </w:tc>
        <w:tc>
          <w:tcPr>
            <w:tcW w:w="2077" w:type="dxa"/>
            <w:tcBorders>
              <w:top w:val="single" w:sz="7" w:space="0" w:color="000000"/>
              <w:left w:val="single" w:sz="6" w:space="0" w:color="000000"/>
              <w:bottom w:val="single" w:sz="18" w:space="0" w:color="000000"/>
              <w:right w:val="single" w:sz="6" w:space="0" w:color="000000"/>
            </w:tcBorders>
          </w:tcPr>
          <w:p w14:paraId="1802ED43" w14:textId="77777777" w:rsidR="00DF61BC" w:rsidRPr="00C94C33" w:rsidRDefault="00DF61BC" w:rsidP="002C0F7C">
            <w:pPr>
              <w:pStyle w:val="Tabletext"/>
              <w:jc w:val="center"/>
              <w:rPr>
                <w:lang w:eastAsia="en-AU"/>
              </w:rPr>
            </w:pPr>
            <w:r w:rsidRPr="00C94C33">
              <w:rPr>
                <w:lang w:eastAsia="en-AU"/>
              </w:rPr>
              <w:t>457.82</w:t>
            </w:r>
          </w:p>
        </w:tc>
        <w:tc>
          <w:tcPr>
            <w:tcW w:w="1265" w:type="dxa"/>
            <w:tcBorders>
              <w:top w:val="single" w:sz="7" w:space="0" w:color="000000"/>
              <w:left w:val="single" w:sz="6" w:space="0" w:color="000000"/>
              <w:bottom w:val="single" w:sz="18" w:space="0" w:color="000000"/>
              <w:right w:val="single" w:sz="6" w:space="0" w:color="000000"/>
            </w:tcBorders>
          </w:tcPr>
          <w:p w14:paraId="4354D1F2" w14:textId="77777777" w:rsidR="00DF61BC" w:rsidRPr="00C94C33" w:rsidRDefault="00DF61BC" w:rsidP="002C0F7C">
            <w:pPr>
              <w:pStyle w:val="Tabletext"/>
              <w:jc w:val="center"/>
              <w:rPr>
                <w:lang w:eastAsia="en-AU"/>
              </w:rPr>
            </w:pPr>
            <w:r w:rsidRPr="00C94C33">
              <w:rPr>
                <w:lang w:eastAsia="en-AU"/>
              </w:rPr>
              <w:t>0.980</w:t>
            </w:r>
          </w:p>
        </w:tc>
        <w:tc>
          <w:tcPr>
            <w:tcW w:w="1518" w:type="dxa"/>
            <w:tcBorders>
              <w:top w:val="single" w:sz="7" w:space="0" w:color="000000"/>
              <w:left w:val="single" w:sz="6" w:space="0" w:color="000000"/>
              <w:bottom w:val="single" w:sz="18" w:space="0" w:color="000000"/>
              <w:right w:val="single" w:sz="6" w:space="0" w:color="000000"/>
            </w:tcBorders>
          </w:tcPr>
          <w:p w14:paraId="28070A01" w14:textId="77777777" w:rsidR="00DF61BC" w:rsidRPr="00C94C33" w:rsidRDefault="00DF61BC" w:rsidP="002C0F7C">
            <w:pPr>
              <w:pStyle w:val="Tabletext"/>
              <w:jc w:val="center"/>
              <w:rPr>
                <w:lang w:eastAsia="en-AU"/>
              </w:rPr>
            </w:pPr>
            <w:r w:rsidRPr="00C94C33">
              <w:rPr>
                <w:lang w:eastAsia="en-AU"/>
              </w:rPr>
              <w:t>(0.865 - 1.109)</w:t>
            </w:r>
          </w:p>
        </w:tc>
      </w:tr>
      <w:tr w:rsidR="00DF61BC" w:rsidRPr="00C94C33" w14:paraId="30517D6A" w14:textId="77777777" w:rsidTr="002C0F7C">
        <w:trPr>
          <w:trHeight w:hRule="exact" w:val="624"/>
        </w:trPr>
        <w:tc>
          <w:tcPr>
            <w:tcW w:w="2178" w:type="dxa"/>
            <w:tcBorders>
              <w:top w:val="single" w:sz="18" w:space="0" w:color="000000"/>
              <w:left w:val="single" w:sz="6" w:space="0" w:color="000000"/>
              <w:bottom w:val="single" w:sz="7" w:space="0" w:color="000000"/>
              <w:right w:val="single" w:sz="6" w:space="0" w:color="000000"/>
            </w:tcBorders>
          </w:tcPr>
          <w:p w14:paraId="728B5880" w14:textId="77777777" w:rsidR="00DF61BC" w:rsidRPr="00C94C33" w:rsidRDefault="00DF61BC" w:rsidP="002C0F7C">
            <w:pPr>
              <w:pStyle w:val="TableHeading"/>
              <w:rPr>
                <w:lang w:eastAsia="en-AU"/>
              </w:rPr>
            </w:pPr>
            <w:r w:rsidRPr="00C94C33">
              <w:rPr>
                <w:lang w:eastAsia="en-AU"/>
              </w:rPr>
              <w:t>5-trifluoromethy uracil (FTY)</w:t>
            </w:r>
          </w:p>
        </w:tc>
        <w:tc>
          <w:tcPr>
            <w:tcW w:w="2070" w:type="dxa"/>
            <w:tcBorders>
              <w:top w:val="single" w:sz="18" w:space="0" w:color="000000"/>
              <w:left w:val="single" w:sz="6" w:space="0" w:color="000000"/>
              <w:bottom w:val="single" w:sz="7" w:space="0" w:color="000000"/>
              <w:right w:val="single" w:sz="6" w:space="0" w:color="000000"/>
            </w:tcBorders>
          </w:tcPr>
          <w:p w14:paraId="66CF1757" w14:textId="77777777" w:rsidR="00DF61BC" w:rsidRPr="00C94C33" w:rsidRDefault="00DF61BC" w:rsidP="002C0F7C">
            <w:pPr>
              <w:pStyle w:val="TableHeading"/>
              <w:rPr>
                <w:lang w:eastAsia="en-AU"/>
              </w:rPr>
            </w:pPr>
          </w:p>
        </w:tc>
        <w:tc>
          <w:tcPr>
            <w:tcW w:w="2077" w:type="dxa"/>
            <w:tcBorders>
              <w:top w:val="single" w:sz="18" w:space="0" w:color="000000"/>
              <w:left w:val="single" w:sz="6" w:space="0" w:color="000000"/>
              <w:bottom w:val="single" w:sz="7" w:space="0" w:color="000000"/>
              <w:right w:val="single" w:sz="6" w:space="0" w:color="000000"/>
            </w:tcBorders>
          </w:tcPr>
          <w:p w14:paraId="31BF53BA" w14:textId="77777777" w:rsidR="00DF61BC" w:rsidRPr="00C94C33" w:rsidRDefault="00DF61BC" w:rsidP="002C0F7C">
            <w:pPr>
              <w:pStyle w:val="TableHeading"/>
              <w:rPr>
                <w:lang w:eastAsia="en-AU"/>
              </w:rPr>
            </w:pPr>
          </w:p>
        </w:tc>
        <w:tc>
          <w:tcPr>
            <w:tcW w:w="1265" w:type="dxa"/>
            <w:tcBorders>
              <w:top w:val="single" w:sz="18" w:space="0" w:color="000000"/>
              <w:left w:val="single" w:sz="6" w:space="0" w:color="000000"/>
              <w:bottom w:val="single" w:sz="7" w:space="0" w:color="000000"/>
              <w:right w:val="single" w:sz="6" w:space="0" w:color="000000"/>
            </w:tcBorders>
          </w:tcPr>
          <w:p w14:paraId="13FBC85C" w14:textId="77777777" w:rsidR="00DF61BC" w:rsidRPr="00C94C33" w:rsidRDefault="00DF61BC" w:rsidP="002C0F7C">
            <w:pPr>
              <w:pStyle w:val="TableHeading"/>
              <w:rPr>
                <w:lang w:eastAsia="en-AU"/>
              </w:rPr>
            </w:pPr>
          </w:p>
        </w:tc>
        <w:tc>
          <w:tcPr>
            <w:tcW w:w="1518" w:type="dxa"/>
            <w:tcBorders>
              <w:top w:val="single" w:sz="18" w:space="0" w:color="000000"/>
              <w:left w:val="single" w:sz="6" w:space="0" w:color="000000"/>
              <w:bottom w:val="single" w:sz="7" w:space="0" w:color="000000"/>
              <w:right w:val="single" w:sz="6" w:space="0" w:color="000000"/>
            </w:tcBorders>
          </w:tcPr>
          <w:p w14:paraId="3D423755" w14:textId="77777777" w:rsidR="00DF61BC" w:rsidRPr="00C94C33" w:rsidRDefault="00DF61BC" w:rsidP="002C0F7C">
            <w:pPr>
              <w:pStyle w:val="TableHeading"/>
              <w:rPr>
                <w:lang w:eastAsia="en-AU"/>
              </w:rPr>
            </w:pPr>
          </w:p>
        </w:tc>
      </w:tr>
      <w:tr w:rsidR="00DF61BC" w:rsidRPr="00C94C33" w14:paraId="33D0595C" w14:textId="77777777" w:rsidTr="002C0F7C">
        <w:trPr>
          <w:trHeight w:val="20"/>
        </w:trPr>
        <w:tc>
          <w:tcPr>
            <w:tcW w:w="2178" w:type="dxa"/>
            <w:tcBorders>
              <w:top w:val="single" w:sz="7" w:space="0" w:color="000000"/>
              <w:left w:val="single" w:sz="6" w:space="0" w:color="000000"/>
              <w:bottom w:val="single" w:sz="7" w:space="0" w:color="000000"/>
              <w:right w:val="single" w:sz="6" w:space="0" w:color="000000"/>
            </w:tcBorders>
          </w:tcPr>
          <w:p w14:paraId="41451490" w14:textId="77777777" w:rsidR="00DF61BC" w:rsidRPr="00C94C33" w:rsidRDefault="00DF61BC" w:rsidP="002C0F7C">
            <w:pPr>
              <w:pStyle w:val="Tabletext"/>
              <w:jc w:val="center"/>
              <w:rPr>
                <w:lang w:eastAsia="en-AU"/>
              </w:rPr>
            </w:pPr>
            <w:r w:rsidRPr="00C94C33">
              <w:rPr>
                <w:lang w:eastAsia="en-AU"/>
              </w:rPr>
              <w:t>AUC</w:t>
            </w:r>
            <w:r w:rsidRPr="00C94C33">
              <w:rPr>
                <w:position w:val="-3"/>
                <w:lang w:eastAsia="en-AU"/>
              </w:rPr>
              <w:t>0-last</w:t>
            </w:r>
            <w:r w:rsidRPr="00C94C33">
              <w:rPr>
                <w:spacing w:val="-4"/>
                <w:position w:val="-3"/>
                <w:lang w:eastAsia="en-AU"/>
              </w:rPr>
              <w:t xml:space="preserve"> </w:t>
            </w:r>
            <w:r w:rsidRPr="00C94C33">
              <w:rPr>
                <w:lang w:eastAsia="en-AU"/>
              </w:rPr>
              <w:t>(ng*hr/mL)</w:t>
            </w:r>
          </w:p>
        </w:tc>
        <w:tc>
          <w:tcPr>
            <w:tcW w:w="2070" w:type="dxa"/>
            <w:tcBorders>
              <w:top w:val="single" w:sz="7" w:space="0" w:color="000000"/>
              <w:left w:val="single" w:sz="6" w:space="0" w:color="000000"/>
              <w:bottom w:val="single" w:sz="7" w:space="0" w:color="000000"/>
              <w:right w:val="single" w:sz="6" w:space="0" w:color="000000"/>
            </w:tcBorders>
          </w:tcPr>
          <w:p w14:paraId="1232B5FA" w14:textId="77777777" w:rsidR="00DF61BC" w:rsidRPr="00C94C33" w:rsidRDefault="00DF61BC" w:rsidP="002C0F7C">
            <w:pPr>
              <w:pStyle w:val="Tabletext"/>
              <w:jc w:val="center"/>
              <w:rPr>
                <w:lang w:eastAsia="en-AU"/>
              </w:rPr>
            </w:pPr>
            <w:r w:rsidRPr="00C94C33">
              <w:rPr>
                <w:lang w:eastAsia="en-AU"/>
              </w:rPr>
              <w:t>3145.52</w:t>
            </w:r>
          </w:p>
        </w:tc>
        <w:tc>
          <w:tcPr>
            <w:tcW w:w="2077" w:type="dxa"/>
            <w:tcBorders>
              <w:top w:val="single" w:sz="7" w:space="0" w:color="000000"/>
              <w:left w:val="single" w:sz="6" w:space="0" w:color="000000"/>
              <w:bottom w:val="single" w:sz="7" w:space="0" w:color="000000"/>
              <w:right w:val="single" w:sz="6" w:space="0" w:color="000000"/>
            </w:tcBorders>
          </w:tcPr>
          <w:p w14:paraId="3E7BED3F" w14:textId="77777777" w:rsidR="00DF61BC" w:rsidRPr="00C94C33" w:rsidRDefault="00DF61BC" w:rsidP="002C0F7C">
            <w:pPr>
              <w:pStyle w:val="Tabletext"/>
              <w:jc w:val="center"/>
              <w:rPr>
                <w:lang w:eastAsia="en-AU"/>
              </w:rPr>
            </w:pPr>
            <w:r w:rsidRPr="00C94C33">
              <w:rPr>
                <w:lang w:eastAsia="en-AU"/>
              </w:rPr>
              <w:t>3127.11</w:t>
            </w:r>
          </w:p>
        </w:tc>
        <w:tc>
          <w:tcPr>
            <w:tcW w:w="1265" w:type="dxa"/>
            <w:tcBorders>
              <w:top w:val="single" w:sz="7" w:space="0" w:color="000000"/>
              <w:left w:val="single" w:sz="6" w:space="0" w:color="000000"/>
              <w:bottom w:val="single" w:sz="7" w:space="0" w:color="000000"/>
              <w:right w:val="single" w:sz="6" w:space="0" w:color="000000"/>
            </w:tcBorders>
          </w:tcPr>
          <w:p w14:paraId="334950EB" w14:textId="77777777" w:rsidR="00DF61BC" w:rsidRPr="00C94C33" w:rsidRDefault="00DF61BC" w:rsidP="002C0F7C">
            <w:pPr>
              <w:pStyle w:val="Tabletext"/>
              <w:jc w:val="center"/>
              <w:rPr>
                <w:lang w:eastAsia="en-AU"/>
              </w:rPr>
            </w:pPr>
            <w:r w:rsidRPr="00C94C33">
              <w:rPr>
                <w:lang w:eastAsia="en-AU"/>
              </w:rPr>
              <w:t>1.006</w:t>
            </w:r>
          </w:p>
        </w:tc>
        <w:tc>
          <w:tcPr>
            <w:tcW w:w="1518" w:type="dxa"/>
            <w:tcBorders>
              <w:top w:val="single" w:sz="7" w:space="0" w:color="000000"/>
              <w:left w:val="single" w:sz="6" w:space="0" w:color="000000"/>
              <w:bottom w:val="single" w:sz="7" w:space="0" w:color="000000"/>
              <w:right w:val="single" w:sz="6" w:space="0" w:color="000000"/>
            </w:tcBorders>
          </w:tcPr>
          <w:p w14:paraId="1EB228B5" w14:textId="77777777" w:rsidR="00DF61BC" w:rsidRPr="00C94C33" w:rsidRDefault="00DF61BC" w:rsidP="002C0F7C">
            <w:pPr>
              <w:pStyle w:val="Tabletext"/>
              <w:jc w:val="center"/>
              <w:rPr>
                <w:lang w:eastAsia="en-AU"/>
              </w:rPr>
            </w:pPr>
            <w:r w:rsidRPr="00C94C33">
              <w:rPr>
                <w:lang w:eastAsia="en-AU"/>
              </w:rPr>
              <w:t>(0.959</w:t>
            </w:r>
            <w:r w:rsidRPr="00C94C33">
              <w:rPr>
                <w:spacing w:val="1"/>
                <w:lang w:eastAsia="en-AU"/>
              </w:rPr>
              <w:t xml:space="preserve"> </w:t>
            </w:r>
            <w:r w:rsidRPr="00C94C33">
              <w:rPr>
                <w:lang w:eastAsia="en-AU"/>
              </w:rPr>
              <w:t>- 1.055)</w:t>
            </w:r>
          </w:p>
        </w:tc>
      </w:tr>
      <w:tr w:rsidR="00DF61BC" w:rsidRPr="00C94C33" w14:paraId="69EC1D25" w14:textId="77777777" w:rsidTr="002C0F7C">
        <w:trPr>
          <w:trHeight w:val="20"/>
        </w:trPr>
        <w:tc>
          <w:tcPr>
            <w:tcW w:w="2178" w:type="dxa"/>
            <w:tcBorders>
              <w:top w:val="single" w:sz="7" w:space="0" w:color="000000"/>
              <w:left w:val="single" w:sz="6" w:space="0" w:color="000000"/>
              <w:bottom w:val="single" w:sz="7" w:space="0" w:color="000000"/>
              <w:right w:val="single" w:sz="6" w:space="0" w:color="000000"/>
            </w:tcBorders>
          </w:tcPr>
          <w:p w14:paraId="5B00DB56" w14:textId="77777777" w:rsidR="00DF61BC" w:rsidRPr="00C94C33" w:rsidRDefault="00DF61BC" w:rsidP="002C0F7C">
            <w:pPr>
              <w:pStyle w:val="Tabletext"/>
              <w:jc w:val="center"/>
              <w:rPr>
                <w:lang w:eastAsia="en-AU"/>
              </w:rPr>
            </w:pPr>
            <w:r w:rsidRPr="00C94C33">
              <w:rPr>
                <w:lang w:eastAsia="en-AU"/>
              </w:rPr>
              <w:t>C</w:t>
            </w:r>
            <w:r w:rsidRPr="00C94C33">
              <w:rPr>
                <w:position w:val="-3"/>
                <w:lang w:eastAsia="en-AU"/>
              </w:rPr>
              <w:t>max</w:t>
            </w:r>
            <w:r w:rsidRPr="00C94C33">
              <w:rPr>
                <w:spacing w:val="15"/>
                <w:position w:val="-3"/>
                <w:lang w:eastAsia="en-AU"/>
              </w:rPr>
              <w:t xml:space="preserve"> </w:t>
            </w:r>
            <w:r w:rsidRPr="00C94C33">
              <w:rPr>
                <w:lang w:eastAsia="en-AU"/>
              </w:rPr>
              <w:t>(ng/mL)</w:t>
            </w:r>
          </w:p>
        </w:tc>
        <w:tc>
          <w:tcPr>
            <w:tcW w:w="2070" w:type="dxa"/>
            <w:tcBorders>
              <w:top w:val="single" w:sz="7" w:space="0" w:color="000000"/>
              <w:left w:val="single" w:sz="6" w:space="0" w:color="000000"/>
              <w:bottom w:val="single" w:sz="7" w:space="0" w:color="000000"/>
              <w:right w:val="single" w:sz="6" w:space="0" w:color="000000"/>
            </w:tcBorders>
          </w:tcPr>
          <w:p w14:paraId="4AEB65EE" w14:textId="77777777" w:rsidR="00DF61BC" w:rsidRPr="00C94C33" w:rsidRDefault="00DF61BC" w:rsidP="002C0F7C">
            <w:pPr>
              <w:pStyle w:val="Tabletext"/>
              <w:jc w:val="center"/>
              <w:rPr>
                <w:lang w:eastAsia="en-AU"/>
              </w:rPr>
            </w:pPr>
            <w:r w:rsidRPr="00C94C33">
              <w:rPr>
                <w:lang w:eastAsia="en-AU"/>
              </w:rPr>
              <w:t>924.74</w:t>
            </w:r>
          </w:p>
        </w:tc>
        <w:tc>
          <w:tcPr>
            <w:tcW w:w="2077" w:type="dxa"/>
            <w:tcBorders>
              <w:top w:val="single" w:sz="7" w:space="0" w:color="000000"/>
              <w:left w:val="single" w:sz="6" w:space="0" w:color="000000"/>
              <w:bottom w:val="single" w:sz="7" w:space="0" w:color="000000"/>
              <w:right w:val="single" w:sz="6" w:space="0" w:color="000000"/>
            </w:tcBorders>
          </w:tcPr>
          <w:p w14:paraId="43B246AF" w14:textId="77777777" w:rsidR="00DF61BC" w:rsidRPr="00C94C33" w:rsidRDefault="00DF61BC" w:rsidP="002C0F7C">
            <w:pPr>
              <w:pStyle w:val="Tabletext"/>
              <w:jc w:val="center"/>
              <w:rPr>
                <w:lang w:eastAsia="en-AU"/>
              </w:rPr>
            </w:pPr>
            <w:r w:rsidRPr="00C94C33">
              <w:rPr>
                <w:lang w:eastAsia="en-AU"/>
              </w:rPr>
              <w:t>988.14</w:t>
            </w:r>
          </w:p>
        </w:tc>
        <w:tc>
          <w:tcPr>
            <w:tcW w:w="1265" w:type="dxa"/>
            <w:tcBorders>
              <w:top w:val="single" w:sz="7" w:space="0" w:color="000000"/>
              <w:left w:val="single" w:sz="6" w:space="0" w:color="000000"/>
              <w:bottom w:val="single" w:sz="7" w:space="0" w:color="000000"/>
              <w:right w:val="single" w:sz="6" w:space="0" w:color="000000"/>
            </w:tcBorders>
          </w:tcPr>
          <w:p w14:paraId="294E7EA5" w14:textId="77777777" w:rsidR="00DF61BC" w:rsidRPr="00C94C33" w:rsidRDefault="00DF61BC" w:rsidP="002C0F7C">
            <w:pPr>
              <w:pStyle w:val="Tabletext"/>
              <w:jc w:val="center"/>
              <w:rPr>
                <w:lang w:eastAsia="en-AU"/>
              </w:rPr>
            </w:pPr>
            <w:r w:rsidRPr="00C94C33">
              <w:rPr>
                <w:lang w:eastAsia="en-AU"/>
              </w:rPr>
              <w:t>0.936</w:t>
            </w:r>
          </w:p>
        </w:tc>
        <w:tc>
          <w:tcPr>
            <w:tcW w:w="1518" w:type="dxa"/>
            <w:tcBorders>
              <w:top w:val="single" w:sz="7" w:space="0" w:color="000000"/>
              <w:left w:val="single" w:sz="6" w:space="0" w:color="000000"/>
              <w:bottom w:val="single" w:sz="7" w:space="0" w:color="000000"/>
              <w:right w:val="single" w:sz="6" w:space="0" w:color="000000"/>
            </w:tcBorders>
          </w:tcPr>
          <w:p w14:paraId="435D35F7" w14:textId="77777777" w:rsidR="00DF61BC" w:rsidRPr="00C94C33" w:rsidRDefault="00DF61BC" w:rsidP="002C0F7C">
            <w:pPr>
              <w:pStyle w:val="Tabletext"/>
              <w:jc w:val="center"/>
              <w:rPr>
                <w:lang w:eastAsia="en-AU"/>
              </w:rPr>
            </w:pPr>
            <w:r w:rsidRPr="00C94C33">
              <w:rPr>
                <w:lang w:eastAsia="en-AU"/>
              </w:rPr>
              <w:t>(0.881 - 0.994)</w:t>
            </w:r>
          </w:p>
        </w:tc>
      </w:tr>
      <w:tr w:rsidR="00DF61BC" w:rsidRPr="00C94C33" w14:paraId="74086191" w14:textId="77777777" w:rsidTr="002C0F7C">
        <w:trPr>
          <w:trHeight w:val="20"/>
        </w:trPr>
        <w:tc>
          <w:tcPr>
            <w:tcW w:w="2178" w:type="dxa"/>
            <w:tcBorders>
              <w:top w:val="single" w:sz="7" w:space="0" w:color="000000"/>
              <w:left w:val="single" w:sz="6" w:space="0" w:color="000000"/>
              <w:bottom w:val="single" w:sz="7" w:space="0" w:color="000000"/>
              <w:right w:val="single" w:sz="6" w:space="0" w:color="000000"/>
            </w:tcBorders>
          </w:tcPr>
          <w:p w14:paraId="2226FB2C" w14:textId="77777777" w:rsidR="00DF61BC" w:rsidRPr="00C94C33" w:rsidRDefault="00DF61BC" w:rsidP="002C0F7C">
            <w:pPr>
              <w:pStyle w:val="Tabletext"/>
              <w:jc w:val="center"/>
              <w:rPr>
                <w:lang w:eastAsia="en-AU"/>
              </w:rPr>
            </w:pPr>
            <w:r w:rsidRPr="00C94C33">
              <w:rPr>
                <w:lang w:eastAsia="en-AU"/>
              </w:rPr>
              <w:t>AUC</w:t>
            </w:r>
            <w:r w:rsidRPr="00C94C33">
              <w:rPr>
                <w:position w:val="-3"/>
                <w:lang w:eastAsia="en-AU"/>
              </w:rPr>
              <w:t>0-inf</w:t>
            </w:r>
            <w:r w:rsidRPr="00C94C33">
              <w:rPr>
                <w:spacing w:val="15"/>
                <w:position w:val="-3"/>
                <w:lang w:eastAsia="en-AU"/>
              </w:rPr>
              <w:t xml:space="preserve"> </w:t>
            </w:r>
            <w:r w:rsidRPr="00C94C33">
              <w:rPr>
                <w:lang w:eastAsia="en-AU"/>
              </w:rPr>
              <w:t>(ng*hr/mL)</w:t>
            </w:r>
          </w:p>
        </w:tc>
        <w:tc>
          <w:tcPr>
            <w:tcW w:w="2070" w:type="dxa"/>
            <w:tcBorders>
              <w:top w:val="single" w:sz="7" w:space="0" w:color="000000"/>
              <w:left w:val="single" w:sz="6" w:space="0" w:color="000000"/>
              <w:bottom w:val="single" w:sz="7" w:space="0" w:color="000000"/>
              <w:right w:val="single" w:sz="6" w:space="0" w:color="000000"/>
            </w:tcBorders>
          </w:tcPr>
          <w:p w14:paraId="4C7E7B95" w14:textId="77777777" w:rsidR="00DF61BC" w:rsidRPr="00C94C33" w:rsidRDefault="00DF61BC" w:rsidP="002C0F7C">
            <w:pPr>
              <w:pStyle w:val="Tabletext"/>
              <w:jc w:val="center"/>
              <w:rPr>
                <w:lang w:eastAsia="en-AU"/>
              </w:rPr>
            </w:pPr>
            <w:r w:rsidRPr="00C94C33">
              <w:rPr>
                <w:lang w:eastAsia="en-AU"/>
              </w:rPr>
              <w:t>3226.61</w:t>
            </w:r>
          </w:p>
        </w:tc>
        <w:tc>
          <w:tcPr>
            <w:tcW w:w="2077" w:type="dxa"/>
            <w:tcBorders>
              <w:top w:val="single" w:sz="7" w:space="0" w:color="000000"/>
              <w:left w:val="single" w:sz="6" w:space="0" w:color="000000"/>
              <w:bottom w:val="single" w:sz="7" w:space="0" w:color="000000"/>
              <w:right w:val="single" w:sz="6" w:space="0" w:color="000000"/>
            </w:tcBorders>
          </w:tcPr>
          <w:p w14:paraId="2B57F09A" w14:textId="77777777" w:rsidR="00DF61BC" w:rsidRPr="00C94C33" w:rsidRDefault="00DF61BC" w:rsidP="002C0F7C">
            <w:pPr>
              <w:pStyle w:val="Tabletext"/>
              <w:jc w:val="center"/>
              <w:rPr>
                <w:lang w:eastAsia="en-AU"/>
              </w:rPr>
            </w:pPr>
            <w:r w:rsidRPr="00C94C33">
              <w:rPr>
                <w:lang w:eastAsia="en-AU"/>
              </w:rPr>
              <w:t>3203.54</w:t>
            </w:r>
          </w:p>
        </w:tc>
        <w:tc>
          <w:tcPr>
            <w:tcW w:w="1265" w:type="dxa"/>
            <w:tcBorders>
              <w:top w:val="single" w:sz="7" w:space="0" w:color="000000"/>
              <w:left w:val="single" w:sz="6" w:space="0" w:color="000000"/>
              <w:bottom w:val="single" w:sz="7" w:space="0" w:color="000000"/>
              <w:right w:val="single" w:sz="6" w:space="0" w:color="000000"/>
            </w:tcBorders>
          </w:tcPr>
          <w:p w14:paraId="67B605E1" w14:textId="77777777" w:rsidR="00DF61BC" w:rsidRPr="00C94C33" w:rsidRDefault="00DF61BC" w:rsidP="002C0F7C">
            <w:pPr>
              <w:pStyle w:val="Tabletext"/>
              <w:jc w:val="center"/>
              <w:rPr>
                <w:lang w:eastAsia="en-AU"/>
              </w:rPr>
            </w:pPr>
            <w:r w:rsidRPr="00C94C33">
              <w:rPr>
                <w:lang w:eastAsia="en-AU"/>
              </w:rPr>
              <w:t>1.007</w:t>
            </w:r>
          </w:p>
        </w:tc>
        <w:tc>
          <w:tcPr>
            <w:tcW w:w="1518" w:type="dxa"/>
            <w:tcBorders>
              <w:top w:val="single" w:sz="7" w:space="0" w:color="000000"/>
              <w:left w:val="single" w:sz="6" w:space="0" w:color="000000"/>
              <w:bottom w:val="single" w:sz="7" w:space="0" w:color="000000"/>
              <w:right w:val="single" w:sz="6" w:space="0" w:color="000000"/>
            </w:tcBorders>
          </w:tcPr>
          <w:p w14:paraId="4D0C82F2" w14:textId="77777777" w:rsidR="00DF61BC" w:rsidRPr="00C94C33" w:rsidRDefault="00DF61BC" w:rsidP="002C0F7C">
            <w:pPr>
              <w:pStyle w:val="Tabletext"/>
              <w:jc w:val="center"/>
              <w:rPr>
                <w:lang w:eastAsia="en-AU"/>
              </w:rPr>
            </w:pPr>
            <w:r w:rsidRPr="00C94C33">
              <w:rPr>
                <w:lang w:eastAsia="en-AU"/>
              </w:rPr>
              <w:t>(0.961</w:t>
            </w:r>
            <w:r w:rsidRPr="00C94C33">
              <w:rPr>
                <w:spacing w:val="1"/>
                <w:lang w:eastAsia="en-AU"/>
              </w:rPr>
              <w:t xml:space="preserve"> </w:t>
            </w:r>
            <w:r w:rsidRPr="00C94C33">
              <w:rPr>
                <w:lang w:eastAsia="en-AU"/>
              </w:rPr>
              <w:t>- 1.055)</w:t>
            </w:r>
          </w:p>
        </w:tc>
      </w:tr>
      <w:tr w:rsidR="00DF61BC" w:rsidRPr="00C94C33" w14:paraId="1589DF0C" w14:textId="77777777" w:rsidTr="002C0F7C">
        <w:trPr>
          <w:trHeight w:hRule="exact" w:val="510"/>
        </w:trPr>
        <w:tc>
          <w:tcPr>
            <w:tcW w:w="2178" w:type="dxa"/>
            <w:tcBorders>
              <w:top w:val="single" w:sz="7" w:space="0" w:color="000000"/>
              <w:left w:val="single" w:sz="6" w:space="0" w:color="000000"/>
              <w:bottom w:val="single" w:sz="7" w:space="0" w:color="000000"/>
              <w:right w:val="single" w:sz="6" w:space="0" w:color="000000"/>
            </w:tcBorders>
          </w:tcPr>
          <w:p w14:paraId="0093E7D9" w14:textId="77777777" w:rsidR="00DF61BC" w:rsidRPr="00C94C33" w:rsidRDefault="00DF61BC" w:rsidP="002C0F7C">
            <w:pPr>
              <w:pStyle w:val="TableHeading"/>
              <w:rPr>
                <w:lang w:eastAsia="en-AU"/>
              </w:rPr>
            </w:pPr>
            <w:r w:rsidRPr="00C94C33">
              <w:rPr>
                <w:lang w:eastAsia="en-AU"/>
              </w:rPr>
              <w:t>5-carboxy uracil (5-CU)</w:t>
            </w:r>
          </w:p>
        </w:tc>
        <w:tc>
          <w:tcPr>
            <w:tcW w:w="2070" w:type="dxa"/>
            <w:tcBorders>
              <w:top w:val="single" w:sz="7" w:space="0" w:color="000000"/>
              <w:left w:val="single" w:sz="6" w:space="0" w:color="000000"/>
              <w:bottom w:val="single" w:sz="7" w:space="0" w:color="000000"/>
              <w:right w:val="single" w:sz="6" w:space="0" w:color="000000"/>
            </w:tcBorders>
          </w:tcPr>
          <w:p w14:paraId="45322029" w14:textId="77777777" w:rsidR="00DF61BC" w:rsidRPr="00C94C33" w:rsidRDefault="00DF61BC" w:rsidP="002C0F7C">
            <w:pPr>
              <w:pStyle w:val="TableHeading"/>
              <w:rPr>
                <w:lang w:eastAsia="en-AU"/>
              </w:rPr>
            </w:pPr>
          </w:p>
        </w:tc>
        <w:tc>
          <w:tcPr>
            <w:tcW w:w="2077" w:type="dxa"/>
            <w:tcBorders>
              <w:top w:val="single" w:sz="7" w:space="0" w:color="000000"/>
              <w:left w:val="single" w:sz="6" w:space="0" w:color="000000"/>
              <w:bottom w:val="single" w:sz="7" w:space="0" w:color="000000"/>
              <w:right w:val="single" w:sz="6" w:space="0" w:color="000000"/>
            </w:tcBorders>
          </w:tcPr>
          <w:p w14:paraId="2F08A4CE" w14:textId="77777777" w:rsidR="00DF61BC" w:rsidRPr="00C94C33" w:rsidRDefault="00DF61BC" w:rsidP="002C0F7C">
            <w:pPr>
              <w:pStyle w:val="TableHeading"/>
              <w:rPr>
                <w:lang w:eastAsia="en-AU"/>
              </w:rPr>
            </w:pPr>
          </w:p>
        </w:tc>
        <w:tc>
          <w:tcPr>
            <w:tcW w:w="1265" w:type="dxa"/>
            <w:tcBorders>
              <w:top w:val="single" w:sz="7" w:space="0" w:color="000000"/>
              <w:left w:val="single" w:sz="6" w:space="0" w:color="000000"/>
              <w:bottom w:val="single" w:sz="7" w:space="0" w:color="000000"/>
              <w:right w:val="single" w:sz="6" w:space="0" w:color="000000"/>
            </w:tcBorders>
          </w:tcPr>
          <w:p w14:paraId="79A744F4" w14:textId="77777777" w:rsidR="00DF61BC" w:rsidRPr="00C94C33" w:rsidRDefault="00DF61BC" w:rsidP="002C0F7C">
            <w:pPr>
              <w:pStyle w:val="TableHeading"/>
              <w:rPr>
                <w:lang w:eastAsia="en-AU"/>
              </w:rPr>
            </w:pPr>
          </w:p>
        </w:tc>
        <w:tc>
          <w:tcPr>
            <w:tcW w:w="1518" w:type="dxa"/>
            <w:tcBorders>
              <w:top w:val="single" w:sz="7" w:space="0" w:color="000000"/>
              <w:left w:val="single" w:sz="6" w:space="0" w:color="000000"/>
              <w:bottom w:val="single" w:sz="7" w:space="0" w:color="000000"/>
              <w:right w:val="single" w:sz="6" w:space="0" w:color="000000"/>
            </w:tcBorders>
          </w:tcPr>
          <w:p w14:paraId="210D47D8" w14:textId="77777777" w:rsidR="00DF61BC" w:rsidRPr="00C94C33" w:rsidRDefault="00DF61BC" w:rsidP="002C0F7C">
            <w:pPr>
              <w:pStyle w:val="TableHeading"/>
              <w:rPr>
                <w:lang w:eastAsia="en-AU"/>
              </w:rPr>
            </w:pPr>
          </w:p>
        </w:tc>
      </w:tr>
      <w:tr w:rsidR="00DF61BC" w:rsidRPr="00C94C33" w14:paraId="61CD4034" w14:textId="77777777" w:rsidTr="002C0F7C">
        <w:trPr>
          <w:trHeight w:val="20"/>
        </w:trPr>
        <w:tc>
          <w:tcPr>
            <w:tcW w:w="2178" w:type="dxa"/>
            <w:tcBorders>
              <w:top w:val="single" w:sz="7" w:space="0" w:color="000000"/>
              <w:left w:val="single" w:sz="6" w:space="0" w:color="000000"/>
              <w:bottom w:val="single" w:sz="7" w:space="0" w:color="000000"/>
              <w:right w:val="single" w:sz="6" w:space="0" w:color="000000"/>
            </w:tcBorders>
          </w:tcPr>
          <w:p w14:paraId="653E7DF6" w14:textId="77777777" w:rsidR="00DF61BC" w:rsidRPr="00C94C33" w:rsidRDefault="00DF61BC" w:rsidP="002C0F7C">
            <w:pPr>
              <w:pStyle w:val="Tabletext"/>
              <w:jc w:val="center"/>
              <w:rPr>
                <w:lang w:eastAsia="en-AU"/>
              </w:rPr>
            </w:pPr>
            <w:r w:rsidRPr="00C94C33">
              <w:rPr>
                <w:lang w:eastAsia="en-AU"/>
              </w:rPr>
              <w:t>AUC</w:t>
            </w:r>
            <w:r w:rsidRPr="00C94C33">
              <w:rPr>
                <w:position w:val="-3"/>
                <w:lang w:eastAsia="en-AU"/>
              </w:rPr>
              <w:t>0-last</w:t>
            </w:r>
            <w:r w:rsidRPr="00C94C33">
              <w:rPr>
                <w:spacing w:val="-4"/>
                <w:position w:val="-3"/>
                <w:lang w:eastAsia="en-AU"/>
              </w:rPr>
              <w:t xml:space="preserve"> </w:t>
            </w:r>
            <w:r w:rsidRPr="00C94C33">
              <w:rPr>
                <w:lang w:eastAsia="en-AU"/>
              </w:rPr>
              <w:t>(ng*hr/mL)</w:t>
            </w:r>
          </w:p>
        </w:tc>
        <w:tc>
          <w:tcPr>
            <w:tcW w:w="2070" w:type="dxa"/>
            <w:tcBorders>
              <w:top w:val="single" w:sz="7" w:space="0" w:color="000000"/>
              <w:left w:val="single" w:sz="6" w:space="0" w:color="000000"/>
              <w:bottom w:val="single" w:sz="7" w:space="0" w:color="000000"/>
              <w:right w:val="single" w:sz="6" w:space="0" w:color="000000"/>
            </w:tcBorders>
          </w:tcPr>
          <w:p w14:paraId="297345D2" w14:textId="77777777" w:rsidR="00DF61BC" w:rsidRPr="00C94C33" w:rsidRDefault="00DF61BC" w:rsidP="002C0F7C">
            <w:pPr>
              <w:pStyle w:val="Tabletext"/>
              <w:jc w:val="center"/>
              <w:rPr>
                <w:lang w:eastAsia="en-AU"/>
              </w:rPr>
            </w:pPr>
            <w:r w:rsidRPr="00C94C33">
              <w:rPr>
                <w:lang w:eastAsia="en-AU"/>
              </w:rPr>
              <w:t>12.74</w:t>
            </w:r>
          </w:p>
        </w:tc>
        <w:tc>
          <w:tcPr>
            <w:tcW w:w="2077" w:type="dxa"/>
            <w:tcBorders>
              <w:top w:val="single" w:sz="7" w:space="0" w:color="000000"/>
              <w:left w:val="single" w:sz="6" w:space="0" w:color="000000"/>
              <w:bottom w:val="single" w:sz="7" w:space="0" w:color="000000"/>
              <w:right w:val="single" w:sz="6" w:space="0" w:color="000000"/>
            </w:tcBorders>
          </w:tcPr>
          <w:p w14:paraId="464A6201" w14:textId="77777777" w:rsidR="00DF61BC" w:rsidRPr="00C94C33" w:rsidRDefault="00DF61BC" w:rsidP="002C0F7C">
            <w:pPr>
              <w:pStyle w:val="Tabletext"/>
              <w:jc w:val="center"/>
              <w:rPr>
                <w:lang w:eastAsia="en-AU"/>
              </w:rPr>
            </w:pPr>
            <w:r w:rsidRPr="00C94C33">
              <w:rPr>
                <w:lang w:eastAsia="en-AU"/>
              </w:rPr>
              <w:t>12.35</w:t>
            </w:r>
          </w:p>
        </w:tc>
        <w:tc>
          <w:tcPr>
            <w:tcW w:w="1265" w:type="dxa"/>
            <w:tcBorders>
              <w:top w:val="single" w:sz="7" w:space="0" w:color="000000"/>
              <w:left w:val="single" w:sz="6" w:space="0" w:color="000000"/>
              <w:bottom w:val="single" w:sz="7" w:space="0" w:color="000000"/>
              <w:right w:val="single" w:sz="6" w:space="0" w:color="000000"/>
            </w:tcBorders>
          </w:tcPr>
          <w:p w14:paraId="2E9E9C9A" w14:textId="77777777" w:rsidR="00DF61BC" w:rsidRPr="00C94C33" w:rsidRDefault="00DF61BC" w:rsidP="002C0F7C">
            <w:pPr>
              <w:pStyle w:val="Tabletext"/>
              <w:jc w:val="center"/>
              <w:rPr>
                <w:lang w:eastAsia="en-AU"/>
              </w:rPr>
            </w:pPr>
            <w:r w:rsidRPr="00C94C33">
              <w:rPr>
                <w:lang w:eastAsia="en-AU"/>
              </w:rPr>
              <w:t>1.031</w:t>
            </w:r>
          </w:p>
        </w:tc>
        <w:tc>
          <w:tcPr>
            <w:tcW w:w="1518" w:type="dxa"/>
            <w:tcBorders>
              <w:top w:val="single" w:sz="7" w:space="0" w:color="000000"/>
              <w:left w:val="single" w:sz="6" w:space="0" w:color="000000"/>
              <w:bottom w:val="single" w:sz="7" w:space="0" w:color="000000"/>
              <w:right w:val="single" w:sz="6" w:space="0" w:color="000000"/>
            </w:tcBorders>
          </w:tcPr>
          <w:p w14:paraId="15EA8A6D" w14:textId="77777777" w:rsidR="00DF61BC" w:rsidRPr="00C94C33" w:rsidRDefault="00DF61BC" w:rsidP="002C0F7C">
            <w:pPr>
              <w:pStyle w:val="Tabletext"/>
              <w:jc w:val="center"/>
              <w:rPr>
                <w:lang w:eastAsia="en-AU"/>
              </w:rPr>
            </w:pPr>
            <w:r w:rsidRPr="00C94C33">
              <w:rPr>
                <w:lang w:eastAsia="en-AU"/>
              </w:rPr>
              <w:t>(0.921 - 1.154)</w:t>
            </w:r>
          </w:p>
        </w:tc>
      </w:tr>
      <w:tr w:rsidR="00DF61BC" w:rsidRPr="00C94C33" w14:paraId="059658A9" w14:textId="77777777" w:rsidTr="002C0F7C">
        <w:trPr>
          <w:trHeight w:val="20"/>
        </w:trPr>
        <w:tc>
          <w:tcPr>
            <w:tcW w:w="2178" w:type="dxa"/>
            <w:tcBorders>
              <w:top w:val="single" w:sz="7" w:space="0" w:color="000000"/>
              <w:left w:val="single" w:sz="6" w:space="0" w:color="000000"/>
              <w:bottom w:val="single" w:sz="7" w:space="0" w:color="000000"/>
              <w:right w:val="single" w:sz="6" w:space="0" w:color="000000"/>
            </w:tcBorders>
          </w:tcPr>
          <w:p w14:paraId="1A24E51B" w14:textId="77777777" w:rsidR="00DF61BC" w:rsidRPr="00C94C33" w:rsidRDefault="00DF61BC" w:rsidP="002C0F7C">
            <w:pPr>
              <w:pStyle w:val="Tabletext"/>
              <w:jc w:val="center"/>
              <w:rPr>
                <w:lang w:eastAsia="en-AU"/>
              </w:rPr>
            </w:pPr>
            <w:r w:rsidRPr="00C94C33">
              <w:rPr>
                <w:lang w:eastAsia="en-AU"/>
              </w:rPr>
              <w:t>C</w:t>
            </w:r>
            <w:r w:rsidRPr="00C94C33">
              <w:rPr>
                <w:position w:val="-3"/>
                <w:lang w:eastAsia="en-AU"/>
              </w:rPr>
              <w:t>max</w:t>
            </w:r>
            <w:r w:rsidRPr="00C94C33">
              <w:rPr>
                <w:spacing w:val="15"/>
                <w:position w:val="-3"/>
                <w:lang w:eastAsia="en-AU"/>
              </w:rPr>
              <w:t xml:space="preserve"> </w:t>
            </w:r>
            <w:r w:rsidRPr="00C94C33">
              <w:rPr>
                <w:lang w:eastAsia="en-AU"/>
              </w:rPr>
              <w:t>(ng/mL)</w:t>
            </w:r>
          </w:p>
        </w:tc>
        <w:tc>
          <w:tcPr>
            <w:tcW w:w="2070" w:type="dxa"/>
            <w:tcBorders>
              <w:top w:val="single" w:sz="7" w:space="0" w:color="000000"/>
              <w:left w:val="single" w:sz="6" w:space="0" w:color="000000"/>
              <w:bottom w:val="single" w:sz="7" w:space="0" w:color="000000"/>
              <w:right w:val="single" w:sz="6" w:space="0" w:color="000000"/>
            </w:tcBorders>
          </w:tcPr>
          <w:p w14:paraId="14760AF6" w14:textId="77777777" w:rsidR="00DF61BC" w:rsidRPr="00C94C33" w:rsidRDefault="00DF61BC" w:rsidP="002C0F7C">
            <w:pPr>
              <w:pStyle w:val="Tabletext"/>
              <w:jc w:val="center"/>
              <w:rPr>
                <w:lang w:eastAsia="en-AU"/>
              </w:rPr>
            </w:pPr>
            <w:r w:rsidRPr="00C94C33">
              <w:rPr>
                <w:lang w:eastAsia="en-AU"/>
              </w:rPr>
              <w:t>2.36</w:t>
            </w:r>
          </w:p>
        </w:tc>
        <w:tc>
          <w:tcPr>
            <w:tcW w:w="2077" w:type="dxa"/>
            <w:tcBorders>
              <w:top w:val="single" w:sz="7" w:space="0" w:color="000000"/>
              <w:left w:val="single" w:sz="6" w:space="0" w:color="000000"/>
              <w:bottom w:val="single" w:sz="7" w:space="0" w:color="000000"/>
              <w:right w:val="single" w:sz="6" w:space="0" w:color="000000"/>
            </w:tcBorders>
          </w:tcPr>
          <w:p w14:paraId="0F8F4428" w14:textId="77777777" w:rsidR="00DF61BC" w:rsidRPr="00C94C33" w:rsidRDefault="00DF61BC" w:rsidP="002C0F7C">
            <w:pPr>
              <w:pStyle w:val="Tabletext"/>
              <w:jc w:val="center"/>
              <w:rPr>
                <w:lang w:eastAsia="en-AU"/>
              </w:rPr>
            </w:pPr>
            <w:r w:rsidRPr="00C94C33">
              <w:rPr>
                <w:lang w:eastAsia="en-AU"/>
              </w:rPr>
              <w:t>2.36</w:t>
            </w:r>
          </w:p>
        </w:tc>
        <w:tc>
          <w:tcPr>
            <w:tcW w:w="1265" w:type="dxa"/>
            <w:tcBorders>
              <w:top w:val="single" w:sz="7" w:space="0" w:color="000000"/>
              <w:left w:val="single" w:sz="6" w:space="0" w:color="000000"/>
              <w:bottom w:val="single" w:sz="7" w:space="0" w:color="000000"/>
              <w:right w:val="single" w:sz="6" w:space="0" w:color="000000"/>
            </w:tcBorders>
          </w:tcPr>
          <w:p w14:paraId="06365C45" w14:textId="77777777" w:rsidR="00DF61BC" w:rsidRPr="00C94C33" w:rsidRDefault="00DF61BC" w:rsidP="002C0F7C">
            <w:pPr>
              <w:pStyle w:val="Tabletext"/>
              <w:jc w:val="center"/>
              <w:rPr>
                <w:lang w:eastAsia="en-AU"/>
              </w:rPr>
            </w:pPr>
            <w:r w:rsidRPr="00C94C33">
              <w:rPr>
                <w:lang w:eastAsia="en-AU"/>
              </w:rPr>
              <w:t>1.002</w:t>
            </w:r>
          </w:p>
        </w:tc>
        <w:tc>
          <w:tcPr>
            <w:tcW w:w="1518" w:type="dxa"/>
            <w:tcBorders>
              <w:top w:val="single" w:sz="7" w:space="0" w:color="000000"/>
              <w:left w:val="single" w:sz="6" w:space="0" w:color="000000"/>
              <w:bottom w:val="single" w:sz="7" w:space="0" w:color="000000"/>
              <w:right w:val="single" w:sz="6" w:space="0" w:color="000000"/>
            </w:tcBorders>
          </w:tcPr>
          <w:p w14:paraId="6E7E7D35" w14:textId="77777777" w:rsidR="00DF61BC" w:rsidRPr="00C94C33" w:rsidRDefault="00DF61BC" w:rsidP="002C0F7C">
            <w:pPr>
              <w:pStyle w:val="Tabletext"/>
              <w:jc w:val="center"/>
              <w:rPr>
                <w:lang w:eastAsia="en-AU"/>
              </w:rPr>
            </w:pPr>
            <w:r w:rsidRPr="00C94C33">
              <w:rPr>
                <w:lang w:eastAsia="en-AU"/>
              </w:rPr>
              <w:t>(0.941 - 1.068)</w:t>
            </w:r>
          </w:p>
        </w:tc>
      </w:tr>
      <w:tr w:rsidR="00DF61BC" w:rsidRPr="00C94C33" w14:paraId="60D6CD46" w14:textId="77777777" w:rsidTr="002C0F7C">
        <w:trPr>
          <w:trHeight w:val="20"/>
        </w:trPr>
        <w:tc>
          <w:tcPr>
            <w:tcW w:w="2178" w:type="dxa"/>
            <w:tcBorders>
              <w:top w:val="single" w:sz="7" w:space="0" w:color="000000"/>
              <w:left w:val="single" w:sz="6" w:space="0" w:color="000000"/>
              <w:bottom w:val="single" w:sz="6" w:space="0" w:color="000000"/>
              <w:right w:val="single" w:sz="6" w:space="0" w:color="000000"/>
            </w:tcBorders>
          </w:tcPr>
          <w:p w14:paraId="73D40F5A" w14:textId="77777777" w:rsidR="00DF61BC" w:rsidRPr="00C94C33" w:rsidRDefault="00DF61BC" w:rsidP="002C0F7C">
            <w:pPr>
              <w:pStyle w:val="Tabletext"/>
              <w:jc w:val="center"/>
              <w:rPr>
                <w:lang w:eastAsia="en-AU"/>
              </w:rPr>
            </w:pPr>
            <w:r w:rsidRPr="00C94C33">
              <w:rPr>
                <w:lang w:eastAsia="en-AU"/>
              </w:rPr>
              <w:t>AUC</w:t>
            </w:r>
            <w:r w:rsidRPr="00C94C33">
              <w:rPr>
                <w:position w:val="-3"/>
                <w:lang w:eastAsia="en-AU"/>
              </w:rPr>
              <w:t>0-inf</w:t>
            </w:r>
            <w:r w:rsidRPr="00C94C33">
              <w:rPr>
                <w:spacing w:val="15"/>
                <w:position w:val="-3"/>
                <w:lang w:eastAsia="en-AU"/>
              </w:rPr>
              <w:t xml:space="preserve"> </w:t>
            </w:r>
            <w:r w:rsidRPr="00C94C33">
              <w:rPr>
                <w:lang w:eastAsia="en-AU"/>
              </w:rPr>
              <w:t>(ng*hr/mL)</w:t>
            </w:r>
          </w:p>
        </w:tc>
        <w:tc>
          <w:tcPr>
            <w:tcW w:w="2070" w:type="dxa"/>
            <w:tcBorders>
              <w:top w:val="single" w:sz="7" w:space="0" w:color="000000"/>
              <w:left w:val="single" w:sz="6" w:space="0" w:color="000000"/>
              <w:bottom w:val="single" w:sz="6" w:space="0" w:color="000000"/>
              <w:right w:val="single" w:sz="6" w:space="0" w:color="000000"/>
            </w:tcBorders>
          </w:tcPr>
          <w:p w14:paraId="295DE63C" w14:textId="77777777" w:rsidR="00DF61BC" w:rsidRPr="00C94C33" w:rsidRDefault="00DF61BC" w:rsidP="002C0F7C">
            <w:pPr>
              <w:pStyle w:val="Tabletext"/>
              <w:jc w:val="center"/>
              <w:rPr>
                <w:lang w:eastAsia="en-AU"/>
              </w:rPr>
            </w:pPr>
            <w:r w:rsidRPr="00C94C33">
              <w:rPr>
                <w:lang w:eastAsia="en-AU"/>
              </w:rPr>
              <w:t>---</w:t>
            </w:r>
            <w:r w:rsidRPr="00C94C33">
              <w:rPr>
                <w:position w:val="10"/>
                <w:lang w:eastAsia="en-AU"/>
              </w:rPr>
              <w:t>b</w:t>
            </w:r>
          </w:p>
        </w:tc>
        <w:tc>
          <w:tcPr>
            <w:tcW w:w="2077" w:type="dxa"/>
            <w:tcBorders>
              <w:top w:val="single" w:sz="7" w:space="0" w:color="000000"/>
              <w:left w:val="single" w:sz="6" w:space="0" w:color="000000"/>
              <w:bottom w:val="single" w:sz="6" w:space="0" w:color="000000"/>
              <w:right w:val="single" w:sz="6" w:space="0" w:color="000000"/>
            </w:tcBorders>
          </w:tcPr>
          <w:p w14:paraId="12564D10" w14:textId="77777777" w:rsidR="00DF61BC" w:rsidRPr="00C94C33" w:rsidRDefault="00DF61BC" w:rsidP="002C0F7C">
            <w:pPr>
              <w:pStyle w:val="Tabletext"/>
              <w:jc w:val="center"/>
              <w:rPr>
                <w:lang w:eastAsia="en-AU"/>
              </w:rPr>
            </w:pPr>
            <w:r w:rsidRPr="00C94C33">
              <w:rPr>
                <w:lang w:eastAsia="en-AU"/>
              </w:rPr>
              <w:t>---</w:t>
            </w:r>
            <w:r w:rsidRPr="00C94C33">
              <w:rPr>
                <w:position w:val="10"/>
                <w:lang w:eastAsia="en-AU"/>
              </w:rPr>
              <w:t>b</w:t>
            </w:r>
          </w:p>
        </w:tc>
        <w:tc>
          <w:tcPr>
            <w:tcW w:w="1265" w:type="dxa"/>
            <w:tcBorders>
              <w:top w:val="single" w:sz="7" w:space="0" w:color="000000"/>
              <w:left w:val="single" w:sz="6" w:space="0" w:color="000000"/>
              <w:bottom w:val="single" w:sz="6" w:space="0" w:color="000000"/>
              <w:right w:val="single" w:sz="6" w:space="0" w:color="000000"/>
            </w:tcBorders>
          </w:tcPr>
          <w:p w14:paraId="13D71A4F" w14:textId="77777777" w:rsidR="00DF61BC" w:rsidRPr="00C94C33" w:rsidRDefault="00DF61BC" w:rsidP="002C0F7C">
            <w:pPr>
              <w:pStyle w:val="Tabletext"/>
              <w:jc w:val="center"/>
              <w:rPr>
                <w:lang w:eastAsia="en-AU"/>
              </w:rPr>
            </w:pPr>
            <w:r w:rsidRPr="00C94C33">
              <w:rPr>
                <w:lang w:eastAsia="en-AU"/>
              </w:rPr>
              <w:t>---</w:t>
            </w:r>
          </w:p>
        </w:tc>
        <w:tc>
          <w:tcPr>
            <w:tcW w:w="1518" w:type="dxa"/>
            <w:tcBorders>
              <w:top w:val="single" w:sz="7" w:space="0" w:color="000000"/>
              <w:left w:val="single" w:sz="6" w:space="0" w:color="000000"/>
              <w:bottom w:val="single" w:sz="6" w:space="0" w:color="000000"/>
              <w:right w:val="single" w:sz="6" w:space="0" w:color="000000"/>
            </w:tcBorders>
          </w:tcPr>
          <w:p w14:paraId="3E1904B8" w14:textId="77777777" w:rsidR="00DF61BC" w:rsidRPr="00C94C33" w:rsidRDefault="00DF61BC" w:rsidP="002C0F7C">
            <w:pPr>
              <w:pStyle w:val="Tabletext"/>
              <w:jc w:val="center"/>
              <w:rPr>
                <w:lang w:eastAsia="en-AU"/>
              </w:rPr>
            </w:pPr>
            <w:r w:rsidRPr="00C94C33">
              <w:rPr>
                <w:lang w:eastAsia="en-AU"/>
              </w:rPr>
              <w:t>---</w:t>
            </w:r>
          </w:p>
        </w:tc>
      </w:tr>
    </w:tbl>
    <w:p w14:paraId="2B8DECBE" w14:textId="77777777" w:rsidR="00DF61BC" w:rsidRPr="0048322F" w:rsidRDefault="008E57F5" w:rsidP="008E57F5">
      <w:pPr>
        <w:pStyle w:val="TableDescription"/>
        <w:rPr>
          <w:sz w:val="18"/>
          <w:szCs w:val="18"/>
          <w:lang w:eastAsia="en-AU"/>
        </w:rPr>
      </w:pPr>
      <w:r w:rsidRPr="0048322F">
        <w:rPr>
          <w:sz w:val="18"/>
          <w:szCs w:val="18"/>
          <w:lang w:eastAsia="en-AU"/>
        </w:rPr>
        <w:t xml:space="preserve">a. </w:t>
      </w:r>
      <w:r w:rsidR="00DF61BC" w:rsidRPr="0048322F">
        <w:rPr>
          <w:sz w:val="18"/>
          <w:szCs w:val="18"/>
          <w:lang w:eastAsia="en-AU"/>
        </w:rPr>
        <w:t>Derived using the least-square means from the c</w:t>
      </w:r>
      <w:r w:rsidRPr="0048322F">
        <w:rPr>
          <w:sz w:val="18"/>
          <w:szCs w:val="18"/>
          <w:lang w:eastAsia="en-AU"/>
        </w:rPr>
        <w:t xml:space="preserve">rossover model with replication; b. </w:t>
      </w:r>
      <w:r w:rsidR="00DF61BC" w:rsidRPr="0048322F">
        <w:rPr>
          <w:sz w:val="18"/>
          <w:szCs w:val="18"/>
          <w:lang w:eastAsia="en-AU"/>
        </w:rPr>
        <w:t>Could not be determined due to small sample size.</w:t>
      </w:r>
    </w:p>
    <w:p w14:paraId="27F03281" w14:textId="1B4162F5" w:rsidR="008E57F5" w:rsidRPr="00C94C33" w:rsidRDefault="00DF61BC" w:rsidP="005C2F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line="240" w:lineRule="auto"/>
        <w:jc w:val="both"/>
        <w:rPr>
          <w:b/>
          <w:lang w:eastAsia="en-AU"/>
        </w:rPr>
      </w:pPr>
      <w:r w:rsidRPr="00C94C33">
        <w:rPr>
          <w:rFonts w:eastAsia="Times New Roman" w:cs="Calibri"/>
          <w:kern w:val="16"/>
          <w:lang w:eastAsia="en-AU"/>
        </w:rPr>
        <w:t>The mean plasma concentration profiles of F</w:t>
      </w:r>
      <w:r w:rsidR="008E57F5" w:rsidRPr="00C94C33">
        <w:rPr>
          <w:rFonts w:eastAsia="Times New Roman" w:cs="Calibri"/>
          <w:kern w:val="16"/>
          <w:lang w:eastAsia="en-AU"/>
        </w:rPr>
        <w:t>TD and TPI are provided below</w:t>
      </w:r>
      <w:r w:rsidRPr="00C94C33">
        <w:rPr>
          <w:rFonts w:eastAsia="Times New Roman" w:cs="Calibri"/>
          <w:kern w:val="16"/>
          <w:lang w:eastAsia="en-AU"/>
        </w:rPr>
        <w:t>.</w:t>
      </w:r>
      <w:bookmarkStart w:id="75" w:name="_Toc470948798"/>
    </w:p>
    <w:p w14:paraId="44CE4213" w14:textId="3F335DEE" w:rsidR="00DF61BC" w:rsidRPr="00C94C33" w:rsidRDefault="00DF61BC" w:rsidP="00215C5A">
      <w:pPr>
        <w:pStyle w:val="FigureTitle"/>
        <w:keepNext/>
        <w:rPr>
          <w:lang w:eastAsia="en-AU"/>
        </w:rPr>
      </w:pPr>
      <w:r w:rsidRPr="00C94C33">
        <w:rPr>
          <w:lang w:eastAsia="en-AU"/>
        </w:rPr>
        <w:lastRenderedPageBreak/>
        <w:t xml:space="preserve">Figure </w:t>
      </w:r>
      <w:r w:rsidR="008E57F5" w:rsidRPr="00C94C33">
        <w:rPr>
          <w:lang w:eastAsia="en-AU"/>
        </w:rPr>
        <w:t xml:space="preserve">3: </w:t>
      </w:r>
      <w:r w:rsidR="00C77E7B" w:rsidRPr="00C94C33">
        <w:rPr>
          <w:lang w:eastAsia="en-AU"/>
        </w:rPr>
        <w:t xml:space="preserve">Study </w:t>
      </w:r>
      <w:r w:rsidRPr="00C94C33">
        <w:rPr>
          <w:lang w:eastAsia="en-AU"/>
        </w:rPr>
        <w:t>TPU-TAS-102-104</w:t>
      </w:r>
      <w:r w:rsidR="00C77E7B" w:rsidRPr="00C94C33">
        <w:rPr>
          <w:lang w:eastAsia="en-AU"/>
        </w:rPr>
        <w:t xml:space="preserve">; </w:t>
      </w:r>
      <w:r w:rsidRPr="00C94C33">
        <w:rPr>
          <w:lang w:eastAsia="en-AU"/>
        </w:rPr>
        <w:t>Plasma concentration profiles for FTD (upper panel) and TPI (lower panel) following single-dose (60 mg) TAS-102 tablet and oral solution</w:t>
      </w:r>
      <w:bookmarkEnd w:id="75"/>
    </w:p>
    <w:p w14:paraId="37C9AA1F" w14:textId="1F841CD1" w:rsidR="00DF61BC" w:rsidRPr="007709B8" w:rsidRDefault="00215C5A" w:rsidP="00DF61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line="240" w:lineRule="auto"/>
        <w:jc w:val="both"/>
        <w:rPr>
          <w:rFonts w:ascii="Calibri" w:eastAsia="Times New Roman" w:hAnsi="Calibri" w:cs="Calibri"/>
          <w:b/>
          <w:kern w:val="16"/>
          <w:lang w:eastAsia="en-AU"/>
        </w:rPr>
      </w:pPr>
      <w:r>
        <w:rPr>
          <w:noProof/>
          <w:lang w:eastAsia="en-AU"/>
        </w:rPr>
        <w:drawing>
          <wp:inline distT="0" distB="0" distL="0" distR="0" wp14:anchorId="162EB50D" wp14:editId="18E482B3">
            <wp:extent cx="3171388" cy="3385552"/>
            <wp:effectExtent l="0" t="0" r="0" b="5715"/>
            <wp:docPr id="2095" name="Picture 594" descr="Figure 3: TPU-TAS-102-104 – Plasma concentration profiles for FTD (upper panel) and TPI (lower panel) following single-dose (60 mg) TAS-102 tablet and oral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 name="Picture 594" descr="Figure 3: TPU-TAS-102-104 – Plasma concentration profiles for FTD (upper panel) and TPI (lower panel) following single-dose (60 mg) TAS-102 tablet and oral solution."/>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1388" cy="3385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E902B39" w14:textId="4385D156" w:rsidR="00DF61BC" w:rsidRPr="00C94C33" w:rsidRDefault="00DF61BC" w:rsidP="005C2FCA">
      <w:pPr>
        <w:pStyle w:val="Comment"/>
      </w:pPr>
      <w:r w:rsidRPr="005C2FCA">
        <w:rPr>
          <w:b/>
        </w:rPr>
        <w:t>Comment:</w:t>
      </w:r>
      <w:r w:rsidRPr="007709B8">
        <w:t xml:space="preserve"> </w:t>
      </w:r>
      <w:r w:rsidR="00C77E7B" w:rsidRPr="00C94C33">
        <w:t xml:space="preserve"> </w:t>
      </w:r>
      <w:r w:rsidRPr="00C94C33">
        <w:t>This was a good quality, single-dose relative bioavailability study. Based on AUC0-last values, the mean relative bioavailability of TAS-102 tablets compared to oral solution was 100% (90% CI: 0.93, 1.09) for FTD and 96% (90% CI: 0.86, 1.07) for TPI. The 90% CIs for AUC0-inf and AUC0-last for the ratio of geometric means (tablet/oral solution) were within the conventional bioequivalence limits of 0.80 to 1.25 for both FTD and TPI. The corresponding 90% CI for Cmax for the ratio of geometric means (tablet/oral solution) of FTD was 0.786 to 0.945, with the mean ratio being 0.862. The result indicates that the absorption of FTD is marginally delayed when administered as a tablet compared to an oral solution. In contrast, the corresponding 90% CI for Cmax for the ratio of geometric means (tablet/oral solution) of TPI was within the conventional bioequivalence limits of 0.8 to 1.25, with the mean ratio being 1.012 (90% CI: 0.885, 1.156). The results indicate that the absorption of TPI is not significantly different for tablet and oral solution formulations. The relative bioavailability for the FTD metabolites, FTY and 5-CU, were similar to that of the parent compound. Overall, the relative bioavailability data suggests that the fixed-dose TAS-102 combination tablet (late CTM formulation) containing FTD and TPI has been optimally formulated.</w:t>
      </w:r>
    </w:p>
    <w:p w14:paraId="0BD6F9E2" w14:textId="77777777" w:rsidR="00DF61BC" w:rsidRPr="00C94C33" w:rsidRDefault="00DF61BC" w:rsidP="00955252">
      <w:pPr>
        <w:pStyle w:val="Heading4"/>
      </w:pPr>
      <w:r w:rsidRPr="00C94C33">
        <w:t>Bioequivalence of clinical trial and market formulations</w:t>
      </w:r>
    </w:p>
    <w:p w14:paraId="513D1437" w14:textId="7BF9D097" w:rsidR="00DF61BC" w:rsidRPr="00C94C33" w:rsidRDefault="00DF61BC" w:rsidP="008E57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line="240" w:lineRule="auto"/>
        <w:rPr>
          <w:rFonts w:eastAsia="Times New Roman"/>
          <w:kern w:val="16"/>
          <w:lang w:eastAsia="en-AU"/>
        </w:rPr>
      </w:pPr>
      <w:r w:rsidRPr="00C94C33">
        <w:rPr>
          <w:rFonts w:eastAsia="Times New Roman"/>
          <w:kern w:val="16"/>
          <w:szCs w:val="24"/>
          <w:lang w:eastAsia="en-AU"/>
        </w:rPr>
        <w:t xml:space="preserve">The To-be-marketed (TBM) formulation tablets are identical to the Late CTM formulations with the </w:t>
      </w:r>
      <w:r w:rsidRPr="00C94C33">
        <w:rPr>
          <w:rFonts w:eastAsia="Times New Roman"/>
          <w:kern w:val="16"/>
          <w:lang w:eastAsia="en-AU"/>
        </w:rPr>
        <w:t xml:space="preserve">exception of imprinting. The Late CTM formulations were used in </w:t>
      </w:r>
      <w:r w:rsidR="00C77E7B" w:rsidRPr="00C94C33">
        <w:rPr>
          <w:rFonts w:eastAsia="Times New Roman"/>
          <w:kern w:val="16"/>
          <w:lang w:eastAsia="en-AU"/>
        </w:rPr>
        <w:t>S</w:t>
      </w:r>
      <w:r w:rsidRPr="00C94C33">
        <w:rPr>
          <w:rFonts w:eastAsia="Times New Roman"/>
          <w:kern w:val="16"/>
          <w:lang w:eastAsia="en-AU"/>
        </w:rPr>
        <w:t>tudies TPU-TAS-102-102, TPU</w:t>
      </w:r>
      <w:r w:rsidR="00C77E7B" w:rsidRPr="00C94C33">
        <w:rPr>
          <w:rFonts w:eastAsia="Times New Roman"/>
          <w:kern w:val="16"/>
          <w:lang w:eastAsia="en-AU"/>
        </w:rPr>
        <w:noBreakHyphen/>
      </w:r>
      <w:r w:rsidRPr="00C94C33">
        <w:rPr>
          <w:rFonts w:eastAsia="Times New Roman"/>
          <w:kern w:val="16"/>
          <w:lang w:eastAsia="en-AU"/>
        </w:rPr>
        <w:t xml:space="preserve">TAS-102-103, TPU-TAS-102-104, and TPU-TAS-102-301 (RECOURSE). The Early CTM formulations were used in </w:t>
      </w:r>
      <w:r w:rsidR="00C77E7B" w:rsidRPr="00C94C33">
        <w:rPr>
          <w:rFonts w:eastAsia="Times New Roman"/>
          <w:kern w:val="16"/>
          <w:lang w:eastAsia="en-AU"/>
        </w:rPr>
        <w:t xml:space="preserve">Studies </w:t>
      </w:r>
      <w:r w:rsidRPr="00C94C33">
        <w:rPr>
          <w:rFonts w:eastAsia="Times New Roman"/>
          <w:kern w:val="16"/>
          <w:lang w:eastAsia="en-AU"/>
        </w:rPr>
        <w:t>J001-10040010, J003-10040030, J004-10040040, and TPU</w:t>
      </w:r>
      <w:r w:rsidR="00C77E7B" w:rsidRPr="00C94C33">
        <w:rPr>
          <w:rFonts w:eastAsia="Times New Roman"/>
          <w:kern w:val="16"/>
          <w:lang w:eastAsia="en-AU"/>
        </w:rPr>
        <w:noBreakHyphen/>
      </w:r>
      <w:r w:rsidRPr="00C94C33">
        <w:rPr>
          <w:rFonts w:eastAsia="Times New Roman"/>
          <w:kern w:val="16"/>
          <w:lang w:eastAsia="en-AU"/>
        </w:rPr>
        <w:t>TAS</w:t>
      </w:r>
      <w:r w:rsidR="00C77E7B" w:rsidRPr="00C94C33">
        <w:rPr>
          <w:rFonts w:eastAsia="Times New Roman"/>
          <w:kern w:val="16"/>
          <w:lang w:eastAsia="en-AU"/>
        </w:rPr>
        <w:noBreakHyphen/>
      </w:r>
      <w:r w:rsidRPr="00C94C33">
        <w:rPr>
          <w:rFonts w:eastAsia="Times New Roman"/>
          <w:kern w:val="16"/>
          <w:lang w:eastAsia="en-AU"/>
        </w:rPr>
        <w:t>102-101.</w:t>
      </w:r>
    </w:p>
    <w:p w14:paraId="2F3D55E7" w14:textId="77777777" w:rsidR="00DF61BC" w:rsidRPr="00C94C33" w:rsidRDefault="00DF61BC" w:rsidP="008E57F5">
      <w:pPr>
        <w:autoSpaceDE w:val="0"/>
        <w:autoSpaceDN w:val="0"/>
        <w:adjustRightInd w:val="0"/>
        <w:spacing w:before="0" w:line="240" w:lineRule="auto"/>
        <w:rPr>
          <w:rFonts w:eastAsia="Times New Roman"/>
          <w:kern w:val="16"/>
          <w:lang w:eastAsia="en-AU"/>
        </w:rPr>
      </w:pPr>
      <w:r w:rsidRPr="00C94C33">
        <w:rPr>
          <w:rFonts w:eastAsia="Times New Roman"/>
          <w:kern w:val="16"/>
          <w:lang w:eastAsia="en-AU"/>
        </w:rPr>
        <w:t xml:space="preserve">There were no clinical studies comparing the </w:t>
      </w:r>
      <w:r w:rsidRPr="00C94C33">
        <w:rPr>
          <w:rFonts w:eastAsia="Times New Roman"/>
          <w:i/>
          <w:kern w:val="16"/>
          <w:lang w:eastAsia="en-AU"/>
        </w:rPr>
        <w:t>in vivo</w:t>
      </w:r>
      <w:r w:rsidRPr="00C94C33">
        <w:rPr>
          <w:rFonts w:eastAsia="Times New Roman"/>
          <w:kern w:val="16"/>
          <w:lang w:eastAsia="en-AU"/>
        </w:rPr>
        <w:t xml:space="preserve"> bioequivalence of the Late CTM, the Early CTM and the TBM formulations. The sponsor stated that the bioequivalence of the formulations was determined by evaluation of their dissolution behaviour. The sponsor reported that the differences </w:t>
      </w:r>
      <w:r w:rsidRPr="00C94C33">
        <w:rPr>
          <w:rFonts w:eastAsia="Times New Roman"/>
          <w:lang w:eastAsia="en-AU"/>
        </w:rPr>
        <w:t>between the Early CTM and the Late CTM Formulations (both</w:t>
      </w:r>
      <w:r w:rsidRPr="00C94C33">
        <w:rPr>
          <w:rFonts w:eastAsia="Times New Roman"/>
          <w:kern w:val="16"/>
          <w:lang w:eastAsia="en-AU"/>
        </w:rPr>
        <w:t xml:space="preserve"> </w:t>
      </w:r>
      <w:r w:rsidRPr="00C94C33">
        <w:rPr>
          <w:rFonts w:eastAsia="Times New Roman"/>
          <w:lang w:eastAsia="en-AU"/>
        </w:rPr>
        <w:t>15 mg and 20 mg strengths) had no effect on dissolution behaviour under standard dissolution</w:t>
      </w:r>
      <w:r w:rsidRPr="00C94C33">
        <w:rPr>
          <w:rFonts w:eastAsia="Times New Roman"/>
          <w:kern w:val="16"/>
          <w:lang w:eastAsia="en-AU"/>
        </w:rPr>
        <w:t xml:space="preserve"> </w:t>
      </w:r>
      <w:r w:rsidRPr="00C94C33">
        <w:rPr>
          <w:rFonts w:eastAsia="Times New Roman"/>
          <w:lang w:eastAsia="en-AU"/>
        </w:rPr>
        <w:t xml:space="preserve">conditions and in a range of buffer solutions with physiologically-relevant pH values. The sponsor stated that the Late CTM and TBM Formulations differ only in the use of trace quantities of ink for imprinting for the proposed TBM </w:t>
      </w:r>
      <w:r w:rsidRPr="00C94C33">
        <w:rPr>
          <w:rFonts w:eastAsia="Times New Roman"/>
          <w:lang w:eastAsia="en-AU"/>
        </w:rPr>
        <w:lastRenderedPageBreak/>
        <w:t>Formulation. Consequently, the sponsor concludes that the dissolution characteristics of the TBM Formulation are not likely to differ from those of the Early CTM or Late CTM Formulations.</w:t>
      </w:r>
    </w:p>
    <w:p w14:paraId="5F15432D" w14:textId="77777777" w:rsidR="00DF61BC" w:rsidRPr="00C94C33" w:rsidRDefault="00DF61BC" w:rsidP="008E57F5">
      <w:pPr>
        <w:autoSpaceDE w:val="0"/>
        <w:autoSpaceDN w:val="0"/>
        <w:adjustRightInd w:val="0"/>
        <w:spacing w:before="0" w:line="240" w:lineRule="auto"/>
        <w:rPr>
          <w:rFonts w:eastAsia="Times New Roman"/>
          <w:lang w:eastAsia="en-AU"/>
        </w:rPr>
      </w:pPr>
      <w:r w:rsidRPr="00C94C33">
        <w:rPr>
          <w:rFonts w:eastAsia="Times New Roman"/>
          <w:lang w:eastAsia="en-AU"/>
        </w:rPr>
        <w:t>Based on the above considerations, the sponsor maintains that the in vivo performance of the TBM Formulation tablets and the Early CTM and Late CTM tablet formulations used in the TAS-102 development program are expected to be sufficiently comparable to allow direct comparison of the PK, efficacy and safety data obtained across all studies in the development program. In addition, the similarity of the in vitro performance of the two formulations allows the in vivo performance of the proposed TBM Formulation to be predicted and supports the proposed dose range and dosing regimen for TAS-102 for the proposed indication.</w:t>
      </w:r>
    </w:p>
    <w:p w14:paraId="3FAE05A9" w14:textId="77777777" w:rsidR="00AA7141" w:rsidRDefault="00DF61BC" w:rsidP="005C2FCA">
      <w:pPr>
        <w:pStyle w:val="Comment"/>
      </w:pPr>
      <w:r w:rsidRPr="005C2FCA">
        <w:rPr>
          <w:b/>
        </w:rPr>
        <w:t>Comment:</w:t>
      </w:r>
      <w:r w:rsidR="00C77E7B" w:rsidRPr="005C2FCA">
        <w:rPr>
          <w:b/>
        </w:rPr>
        <w:t xml:space="preserve"> </w:t>
      </w:r>
      <w:r w:rsidR="008E57F5" w:rsidRPr="005C2FCA">
        <w:rPr>
          <w:b/>
        </w:rPr>
        <w:t xml:space="preserve"> </w:t>
      </w:r>
      <w:r w:rsidRPr="007709B8">
        <w:t>The dissolution data have been examined and demonstrate that both the Early CT</w:t>
      </w:r>
      <w:r w:rsidRPr="00C94C33">
        <w:t xml:space="preserve">M and the Late CTM Formulations showed rapid dissolution (≥ 85% dissolved in 15 minutes) in water and buffered media of pH 1.2 to 6.8 at 37oC. In addition, the 20 mg strength of the Late CTM Formulation also showed similar rapid dissolution in FaSSIF (fasted state simulated intestinal fluid, pH 6.5) and FeSSIF (fed state simulated intestinal fluid, pH 5.0) solutions, which are stated by the sponsor to be </w:t>
      </w:r>
      <w:r w:rsidR="00842E8F" w:rsidRPr="00C94C33">
        <w:t>‘</w:t>
      </w:r>
      <w:r w:rsidRPr="00C94C33">
        <w:t>biorelevant</w:t>
      </w:r>
      <w:r w:rsidR="00842E8F" w:rsidRPr="00C94C33">
        <w:t>’</w:t>
      </w:r>
      <w:r w:rsidRPr="00C94C33">
        <w:t xml:space="preserve"> media simulating the fasted and fed states of the small intestine in humans. In addition, the dissolution profiles of the Late CTM and TBM formulations (both 15 mg and 20 mg tablets) showed rapid and comparable dissolution profiles for products manufactured at the development and commercial facilities. Overall, the similarity of the in vitro dissolution data for the relevant formulations support the sponsor’s decision not to submit a clinical study comparing the TBM formulation to the Early and Late CTM formulations. However, definitive evaluation of the in vitro dissolution data is a matter fo</w:t>
      </w:r>
      <w:r w:rsidR="00FB45D2" w:rsidRPr="00C94C33">
        <w:t xml:space="preserve">r the pharmaceutical chemistry </w:t>
      </w:r>
      <w:r w:rsidRPr="00C94C33">
        <w:t>evaluator.</w:t>
      </w:r>
    </w:p>
    <w:p w14:paraId="33A556AF" w14:textId="0879B1FE" w:rsidR="00DF61BC" w:rsidRPr="00C94C33" w:rsidRDefault="00DF61BC" w:rsidP="00955252">
      <w:pPr>
        <w:pStyle w:val="Heading4"/>
      </w:pPr>
      <w:r w:rsidRPr="00C94C33">
        <w:t>Bioequivalence of different dosage forms and strengths</w:t>
      </w:r>
    </w:p>
    <w:p w14:paraId="68FB4CFE" w14:textId="220A7758" w:rsidR="00DF61BC" w:rsidRPr="00C94C33" w:rsidRDefault="00DF61BC" w:rsidP="00A1740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line="240" w:lineRule="auto"/>
        <w:rPr>
          <w:rFonts w:eastAsia="Times New Roman"/>
          <w:kern w:val="16"/>
          <w:szCs w:val="24"/>
          <w:lang w:eastAsia="en-AU"/>
        </w:rPr>
      </w:pPr>
      <w:r w:rsidRPr="00C94C33">
        <w:rPr>
          <w:rFonts w:eastAsia="Times New Roman"/>
          <w:kern w:val="16"/>
          <w:szCs w:val="24"/>
          <w:lang w:eastAsia="en-AU"/>
        </w:rPr>
        <w:t xml:space="preserve">There were no studies comparing the </w:t>
      </w:r>
      <w:r w:rsidRPr="005C2FCA">
        <w:rPr>
          <w:rFonts w:eastAsia="Times New Roman"/>
          <w:kern w:val="16"/>
          <w:szCs w:val="24"/>
          <w:lang w:eastAsia="en-AU"/>
        </w:rPr>
        <w:t>in vivo</w:t>
      </w:r>
      <w:r w:rsidRPr="007709B8">
        <w:rPr>
          <w:rFonts w:eastAsia="Times New Roman"/>
          <w:kern w:val="16"/>
          <w:szCs w:val="24"/>
          <w:lang w:eastAsia="en-AU"/>
        </w:rPr>
        <w:t xml:space="preserve"> bioequivalence of the two proposed tablet strengths of TAS-102 (</w:t>
      </w:r>
      <w:r w:rsidR="00B2072D" w:rsidRPr="00C94C33">
        <w:rPr>
          <w:rFonts w:eastAsia="Times New Roman"/>
          <w:kern w:val="16"/>
          <w:szCs w:val="24"/>
          <w:lang w:eastAsia="en-AU"/>
        </w:rPr>
        <w:t>that is,</w:t>
      </w:r>
      <w:r w:rsidRPr="00C94C33">
        <w:rPr>
          <w:rFonts w:eastAsia="Times New Roman"/>
          <w:kern w:val="16"/>
          <w:szCs w:val="24"/>
          <w:lang w:eastAsia="en-AU"/>
        </w:rPr>
        <w:t xml:space="preserve"> trifluridine 15 mg/tipiracil 6.14 mg and trifluridine 20 mg/tipiracil 8.19 mg).</w:t>
      </w:r>
    </w:p>
    <w:p w14:paraId="0BC588D0" w14:textId="165908CB" w:rsidR="00DF61BC" w:rsidRPr="00C94C33" w:rsidRDefault="00DF61BC" w:rsidP="005C2FCA">
      <w:pPr>
        <w:pStyle w:val="Comment"/>
      </w:pPr>
      <w:r w:rsidRPr="005C2FCA">
        <w:rPr>
          <w:b/>
        </w:rPr>
        <w:t>Comment:</w:t>
      </w:r>
      <w:r w:rsidR="00A17407" w:rsidRPr="005C2FCA">
        <w:rPr>
          <w:b/>
        </w:rPr>
        <w:t xml:space="preserve"> </w:t>
      </w:r>
      <w:r w:rsidR="00C77E7B" w:rsidRPr="005C2FCA">
        <w:rPr>
          <w:b/>
        </w:rPr>
        <w:t xml:space="preserve"> </w:t>
      </w:r>
      <w:r w:rsidRPr="007709B8">
        <w:t>The sponsor stated that the bioequivalence of the two TAS-102 tablet strengths was determined by evaluation of their dissolution behaviour. Examination of the dissolution profiles for the 15 mg and 20 mg tablets are similar for the Early CTM an</w:t>
      </w:r>
      <w:r w:rsidRPr="00C94C33">
        <w:t>d Late CTM formulations (</w:t>
      </w:r>
      <w:r w:rsidR="00B2072D" w:rsidRPr="00C94C33">
        <w:t>that is,</w:t>
      </w:r>
      <w:r w:rsidRPr="00C94C33">
        <w:t xml:space="preserve"> rapid dissolution ≥ 15% dissolved in 15 minutes) in water and buffered media of pH 1.2 to 6.8 at 37oC. The Late CTM and the TBM formulations differed only in the use of ink imprinting the TBM formulation. Overall, the in vitro dissolution data support the sponsor’s decision not to submit a clinical study comparing the bioequivalence of the TBM TAS-102 formulation at the 15 mg and 20 mg strengths. However, definitive evaluation the sponsor’s justification is a matter for the pha</w:t>
      </w:r>
      <w:r w:rsidR="00FB45D2" w:rsidRPr="00C94C33">
        <w:t>rmaceutical chemistry</w:t>
      </w:r>
      <w:r w:rsidR="00215C5A">
        <w:t xml:space="preserve"> evaluator.</w:t>
      </w:r>
    </w:p>
    <w:p w14:paraId="341E538D" w14:textId="77777777" w:rsidR="00DF61BC" w:rsidRPr="00C94C33" w:rsidRDefault="00DF61BC" w:rsidP="00955252">
      <w:pPr>
        <w:pStyle w:val="Heading4"/>
      </w:pPr>
      <w:r w:rsidRPr="00C94C33">
        <w:t>Influence of food</w:t>
      </w:r>
    </w:p>
    <w:p w14:paraId="0A7826B6" w14:textId="3688E14F" w:rsidR="00DF61BC" w:rsidRPr="00C94C33" w:rsidRDefault="00DF61BC" w:rsidP="00A1740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line="240" w:lineRule="auto"/>
        <w:rPr>
          <w:rFonts w:eastAsia="Times New Roman"/>
          <w:kern w:val="16"/>
          <w:lang w:eastAsia="en-AU"/>
        </w:rPr>
      </w:pPr>
      <w:r w:rsidRPr="00C94C33">
        <w:rPr>
          <w:rFonts w:eastAsia="Times New Roman"/>
          <w:kern w:val="16"/>
          <w:lang w:eastAsia="en-AU"/>
        </w:rPr>
        <w:t>The effect of food on the PK of trifluridine (FTD) and tipiracil (TPI) was studied in Japanese patients (</w:t>
      </w:r>
      <w:r w:rsidR="009C0389" w:rsidRPr="00C94C33">
        <w:rPr>
          <w:rFonts w:eastAsia="Times New Roman"/>
          <w:kern w:val="16"/>
          <w:lang w:eastAsia="en-AU"/>
        </w:rPr>
        <w:t xml:space="preserve">n = </w:t>
      </w:r>
      <w:r w:rsidRPr="00C94C33">
        <w:rPr>
          <w:rFonts w:eastAsia="Times New Roman"/>
          <w:kern w:val="16"/>
          <w:lang w:eastAsia="en-AU"/>
        </w:rPr>
        <w:t xml:space="preserve">16) with solid tumours (excluding those with a history of gastric cancer or gastrectomy) </w:t>
      </w:r>
      <w:r w:rsidR="00B2072D" w:rsidRPr="00C94C33">
        <w:rPr>
          <w:rFonts w:eastAsia="Times New Roman"/>
          <w:kern w:val="16"/>
          <w:lang w:eastAsia="en-AU"/>
        </w:rPr>
        <w:t>(Study </w:t>
      </w:r>
      <w:r w:rsidRPr="00C94C33">
        <w:rPr>
          <w:rFonts w:eastAsia="Times New Roman"/>
          <w:kern w:val="16"/>
          <w:lang w:eastAsia="en-AU"/>
        </w:rPr>
        <w:t>J004-10040040</w:t>
      </w:r>
      <w:r w:rsidR="00B2072D" w:rsidRPr="00C94C33">
        <w:rPr>
          <w:rFonts w:eastAsia="Times New Roman"/>
          <w:kern w:val="16"/>
          <w:lang w:eastAsia="en-AU"/>
        </w:rPr>
        <w:t>)</w:t>
      </w:r>
      <w:r w:rsidRPr="00C94C33">
        <w:rPr>
          <w:rFonts w:eastAsia="Times New Roman"/>
          <w:kern w:val="16"/>
          <w:lang w:eastAsia="en-AU"/>
        </w:rPr>
        <w:t xml:space="preserve">. In this randomised, crossover, open-label, </w:t>
      </w:r>
      <w:r w:rsidR="00842E8F" w:rsidRPr="00C94C33">
        <w:rPr>
          <w:rFonts w:eastAsia="Times New Roman"/>
          <w:kern w:val="16"/>
          <w:lang w:eastAsia="en-AU"/>
        </w:rPr>
        <w:t>Phase I</w:t>
      </w:r>
      <w:r w:rsidRPr="00C94C33">
        <w:rPr>
          <w:rFonts w:eastAsia="Times New Roman"/>
          <w:kern w:val="16"/>
          <w:lang w:eastAsia="en-AU"/>
        </w:rPr>
        <w:t xml:space="preserve"> study, patients  were given a single 35 mg/m</w:t>
      </w:r>
      <w:r w:rsidRPr="00C94C33">
        <w:rPr>
          <w:rFonts w:eastAsia="Times New Roman"/>
          <w:kern w:val="16"/>
          <w:vertAlign w:val="superscript"/>
          <w:lang w:eastAsia="en-AU"/>
        </w:rPr>
        <w:t>2</w:t>
      </w:r>
      <w:r w:rsidRPr="00C94C33">
        <w:rPr>
          <w:rFonts w:eastAsia="Times New Roman"/>
          <w:kern w:val="16"/>
          <w:lang w:eastAsia="en-AU"/>
        </w:rPr>
        <w:t xml:space="preserve"> dose of TAS-102 in the fed and fasted states, with a washout period of at least 4 days between the two treatments. The TAS-102 tablets were Early CTM formulations. The meal was high-fat based on FDA guidance and the required number of calories was adjusted according to the mean body weight ratio between US and Japanese patients. Following the single-dose food effect part of the study, patients were permitted to enter a continuous administration part during which the efficacy and the safety of TAS-102 were evaluated.</w:t>
      </w:r>
    </w:p>
    <w:p w14:paraId="3E71C977" w14:textId="3C385EDA" w:rsidR="00DF61BC" w:rsidRPr="00C94C33" w:rsidRDefault="00DF61BC" w:rsidP="00A17407">
      <w:pPr>
        <w:autoSpaceDE w:val="0"/>
        <w:autoSpaceDN w:val="0"/>
        <w:adjustRightInd w:val="0"/>
        <w:spacing w:before="0" w:after="0" w:line="240" w:lineRule="auto"/>
        <w:rPr>
          <w:rFonts w:eastAsia="TimesNewRoman" w:cs="TimesNewRoman"/>
          <w:lang w:eastAsia="en-AU"/>
        </w:rPr>
      </w:pPr>
      <w:r w:rsidRPr="00C94C33">
        <w:rPr>
          <w:rFonts w:eastAsia="Times New Roman" w:cs="TimesNewRomanPSMT"/>
          <w:color w:val="000000"/>
          <w:lang w:eastAsia="en-AU"/>
        </w:rPr>
        <w:t>Food effects were assessed using an ANOVA to calculate the geometric mean ratio (fed/fasting) and associated 90% CI for C</w:t>
      </w:r>
      <w:r w:rsidRPr="00C94C33">
        <w:rPr>
          <w:rFonts w:eastAsia="Times New Roman" w:cs="TimesNewRomanPSMT"/>
          <w:color w:val="000000"/>
          <w:sz w:val="20"/>
          <w:szCs w:val="20"/>
          <w:lang w:eastAsia="en-AU"/>
        </w:rPr>
        <w:t>max</w:t>
      </w:r>
      <w:r w:rsidRPr="00C94C33">
        <w:rPr>
          <w:rFonts w:eastAsia="Times New Roman" w:cs="TimesNewRomanPSMT"/>
          <w:color w:val="000000"/>
          <w:lang w:eastAsia="en-AU"/>
        </w:rPr>
        <w:t>, AUC</w:t>
      </w:r>
      <w:r w:rsidRPr="00C94C33">
        <w:rPr>
          <w:rFonts w:eastAsia="Times New Roman" w:cs="TimesNewRomanPSMT"/>
          <w:color w:val="000000"/>
          <w:sz w:val="20"/>
          <w:szCs w:val="20"/>
          <w:lang w:eastAsia="en-AU"/>
        </w:rPr>
        <w:t>0-12h</w:t>
      </w:r>
      <w:r w:rsidRPr="00C94C33">
        <w:rPr>
          <w:rFonts w:eastAsia="Times New Roman" w:cs="TimesNewRomanPSMT"/>
          <w:color w:val="000000"/>
          <w:lang w:eastAsia="en-AU"/>
        </w:rPr>
        <w:t>, and AUC</w:t>
      </w:r>
      <w:r w:rsidRPr="00C94C33">
        <w:rPr>
          <w:rFonts w:eastAsia="Times New Roman" w:cs="TimesNewRomanPSMT"/>
          <w:color w:val="000000"/>
          <w:sz w:val="20"/>
          <w:szCs w:val="20"/>
          <w:lang w:eastAsia="en-AU"/>
        </w:rPr>
        <w:t>0-inf</w:t>
      </w:r>
      <w:r w:rsidRPr="00C94C33">
        <w:rPr>
          <w:rFonts w:eastAsia="Times New Roman" w:cs="TimesNewRomanPSMT"/>
          <w:color w:val="000000"/>
          <w:lang w:eastAsia="en-AU"/>
        </w:rPr>
        <w:t>. In addition, food effects on T</w:t>
      </w:r>
      <w:r w:rsidRPr="00C94C33">
        <w:rPr>
          <w:rFonts w:eastAsia="Times New Roman" w:cs="TimesNewRomanPSMT"/>
          <w:color w:val="000000"/>
          <w:sz w:val="20"/>
          <w:szCs w:val="20"/>
          <w:lang w:eastAsia="en-AU"/>
        </w:rPr>
        <w:t>max</w:t>
      </w:r>
      <w:r w:rsidRPr="00C94C33">
        <w:rPr>
          <w:rFonts w:eastAsia="Times New Roman" w:cs="TimesNewRomanPSMT"/>
          <w:color w:val="000000"/>
          <w:lang w:eastAsia="en-AU"/>
        </w:rPr>
        <w:t xml:space="preserve"> were assessed by the Wilcoxon signed-rank test. </w:t>
      </w:r>
      <w:r w:rsidRPr="00C94C33">
        <w:rPr>
          <w:rFonts w:eastAsia="Times New Roman"/>
          <w:lang w:eastAsia="en-AU"/>
        </w:rPr>
        <w:t xml:space="preserve">Blood samples were collected up to 12 hours post-dose (15 and 30 minutes, 1, 2, 4, 6, 8 and 12 hours).  </w:t>
      </w:r>
      <w:r w:rsidRPr="00C94C33">
        <w:rPr>
          <w:rFonts w:eastAsia="Times New Roman" w:cs="TimesNewRomanPSMT"/>
          <w:color w:val="000000"/>
          <w:lang w:eastAsia="en-AU"/>
        </w:rPr>
        <w:t xml:space="preserve">There were 16 patients enrolled in the study, but 2 patients were excluded from the evaluation of the food effect part of the study as both ate during </w:t>
      </w:r>
      <w:r w:rsidRPr="00C94C33">
        <w:rPr>
          <w:rFonts w:eastAsia="Times New Roman" w:cs="TimesNewRomanPSMT"/>
          <w:color w:val="000000"/>
          <w:lang w:eastAsia="en-AU"/>
        </w:rPr>
        <w:lastRenderedPageBreak/>
        <w:t xml:space="preserve">the fasting period. </w:t>
      </w:r>
      <w:r w:rsidRPr="00C94C33">
        <w:rPr>
          <w:rFonts w:eastAsia="TimesNewRoman" w:cs="TimesNewRoman"/>
          <w:lang w:eastAsia="en-AU"/>
        </w:rPr>
        <w:t>The median age of the 16 PK evaluable patients, 9 males and 7 females, was 62.0 years (range: 37, 73 years), with a median body surface area of 1.5 m</w:t>
      </w:r>
      <w:r w:rsidRPr="00C94C33">
        <w:rPr>
          <w:rFonts w:eastAsia="TimesNewRoman" w:cs="TimesNewRoman"/>
          <w:vertAlign w:val="superscript"/>
          <w:lang w:eastAsia="en-AU"/>
        </w:rPr>
        <w:t>2</w:t>
      </w:r>
      <w:r w:rsidRPr="00C94C33">
        <w:rPr>
          <w:rFonts w:eastAsia="TimesNewRoman" w:cs="TimesNewRoman"/>
          <w:lang w:eastAsia="en-AU"/>
        </w:rPr>
        <w:t xml:space="preserve"> (range: 1.4, 1.8 m</w:t>
      </w:r>
      <w:r w:rsidRPr="00C94C33">
        <w:rPr>
          <w:rFonts w:eastAsia="TimesNewRoman" w:cs="TimesNewRoman"/>
          <w:vertAlign w:val="superscript"/>
          <w:lang w:eastAsia="en-AU"/>
        </w:rPr>
        <w:t>2</w:t>
      </w:r>
      <w:r w:rsidRPr="00C94C33">
        <w:rPr>
          <w:rFonts w:eastAsia="TimesNewRoman" w:cs="TimesNewRoman"/>
          <w:lang w:eastAsia="en-AU"/>
        </w:rPr>
        <w:t xml:space="preserve">). Twelve patients (75.0%) had a PS score of 0, and 4 (25.0%) had a PS score of 1. At the time of enrollment, 13 patients (81.3%) had complicated disease and 12 (75.0%) were using a concomitant medicine. </w:t>
      </w:r>
      <w:r w:rsidRPr="00C94C33">
        <w:rPr>
          <w:rFonts w:eastAsia="Times New Roman" w:cs="TimesNewRomanPSMT"/>
          <w:color w:val="000000"/>
          <w:lang w:eastAsia="en-AU"/>
        </w:rPr>
        <w:t>The most common sites for the primary cancer were the rectum (31.3%), lung (31.3%), and breast (12.5%).</w:t>
      </w:r>
    </w:p>
    <w:p w14:paraId="2E4AC0A9" w14:textId="20C6D4C2" w:rsidR="00DF61BC" w:rsidRPr="00C94C33" w:rsidRDefault="00DF61BC" w:rsidP="00A17407">
      <w:pPr>
        <w:autoSpaceDE w:val="0"/>
        <w:autoSpaceDN w:val="0"/>
        <w:adjustRightInd w:val="0"/>
        <w:spacing w:before="0" w:line="240" w:lineRule="auto"/>
        <w:rPr>
          <w:rFonts w:eastAsia="Times New Roman" w:cs="TimesNewRomanPSMT"/>
          <w:color w:val="000000"/>
          <w:lang w:eastAsia="en-AU"/>
        </w:rPr>
      </w:pPr>
      <w:r w:rsidRPr="00C94C33">
        <w:rPr>
          <w:rFonts w:eastAsia="Times New Roman" w:cs="TimesNewRomanPSMT"/>
          <w:color w:val="000000"/>
          <w:lang w:eastAsia="en-AU"/>
        </w:rPr>
        <w:t>The results for the C</w:t>
      </w:r>
      <w:r w:rsidRPr="00C94C33">
        <w:rPr>
          <w:rFonts w:eastAsia="Times New Roman" w:cs="TimesNewRomanPSMT"/>
          <w:color w:val="000000"/>
          <w:sz w:val="20"/>
          <w:szCs w:val="20"/>
          <w:lang w:eastAsia="en-AU"/>
        </w:rPr>
        <w:t xml:space="preserve">max </w:t>
      </w:r>
      <w:r w:rsidRPr="00C94C33">
        <w:rPr>
          <w:rFonts w:eastAsia="Times New Roman" w:cs="TimesNewRomanPSMT"/>
          <w:color w:val="000000"/>
          <w:lang w:eastAsia="en-AU"/>
        </w:rPr>
        <w:t>and AUC values of i</w:t>
      </w:r>
      <w:r w:rsidR="00A17407" w:rsidRPr="00C94C33">
        <w:rPr>
          <w:rFonts w:eastAsia="Times New Roman" w:cs="TimesNewRomanPSMT"/>
          <w:color w:val="000000"/>
          <w:lang w:eastAsia="en-AU"/>
        </w:rPr>
        <w:t>nterest are summarised below</w:t>
      </w:r>
      <w:r w:rsidRPr="00C94C33">
        <w:rPr>
          <w:rFonts w:eastAsia="Times New Roman" w:cs="TimesNewRomanPSMT"/>
          <w:color w:val="000000"/>
          <w:lang w:eastAsia="en-AU"/>
        </w:rPr>
        <w:t>. The median T</w:t>
      </w:r>
      <w:r w:rsidRPr="00C94C33">
        <w:rPr>
          <w:rFonts w:eastAsia="Times New Roman" w:cs="TimesNewRomanPSMT"/>
          <w:color w:val="000000"/>
          <w:sz w:val="20"/>
          <w:szCs w:val="20"/>
          <w:lang w:eastAsia="en-AU"/>
        </w:rPr>
        <w:t>max</w:t>
      </w:r>
      <w:r w:rsidRPr="00C94C33">
        <w:rPr>
          <w:rFonts w:eastAsia="Times New Roman" w:cs="TimesNewRomanPSMT"/>
          <w:color w:val="000000"/>
          <w:lang w:eastAsia="en-AU"/>
        </w:rPr>
        <w:t xml:space="preserve"> for FTD in both the fasting and fed states was 1.0 hour, and the median T</w:t>
      </w:r>
      <w:r w:rsidRPr="00C94C33">
        <w:rPr>
          <w:rFonts w:eastAsia="Times New Roman" w:cs="TimesNewRomanPSMT"/>
          <w:color w:val="000000"/>
          <w:sz w:val="20"/>
          <w:szCs w:val="20"/>
          <w:lang w:eastAsia="en-AU"/>
        </w:rPr>
        <w:t>max</w:t>
      </w:r>
      <w:r w:rsidRPr="00C94C33">
        <w:rPr>
          <w:rFonts w:eastAsia="Times New Roman" w:cs="TimesNewRomanPSMT"/>
          <w:color w:val="000000"/>
          <w:lang w:eastAsia="en-AU"/>
        </w:rPr>
        <w:t xml:space="preserve"> for TPI was 2 hours in </w:t>
      </w:r>
      <w:r w:rsidR="00215C5A">
        <w:rPr>
          <w:rFonts w:eastAsia="Times New Roman" w:cs="TimesNewRomanPSMT"/>
          <w:color w:val="000000"/>
          <w:lang w:eastAsia="en-AU"/>
        </w:rPr>
        <w:t>both the fasting and fed state.</w:t>
      </w:r>
    </w:p>
    <w:p w14:paraId="04CDD27D" w14:textId="450E5DA8" w:rsidR="00DF61BC" w:rsidRPr="00C94C33" w:rsidRDefault="00DF61BC" w:rsidP="0058475B">
      <w:pPr>
        <w:pStyle w:val="Tabletitle"/>
        <w:rPr>
          <w:lang w:eastAsia="en-AU"/>
        </w:rPr>
      </w:pPr>
      <w:bookmarkStart w:id="76" w:name="_Toc470948654"/>
      <w:r w:rsidRPr="00C94C33">
        <w:rPr>
          <w:kern w:val="16"/>
          <w:lang w:eastAsia="en-AU"/>
        </w:rPr>
        <w:t xml:space="preserve">Table </w:t>
      </w:r>
      <w:r w:rsidR="00A17407" w:rsidRPr="00C94C33">
        <w:rPr>
          <w:kern w:val="16"/>
          <w:lang w:eastAsia="en-AU"/>
        </w:rPr>
        <w:t xml:space="preserve">5: </w:t>
      </w:r>
      <w:r w:rsidR="00B2072D" w:rsidRPr="00C94C33">
        <w:rPr>
          <w:kern w:val="16"/>
          <w:lang w:eastAsia="en-AU"/>
        </w:rPr>
        <w:t xml:space="preserve">Study </w:t>
      </w:r>
      <w:r w:rsidRPr="00C94C33">
        <w:rPr>
          <w:lang w:eastAsia="en-AU"/>
        </w:rPr>
        <w:t>J004-10040040</w:t>
      </w:r>
      <w:r w:rsidR="00B2072D" w:rsidRPr="00C94C33">
        <w:rPr>
          <w:lang w:eastAsia="en-AU"/>
        </w:rPr>
        <w:t xml:space="preserve">; </w:t>
      </w:r>
      <w:r w:rsidRPr="00C94C33">
        <w:rPr>
          <w:lang w:eastAsia="en-AU"/>
        </w:rPr>
        <w:t>PK of TAS-102 in the fed and fasted state</w:t>
      </w:r>
      <w:bookmarkEnd w:id="76"/>
    </w:p>
    <w:p w14:paraId="6710B6A3" w14:textId="77777777" w:rsidR="00DF61BC" w:rsidRPr="00C94C33" w:rsidRDefault="00DF61BC" w:rsidP="00DF61BC">
      <w:pPr>
        <w:kinsoku w:val="0"/>
        <w:overflowPunct w:val="0"/>
        <w:autoSpaceDE w:val="0"/>
        <w:autoSpaceDN w:val="0"/>
        <w:adjustRightInd w:val="0"/>
        <w:spacing w:before="8" w:after="0" w:line="240" w:lineRule="auto"/>
        <w:rPr>
          <w:rFonts w:ascii="Times New Roman" w:eastAsia="Times New Roman" w:hAnsi="Times New Roman"/>
          <w:sz w:val="6"/>
          <w:szCs w:val="6"/>
          <w:lang w:eastAsia="en-AU"/>
        </w:rPr>
      </w:pPr>
    </w:p>
    <w:tbl>
      <w:tblPr>
        <w:tblStyle w:val="TableGrid7"/>
        <w:tblW w:w="0" w:type="auto"/>
        <w:tblLook w:val="04A0" w:firstRow="1" w:lastRow="0" w:firstColumn="1" w:lastColumn="0" w:noHBand="0" w:noVBand="1"/>
        <w:tblDescription w:val="Table 5: Study J004-10040040; PK of TAS-102 in the fed and fasted state"/>
      </w:tblPr>
      <w:tblGrid>
        <w:gridCol w:w="1526"/>
        <w:gridCol w:w="3260"/>
        <w:gridCol w:w="2977"/>
      </w:tblGrid>
      <w:tr w:rsidR="00DF61BC" w:rsidRPr="00C94C33" w14:paraId="0E6557F5" w14:textId="77777777" w:rsidTr="007B0D96">
        <w:trPr>
          <w:tblHeader/>
        </w:trPr>
        <w:tc>
          <w:tcPr>
            <w:tcW w:w="1526" w:type="dxa"/>
            <w:tcBorders>
              <w:left w:val="single" w:sz="4" w:space="0" w:color="auto"/>
            </w:tcBorders>
            <w:shd w:val="clear" w:color="auto" w:fill="auto"/>
          </w:tcPr>
          <w:p w14:paraId="073B7205" w14:textId="77777777" w:rsidR="00DF61BC" w:rsidRPr="00C94C33" w:rsidRDefault="00DF61BC" w:rsidP="00DF61BC">
            <w:pPr>
              <w:spacing w:before="0" w:line="240" w:lineRule="auto"/>
              <w:jc w:val="both"/>
              <w:rPr>
                <w:rFonts w:asciiTheme="minorHAnsi" w:eastAsia="Times New Roman" w:hAnsiTheme="minorHAnsi" w:cs="Calibri"/>
                <w:b/>
                <w:kern w:val="16"/>
                <w:sz w:val="18"/>
                <w:szCs w:val="18"/>
              </w:rPr>
            </w:pPr>
            <w:r w:rsidRPr="00C94C33">
              <w:rPr>
                <w:rFonts w:asciiTheme="minorHAnsi" w:eastAsia="Times New Roman" w:hAnsiTheme="minorHAnsi" w:cs="Calibri"/>
                <w:b/>
                <w:kern w:val="16"/>
                <w:sz w:val="18"/>
                <w:szCs w:val="18"/>
              </w:rPr>
              <w:t>PK Parameter</w:t>
            </w:r>
          </w:p>
        </w:tc>
        <w:tc>
          <w:tcPr>
            <w:tcW w:w="3260" w:type="dxa"/>
            <w:shd w:val="clear" w:color="auto" w:fill="auto"/>
          </w:tcPr>
          <w:p w14:paraId="0E91E563" w14:textId="77777777" w:rsidR="00DF61BC" w:rsidRPr="00C94C33" w:rsidRDefault="00DF61BC" w:rsidP="00DF61BC">
            <w:pPr>
              <w:spacing w:before="0" w:line="240" w:lineRule="auto"/>
              <w:jc w:val="both"/>
              <w:rPr>
                <w:rFonts w:asciiTheme="minorHAnsi" w:eastAsia="Times New Roman" w:hAnsiTheme="minorHAnsi" w:cs="Calibri"/>
                <w:b/>
                <w:kern w:val="16"/>
                <w:sz w:val="18"/>
                <w:szCs w:val="18"/>
              </w:rPr>
            </w:pPr>
            <w:r w:rsidRPr="00C94C33">
              <w:rPr>
                <w:rFonts w:asciiTheme="minorHAnsi" w:eastAsia="Times New Roman" w:hAnsiTheme="minorHAnsi" w:cs="Calibri"/>
                <w:b/>
                <w:kern w:val="16"/>
                <w:sz w:val="18"/>
                <w:szCs w:val="18"/>
              </w:rPr>
              <w:t xml:space="preserve">FTD – Geometric Mean Ratio (Fed/Fasting) </w:t>
            </w:r>
          </w:p>
        </w:tc>
        <w:tc>
          <w:tcPr>
            <w:tcW w:w="2977" w:type="dxa"/>
            <w:tcBorders>
              <w:right w:val="single" w:sz="4" w:space="0" w:color="auto"/>
            </w:tcBorders>
            <w:shd w:val="clear" w:color="auto" w:fill="auto"/>
          </w:tcPr>
          <w:p w14:paraId="0E19C9F4" w14:textId="77777777" w:rsidR="00DF61BC" w:rsidRPr="00C94C33" w:rsidRDefault="00DF61BC" w:rsidP="00DF61BC">
            <w:pPr>
              <w:spacing w:before="0" w:line="240" w:lineRule="auto"/>
              <w:jc w:val="both"/>
              <w:rPr>
                <w:rFonts w:asciiTheme="minorHAnsi" w:eastAsia="Times New Roman" w:hAnsiTheme="minorHAnsi" w:cs="Calibri"/>
                <w:b/>
                <w:kern w:val="16"/>
                <w:sz w:val="18"/>
                <w:szCs w:val="18"/>
              </w:rPr>
            </w:pPr>
            <w:r w:rsidRPr="00C94C33">
              <w:rPr>
                <w:rFonts w:asciiTheme="minorHAnsi" w:eastAsia="Times New Roman" w:hAnsiTheme="minorHAnsi" w:cs="Calibri"/>
                <w:b/>
                <w:kern w:val="16"/>
                <w:sz w:val="18"/>
                <w:szCs w:val="18"/>
              </w:rPr>
              <w:t>TPI - Geometric Mean Ratio (Fed/Fasting)</w:t>
            </w:r>
          </w:p>
        </w:tc>
      </w:tr>
      <w:tr w:rsidR="00DF61BC" w:rsidRPr="00C94C33" w14:paraId="4496A540" w14:textId="77777777" w:rsidTr="00A17407">
        <w:tc>
          <w:tcPr>
            <w:tcW w:w="1526" w:type="dxa"/>
            <w:tcBorders>
              <w:left w:val="single" w:sz="4" w:space="0" w:color="auto"/>
              <w:bottom w:val="nil"/>
            </w:tcBorders>
            <w:shd w:val="clear" w:color="auto" w:fill="auto"/>
          </w:tcPr>
          <w:p w14:paraId="60EBFBF6" w14:textId="77777777" w:rsidR="00DF61BC" w:rsidRPr="00C94C33" w:rsidRDefault="00DF61BC" w:rsidP="00DF61BC">
            <w:pPr>
              <w:spacing w:before="0" w:line="240" w:lineRule="auto"/>
              <w:jc w:val="both"/>
              <w:rPr>
                <w:rFonts w:asciiTheme="minorHAnsi" w:eastAsia="Times New Roman" w:hAnsiTheme="minorHAnsi" w:cs="Calibri"/>
                <w:kern w:val="16"/>
                <w:sz w:val="18"/>
                <w:szCs w:val="18"/>
              </w:rPr>
            </w:pPr>
            <w:r w:rsidRPr="00C94C33">
              <w:rPr>
                <w:rFonts w:asciiTheme="minorHAnsi" w:eastAsia="Times New Roman" w:hAnsiTheme="minorHAnsi" w:cs="Calibri"/>
                <w:kern w:val="16"/>
                <w:sz w:val="18"/>
                <w:szCs w:val="18"/>
              </w:rPr>
              <w:t>Cmax</w:t>
            </w:r>
          </w:p>
        </w:tc>
        <w:tc>
          <w:tcPr>
            <w:tcW w:w="3260" w:type="dxa"/>
            <w:tcBorders>
              <w:bottom w:val="nil"/>
            </w:tcBorders>
            <w:shd w:val="clear" w:color="auto" w:fill="auto"/>
          </w:tcPr>
          <w:p w14:paraId="582E01C7" w14:textId="51935E0A" w:rsidR="00DF61BC" w:rsidRPr="00C94C33" w:rsidRDefault="00DF61BC" w:rsidP="00DF61BC">
            <w:pPr>
              <w:spacing w:before="0" w:line="240" w:lineRule="auto"/>
              <w:jc w:val="both"/>
              <w:rPr>
                <w:rFonts w:asciiTheme="minorHAnsi" w:eastAsia="Times New Roman" w:hAnsiTheme="minorHAnsi" w:cs="Calibri"/>
                <w:kern w:val="16"/>
                <w:sz w:val="18"/>
                <w:szCs w:val="18"/>
              </w:rPr>
            </w:pPr>
            <w:r w:rsidRPr="00C94C33">
              <w:rPr>
                <w:rFonts w:asciiTheme="minorHAnsi" w:eastAsia="Times New Roman" w:hAnsiTheme="minorHAnsi" w:cs="Calibri"/>
                <w:kern w:val="16"/>
                <w:sz w:val="18"/>
                <w:szCs w:val="18"/>
              </w:rPr>
              <w:t xml:space="preserve">0.6074 </w:t>
            </w:r>
            <w:r w:rsidR="00A0007E" w:rsidRPr="00C94C33">
              <w:rPr>
                <w:rFonts w:asciiTheme="minorHAnsi" w:eastAsia="Times New Roman" w:hAnsiTheme="minorHAnsi" w:cs="Calibri"/>
                <w:kern w:val="16"/>
                <w:sz w:val="18"/>
                <w:szCs w:val="18"/>
              </w:rPr>
              <w:t>(</w:t>
            </w:r>
            <w:r w:rsidRPr="00C94C33">
              <w:rPr>
                <w:rFonts w:asciiTheme="minorHAnsi" w:eastAsia="Times New Roman" w:hAnsiTheme="minorHAnsi" w:cs="Calibri"/>
                <w:kern w:val="16"/>
                <w:sz w:val="18"/>
                <w:szCs w:val="18"/>
              </w:rPr>
              <w:t>90% CI: 0.5037, 0.7323</w:t>
            </w:r>
            <w:r w:rsidR="00A0007E" w:rsidRPr="00C94C33">
              <w:rPr>
                <w:rFonts w:asciiTheme="minorHAnsi" w:eastAsia="Times New Roman" w:hAnsiTheme="minorHAnsi" w:cs="Calibri"/>
                <w:kern w:val="16"/>
                <w:sz w:val="18"/>
                <w:szCs w:val="18"/>
              </w:rPr>
              <w:t>)</w:t>
            </w:r>
          </w:p>
        </w:tc>
        <w:tc>
          <w:tcPr>
            <w:tcW w:w="2977" w:type="dxa"/>
            <w:tcBorders>
              <w:bottom w:val="nil"/>
              <w:right w:val="single" w:sz="4" w:space="0" w:color="auto"/>
            </w:tcBorders>
            <w:shd w:val="clear" w:color="auto" w:fill="auto"/>
          </w:tcPr>
          <w:p w14:paraId="78072155" w14:textId="0B24BC74" w:rsidR="00DF61BC" w:rsidRPr="00C94C33" w:rsidRDefault="00DF61BC" w:rsidP="00DF61BC">
            <w:pPr>
              <w:spacing w:before="0" w:line="240" w:lineRule="auto"/>
              <w:jc w:val="both"/>
              <w:rPr>
                <w:rFonts w:asciiTheme="minorHAnsi" w:eastAsia="Times New Roman" w:hAnsiTheme="minorHAnsi" w:cs="Calibri"/>
                <w:kern w:val="16"/>
                <w:sz w:val="18"/>
                <w:szCs w:val="18"/>
              </w:rPr>
            </w:pPr>
            <w:r w:rsidRPr="00C94C33">
              <w:rPr>
                <w:rFonts w:asciiTheme="minorHAnsi" w:eastAsia="Times New Roman" w:hAnsiTheme="minorHAnsi" w:cs="Calibri"/>
                <w:kern w:val="16"/>
                <w:sz w:val="18"/>
                <w:szCs w:val="18"/>
              </w:rPr>
              <w:t xml:space="preserve">0.5778 </w:t>
            </w:r>
            <w:r w:rsidR="00A0007E" w:rsidRPr="00C94C33">
              <w:rPr>
                <w:rFonts w:asciiTheme="minorHAnsi" w:eastAsia="Times New Roman" w:hAnsiTheme="minorHAnsi" w:cs="Calibri"/>
                <w:kern w:val="16"/>
                <w:sz w:val="18"/>
                <w:szCs w:val="18"/>
              </w:rPr>
              <w:t>(</w:t>
            </w:r>
            <w:r w:rsidRPr="00C94C33">
              <w:rPr>
                <w:rFonts w:asciiTheme="minorHAnsi" w:eastAsia="Times New Roman" w:hAnsiTheme="minorHAnsi" w:cs="Calibri"/>
                <w:kern w:val="16"/>
                <w:sz w:val="18"/>
                <w:szCs w:val="18"/>
              </w:rPr>
              <w:t xml:space="preserve">95% CI: </w:t>
            </w:r>
            <w:r w:rsidRPr="00C94C33">
              <w:rPr>
                <w:rFonts w:asciiTheme="minorHAnsi" w:eastAsia="Times New Roman" w:hAnsiTheme="minorHAnsi" w:cs="Calibri"/>
                <w:sz w:val="18"/>
                <w:szCs w:val="18"/>
              </w:rPr>
              <w:t>0.4372</w:t>
            </w:r>
            <w:r w:rsidRPr="00C94C33">
              <w:rPr>
                <w:rFonts w:asciiTheme="minorHAnsi" w:eastAsia="Times New Roman" w:hAnsiTheme="minorHAnsi" w:cs="Calibri"/>
                <w:spacing w:val="-2"/>
                <w:sz w:val="18"/>
                <w:szCs w:val="18"/>
              </w:rPr>
              <w:t xml:space="preserve">, </w:t>
            </w:r>
            <w:r w:rsidRPr="00C94C33">
              <w:rPr>
                <w:rFonts w:asciiTheme="minorHAnsi" w:eastAsia="Times New Roman" w:hAnsiTheme="minorHAnsi" w:cs="Calibri"/>
                <w:spacing w:val="-1"/>
                <w:sz w:val="18"/>
                <w:szCs w:val="18"/>
              </w:rPr>
              <w:t>0.6576</w:t>
            </w:r>
            <w:r w:rsidR="00A0007E" w:rsidRPr="00C94C33">
              <w:rPr>
                <w:rFonts w:asciiTheme="minorHAnsi" w:eastAsia="Times New Roman" w:hAnsiTheme="minorHAnsi" w:cs="Calibri"/>
                <w:spacing w:val="-1"/>
                <w:sz w:val="18"/>
                <w:szCs w:val="18"/>
              </w:rPr>
              <w:t>)</w:t>
            </w:r>
          </w:p>
        </w:tc>
      </w:tr>
      <w:tr w:rsidR="00DF61BC" w:rsidRPr="00C94C33" w14:paraId="5A031C8A" w14:textId="77777777" w:rsidTr="00A17407">
        <w:tc>
          <w:tcPr>
            <w:tcW w:w="1526" w:type="dxa"/>
            <w:tcBorders>
              <w:top w:val="nil"/>
              <w:left w:val="single" w:sz="4" w:space="0" w:color="auto"/>
              <w:bottom w:val="nil"/>
            </w:tcBorders>
            <w:shd w:val="clear" w:color="auto" w:fill="auto"/>
          </w:tcPr>
          <w:p w14:paraId="624E6D54" w14:textId="77777777" w:rsidR="00DF61BC" w:rsidRPr="00C94C33" w:rsidRDefault="00DF61BC" w:rsidP="00DF61BC">
            <w:pPr>
              <w:spacing w:before="0" w:line="240" w:lineRule="auto"/>
              <w:jc w:val="both"/>
              <w:rPr>
                <w:rFonts w:asciiTheme="minorHAnsi" w:eastAsia="Times New Roman" w:hAnsiTheme="minorHAnsi" w:cs="Calibri"/>
                <w:kern w:val="16"/>
                <w:sz w:val="18"/>
                <w:szCs w:val="18"/>
              </w:rPr>
            </w:pPr>
            <w:r w:rsidRPr="00C94C33">
              <w:rPr>
                <w:rFonts w:asciiTheme="minorHAnsi" w:eastAsia="Times New Roman" w:hAnsiTheme="minorHAnsi" w:cs="Calibri"/>
                <w:kern w:val="16"/>
                <w:sz w:val="18"/>
                <w:szCs w:val="18"/>
              </w:rPr>
              <w:t>AUC0-12h</w:t>
            </w:r>
          </w:p>
        </w:tc>
        <w:tc>
          <w:tcPr>
            <w:tcW w:w="3260" w:type="dxa"/>
            <w:tcBorders>
              <w:top w:val="nil"/>
              <w:bottom w:val="nil"/>
            </w:tcBorders>
            <w:shd w:val="clear" w:color="auto" w:fill="auto"/>
          </w:tcPr>
          <w:p w14:paraId="75C50AA0" w14:textId="0DCE27D8" w:rsidR="00DF61BC" w:rsidRPr="00C94C33" w:rsidRDefault="00DF61BC" w:rsidP="00DF61BC">
            <w:pPr>
              <w:spacing w:before="0" w:line="240" w:lineRule="auto"/>
              <w:jc w:val="both"/>
              <w:rPr>
                <w:rFonts w:asciiTheme="minorHAnsi" w:eastAsia="Times New Roman" w:hAnsiTheme="minorHAnsi" w:cs="Calibri"/>
                <w:kern w:val="16"/>
                <w:sz w:val="18"/>
                <w:szCs w:val="18"/>
              </w:rPr>
            </w:pPr>
            <w:r w:rsidRPr="00C94C33">
              <w:rPr>
                <w:rFonts w:asciiTheme="minorHAnsi" w:eastAsia="Times New Roman" w:hAnsiTheme="minorHAnsi" w:cs="Calibri"/>
                <w:kern w:val="16"/>
                <w:sz w:val="18"/>
                <w:szCs w:val="18"/>
              </w:rPr>
              <w:t xml:space="preserve">0.9560 </w:t>
            </w:r>
            <w:r w:rsidR="00A0007E" w:rsidRPr="00C94C33">
              <w:rPr>
                <w:rFonts w:asciiTheme="minorHAnsi" w:eastAsia="Times New Roman" w:hAnsiTheme="minorHAnsi" w:cs="Calibri"/>
                <w:kern w:val="16"/>
                <w:sz w:val="18"/>
                <w:szCs w:val="18"/>
              </w:rPr>
              <w:t>(</w:t>
            </w:r>
            <w:r w:rsidRPr="00C94C33">
              <w:rPr>
                <w:rFonts w:asciiTheme="minorHAnsi" w:eastAsia="Times New Roman" w:hAnsiTheme="minorHAnsi" w:cs="Calibri"/>
                <w:kern w:val="16"/>
                <w:sz w:val="18"/>
                <w:szCs w:val="18"/>
              </w:rPr>
              <w:t>90% CI: 0.8566, 1.0670</w:t>
            </w:r>
            <w:r w:rsidR="00A0007E" w:rsidRPr="00C94C33">
              <w:rPr>
                <w:rFonts w:asciiTheme="minorHAnsi" w:eastAsia="Times New Roman" w:hAnsiTheme="minorHAnsi" w:cs="Calibri"/>
                <w:kern w:val="16"/>
                <w:sz w:val="18"/>
                <w:szCs w:val="18"/>
              </w:rPr>
              <w:t>)</w:t>
            </w:r>
          </w:p>
        </w:tc>
        <w:tc>
          <w:tcPr>
            <w:tcW w:w="2977" w:type="dxa"/>
            <w:tcBorders>
              <w:top w:val="nil"/>
              <w:bottom w:val="nil"/>
              <w:right w:val="single" w:sz="4" w:space="0" w:color="auto"/>
            </w:tcBorders>
            <w:shd w:val="clear" w:color="auto" w:fill="auto"/>
          </w:tcPr>
          <w:p w14:paraId="23359789" w14:textId="4C62113C" w:rsidR="00DF61BC" w:rsidRPr="00C94C33" w:rsidRDefault="00DF61BC" w:rsidP="00DF61BC">
            <w:pPr>
              <w:spacing w:before="0" w:line="240" w:lineRule="auto"/>
              <w:jc w:val="both"/>
              <w:rPr>
                <w:rFonts w:asciiTheme="minorHAnsi" w:eastAsia="Times New Roman" w:hAnsiTheme="minorHAnsi" w:cs="Calibri"/>
                <w:kern w:val="16"/>
                <w:sz w:val="18"/>
                <w:szCs w:val="18"/>
              </w:rPr>
            </w:pPr>
            <w:r w:rsidRPr="00C94C33">
              <w:rPr>
                <w:rFonts w:asciiTheme="minorHAnsi" w:eastAsia="Times New Roman" w:hAnsiTheme="minorHAnsi" w:cs="Calibri"/>
                <w:kern w:val="16"/>
                <w:sz w:val="18"/>
                <w:szCs w:val="18"/>
              </w:rPr>
              <w:t xml:space="preserve">0.5526 </w:t>
            </w:r>
            <w:r w:rsidR="00A0007E" w:rsidRPr="00C94C33">
              <w:rPr>
                <w:rFonts w:asciiTheme="minorHAnsi" w:eastAsia="Times New Roman" w:hAnsiTheme="minorHAnsi" w:cs="Calibri"/>
                <w:kern w:val="16"/>
                <w:sz w:val="18"/>
                <w:szCs w:val="18"/>
              </w:rPr>
              <w:t>(</w:t>
            </w:r>
            <w:r w:rsidRPr="00C94C33">
              <w:rPr>
                <w:rFonts w:asciiTheme="minorHAnsi" w:eastAsia="Times New Roman" w:hAnsiTheme="minorHAnsi" w:cs="Calibri"/>
                <w:kern w:val="16"/>
                <w:sz w:val="18"/>
                <w:szCs w:val="18"/>
              </w:rPr>
              <w:t>95% CI: 0.4802, 0.6358</w:t>
            </w:r>
            <w:r w:rsidR="00A0007E" w:rsidRPr="00C94C33">
              <w:rPr>
                <w:rFonts w:asciiTheme="minorHAnsi" w:eastAsia="Times New Roman" w:hAnsiTheme="minorHAnsi" w:cs="Calibri"/>
                <w:kern w:val="16"/>
                <w:sz w:val="18"/>
                <w:szCs w:val="18"/>
              </w:rPr>
              <w:t>)</w:t>
            </w:r>
          </w:p>
        </w:tc>
      </w:tr>
      <w:tr w:rsidR="00DF61BC" w:rsidRPr="00C94C33" w14:paraId="56F37C20" w14:textId="77777777" w:rsidTr="00A17407">
        <w:tc>
          <w:tcPr>
            <w:tcW w:w="1526" w:type="dxa"/>
            <w:tcBorders>
              <w:top w:val="nil"/>
              <w:left w:val="single" w:sz="4" w:space="0" w:color="auto"/>
            </w:tcBorders>
            <w:shd w:val="clear" w:color="auto" w:fill="auto"/>
          </w:tcPr>
          <w:p w14:paraId="446AB5B2" w14:textId="77777777" w:rsidR="00DF61BC" w:rsidRPr="00C94C33" w:rsidRDefault="00DF61BC" w:rsidP="00DF61BC">
            <w:pPr>
              <w:spacing w:before="0" w:line="240" w:lineRule="auto"/>
              <w:jc w:val="both"/>
              <w:rPr>
                <w:rFonts w:asciiTheme="minorHAnsi" w:eastAsia="Times New Roman" w:hAnsiTheme="minorHAnsi" w:cs="Calibri"/>
                <w:kern w:val="16"/>
                <w:sz w:val="18"/>
                <w:szCs w:val="18"/>
              </w:rPr>
            </w:pPr>
            <w:r w:rsidRPr="00C94C33">
              <w:rPr>
                <w:rFonts w:asciiTheme="minorHAnsi" w:eastAsia="Times New Roman" w:hAnsiTheme="minorHAnsi" w:cs="Calibri"/>
                <w:kern w:val="16"/>
                <w:sz w:val="18"/>
                <w:szCs w:val="18"/>
              </w:rPr>
              <w:t xml:space="preserve">AUC0-inf </w:t>
            </w:r>
          </w:p>
        </w:tc>
        <w:tc>
          <w:tcPr>
            <w:tcW w:w="3260" w:type="dxa"/>
            <w:tcBorders>
              <w:top w:val="nil"/>
            </w:tcBorders>
            <w:shd w:val="clear" w:color="auto" w:fill="auto"/>
          </w:tcPr>
          <w:p w14:paraId="4CC94627" w14:textId="3E7693CB" w:rsidR="00DF61BC" w:rsidRPr="00C94C33" w:rsidRDefault="00DF61BC" w:rsidP="00DF61BC">
            <w:pPr>
              <w:spacing w:before="0" w:line="240" w:lineRule="auto"/>
              <w:jc w:val="both"/>
              <w:rPr>
                <w:rFonts w:asciiTheme="minorHAnsi" w:eastAsia="Times New Roman" w:hAnsiTheme="minorHAnsi" w:cs="Calibri"/>
                <w:kern w:val="16"/>
                <w:sz w:val="18"/>
                <w:szCs w:val="18"/>
              </w:rPr>
            </w:pPr>
            <w:r w:rsidRPr="00C94C33">
              <w:rPr>
                <w:rFonts w:asciiTheme="minorHAnsi" w:eastAsia="Times New Roman" w:hAnsiTheme="minorHAnsi" w:cs="Calibri"/>
                <w:kern w:val="16"/>
                <w:sz w:val="18"/>
                <w:szCs w:val="18"/>
              </w:rPr>
              <w:t xml:space="preserve">0.9559 </w:t>
            </w:r>
            <w:r w:rsidR="00A0007E" w:rsidRPr="00C94C33">
              <w:rPr>
                <w:rFonts w:asciiTheme="minorHAnsi" w:eastAsia="Times New Roman" w:hAnsiTheme="minorHAnsi" w:cs="Calibri"/>
                <w:kern w:val="16"/>
                <w:sz w:val="18"/>
                <w:szCs w:val="18"/>
              </w:rPr>
              <w:t>(</w:t>
            </w:r>
            <w:r w:rsidRPr="00C94C33">
              <w:rPr>
                <w:rFonts w:asciiTheme="minorHAnsi" w:eastAsia="Times New Roman" w:hAnsiTheme="minorHAnsi" w:cs="Calibri"/>
                <w:kern w:val="16"/>
                <w:sz w:val="18"/>
                <w:szCs w:val="18"/>
              </w:rPr>
              <w:t>90% CI: 0.8556, 1.0680</w:t>
            </w:r>
            <w:r w:rsidR="00A0007E" w:rsidRPr="00C94C33">
              <w:rPr>
                <w:rFonts w:asciiTheme="minorHAnsi" w:eastAsia="Times New Roman" w:hAnsiTheme="minorHAnsi" w:cs="Calibri"/>
                <w:kern w:val="16"/>
                <w:sz w:val="18"/>
                <w:szCs w:val="18"/>
              </w:rPr>
              <w:t>)</w:t>
            </w:r>
            <w:r w:rsidRPr="00C94C33">
              <w:rPr>
                <w:rFonts w:asciiTheme="minorHAnsi" w:eastAsia="Times New Roman" w:hAnsiTheme="minorHAnsi" w:cs="Calibri"/>
                <w:kern w:val="16"/>
                <w:sz w:val="18"/>
                <w:szCs w:val="18"/>
              </w:rPr>
              <w:t xml:space="preserve"> </w:t>
            </w:r>
          </w:p>
        </w:tc>
        <w:tc>
          <w:tcPr>
            <w:tcW w:w="2977" w:type="dxa"/>
            <w:tcBorders>
              <w:top w:val="nil"/>
              <w:right w:val="single" w:sz="4" w:space="0" w:color="auto"/>
            </w:tcBorders>
            <w:shd w:val="clear" w:color="auto" w:fill="auto"/>
          </w:tcPr>
          <w:p w14:paraId="609533DC" w14:textId="273B795E" w:rsidR="00DF61BC" w:rsidRPr="00C94C33" w:rsidRDefault="00DF61BC" w:rsidP="00DF61BC">
            <w:pPr>
              <w:spacing w:before="0" w:line="240" w:lineRule="auto"/>
              <w:jc w:val="both"/>
              <w:rPr>
                <w:rFonts w:asciiTheme="minorHAnsi" w:eastAsia="Times New Roman" w:hAnsiTheme="minorHAnsi" w:cs="Calibri"/>
                <w:kern w:val="16"/>
                <w:sz w:val="18"/>
                <w:szCs w:val="18"/>
              </w:rPr>
            </w:pPr>
            <w:r w:rsidRPr="00C94C33">
              <w:rPr>
                <w:rFonts w:asciiTheme="minorHAnsi" w:eastAsia="Times New Roman" w:hAnsiTheme="minorHAnsi" w:cs="Calibri"/>
                <w:kern w:val="16"/>
                <w:sz w:val="18"/>
                <w:szCs w:val="18"/>
              </w:rPr>
              <w:t xml:space="preserve">0.5581 </w:t>
            </w:r>
            <w:r w:rsidR="00A0007E" w:rsidRPr="00C94C33">
              <w:rPr>
                <w:rFonts w:asciiTheme="minorHAnsi" w:eastAsia="Times New Roman" w:hAnsiTheme="minorHAnsi" w:cs="Calibri"/>
                <w:kern w:val="16"/>
                <w:sz w:val="18"/>
                <w:szCs w:val="18"/>
              </w:rPr>
              <w:t>(</w:t>
            </w:r>
            <w:r w:rsidRPr="00C94C33">
              <w:rPr>
                <w:rFonts w:asciiTheme="minorHAnsi" w:eastAsia="Times New Roman" w:hAnsiTheme="minorHAnsi" w:cs="Calibri"/>
                <w:kern w:val="16"/>
                <w:sz w:val="18"/>
                <w:szCs w:val="18"/>
              </w:rPr>
              <w:t>95% CI: 0.4802, 0.6392</w:t>
            </w:r>
            <w:r w:rsidR="00A0007E" w:rsidRPr="00C94C33">
              <w:rPr>
                <w:rFonts w:asciiTheme="minorHAnsi" w:eastAsia="Times New Roman" w:hAnsiTheme="minorHAnsi" w:cs="Calibri"/>
                <w:kern w:val="16"/>
                <w:sz w:val="18"/>
                <w:szCs w:val="18"/>
              </w:rPr>
              <w:t>)</w:t>
            </w:r>
            <w:r w:rsidRPr="00C94C33">
              <w:rPr>
                <w:rFonts w:asciiTheme="minorHAnsi" w:eastAsia="Times New Roman" w:hAnsiTheme="minorHAnsi" w:cs="Calibri"/>
                <w:kern w:val="16"/>
                <w:sz w:val="18"/>
                <w:szCs w:val="18"/>
              </w:rPr>
              <w:t xml:space="preserve"> </w:t>
            </w:r>
          </w:p>
        </w:tc>
      </w:tr>
    </w:tbl>
    <w:p w14:paraId="55EDC578" w14:textId="605D2150" w:rsidR="00DF61BC" w:rsidRPr="00C94C33" w:rsidRDefault="00DF61BC" w:rsidP="00A17407">
      <w:r w:rsidRPr="00C94C33">
        <w:t>The safety of TAS-102 was evaluated during the PK Part of the study in 16 subjects. 6 out of the 16</w:t>
      </w:r>
      <w:r w:rsidR="00E25BFA" w:rsidRPr="00C94C33">
        <w:t> </w:t>
      </w:r>
      <w:r w:rsidRPr="00C94C33">
        <w:t>patients treated with TAS-102 experienced adverse events, which were all Grade 1 or Grade 2 in severity. The AEs by preferred term were nausea, pyrexia, monocyte count decreased, neutrophil count decreased, decreased appetite, back pain, headache, cough, productive cough, and rhinitis allergic in 1 patient each. Adverse drug reactions occurred in 2 out of 16 patients treated with the study drug, and were Grade 1 or Grade 2 in severity. The adverse reactions by preferred terms were nausea, monocyte count, and decreased neutrophil count in 1 patient, and headache in 1 patient. No deaths or serious adverse events occurred during the PK Part of the study, and no patient was withdrawn from the study due to an adverse event. No clinically significant changes were observed in laboratory test results or vital signs in either the fed or fasted state.</w:t>
      </w:r>
    </w:p>
    <w:p w14:paraId="1DBD7160" w14:textId="0A7F4E90" w:rsidR="00DF61BC" w:rsidRPr="00C94C33" w:rsidRDefault="00DF61BC" w:rsidP="005C2FCA">
      <w:pPr>
        <w:pStyle w:val="Comment"/>
      </w:pPr>
      <w:r w:rsidRPr="005C2FCA">
        <w:rPr>
          <w:b/>
        </w:rPr>
        <w:t>Comment:</w:t>
      </w:r>
      <w:r w:rsidR="00A17407" w:rsidRPr="007709B8">
        <w:t xml:space="preserve"> </w:t>
      </w:r>
      <w:r w:rsidR="00E25BFA" w:rsidRPr="00C94C33">
        <w:t xml:space="preserve"> </w:t>
      </w:r>
      <w:r w:rsidRPr="00C94C33">
        <w:t xml:space="preserve">This was a good quality study investigating the effect of food on the PK of TAS-102. The study showed that food did not significantly affect the AUC of FTD, but reduced the Cmax of FTD and the Cmax and AUC of TPI by about 40% to 45%. The 90% CIs of the geometric mean ratios (fed/fasting) of AUC for FTD were within the range of 0.80 to 1.25, which is the accepted range for demonstration of bioequivalence. The similar AUC values of FTD in the fed and fasted state suggests that efficacy of TAS-102 is unlikely to be significantly affected by administration with or without food. However, a significant correlation was observed between increased Cmax of FTD and decreased neutrophil count in the TAS-102 dose-finding study conducted in Japanese patients </w:t>
      </w:r>
      <w:r w:rsidR="00E25BFA" w:rsidRPr="00C94C33">
        <w:t>(Study </w:t>
      </w:r>
      <w:r w:rsidRPr="00C94C33">
        <w:t>J001</w:t>
      </w:r>
      <w:r w:rsidR="00396451" w:rsidRPr="00C94C33">
        <w:noBreakHyphen/>
      </w:r>
      <w:r w:rsidRPr="00C94C33">
        <w:t>10040010</w:t>
      </w:r>
      <w:r w:rsidR="00E25BFA" w:rsidRPr="00C94C33">
        <w:t>)</w:t>
      </w:r>
      <w:r w:rsidRPr="00C94C33">
        <w:t>. This observation suggests that TAS-102 should be administered with food, as the Cmax of FTD in the fed state was lower than in the fasting state.</w:t>
      </w:r>
    </w:p>
    <w:p w14:paraId="07B32F1E" w14:textId="77777777" w:rsidR="00DF61BC" w:rsidRPr="00C94C33" w:rsidRDefault="00DF61BC" w:rsidP="00955252">
      <w:pPr>
        <w:pStyle w:val="Heading4"/>
      </w:pPr>
      <w:r w:rsidRPr="00C94C33">
        <w:t>Dose proportionality</w:t>
      </w:r>
    </w:p>
    <w:p w14:paraId="00235111" w14:textId="645385F2" w:rsidR="00DF61BC" w:rsidRPr="00C94C33" w:rsidRDefault="00DF61BC" w:rsidP="00A17407">
      <w:pPr>
        <w:autoSpaceDE w:val="0"/>
        <w:autoSpaceDN w:val="0"/>
        <w:adjustRightInd w:val="0"/>
        <w:spacing w:before="0" w:line="240" w:lineRule="auto"/>
        <w:rPr>
          <w:rFonts w:eastAsia="Times New Roman" w:cs="TimesNewRomanPSMT"/>
          <w:color w:val="000000"/>
          <w:lang w:eastAsia="en-AU"/>
        </w:rPr>
      </w:pPr>
      <w:r w:rsidRPr="00C94C33">
        <w:rPr>
          <w:rFonts w:eastAsia="Times New Roman" w:cs="TimesNewRomanPSMT"/>
          <w:color w:val="000000"/>
          <w:lang w:eastAsia="en-AU"/>
        </w:rPr>
        <w:t xml:space="preserve">In </w:t>
      </w:r>
      <w:r w:rsidR="00E25BFA" w:rsidRPr="00C94C33">
        <w:rPr>
          <w:rFonts w:eastAsia="Times New Roman" w:cs="TimesNewRomanPSMT"/>
          <w:color w:val="000000"/>
          <w:lang w:eastAsia="en-AU"/>
        </w:rPr>
        <w:t>S</w:t>
      </w:r>
      <w:r w:rsidRPr="00C94C33">
        <w:rPr>
          <w:rFonts w:eastAsia="Times New Roman" w:cs="TimesNewRomanPSMT"/>
          <w:color w:val="000000"/>
          <w:lang w:eastAsia="en-AU"/>
        </w:rPr>
        <w:t>tudy J001-10040010, dose proportionality of five escalating TAS-102 dose levels were evaluated in Japanese patients with confirmed solid tumours responding poorly to treatment. The doses of interest were 15 mg/m</w:t>
      </w:r>
      <w:r w:rsidRPr="00C94C33">
        <w:rPr>
          <w:rFonts w:eastAsia="Times New Roman" w:cs="TimesNewRomanPSMT"/>
          <w:color w:val="000000"/>
          <w:vertAlign w:val="superscript"/>
          <w:lang w:eastAsia="en-AU"/>
        </w:rPr>
        <w:t>2</w:t>
      </w:r>
      <w:r w:rsidRPr="00C94C33">
        <w:rPr>
          <w:rFonts w:eastAsia="Times New Roman" w:cs="TimesNewRomanPSMT"/>
          <w:color w:val="000000"/>
          <w:lang w:eastAsia="en-AU"/>
        </w:rPr>
        <w:t xml:space="preserve"> BD (</w:t>
      </w:r>
      <w:r w:rsidR="009C0389" w:rsidRPr="00C94C33">
        <w:rPr>
          <w:rFonts w:eastAsia="Times New Roman" w:cs="TimesNewRomanPSMT"/>
          <w:color w:val="000000"/>
          <w:lang w:eastAsia="en-AU"/>
        </w:rPr>
        <w:t xml:space="preserve">n = </w:t>
      </w:r>
      <w:r w:rsidRPr="00C94C33">
        <w:rPr>
          <w:rFonts w:eastAsia="Times New Roman" w:cs="TimesNewRomanPSMT"/>
          <w:color w:val="000000"/>
          <w:lang w:eastAsia="en-AU"/>
        </w:rPr>
        <w:t>6), 20 mg/m</w:t>
      </w:r>
      <w:r w:rsidRPr="00C94C33">
        <w:rPr>
          <w:rFonts w:eastAsia="Times New Roman" w:cs="TimesNewRomanPSMT"/>
          <w:color w:val="000000"/>
          <w:vertAlign w:val="superscript"/>
          <w:lang w:eastAsia="en-AU"/>
        </w:rPr>
        <w:t>2</w:t>
      </w:r>
      <w:r w:rsidRPr="00C94C33">
        <w:rPr>
          <w:rFonts w:eastAsia="Times New Roman" w:cs="TimesNewRomanPSMT"/>
          <w:color w:val="000000"/>
          <w:lang w:eastAsia="en-AU"/>
        </w:rPr>
        <w:t xml:space="preserve"> BD (</w:t>
      </w:r>
      <w:r w:rsidR="009C0389" w:rsidRPr="00C94C33">
        <w:rPr>
          <w:rFonts w:eastAsia="Times New Roman" w:cs="TimesNewRomanPSMT"/>
          <w:color w:val="000000"/>
          <w:lang w:eastAsia="en-AU"/>
        </w:rPr>
        <w:t xml:space="preserve">n = </w:t>
      </w:r>
      <w:r w:rsidRPr="00C94C33">
        <w:rPr>
          <w:rFonts w:eastAsia="Times New Roman" w:cs="TimesNewRomanPSMT"/>
          <w:color w:val="000000"/>
          <w:lang w:eastAsia="en-AU"/>
        </w:rPr>
        <w:t>3), 25 mg/m</w:t>
      </w:r>
      <w:r w:rsidRPr="00C94C33">
        <w:rPr>
          <w:rFonts w:eastAsia="Times New Roman" w:cs="TimesNewRomanPSMT"/>
          <w:color w:val="000000"/>
          <w:vertAlign w:val="superscript"/>
          <w:lang w:eastAsia="en-AU"/>
        </w:rPr>
        <w:t>2</w:t>
      </w:r>
      <w:r w:rsidRPr="00C94C33">
        <w:rPr>
          <w:rFonts w:eastAsia="Times New Roman" w:cs="TimesNewRomanPSMT"/>
          <w:color w:val="000000"/>
          <w:lang w:eastAsia="en-AU"/>
        </w:rPr>
        <w:t xml:space="preserve"> BD (</w:t>
      </w:r>
      <w:r w:rsidR="009C0389" w:rsidRPr="00C94C33">
        <w:rPr>
          <w:rFonts w:eastAsia="Times New Roman" w:cs="TimesNewRomanPSMT"/>
          <w:color w:val="000000"/>
          <w:lang w:eastAsia="en-AU"/>
        </w:rPr>
        <w:t xml:space="preserve">n = </w:t>
      </w:r>
      <w:r w:rsidRPr="00C94C33">
        <w:rPr>
          <w:rFonts w:eastAsia="Times New Roman" w:cs="TimesNewRomanPSMT"/>
          <w:color w:val="000000"/>
          <w:lang w:eastAsia="en-AU"/>
        </w:rPr>
        <w:t>3), 30 mg/m</w:t>
      </w:r>
      <w:r w:rsidRPr="00C94C33">
        <w:rPr>
          <w:rFonts w:eastAsia="Times New Roman" w:cs="TimesNewRomanPSMT"/>
          <w:color w:val="000000"/>
          <w:vertAlign w:val="superscript"/>
          <w:lang w:eastAsia="en-AU"/>
        </w:rPr>
        <w:t>2</w:t>
      </w:r>
      <w:r w:rsidRPr="00C94C33">
        <w:rPr>
          <w:rFonts w:eastAsia="Times New Roman" w:cs="TimesNewRomanPSMT"/>
          <w:color w:val="000000"/>
          <w:lang w:eastAsia="en-AU"/>
        </w:rPr>
        <w:t xml:space="preserve"> BD (</w:t>
      </w:r>
      <w:r w:rsidR="009C0389" w:rsidRPr="00C94C33">
        <w:rPr>
          <w:rFonts w:eastAsia="Times New Roman" w:cs="TimesNewRomanPSMT"/>
          <w:color w:val="000000"/>
          <w:lang w:eastAsia="en-AU"/>
        </w:rPr>
        <w:t xml:space="preserve">n = </w:t>
      </w:r>
      <w:r w:rsidRPr="00C94C33">
        <w:rPr>
          <w:rFonts w:eastAsia="Times New Roman" w:cs="TimesNewRomanPSMT"/>
          <w:color w:val="000000"/>
          <w:lang w:eastAsia="en-AU"/>
        </w:rPr>
        <w:t>3), and 35 mg/m</w:t>
      </w:r>
      <w:r w:rsidRPr="00C94C33">
        <w:rPr>
          <w:rFonts w:eastAsia="Times New Roman" w:cs="TimesNewRomanPSMT"/>
          <w:color w:val="000000"/>
          <w:vertAlign w:val="superscript"/>
          <w:lang w:eastAsia="en-AU"/>
        </w:rPr>
        <w:t>2</w:t>
      </w:r>
      <w:r w:rsidRPr="00C94C33">
        <w:rPr>
          <w:rFonts w:eastAsia="Times New Roman" w:cs="TimesNewRomanPSMT"/>
          <w:color w:val="000000"/>
          <w:lang w:eastAsia="en-AU"/>
        </w:rPr>
        <w:t xml:space="preserve"> BD (</w:t>
      </w:r>
      <w:r w:rsidR="009C0389" w:rsidRPr="00C94C33">
        <w:rPr>
          <w:rFonts w:eastAsia="Times New Roman" w:cs="TimesNewRomanPSMT"/>
          <w:color w:val="000000"/>
          <w:lang w:eastAsia="en-AU"/>
        </w:rPr>
        <w:t xml:space="preserve">n = </w:t>
      </w:r>
      <w:r w:rsidRPr="00C94C33">
        <w:rPr>
          <w:rFonts w:eastAsia="Times New Roman" w:cs="TimesNewRomanPSMT"/>
          <w:color w:val="000000"/>
          <w:lang w:eastAsia="en-AU"/>
        </w:rPr>
        <w:t xml:space="preserve">6). </w:t>
      </w:r>
      <w:r w:rsidRPr="00C94C33">
        <w:rPr>
          <w:rFonts w:eastAsia="Times New Roman"/>
          <w:lang w:eastAsia="en-AU"/>
        </w:rPr>
        <w:t>TAS-102 was administered orally for 5 days a week with 2 days rest for 2 weeks, followed by a 14</w:t>
      </w:r>
      <w:r w:rsidR="009C0389" w:rsidRPr="00C94C33">
        <w:rPr>
          <w:rFonts w:eastAsia="Times New Roman"/>
          <w:lang w:eastAsia="en-AU"/>
        </w:rPr>
        <w:t xml:space="preserve"> day</w:t>
      </w:r>
      <w:r w:rsidRPr="00C94C33">
        <w:rPr>
          <w:rFonts w:eastAsia="Times New Roman"/>
          <w:lang w:eastAsia="en-AU"/>
        </w:rPr>
        <w:t xml:space="preserve"> rest (1 treatment cycle), repeated every 4 weeks. </w:t>
      </w:r>
      <w:r w:rsidRPr="00C94C33">
        <w:rPr>
          <w:rFonts w:eastAsia="Times New Roman" w:cs="TimesNewRomanPSMT"/>
          <w:color w:val="000000"/>
          <w:lang w:eastAsia="en-AU"/>
        </w:rPr>
        <w:t xml:space="preserve">Serial blood samples were collected for PK evaluation before and after TAS-102 dosing on Days 1 and 12, and before dosing on Day 5. Urine samples were collected before dosing and </w:t>
      </w:r>
      <w:r w:rsidR="00C705AB">
        <w:rPr>
          <w:rFonts w:eastAsia="Times New Roman" w:cs="TimesNewRomanPSMT"/>
          <w:color w:val="000000"/>
          <w:lang w:eastAsia="en-AU"/>
        </w:rPr>
        <w:t>at 10 hours post-dose on Day 1.</w:t>
      </w:r>
    </w:p>
    <w:p w14:paraId="65E9B15F" w14:textId="77777777" w:rsidR="00DF61BC" w:rsidRPr="00C94C33" w:rsidRDefault="00DF61BC" w:rsidP="00A17407">
      <w:pPr>
        <w:autoSpaceDE w:val="0"/>
        <w:autoSpaceDN w:val="0"/>
        <w:adjustRightInd w:val="0"/>
        <w:spacing w:before="0" w:line="240" w:lineRule="auto"/>
        <w:rPr>
          <w:rFonts w:eastAsia="Times New Roman"/>
          <w:lang w:eastAsia="en-AU"/>
        </w:rPr>
      </w:pPr>
      <w:r w:rsidRPr="00C94C33">
        <w:rPr>
          <w:rFonts w:eastAsia="Times New Roman"/>
          <w:lang w:eastAsia="en-AU"/>
        </w:rPr>
        <w:t>Linearity was evaluated in a linear regression analysis exploring the relationship between plasma C</w:t>
      </w:r>
      <w:r w:rsidRPr="00C94C33">
        <w:rPr>
          <w:rFonts w:eastAsia="Times New Roman"/>
          <w:sz w:val="20"/>
          <w:szCs w:val="20"/>
          <w:lang w:eastAsia="en-AU"/>
        </w:rPr>
        <w:t>max</w:t>
      </w:r>
      <w:r w:rsidRPr="00C94C33">
        <w:rPr>
          <w:rFonts w:eastAsia="Times New Roman"/>
          <w:lang w:eastAsia="en-AU"/>
        </w:rPr>
        <w:t>, AUC</w:t>
      </w:r>
      <w:r w:rsidRPr="00C94C33">
        <w:rPr>
          <w:rFonts w:eastAsia="Times New Roman"/>
          <w:sz w:val="20"/>
          <w:szCs w:val="20"/>
          <w:lang w:eastAsia="en-AU"/>
        </w:rPr>
        <w:t xml:space="preserve">0-10h </w:t>
      </w:r>
      <w:r w:rsidRPr="00C94C33">
        <w:rPr>
          <w:rFonts w:eastAsia="Times New Roman"/>
          <w:lang w:eastAsia="en-AU"/>
        </w:rPr>
        <w:t>and AUC</w:t>
      </w:r>
      <w:r w:rsidRPr="00C94C33">
        <w:rPr>
          <w:rFonts w:eastAsia="Times New Roman"/>
          <w:sz w:val="20"/>
          <w:szCs w:val="20"/>
          <w:lang w:eastAsia="en-AU"/>
        </w:rPr>
        <w:t>inf</w:t>
      </w:r>
      <w:r w:rsidRPr="00C94C33">
        <w:rPr>
          <w:rFonts w:eastAsia="Times New Roman"/>
          <w:lang w:eastAsia="en-AU"/>
        </w:rPr>
        <w:t xml:space="preserve"> of FTD and TPI on Day 1. The five patients assigned to the dose level of 30 mg/m</w:t>
      </w:r>
      <w:r w:rsidRPr="00C94C33">
        <w:rPr>
          <w:rFonts w:eastAsia="Times New Roman"/>
          <w:vertAlign w:val="superscript"/>
          <w:lang w:eastAsia="en-AU"/>
        </w:rPr>
        <w:t>2</w:t>
      </w:r>
      <w:r w:rsidRPr="00C94C33">
        <w:rPr>
          <w:rFonts w:eastAsia="Times New Roman"/>
          <w:lang w:eastAsia="en-AU"/>
        </w:rPr>
        <w:t xml:space="preserve">/day were given 20 mg of TAS-102 in the morning, which means that their total daily </w:t>
      </w:r>
      <w:r w:rsidRPr="00C94C33">
        <w:rPr>
          <w:rFonts w:eastAsia="Times New Roman"/>
          <w:lang w:eastAsia="en-AU"/>
        </w:rPr>
        <w:lastRenderedPageBreak/>
        <w:t>dose was 50 mg rather than 60 mg. In these patients, a dose of 24 mg/m</w:t>
      </w:r>
      <w:r w:rsidRPr="00C94C33">
        <w:rPr>
          <w:rFonts w:eastAsia="Times New Roman"/>
          <w:vertAlign w:val="superscript"/>
          <w:lang w:eastAsia="en-AU"/>
        </w:rPr>
        <w:t>2</w:t>
      </w:r>
      <w:r w:rsidRPr="00C94C33">
        <w:rPr>
          <w:rFonts w:eastAsia="Times New Roman"/>
          <w:lang w:eastAsia="en-AU"/>
        </w:rPr>
        <w:t xml:space="preserve"> per day was used for the analysis.</w:t>
      </w:r>
    </w:p>
    <w:p w14:paraId="51466C31" w14:textId="7EFEA5C4" w:rsidR="00DF61BC" w:rsidRPr="00C94C33" w:rsidRDefault="00DF61BC" w:rsidP="00A17407">
      <w:pPr>
        <w:autoSpaceDE w:val="0"/>
        <w:autoSpaceDN w:val="0"/>
        <w:adjustRightInd w:val="0"/>
        <w:spacing w:before="0" w:line="240" w:lineRule="auto"/>
        <w:rPr>
          <w:rFonts w:eastAsia="Times New Roman"/>
          <w:lang w:eastAsia="en-AU"/>
        </w:rPr>
      </w:pPr>
      <w:r w:rsidRPr="00C94C33">
        <w:rPr>
          <w:rFonts w:eastAsia="Times New Roman"/>
          <w:lang w:eastAsia="en-AU"/>
        </w:rPr>
        <w:t>The results of the linear regression for FTD are shown below. The lack of fit (LOF) of the model was not significant for each of the parameters, indicating that the model is valid.  The slope of the three parameters was significant indicating that the parameters increase with dose. However, the intercept for AUC</w:t>
      </w:r>
      <w:r w:rsidRPr="00C94C33">
        <w:rPr>
          <w:rFonts w:eastAsia="Times New Roman"/>
          <w:sz w:val="20"/>
          <w:szCs w:val="20"/>
          <w:lang w:eastAsia="en-AU"/>
        </w:rPr>
        <w:t xml:space="preserve">0-10h </w:t>
      </w:r>
      <w:r w:rsidRPr="00C94C33">
        <w:rPr>
          <w:rFonts w:eastAsia="Times New Roman"/>
          <w:lang w:eastAsia="en-AU"/>
        </w:rPr>
        <w:t>was statistically significant, with the 95% CI excluding zero, while the intercepts for C</w:t>
      </w:r>
      <w:r w:rsidRPr="00C94C33">
        <w:rPr>
          <w:rFonts w:eastAsia="Times New Roman"/>
          <w:sz w:val="20"/>
          <w:szCs w:val="20"/>
          <w:lang w:eastAsia="en-AU"/>
        </w:rPr>
        <w:t>max</w:t>
      </w:r>
      <w:r w:rsidRPr="00C94C33">
        <w:rPr>
          <w:rFonts w:eastAsia="Times New Roman"/>
          <w:lang w:eastAsia="en-AU"/>
        </w:rPr>
        <w:t xml:space="preserve"> and AUC</w:t>
      </w:r>
      <w:r w:rsidRPr="00C94C33">
        <w:rPr>
          <w:rFonts w:eastAsia="Times New Roman"/>
          <w:sz w:val="20"/>
          <w:szCs w:val="20"/>
          <w:lang w:eastAsia="en-AU"/>
        </w:rPr>
        <w:t>inf</w:t>
      </w:r>
      <w:r w:rsidRPr="00C94C33">
        <w:rPr>
          <w:rFonts w:eastAsia="Times New Roman"/>
          <w:lang w:eastAsia="en-AU"/>
        </w:rPr>
        <w:t xml:space="preserve"> were not statistically significant with the 95% CIs including zero. Therefore, it can be concluded that AUC</w:t>
      </w:r>
      <w:r w:rsidRPr="00C94C33">
        <w:rPr>
          <w:rFonts w:eastAsia="Times New Roman"/>
          <w:sz w:val="20"/>
          <w:szCs w:val="20"/>
          <w:lang w:eastAsia="en-AU"/>
        </w:rPr>
        <w:t xml:space="preserve">0-10h </w:t>
      </w:r>
      <w:r w:rsidRPr="00C94C33">
        <w:rPr>
          <w:rFonts w:eastAsia="Times New Roman"/>
          <w:lang w:eastAsia="en-AU"/>
        </w:rPr>
        <w:t>demonstrates non-linearity, while linearity for C</w:t>
      </w:r>
      <w:r w:rsidRPr="00C94C33">
        <w:rPr>
          <w:rFonts w:eastAsia="Times New Roman"/>
          <w:sz w:val="20"/>
          <w:szCs w:val="20"/>
          <w:lang w:eastAsia="en-AU"/>
        </w:rPr>
        <w:t>max</w:t>
      </w:r>
      <w:r w:rsidRPr="00C94C33">
        <w:rPr>
          <w:rFonts w:eastAsia="Times New Roman"/>
          <w:lang w:eastAsia="en-AU"/>
        </w:rPr>
        <w:t xml:space="preserve"> and AUC</w:t>
      </w:r>
      <w:r w:rsidRPr="00C94C33">
        <w:rPr>
          <w:rFonts w:eastAsia="Times New Roman"/>
          <w:sz w:val="20"/>
          <w:szCs w:val="20"/>
          <w:lang w:eastAsia="en-AU"/>
        </w:rPr>
        <w:t>inf</w:t>
      </w:r>
      <w:r w:rsidRPr="00C94C33">
        <w:rPr>
          <w:rFonts w:eastAsia="Times New Roman"/>
          <w:lang w:eastAsia="en-AU"/>
        </w:rPr>
        <w:t xml:space="preserve"> were confirmed. Examination of the results for the linear regression analysis for TPI confirmed linearity for C</w:t>
      </w:r>
      <w:r w:rsidRPr="00C94C33">
        <w:rPr>
          <w:rFonts w:eastAsia="Times New Roman"/>
          <w:sz w:val="20"/>
          <w:szCs w:val="20"/>
          <w:lang w:eastAsia="en-AU"/>
        </w:rPr>
        <w:t>max</w:t>
      </w:r>
      <w:r w:rsidRPr="00C94C33">
        <w:rPr>
          <w:rFonts w:eastAsia="Times New Roman"/>
          <w:lang w:eastAsia="en-AU"/>
        </w:rPr>
        <w:t>, AUC</w:t>
      </w:r>
      <w:r w:rsidRPr="00C94C33">
        <w:rPr>
          <w:rFonts w:eastAsia="Times New Roman"/>
          <w:sz w:val="20"/>
          <w:szCs w:val="20"/>
          <w:lang w:eastAsia="en-AU"/>
        </w:rPr>
        <w:t xml:space="preserve">0-10h </w:t>
      </w:r>
      <w:r w:rsidRPr="00C94C33">
        <w:rPr>
          <w:rFonts w:eastAsia="Times New Roman"/>
          <w:lang w:eastAsia="en-AU"/>
        </w:rPr>
        <w:t>and AUC</w:t>
      </w:r>
      <w:r w:rsidR="00C705AB">
        <w:rPr>
          <w:rFonts w:eastAsia="Times New Roman"/>
          <w:sz w:val="20"/>
          <w:szCs w:val="20"/>
          <w:lang w:eastAsia="en-AU"/>
        </w:rPr>
        <w:t>inf.</w:t>
      </w:r>
    </w:p>
    <w:p w14:paraId="15B1847F" w14:textId="3D342D94" w:rsidR="00DF61BC" w:rsidRPr="00C94C33" w:rsidRDefault="00DF61BC" w:rsidP="0058475B">
      <w:pPr>
        <w:pStyle w:val="Tabletitle"/>
        <w:rPr>
          <w:lang w:eastAsia="en-AU"/>
        </w:rPr>
      </w:pPr>
      <w:bookmarkStart w:id="77" w:name="_Toc470948655"/>
      <w:r w:rsidRPr="00C94C33">
        <w:rPr>
          <w:kern w:val="16"/>
          <w:lang w:eastAsia="en-AU"/>
        </w:rPr>
        <w:t xml:space="preserve">Table </w:t>
      </w:r>
      <w:r w:rsidR="00A17407" w:rsidRPr="00C94C33">
        <w:rPr>
          <w:kern w:val="16"/>
          <w:lang w:eastAsia="en-AU"/>
        </w:rPr>
        <w:t xml:space="preserve">6: </w:t>
      </w:r>
      <w:r w:rsidRPr="00C94C33">
        <w:rPr>
          <w:lang w:eastAsia="en-AU"/>
        </w:rPr>
        <w:t>Results of linear regression analysis for trifluridine in plasma on Day 1</w:t>
      </w:r>
      <w:bookmarkEnd w:id="77"/>
    </w:p>
    <w:tbl>
      <w:tblPr>
        <w:tblW w:w="0" w:type="auto"/>
        <w:tblInd w:w="146" w:type="dxa"/>
        <w:tblLayout w:type="fixed"/>
        <w:tblCellMar>
          <w:left w:w="0" w:type="dxa"/>
          <w:right w:w="0" w:type="dxa"/>
        </w:tblCellMar>
        <w:tblLook w:val="0000" w:firstRow="0" w:lastRow="0" w:firstColumn="0" w:lastColumn="0" w:noHBand="0" w:noVBand="0"/>
      </w:tblPr>
      <w:tblGrid>
        <w:gridCol w:w="1281"/>
        <w:gridCol w:w="850"/>
        <w:gridCol w:w="1134"/>
        <w:gridCol w:w="20"/>
        <w:gridCol w:w="127"/>
        <w:gridCol w:w="188"/>
        <w:gridCol w:w="658"/>
        <w:gridCol w:w="46"/>
        <w:gridCol w:w="946"/>
        <w:gridCol w:w="551"/>
        <w:gridCol w:w="441"/>
        <w:gridCol w:w="54"/>
        <w:gridCol w:w="298"/>
        <w:gridCol w:w="474"/>
        <w:gridCol w:w="166"/>
        <w:gridCol w:w="695"/>
        <w:gridCol w:w="14"/>
        <w:gridCol w:w="851"/>
      </w:tblGrid>
      <w:tr w:rsidR="00DF61BC" w:rsidRPr="00C94C33" w14:paraId="47D4E0E7" w14:textId="77777777" w:rsidTr="0078778B">
        <w:trPr>
          <w:trHeight w:hRule="exact" w:val="245"/>
        </w:trPr>
        <w:tc>
          <w:tcPr>
            <w:tcW w:w="1281" w:type="dxa"/>
            <w:vMerge w:val="restart"/>
            <w:tcBorders>
              <w:top w:val="single" w:sz="7" w:space="0" w:color="000000"/>
              <w:left w:val="single" w:sz="7" w:space="0" w:color="000000"/>
              <w:bottom w:val="single" w:sz="7" w:space="0" w:color="000000"/>
              <w:right w:val="single" w:sz="7" w:space="0" w:color="000000"/>
            </w:tcBorders>
            <w:shd w:val="clear" w:color="auto" w:fill="auto"/>
          </w:tcPr>
          <w:p w14:paraId="5634B6CE" w14:textId="77777777" w:rsidR="00DF61BC" w:rsidRPr="00C94C33" w:rsidRDefault="00DF61BC" w:rsidP="00A17407">
            <w:pPr>
              <w:kinsoku w:val="0"/>
              <w:overflowPunct w:val="0"/>
              <w:autoSpaceDE w:val="0"/>
              <w:autoSpaceDN w:val="0"/>
              <w:adjustRightInd w:val="0"/>
              <w:spacing w:before="0" w:after="0" w:line="240" w:lineRule="auto"/>
              <w:ind w:left="67"/>
              <w:rPr>
                <w:rFonts w:asciiTheme="minorHAnsi" w:eastAsia="Times New Roman" w:hAnsiTheme="minorHAnsi" w:cs="Calibri"/>
                <w:b/>
                <w:sz w:val="18"/>
                <w:szCs w:val="18"/>
                <w:lang w:eastAsia="en-AU"/>
              </w:rPr>
            </w:pPr>
            <w:r w:rsidRPr="00C94C33">
              <w:rPr>
                <w:rFonts w:asciiTheme="minorHAnsi" w:eastAsia="Times New Roman" w:hAnsiTheme="minorHAnsi" w:cs="Calibri"/>
                <w:b/>
                <w:spacing w:val="-1"/>
                <w:w w:val="105"/>
                <w:sz w:val="18"/>
                <w:szCs w:val="18"/>
                <w:lang w:eastAsia="en-AU"/>
              </w:rPr>
              <w:t>Parameter</w:t>
            </w:r>
          </w:p>
        </w:tc>
        <w:tc>
          <w:tcPr>
            <w:tcW w:w="850" w:type="dxa"/>
            <w:vMerge w:val="restart"/>
            <w:tcBorders>
              <w:top w:val="single" w:sz="7" w:space="0" w:color="000000"/>
              <w:left w:val="single" w:sz="7" w:space="0" w:color="000000"/>
              <w:bottom w:val="single" w:sz="7" w:space="0" w:color="000000"/>
              <w:right w:val="single" w:sz="7" w:space="0" w:color="000000"/>
            </w:tcBorders>
            <w:shd w:val="clear" w:color="auto" w:fill="auto"/>
          </w:tcPr>
          <w:p w14:paraId="3F55DF4B" w14:textId="77777777" w:rsidR="00DF61BC" w:rsidRPr="00C94C33" w:rsidRDefault="00DF61BC" w:rsidP="00A17407">
            <w:pPr>
              <w:kinsoku w:val="0"/>
              <w:overflowPunct w:val="0"/>
              <w:autoSpaceDE w:val="0"/>
              <w:autoSpaceDN w:val="0"/>
              <w:adjustRightInd w:val="0"/>
              <w:spacing w:before="0" w:after="0" w:line="240" w:lineRule="auto"/>
              <w:ind w:left="13"/>
              <w:jc w:val="center"/>
              <w:rPr>
                <w:rFonts w:asciiTheme="minorHAnsi" w:eastAsia="Times New Roman" w:hAnsiTheme="minorHAnsi" w:cs="Calibri"/>
                <w:b/>
                <w:sz w:val="18"/>
                <w:szCs w:val="18"/>
                <w:lang w:eastAsia="en-AU"/>
              </w:rPr>
            </w:pPr>
            <w:r w:rsidRPr="00C94C33">
              <w:rPr>
                <w:rFonts w:asciiTheme="minorHAnsi" w:eastAsia="Times New Roman" w:hAnsiTheme="minorHAnsi" w:cs="Calibri"/>
                <w:b/>
                <w:spacing w:val="-1"/>
                <w:w w:val="105"/>
                <w:position w:val="-9"/>
                <w:sz w:val="18"/>
                <w:szCs w:val="18"/>
                <w:lang w:eastAsia="en-AU"/>
              </w:rPr>
              <w:t>R</w:t>
            </w:r>
            <w:r w:rsidRPr="00C94C33">
              <w:rPr>
                <w:rFonts w:asciiTheme="minorHAnsi" w:eastAsia="Times New Roman" w:hAnsiTheme="minorHAnsi" w:cs="Calibri"/>
                <w:b/>
                <w:spacing w:val="-1"/>
                <w:w w:val="105"/>
                <w:sz w:val="18"/>
                <w:szCs w:val="18"/>
                <w:lang w:eastAsia="en-AU"/>
              </w:rPr>
              <w:t>2</w:t>
            </w:r>
          </w:p>
        </w:tc>
        <w:tc>
          <w:tcPr>
            <w:tcW w:w="1281" w:type="dxa"/>
            <w:gridSpan w:val="3"/>
            <w:tcBorders>
              <w:top w:val="single" w:sz="7" w:space="0" w:color="000000"/>
              <w:left w:val="single" w:sz="7" w:space="0" w:color="000000"/>
              <w:bottom w:val="single" w:sz="2" w:space="0" w:color="000000"/>
              <w:right w:val="nil"/>
            </w:tcBorders>
            <w:shd w:val="clear" w:color="auto" w:fill="auto"/>
          </w:tcPr>
          <w:p w14:paraId="5C640DA5" w14:textId="77777777" w:rsidR="00DF61BC" w:rsidRPr="00C94C33" w:rsidRDefault="00DF61BC" w:rsidP="00A1740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jc w:val="right"/>
              <w:rPr>
                <w:rFonts w:asciiTheme="minorHAnsi" w:eastAsia="Times New Roman" w:hAnsiTheme="minorHAnsi" w:cs="Calibri"/>
                <w:b/>
                <w:kern w:val="16"/>
                <w:sz w:val="18"/>
                <w:szCs w:val="18"/>
                <w:lang w:eastAsia="en-AU"/>
              </w:rPr>
            </w:pPr>
            <w:r w:rsidRPr="00C94C33">
              <w:rPr>
                <w:rFonts w:asciiTheme="minorHAnsi" w:eastAsia="Times New Roman" w:hAnsiTheme="minorHAnsi" w:cs="Calibri"/>
                <w:b/>
                <w:kern w:val="16"/>
                <w:sz w:val="18"/>
                <w:szCs w:val="18"/>
                <w:lang w:eastAsia="en-AU"/>
              </w:rPr>
              <w:t xml:space="preserve">Intercept </w:t>
            </w:r>
          </w:p>
        </w:tc>
        <w:tc>
          <w:tcPr>
            <w:tcW w:w="1838" w:type="dxa"/>
            <w:gridSpan w:val="4"/>
            <w:tcBorders>
              <w:top w:val="single" w:sz="7" w:space="0" w:color="000000"/>
              <w:left w:val="nil"/>
              <w:bottom w:val="single" w:sz="2" w:space="0" w:color="000000"/>
              <w:right w:val="single" w:sz="7" w:space="0" w:color="000000"/>
            </w:tcBorders>
            <w:shd w:val="clear" w:color="auto" w:fill="auto"/>
          </w:tcPr>
          <w:p w14:paraId="056C6523" w14:textId="77777777" w:rsidR="00DF61BC" w:rsidRPr="00C94C33" w:rsidRDefault="00DF61BC" w:rsidP="00A1740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jc w:val="both"/>
              <w:rPr>
                <w:rFonts w:asciiTheme="minorHAnsi" w:eastAsia="Times New Roman" w:hAnsiTheme="minorHAnsi" w:cs="Calibri"/>
                <w:b/>
                <w:kern w:val="16"/>
                <w:sz w:val="18"/>
                <w:szCs w:val="18"/>
                <w:lang w:eastAsia="en-AU"/>
              </w:rPr>
            </w:pPr>
          </w:p>
        </w:tc>
        <w:tc>
          <w:tcPr>
            <w:tcW w:w="2693" w:type="dxa"/>
            <w:gridSpan w:val="8"/>
            <w:tcBorders>
              <w:top w:val="single" w:sz="7" w:space="0" w:color="000000"/>
              <w:left w:val="single" w:sz="7" w:space="0" w:color="000000"/>
              <w:bottom w:val="single" w:sz="2" w:space="0" w:color="000000"/>
              <w:right w:val="single" w:sz="7" w:space="0" w:color="000000"/>
            </w:tcBorders>
            <w:shd w:val="clear" w:color="auto" w:fill="auto"/>
          </w:tcPr>
          <w:p w14:paraId="2A709C4C" w14:textId="77777777" w:rsidR="00DF61BC" w:rsidRPr="00C94C33" w:rsidRDefault="00DF61BC" w:rsidP="00A17407">
            <w:pPr>
              <w:kinsoku w:val="0"/>
              <w:overflowPunct w:val="0"/>
              <w:autoSpaceDE w:val="0"/>
              <w:autoSpaceDN w:val="0"/>
              <w:adjustRightInd w:val="0"/>
              <w:spacing w:before="0" w:after="0" w:line="240" w:lineRule="auto"/>
              <w:ind w:left="13"/>
              <w:jc w:val="center"/>
              <w:rPr>
                <w:rFonts w:asciiTheme="minorHAnsi" w:eastAsia="Times New Roman" w:hAnsiTheme="minorHAnsi" w:cs="Calibri"/>
                <w:b/>
                <w:sz w:val="18"/>
                <w:szCs w:val="18"/>
                <w:lang w:eastAsia="en-AU"/>
              </w:rPr>
            </w:pPr>
            <w:r w:rsidRPr="00C94C33">
              <w:rPr>
                <w:rFonts w:asciiTheme="minorHAnsi" w:eastAsia="Times New Roman" w:hAnsiTheme="minorHAnsi" w:cs="Calibri"/>
                <w:b/>
                <w:w w:val="105"/>
                <w:sz w:val="18"/>
                <w:szCs w:val="18"/>
                <w:lang w:eastAsia="en-AU"/>
              </w:rPr>
              <w:t>Slope</w:t>
            </w:r>
          </w:p>
        </w:tc>
        <w:tc>
          <w:tcPr>
            <w:tcW w:w="851" w:type="dxa"/>
            <w:vMerge w:val="restart"/>
            <w:tcBorders>
              <w:top w:val="single" w:sz="7" w:space="0" w:color="000000"/>
              <w:left w:val="single" w:sz="7" w:space="0" w:color="000000"/>
              <w:bottom w:val="single" w:sz="7" w:space="0" w:color="000000"/>
              <w:right w:val="single" w:sz="7" w:space="0" w:color="000000"/>
            </w:tcBorders>
            <w:shd w:val="clear" w:color="auto" w:fill="auto"/>
          </w:tcPr>
          <w:p w14:paraId="3D28EC5F" w14:textId="77777777" w:rsidR="00DF61BC" w:rsidRPr="00C94C33" w:rsidRDefault="00DF61BC" w:rsidP="00A17407">
            <w:pPr>
              <w:kinsoku w:val="0"/>
              <w:overflowPunct w:val="0"/>
              <w:autoSpaceDE w:val="0"/>
              <w:autoSpaceDN w:val="0"/>
              <w:adjustRightInd w:val="0"/>
              <w:spacing w:before="0" w:after="0" w:line="240" w:lineRule="auto"/>
              <w:ind w:left="13"/>
              <w:jc w:val="center"/>
              <w:rPr>
                <w:rFonts w:asciiTheme="minorHAnsi" w:eastAsia="Times New Roman" w:hAnsiTheme="minorHAnsi" w:cs="Calibri"/>
                <w:b/>
                <w:sz w:val="18"/>
                <w:szCs w:val="18"/>
                <w:lang w:eastAsia="en-AU"/>
              </w:rPr>
            </w:pPr>
            <w:r w:rsidRPr="00C94C33">
              <w:rPr>
                <w:rFonts w:asciiTheme="minorHAnsi" w:eastAsia="Times New Roman" w:hAnsiTheme="minorHAnsi" w:cs="Calibri"/>
                <w:b/>
                <w:spacing w:val="-1"/>
                <w:w w:val="105"/>
                <w:sz w:val="18"/>
                <w:szCs w:val="18"/>
                <w:lang w:eastAsia="en-AU"/>
              </w:rPr>
              <w:t>LOF</w:t>
            </w:r>
          </w:p>
          <w:p w14:paraId="6600CD67" w14:textId="77777777" w:rsidR="00DF61BC" w:rsidRPr="00C94C33" w:rsidRDefault="00DF61BC" w:rsidP="00A17407">
            <w:pPr>
              <w:kinsoku w:val="0"/>
              <w:overflowPunct w:val="0"/>
              <w:autoSpaceDE w:val="0"/>
              <w:autoSpaceDN w:val="0"/>
              <w:adjustRightInd w:val="0"/>
              <w:spacing w:before="0" w:after="0" w:line="240" w:lineRule="auto"/>
              <w:ind w:left="13"/>
              <w:jc w:val="center"/>
              <w:rPr>
                <w:rFonts w:asciiTheme="minorHAnsi" w:eastAsia="Times New Roman" w:hAnsiTheme="minorHAnsi" w:cs="Calibri"/>
                <w:b/>
                <w:sz w:val="18"/>
                <w:szCs w:val="18"/>
                <w:lang w:eastAsia="en-AU"/>
              </w:rPr>
            </w:pPr>
            <w:r w:rsidRPr="00C94C33">
              <w:rPr>
                <w:rFonts w:asciiTheme="minorHAnsi" w:eastAsia="Times New Roman" w:hAnsiTheme="minorHAnsi" w:cs="Calibri"/>
                <w:b/>
                <w:spacing w:val="-1"/>
                <w:w w:val="105"/>
                <w:sz w:val="18"/>
                <w:szCs w:val="18"/>
                <w:lang w:eastAsia="en-AU"/>
              </w:rPr>
              <w:t>p-value</w:t>
            </w:r>
          </w:p>
        </w:tc>
      </w:tr>
      <w:tr w:rsidR="00DF61BC" w:rsidRPr="00C94C33" w14:paraId="6D84D16B" w14:textId="77777777" w:rsidTr="00A17407">
        <w:trPr>
          <w:trHeight w:hRule="exact" w:val="598"/>
        </w:trPr>
        <w:tc>
          <w:tcPr>
            <w:tcW w:w="1281" w:type="dxa"/>
            <w:vMerge/>
            <w:tcBorders>
              <w:top w:val="single" w:sz="7" w:space="0" w:color="000000"/>
              <w:left w:val="single" w:sz="7" w:space="0" w:color="000000"/>
              <w:bottom w:val="single" w:sz="7" w:space="0" w:color="000000"/>
              <w:right w:val="single" w:sz="7" w:space="0" w:color="000000"/>
            </w:tcBorders>
            <w:shd w:val="clear" w:color="auto" w:fill="auto"/>
          </w:tcPr>
          <w:p w14:paraId="4CC4DAC1" w14:textId="77777777" w:rsidR="00DF61BC" w:rsidRPr="00C94C33" w:rsidRDefault="00DF61BC" w:rsidP="00A17407">
            <w:pPr>
              <w:kinsoku w:val="0"/>
              <w:overflowPunct w:val="0"/>
              <w:autoSpaceDE w:val="0"/>
              <w:autoSpaceDN w:val="0"/>
              <w:adjustRightInd w:val="0"/>
              <w:spacing w:before="0" w:after="0" w:line="240" w:lineRule="auto"/>
              <w:ind w:left="13"/>
              <w:jc w:val="center"/>
              <w:rPr>
                <w:rFonts w:asciiTheme="minorHAnsi" w:eastAsia="Times New Roman" w:hAnsiTheme="minorHAnsi" w:cs="Calibri"/>
                <w:sz w:val="18"/>
                <w:szCs w:val="18"/>
                <w:lang w:eastAsia="en-AU"/>
              </w:rPr>
            </w:pPr>
          </w:p>
        </w:tc>
        <w:tc>
          <w:tcPr>
            <w:tcW w:w="850" w:type="dxa"/>
            <w:vMerge/>
            <w:tcBorders>
              <w:top w:val="single" w:sz="7" w:space="0" w:color="000000"/>
              <w:left w:val="single" w:sz="7" w:space="0" w:color="000000"/>
              <w:bottom w:val="single" w:sz="7" w:space="0" w:color="000000"/>
              <w:right w:val="single" w:sz="7" w:space="0" w:color="000000"/>
            </w:tcBorders>
            <w:shd w:val="clear" w:color="auto" w:fill="auto"/>
          </w:tcPr>
          <w:p w14:paraId="3708F9FA" w14:textId="77777777" w:rsidR="00DF61BC" w:rsidRPr="00C94C33" w:rsidRDefault="00DF61BC" w:rsidP="00A17407">
            <w:pPr>
              <w:kinsoku w:val="0"/>
              <w:overflowPunct w:val="0"/>
              <w:autoSpaceDE w:val="0"/>
              <w:autoSpaceDN w:val="0"/>
              <w:adjustRightInd w:val="0"/>
              <w:spacing w:before="0" w:after="0" w:line="240" w:lineRule="auto"/>
              <w:ind w:left="13"/>
              <w:jc w:val="center"/>
              <w:rPr>
                <w:rFonts w:asciiTheme="minorHAnsi" w:eastAsia="Times New Roman" w:hAnsiTheme="minorHAnsi" w:cs="Calibri"/>
                <w:sz w:val="18"/>
                <w:szCs w:val="18"/>
                <w:lang w:eastAsia="en-AU"/>
              </w:rPr>
            </w:pPr>
          </w:p>
        </w:tc>
        <w:tc>
          <w:tcPr>
            <w:tcW w:w="1134" w:type="dxa"/>
            <w:tcBorders>
              <w:top w:val="single" w:sz="2" w:space="0" w:color="000000"/>
              <w:left w:val="single" w:sz="7" w:space="0" w:color="000000"/>
              <w:bottom w:val="single" w:sz="7" w:space="0" w:color="000000"/>
              <w:right w:val="nil"/>
            </w:tcBorders>
            <w:shd w:val="clear" w:color="auto" w:fill="auto"/>
          </w:tcPr>
          <w:p w14:paraId="6E6AB9D1" w14:textId="77777777" w:rsidR="00DF61BC" w:rsidRPr="00C94C33" w:rsidRDefault="00DF61BC" w:rsidP="00A17407">
            <w:pPr>
              <w:kinsoku w:val="0"/>
              <w:overflowPunct w:val="0"/>
              <w:autoSpaceDE w:val="0"/>
              <w:autoSpaceDN w:val="0"/>
              <w:adjustRightInd w:val="0"/>
              <w:spacing w:before="0" w:after="0" w:line="240" w:lineRule="auto"/>
              <w:ind w:left="112"/>
              <w:rPr>
                <w:rFonts w:asciiTheme="minorHAnsi" w:eastAsia="Times New Roman" w:hAnsiTheme="minorHAnsi" w:cs="Calibri"/>
                <w:b/>
                <w:sz w:val="18"/>
                <w:szCs w:val="18"/>
                <w:lang w:eastAsia="en-AU"/>
              </w:rPr>
            </w:pPr>
            <w:r w:rsidRPr="00C94C33">
              <w:rPr>
                <w:rFonts w:asciiTheme="minorHAnsi" w:eastAsia="Times New Roman" w:hAnsiTheme="minorHAnsi" w:cs="Calibri"/>
                <w:b/>
                <w:spacing w:val="-1"/>
                <w:w w:val="105"/>
                <w:sz w:val="18"/>
                <w:szCs w:val="18"/>
                <w:lang w:eastAsia="en-AU"/>
              </w:rPr>
              <w:t>estimate</w:t>
            </w:r>
          </w:p>
        </w:tc>
        <w:tc>
          <w:tcPr>
            <w:tcW w:w="993" w:type="dxa"/>
            <w:gridSpan w:val="4"/>
            <w:tcBorders>
              <w:top w:val="single" w:sz="2" w:space="0" w:color="000000"/>
              <w:left w:val="nil"/>
              <w:bottom w:val="single" w:sz="7" w:space="0" w:color="000000"/>
              <w:right w:val="nil"/>
            </w:tcBorders>
            <w:shd w:val="clear" w:color="auto" w:fill="auto"/>
          </w:tcPr>
          <w:p w14:paraId="0F678A81" w14:textId="77777777" w:rsidR="00DF61BC" w:rsidRPr="00C94C33" w:rsidRDefault="00DF61BC" w:rsidP="00A17407">
            <w:pPr>
              <w:kinsoku w:val="0"/>
              <w:overflowPunct w:val="0"/>
              <w:autoSpaceDE w:val="0"/>
              <w:autoSpaceDN w:val="0"/>
              <w:adjustRightInd w:val="0"/>
              <w:spacing w:before="0" w:after="0" w:line="240" w:lineRule="auto"/>
              <w:ind w:left="407"/>
              <w:rPr>
                <w:rFonts w:asciiTheme="minorHAnsi" w:eastAsia="Times New Roman" w:hAnsiTheme="minorHAnsi" w:cs="Calibri"/>
                <w:b/>
                <w:sz w:val="18"/>
                <w:szCs w:val="18"/>
                <w:lang w:eastAsia="en-AU"/>
              </w:rPr>
            </w:pPr>
            <w:r w:rsidRPr="00C94C33">
              <w:rPr>
                <w:rFonts w:asciiTheme="minorHAnsi" w:eastAsia="Times New Roman" w:hAnsiTheme="minorHAnsi" w:cs="Calibri"/>
                <w:b/>
                <w:w w:val="105"/>
                <w:sz w:val="18"/>
                <w:szCs w:val="18"/>
                <w:lang w:eastAsia="en-AU"/>
              </w:rPr>
              <w:t>95%CI</w:t>
            </w:r>
          </w:p>
        </w:tc>
        <w:tc>
          <w:tcPr>
            <w:tcW w:w="992" w:type="dxa"/>
            <w:gridSpan w:val="2"/>
            <w:tcBorders>
              <w:top w:val="single" w:sz="2" w:space="0" w:color="000000"/>
              <w:left w:val="nil"/>
              <w:bottom w:val="single" w:sz="7" w:space="0" w:color="000000"/>
              <w:right w:val="single" w:sz="7" w:space="0" w:color="000000"/>
            </w:tcBorders>
            <w:shd w:val="clear" w:color="auto" w:fill="auto"/>
          </w:tcPr>
          <w:p w14:paraId="123928D8" w14:textId="77777777" w:rsidR="00DF61BC" w:rsidRPr="00C94C33" w:rsidRDefault="00DF61BC" w:rsidP="00A17407">
            <w:pPr>
              <w:kinsoku w:val="0"/>
              <w:overflowPunct w:val="0"/>
              <w:autoSpaceDE w:val="0"/>
              <w:autoSpaceDN w:val="0"/>
              <w:adjustRightInd w:val="0"/>
              <w:spacing w:before="0" w:after="0" w:line="240" w:lineRule="auto"/>
              <w:ind w:left="88"/>
              <w:rPr>
                <w:rFonts w:asciiTheme="minorHAnsi" w:eastAsia="Times New Roman" w:hAnsiTheme="minorHAnsi" w:cs="Calibri"/>
                <w:b/>
                <w:sz w:val="18"/>
                <w:szCs w:val="18"/>
                <w:lang w:eastAsia="en-AU"/>
              </w:rPr>
            </w:pPr>
            <w:r w:rsidRPr="00C94C33">
              <w:rPr>
                <w:rFonts w:asciiTheme="minorHAnsi" w:eastAsia="Times New Roman" w:hAnsiTheme="minorHAnsi" w:cs="Calibri"/>
                <w:b/>
                <w:spacing w:val="-1"/>
                <w:w w:val="105"/>
                <w:sz w:val="18"/>
                <w:szCs w:val="18"/>
                <w:lang w:eastAsia="en-AU"/>
              </w:rPr>
              <w:t>p-value</w:t>
            </w:r>
          </w:p>
        </w:tc>
        <w:tc>
          <w:tcPr>
            <w:tcW w:w="992" w:type="dxa"/>
            <w:gridSpan w:val="2"/>
            <w:tcBorders>
              <w:top w:val="single" w:sz="2" w:space="0" w:color="000000"/>
              <w:left w:val="single" w:sz="7" w:space="0" w:color="000000"/>
              <w:bottom w:val="single" w:sz="7" w:space="0" w:color="000000"/>
              <w:right w:val="nil"/>
            </w:tcBorders>
            <w:shd w:val="clear" w:color="auto" w:fill="auto"/>
          </w:tcPr>
          <w:p w14:paraId="35E09FDD" w14:textId="77777777" w:rsidR="00DF61BC" w:rsidRPr="00C94C33" w:rsidRDefault="00DF61BC" w:rsidP="00A17407">
            <w:pPr>
              <w:kinsoku w:val="0"/>
              <w:overflowPunct w:val="0"/>
              <w:autoSpaceDE w:val="0"/>
              <w:autoSpaceDN w:val="0"/>
              <w:adjustRightInd w:val="0"/>
              <w:spacing w:before="0" w:after="0" w:line="240" w:lineRule="auto"/>
              <w:ind w:left="112"/>
              <w:rPr>
                <w:rFonts w:asciiTheme="minorHAnsi" w:eastAsia="Times New Roman" w:hAnsiTheme="minorHAnsi" w:cs="Calibri"/>
                <w:b/>
                <w:sz w:val="18"/>
                <w:szCs w:val="18"/>
                <w:lang w:eastAsia="en-AU"/>
              </w:rPr>
            </w:pPr>
            <w:r w:rsidRPr="00C94C33">
              <w:rPr>
                <w:rFonts w:asciiTheme="minorHAnsi" w:eastAsia="Times New Roman" w:hAnsiTheme="minorHAnsi" w:cs="Calibri"/>
                <w:b/>
                <w:spacing w:val="-1"/>
                <w:w w:val="105"/>
                <w:sz w:val="18"/>
                <w:szCs w:val="18"/>
                <w:lang w:eastAsia="en-AU"/>
              </w:rPr>
              <w:t>estimate</w:t>
            </w:r>
          </w:p>
        </w:tc>
        <w:tc>
          <w:tcPr>
            <w:tcW w:w="992" w:type="dxa"/>
            <w:gridSpan w:val="4"/>
            <w:tcBorders>
              <w:top w:val="single" w:sz="2" w:space="0" w:color="000000"/>
              <w:left w:val="nil"/>
              <w:bottom w:val="single" w:sz="7" w:space="0" w:color="000000"/>
              <w:right w:val="nil"/>
            </w:tcBorders>
            <w:shd w:val="clear" w:color="auto" w:fill="auto"/>
          </w:tcPr>
          <w:p w14:paraId="0561C060" w14:textId="77777777" w:rsidR="00DF61BC" w:rsidRPr="00C94C33" w:rsidRDefault="00DF61BC" w:rsidP="00A17407">
            <w:pPr>
              <w:kinsoku w:val="0"/>
              <w:overflowPunct w:val="0"/>
              <w:autoSpaceDE w:val="0"/>
              <w:autoSpaceDN w:val="0"/>
              <w:adjustRightInd w:val="0"/>
              <w:spacing w:before="0" w:after="0" w:line="240" w:lineRule="auto"/>
              <w:ind w:left="330"/>
              <w:rPr>
                <w:rFonts w:asciiTheme="minorHAnsi" w:eastAsia="Times New Roman" w:hAnsiTheme="minorHAnsi" w:cs="Calibri"/>
                <w:b/>
                <w:sz w:val="18"/>
                <w:szCs w:val="18"/>
                <w:lang w:eastAsia="en-AU"/>
              </w:rPr>
            </w:pPr>
            <w:r w:rsidRPr="00C94C33">
              <w:rPr>
                <w:rFonts w:asciiTheme="minorHAnsi" w:eastAsia="Times New Roman" w:hAnsiTheme="minorHAnsi" w:cs="Calibri"/>
                <w:b/>
                <w:w w:val="105"/>
                <w:sz w:val="18"/>
                <w:szCs w:val="18"/>
                <w:lang w:eastAsia="en-AU"/>
              </w:rPr>
              <w:t>95%CI</w:t>
            </w:r>
          </w:p>
        </w:tc>
        <w:tc>
          <w:tcPr>
            <w:tcW w:w="709" w:type="dxa"/>
            <w:gridSpan w:val="2"/>
            <w:tcBorders>
              <w:top w:val="single" w:sz="2" w:space="0" w:color="000000"/>
              <w:left w:val="nil"/>
              <w:bottom w:val="single" w:sz="7" w:space="0" w:color="000000"/>
              <w:right w:val="single" w:sz="7" w:space="0" w:color="000000"/>
            </w:tcBorders>
            <w:shd w:val="clear" w:color="auto" w:fill="auto"/>
          </w:tcPr>
          <w:p w14:paraId="121DC33F" w14:textId="77777777" w:rsidR="00DF61BC" w:rsidRPr="00C94C33" w:rsidRDefault="00DF61BC" w:rsidP="00A17407">
            <w:pPr>
              <w:kinsoku w:val="0"/>
              <w:overflowPunct w:val="0"/>
              <w:autoSpaceDE w:val="0"/>
              <w:autoSpaceDN w:val="0"/>
              <w:adjustRightInd w:val="0"/>
              <w:spacing w:before="0" w:after="0" w:line="240" w:lineRule="auto"/>
              <w:ind w:left="139"/>
              <w:rPr>
                <w:rFonts w:asciiTheme="minorHAnsi" w:eastAsia="Times New Roman" w:hAnsiTheme="minorHAnsi" w:cs="Calibri"/>
                <w:b/>
                <w:sz w:val="18"/>
                <w:szCs w:val="18"/>
                <w:lang w:eastAsia="en-AU"/>
              </w:rPr>
            </w:pPr>
            <w:r w:rsidRPr="00C94C33">
              <w:rPr>
                <w:rFonts w:asciiTheme="minorHAnsi" w:eastAsia="Times New Roman" w:hAnsiTheme="minorHAnsi" w:cs="Calibri"/>
                <w:b/>
                <w:spacing w:val="-1"/>
                <w:w w:val="105"/>
                <w:sz w:val="18"/>
                <w:szCs w:val="18"/>
                <w:lang w:eastAsia="en-AU"/>
              </w:rPr>
              <w:t>p-value</w:t>
            </w:r>
          </w:p>
        </w:tc>
        <w:tc>
          <w:tcPr>
            <w:tcW w:w="851" w:type="dxa"/>
            <w:vMerge/>
            <w:tcBorders>
              <w:top w:val="single" w:sz="7" w:space="0" w:color="000000"/>
              <w:left w:val="single" w:sz="7" w:space="0" w:color="000000"/>
              <w:bottom w:val="single" w:sz="7" w:space="0" w:color="000000"/>
              <w:right w:val="single" w:sz="7" w:space="0" w:color="000000"/>
            </w:tcBorders>
            <w:shd w:val="clear" w:color="auto" w:fill="auto"/>
          </w:tcPr>
          <w:p w14:paraId="1AD80D59" w14:textId="77777777" w:rsidR="00DF61BC" w:rsidRPr="00C94C33" w:rsidRDefault="00DF61BC" w:rsidP="00A17407">
            <w:pPr>
              <w:kinsoku w:val="0"/>
              <w:overflowPunct w:val="0"/>
              <w:autoSpaceDE w:val="0"/>
              <w:autoSpaceDN w:val="0"/>
              <w:adjustRightInd w:val="0"/>
              <w:spacing w:before="0" w:after="0" w:line="240" w:lineRule="auto"/>
              <w:ind w:left="139"/>
              <w:rPr>
                <w:rFonts w:asciiTheme="minorHAnsi" w:eastAsia="Times New Roman" w:hAnsiTheme="minorHAnsi" w:cs="Calibri"/>
                <w:sz w:val="18"/>
                <w:szCs w:val="18"/>
                <w:lang w:eastAsia="en-AU"/>
              </w:rPr>
            </w:pPr>
          </w:p>
        </w:tc>
      </w:tr>
      <w:tr w:rsidR="00DF61BC" w:rsidRPr="00C94C33" w14:paraId="6C25AD6A" w14:textId="77777777" w:rsidTr="00A17407">
        <w:trPr>
          <w:trHeight w:hRule="exact" w:val="245"/>
        </w:trPr>
        <w:tc>
          <w:tcPr>
            <w:tcW w:w="1281" w:type="dxa"/>
            <w:tcBorders>
              <w:top w:val="single" w:sz="7" w:space="0" w:color="000000"/>
              <w:left w:val="single" w:sz="7" w:space="0" w:color="000000"/>
              <w:bottom w:val="single" w:sz="2" w:space="0" w:color="000000"/>
              <w:right w:val="single" w:sz="7" w:space="0" w:color="000000"/>
            </w:tcBorders>
            <w:shd w:val="clear" w:color="auto" w:fill="auto"/>
          </w:tcPr>
          <w:p w14:paraId="1B62D7A8" w14:textId="77777777" w:rsidR="00DF61BC" w:rsidRPr="00C94C33" w:rsidRDefault="00DF61BC" w:rsidP="00A17407">
            <w:pPr>
              <w:kinsoku w:val="0"/>
              <w:overflowPunct w:val="0"/>
              <w:autoSpaceDE w:val="0"/>
              <w:autoSpaceDN w:val="0"/>
              <w:adjustRightInd w:val="0"/>
              <w:spacing w:before="0" w:after="0" w:line="240" w:lineRule="auto"/>
              <w:ind w:left="280"/>
              <w:rPr>
                <w:rFonts w:asciiTheme="minorHAnsi" w:eastAsia="Times New Roman" w:hAnsiTheme="minorHAnsi" w:cs="Calibri"/>
                <w:sz w:val="18"/>
                <w:szCs w:val="18"/>
                <w:lang w:eastAsia="en-AU"/>
              </w:rPr>
            </w:pPr>
            <w:r w:rsidRPr="00C94C33">
              <w:rPr>
                <w:rFonts w:asciiTheme="minorHAnsi" w:eastAsia="Times New Roman" w:hAnsiTheme="minorHAnsi" w:cs="Calibri"/>
                <w:spacing w:val="-1"/>
                <w:w w:val="105"/>
                <w:position w:val="4"/>
                <w:sz w:val="18"/>
                <w:szCs w:val="18"/>
                <w:lang w:eastAsia="en-AU"/>
              </w:rPr>
              <w:t>C</w:t>
            </w:r>
            <w:r w:rsidRPr="00C94C33">
              <w:rPr>
                <w:rFonts w:asciiTheme="minorHAnsi" w:eastAsia="Times New Roman" w:hAnsiTheme="minorHAnsi" w:cs="Calibri"/>
                <w:spacing w:val="-1"/>
                <w:w w:val="105"/>
                <w:sz w:val="18"/>
                <w:szCs w:val="18"/>
                <w:lang w:eastAsia="en-AU"/>
              </w:rPr>
              <w:t>max</w:t>
            </w:r>
          </w:p>
        </w:tc>
        <w:tc>
          <w:tcPr>
            <w:tcW w:w="850" w:type="dxa"/>
            <w:tcBorders>
              <w:top w:val="single" w:sz="7" w:space="0" w:color="000000"/>
              <w:left w:val="single" w:sz="7" w:space="0" w:color="000000"/>
              <w:bottom w:val="single" w:sz="2" w:space="0" w:color="000000"/>
              <w:right w:val="single" w:sz="7" w:space="0" w:color="000000"/>
            </w:tcBorders>
            <w:shd w:val="clear" w:color="auto" w:fill="auto"/>
          </w:tcPr>
          <w:p w14:paraId="39F7FD28" w14:textId="77777777" w:rsidR="00DF61BC" w:rsidRPr="00C94C33" w:rsidRDefault="00DF61BC" w:rsidP="00A17407">
            <w:pPr>
              <w:kinsoku w:val="0"/>
              <w:overflowPunct w:val="0"/>
              <w:autoSpaceDE w:val="0"/>
              <w:autoSpaceDN w:val="0"/>
              <w:adjustRightInd w:val="0"/>
              <w:spacing w:before="0" w:after="0" w:line="240" w:lineRule="auto"/>
              <w:ind w:left="145"/>
              <w:rPr>
                <w:rFonts w:asciiTheme="minorHAnsi" w:eastAsia="Times New Roman" w:hAnsiTheme="minorHAnsi" w:cs="Calibri"/>
                <w:sz w:val="18"/>
                <w:szCs w:val="18"/>
                <w:lang w:eastAsia="en-AU"/>
              </w:rPr>
            </w:pPr>
            <w:r w:rsidRPr="00C94C33">
              <w:rPr>
                <w:rFonts w:asciiTheme="minorHAnsi" w:eastAsia="Times New Roman" w:hAnsiTheme="minorHAnsi" w:cs="Calibri"/>
                <w:w w:val="105"/>
                <w:sz w:val="18"/>
                <w:szCs w:val="18"/>
                <w:lang w:eastAsia="en-AU"/>
              </w:rPr>
              <w:t>0.623</w:t>
            </w:r>
          </w:p>
        </w:tc>
        <w:tc>
          <w:tcPr>
            <w:tcW w:w="1134" w:type="dxa"/>
            <w:tcBorders>
              <w:top w:val="single" w:sz="7" w:space="0" w:color="000000"/>
              <w:left w:val="single" w:sz="7" w:space="0" w:color="000000"/>
              <w:bottom w:val="single" w:sz="2" w:space="0" w:color="000000"/>
              <w:right w:val="nil"/>
            </w:tcBorders>
            <w:shd w:val="clear" w:color="auto" w:fill="auto"/>
          </w:tcPr>
          <w:p w14:paraId="79B7B90D" w14:textId="77777777" w:rsidR="00DF61BC" w:rsidRPr="00C94C33" w:rsidRDefault="00DF61BC" w:rsidP="00A17407">
            <w:pPr>
              <w:kinsoku w:val="0"/>
              <w:overflowPunct w:val="0"/>
              <w:autoSpaceDE w:val="0"/>
              <w:autoSpaceDN w:val="0"/>
              <w:adjustRightInd w:val="0"/>
              <w:spacing w:before="0" w:after="0" w:line="240" w:lineRule="auto"/>
              <w:ind w:left="424"/>
              <w:rPr>
                <w:rFonts w:asciiTheme="minorHAnsi" w:eastAsia="Times New Roman" w:hAnsiTheme="minorHAnsi" w:cs="Calibri"/>
                <w:sz w:val="18"/>
                <w:szCs w:val="18"/>
                <w:lang w:eastAsia="en-AU"/>
              </w:rPr>
            </w:pPr>
            <w:r w:rsidRPr="00C94C33">
              <w:rPr>
                <w:rFonts w:asciiTheme="minorHAnsi" w:eastAsia="Times New Roman" w:hAnsiTheme="minorHAnsi" w:cs="Calibri"/>
                <w:spacing w:val="-1"/>
                <w:w w:val="105"/>
                <w:sz w:val="18"/>
                <w:szCs w:val="18"/>
                <w:lang w:eastAsia="en-AU"/>
              </w:rPr>
              <w:t>-355</w:t>
            </w:r>
          </w:p>
        </w:tc>
        <w:tc>
          <w:tcPr>
            <w:tcW w:w="20" w:type="dxa"/>
            <w:tcBorders>
              <w:top w:val="single" w:sz="7" w:space="0" w:color="000000"/>
              <w:left w:val="nil"/>
              <w:bottom w:val="single" w:sz="2" w:space="0" w:color="000000"/>
              <w:right w:val="nil"/>
            </w:tcBorders>
            <w:shd w:val="clear" w:color="auto" w:fill="auto"/>
          </w:tcPr>
          <w:p w14:paraId="1843198B" w14:textId="77777777" w:rsidR="00DF61BC" w:rsidRPr="00C94C33" w:rsidRDefault="00DF61BC" w:rsidP="00A17407">
            <w:pPr>
              <w:kinsoku w:val="0"/>
              <w:overflowPunct w:val="0"/>
              <w:autoSpaceDE w:val="0"/>
              <w:autoSpaceDN w:val="0"/>
              <w:adjustRightInd w:val="0"/>
              <w:spacing w:before="0" w:after="0" w:line="240" w:lineRule="auto"/>
              <w:ind w:left="123"/>
              <w:rPr>
                <w:rFonts w:asciiTheme="minorHAnsi" w:eastAsia="Times New Roman" w:hAnsiTheme="minorHAnsi" w:cs="Calibri"/>
                <w:sz w:val="18"/>
                <w:szCs w:val="18"/>
                <w:lang w:eastAsia="en-AU"/>
              </w:rPr>
            </w:pPr>
            <w:r w:rsidRPr="00C94C33">
              <w:rPr>
                <w:rFonts w:asciiTheme="minorHAnsi" w:eastAsia="Times New Roman" w:hAnsiTheme="minorHAnsi" w:cs="Calibri"/>
                <w:spacing w:val="-1"/>
                <w:w w:val="105"/>
                <w:sz w:val="18"/>
                <w:szCs w:val="18"/>
                <w:lang w:eastAsia="en-AU"/>
              </w:rPr>
              <w:t>-1440</w:t>
            </w:r>
          </w:p>
        </w:tc>
        <w:tc>
          <w:tcPr>
            <w:tcW w:w="315" w:type="dxa"/>
            <w:gridSpan w:val="2"/>
            <w:tcBorders>
              <w:top w:val="single" w:sz="7" w:space="0" w:color="000000"/>
              <w:left w:val="nil"/>
              <w:bottom w:val="single" w:sz="2" w:space="0" w:color="000000"/>
              <w:right w:val="nil"/>
            </w:tcBorders>
            <w:shd w:val="clear" w:color="auto" w:fill="auto"/>
          </w:tcPr>
          <w:p w14:paraId="613799AC" w14:textId="77777777" w:rsidR="00DF61BC" w:rsidRPr="00C94C33" w:rsidRDefault="00DF61BC" w:rsidP="00A17407">
            <w:pPr>
              <w:kinsoku w:val="0"/>
              <w:overflowPunct w:val="0"/>
              <w:autoSpaceDE w:val="0"/>
              <w:autoSpaceDN w:val="0"/>
              <w:adjustRightInd w:val="0"/>
              <w:spacing w:before="0" w:after="0" w:line="240" w:lineRule="auto"/>
              <w:ind w:left="34"/>
              <w:rPr>
                <w:rFonts w:asciiTheme="minorHAnsi" w:eastAsia="Times New Roman" w:hAnsiTheme="minorHAnsi" w:cs="Calibri"/>
                <w:sz w:val="18"/>
                <w:szCs w:val="18"/>
                <w:lang w:eastAsia="en-AU"/>
              </w:rPr>
            </w:pPr>
            <w:r w:rsidRPr="00C94C33">
              <w:rPr>
                <w:rFonts w:asciiTheme="minorHAnsi" w:eastAsia="PMingLiU" w:hAnsiTheme="minorHAnsi" w:cs="Calibri"/>
                <w:w w:val="105"/>
                <w:sz w:val="18"/>
                <w:szCs w:val="18"/>
                <w:lang w:eastAsia="en-AU"/>
              </w:rPr>
              <w:t>~</w:t>
            </w:r>
          </w:p>
        </w:tc>
        <w:tc>
          <w:tcPr>
            <w:tcW w:w="704" w:type="dxa"/>
            <w:gridSpan w:val="2"/>
            <w:tcBorders>
              <w:top w:val="single" w:sz="7" w:space="0" w:color="000000"/>
              <w:left w:val="nil"/>
              <w:bottom w:val="single" w:sz="2" w:space="0" w:color="000000"/>
              <w:right w:val="nil"/>
            </w:tcBorders>
            <w:shd w:val="clear" w:color="auto" w:fill="auto"/>
          </w:tcPr>
          <w:p w14:paraId="2D0F53D2" w14:textId="77777777" w:rsidR="00DF61BC" w:rsidRPr="00C94C33" w:rsidRDefault="00DF61BC" w:rsidP="00A17407">
            <w:pPr>
              <w:kinsoku w:val="0"/>
              <w:overflowPunct w:val="0"/>
              <w:autoSpaceDE w:val="0"/>
              <w:autoSpaceDN w:val="0"/>
              <w:adjustRightInd w:val="0"/>
              <w:spacing w:before="0" w:after="0" w:line="240" w:lineRule="auto"/>
              <w:rPr>
                <w:rFonts w:asciiTheme="minorHAnsi" w:eastAsia="Times New Roman" w:hAnsiTheme="minorHAnsi" w:cs="Calibri"/>
                <w:sz w:val="18"/>
                <w:szCs w:val="18"/>
                <w:lang w:eastAsia="en-AU"/>
              </w:rPr>
            </w:pPr>
            <w:r w:rsidRPr="00C94C33">
              <w:rPr>
                <w:rFonts w:asciiTheme="minorHAnsi" w:eastAsia="Times New Roman" w:hAnsiTheme="minorHAnsi" w:cs="Calibri"/>
                <w:w w:val="105"/>
                <w:sz w:val="18"/>
                <w:szCs w:val="18"/>
                <w:lang w:eastAsia="en-AU"/>
              </w:rPr>
              <w:t>734</w:t>
            </w:r>
          </w:p>
        </w:tc>
        <w:tc>
          <w:tcPr>
            <w:tcW w:w="946" w:type="dxa"/>
            <w:tcBorders>
              <w:top w:val="single" w:sz="7" w:space="0" w:color="000000"/>
              <w:left w:val="nil"/>
              <w:bottom w:val="single" w:sz="2" w:space="0" w:color="000000"/>
              <w:right w:val="single" w:sz="7" w:space="0" w:color="000000"/>
            </w:tcBorders>
            <w:shd w:val="clear" w:color="auto" w:fill="auto"/>
          </w:tcPr>
          <w:p w14:paraId="400F6E30" w14:textId="77777777" w:rsidR="00DF61BC" w:rsidRPr="00C94C33" w:rsidRDefault="00DF61BC" w:rsidP="00A17407">
            <w:pPr>
              <w:kinsoku w:val="0"/>
              <w:overflowPunct w:val="0"/>
              <w:autoSpaceDE w:val="0"/>
              <w:autoSpaceDN w:val="0"/>
              <w:adjustRightInd w:val="0"/>
              <w:spacing w:before="0" w:after="0" w:line="240" w:lineRule="auto"/>
              <w:ind w:left="155"/>
              <w:rPr>
                <w:rFonts w:asciiTheme="minorHAnsi" w:eastAsia="Times New Roman" w:hAnsiTheme="minorHAnsi" w:cs="Calibri"/>
                <w:sz w:val="18"/>
                <w:szCs w:val="18"/>
                <w:lang w:eastAsia="en-AU"/>
              </w:rPr>
            </w:pPr>
            <w:r w:rsidRPr="00C94C33">
              <w:rPr>
                <w:rFonts w:asciiTheme="minorHAnsi" w:eastAsia="Times New Roman" w:hAnsiTheme="minorHAnsi" w:cs="Calibri"/>
                <w:w w:val="105"/>
                <w:sz w:val="18"/>
                <w:szCs w:val="18"/>
                <w:lang w:eastAsia="en-AU"/>
              </w:rPr>
              <w:t>0.503</w:t>
            </w:r>
          </w:p>
        </w:tc>
        <w:tc>
          <w:tcPr>
            <w:tcW w:w="551" w:type="dxa"/>
            <w:tcBorders>
              <w:top w:val="single" w:sz="7" w:space="0" w:color="000000"/>
              <w:left w:val="single" w:sz="7" w:space="0" w:color="000000"/>
              <w:bottom w:val="single" w:sz="2" w:space="0" w:color="000000"/>
              <w:right w:val="nil"/>
            </w:tcBorders>
            <w:shd w:val="clear" w:color="auto" w:fill="auto"/>
          </w:tcPr>
          <w:p w14:paraId="2B030B8B" w14:textId="77777777" w:rsidR="00DF61BC" w:rsidRPr="00C94C33" w:rsidRDefault="00DF61BC" w:rsidP="00A17407">
            <w:pPr>
              <w:kinsoku w:val="0"/>
              <w:overflowPunct w:val="0"/>
              <w:autoSpaceDE w:val="0"/>
              <w:autoSpaceDN w:val="0"/>
              <w:adjustRightInd w:val="0"/>
              <w:spacing w:before="0" w:after="0" w:line="240" w:lineRule="auto"/>
              <w:ind w:left="437"/>
              <w:rPr>
                <w:rFonts w:asciiTheme="minorHAnsi" w:eastAsia="Times New Roman" w:hAnsiTheme="minorHAnsi" w:cs="Calibri"/>
                <w:sz w:val="18"/>
                <w:szCs w:val="18"/>
                <w:lang w:eastAsia="en-AU"/>
              </w:rPr>
            </w:pPr>
            <w:r w:rsidRPr="00C94C33">
              <w:rPr>
                <w:rFonts w:asciiTheme="minorHAnsi" w:eastAsia="Times New Roman" w:hAnsiTheme="minorHAnsi" w:cs="Calibri"/>
                <w:w w:val="105"/>
                <w:sz w:val="18"/>
                <w:szCs w:val="18"/>
                <w:lang w:eastAsia="en-AU"/>
              </w:rPr>
              <w:t>56.3</w:t>
            </w:r>
          </w:p>
        </w:tc>
        <w:tc>
          <w:tcPr>
            <w:tcW w:w="495" w:type="dxa"/>
            <w:gridSpan w:val="2"/>
            <w:tcBorders>
              <w:top w:val="single" w:sz="7" w:space="0" w:color="000000"/>
              <w:left w:val="nil"/>
              <w:bottom w:val="single" w:sz="2" w:space="0" w:color="000000"/>
              <w:right w:val="nil"/>
            </w:tcBorders>
            <w:shd w:val="clear" w:color="auto" w:fill="auto"/>
          </w:tcPr>
          <w:p w14:paraId="2EDEA0C0" w14:textId="77777777" w:rsidR="00DF61BC" w:rsidRPr="00C94C33" w:rsidRDefault="00DF61BC" w:rsidP="00A17407">
            <w:pPr>
              <w:kinsoku w:val="0"/>
              <w:overflowPunct w:val="0"/>
              <w:autoSpaceDE w:val="0"/>
              <w:autoSpaceDN w:val="0"/>
              <w:adjustRightInd w:val="0"/>
              <w:spacing w:before="0" w:after="0" w:line="240" w:lineRule="auto"/>
              <w:ind w:left="134"/>
              <w:rPr>
                <w:rFonts w:asciiTheme="minorHAnsi" w:eastAsia="Times New Roman" w:hAnsiTheme="minorHAnsi" w:cs="Calibri"/>
                <w:sz w:val="18"/>
                <w:szCs w:val="18"/>
                <w:lang w:eastAsia="en-AU"/>
              </w:rPr>
            </w:pPr>
            <w:r w:rsidRPr="00C94C33">
              <w:rPr>
                <w:rFonts w:asciiTheme="minorHAnsi" w:eastAsia="Times New Roman" w:hAnsiTheme="minorHAnsi" w:cs="Calibri"/>
                <w:w w:val="105"/>
                <w:sz w:val="18"/>
                <w:szCs w:val="18"/>
                <w:lang w:eastAsia="en-AU"/>
              </w:rPr>
              <w:t>35.3</w:t>
            </w:r>
          </w:p>
        </w:tc>
        <w:tc>
          <w:tcPr>
            <w:tcW w:w="298" w:type="dxa"/>
            <w:tcBorders>
              <w:top w:val="single" w:sz="7" w:space="0" w:color="000000"/>
              <w:left w:val="nil"/>
              <w:bottom w:val="single" w:sz="2" w:space="0" w:color="000000"/>
              <w:right w:val="nil"/>
            </w:tcBorders>
            <w:shd w:val="clear" w:color="auto" w:fill="auto"/>
          </w:tcPr>
          <w:p w14:paraId="2DC9A3A4" w14:textId="77777777" w:rsidR="00DF61BC" w:rsidRPr="00C94C33" w:rsidRDefault="00DF61BC" w:rsidP="00A17407">
            <w:pPr>
              <w:kinsoku w:val="0"/>
              <w:overflowPunct w:val="0"/>
              <w:autoSpaceDE w:val="0"/>
              <w:autoSpaceDN w:val="0"/>
              <w:adjustRightInd w:val="0"/>
              <w:spacing w:before="0" w:after="0" w:line="240" w:lineRule="auto"/>
              <w:ind w:left="34"/>
              <w:rPr>
                <w:rFonts w:asciiTheme="minorHAnsi" w:eastAsia="Times New Roman" w:hAnsiTheme="minorHAnsi" w:cs="Calibri"/>
                <w:sz w:val="18"/>
                <w:szCs w:val="18"/>
                <w:lang w:eastAsia="en-AU"/>
              </w:rPr>
            </w:pPr>
            <w:r w:rsidRPr="00C94C33">
              <w:rPr>
                <w:rFonts w:asciiTheme="minorHAnsi" w:eastAsia="PMingLiU" w:hAnsiTheme="minorHAnsi" w:cs="Calibri"/>
                <w:w w:val="105"/>
                <w:sz w:val="18"/>
                <w:szCs w:val="18"/>
                <w:lang w:eastAsia="en-AU"/>
              </w:rPr>
              <w:t>~</w:t>
            </w:r>
          </w:p>
        </w:tc>
        <w:tc>
          <w:tcPr>
            <w:tcW w:w="474" w:type="dxa"/>
            <w:tcBorders>
              <w:top w:val="single" w:sz="7" w:space="0" w:color="000000"/>
              <w:left w:val="nil"/>
              <w:bottom w:val="single" w:sz="2" w:space="0" w:color="000000"/>
              <w:right w:val="nil"/>
            </w:tcBorders>
            <w:shd w:val="clear" w:color="auto" w:fill="auto"/>
          </w:tcPr>
          <w:p w14:paraId="2B97A5C4" w14:textId="77777777" w:rsidR="00DF61BC" w:rsidRPr="00C94C33" w:rsidRDefault="00DF61BC" w:rsidP="00A17407">
            <w:pPr>
              <w:kinsoku w:val="0"/>
              <w:overflowPunct w:val="0"/>
              <w:autoSpaceDE w:val="0"/>
              <w:autoSpaceDN w:val="0"/>
              <w:adjustRightInd w:val="0"/>
              <w:spacing w:before="0" w:after="0" w:line="240" w:lineRule="auto"/>
              <w:rPr>
                <w:rFonts w:asciiTheme="minorHAnsi" w:eastAsia="Times New Roman" w:hAnsiTheme="minorHAnsi" w:cs="Calibri"/>
                <w:sz w:val="18"/>
                <w:szCs w:val="18"/>
                <w:lang w:eastAsia="en-AU"/>
              </w:rPr>
            </w:pPr>
            <w:r w:rsidRPr="00C94C33">
              <w:rPr>
                <w:rFonts w:asciiTheme="minorHAnsi" w:eastAsia="Times New Roman" w:hAnsiTheme="minorHAnsi" w:cs="Calibri"/>
                <w:w w:val="105"/>
                <w:sz w:val="18"/>
                <w:szCs w:val="18"/>
                <w:lang w:eastAsia="en-AU"/>
              </w:rPr>
              <w:t>77.4</w:t>
            </w:r>
          </w:p>
        </w:tc>
        <w:tc>
          <w:tcPr>
            <w:tcW w:w="861" w:type="dxa"/>
            <w:gridSpan w:val="2"/>
            <w:tcBorders>
              <w:top w:val="single" w:sz="7" w:space="0" w:color="000000"/>
              <w:left w:val="nil"/>
              <w:bottom w:val="single" w:sz="2" w:space="0" w:color="000000"/>
              <w:right w:val="single" w:sz="7" w:space="0" w:color="000000"/>
            </w:tcBorders>
            <w:shd w:val="clear" w:color="auto" w:fill="auto"/>
          </w:tcPr>
          <w:p w14:paraId="73BF2C36" w14:textId="77777777" w:rsidR="00DF61BC" w:rsidRPr="00C94C33" w:rsidRDefault="00DF61BC" w:rsidP="00A17407">
            <w:pPr>
              <w:kinsoku w:val="0"/>
              <w:overflowPunct w:val="0"/>
              <w:autoSpaceDE w:val="0"/>
              <w:autoSpaceDN w:val="0"/>
              <w:adjustRightInd w:val="0"/>
              <w:spacing w:before="0" w:after="0" w:line="240" w:lineRule="auto"/>
              <w:ind w:left="70"/>
              <w:rPr>
                <w:rFonts w:asciiTheme="minorHAnsi" w:eastAsia="Times New Roman" w:hAnsiTheme="minorHAnsi" w:cs="Calibri"/>
                <w:sz w:val="18"/>
                <w:szCs w:val="18"/>
                <w:lang w:eastAsia="en-AU"/>
              </w:rPr>
            </w:pPr>
            <w:r w:rsidRPr="00C94C33">
              <w:rPr>
                <w:rFonts w:asciiTheme="minorHAnsi" w:eastAsia="PMingLiU" w:hAnsiTheme="minorHAnsi" w:cs="Calibri"/>
                <w:w w:val="105"/>
                <w:sz w:val="18"/>
                <w:szCs w:val="18"/>
                <w:lang w:eastAsia="en-AU"/>
              </w:rPr>
              <w:t>&lt; 0.0001</w:t>
            </w:r>
          </w:p>
        </w:tc>
        <w:tc>
          <w:tcPr>
            <w:tcW w:w="865" w:type="dxa"/>
            <w:gridSpan w:val="2"/>
            <w:tcBorders>
              <w:top w:val="single" w:sz="7" w:space="0" w:color="000000"/>
              <w:left w:val="single" w:sz="7" w:space="0" w:color="000000"/>
              <w:bottom w:val="single" w:sz="2" w:space="0" w:color="000000"/>
              <w:right w:val="single" w:sz="7" w:space="0" w:color="000000"/>
            </w:tcBorders>
            <w:shd w:val="clear" w:color="auto" w:fill="auto"/>
          </w:tcPr>
          <w:p w14:paraId="081015EC" w14:textId="77777777" w:rsidR="00DF61BC" w:rsidRPr="00C94C33" w:rsidRDefault="00DF61BC" w:rsidP="00A17407">
            <w:pPr>
              <w:kinsoku w:val="0"/>
              <w:overflowPunct w:val="0"/>
              <w:autoSpaceDE w:val="0"/>
              <w:autoSpaceDN w:val="0"/>
              <w:adjustRightInd w:val="0"/>
              <w:spacing w:before="0" w:after="0" w:line="240" w:lineRule="auto"/>
              <w:ind w:left="173"/>
              <w:rPr>
                <w:rFonts w:asciiTheme="minorHAnsi" w:eastAsia="Times New Roman" w:hAnsiTheme="minorHAnsi" w:cs="Calibri"/>
                <w:sz w:val="18"/>
                <w:szCs w:val="18"/>
                <w:lang w:eastAsia="en-AU"/>
              </w:rPr>
            </w:pPr>
            <w:r w:rsidRPr="00C94C33">
              <w:rPr>
                <w:rFonts w:asciiTheme="minorHAnsi" w:eastAsia="Times New Roman" w:hAnsiTheme="minorHAnsi" w:cs="Calibri"/>
                <w:w w:val="105"/>
                <w:sz w:val="18"/>
                <w:szCs w:val="18"/>
                <w:lang w:eastAsia="en-AU"/>
              </w:rPr>
              <w:t>0.666</w:t>
            </w:r>
          </w:p>
        </w:tc>
      </w:tr>
      <w:tr w:rsidR="00DF61BC" w:rsidRPr="00C94C33" w14:paraId="0FBF4F0C" w14:textId="77777777" w:rsidTr="00A17407">
        <w:trPr>
          <w:trHeight w:hRule="exact" w:val="244"/>
        </w:trPr>
        <w:tc>
          <w:tcPr>
            <w:tcW w:w="1281" w:type="dxa"/>
            <w:tcBorders>
              <w:top w:val="single" w:sz="2" w:space="0" w:color="000000"/>
              <w:left w:val="single" w:sz="7" w:space="0" w:color="000000"/>
              <w:bottom w:val="single" w:sz="2" w:space="0" w:color="000000"/>
              <w:right w:val="single" w:sz="7" w:space="0" w:color="000000"/>
            </w:tcBorders>
            <w:shd w:val="clear" w:color="auto" w:fill="auto"/>
          </w:tcPr>
          <w:p w14:paraId="7C7A9B90" w14:textId="77777777" w:rsidR="00DF61BC" w:rsidRPr="00C94C33" w:rsidRDefault="00DF61BC" w:rsidP="00A17407">
            <w:pPr>
              <w:kinsoku w:val="0"/>
              <w:overflowPunct w:val="0"/>
              <w:autoSpaceDE w:val="0"/>
              <w:autoSpaceDN w:val="0"/>
              <w:adjustRightInd w:val="0"/>
              <w:spacing w:before="0" w:after="0" w:line="240" w:lineRule="auto"/>
              <w:ind w:left="138"/>
              <w:rPr>
                <w:rFonts w:asciiTheme="minorHAnsi" w:eastAsia="Times New Roman" w:hAnsiTheme="minorHAnsi" w:cs="Calibri"/>
                <w:sz w:val="18"/>
                <w:szCs w:val="18"/>
                <w:lang w:eastAsia="en-AU"/>
              </w:rPr>
            </w:pPr>
            <w:r w:rsidRPr="00C94C33">
              <w:rPr>
                <w:rFonts w:asciiTheme="minorHAnsi" w:eastAsia="Times New Roman" w:hAnsiTheme="minorHAnsi" w:cs="Calibri"/>
                <w:spacing w:val="-1"/>
                <w:w w:val="105"/>
                <w:position w:val="4"/>
                <w:sz w:val="18"/>
                <w:szCs w:val="18"/>
                <w:lang w:eastAsia="en-AU"/>
              </w:rPr>
              <w:t>AUC</w:t>
            </w:r>
            <w:r w:rsidRPr="00C94C33">
              <w:rPr>
                <w:rFonts w:asciiTheme="minorHAnsi" w:eastAsia="Times New Roman" w:hAnsiTheme="minorHAnsi" w:cs="Calibri"/>
                <w:spacing w:val="-1"/>
                <w:w w:val="105"/>
                <w:sz w:val="18"/>
                <w:szCs w:val="18"/>
                <w:lang w:eastAsia="en-AU"/>
              </w:rPr>
              <w:t>0-10h</w:t>
            </w:r>
          </w:p>
        </w:tc>
        <w:tc>
          <w:tcPr>
            <w:tcW w:w="850" w:type="dxa"/>
            <w:tcBorders>
              <w:top w:val="single" w:sz="2" w:space="0" w:color="000000"/>
              <w:left w:val="single" w:sz="7" w:space="0" w:color="000000"/>
              <w:bottom w:val="single" w:sz="2" w:space="0" w:color="000000"/>
              <w:right w:val="single" w:sz="7" w:space="0" w:color="000000"/>
            </w:tcBorders>
            <w:shd w:val="clear" w:color="auto" w:fill="auto"/>
          </w:tcPr>
          <w:p w14:paraId="06AEDE6C" w14:textId="77777777" w:rsidR="00DF61BC" w:rsidRPr="00C94C33" w:rsidRDefault="00DF61BC" w:rsidP="00A17407">
            <w:pPr>
              <w:kinsoku w:val="0"/>
              <w:overflowPunct w:val="0"/>
              <w:autoSpaceDE w:val="0"/>
              <w:autoSpaceDN w:val="0"/>
              <w:adjustRightInd w:val="0"/>
              <w:spacing w:before="0" w:after="0" w:line="240" w:lineRule="auto"/>
              <w:ind w:left="145"/>
              <w:rPr>
                <w:rFonts w:asciiTheme="minorHAnsi" w:eastAsia="Times New Roman" w:hAnsiTheme="minorHAnsi" w:cs="Calibri"/>
                <w:sz w:val="18"/>
                <w:szCs w:val="18"/>
                <w:lang w:eastAsia="en-AU"/>
              </w:rPr>
            </w:pPr>
            <w:r w:rsidRPr="00C94C33">
              <w:rPr>
                <w:rFonts w:asciiTheme="minorHAnsi" w:eastAsia="Times New Roman" w:hAnsiTheme="minorHAnsi" w:cs="Calibri"/>
                <w:w w:val="105"/>
                <w:sz w:val="18"/>
                <w:szCs w:val="18"/>
                <w:lang w:eastAsia="en-AU"/>
              </w:rPr>
              <w:t>0.818</w:t>
            </w:r>
          </w:p>
        </w:tc>
        <w:tc>
          <w:tcPr>
            <w:tcW w:w="1134" w:type="dxa"/>
            <w:tcBorders>
              <w:top w:val="single" w:sz="2" w:space="0" w:color="000000"/>
              <w:left w:val="single" w:sz="7" w:space="0" w:color="000000"/>
              <w:bottom w:val="single" w:sz="2" w:space="0" w:color="000000"/>
              <w:right w:val="nil"/>
            </w:tcBorders>
            <w:shd w:val="clear" w:color="auto" w:fill="auto"/>
          </w:tcPr>
          <w:p w14:paraId="7D97997E" w14:textId="77777777" w:rsidR="00DF61BC" w:rsidRPr="00C94C33" w:rsidRDefault="00DF61BC" w:rsidP="00A17407">
            <w:pPr>
              <w:kinsoku w:val="0"/>
              <w:overflowPunct w:val="0"/>
              <w:autoSpaceDE w:val="0"/>
              <w:autoSpaceDN w:val="0"/>
              <w:adjustRightInd w:val="0"/>
              <w:spacing w:before="0" w:after="0" w:line="240" w:lineRule="auto"/>
              <w:ind w:left="331"/>
              <w:rPr>
                <w:rFonts w:asciiTheme="minorHAnsi" w:eastAsia="Times New Roman" w:hAnsiTheme="minorHAnsi" w:cs="Calibri"/>
                <w:sz w:val="18"/>
                <w:szCs w:val="18"/>
                <w:lang w:eastAsia="en-AU"/>
              </w:rPr>
            </w:pPr>
            <w:r w:rsidRPr="00C94C33">
              <w:rPr>
                <w:rFonts w:asciiTheme="minorHAnsi" w:eastAsia="Times New Roman" w:hAnsiTheme="minorHAnsi" w:cs="Calibri"/>
                <w:spacing w:val="-1"/>
                <w:w w:val="105"/>
                <w:sz w:val="18"/>
                <w:szCs w:val="18"/>
                <w:lang w:eastAsia="en-AU"/>
              </w:rPr>
              <w:t>-1910</w:t>
            </w:r>
          </w:p>
        </w:tc>
        <w:tc>
          <w:tcPr>
            <w:tcW w:w="20" w:type="dxa"/>
            <w:tcBorders>
              <w:top w:val="single" w:sz="2" w:space="0" w:color="000000"/>
              <w:left w:val="nil"/>
              <w:bottom w:val="single" w:sz="2" w:space="0" w:color="000000"/>
              <w:right w:val="nil"/>
            </w:tcBorders>
            <w:shd w:val="clear" w:color="auto" w:fill="auto"/>
          </w:tcPr>
          <w:p w14:paraId="3BE862D2" w14:textId="77777777" w:rsidR="00DF61BC" w:rsidRPr="00C94C33" w:rsidRDefault="00DF61BC" w:rsidP="00A17407">
            <w:pPr>
              <w:kinsoku w:val="0"/>
              <w:overflowPunct w:val="0"/>
              <w:autoSpaceDE w:val="0"/>
              <w:autoSpaceDN w:val="0"/>
              <w:adjustRightInd w:val="0"/>
              <w:spacing w:before="0" w:after="0" w:line="240" w:lineRule="auto"/>
              <w:ind w:left="123"/>
              <w:rPr>
                <w:rFonts w:asciiTheme="minorHAnsi" w:eastAsia="Times New Roman" w:hAnsiTheme="minorHAnsi" w:cs="Calibri"/>
                <w:sz w:val="18"/>
                <w:szCs w:val="18"/>
                <w:lang w:eastAsia="en-AU"/>
              </w:rPr>
            </w:pPr>
            <w:r w:rsidRPr="00C94C33">
              <w:rPr>
                <w:rFonts w:asciiTheme="minorHAnsi" w:eastAsia="Times New Roman" w:hAnsiTheme="minorHAnsi" w:cs="Calibri"/>
                <w:spacing w:val="-1"/>
                <w:w w:val="105"/>
                <w:sz w:val="18"/>
                <w:szCs w:val="18"/>
                <w:lang w:eastAsia="en-AU"/>
              </w:rPr>
              <w:t>-3710</w:t>
            </w:r>
          </w:p>
        </w:tc>
        <w:tc>
          <w:tcPr>
            <w:tcW w:w="315" w:type="dxa"/>
            <w:gridSpan w:val="2"/>
            <w:tcBorders>
              <w:top w:val="single" w:sz="2" w:space="0" w:color="000000"/>
              <w:left w:val="nil"/>
              <w:bottom w:val="single" w:sz="2" w:space="0" w:color="000000"/>
              <w:right w:val="nil"/>
            </w:tcBorders>
            <w:shd w:val="clear" w:color="auto" w:fill="auto"/>
          </w:tcPr>
          <w:p w14:paraId="5D23E96E" w14:textId="77777777" w:rsidR="00DF61BC" w:rsidRPr="00C94C33" w:rsidRDefault="00DF61BC" w:rsidP="00A17407">
            <w:pPr>
              <w:kinsoku w:val="0"/>
              <w:overflowPunct w:val="0"/>
              <w:autoSpaceDE w:val="0"/>
              <w:autoSpaceDN w:val="0"/>
              <w:adjustRightInd w:val="0"/>
              <w:spacing w:before="0" w:after="0" w:line="240" w:lineRule="auto"/>
              <w:ind w:left="34"/>
              <w:rPr>
                <w:rFonts w:asciiTheme="minorHAnsi" w:eastAsia="Times New Roman" w:hAnsiTheme="minorHAnsi" w:cs="Calibri"/>
                <w:sz w:val="18"/>
                <w:szCs w:val="18"/>
                <w:lang w:eastAsia="en-AU"/>
              </w:rPr>
            </w:pPr>
            <w:r w:rsidRPr="00C94C33">
              <w:rPr>
                <w:rFonts w:asciiTheme="minorHAnsi" w:eastAsia="PMingLiU" w:hAnsiTheme="minorHAnsi" w:cs="Calibri"/>
                <w:w w:val="105"/>
                <w:sz w:val="18"/>
                <w:szCs w:val="18"/>
                <w:lang w:eastAsia="en-AU"/>
              </w:rPr>
              <w:t>~</w:t>
            </w:r>
          </w:p>
        </w:tc>
        <w:tc>
          <w:tcPr>
            <w:tcW w:w="704" w:type="dxa"/>
            <w:gridSpan w:val="2"/>
            <w:tcBorders>
              <w:top w:val="single" w:sz="2" w:space="0" w:color="000000"/>
              <w:left w:val="nil"/>
              <w:bottom w:val="single" w:sz="2" w:space="0" w:color="000000"/>
              <w:right w:val="nil"/>
            </w:tcBorders>
            <w:shd w:val="clear" w:color="auto" w:fill="auto"/>
          </w:tcPr>
          <w:p w14:paraId="45BF0451" w14:textId="77777777" w:rsidR="00DF61BC" w:rsidRPr="00C94C33" w:rsidRDefault="00DF61BC" w:rsidP="00A17407">
            <w:pPr>
              <w:kinsoku w:val="0"/>
              <w:overflowPunct w:val="0"/>
              <w:autoSpaceDE w:val="0"/>
              <w:autoSpaceDN w:val="0"/>
              <w:adjustRightInd w:val="0"/>
              <w:spacing w:before="0" w:after="0" w:line="240" w:lineRule="auto"/>
              <w:rPr>
                <w:rFonts w:asciiTheme="minorHAnsi" w:eastAsia="Times New Roman" w:hAnsiTheme="minorHAnsi" w:cs="Calibri"/>
                <w:sz w:val="18"/>
                <w:szCs w:val="18"/>
                <w:lang w:eastAsia="en-AU"/>
              </w:rPr>
            </w:pPr>
            <w:r w:rsidRPr="00C94C33">
              <w:rPr>
                <w:rFonts w:asciiTheme="minorHAnsi" w:eastAsia="Times New Roman" w:hAnsiTheme="minorHAnsi" w:cs="Calibri"/>
                <w:spacing w:val="-1"/>
                <w:w w:val="105"/>
                <w:sz w:val="18"/>
                <w:szCs w:val="18"/>
                <w:lang w:eastAsia="en-AU"/>
              </w:rPr>
              <w:t>-117</w:t>
            </w:r>
          </w:p>
        </w:tc>
        <w:tc>
          <w:tcPr>
            <w:tcW w:w="946" w:type="dxa"/>
            <w:tcBorders>
              <w:top w:val="single" w:sz="2" w:space="0" w:color="000000"/>
              <w:left w:val="nil"/>
              <w:bottom w:val="single" w:sz="2" w:space="0" w:color="000000"/>
              <w:right w:val="single" w:sz="7" w:space="0" w:color="000000"/>
            </w:tcBorders>
            <w:shd w:val="clear" w:color="auto" w:fill="auto"/>
          </w:tcPr>
          <w:p w14:paraId="4C156BB8" w14:textId="77777777" w:rsidR="00DF61BC" w:rsidRPr="00C94C33" w:rsidRDefault="00DF61BC" w:rsidP="00A17407">
            <w:pPr>
              <w:kinsoku w:val="0"/>
              <w:overflowPunct w:val="0"/>
              <w:autoSpaceDE w:val="0"/>
              <w:autoSpaceDN w:val="0"/>
              <w:adjustRightInd w:val="0"/>
              <w:spacing w:before="0" w:after="0" w:line="240" w:lineRule="auto"/>
              <w:ind w:left="108"/>
              <w:rPr>
                <w:rFonts w:asciiTheme="minorHAnsi" w:eastAsia="Times New Roman" w:hAnsiTheme="minorHAnsi" w:cs="Calibri"/>
                <w:sz w:val="18"/>
                <w:szCs w:val="18"/>
                <w:lang w:eastAsia="en-AU"/>
              </w:rPr>
            </w:pPr>
            <w:r w:rsidRPr="00C94C33">
              <w:rPr>
                <w:rFonts w:asciiTheme="minorHAnsi" w:eastAsia="Times New Roman" w:hAnsiTheme="minorHAnsi" w:cs="Calibri"/>
                <w:w w:val="105"/>
                <w:sz w:val="18"/>
                <w:szCs w:val="18"/>
                <w:lang w:eastAsia="en-AU"/>
              </w:rPr>
              <w:t>0.0382</w:t>
            </w:r>
          </w:p>
        </w:tc>
        <w:tc>
          <w:tcPr>
            <w:tcW w:w="551" w:type="dxa"/>
            <w:tcBorders>
              <w:top w:val="single" w:sz="2" w:space="0" w:color="000000"/>
              <w:left w:val="single" w:sz="7" w:space="0" w:color="000000"/>
              <w:bottom w:val="single" w:sz="2" w:space="0" w:color="000000"/>
              <w:right w:val="nil"/>
            </w:tcBorders>
            <w:shd w:val="clear" w:color="auto" w:fill="auto"/>
          </w:tcPr>
          <w:p w14:paraId="6CD258F1" w14:textId="77777777" w:rsidR="00DF61BC" w:rsidRPr="00C94C33" w:rsidRDefault="00DF61BC" w:rsidP="00A17407">
            <w:pPr>
              <w:kinsoku w:val="0"/>
              <w:overflowPunct w:val="0"/>
              <w:autoSpaceDE w:val="0"/>
              <w:autoSpaceDN w:val="0"/>
              <w:adjustRightInd w:val="0"/>
              <w:spacing w:before="0" w:after="0" w:line="240" w:lineRule="auto"/>
              <w:ind w:left="483"/>
              <w:rPr>
                <w:rFonts w:asciiTheme="minorHAnsi" w:eastAsia="Times New Roman" w:hAnsiTheme="minorHAnsi" w:cs="Calibri"/>
                <w:sz w:val="18"/>
                <w:szCs w:val="18"/>
                <w:lang w:eastAsia="en-AU"/>
              </w:rPr>
            </w:pPr>
            <w:r w:rsidRPr="00C94C33">
              <w:rPr>
                <w:rFonts w:asciiTheme="minorHAnsi" w:eastAsia="Times New Roman" w:hAnsiTheme="minorHAnsi" w:cs="Calibri"/>
                <w:w w:val="105"/>
                <w:sz w:val="18"/>
                <w:szCs w:val="18"/>
                <w:lang w:eastAsia="en-AU"/>
              </w:rPr>
              <w:t>152</w:t>
            </w:r>
          </w:p>
        </w:tc>
        <w:tc>
          <w:tcPr>
            <w:tcW w:w="495" w:type="dxa"/>
            <w:gridSpan w:val="2"/>
            <w:tcBorders>
              <w:top w:val="single" w:sz="2" w:space="0" w:color="000000"/>
              <w:left w:val="nil"/>
              <w:bottom w:val="single" w:sz="2" w:space="0" w:color="000000"/>
              <w:right w:val="nil"/>
            </w:tcBorders>
            <w:shd w:val="clear" w:color="auto" w:fill="auto"/>
          </w:tcPr>
          <w:p w14:paraId="5CAB135B" w14:textId="77777777" w:rsidR="00DF61BC" w:rsidRPr="00C94C33" w:rsidRDefault="00DF61BC" w:rsidP="00A17407">
            <w:pPr>
              <w:kinsoku w:val="0"/>
              <w:overflowPunct w:val="0"/>
              <w:autoSpaceDE w:val="0"/>
              <w:autoSpaceDN w:val="0"/>
              <w:adjustRightInd w:val="0"/>
              <w:spacing w:before="0" w:after="0" w:line="240" w:lineRule="auto"/>
              <w:ind w:left="134"/>
              <w:rPr>
                <w:rFonts w:asciiTheme="minorHAnsi" w:eastAsia="Times New Roman" w:hAnsiTheme="minorHAnsi" w:cs="Calibri"/>
                <w:sz w:val="18"/>
                <w:szCs w:val="18"/>
                <w:lang w:eastAsia="en-AU"/>
              </w:rPr>
            </w:pPr>
            <w:r w:rsidRPr="00C94C33">
              <w:rPr>
                <w:rFonts w:asciiTheme="minorHAnsi" w:eastAsia="Times New Roman" w:hAnsiTheme="minorHAnsi" w:cs="Calibri"/>
                <w:w w:val="105"/>
                <w:sz w:val="18"/>
                <w:szCs w:val="18"/>
                <w:lang w:eastAsia="en-AU"/>
              </w:rPr>
              <w:t>117</w:t>
            </w:r>
          </w:p>
        </w:tc>
        <w:tc>
          <w:tcPr>
            <w:tcW w:w="298" w:type="dxa"/>
            <w:tcBorders>
              <w:top w:val="single" w:sz="2" w:space="0" w:color="000000"/>
              <w:left w:val="nil"/>
              <w:bottom w:val="single" w:sz="2" w:space="0" w:color="000000"/>
              <w:right w:val="nil"/>
            </w:tcBorders>
            <w:shd w:val="clear" w:color="auto" w:fill="auto"/>
          </w:tcPr>
          <w:p w14:paraId="2A126300" w14:textId="77777777" w:rsidR="00DF61BC" w:rsidRPr="00C94C33" w:rsidRDefault="00DF61BC" w:rsidP="00A17407">
            <w:pPr>
              <w:kinsoku w:val="0"/>
              <w:overflowPunct w:val="0"/>
              <w:autoSpaceDE w:val="0"/>
              <w:autoSpaceDN w:val="0"/>
              <w:adjustRightInd w:val="0"/>
              <w:spacing w:before="0" w:after="0" w:line="240" w:lineRule="auto"/>
              <w:ind w:left="34"/>
              <w:rPr>
                <w:rFonts w:asciiTheme="minorHAnsi" w:eastAsia="Times New Roman" w:hAnsiTheme="minorHAnsi" w:cs="Calibri"/>
                <w:sz w:val="18"/>
                <w:szCs w:val="18"/>
                <w:lang w:eastAsia="en-AU"/>
              </w:rPr>
            </w:pPr>
            <w:r w:rsidRPr="00C94C33">
              <w:rPr>
                <w:rFonts w:asciiTheme="minorHAnsi" w:eastAsia="PMingLiU" w:hAnsiTheme="minorHAnsi" w:cs="Calibri"/>
                <w:w w:val="105"/>
                <w:sz w:val="18"/>
                <w:szCs w:val="18"/>
                <w:lang w:eastAsia="en-AU"/>
              </w:rPr>
              <w:t>~</w:t>
            </w:r>
          </w:p>
        </w:tc>
        <w:tc>
          <w:tcPr>
            <w:tcW w:w="474" w:type="dxa"/>
            <w:tcBorders>
              <w:top w:val="single" w:sz="2" w:space="0" w:color="000000"/>
              <w:left w:val="nil"/>
              <w:bottom w:val="single" w:sz="2" w:space="0" w:color="000000"/>
              <w:right w:val="nil"/>
            </w:tcBorders>
            <w:shd w:val="clear" w:color="auto" w:fill="auto"/>
          </w:tcPr>
          <w:p w14:paraId="1E6CC1C8" w14:textId="77777777" w:rsidR="00DF61BC" w:rsidRPr="00C94C33" w:rsidRDefault="00DF61BC" w:rsidP="00A17407">
            <w:pPr>
              <w:kinsoku w:val="0"/>
              <w:overflowPunct w:val="0"/>
              <w:autoSpaceDE w:val="0"/>
              <w:autoSpaceDN w:val="0"/>
              <w:adjustRightInd w:val="0"/>
              <w:spacing w:before="0" w:after="0" w:line="240" w:lineRule="auto"/>
              <w:rPr>
                <w:rFonts w:asciiTheme="minorHAnsi" w:eastAsia="Times New Roman" w:hAnsiTheme="minorHAnsi" w:cs="Calibri"/>
                <w:sz w:val="18"/>
                <w:szCs w:val="18"/>
                <w:lang w:eastAsia="en-AU"/>
              </w:rPr>
            </w:pPr>
            <w:r w:rsidRPr="00C94C33">
              <w:rPr>
                <w:rFonts w:asciiTheme="minorHAnsi" w:eastAsia="Times New Roman" w:hAnsiTheme="minorHAnsi" w:cs="Calibri"/>
                <w:w w:val="105"/>
                <w:sz w:val="18"/>
                <w:szCs w:val="18"/>
                <w:lang w:eastAsia="en-AU"/>
              </w:rPr>
              <w:t>188</w:t>
            </w:r>
          </w:p>
        </w:tc>
        <w:tc>
          <w:tcPr>
            <w:tcW w:w="861" w:type="dxa"/>
            <w:gridSpan w:val="2"/>
            <w:tcBorders>
              <w:top w:val="single" w:sz="2" w:space="0" w:color="000000"/>
              <w:left w:val="nil"/>
              <w:bottom w:val="single" w:sz="2" w:space="0" w:color="000000"/>
              <w:right w:val="single" w:sz="7" w:space="0" w:color="000000"/>
            </w:tcBorders>
            <w:shd w:val="clear" w:color="auto" w:fill="auto"/>
          </w:tcPr>
          <w:p w14:paraId="4D52D3C5" w14:textId="77777777" w:rsidR="00DF61BC" w:rsidRPr="00C94C33" w:rsidRDefault="00DF61BC" w:rsidP="00A17407">
            <w:pPr>
              <w:kinsoku w:val="0"/>
              <w:overflowPunct w:val="0"/>
              <w:autoSpaceDE w:val="0"/>
              <w:autoSpaceDN w:val="0"/>
              <w:adjustRightInd w:val="0"/>
              <w:spacing w:before="0" w:after="0" w:line="240" w:lineRule="auto"/>
              <w:ind w:left="70"/>
              <w:rPr>
                <w:rFonts w:asciiTheme="minorHAnsi" w:eastAsia="Times New Roman" w:hAnsiTheme="minorHAnsi" w:cs="Calibri"/>
                <w:sz w:val="18"/>
                <w:szCs w:val="18"/>
                <w:lang w:eastAsia="en-AU"/>
              </w:rPr>
            </w:pPr>
            <w:r w:rsidRPr="00C94C33">
              <w:rPr>
                <w:rFonts w:asciiTheme="minorHAnsi" w:eastAsia="PMingLiU" w:hAnsiTheme="minorHAnsi" w:cs="Calibri"/>
                <w:w w:val="105"/>
                <w:sz w:val="18"/>
                <w:szCs w:val="18"/>
                <w:lang w:eastAsia="en-AU"/>
              </w:rPr>
              <w:t>&lt; 0.0001</w:t>
            </w:r>
          </w:p>
        </w:tc>
        <w:tc>
          <w:tcPr>
            <w:tcW w:w="865" w:type="dxa"/>
            <w:gridSpan w:val="2"/>
            <w:tcBorders>
              <w:top w:val="single" w:sz="2" w:space="0" w:color="000000"/>
              <w:left w:val="single" w:sz="7" w:space="0" w:color="000000"/>
              <w:bottom w:val="single" w:sz="2" w:space="0" w:color="000000"/>
              <w:right w:val="single" w:sz="7" w:space="0" w:color="000000"/>
            </w:tcBorders>
            <w:shd w:val="clear" w:color="auto" w:fill="auto"/>
          </w:tcPr>
          <w:p w14:paraId="7D931CA8" w14:textId="77777777" w:rsidR="00DF61BC" w:rsidRPr="00C94C33" w:rsidRDefault="00DF61BC" w:rsidP="00A17407">
            <w:pPr>
              <w:kinsoku w:val="0"/>
              <w:overflowPunct w:val="0"/>
              <w:autoSpaceDE w:val="0"/>
              <w:autoSpaceDN w:val="0"/>
              <w:adjustRightInd w:val="0"/>
              <w:spacing w:before="0" w:after="0" w:line="240" w:lineRule="auto"/>
              <w:ind w:left="173"/>
              <w:rPr>
                <w:rFonts w:asciiTheme="minorHAnsi" w:eastAsia="Times New Roman" w:hAnsiTheme="minorHAnsi" w:cs="Calibri"/>
                <w:sz w:val="18"/>
                <w:szCs w:val="18"/>
                <w:lang w:eastAsia="en-AU"/>
              </w:rPr>
            </w:pPr>
            <w:r w:rsidRPr="00C94C33">
              <w:rPr>
                <w:rFonts w:asciiTheme="minorHAnsi" w:eastAsia="Times New Roman" w:hAnsiTheme="minorHAnsi" w:cs="Calibri"/>
                <w:w w:val="105"/>
                <w:sz w:val="18"/>
                <w:szCs w:val="18"/>
                <w:lang w:eastAsia="en-AU"/>
              </w:rPr>
              <w:t>0.262</w:t>
            </w:r>
          </w:p>
        </w:tc>
      </w:tr>
      <w:tr w:rsidR="00DF61BC" w:rsidRPr="00C94C33" w14:paraId="3A6EB6F8" w14:textId="77777777" w:rsidTr="00A17407">
        <w:trPr>
          <w:trHeight w:hRule="exact" w:val="243"/>
        </w:trPr>
        <w:tc>
          <w:tcPr>
            <w:tcW w:w="1281" w:type="dxa"/>
            <w:tcBorders>
              <w:top w:val="single" w:sz="2" w:space="0" w:color="000000"/>
              <w:left w:val="single" w:sz="7" w:space="0" w:color="000000"/>
              <w:bottom w:val="single" w:sz="7" w:space="0" w:color="000000"/>
              <w:right w:val="single" w:sz="7" w:space="0" w:color="000000"/>
            </w:tcBorders>
            <w:shd w:val="clear" w:color="auto" w:fill="auto"/>
          </w:tcPr>
          <w:p w14:paraId="39483622" w14:textId="77777777" w:rsidR="00DF61BC" w:rsidRPr="00C94C33" w:rsidRDefault="00DF61BC" w:rsidP="00A17407">
            <w:pPr>
              <w:kinsoku w:val="0"/>
              <w:overflowPunct w:val="0"/>
              <w:autoSpaceDE w:val="0"/>
              <w:autoSpaceDN w:val="0"/>
              <w:adjustRightInd w:val="0"/>
              <w:spacing w:before="0" w:after="0" w:line="240" w:lineRule="auto"/>
              <w:ind w:left="183"/>
              <w:rPr>
                <w:rFonts w:asciiTheme="minorHAnsi" w:eastAsia="Times New Roman" w:hAnsiTheme="minorHAnsi" w:cs="Calibri"/>
                <w:sz w:val="18"/>
                <w:szCs w:val="18"/>
                <w:lang w:eastAsia="en-AU"/>
              </w:rPr>
            </w:pPr>
            <w:r w:rsidRPr="00C94C33">
              <w:rPr>
                <w:rFonts w:asciiTheme="minorHAnsi" w:eastAsia="Times New Roman" w:hAnsiTheme="minorHAnsi" w:cs="Calibri"/>
                <w:spacing w:val="-1"/>
                <w:w w:val="105"/>
                <w:sz w:val="18"/>
                <w:szCs w:val="18"/>
                <w:lang w:eastAsia="en-AU"/>
              </w:rPr>
              <w:t>AUC</w:t>
            </w:r>
            <w:r w:rsidRPr="00C94C33">
              <w:rPr>
                <w:rFonts w:asciiTheme="minorHAnsi" w:eastAsia="Times New Roman" w:hAnsiTheme="minorHAnsi" w:cs="Calibri"/>
                <w:spacing w:val="-1"/>
                <w:w w:val="105"/>
                <w:position w:val="-4"/>
                <w:sz w:val="18"/>
                <w:szCs w:val="18"/>
                <w:lang w:eastAsia="en-AU"/>
              </w:rPr>
              <w:t>inf</w:t>
            </w:r>
          </w:p>
        </w:tc>
        <w:tc>
          <w:tcPr>
            <w:tcW w:w="850" w:type="dxa"/>
            <w:tcBorders>
              <w:top w:val="single" w:sz="2" w:space="0" w:color="000000"/>
              <w:left w:val="single" w:sz="7" w:space="0" w:color="000000"/>
              <w:bottom w:val="single" w:sz="7" w:space="0" w:color="000000"/>
              <w:right w:val="single" w:sz="7" w:space="0" w:color="000000"/>
            </w:tcBorders>
            <w:shd w:val="clear" w:color="auto" w:fill="auto"/>
          </w:tcPr>
          <w:p w14:paraId="225187BA" w14:textId="77777777" w:rsidR="00DF61BC" w:rsidRPr="00C94C33" w:rsidRDefault="00DF61BC" w:rsidP="00A17407">
            <w:pPr>
              <w:kinsoku w:val="0"/>
              <w:overflowPunct w:val="0"/>
              <w:autoSpaceDE w:val="0"/>
              <w:autoSpaceDN w:val="0"/>
              <w:adjustRightInd w:val="0"/>
              <w:spacing w:before="0" w:after="0" w:line="240" w:lineRule="auto"/>
              <w:ind w:left="120"/>
              <w:rPr>
                <w:rFonts w:asciiTheme="minorHAnsi" w:eastAsia="Times New Roman" w:hAnsiTheme="minorHAnsi" w:cs="Calibri"/>
                <w:sz w:val="18"/>
                <w:szCs w:val="18"/>
                <w:lang w:eastAsia="en-AU"/>
              </w:rPr>
            </w:pPr>
            <w:r w:rsidRPr="00C94C33">
              <w:rPr>
                <w:rFonts w:asciiTheme="minorHAnsi" w:eastAsia="Times New Roman" w:hAnsiTheme="minorHAnsi" w:cs="Calibri"/>
                <w:w w:val="105"/>
                <w:sz w:val="18"/>
                <w:szCs w:val="18"/>
                <w:lang w:eastAsia="en-AU"/>
              </w:rPr>
              <w:t>0.793</w:t>
            </w:r>
          </w:p>
        </w:tc>
        <w:tc>
          <w:tcPr>
            <w:tcW w:w="1134" w:type="dxa"/>
            <w:tcBorders>
              <w:top w:val="single" w:sz="2" w:space="0" w:color="000000"/>
              <w:left w:val="single" w:sz="7" w:space="0" w:color="000000"/>
              <w:bottom w:val="single" w:sz="7" w:space="0" w:color="000000"/>
              <w:right w:val="nil"/>
            </w:tcBorders>
            <w:shd w:val="clear" w:color="auto" w:fill="auto"/>
          </w:tcPr>
          <w:p w14:paraId="2CD0A817" w14:textId="77777777" w:rsidR="00DF61BC" w:rsidRPr="00C94C33" w:rsidRDefault="00DF61BC" w:rsidP="00A17407">
            <w:pPr>
              <w:kinsoku w:val="0"/>
              <w:overflowPunct w:val="0"/>
              <w:autoSpaceDE w:val="0"/>
              <w:autoSpaceDN w:val="0"/>
              <w:adjustRightInd w:val="0"/>
              <w:spacing w:before="0" w:after="0" w:line="240" w:lineRule="auto"/>
              <w:ind w:left="331"/>
              <w:rPr>
                <w:rFonts w:asciiTheme="minorHAnsi" w:eastAsia="Times New Roman" w:hAnsiTheme="minorHAnsi" w:cs="Calibri"/>
                <w:sz w:val="18"/>
                <w:szCs w:val="18"/>
                <w:lang w:eastAsia="en-AU"/>
              </w:rPr>
            </w:pPr>
            <w:r w:rsidRPr="00C94C33">
              <w:rPr>
                <w:rFonts w:asciiTheme="minorHAnsi" w:eastAsia="Times New Roman" w:hAnsiTheme="minorHAnsi" w:cs="Calibri"/>
                <w:spacing w:val="-1"/>
                <w:w w:val="105"/>
                <w:sz w:val="18"/>
                <w:szCs w:val="18"/>
                <w:lang w:eastAsia="en-AU"/>
              </w:rPr>
              <w:t>-1830</w:t>
            </w:r>
          </w:p>
        </w:tc>
        <w:tc>
          <w:tcPr>
            <w:tcW w:w="20" w:type="dxa"/>
            <w:tcBorders>
              <w:top w:val="single" w:sz="2" w:space="0" w:color="000000"/>
              <w:left w:val="nil"/>
              <w:bottom w:val="single" w:sz="7" w:space="0" w:color="000000"/>
              <w:right w:val="nil"/>
            </w:tcBorders>
            <w:shd w:val="clear" w:color="auto" w:fill="auto"/>
          </w:tcPr>
          <w:p w14:paraId="5BCD32B3" w14:textId="77777777" w:rsidR="00DF61BC" w:rsidRPr="00C94C33" w:rsidRDefault="00DF61BC" w:rsidP="00A17407">
            <w:pPr>
              <w:kinsoku w:val="0"/>
              <w:overflowPunct w:val="0"/>
              <w:autoSpaceDE w:val="0"/>
              <w:autoSpaceDN w:val="0"/>
              <w:adjustRightInd w:val="0"/>
              <w:spacing w:before="0" w:after="0" w:line="240" w:lineRule="auto"/>
              <w:ind w:left="122"/>
              <w:rPr>
                <w:rFonts w:asciiTheme="minorHAnsi" w:eastAsia="Times New Roman" w:hAnsiTheme="minorHAnsi" w:cs="Calibri"/>
                <w:sz w:val="18"/>
                <w:szCs w:val="18"/>
                <w:lang w:eastAsia="en-AU"/>
              </w:rPr>
            </w:pPr>
            <w:r w:rsidRPr="00C94C33">
              <w:rPr>
                <w:rFonts w:asciiTheme="minorHAnsi" w:eastAsia="Times New Roman" w:hAnsiTheme="minorHAnsi" w:cs="Calibri"/>
                <w:spacing w:val="-1"/>
                <w:w w:val="105"/>
                <w:sz w:val="18"/>
                <w:szCs w:val="18"/>
                <w:lang w:eastAsia="en-AU"/>
              </w:rPr>
              <w:t>-3860</w:t>
            </w:r>
          </w:p>
        </w:tc>
        <w:tc>
          <w:tcPr>
            <w:tcW w:w="315" w:type="dxa"/>
            <w:gridSpan w:val="2"/>
            <w:tcBorders>
              <w:top w:val="single" w:sz="2" w:space="0" w:color="000000"/>
              <w:left w:val="nil"/>
              <w:bottom w:val="single" w:sz="7" w:space="0" w:color="000000"/>
              <w:right w:val="nil"/>
            </w:tcBorders>
            <w:shd w:val="clear" w:color="auto" w:fill="auto"/>
          </w:tcPr>
          <w:p w14:paraId="6A1EEDA4" w14:textId="77777777" w:rsidR="00DF61BC" w:rsidRPr="00C94C33" w:rsidRDefault="00DF61BC" w:rsidP="00A17407">
            <w:pPr>
              <w:kinsoku w:val="0"/>
              <w:overflowPunct w:val="0"/>
              <w:autoSpaceDE w:val="0"/>
              <w:autoSpaceDN w:val="0"/>
              <w:adjustRightInd w:val="0"/>
              <w:spacing w:before="0" w:after="0" w:line="240" w:lineRule="auto"/>
              <w:ind w:left="34"/>
              <w:rPr>
                <w:rFonts w:asciiTheme="minorHAnsi" w:eastAsia="Times New Roman" w:hAnsiTheme="minorHAnsi" w:cs="Calibri"/>
                <w:sz w:val="18"/>
                <w:szCs w:val="18"/>
                <w:lang w:eastAsia="en-AU"/>
              </w:rPr>
            </w:pPr>
            <w:r w:rsidRPr="00C94C33">
              <w:rPr>
                <w:rFonts w:asciiTheme="minorHAnsi" w:eastAsia="PMingLiU" w:hAnsiTheme="minorHAnsi" w:cs="Calibri"/>
                <w:w w:val="105"/>
                <w:sz w:val="18"/>
                <w:szCs w:val="18"/>
                <w:lang w:eastAsia="en-AU"/>
              </w:rPr>
              <w:t>~</w:t>
            </w:r>
          </w:p>
        </w:tc>
        <w:tc>
          <w:tcPr>
            <w:tcW w:w="704" w:type="dxa"/>
            <w:gridSpan w:val="2"/>
            <w:tcBorders>
              <w:top w:val="single" w:sz="2" w:space="0" w:color="000000"/>
              <w:left w:val="nil"/>
              <w:bottom w:val="single" w:sz="7" w:space="0" w:color="000000"/>
              <w:right w:val="nil"/>
            </w:tcBorders>
            <w:shd w:val="clear" w:color="auto" w:fill="auto"/>
          </w:tcPr>
          <w:p w14:paraId="3F8FAD01" w14:textId="77777777" w:rsidR="00DF61BC" w:rsidRPr="00C94C33" w:rsidRDefault="00DF61BC" w:rsidP="00A17407">
            <w:pPr>
              <w:kinsoku w:val="0"/>
              <w:overflowPunct w:val="0"/>
              <w:autoSpaceDE w:val="0"/>
              <w:autoSpaceDN w:val="0"/>
              <w:adjustRightInd w:val="0"/>
              <w:spacing w:before="0" w:after="0" w:line="240" w:lineRule="auto"/>
              <w:rPr>
                <w:rFonts w:asciiTheme="minorHAnsi" w:eastAsia="Times New Roman" w:hAnsiTheme="minorHAnsi" w:cs="Calibri"/>
                <w:sz w:val="18"/>
                <w:szCs w:val="18"/>
                <w:lang w:eastAsia="en-AU"/>
              </w:rPr>
            </w:pPr>
            <w:r w:rsidRPr="00C94C33">
              <w:rPr>
                <w:rFonts w:asciiTheme="minorHAnsi" w:eastAsia="Times New Roman" w:hAnsiTheme="minorHAnsi" w:cs="Calibri"/>
                <w:w w:val="105"/>
                <w:sz w:val="18"/>
                <w:szCs w:val="18"/>
                <w:lang w:eastAsia="en-AU"/>
              </w:rPr>
              <w:t>193</w:t>
            </w:r>
          </w:p>
        </w:tc>
        <w:tc>
          <w:tcPr>
            <w:tcW w:w="946" w:type="dxa"/>
            <w:tcBorders>
              <w:top w:val="single" w:sz="2" w:space="0" w:color="000000"/>
              <w:left w:val="nil"/>
              <w:bottom w:val="single" w:sz="7" w:space="0" w:color="000000"/>
              <w:right w:val="single" w:sz="7" w:space="0" w:color="000000"/>
            </w:tcBorders>
            <w:shd w:val="clear" w:color="auto" w:fill="auto"/>
          </w:tcPr>
          <w:p w14:paraId="05ECE5F2" w14:textId="77777777" w:rsidR="00DF61BC" w:rsidRPr="00C94C33" w:rsidRDefault="00DF61BC" w:rsidP="00A17407">
            <w:pPr>
              <w:kinsoku w:val="0"/>
              <w:overflowPunct w:val="0"/>
              <w:autoSpaceDE w:val="0"/>
              <w:autoSpaceDN w:val="0"/>
              <w:adjustRightInd w:val="0"/>
              <w:spacing w:before="0" w:after="0" w:line="240" w:lineRule="auto"/>
              <w:ind w:left="108"/>
              <w:rPr>
                <w:rFonts w:asciiTheme="minorHAnsi" w:eastAsia="Times New Roman" w:hAnsiTheme="minorHAnsi" w:cs="Calibri"/>
                <w:sz w:val="18"/>
                <w:szCs w:val="18"/>
                <w:lang w:eastAsia="en-AU"/>
              </w:rPr>
            </w:pPr>
            <w:r w:rsidRPr="00C94C33">
              <w:rPr>
                <w:rFonts w:asciiTheme="minorHAnsi" w:eastAsia="Times New Roman" w:hAnsiTheme="minorHAnsi" w:cs="Calibri"/>
                <w:w w:val="105"/>
                <w:sz w:val="18"/>
                <w:szCs w:val="18"/>
                <w:lang w:eastAsia="en-AU"/>
              </w:rPr>
              <w:t>0.0735</w:t>
            </w:r>
          </w:p>
        </w:tc>
        <w:tc>
          <w:tcPr>
            <w:tcW w:w="551" w:type="dxa"/>
            <w:tcBorders>
              <w:top w:val="single" w:sz="2" w:space="0" w:color="000000"/>
              <w:left w:val="single" w:sz="7" w:space="0" w:color="000000"/>
              <w:bottom w:val="single" w:sz="7" w:space="0" w:color="000000"/>
              <w:right w:val="nil"/>
            </w:tcBorders>
            <w:shd w:val="clear" w:color="auto" w:fill="auto"/>
          </w:tcPr>
          <w:p w14:paraId="6C3E1B93" w14:textId="77777777" w:rsidR="00DF61BC" w:rsidRPr="00C94C33" w:rsidRDefault="00DF61BC" w:rsidP="00A17407">
            <w:pPr>
              <w:kinsoku w:val="0"/>
              <w:overflowPunct w:val="0"/>
              <w:autoSpaceDE w:val="0"/>
              <w:autoSpaceDN w:val="0"/>
              <w:adjustRightInd w:val="0"/>
              <w:spacing w:before="0" w:after="0" w:line="240" w:lineRule="auto"/>
              <w:ind w:left="483"/>
              <w:rPr>
                <w:rFonts w:asciiTheme="minorHAnsi" w:eastAsia="Times New Roman" w:hAnsiTheme="minorHAnsi" w:cs="Calibri"/>
                <w:sz w:val="18"/>
                <w:szCs w:val="18"/>
                <w:lang w:eastAsia="en-AU"/>
              </w:rPr>
            </w:pPr>
            <w:r w:rsidRPr="00C94C33">
              <w:rPr>
                <w:rFonts w:asciiTheme="minorHAnsi" w:eastAsia="Times New Roman" w:hAnsiTheme="minorHAnsi" w:cs="Calibri"/>
                <w:w w:val="105"/>
                <w:sz w:val="18"/>
                <w:szCs w:val="18"/>
                <w:lang w:eastAsia="en-AU"/>
              </w:rPr>
              <w:t>151</w:t>
            </w:r>
          </w:p>
        </w:tc>
        <w:tc>
          <w:tcPr>
            <w:tcW w:w="495" w:type="dxa"/>
            <w:gridSpan w:val="2"/>
            <w:tcBorders>
              <w:top w:val="single" w:sz="2" w:space="0" w:color="000000"/>
              <w:left w:val="nil"/>
              <w:bottom w:val="single" w:sz="7" w:space="0" w:color="000000"/>
              <w:right w:val="nil"/>
            </w:tcBorders>
            <w:shd w:val="clear" w:color="auto" w:fill="auto"/>
          </w:tcPr>
          <w:p w14:paraId="25B4CC1E" w14:textId="77777777" w:rsidR="00DF61BC" w:rsidRPr="00C94C33" w:rsidRDefault="00DF61BC" w:rsidP="00A17407">
            <w:pPr>
              <w:kinsoku w:val="0"/>
              <w:overflowPunct w:val="0"/>
              <w:autoSpaceDE w:val="0"/>
              <w:autoSpaceDN w:val="0"/>
              <w:adjustRightInd w:val="0"/>
              <w:spacing w:before="0" w:after="0" w:line="240" w:lineRule="auto"/>
              <w:ind w:left="134"/>
              <w:rPr>
                <w:rFonts w:asciiTheme="minorHAnsi" w:eastAsia="Times New Roman" w:hAnsiTheme="minorHAnsi" w:cs="Calibri"/>
                <w:sz w:val="18"/>
                <w:szCs w:val="18"/>
                <w:lang w:eastAsia="en-AU"/>
              </w:rPr>
            </w:pPr>
            <w:r w:rsidRPr="00C94C33">
              <w:rPr>
                <w:rFonts w:asciiTheme="minorHAnsi" w:eastAsia="Times New Roman" w:hAnsiTheme="minorHAnsi" w:cs="Calibri"/>
                <w:w w:val="105"/>
                <w:sz w:val="18"/>
                <w:szCs w:val="18"/>
                <w:lang w:eastAsia="en-AU"/>
              </w:rPr>
              <w:t>113</w:t>
            </w:r>
          </w:p>
        </w:tc>
        <w:tc>
          <w:tcPr>
            <w:tcW w:w="298" w:type="dxa"/>
            <w:tcBorders>
              <w:top w:val="single" w:sz="2" w:space="0" w:color="000000"/>
              <w:left w:val="nil"/>
              <w:bottom w:val="single" w:sz="7" w:space="0" w:color="000000"/>
              <w:right w:val="nil"/>
            </w:tcBorders>
            <w:shd w:val="clear" w:color="auto" w:fill="auto"/>
          </w:tcPr>
          <w:p w14:paraId="24075C2A" w14:textId="77777777" w:rsidR="00DF61BC" w:rsidRPr="00C94C33" w:rsidRDefault="00DF61BC" w:rsidP="00A17407">
            <w:pPr>
              <w:kinsoku w:val="0"/>
              <w:overflowPunct w:val="0"/>
              <w:autoSpaceDE w:val="0"/>
              <w:autoSpaceDN w:val="0"/>
              <w:adjustRightInd w:val="0"/>
              <w:spacing w:before="0" w:after="0" w:line="240" w:lineRule="auto"/>
              <w:ind w:left="34"/>
              <w:rPr>
                <w:rFonts w:asciiTheme="minorHAnsi" w:eastAsia="Times New Roman" w:hAnsiTheme="minorHAnsi" w:cs="Calibri"/>
                <w:sz w:val="18"/>
                <w:szCs w:val="18"/>
                <w:lang w:eastAsia="en-AU"/>
              </w:rPr>
            </w:pPr>
            <w:r w:rsidRPr="00C94C33">
              <w:rPr>
                <w:rFonts w:asciiTheme="minorHAnsi" w:eastAsia="PMingLiU" w:hAnsiTheme="minorHAnsi" w:cs="Calibri"/>
                <w:w w:val="105"/>
                <w:sz w:val="18"/>
                <w:szCs w:val="18"/>
                <w:lang w:eastAsia="en-AU"/>
              </w:rPr>
              <w:t>~</w:t>
            </w:r>
          </w:p>
        </w:tc>
        <w:tc>
          <w:tcPr>
            <w:tcW w:w="474" w:type="dxa"/>
            <w:tcBorders>
              <w:top w:val="single" w:sz="2" w:space="0" w:color="000000"/>
              <w:left w:val="nil"/>
              <w:bottom w:val="single" w:sz="7" w:space="0" w:color="000000"/>
              <w:right w:val="nil"/>
            </w:tcBorders>
            <w:shd w:val="clear" w:color="auto" w:fill="auto"/>
          </w:tcPr>
          <w:p w14:paraId="496772C0" w14:textId="77777777" w:rsidR="00DF61BC" w:rsidRPr="00C94C33" w:rsidRDefault="00DF61BC" w:rsidP="00A17407">
            <w:pPr>
              <w:kinsoku w:val="0"/>
              <w:overflowPunct w:val="0"/>
              <w:autoSpaceDE w:val="0"/>
              <w:autoSpaceDN w:val="0"/>
              <w:adjustRightInd w:val="0"/>
              <w:spacing w:before="0" w:after="0" w:line="240" w:lineRule="auto"/>
              <w:rPr>
                <w:rFonts w:asciiTheme="minorHAnsi" w:eastAsia="Times New Roman" w:hAnsiTheme="minorHAnsi" w:cs="Calibri"/>
                <w:sz w:val="18"/>
                <w:szCs w:val="18"/>
                <w:lang w:eastAsia="en-AU"/>
              </w:rPr>
            </w:pPr>
            <w:r w:rsidRPr="00C94C33">
              <w:rPr>
                <w:rFonts w:asciiTheme="minorHAnsi" w:eastAsia="Times New Roman" w:hAnsiTheme="minorHAnsi" w:cs="Calibri"/>
                <w:w w:val="105"/>
                <w:sz w:val="18"/>
                <w:szCs w:val="18"/>
                <w:lang w:eastAsia="en-AU"/>
              </w:rPr>
              <w:t>190</w:t>
            </w:r>
          </w:p>
        </w:tc>
        <w:tc>
          <w:tcPr>
            <w:tcW w:w="861" w:type="dxa"/>
            <w:gridSpan w:val="2"/>
            <w:tcBorders>
              <w:top w:val="single" w:sz="2" w:space="0" w:color="000000"/>
              <w:left w:val="nil"/>
              <w:bottom w:val="single" w:sz="7" w:space="0" w:color="000000"/>
              <w:right w:val="single" w:sz="7" w:space="0" w:color="000000"/>
            </w:tcBorders>
            <w:shd w:val="clear" w:color="auto" w:fill="auto"/>
          </w:tcPr>
          <w:p w14:paraId="20AA1222" w14:textId="77777777" w:rsidR="00DF61BC" w:rsidRPr="00C94C33" w:rsidRDefault="00DF61BC" w:rsidP="00A17407">
            <w:pPr>
              <w:kinsoku w:val="0"/>
              <w:overflowPunct w:val="0"/>
              <w:autoSpaceDE w:val="0"/>
              <w:autoSpaceDN w:val="0"/>
              <w:adjustRightInd w:val="0"/>
              <w:spacing w:before="0" w:after="0" w:line="240" w:lineRule="auto"/>
              <w:ind w:left="69"/>
              <w:rPr>
                <w:rFonts w:asciiTheme="minorHAnsi" w:eastAsia="Times New Roman" w:hAnsiTheme="minorHAnsi" w:cs="Calibri"/>
                <w:sz w:val="18"/>
                <w:szCs w:val="18"/>
                <w:lang w:eastAsia="en-AU"/>
              </w:rPr>
            </w:pPr>
            <w:r w:rsidRPr="00C94C33">
              <w:rPr>
                <w:rFonts w:asciiTheme="minorHAnsi" w:eastAsia="PMingLiU" w:hAnsiTheme="minorHAnsi" w:cs="Calibri"/>
                <w:w w:val="105"/>
                <w:sz w:val="18"/>
                <w:szCs w:val="18"/>
                <w:lang w:eastAsia="en-AU"/>
              </w:rPr>
              <w:t>&lt; 0.0001</w:t>
            </w:r>
          </w:p>
        </w:tc>
        <w:tc>
          <w:tcPr>
            <w:tcW w:w="865" w:type="dxa"/>
            <w:gridSpan w:val="2"/>
            <w:tcBorders>
              <w:top w:val="single" w:sz="2" w:space="0" w:color="000000"/>
              <w:left w:val="single" w:sz="7" w:space="0" w:color="000000"/>
              <w:bottom w:val="single" w:sz="7" w:space="0" w:color="000000"/>
              <w:right w:val="single" w:sz="7" w:space="0" w:color="000000"/>
            </w:tcBorders>
            <w:shd w:val="clear" w:color="auto" w:fill="auto"/>
          </w:tcPr>
          <w:p w14:paraId="378668C9" w14:textId="77777777" w:rsidR="00DF61BC" w:rsidRPr="00C94C33" w:rsidRDefault="00DF61BC" w:rsidP="00A17407">
            <w:pPr>
              <w:kinsoku w:val="0"/>
              <w:overflowPunct w:val="0"/>
              <w:autoSpaceDE w:val="0"/>
              <w:autoSpaceDN w:val="0"/>
              <w:adjustRightInd w:val="0"/>
              <w:spacing w:before="0" w:after="0" w:line="240" w:lineRule="auto"/>
              <w:ind w:left="151"/>
              <w:rPr>
                <w:rFonts w:asciiTheme="minorHAnsi" w:eastAsia="Times New Roman" w:hAnsiTheme="minorHAnsi" w:cs="Calibri"/>
                <w:sz w:val="18"/>
                <w:szCs w:val="18"/>
                <w:lang w:eastAsia="en-AU"/>
              </w:rPr>
            </w:pPr>
            <w:r w:rsidRPr="00C94C33">
              <w:rPr>
                <w:rFonts w:asciiTheme="minorHAnsi" w:eastAsia="Times New Roman" w:hAnsiTheme="minorHAnsi" w:cs="Calibri"/>
                <w:w w:val="105"/>
                <w:sz w:val="18"/>
                <w:szCs w:val="18"/>
                <w:lang w:eastAsia="en-AU"/>
              </w:rPr>
              <w:t>0.259</w:t>
            </w:r>
          </w:p>
        </w:tc>
      </w:tr>
    </w:tbl>
    <w:p w14:paraId="446E1AAA" w14:textId="77777777" w:rsidR="00DF61BC" w:rsidRPr="00C94C33" w:rsidRDefault="00DF61BC" w:rsidP="00A17407">
      <w:pPr>
        <w:pStyle w:val="TableDescription"/>
        <w:rPr>
          <w:lang w:eastAsia="en-AU"/>
        </w:rPr>
      </w:pPr>
      <w:r w:rsidRPr="00C94C33">
        <w:rPr>
          <w:lang w:eastAsia="en-AU"/>
        </w:rPr>
        <w:t>Y = aX+b under the following conditions: X = dose and Y= PK parameter (Cmax, AUC). 95% CI = 95% confidence interval of estimated parameter. Five of the six patients assigned to the dose level of 30 mg/m2/day (AUCinf of FTD obtained from 4/5 cases, no available value in one case) were actually given TAS-102 in the morning in a dose lower than a half of daily dosage by 20%. Therefore, their data were analysed as those obtained from the patients that were given TAS-102 in a dose of 24 mg/m2/day.</w:t>
      </w:r>
    </w:p>
    <w:p w14:paraId="56683BCE" w14:textId="77777777" w:rsidR="00AA7141" w:rsidRDefault="00DF61BC" w:rsidP="00A17407">
      <w:pPr>
        <w:autoSpaceDE w:val="0"/>
        <w:autoSpaceDN w:val="0"/>
        <w:adjustRightInd w:val="0"/>
        <w:spacing w:before="0" w:line="240" w:lineRule="auto"/>
        <w:rPr>
          <w:rFonts w:eastAsia="Times New Roman"/>
          <w:color w:val="000000"/>
          <w:lang w:eastAsia="en-AU"/>
        </w:rPr>
      </w:pPr>
      <w:r w:rsidRPr="00C94C33">
        <w:rPr>
          <w:rFonts w:eastAsia="Times New Roman"/>
          <w:color w:val="000000"/>
          <w:lang w:eastAsia="en-AU"/>
        </w:rPr>
        <w:t>The result of the regression analysis using the power model of FTD showed that LOF was not significant for C</w:t>
      </w:r>
      <w:r w:rsidRPr="00C94C33">
        <w:rPr>
          <w:rFonts w:eastAsia="Times New Roman"/>
          <w:color w:val="000000"/>
          <w:sz w:val="20"/>
          <w:szCs w:val="20"/>
          <w:lang w:eastAsia="en-AU"/>
        </w:rPr>
        <w:t>max</w:t>
      </w:r>
      <w:r w:rsidRPr="00C94C33">
        <w:rPr>
          <w:rFonts w:eastAsia="Times New Roman"/>
          <w:color w:val="000000"/>
          <w:lang w:eastAsia="en-AU"/>
        </w:rPr>
        <w:t xml:space="preserve"> and AUC, indicating t</w:t>
      </w:r>
      <w:r w:rsidR="00A17407" w:rsidRPr="00C94C33">
        <w:rPr>
          <w:rFonts w:eastAsia="Times New Roman"/>
          <w:color w:val="000000"/>
          <w:lang w:eastAsia="en-AU"/>
        </w:rPr>
        <w:t xml:space="preserve">hat the analysis was valid. </w:t>
      </w:r>
      <w:r w:rsidRPr="00C94C33">
        <w:rPr>
          <w:rFonts w:eastAsia="Times New Roman"/>
          <w:color w:val="000000"/>
          <w:lang w:eastAsia="en-AU"/>
        </w:rPr>
        <w:t>The 95% CI of β for C</w:t>
      </w:r>
      <w:r w:rsidRPr="00C94C33">
        <w:rPr>
          <w:rFonts w:eastAsia="Times New Roman"/>
          <w:color w:val="000000"/>
          <w:sz w:val="20"/>
          <w:szCs w:val="20"/>
          <w:lang w:eastAsia="en-AU"/>
        </w:rPr>
        <w:t>max</w:t>
      </w:r>
      <w:r w:rsidRPr="00C94C33">
        <w:rPr>
          <w:rFonts w:eastAsia="Times New Roman"/>
          <w:color w:val="000000"/>
          <w:lang w:eastAsia="en-AU"/>
        </w:rPr>
        <w:t xml:space="preserve"> included 1, while the 95% CIs for the AUC parameters excluded 1. Therefore, the results indicate that the AUC parameters of FTD can be characterised as non-linear. Examination of the results for the analysis of linearity of TPI in plasma using the power model confirmed the linearity of C</w:t>
      </w:r>
      <w:r w:rsidRPr="00C94C33">
        <w:rPr>
          <w:rFonts w:eastAsia="Times New Roman"/>
          <w:color w:val="000000"/>
          <w:sz w:val="20"/>
          <w:szCs w:val="20"/>
          <w:lang w:eastAsia="en-AU"/>
        </w:rPr>
        <w:t>max</w:t>
      </w:r>
      <w:r w:rsidRPr="00C94C33">
        <w:rPr>
          <w:rFonts w:eastAsia="Times New Roman"/>
          <w:color w:val="000000"/>
          <w:lang w:eastAsia="en-AU"/>
        </w:rPr>
        <w:t>, AUC</w:t>
      </w:r>
      <w:r w:rsidRPr="00C94C33">
        <w:rPr>
          <w:rFonts w:eastAsia="Times New Roman"/>
          <w:color w:val="000000"/>
          <w:sz w:val="20"/>
          <w:szCs w:val="20"/>
          <w:lang w:eastAsia="en-AU"/>
        </w:rPr>
        <w:t xml:space="preserve">0-10h </w:t>
      </w:r>
      <w:r w:rsidRPr="00C94C33">
        <w:rPr>
          <w:rFonts w:eastAsia="Times New Roman"/>
          <w:color w:val="000000"/>
          <w:lang w:eastAsia="en-AU"/>
        </w:rPr>
        <w:t>and AUC</w:t>
      </w:r>
      <w:r w:rsidRPr="00C94C33">
        <w:rPr>
          <w:rFonts w:eastAsia="Times New Roman"/>
          <w:color w:val="000000"/>
          <w:sz w:val="20"/>
          <w:szCs w:val="20"/>
          <w:lang w:eastAsia="en-AU"/>
        </w:rPr>
        <w:t>inf</w:t>
      </w:r>
      <w:r w:rsidRPr="00C94C33">
        <w:rPr>
          <w:rFonts w:eastAsia="Times New Roman"/>
          <w:color w:val="000000"/>
          <w:lang w:eastAsia="en-AU"/>
        </w:rPr>
        <w:t>.</w:t>
      </w:r>
    </w:p>
    <w:p w14:paraId="12FD8523" w14:textId="121BFA91" w:rsidR="00DF61BC" w:rsidRPr="00C94C33" w:rsidRDefault="00DF61BC" w:rsidP="0058475B">
      <w:pPr>
        <w:pStyle w:val="Tabletitle"/>
        <w:rPr>
          <w:lang w:eastAsia="en-AU"/>
        </w:rPr>
      </w:pPr>
      <w:bookmarkStart w:id="78" w:name="_Toc470948656"/>
      <w:r w:rsidRPr="00C94C33">
        <w:rPr>
          <w:kern w:val="16"/>
          <w:lang w:eastAsia="en-AU"/>
        </w:rPr>
        <w:t xml:space="preserve">Table </w:t>
      </w:r>
      <w:r w:rsidR="00A17407" w:rsidRPr="00C94C33">
        <w:rPr>
          <w:kern w:val="16"/>
          <w:lang w:eastAsia="en-AU"/>
        </w:rPr>
        <w:t xml:space="preserve">7: </w:t>
      </w:r>
      <w:r w:rsidRPr="00C94C33">
        <w:rPr>
          <w:lang w:eastAsia="en-AU"/>
        </w:rPr>
        <w:t>Results of analyses of linearity of trifluridine in plasma using power models.</w:t>
      </w:r>
      <w:bookmarkEnd w:id="78"/>
    </w:p>
    <w:p w14:paraId="22E9399A" w14:textId="77777777" w:rsidR="00DF61BC" w:rsidRPr="00C94C33" w:rsidRDefault="00DF61BC" w:rsidP="00DF61BC">
      <w:pPr>
        <w:kinsoku w:val="0"/>
        <w:overflowPunct w:val="0"/>
        <w:autoSpaceDE w:val="0"/>
        <w:autoSpaceDN w:val="0"/>
        <w:adjustRightInd w:val="0"/>
        <w:spacing w:before="7" w:after="0" w:line="240" w:lineRule="auto"/>
        <w:rPr>
          <w:rFonts w:ascii="Times New Roman" w:eastAsia="Times New Roman" w:hAnsi="Times New Roman"/>
          <w:sz w:val="2"/>
          <w:szCs w:val="2"/>
          <w:lang w:eastAsia="en-AU"/>
        </w:rPr>
      </w:pPr>
      <w:bookmarkStart w:id="79" w:name="Table_11.4.4.1.3-_2_Results_of_Analyses_"/>
      <w:bookmarkStart w:id="80" w:name="Table_11.4.4.1.3-_1_Results_of_Linear_Re"/>
      <w:bookmarkEnd w:id="79"/>
      <w:bookmarkEnd w:id="80"/>
    </w:p>
    <w:tbl>
      <w:tblPr>
        <w:tblW w:w="0" w:type="auto"/>
        <w:tblInd w:w="10" w:type="dxa"/>
        <w:tblLayout w:type="fixed"/>
        <w:tblCellMar>
          <w:left w:w="0" w:type="dxa"/>
          <w:right w:w="0" w:type="dxa"/>
        </w:tblCellMar>
        <w:tblLook w:val="0000" w:firstRow="0" w:lastRow="0" w:firstColumn="0" w:lastColumn="0" w:noHBand="0" w:noVBand="0"/>
      </w:tblPr>
      <w:tblGrid>
        <w:gridCol w:w="1418"/>
        <w:gridCol w:w="1559"/>
        <w:gridCol w:w="1134"/>
        <w:gridCol w:w="632"/>
        <w:gridCol w:w="431"/>
        <w:gridCol w:w="780"/>
        <w:gridCol w:w="1134"/>
        <w:gridCol w:w="992"/>
      </w:tblGrid>
      <w:tr w:rsidR="00DF61BC" w:rsidRPr="00C94C33" w14:paraId="05475444" w14:textId="77777777" w:rsidTr="0078778B">
        <w:trPr>
          <w:trHeight w:hRule="exact" w:val="272"/>
        </w:trPr>
        <w:tc>
          <w:tcPr>
            <w:tcW w:w="1418"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68539106" w14:textId="77777777" w:rsidR="00DF61BC" w:rsidRPr="00C94C33" w:rsidRDefault="00DF61BC" w:rsidP="00DF61BC">
            <w:pPr>
              <w:kinsoku w:val="0"/>
              <w:overflowPunct w:val="0"/>
              <w:autoSpaceDE w:val="0"/>
              <w:autoSpaceDN w:val="0"/>
              <w:adjustRightInd w:val="0"/>
              <w:spacing w:before="137" w:after="0" w:line="240" w:lineRule="auto"/>
              <w:ind w:left="75"/>
              <w:rPr>
                <w:rFonts w:asciiTheme="minorHAnsi" w:eastAsia="Times New Roman" w:hAnsiTheme="minorHAnsi" w:cs="Calibri"/>
                <w:b/>
                <w:lang w:eastAsia="en-AU"/>
              </w:rPr>
            </w:pPr>
            <w:r w:rsidRPr="00C94C33">
              <w:rPr>
                <w:rFonts w:asciiTheme="minorHAnsi" w:eastAsia="Times New Roman" w:hAnsiTheme="minorHAnsi" w:cs="Calibri"/>
                <w:b/>
                <w:spacing w:val="-1"/>
                <w:w w:val="105"/>
                <w:lang w:eastAsia="en-AU"/>
              </w:rPr>
              <w:t>Parameter</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68EF8957" w14:textId="77777777" w:rsidR="00DF61BC" w:rsidRPr="00C94C33" w:rsidRDefault="00DF61BC" w:rsidP="00DF61BC">
            <w:pPr>
              <w:kinsoku w:val="0"/>
              <w:overflowPunct w:val="0"/>
              <w:autoSpaceDE w:val="0"/>
              <w:autoSpaceDN w:val="0"/>
              <w:adjustRightInd w:val="0"/>
              <w:spacing w:before="119" w:after="0" w:line="240" w:lineRule="auto"/>
              <w:ind w:left="14"/>
              <w:jc w:val="center"/>
              <w:rPr>
                <w:rFonts w:asciiTheme="minorHAnsi" w:eastAsia="Times New Roman" w:hAnsiTheme="minorHAnsi" w:cs="Calibri"/>
                <w:b/>
                <w:lang w:eastAsia="en-AU"/>
              </w:rPr>
            </w:pPr>
            <w:r w:rsidRPr="00C94C33">
              <w:rPr>
                <w:rFonts w:asciiTheme="minorHAnsi" w:eastAsia="Times New Roman" w:hAnsiTheme="minorHAnsi" w:cs="Calibri"/>
                <w:b/>
                <w:spacing w:val="-1"/>
                <w:w w:val="105"/>
                <w:position w:val="-10"/>
                <w:lang w:eastAsia="en-AU"/>
              </w:rPr>
              <w:t>R</w:t>
            </w:r>
            <w:r w:rsidRPr="00C94C33">
              <w:rPr>
                <w:rFonts w:asciiTheme="minorHAnsi" w:eastAsia="Times New Roman" w:hAnsiTheme="minorHAnsi" w:cs="Calibri"/>
                <w:b/>
                <w:spacing w:val="-1"/>
                <w:w w:val="105"/>
                <w:lang w:eastAsia="en-AU"/>
              </w:rPr>
              <w:t>2</w:t>
            </w:r>
          </w:p>
        </w:tc>
        <w:tc>
          <w:tcPr>
            <w:tcW w:w="4111" w:type="dxa"/>
            <w:gridSpan w:val="5"/>
            <w:tcBorders>
              <w:top w:val="single" w:sz="8" w:space="0" w:color="000000"/>
              <w:left w:val="single" w:sz="8" w:space="0" w:color="000000"/>
              <w:bottom w:val="single" w:sz="2" w:space="0" w:color="000000"/>
              <w:right w:val="single" w:sz="8" w:space="0" w:color="000000"/>
            </w:tcBorders>
            <w:shd w:val="clear" w:color="auto" w:fill="auto"/>
          </w:tcPr>
          <w:p w14:paraId="4874B99A" w14:textId="77777777" w:rsidR="00DF61BC" w:rsidRPr="00C94C33" w:rsidRDefault="00DF61BC" w:rsidP="00DF61BC">
            <w:pPr>
              <w:kinsoku w:val="0"/>
              <w:overflowPunct w:val="0"/>
              <w:autoSpaceDE w:val="0"/>
              <w:autoSpaceDN w:val="0"/>
              <w:adjustRightInd w:val="0"/>
              <w:spacing w:before="11" w:after="0" w:line="240" w:lineRule="auto"/>
              <w:ind w:left="512"/>
              <w:rPr>
                <w:rFonts w:asciiTheme="minorHAnsi" w:eastAsia="Times New Roman" w:hAnsiTheme="minorHAnsi" w:cs="Calibri"/>
                <w:b/>
                <w:lang w:eastAsia="en-AU"/>
              </w:rPr>
            </w:pPr>
            <w:r w:rsidRPr="00C94C33">
              <w:rPr>
                <w:rFonts w:asciiTheme="minorHAnsi" w:eastAsia="Times New Roman" w:hAnsiTheme="minorHAnsi" w:cs="Calibri"/>
                <w:b/>
                <w:w w:val="105"/>
                <w:lang w:eastAsia="en-AU"/>
              </w:rPr>
              <w:t>Proportionality</w:t>
            </w:r>
            <w:r w:rsidRPr="00C94C33">
              <w:rPr>
                <w:rFonts w:asciiTheme="minorHAnsi" w:eastAsia="Times New Roman" w:hAnsiTheme="minorHAnsi" w:cs="Calibri"/>
                <w:b/>
                <w:spacing w:val="-26"/>
                <w:w w:val="105"/>
                <w:lang w:eastAsia="en-AU"/>
              </w:rPr>
              <w:t xml:space="preserve"> </w:t>
            </w:r>
            <w:r w:rsidRPr="00C94C33">
              <w:rPr>
                <w:rFonts w:asciiTheme="minorHAnsi" w:eastAsia="Times New Roman" w:hAnsiTheme="minorHAnsi" w:cs="Calibri"/>
                <w:b/>
                <w:w w:val="105"/>
                <w:lang w:eastAsia="en-AU"/>
              </w:rPr>
              <w:t>coefficient,</w:t>
            </w:r>
            <w:r w:rsidRPr="00C94C33">
              <w:rPr>
                <w:rFonts w:asciiTheme="minorHAnsi" w:eastAsia="Times New Roman" w:hAnsiTheme="minorHAnsi" w:cs="Calibri"/>
                <w:b/>
                <w:spacing w:val="-23"/>
                <w:w w:val="105"/>
                <w:lang w:eastAsia="en-AU"/>
              </w:rPr>
              <w:t xml:space="preserve"> </w:t>
            </w:r>
            <w:r w:rsidRPr="00C94C33">
              <w:rPr>
                <w:rFonts w:asciiTheme="minorHAnsi" w:eastAsia="Times New Roman" w:hAnsiTheme="minorHAnsi" w:cs="Calibri"/>
                <w:b/>
                <w:w w:val="105"/>
                <w:lang w:eastAsia="en-AU"/>
              </w:rPr>
              <w:t>β</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41013178" w14:textId="77777777" w:rsidR="00DF61BC" w:rsidRPr="00C94C33" w:rsidRDefault="00DF61BC" w:rsidP="00DF61BC">
            <w:pPr>
              <w:kinsoku w:val="0"/>
              <w:overflowPunct w:val="0"/>
              <w:autoSpaceDE w:val="0"/>
              <w:autoSpaceDN w:val="0"/>
              <w:adjustRightInd w:val="0"/>
              <w:spacing w:before="11" w:after="0" w:line="240" w:lineRule="auto"/>
              <w:ind w:left="15"/>
              <w:jc w:val="center"/>
              <w:rPr>
                <w:rFonts w:asciiTheme="minorHAnsi" w:eastAsia="Times New Roman" w:hAnsiTheme="minorHAnsi" w:cs="Calibri"/>
                <w:b/>
                <w:lang w:eastAsia="en-AU"/>
              </w:rPr>
            </w:pPr>
            <w:r w:rsidRPr="00C94C33">
              <w:rPr>
                <w:rFonts w:asciiTheme="minorHAnsi" w:eastAsia="Times New Roman" w:hAnsiTheme="minorHAnsi" w:cs="Calibri"/>
                <w:b/>
                <w:spacing w:val="-1"/>
                <w:w w:val="105"/>
                <w:lang w:eastAsia="en-AU"/>
              </w:rPr>
              <w:t>LOF</w:t>
            </w:r>
          </w:p>
          <w:p w14:paraId="65D3B157" w14:textId="77777777" w:rsidR="00DF61BC" w:rsidRPr="00C94C33" w:rsidRDefault="00DF61BC" w:rsidP="00DF61BC">
            <w:pPr>
              <w:kinsoku w:val="0"/>
              <w:overflowPunct w:val="0"/>
              <w:autoSpaceDE w:val="0"/>
              <w:autoSpaceDN w:val="0"/>
              <w:adjustRightInd w:val="0"/>
              <w:spacing w:before="41" w:after="0" w:line="240" w:lineRule="auto"/>
              <w:ind w:left="16"/>
              <w:jc w:val="center"/>
              <w:rPr>
                <w:rFonts w:asciiTheme="minorHAnsi" w:eastAsia="Times New Roman" w:hAnsiTheme="minorHAnsi" w:cs="Calibri"/>
                <w:b/>
                <w:lang w:eastAsia="en-AU"/>
              </w:rPr>
            </w:pPr>
            <w:r w:rsidRPr="00C94C33">
              <w:rPr>
                <w:rFonts w:asciiTheme="minorHAnsi" w:eastAsia="Times New Roman" w:hAnsiTheme="minorHAnsi" w:cs="Calibri"/>
                <w:b/>
                <w:w w:val="105"/>
                <w:lang w:eastAsia="en-AU"/>
              </w:rPr>
              <w:t>p</w:t>
            </w:r>
            <w:r w:rsidRPr="00C94C33">
              <w:rPr>
                <w:rFonts w:asciiTheme="minorHAnsi" w:eastAsia="Times New Roman" w:hAnsiTheme="minorHAnsi" w:cs="Calibri"/>
                <w:b/>
                <w:spacing w:val="-12"/>
                <w:w w:val="105"/>
                <w:lang w:eastAsia="en-AU"/>
              </w:rPr>
              <w:t xml:space="preserve"> </w:t>
            </w:r>
            <w:r w:rsidRPr="00C94C33">
              <w:rPr>
                <w:rFonts w:asciiTheme="minorHAnsi" w:eastAsia="Times New Roman" w:hAnsiTheme="minorHAnsi" w:cs="Calibri"/>
                <w:b/>
                <w:spacing w:val="-1"/>
                <w:w w:val="105"/>
                <w:lang w:eastAsia="en-AU"/>
              </w:rPr>
              <w:t>value</w:t>
            </w:r>
          </w:p>
        </w:tc>
      </w:tr>
      <w:tr w:rsidR="00DF61BC" w:rsidRPr="00C94C33" w14:paraId="655A3993" w14:textId="77777777" w:rsidTr="00A17407">
        <w:trPr>
          <w:trHeight w:hRule="exact" w:val="690"/>
        </w:trPr>
        <w:tc>
          <w:tcPr>
            <w:tcW w:w="1418" w:type="dxa"/>
            <w:vMerge/>
            <w:tcBorders>
              <w:top w:val="single" w:sz="8" w:space="0" w:color="000000"/>
              <w:left w:val="single" w:sz="8" w:space="0" w:color="000000"/>
              <w:bottom w:val="single" w:sz="8" w:space="0" w:color="000000"/>
              <w:right w:val="single" w:sz="8" w:space="0" w:color="000000"/>
            </w:tcBorders>
            <w:shd w:val="clear" w:color="auto" w:fill="auto"/>
          </w:tcPr>
          <w:p w14:paraId="1C785945" w14:textId="77777777" w:rsidR="00DF61BC" w:rsidRPr="00C94C33" w:rsidRDefault="00DF61BC" w:rsidP="00DF61BC">
            <w:pPr>
              <w:kinsoku w:val="0"/>
              <w:overflowPunct w:val="0"/>
              <w:autoSpaceDE w:val="0"/>
              <w:autoSpaceDN w:val="0"/>
              <w:adjustRightInd w:val="0"/>
              <w:spacing w:before="41" w:after="0" w:line="240" w:lineRule="auto"/>
              <w:ind w:left="16"/>
              <w:jc w:val="center"/>
              <w:rPr>
                <w:rFonts w:asciiTheme="minorHAnsi" w:eastAsia="Times New Roman" w:hAnsiTheme="minorHAnsi" w:cs="Calibri"/>
                <w:lang w:eastAsia="en-AU"/>
              </w:rPr>
            </w:pPr>
          </w:p>
        </w:tc>
        <w:tc>
          <w:tcPr>
            <w:tcW w:w="1559" w:type="dxa"/>
            <w:vMerge/>
            <w:tcBorders>
              <w:top w:val="single" w:sz="8" w:space="0" w:color="000000"/>
              <w:left w:val="single" w:sz="8" w:space="0" w:color="000000"/>
              <w:bottom w:val="single" w:sz="8" w:space="0" w:color="000000"/>
              <w:right w:val="single" w:sz="8" w:space="0" w:color="000000"/>
            </w:tcBorders>
            <w:shd w:val="clear" w:color="auto" w:fill="auto"/>
          </w:tcPr>
          <w:p w14:paraId="5005781E" w14:textId="77777777" w:rsidR="00DF61BC" w:rsidRPr="00C94C33" w:rsidRDefault="00DF61BC" w:rsidP="00DF61BC">
            <w:pPr>
              <w:kinsoku w:val="0"/>
              <w:overflowPunct w:val="0"/>
              <w:autoSpaceDE w:val="0"/>
              <w:autoSpaceDN w:val="0"/>
              <w:adjustRightInd w:val="0"/>
              <w:spacing w:before="41" w:after="0" w:line="240" w:lineRule="auto"/>
              <w:ind w:left="16"/>
              <w:jc w:val="center"/>
              <w:rPr>
                <w:rFonts w:asciiTheme="minorHAnsi" w:eastAsia="Times New Roman" w:hAnsiTheme="minorHAnsi" w:cs="Calibri"/>
                <w:lang w:eastAsia="en-AU"/>
              </w:rPr>
            </w:pPr>
          </w:p>
        </w:tc>
        <w:tc>
          <w:tcPr>
            <w:tcW w:w="1134" w:type="dxa"/>
            <w:tcBorders>
              <w:top w:val="single" w:sz="2" w:space="0" w:color="000000"/>
              <w:left w:val="single" w:sz="8" w:space="0" w:color="000000"/>
              <w:bottom w:val="single" w:sz="8" w:space="0" w:color="000000"/>
              <w:right w:val="nil"/>
            </w:tcBorders>
            <w:shd w:val="clear" w:color="auto" w:fill="auto"/>
          </w:tcPr>
          <w:p w14:paraId="7CDDFEBF" w14:textId="77777777" w:rsidR="00DF61BC" w:rsidRPr="00C94C33" w:rsidRDefault="00DF61BC" w:rsidP="00DF61BC">
            <w:pPr>
              <w:kinsoku w:val="0"/>
              <w:overflowPunct w:val="0"/>
              <w:autoSpaceDE w:val="0"/>
              <w:autoSpaceDN w:val="0"/>
              <w:adjustRightInd w:val="0"/>
              <w:spacing w:before="17" w:after="0" w:line="240" w:lineRule="auto"/>
              <w:ind w:left="125"/>
              <w:rPr>
                <w:rFonts w:asciiTheme="minorHAnsi" w:eastAsia="Times New Roman" w:hAnsiTheme="minorHAnsi" w:cs="Calibri"/>
                <w:b/>
                <w:lang w:eastAsia="en-AU"/>
              </w:rPr>
            </w:pPr>
            <w:r w:rsidRPr="00C94C33">
              <w:rPr>
                <w:rFonts w:asciiTheme="minorHAnsi" w:eastAsia="Times New Roman" w:hAnsiTheme="minorHAnsi" w:cs="Calibri"/>
                <w:b/>
                <w:spacing w:val="-1"/>
                <w:w w:val="105"/>
                <w:lang w:eastAsia="en-AU"/>
              </w:rPr>
              <w:t>estimate</w:t>
            </w:r>
          </w:p>
        </w:tc>
        <w:tc>
          <w:tcPr>
            <w:tcW w:w="1063" w:type="dxa"/>
            <w:gridSpan w:val="2"/>
            <w:tcBorders>
              <w:top w:val="single" w:sz="2" w:space="0" w:color="000000"/>
              <w:left w:val="nil"/>
              <w:bottom w:val="single" w:sz="8" w:space="0" w:color="000000"/>
              <w:right w:val="nil"/>
            </w:tcBorders>
            <w:shd w:val="clear" w:color="auto" w:fill="auto"/>
          </w:tcPr>
          <w:p w14:paraId="6B82DC25" w14:textId="77777777" w:rsidR="00DF61BC" w:rsidRPr="00C94C33" w:rsidRDefault="00DF61BC" w:rsidP="00DF61BC">
            <w:pPr>
              <w:kinsoku w:val="0"/>
              <w:overflowPunct w:val="0"/>
              <w:autoSpaceDE w:val="0"/>
              <w:autoSpaceDN w:val="0"/>
              <w:adjustRightInd w:val="0"/>
              <w:spacing w:before="17" w:after="0" w:line="240" w:lineRule="auto"/>
              <w:ind w:left="464"/>
              <w:rPr>
                <w:rFonts w:asciiTheme="minorHAnsi" w:eastAsia="Times New Roman" w:hAnsiTheme="minorHAnsi" w:cs="Calibri"/>
                <w:b/>
                <w:lang w:eastAsia="en-AU"/>
              </w:rPr>
            </w:pPr>
            <w:r w:rsidRPr="00C94C33">
              <w:rPr>
                <w:rFonts w:asciiTheme="minorHAnsi" w:eastAsia="Times New Roman" w:hAnsiTheme="minorHAnsi" w:cs="Calibri"/>
                <w:b/>
                <w:w w:val="105"/>
                <w:lang w:eastAsia="en-AU"/>
              </w:rPr>
              <w:t>95%CI</w:t>
            </w:r>
          </w:p>
        </w:tc>
        <w:tc>
          <w:tcPr>
            <w:tcW w:w="780" w:type="dxa"/>
            <w:tcBorders>
              <w:top w:val="single" w:sz="2" w:space="0" w:color="000000"/>
              <w:left w:val="nil"/>
              <w:bottom w:val="single" w:sz="8" w:space="0" w:color="000000"/>
              <w:right w:val="nil"/>
            </w:tcBorders>
            <w:shd w:val="clear" w:color="auto" w:fill="auto"/>
          </w:tcPr>
          <w:p w14:paraId="164473E6" w14:textId="77777777" w:rsidR="00DF61BC" w:rsidRPr="00C94C33" w:rsidRDefault="00DF61BC" w:rsidP="00DF61BC">
            <w:pPr>
              <w:autoSpaceDE w:val="0"/>
              <w:autoSpaceDN w:val="0"/>
              <w:adjustRightInd w:val="0"/>
              <w:spacing w:before="0" w:after="0" w:line="240" w:lineRule="auto"/>
              <w:rPr>
                <w:rFonts w:asciiTheme="minorHAnsi" w:eastAsia="Times New Roman" w:hAnsiTheme="minorHAnsi" w:cs="Calibri"/>
                <w:b/>
                <w:lang w:eastAsia="en-AU"/>
              </w:rPr>
            </w:pPr>
          </w:p>
        </w:tc>
        <w:tc>
          <w:tcPr>
            <w:tcW w:w="1134" w:type="dxa"/>
            <w:tcBorders>
              <w:top w:val="single" w:sz="2" w:space="0" w:color="000000"/>
              <w:left w:val="nil"/>
              <w:bottom w:val="single" w:sz="8" w:space="0" w:color="000000"/>
              <w:right w:val="single" w:sz="8" w:space="0" w:color="000000"/>
            </w:tcBorders>
            <w:shd w:val="clear" w:color="auto" w:fill="auto"/>
          </w:tcPr>
          <w:p w14:paraId="5B1F0D27" w14:textId="77777777" w:rsidR="00DF61BC" w:rsidRPr="00C94C33" w:rsidRDefault="00DF61BC" w:rsidP="00DF61BC">
            <w:pPr>
              <w:kinsoku w:val="0"/>
              <w:overflowPunct w:val="0"/>
              <w:autoSpaceDE w:val="0"/>
              <w:autoSpaceDN w:val="0"/>
              <w:adjustRightInd w:val="0"/>
              <w:spacing w:before="17" w:after="0" w:line="240" w:lineRule="auto"/>
              <w:ind w:left="138"/>
              <w:rPr>
                <w:rFonts w:asciiTheme="minorHAnsi" w:eastAsia="Times New Roman" w:hAnsiTheme="minorHAnsi" w:cs="Calibri"/>
                <w:b/>
                <w:lang w:eastAsia="en-AU"/>
              </w:rPr>
            </w:pPr>
            <w:r w:rsidRPr="00C94C33">
              <w:rPr>
                <w:rFonts w:asciiTheme="minorHAnsi" w:eastAsia="Times New Roman" w:hAnsiTheme="minorHAnsi" w:cs="Calibri"/>
                <w:b/>
                <w:spacing w:val="-1"/>
                <w:w w:val="105"/>
                <w:lang w:eastAsia="en-AU"/>
              </w:rPr>
              <w:t>p-value</w:t>
            </w:r>
          </w:p>
        </w:tc>
        <w:tc>
          <w:tcPr>
            <w:tcW w:w="992" w:type="dxa"/>
            <w:vMerge/>
            <w:tcBorders>
              <w:top w:val="single" w:sz="8" w:space="0" w:color="000000"/>
              <w:left w:val="single" w:sz="8" w:space="0" w:color="000000"/>
              <w:bottom w:val="single" w:sz="8" w:space="0" w:color="000000"/>
              <w:right w:val="single" w:sz="8" w:space="0" w:color="000000"/>
            </w:tcBorders>
            <w:shd w:val="clear" w:color="auto" w:fill="auto"/>
          </w:tcPr>
          <w:p w14:paraId="51487FC3" w14:textId="77777777" w:rsidR="00DF61BC" w:rsidRPr="00C94C33" w:rsidRDefault="00DF61BC" w:rsidP="00DF61BC">
            <w:pPr>
              <w:kinsoku w:val="0"/>
              <w:overflowPunct w:val="0"/>
              <w:autoSpaceDE w:val="0"/>
              <w:autoSpaceDN w:val="0"/>
              <w:adjustRightInd w:val="0"/>
              <w:spacing w:before="17" w:after="0" w:line="240" w:lineRule="auto"/>
              <w:ind w:left="138"/>
              <w:rPr>
                <w:rFonts w:asciiTheme="minorHAnsi" w:eastAsia="Times New Roman" w:hAnsiTheme="minorHAnsi" w:cs="Calibri"/>
                <w:lang w:eastAsia="en-AU"/>
              </w:rPr>
            </w:pPr>
          </w:p>
        </w:tc>
      </w:tr>
      <w:tr w:rsidR="00DF61BC" w:rsidRPr="00C94C33" w14:paraId="52A9636F" w14:textId="77777777" w:rsidTr="0078778B">
        <w:trPr>
          <w:trHeight w:hRule="exact" w:val="273"/>
        </w:trPr>
        <w:tc>
          <w:tcPr>
            <w:tcW w:w="1418" w:type="dxa"/>
            <w:tcBorders>
              <w:top w:val="single" w:sz="8" w:space="0" w:color="000000"/>
              <w:left w:val="single" w:sz="8" w:space="0" w:color="000000"/>
              <w:bottom w:val="single" w:sz="2" w:space="0" w:color="000000"/>
              <w:right w:val="single" w:sz="8" w:space="0" w:color="000000"/>
            </w:tcBorders>
            <w:shd w:val="clear" w:color="auto" w:fill="auto"/>
          </w:tcPr>
          <w:p w14:paraId="515F9F28" w14:textId="77777777" w:rsidR="00DF61BC" w:rsidRPr="00C94C33" w:rsidRDefault="00DF61BC" w:rsidP="00DF61BC">
            <w:pPr>
              <w:kinsoku w:val="0"/>
              <w:overflowPunct w:val="0"/>
              <w:autoSpaceDE w:val="0"/>
              <w:autoSpaceDN w:val="0"/>
              <w:adjustRightInd w:val="0"/>
              <w:spacing w:before="1" w:after="0" w:line="240" w:lineRule="auto"/>
              <w:ind w:left="312"/>
              <w:rPr>
                <w:rFonts w:asciiTheme="minorHAnsi" w:eastAsia="Times New Roman" w:hAnsiTheme="minorHAnsi" w:cs="Calibri"/>
                <w:lang w:eastAsia="en-AU"/>
              </w:rPr>
            </w:pPr>
            <w:r w:rsidRPr="00C94C33">
              <w:rPr>
                <w:rFonts w:asciiTheme="minorHAnsi" w:eastAsia="Times New Roman" w:hAnsiTheme="minorHAnsi" w:cs="Calibri"/>
                <w:spacing w:val="-1"/>
                <w:w w:val="105"/>
                <w:position w:val="4"/>
                <w:lang w:eastAsia="en-AU"/>
              </w:rPr>
              <w:t>C</w:t>
            </w:r>
            <w:r w:rsidRPr="00C94C33">
              <w:rPr>
                <w:rFonts w:asciiTheme="minorHAnsi" w:eastAsia="Times New Roman" w:hAnsiTheme="minorHAnsi" w:cs="Calibri"/>
                <w:spacing w:val="-1"/>
                <w:w w:val="105"/>
                <w:lang w:eastAsia="en-AU"/>
              </w:rPr>
              <w:t>max</w:t>
            </w:r>
          </w:p>
        </w:tc>
        <w:tc>
          <w:tcPr>
            <w:tcW w:w="1559" w:type="dxa"/>
            <w:tcBorders>
              <w:top w:val="single" w:sz="8" w:space="0" w:color="000000"/>
              <w:left w:val="single" w:sz="8" w:space="0" w:color="000000"/>
              <w:bottom w:val="single" w:sz="2" w:space="0" w:color="000000"/>
              <w:right w:val="single" w:sz="8" w:space="0" w:color="000000"/>
            </w:tcBorders>
            <w:shd w:val="clear" w:color="auto" w:fill="auto"/>
          </w:tcPr>
          <w:p w14:paraId="5C69AACE" w14:textId="77777777" w:rsidR="00DF61BC" w:rsidRPr="00C94C33" w:rsidRDefault="00DF61BC" w:rsidP="00DF61BC">
            <w:pPr>
              <w:kinsoku w:val="0"/>
              <w:overflowPunct w:val="0"/>
              <w:autoSpaceDE w:val="0"/>
              <w:autoSpaceDN w:val="0"/>
              <w:adjustRightInd w:val="0"/>
              <w:spacing w:before="11" w:after="0" w:line="240" w:lineRule="auto"/>
              <w:ind w:left="161"/>
              <w:rPr>
                <w:rFonts w:asciiTheme="minorHAnsi" w:eastAsia="Times New Roman" w:hAnsiTheme="minorHAnsi" w:cs="Calibri"/>
                <w:lang w:eastAsia="en-AU"/>
              </w:rPr>
            </w:pPr>
            <w:r w:rsidRPr="00C94C33">
              <w:rPr>
                <w:rFonts w:asciiTheme="minorHAnsi" w:eastAsia="Times New Roman" w:hAnsiTheme="minorHAnsi" w:cs="Calibri"/>
                <w:w w:val="105"/>
                <w:lang w:eastAsia="en-AU"/>
              </w:rPr>
              <w:t>0.697</w:t>
            </w:r>
          </w:p>
        </w:tc>
        <w:tc>
          <w:tcPr>
            <w:tcW w:w="1134" w:type="dxa"/>
            <w:tcBorders>
              <w:top w:val="single" w:sz="8" w:space="0" w:color="000000"/>
              <w:left w:val="single" w:sz="8" w:space="0" w:color="000000"/>
              <w:bottom w:val="single" w:sz="2" w:space="0" w:color="000000"/>
              <w:right w:val="nil"/>
            </w:tcBorders>
            <w:shd w:val="clear" w:color="auto" w:fill="auto"/>
          </w:tcPr>
          <w:p w14:paraId="5CCA828A" w14:textId="77777777" w:rsidR="00DF61BC" w:rsidRPr="00C94C33" w:rsidRDefault="00DF61BC" w:rsidP="00DF61BC">
            <w:pPr>
              <w:kinsoku w:val="0"/>
              <w:overflowPunct w:val="0"/>
              <w:autoSpaceDE w:val="0"/>
              <w:autoSpaceDN w:val="0"/>
              <w:adjustRightInd w:val="0"/>
              <w:spacing w:before="11" w:after="0" w:line="240" w:lineRule="auto"/>
              <w:ind w:left="290"/>
              <w:rPr>
                <w:rFonts w:asciiTheme="minorHAnsi" w:eastAsia="Times New Roman" w:hAnsiTheme="minorHAnsi" w:cs="Calibri"/>
                <w:lang w:eastAsia="en-AU"/>
              </w:rPr>
            </w:pPr>
            <w:r w:rsidRPr="00C94C33">
              <w:rPr>
                <w:rFonts w:asciiTheme="minorHAnsi" w:eastAsia="Times New Roman" w:hAnsiTheme="minorHAnsi" w:cs="Calibri"/>
                <w:w w:val="105"/>
                <w:lang w:eastAsia="en-AU"/>
              </w:rPr>
              <w:t>1.33</w:t>
            </w:r>
          </w:p>
        </w:tc>
        <w:tc>
          <w:tcPr>
            <w:tcW w:w="632" w:type="dxa"/>
            <w:tcBorders>
              <w:top w:val="single" w:sz="8" w:space="0" w:color="000000"/>
              <w:left w:val="nil"/>
              <w:bottom w:val="single" w:sz="2" w:space="0" w:color="000000"/>
              <w:right w:val="nil"/>
            </w:tcBorders>
            <w:shd w:val="clear" w:color="auto" w:fill="auto"/>
          </w:tcPr>
          <w:p w14:paraId="5FFEE2F0" w14:textId="077F309D" w:rsidR="00DF61BC" w:rsidRPr="00C94C33" w:rsidRDefault="00DF61BC" w:rsidP="00DF61BC">
            <w:pPr>
              <w:kinsoku w:val="0"/>
              <w:overflowPunct w:val="0"/>
              <w:autoSpaceDE w:val="0"/>
              <w:autoSpaceDN w:val="0"/>
              <w:adjustRightInd w:val="0"/>
              <w:spacing w:before="11" w:after="0" w:line="240" w:lineRule="auto"/>
              <w:rPr>
                <w:rFonts w:asciiTheme="minorHAnsi" w:eastAsia="Times New Roman" w:hAnsiTheme="minorHAnsi" w:cs="Calibri"/>
                <w:lang w:eastAsia="en-AU"/>
              </w:rPr>
            </w:pPr>
            <w:r w:rsidRPr="00C94C33">
              <w:rPr>
                <w:rFonts w:asciiTheme="minorHAnsi" w:eastAsia="Times New Roman" w:hAnsiTheme="minorHAnsi" w:cs="Calibri"/>
                <w:w w:val="105"/>
                <w:lang w:eastAsia="en-AU"/>
              </w:rPr>
              <w:t>0.912</w:t>
            </w:r>
          </w:p>
        </w:tc>
        <w:tc>
          <w:tcPr>
            <w:tcW w:w="431" w:type="dxa"/>
            <w:tcBorders>
              <w:top w:val="single" w:sz="8" w:space="0" w:color="000000"/>
              <w:left w:val="nil"/>
              <w:bottom w:val="single" w:sz="2" w:space="0" w:color="000000"/>
              <w:right w:val="nil"/>
            </w:tcBorders>
            <w:shd w:val="clear" w:color="auto" w:fill="auto"/>
          </w:tcPr>
          <w:p w14:paraId="5055063A" w14:textId="77777777" w:rsidR="00DF61BC" w:rsidRPr="00C94C33" w:rsidRDefault="00DF61BC" w:rsidP="00DF61BC">
            <w:pPr>
              <w:kinsoku w:val="0"/>
              <w:overflowPunct w:val="0"/>
              <w:autoSpaceDE w:val="0"/>
              <w:autoSpaceDN w:val="0"/>
              <w:adjustRightInd w:val="0"/>
              <w:spacing w:before="0" w:after="0" w:line="243" w:lineRule="exact"/>
              <w:rPr>
                <w:rFonts w:asciiTheme="minorHAnsi" w:eastAsia="Times New Roman" w:hAnsiTheme="minorHAnsi" w:cs="Calibri"/>
                <w:lang w:eastAsia="en-AU"/>
              </w:rPr>
            </w:pPr>
            <w:r w:rsidRPr="00C94C33">
              <w:rPr>
                <w:rFonts w:asciiTheme="minorHAnsi" w:eastAsia="PMingLiU" w:hAnsiTheme="minorHAnsi" w:cs="Calibri"/>
                <w:w w:val="105"/>
                <w:lang w:eastAsia="en-AU"/>
              </w:rPr>
              <w:t>~</w:t>
            </w:r>
          </w:p>
        </w:tc>
        <w:tc>
          <w:tcPr>
            <w:tcW w:w="780" w:type="dxa"/>
            <w:tcBorders>
              <w:top w:val="single" w:sz="8" w:space="0" w:color="000000"/>
              <w:left w:val="nil"/>
              <w:bottom w:val="single" w:sz="2" w:space="0" w:color="000000"/>
              <w:right w:val="nil"/>
            </w:tcBorders>
            <w:shd w:val="clear" w:color="auto" w:fill="auto"/>
          </w:tcPr>
          <w:p w14:paraId="68DCAE44" w14:textId="77777777" w:rsidR="00DF61BC" w:rsidRPr="00C94C33" w:rsidRDefault="00DF61BC" w:rsidP="00DF61BC">
            <w:pPr>
              <w:kinsoku w:val="0"/>
              <w:overflowPunct w:val="0"/>
              <w:autoSpaceDE w:val="0"/>
              <w:autoSpaceDN w:val="0"/>
              <w:adjustRightInd w:val="0"/>
              <w:spacing w:before="11" w:after="0" w:line="240" w:lineRule="auto"/>
              <w:rPr>
                <w:rFonts w:asciiTheme="minorHAnsi" w:eastAsia="Times New Roman" w:hAnsiTheme="minorHAnsi" w:cs="Calibri"/>
                <w:lang w:eastAsia="en-AU"/>
              </w:rPr>
            </w:pPr>
            <w:r w:rsidRPr="00C94C33">
              <w:rPr>
                <w:rFonts w:asciiTheme="minorHAnsi" w:eastAsia="Times New Roman" w:hAnsiTheme="minorHAnsi" w:cs="Calibri"/>
                <w:w w:val="105"/>
                <w:lang w:eastAsia="en-AU"/>
              </w:rPr>
              <w:t>1.76</w:t>
            </w:r>
          </w:p>
        </w:tc>
        <w:tc>
          <w:tcPr>
            <w:tcW w:w="1134" w:type="dxa"/>
            <w:tcBorders>
              <w:top w:val="single" w:sz="8" w:space="0" w:color="000000"/>
              <w:left w:val="nil"/>
              <w:bottom w:val="single" w:sz="2" w:space="0" w:color="000000"/>
              <w:right w:val="single" w:sz="8" w:space="0" w:color="000000"/>
            </w:tcBorders>
            <w:shd w:val="clear" w:color="auto" w:fill="auto"/>
          </w:tcPr>
          <w:p w14:paraId="751666AD" w14:textId="77777777" w:rsidR="00DF61BC" w:rsidRPr="00C94C33" w:rsidRDefault="00DF61BC" w:rsidP="00DF61BC">
            <w:pPr>
              <w:kinsoku w:val="0"/>
              <w:overflowPunct w:val="0"/>
              <w:autoSpaceDE w:val="0"/>
              <w:autoSpaceDN w:val="0"/>
              <w:adjustRightInd w:val="0"/>
              <w:spacing w:before="0" w:after="0" w:line="242" w:lineRule="exact"/>
              <w:ind w:left="57"/>
              <w:rPr>
                <w:rFonts w:asciiTheme="minorHAnsi" w:eastAsia="Times New Roman" w:hAnsiTheme="minorHAnsi" w:cs="Calibri"/>
                <w:lang w:eastAsia="en-AU"/>
              </w:rPr>
            </w:pPr>
            <w:r w:rsidRPr="00C94C33">
              <w:rPr>
                <w:rFonts w:asciiTheme="minorHAnsi" w:eastAsia="PMingLiU" w:hAnsiTheme="minorHAnsi" w:cs="Calibri"/>
                <w:w w:val="105"/>
                <w:lang w:eastAsia="en-AU"/>
              </w:rPr>
              <w:t>&lt; 0.0001</w:t>
            </w:r>
          </w:p>
        </w:tc>
        <w:tc>
          <w:tcPr>
            <w:tcW w:w="992" w:type="dxa"/>
            <w:tcBorders>
              <w:top w:val="single" w:sz="8" w:space="0" w:color="000000"/>
              <w:left w:val="single" w:sz="8" w:space="0" w:color="000000"/>
              <w:bottom w:val="single" w:sz="2" w:space="0" w:color="000000"/>
              <w:right w:val="single" w:sz="8" w:space="0" w:color="000000"/>
            </w:tcBorders>
            <w:shd w:val="clear" w:color="auto" w:fill="auto"/>
          </w:tcPr>
          <w:p w14:paraId="776E0457" w14:textId="77777777" w:rsidR="00DF61BC" w:rsidRPr="00C94C33" w:rsidRDefault="00DF61BC" w:rsidP="00DF61BC">
            <w:pPr>
              <w:kinsoku w:val="0"/>
              <w:overflowPunct w:val="0"/>
              <w:autoSpaceDE w:val="0"/>
              <w:autoSpaceDN w:val="0"/>
              <w:adjustRightInd w:val="0"/>
              <w:spacing w:before="11" w:after="0" w:line="240" w:lineRule="auto"/>
              <w:ind w:left="238"/>
              <w:rPr>
                <w:rFonts w:asciiTheme="minorHAnsi" w:eastAsia="Times New Roman" w:hAnsiTheme="minorHAnsi" w:cs="Calibri"/>
                <w:lang w:eastAsia="en-AU"/>
              </w:rPr>
            </w:pPr>
            <w:r w:rsidRPr="00C94C33">
              <w:rPr>
                <w:rFonts w:asciiTheme="minorHAnsi" w:eastAsia="Times New Roman" w:hAnsiTheme="minorHAnsi" w:cs="Calibri"/>
                <w:w w:val="105"/>
                <w:lang w:eastAsia="en-AU"/>
              </w:rPr>
              <w:t>0.775</w:t>
            </w:r>
          </w:p>
        </w:tc>
      </w:tr>
      <w:tr w:rsidR="00DF61BC" w:rsidRPr="00C94C33" w14:paraId="51DC6934" w14:textId="77777777" w:rsidTr="0078778B">
        <w:trPr>
          <w:trHeight w:hRule="exact" w:val="271"/>
        </w:trPr>
        <w:tc>
          <w:tcPr>
            <w:tcW w:w="1418" w:type="dxa"/>
            <w:tcBorders>
              <w:top w:val="single" w:sz="2" w:space="0" w:color="000000"/>
              <w:left w:val="single" w:sz="8" w:space="0" w:color="000000"/>
              <w:bottom w:val="single" w:sz="2" w:space="0" w:color="000000"/>
              <w:right w:val="single" w:sz="8" w:space="0" w:color="000000"/>
            </w:tcBorders>
            <w:shd w:val="clear" w:color="auto" w:fill="auto"/>
          </w:tcPr>
          <w:p w14:paraId="47586D78" w14:textId="77777777" w:rsidR="00DF61BC" w:rsidRPr="00C94C33" w:rsidRDefault="00DF61BC" w:rsidP="00DF61BC">
            <w:pPr>
              <w:kinsoku w:val="0"/>
              <w:overflowPunct w:val="0"/>
              <w:autoSpaceDE w:val="0"/>
              <w:autoSpaceDN w:val="0"/>
              <w:adjustRightInd w:val="0"/>
              <w:spacing w:before="7" w:after="0" w:line="240" w:lineRule="auto"/>
              <w:ind w:left="154"/>
              <w:rPr>
                <w:rFonts w:asciiTheme="minorHAnsi" w:eastAsia="Times New Roman" w:hAnsiTheme="minorHAnsi" w:cs="Calibri"/>
                <w:lang w:eastAsia="en-AU"/>
              </w:rPr>
            </w:pPr>
            <w:r w:rsidRPr="00C94C33">
              <w:rPr>
                <w:rFonts w:asciiTheme="minorHAnsi" w:eastAsia="Times New Roman" w:hAnsiTheme="minorHAnsi" w:cs="Calibri"/>
                <w:spacing w:val="-1"/>
                <w:w w:val="105"/>
                <w:position w:val="4"/>
                <w:lang w:eastAsia="en-AU"/>
              </w:rPr>
              <w:t>AUC</w:t>
            </w:r>
            <w:r w:rsidRPr="00C94C33">
              <w:rPr>
                <w:rFonts w:asciiTheme="minorHAnsi" w:eastAsia="Times New Roman" w:hAnsiTheme="minorHAnsi" w:cs="Calibri"/>
                <w:spacing w:val="-1"/>
                <w:w w:val="105"/>
                <w:lang w:eastAsia="en-AU"/>
              </w:rPr>
              <w:t>0-10</w:t>
            </w:r>
          </w:p>
        </w:tc>
        <w:tc>
          <w:tcPr>
            <w:tcW w:w="1559" w:type="dxa"/>
            <w:tcBorders>
              <w:top w:val="single" w:sz="2" w:space="0" w:color="000000"/>
              <w:left w:val="single" w:sz="8" w:space="0" w:color="000000"/>
              <w:bottom w:val="single" w:sz="2" w:space="0" w:color="000000"/>
              <w:right w:val="single" w:sz="8" w:space="0" w:color="000000"/>
            </w:tcBorders>
            <w:shd w:val="clear" w:color="auto" w:fill="auto"/>
          </w:tcPr>
          <w:p w14:paraId="266C6DC3" w14:textId="77777777" w:rsidR="00DF61BC" w:rsidRPr="00C94C33" w:rsidRDefault="00DF61BC" w:rsidP="00DF61BC">
            <w:pPr>
              <w:kinsoku w:val="0"/>
              <w:overflowPunct w:val="0"/>
              <w:autoSpaceDE w:val="0"/>
              <w:autoSpaceDN w:val="0"/>
              <w:adjustRightInd w:val="0"/>
              <w:spacing w:before="17" w:after="0" w:line="240" w:lineRule="auto"/>
              <w:ind w:left="161"/>
              <w:rPr>
                <w:rFonts w:asciiTheme="minorHAnsi" w:eastAsia="Times New Roman" w:hAnsiTheme="minorHAnsi" w:cs="Calibri"/>
                <w:lang w:eastAsia="en-AU"/>
              </w:rPr>
            </w:pPr>
            <w:r w:rsidRPr="00C94C33">
              <w:rPr>
                <w:rFonts w:asciiTheme="minorHAnsi" w:eastAsia="Times New Roman" w:hAnsiTheme="minorHAnsi" w:cs="Calibri"/>
                <w:w w:val="105"/>
                <w:lang w:eastAsia="en-AU"/>
              </w:rPr>
              <w:t>0.863</w:t>
            </w:r>
          </w:p>
        </w:tc>
        <w:tc>
          <w:tcPr>
            <w:tcW w:w="1134" w:type="dxa"/>
            <w:tcBorders>
              <w:top w:val="single" w:sz="2" w:space="0" w:color="000000"/>
              <w:left w:val="single" w:sz="8" w:space="0" w:color="000000"/>
              <w:bottom w:val="single" w:sz="2" w:space="0" w:color="000000"/>
              <w:right w:val="nil"/>
            </w:tcBorders>
            <w:shd w:val="clear" w:color="auto" w:fill="auto"/>
          </w:tcPr>
          <w:p w14:paraId="28BB8B29" w14:textId="77777777" w:rsidR="00DF61BC" w:rsidRPr="00C94C33" w:rsidRDefault="00DF61BC" w:rsidP="00DF61BC">
            <w:pPr>
              <w:kinsoku w:val="0"/>
              <w:overflowPunct w:val="0"/>
              <w:autoSpaceDE w:val="0"/>
              <w:autoSpaceDN w:val="0"/>
              <w:adjustRightInd w:val="0"/>
              <w:spacing w:before="17" w:after="0" w:line="240" w:lineRule="auto"/>
              <w:ind w:left="290"/>
              <w:rPr>
                <w:rFonts w:asciiTheme="minorHAnsi" w:eastAsia="Times New Roman" w:hAnsiTheme="minorHAnsi" w:cs="Calibri"/>
                <w:lang w:eastAsia="en-AU"/>
              </w:rPr>
            </w:pPr>
            <w:r w:rsidRPr="00C94C33">
              <w:rPr>
                <w:rFonts w:asciiTheme="minorHAnsi" w:eastAsia="Times New Roman" w:hAnsiTheme="minorHAnsi" w:cs="Calibri"/>
                <w:w w:val="105"/>
                <w:lang w:eastAsia="en-AU"/>
              </w:rPr>
              <w:t>1.47</w:t>
            </w:r>
          </w:p>
        </w:tc>
        <w:tc>
          <w:tcPr>
            <w:tcW w:w="632" w:type="dxa"/>
            <w:tcBorders>
              <w:top w:val="single" w:sz="2" w:space="0" w:color="000000"/>
              <w:left w:val="nil"/>
              <w:bottom w:val="single" w:sz="2" w:space="0" w:color="000000"/>
              <w:right w:val="nil"/>
            </w:tcBorders>
            <w:shd w:val="clear" w:color="auto" w:fill="auto"/>
          </w:tcPr>
          <w:p w14:paraId="3DD67C03" w14:textId="77777777" w:rsidR="00DF61BC" w:rsidRPr="00C94C33" w:rsidRDefault="00DF61BC" w:rsidP="00DF61BC">
            <w:pPr>
              <w:kinsoku w:val="0"/>
              <w:overflowPunct w:val="0"/>
              <w:autoSpaceDE w:val="0"/>
              <w:autoSpaceDN w:val="0"/>
              <w:adjustRightInd w:val="0"/>
              <w:spacing w:before="17" w:after="0" w:line="240" w:lineRule="auto"/>
              <w:ind w:left="264"/>
              <w:rPr>
                <w:rFonts w:asciiTheme="minorHAnsi" w:eastAsia="Times New Roman" w:hAnsiTheme="minorHAnsi" w:cs="Calibri"/>
                <w:lang w:eastAsia="en-AU"/>
              </w:rPr>
            </w:pPr>
            <w:r w:rsidRPr="00C94C33">
              <w:rPr>
                <w:rFonts w:asciiTheme="minorHAnsi" w:eastAsia="Times New Roman" w:hAnsiTheme="minorHAnsi" w:cs="Calibri"/>
                <w:w w:val="105"/>
                <w:lang w:eastAsia="en-AU"/>
              </w:rPr>
              <w:t>1.18</w:t>
            </w:r>
          </w:p>
        </w:tc>
        <w:tc>
          <w:tcPr>
            <w:tcW w:w="431" w:type="dxa"/>
            <w:tcBorders>
              <w:top w:val="single" w:sz="2" w:space="0" w:color="000000"/>
              <w:left w:val="nil"/>
              <w:bottom w:val="single" w:sz="2" w:space="0" w:color="000000"/>
              <w:right w:val="nil"/>
            </w:tcBorders>
            <w:shd w:val="clear" w:color="auto" w:fill="auto"/>
          </w:tcPr>
          <w:p w14:paraId="686049F1" w14:textId="77777777" w:rsidR="00DF61BC" w:rsidRPr="00C94C33" w:rsidRDefault="00DF61BC" w:rsidP="00DF61BC">
            <w:pPr>
              <w:kinsoku w:val="0"/>
              <w:overflowPunct w:val="0"/>
              <w:autoSpaceDE w:val="0"/>
              <w:autoSpaceDN w:val="0"/>
              <w:adjustRightInd w:val="0"/>
              <w:spacing w:before="0" w:after="0" w:line="249" w:lineRule="exact"/>
              <w:ind w:left="36"/>
              <w:rPr>
                <w:rFonts w:asciiTheme="minorHAnsi" w:eastAsia="Times New Roman" w:hAnsiTheme="minorHAnsi" w:cs="Calibri"/>
                <w:lang w:eastAsia="en-AU"/>
              </w:rPr>
            </w:pPr>
            <w:r w:rsidRPr="00C94C33">
              <w:rPr>
                <w:rFonts w:asciiTheme="minorHAnsi" w:eastAsia="PMingLiU" w:hAnsiTheme="minorHAnsi" w:cs="Calibri"/>
                <w:w w:val="105"/>
                <w:lang w:eastAsia="en-AU"/>
              </w:rPr>
              <w:t>~</w:t>
            </w:r>
          </w:p>
        </w:tc>
        <w:tc>
          <w:tcPr>
            <w:tcW w:w="780" w:type="dxa"/>
            <w:tcBorders>
              <w:top w:val="single" w:sz="2" w:space="0" w:color="000000"/>
              <w:left w:val="nil"/>
              <w:bottom w:val="single" w:sz="2" w:space="0" w:color="000000"/>
              <w:right w:val="nil"/>
            </w:tcBorders>
            <w:shd w:val="clear" w:color="auto" w:fill="auto"/>
          </w:tcPr>
          <w:p w14:paraId="51018DFF" w14:textId="77777777" w:rsidR="00DF61BC" w:rsidRPr="00C94C33" w:rsidRDefault="00DF61BC" w:rsidP="00DF61BC">
            <w:pPr>
              <w:kinsoku w:val="0"/>
              <w:overflowPunct w:val="0"/>
              <w:autoSpaceDE w:val="0"/>
              <w:autoSpaceDN w:val="0"/>
              <w:adjustRightInd w:val="0"/>
              <w:spacing w:before="17" w:after="0" w:line="240" w:lineRule="auto"/>
              <w:ind w:left="41"/>
              <w:rPr>
                <w:rFonts w:asciiTheme="minorHAnsi" w:eastAsia="Times New Roman" w:hAnsiTheme="minorHAnsi" w:cs="Calibri"/>
                <w:lang w:eastAsia="en-AU"/>
              </w:rPr>
            </w:pPr>
            <w:r w:rsidRPr="00C94C33">
              <w:rPr>
                <w:rFonts w:asciiTheme="minorHAnsi" w:eastAsia="Times New Roman" w:hAnsiTheme="minorHAnsi" w:cs="Calibri"/>
                <w:w w:val="105"/>
                <w:lang w:eastAsia="en-AU"/>
              </w:rPr>
              <w:t>1.76</w:t>
            </w:r>
          </w:p>
        </w:tc>
        <w:tc>
          <w:tcPr>
            <w:tcW w:w="1134" w:type="dxa"/>
            <w:tcBorders>
              <w:top w:val="single" w:sz="2" w:space="0" w:color="000000"/>
              <w:left w:val="nil"/>
              <w:bottom w:val="single" w:sz="2" w:space="0" w:color="000000"/>
              <w:right w:val="single" w:sz="8" w:space="0" w:color="000000"/>
            </w:tcBorders>
            <w:shd w:val="clear" w:color="auto" w:fill="auto"/>
          </w:tcPr>
          <w:p w14:paraId="43B15B9C" w14:textId="77777777" w:rsidR="00DF61BC" w:rsidRPr="00C94C33" w:rsidRDefault="00DF61BC" w:rsidP="00DF61BC">
            <w:pPr>
              <w:kinsoku w:val="0"/>
              <w:overflowPunct w:val="0"/>
              <w:autoSpaceDE w:val="0"/>
              <w:autoSpaceDN w:val="0"/>
              <w:adjustRightInd w:val="0"/>
              <w:spacing w:before="0" w:after="0" w:line="248" w:lineRule="exact"/>
              <w:ind w:left="57"/>
              <w:rPr>
                <w:rFonts w:asciiTheme="minorHAnsi" w:eastAsia="Times New Roman" w:hAnsiTheme="minorHAnsi" w:cs="Calibri"/>
                <w:lang w:eastAsia="en-AU"/>
              </w:rPr>
            </w:pPr>
            <w:r w:rsidRPr="00C94C33">
              <w:rPr>
                <w:rFonts w:asciiTheme="minorHAnsi" w:eastAsia="PMingLiU" w:hAnsiTheme="minorHAnsi" w:cs="Calibri"/>
                <w:w w:val="105"/>
                <w:lang w:eastAsia="en-AU"/>
              </w:rPr>
              <w:t>&lt; 0.0001</w:t>
            </w:r>
          </w:p>
        </w:tc>
        <w:tc>
          <w:tcPr>
            <w:tcW w:w="992" w:type="dxa"/>
            <w:tcBorders>
              <w:top w:val="single" w:sz="2" w:space="0" w:color="000000"/>
              <w:left w:val="single" w:sz="8" w:space="0" w:color="000000"/>
              <w:bottom w:val="single" w:sz="2" w:space="0" w:color="000000"/>
              <w:right w:val="single" w:sz="8" w:space="0" w:color="000000"/>
            </w:tcBorders>
            <w:shd w:val="clear" w:color="auto" w:fill="auto"/>
          </w:tcPr>
          <w:p w14:paraId="06143FB3" w14:textId="77777777" w:rsidR="00DF61BC" w:rsidRPr="00C94C33" w:rsidRDefault="00DF61BC" w:rsidP="00DF61BC">
            <w:pPr>
              <w:kinsoku w:val="0"/>
              <w:overflowPunct w:val="0"/>
              <w:autoSpaceDE w:val="0"/>
              <w:autoSpaceDN w:val="0"/>
              <w:adjustRightInd w:val="0"/>
              <w:spacing w:before="17" w:after="0" w:line="240" w:lineRule="auto"/>
              <w:ind w:left="238"/>
              <w:rPr>
                <w:rFonts w:asciiTheme="minorHAnsi" w:eastAsia="Times New Roman" w:hAnsiTheme="minorHAnsi" w:cs="Calibri"/>
                <w:lang w:eastAsia="en-AU"/>
              </w:rPr>
            </w:pPr>
            <w:r w:rsidRPr="00C94C33">
              <w:rPr>
                <w:rFonts w:asciiTheme="minorHAnsi" w:eastAsia="Times New Roman" w:hAnsiTheme="minorHAnsi" w:cs="Calibri"/>
                <w:w w:val="105"/>
                <w:lang w:eastAsia="en-AU"/>
              </w:rPr>
              <w:t>0.211</w:t>
            </w:r>
          </w:p>
        </w:tc>
      </w:tr>
      <w:tr w:rsidR="00DF61BC" w:rsidRPr="00C94C33" w14:paraId="583E3EC3" w14:textId="77777777" w:rsidTr="0078778B">
        <w:trPr>
          <w:trHeight w:hRule="exact" w:val="270"/>
        </w:trPr>
        <w:tc>
          <w:tcPr>
            <w:tcW w:w="1418" w:type="dxa"/>
            <w:tcBorders>
              <w:top w:val="single" w:sz="2" w:space="0" w:color="000000"/>
              <w:left w:val="single" w:sz="8" w:space="0" w:color="000000"/>
              <w:bottom w:val="single" w:sz="8" w:space="0" w:color="000000"/>
              <w:right w:val="single" w:sz="8" w:space="0" w:color="000000"/>
            </w:tcBorders>
            <w:shd w:val="clear" w:color="auto" w:fill="auto"/>
          </w:tcPr>
          <w:p w14:paraId="0FBCCC0E" w14:textId="77777777" w:rsidR="00DF61BC" w:rsidRPr="00C94C33" w:rsidRDefault="00DF61BC" w:rsidP="00DF61BC">
            <w:pPr>
              <w:kinsoku w:val="0"/>
              <w:overflowPunct w:val="0"/>
              <w:autoSpaceDE w:val="0"/>
              <w:autoSpaceDN w:val="0"/>
              <w:adjustRightInd w:val="0"/>
              <w:spacing w:before="6" w:after="0" w:line="251" w:lineRule="exact"/>
              <w:ind w:left="204"/>
              <w:rPr>
                <w:rFonts w:asciiTheme="minorHAnsi" w:eastAsia="Times New Roman" w:hAnsiTheme="minorHAnsi" w:cs="Calibri"/>
                <w:lang w:eastAsia="en-AU"/>
              </w:rPr>
            </w:pPr>
            <w:r w:rsidRPr="00C94C33">
              <w:rPr>
                <w:rFonts w:asciiTheme="minorHAnsi" w:eastAsia="Times New Roman" w:hAnsiTheme="minorHAnsi" w:cs="Calibri"/>
                <w:spacing w:val="-1"/>
                <w:w w:val="105"/>
                <w:lang w:eastAsia="en-AU"/>
              </w:rPr>
              <w:t>AUC</w:t>
            </w:r>
            <w:r w:rsidRPr="00C94C33">
              <w:rPr>
                <w:rFonts w:asciiTheme="minorHAnsi" w:eastAsia="Times New Roman" w:hAnsiTheme="minorHAnsi" w:cs="Calibri"/>
                <w:spacing w:val="-1"/>
                <w:w w:val="105"/>
                <w:position w:val="-4"/>
                <w:lang w:eastAsia="en-AU"/>
              </w:rPr>
              <w:t>inf</w:t>
            </w:r>
          </w:p>
        </w:tc>
        <w:tc>
          <w:tcPr>
            <w:tcW w:w="1559" w:type="dxa"/>
            <w:tcBorders>
              <w:top w:val="single" w:sz="2" w:space="0" w:color="000000"/>
              <w:left w:val="single" w:sz="8" w:space="0" w:color="000000"/>
              <w:bottom w:val="single" w:sz="8" w:space="0" w:color="000000"/>
              <w:right w:val="single" w:sz="8" w:space="0" w:color="000000"/>
            </w:tcBorders>
            <w:shd w:val="clear" w:color="auto" w:fill="auto"/>
          </w:tcPr>
          <w:p w14:paraId="58ECF898" w14:textId="77777777" w:rsidR="00DF61BC" w:rsidRPr="00C94C33" w:rsidRDefault="00DF61BC" w:rsidP="00DF61BC">
            <w:pPr>
              <w:kinsoku w:val="0"/>
              <w:overflowPunct w:val="0"/>
              <w:autoSpaceDE w:val="0"/>
              <w:autoSpaceDN w:val="0"/>
              <w:adjustRightInd w:val="0"/>
              <w:spacing w:before="17" w:after="0" w:line="240" w:lineRule="auto"/>
              <w:ind w:left="161"/>
              <w:rPr>
                <w:rFonts w:asciiTheme="minorHAnsi" w:eastAsia="Times New Roman" w:hAnsiTheme="minorHAnsi" w:cs="Calibri"/>
                <w:lang w:eastAsia="en-AU"/>
              </w:rPr>
            </w:pPr>
            <w:r w:rsidRPr="00C94C33">
              <w:rPr>
                <w:rFonts w:asciiTheme="minorHAnsi" w:eastAsia="Times New Roman" w:hAnsiTheme="minorHAnsi" w:cs="Calibri"/>
                <w:w w:val="105"/>
                <w:lang w:eastAsia="en-AU"/>
              </w:rPr>
              <w:t>0.846</w:t>
            </w:r>
          </w:p>
        </w:tc>
        <w:tc>
          <w:tcPr>
            <w:tcW w:w="1134" w:type="dxa"/>
            <w:tcBorders>
              <w:top w:val="single" w:sz="2" w:space="0" w:color="000000"/>
              <w:left w:val="single" w:sz="8" w:space="0" w:color="000000"/>
              <w:bottom w:val="single" w:sz="8" w:space="0" w:color="000000"/>
              <w:right w:val="nil"/>
            </w:tcBorders>
            <w:shd w:val="clear" w:color="auto" w:fill="auto"/>
          </w:tcPr>
          <w:p w14:paraId="1609D250" w14:textId="77777777" w:rsidR="00DF61BC" w:rsidRPr="00C94C33" w:rsidRDefault="00DF61BC" w:rsidP="00DF61BC">
            <w:pPr>
              <w:kinsoku w:val="0"/>
              <w:overflowPunct w:val="0"/>
              <w:autoSpaceDE w:val="0"/>
              <w:autoSpaceDN w:val="0"/>
              <w:adjustRightInd w:val="0"/>
              <w:spacing w:before="17" w:after="0" w:line="240" w:lineRule="auto"/>
              <w:ind w:left="290"/>
              <w:rPr>
                <w:rFonts w:asciiTheme="minorHAnsi" w:eastAsia="Times New Roman" w:hAnsiTheme="minorHAnsi" w:cs="Calibri"/>
                <w:lang w:eastAsia="en-AU"/>
              </w:rPr>
            </w:pPr>
            <w:r w:rsidRPr="00C94C33">
              <w:rPr>
                <w:rFonts w:asciiTheme="minorHAnsi" w:eastAsia="Times New Roman" w:hAnsiTheme="minorHAnsi" w:cs="Calibri"/>
                <w:w w:val="105"/>
                <w:lang w:eastAsia="en-AU"/>
              </w:rPr>
              <w:t>1.43</w:t>
            </w:r>
          </w:p>
        </w:tc>
        <w:tc>
          <w:tcPr>
            <w:tcW w:w="632" w:type="dxa"/>
            <w:tcBorders>
              <w:top w:val="single" w:sz="2" w:space="0" w:color="000000"/>
              <w:left w:val="nil"/>
              <w:bottom w:val="single" w:sz="8" w:space="0" w:color="000000"/>
              <w:right w:val="nil"/>
            </w:tcBorders>
            <w:shd w:val="clear" w:color="auto" w:fill="auto"/>
          </w:tcPr>
          <w:p w14:paraId="11D5FA8B" w14:textId="77777777" w:rsidR="00DF61BC" w:rsidRPr="00C94C33" w:rsidRDefault="00DF61BC" w:rsidP="00DF61BC">
            <w:pPr>
              <w:kinsoku w:val="0"/>
              <w:overflowPunct w:val="0"/>
              <w:autoSpaceDE w:val="0"/>
              <w:autoSpaceDN w:val="0"/>
              <w:adjustRightInd w:val="0"/>
              <w:spacing w:before="17" w:after="0" w:line="240" w:lineRule="auto"/>
              <w:ind w:left="264"/>
              <w:rPr>
                <w:rFonts w:asciiTheme="minorHAnsi" w:eastAsia="Times New Roman" w:hAnsiTheme="minorHAnsi" w:cs="Calibri"/>
                <w:lang w:eastAsia="en-AU"/>
              </w:rPr>
            </w:pPr>
            <w:r w:rsidRPr="00C94C33">
              <w:rPr>
                <w:rFonts w:asciiTheme="minorHAnsi" w:eastAsia="Times New Roman" w:hAnsiTheme="minorHAnsi" w:cs="Calibri"/>
                <w:w w:val="105"/>
                <w:lang w:eastAsia="en-AU"/>
              </w:rPr>
              <w:t>1.13</w:t>
            </w:r>
          </w:p>
        </w:tc>
        <w:tc>
          <w:tcPr>
            <w:tcW w:w="431" w:type="dxa"/>
            <w:tcBorders>
              <w:top w:val="single" w:sz="2" w:space="0" w:color="000000"/>
              <w:left w:val="nil"/>
              <w:bottom w:val="single" w:sz="8" w:space="0" w:color="000000"/>
              <w:right w:val="nil"/>
            </w:tcBorders>
            <w:shd w:val="clear" w:color="auto" w:fill="auto"/>
          </w:tcPr>
          <w:p w14:paraId="58F951CE" w14:textId="77777777" w:rsidR="00DF61BC" w:rsidRPr="00C94C33" w:rsidRDefault="00DF61BC" w:rsidP="00DF61BC">
            <w:pPr>
              <w:kinsoku w:val="0"/>
              <w:overflowPunct w:val="0"/>
              <w:autoSpaceDE w:val="0"/>
              <w:autoSpaceDN w:val="0"/>
              <w:adjustRightInd w:val="0"/>
              <w:spacing w:before="0" w:after="0" w:line="249" w:lineRule="exact"/>
              <w:ind w:left="36"/>
              <w:rPr>
                <w:rFonts w:asciiTheme="minorHAnsi" w:eastAsia="Times New Roman" w:hAnsiTheme="minorHAnsi" w:cs="Calibri"/>
                <w:lang w:eastAsia="en-AU"/>
              </w:rPr>
            </w:pPr>
            <w:r w:rsidRPr="00C94C33">
              <w:rPr>
                <w:rFonts w:asciiTheme="minorHAnsi" w:eastAsia="PMingLiU" w:hAnsiTheme="minorHAnsi" w:cs="Calibri"/>
                <w:w w:val="105"/>
                <w:lang w:eastAsia="en-AU"/>
              </w:rPr>
              <w:t xml:space="preserve">~ </w:t>
            </w:r>
          </w:p>
        </w:tc>
        <w:tc>
          <w:tcPr>
            <w:tcW w:w="780" w:type="dxa"/>
            <w:tcBorders>
              <w:top w:val="single" w:sz="2" w:space="0" w:color="000000"/>
              <w:left w:val="nil"/>
              <w:bottom w:val="single" w:sz="8" w:space="0" w:color="000000"/>
              <w:right w:val="nil"/>
            </w:tcBorders>
            <w:shd w:val="clear" w:color="auto" w:fill="auto"/>
          </w:tcPr>
          <w:p w14:paraId="6FC42539" w14:textId="77777777" w:rsidR="00DF61BC" w:rsidRPr="00C94C33" w:rsidRDefault="00DF61BC" w:rsidP="00DF61BC">
            <w:pPr>
              <w:kinsoku w:val="0"/>
              <w:overflowPunct w:val="0"/>
              <w:autoSpaceDE w:val="0"/>
              <w:autoSpaceDN w:val="0"/>
              <w:adjustRightInd w:val="0"/>
              <w:spacing w:before="17" w:after="0" w:line="240" w:lineRule="auto"/>
              <w:ind w:left="41"/>
              <w:rPr>
                <w:rFonts w:asciiTheme="minorHAnsi" w:eastAsia="Times New Roman" w:hAnsiTheme="minorHAnsi" w:cs="Calibri"/>
                <w:lang w:eastAsia="en-AU"/>
              </w:rPr>
            </w:pPr>
            <w:r w:rsidRPr="00C94C33">
              <w:rPr>
                <w:rFonts w:asciiTheme="minorHAnsi" w:eastAsia="Times New Roman" w:hAnsiTheme="minorHAnsi" w:cs="Calibri"/>
                <w:w w:val="105"/>
                <w:lang w:eastAsia="en-AU"/>
              </w:rPr>
              <w:t>1.73</w:t>
            </w:r>
          </w:p>
        </w:tc>
        <w:tc>
          <w:tcPr>
            <w:tcW w:w="1134" w:type="dxa"/>
            <w:tcBorders>
              <w:top w:val="single" w:sz="2" w:space="0" w:color="000000"/>
              <w:left w:val="nil"/>
              <w:bottom w:val="single" w:sz="8" w:space="0" w:color="000000"/>
              <w:right w:val="single" w:sz="8" w:space="0" w:color="000000"/>
            </w:tcBorders>
            <w:shd w:val="clear" w:color="auto" w:fill="auto"/>
          </w:tcPr>
          <w:p w14:paraId="52D4F04B" w14:textId="77777777" w:rsidR="00DF61BC" w:rsidRPr="00C94C33" w:rsidRDefault="00DF61BC" w:rsidP="00DF61BC">
            <w:pPr>
              <w:kinsoku w:val="0"/>
              <w:overflowPunct w:val="0"/>
              <w:autoSpaceDE w:val="0"/>
              <w:autoSpaceDN w:val="0"/>
              <w:adjustRightInd w:val="0"/>
              <w:spacing w:before="0" w:after="0" w:line="248" w:lineRule="exact"/>
              <w:ind w:left="57"/>
              <w:rPr>
                <w:rFonts w:asciiTheme="minorHAnsi" w:eastAsia="Times New Roman" w:hAnsiTheme="minorHAnsi" w:cs="Calibri"/>
                <w:lang w:eastAsia="en-AU"/>
              </w:rPr>
            </w:pPr>
            <w:r w:rsidRPr="00C94C33">
              <w:rPr>
                <w:rFonts w:asciiTheme="minorHAnsi" w:eastAsia="PMingLiU" w:hAnsiTheme="minorHAnsi" w:cs="Calibri"/>
                <w:w w:val="105"/>
                <w:lang w:eastAsia="en-AU"/>
              </w:rPr>
              <w:t>&lt; 0.0001</w:t>
            </w:r>
          </w:p>
        </w:tc>
        <w:tc>
          <w:tcPr>
            <w:tcW w:w="992" w:type="dxa"/>
            <w:tcBorders>
              <w:top w:val="single" w:sz="2" w:space="0" w:color="000000"/>
              <w:left w:val="single" w:sz="8" w:space="0" w:color="000000"/>
              <w:bottom w:val="single" w:sz="8" w:space="0" w:color="000000"/>
              <w:right w:val="single" w:sz="8" w:space="0" w:color="000000"/>
            </w:tcBorders>
            <w:shd w:val="clear" w:color="auto" w:fill="auto"/>
          </w:tcPr>
          <w:p w14:paraId="4E135F5D" w14:textId="77777777" w:rsidR="00DF61BC" w:rsidRPr="00C94C33" w:rsidRDefault="00DF61BC" w:rsidP="00DF61BC">
            <w:pPr>
              <w:kinsoku w:val="0"/>
              <w:overflowPunct w:val="0"/>
              <w:autoSpaceDE w:val="0"/>
              <w:autoSpaceDN w:val="0"/>
              <w:adjustRightInd w:val="0"/>
              <w:spacing w:before="17" w:after="0" w:line="240" w:lineRule="auto"/>
              <w:ind w:left="238"/>
              <w:rPr>
                <w:rFonts w:asciiTheme="minorHAnsi" w:eastAsia="Times New Roman" w:hAnsiTheme="minorHAnsi" w:cs="Calibri"/>
                <w:lang w:eastAsia="en-AU"/>
              </w:rPr>
            </w:pPr>
            <w:r w:rsidRPr="00C94C33">
              <w:rPr>
                <w:rFonts w:asciiTheme="minorHAnsi" w:eastAsia="Times New Roman" w:hAnsiTheme="minorHAnsi" w:cs="Calibri"/>
                <w:w w:val="105"/>
                <w:lang w:eastAsia="en-AU"/>
              </w:rPr>
              <w:t>0.201</w:t>
            </w:r>
          </w:p>
        </w:tc>
      </w:tr>
    </w:tbl>
    <w:p w14:paraId="66FA9FB8" w14:textId="77777777" w:rsidR="00DF61BC" w:rsidRPr="00C94C33" w:rsidRDefault="00DF61BC" w:rsidP="00A17407">
      <w:pPr>
        <w:pStyle w:val="TableDescription"/>
        <w:rPr>
          <w:lang w:eastAsia="en-AU"/>
        </w:rPr>
      </w:pPr>
      <w:r w:rsidRPr="00C94C33">
        <w:rPr>
          <w:lang w:eastAsia="en-AU"/>
        </w:rPr>
        <w:t>Y = aX</w:t>
      </w:r>
      <w:r w:rsidRPr="00C94C33">
        <w:rPr>
          <w:vertAlign w:val="superscript"/>
          <w:lang w:eastAsia="en-AU"/>
        </w:rPr>
        <w:t>β</w:t>
      </w:r>
      <w:r w:rsidRPr="00C94C33">
        <w:rPr>
          <w:lang w:eastAsia="en-AU"/>
        </w:rPr>
        <w:t xml:space="preserve"> under the following conditions: X = dose and Y= PK parameter (Cmax, AUC) 95% CI = 95% confidence interval of estimated parameter. Five of the six patients assigned to the Dose Level of 30 mg/m2/day (AUCinf of FTD obtained from 4/5 cases, no available value in one case) were actually given TAS-102 in the morning in a dose lower than a half of daily dosage by 20%. Therefore, their data were analysed as those obtained from the patients that were given TAS-102 in a dose of 24 mg/m</w:t>
      </w:r>
      <w:r w:rsidRPr="00C94C33">
        <w:rPr>
          <w:vertAlign w:val="superscript"/>
          <w:lang w:eastAsia="en-AU"/>
        </w:rPr>
        <w:t>2</w:t>
      </w:r>
      <w:r w:rsidRPr="00C94C33">
        <w:rPr>
          <w:lang w:eastAsia="en-AU"/>
        </w:rPr>
        <w:t>/day.</w:t>
      </w:r>
    </w:p>
    <w:p w14:paraId="00FBC538" w14:textId="4F3A95F0" w:rsidR="00A17407" w:rsidRPr="00C94C33" w:rsidRDefault="00DF61BC" w:rsidP="005C2FCA">
      <w:pPr>
        <w:kinsoku w:val="0"/>
        <w:overflowPunct w:val="0"/>
        <w:autoSpaceDE w:val="0"/>
        <w:autoSpaceDN w:val="0"/>
        <w:adjustRightInd w:val="0"/>
        <w:spacing w:before="0" w:line="240" w:lineRule="auto"/>
        <w:rPr>
          <w:b/>
          <w:kern w:val="16"/>
          <w:lang w:eastAsia="en-AU"/>
        </w:rPr>
      </w:pPr>
      <w:r w:rsidRPr="00C94C33">
        <w:rPr>
          <w:rFonts w:eastAsia="Times New Roman"/>
          <w:lang w:eastAsia="en-AU"/>
        </w:rPr>
        <w:t>Correlation between dose normalised AUC</w:t>
      </w:r>
      <w:r w:rsidRPr="00C94C33">
        <w:rPr>
          <w:rFonts w:eastAsia="Times New Roman"/>
          <w:sz w:val="20"/>
          <w:szCs w:val="20"/>
          <w:lang w:eastAsia="en-AU"/>
        </w:rPr>
        <w:t xml:space="preserve">0-10h </w:t>
      </w:r>
      <w:r w:rsidR="00D21685" w:rsidRPr="00C94C33">
        <w:rPr>
          <w:rFonts w:eastAsia="Times New Roman"/>
          <w:lang w:eastAsia="en-AU"/>
        </w:rPr>
        <w:t>of FTD and TP</w:t>
      </w:r>
      <w:r w:rsidRPr="00C94C33">
        <w:rPr>
          <w:rFonts w:eastAsia="Times New Roman"/>
          <w:lang w:eastAsia="en-AU"/>
        </w:rPr>
        <w:t>I were also undertaken. The results for FTD indicated that AUC</w:t>
      </w:r>
      <w:r w:rsidRPr="00C94C33">
        <w:rPr>
          <w:rFonts w:eastAsia="Times New Roman"/>
          <w:sz w:val="20"/>
          <w:szCs w:val="20"/>
          <w:lang w:eastAsia="en-AU"/>
        </w:rPr>
        <w:t>0-10h</w:t>
      </w:r>
      <w:r w:rsidRPr="00C94C33">
        <w:rPr>
          <w:rFonts w:eastAsia="Times New Roman"/>
          <w:lang w:eastAsia="en-AU"/>
        </w:rPr>
        <w:t xml:space="preserve"> increased more than dose proportionally with increasing dose over the range 30 to 70 mg/m</w:t>
      </w:r>
      <w:r w:rsidRPr="00C94C33">
        <w:rPr>
          <w:rFonts w:eastAsia="Times New Roman"/>
          <w:vertAlign w:val="superscript"/>
          <w:lang w:eastAsia="en-AU"/>
        </w:rPr>
        <w:t>2</w:t>
      </w:r>
      <w:r w:rsidRPr="00C94C33">
        <w:rPr>
          <w:rFonts w:eastAsia="Times New Roman"/>
          <w:lang w:eastAsia="en-AU"/>
        </w:rPr>
        <w:t xml:space="preserve">/day. </w:t>
      </w:r>
      <w:r w:rsidRPr="00C94C33">
        <w:rPr>
          <w:rFonts w:eastAsia="Times New Roman"/>
          <w:kern w:val="16"/>
          <w:lang w:eastAsia="en-AU"/>
        </w:rPr>
        <w:t>However, the dose normalised AUC</w:t>
      </w:r>
      <w:r w:rsidRPr="00C94C33">
        <w:rPr>
          <w:rFonts w:eastAsia="Times New Roman"/>
          <w:kern w:val="16"/>
          <w:sz w:val="20"/>
          <w:szCs w:val="20"/>
          <w:lang w:eastAsia="en-AU"/>
        </w:rPr>
        <w:t xml:space="preserve">0-10h </w:t>
      </w:r>
      <w:r w:rsidRPr="00C94C33">
        <w:rPr>
          <w:rFonts w:eastAsia="Times New Roman"/>
          <w:kern w:val="16"/>
          <w:lang w:eastAsia="en-AU"/>
        </w:rPr>
        <w:t>for FTD over the dose range 40 to 70 mg/m</w:t>
      </w:r>
      <w:r w:rsidRPr="00C94C33">
        <w:rPr>
          <w:rFonts w:eastAsia="Times New Roman"/>
          <w:kern w:val="16"/>
          <w:vertAlign w:val="superscript"/>
          <w:lang w:eastAsia="en-AU"/>
        </w:rPr>
        <w:t>2</w:t>
      </w:r>
      <w:r w:rsidRPr="00C94C33">
        <w:rPr>
          <w:rFonts w:eastAsia="Times New Roman"/>
          <w:kern w:val="16"/>
          <w:lang w:eastAsia="en-AU"/>
        </w:rPr>
        <w:t xml:space="preserve">/day was generally constant, with the differences being ≤ 30%, which were similar to the CV values of 12% to 32% at the various dose levels. </w:t>
      </w:r>
      <w:r w:rsidRPr="00C94C33">
        <w:rPr>
          <w:rFonts w:eastAsia="Times New Roman"/>
          <w:lang w:eastAsia="en-AU"/>
        </w:rPr>
        <w:t>The results for TPI showed that the AUC</w:t>
      </w:r>
      <w:r w:rsidRPr="00C94C33">
        <w:rPr>
          <w:rFonts w:eastAsia="Times New Roman"/>
          <w:sz w:val="20"/>
          <w:szCs w:val="20"/>
          <w:lang w:eastAsia="en-AU"/>
        </w:rPr>
        <w:t>0-10h</w:t>
      </w:r>
      <w:r w:rsidRPr="00C94C33">
        <w:rPr>
          <w:rFonts w:eastAsia="Times New Roman"/>
          <w:lang w:eastAsia="en-AU"/>
        </w:rPr>
        <w:t xml:space="preserve"> increased proportionally with increasing dose over the dose range 30 to 70 mg/m</w:t>
      </w:r>
      <w:r w:rsidRPr="00C94C33">
        <w:rPr>
          <w:rFonts w:eastAsia="Times New Roman"/>
          <w:vertAlign w:val="superscript"/>
          <w:lang w:eastAsia="en-AU"/>
        </w:rPr>
        <w:t>2</w:t>
      </w:r>
      <w:r w:rsidRPr="00C94C33">
        <w:rPr>
          <w:rFonts w:eastAsia="Times New Roman"/>
          <w:lang w:eastAsia="en-AU"/>
        </w:rPr>
        <w:t>/day. The results are summarised below.</w:t>
      </w:r>
      <w:bookmarkStart w:id="81" w:name="_Toc470948799"/>
    </w:p>
    <w:p w14:paraId="32280B71" w14:textId="3AD5C2D4" w:rsidR="00DF61BC" w:rsidRPr="00C94C33" w:rsidRDefault="00DF61BC" w:rsidP="005C2FCA">
      <w:pPr>
        <w:pStyle w:val="FigureTitle"/>
        <w:rPr>
          <w:lang w:eastAsia="en-AU"/>
        </w:rPr>
      </w:pPr>
      <w:r w:rsidRPr="00C94C33">
        <w:rPr>
          <w:kern w:val="16"/>
          <w:lang w:eastAsia="en-AU"/>
        </w:rPr>
        <w:lastRenderedPageBreak/>
        <w:t xml:space="preserve">Figure </w:t>
      </w:r>
      <w:r w:rsidR="00A17407" w:rsidRPr="00C94C33">
        <w:rPr>
          <w:kern w:val="16"/>
          <w:lang w:eastAsia="en-AU"/>
        </w:rPr>
        <w:t xml:space="preserve">4: </w:t>
      </w:r>
      <w:r w:rsidRPr="00C94C33">
        <w:rPr>
          <w:lang w:eastAsia="en-AU"/>
        </w:rPr>
        <w:t>Correlation between the AUC0-10h of FTD and TPI normalised by dose of TAS-1-2 on Day and dosage</w:t>
      </w:r>
      <w:bookmarkEnd w:id="81"/>
    </w:p>
    <w:p w14:paraId="0415ABF9" w14:textId="00D0F684" w:rsidR="00DF61BC" w:rsidRPr="00C94C33" w:rsidRDefault="00C705AB" w:rsidP="00DF61BC">
      <w:pPr>
        <w:autoSpaceDE w:val="0"/>
        <w:autoSpaceDN w:val="0"/>
        <w:adjustRightInd w:val="0"/>
        <w:spacing w:before="0" w:after="0" w:line="240" w:lineRule="auto"/>
        <w:rPr>
          <w:rFonts w:ascii="Times New Roman" w:eastAsia="Times New Roman" w:hAnsi="Times New Roman"/>
          <w:sz w:val="21"/>
          <w:szCs w:val="21"/>
          <w:lang w:eastAsia="en-AU"/>
        </w:rPr>
      </w:pPr>
      <w:r>
        <w:rPr>
          <w:noProof/>
          <w:lang w:eastAsia="en-AU"/>
        </w:rPr>
        <w:drawing>
          <wp:inline distT="0" distB="0" distL="0" distR="0" wp14:anchorId="7D441EEA" wp14:editId="3962F663">
            <wp:extent cx="4744532" cy="1609077"/>
            <wp:effectExtent l="0" t="0" r="0" b="0"/>
            <wp:docPr id="2083" name="Picture 5" descr="Figure 4: Correlation between the AUC0-10h of FTD and TPI normalised by dose of TAS-1-2 on Day and do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Picture 5" descr="Figure 4: Correlation between the AUC0-10h of FTD and TPI normalised by dose of TAS-1-2 on Day and dosage. "/>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4532" cy="1609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E732DB9" w14:textId="59E09B7D" w:rsidR="00DF61BC" w:rsidRPr="00C94C33" w:rsidRDefault="00DF61BC" w:rsidP="005C2FCA">
      <w:pPr>
        <w:pStyle w:val="Comment"/>
      </w:pPr>
      <w:r w:rsidRPr="005C2FCA">
        <w:rPr>
          <w:b/>
        </w:rPr>
        <w:t>Comment:</w:t>
      </w:r>
      <w:r w:rsidRPr="007709B8">
        <w:t xml:space="preserve"> </w:t>
      </w:r>
      <w:r w:rsidR="00A0007E" w:rsidRPr="00C94C33">
        <w:t xml:space="preserve"> </w:t>
      </w:r>
      <w:r w:rsidRPr="00C94C33">
        <w:t>Overall, the  data demonstrate that systemic exposure (AUC0-last) to FTD increases more than dose proportionally over the TAS-102 dose range 15 to 35 mg/m2/day, while exposure (Cmax and AUC) to TPI is dose proportional over the dose range.</w:t>
      </w:r>
    </w:p>
    <w:p w14:paraId="33ADE9E0" w14:textId="77777777" w:rsidR="00DF61BC" w:rsidRPr="00C94C33" w:rsidRDefault="00DF61BC" w:rsidP="00955252">
      <w:pPr>
        <w:pStyle w:val="Heading4"/>
      </w:pPr>
      <w:r w:rsidRPr="00C94C33">
        <w:t>Bioavailability during single- and multiple-dosing</w:t>
      </w:r>
    </w:p>
    <w:p w14:paraId="31F1FDC8" w14:textId="121E7287" w:rsidR="00DF61BC" w:rsidRPr="00C94C33" w:rsidRDefault="00DF61BC" w:rsidP="00A17407">
      <w:pPr>
        <w:autoSpaceDE w:val="0"/>
        <w:autoSpaceDN w:val="0"/>
        <w:adjustRightInd w:val="0"/>
        <w:spacing w:before="0" w:line="240" w:lineRule="auto"/>
        <w:rPr>
          <w:rFonts w:eastAsia="Times New Roman"/>
          <w:kern w:val="16"/>
          <w:lang w:eastAsia="en-AU"/>
        </w:rPr>
      </w:pPr>
      <w:r w:rsidRPr="00C94C33">
        <w:rPr>
          <w:rFonts w:eastAsia="Times New Roman"/>
          <w:kern w:val="16"/>
          <w:lang w:eastAsia="en-AU"/>
        </w:rPr>
        <w:t xml:space="preserve">In </w:t>
      </w:r>
      <w:r w:rsidR="00A0007E" w:rsidRPr="00C94C33">
        <w:rPr>
          <w:rFonts w:eastAsia="Times New Roman"/>
          <w:kern w:val="16"/>
          <w:lang w:eastAsia="en-AU"/>
        </w:rPr>
        <w:t xml:space="preserve">Study </w:t>
      </w:r>
      <w:r w:rsidRPr="00C94C33">
        <w:rPr>
          <w:rFonts w:eastAsia="Times New Roman"/>
          <w:kern w:val="16"/>
          <w:lang w:eastAsia="en-AU"/>
        </w:rPr>
        <w:t xml:space="preserve">TPU-TAS-102-102, plasma PK parameters for TAS-102 (trifluridine </w:t>
      </w:r>
      <w:r w:rsidR="00A0007E" w:rsidRPr="00C94C33">
        <w:rPr>
          <w:rFonts w:eastAsia="Times New Roman"/>
          <w:kern w:val="16"/>
          <w:lang w:eastAsia="en-AU"/>
        </w:rPr>
        <w:t>(</w:t>
      </w:r>
      <w:r w:rsidRPr="00C94C33">
        <w:rPr>
          <w:rFonts w:eastAsia="Times New Roman"/>
          <w:kern w:val="16"/>
          <w:lang w:eastAsia="en-AU"/>
        </w:rPr>
        <w:t>FTD</w:t>
      </w:r>
      <w:r w:rsidR="00A0007E" w:rsidRPr="00C94C33">
        <w:rPr>
          <w:rFonts w:eastAsia="Times New Roman"/>
          <w:kern w:val="16"/>
          <w:lang w:eastAsia="en-AU"/>
        </w:rPr>
        <w:t>)</w:t>
      </w:r>
      <w:r w:rsidRPr="00C94C33">
        <w:rPr>
          <w:rFonts w:eastAsia="Times New Roman"/>
          <w:kern w:val="16"/>
          <w:lang w:eastAsia="en-AU"/>
        </w:rPr>
        <w:t xml:space="preserve">, tipiracil </w:t>
      </w:r>
      <w:r w:rsidR="00A0007E" w:rsidRPr="00C94C33">
        <w:rPr>
          <w:rFonts w:eastAsia="Times New Roman"/>
          <w:kern w:val="16"/>
          <w:lang w:eastAsia="en-AU"/>
        </w:rPr>
        <w:t>(</w:t>
      </w:r>
      <w:r w:rsidRPr="00C94C33">
        <w:rPr>
          <w:rFonts w:eastAsia="Times New Roman"/>
          <w:kern w:val="16"/>
          <w:lang w:eastAsia="en-AU"/>
        </w:rPr>
        <w:t>TPI</w:t>
      </w:r>
      <w:r w:rsidR="00A0007E" w:rsidRPr="00C94C33">
        <w:rPr>
          <w:rFonts w:eastAsia="Times New Roman"/>
          <w:kern w:val="16"/>
          <w:lang w:eastAsia="en-AU"/>
        </w:rPr>
        <w:t>)</w:t>
      </w:r>
      <w:r w:rsidRPr="00C94C33">
        <w:rPr>
          <w:rFonts w:eastAsia="Times New Roman"/>
          <w:kern w:val="16"/>
          <w:lang w:eastAsia="en-AU"/>
        </w:rPr>
        <w:t>) and the primary trifluridine metabolite (5-trifuoromethyluracil FTY</w:t>
      </w:r>
      <w:r w:rsidR="00A0007E" w:rsidRPr="00C94C33">
        <w:rPr>
          <w:rFonts w:eastAsia="Times New Roman"/>
          <w:kern w:val="16"/>
          <w:lang w:eastAsia="en-AU"/>
        </w:rPr>
        <w:t>)</w:t>
      </w:r>
      <w:r w:rsidRPr="00C94C33">
        <w:rPr>
          <w:rFonts w:eastAsia="Times New Roman"/>
          <w:kern w:val="16"/>
          <w:lang w:eastAsia="en-AU"/>
        </w:rPr>
        <w:t>) were compared following TAS-102 administered as a single-dose (35 mg/m</w:t>
      </w:r>
      <w:r w:rsidRPr="00C94C33">
        <w:rPr>
          <w:rFonts w:eastAsia="Times New Roman"/>
          <w:kern w:val="16"/>
          <w:vertAlign w:val="superscript"/>
          <w:lang w:eastAsia="en-AU"/>
        </w:rPr>
        <w:t>2</w:t>
      </w:r>
      <w:r w:rsidRPr="00C94C33">
        <w:rPr>
          <w:rFonts w:eastAsia="Times New Roman"/>
          <w:kern w:val="16"/>
          <w:lang w:eastAsia="en-AU"/>
        </w:rPr>
        <w:t>) and multiple-doses (35 mg/m</w:t>
      </w:r>
      <w:r w:rsidRPr="00C94C33">
        <w:rPr>
          <w:rFonts w:eastAsia="Times New Roman"/>
          <w:kern w:val="16"/>
          <w:vertAlign w:val="superscript"/>
          <w:lang w:eastAsia="en-AU"/>
        </w:rPr>
        <w:t>2</w:t>
      </w:r>
      <w:r w:rsidRPr="00C94C33">
        <w:rPr>
          <w:rFonts w:eastAsia="Times New Roman"/>
          <w:kern w:val="16"/>
          <w:lang w:eastAsia="en-AU"/>
        </w:rPr>
        <w:t xml:space="preserve"> BD) to patients from the USA with advanced solid tumours. The study also examined the effect of TPI on the bioavailability of FTD, which is discussed in the next section of this CER.</w:t>
      </w:r>
    </w:p>
    <w:p w14:paraId="4930B8D6" w14:textId="77777777" w:rsidR="00AA7141" w:rsidRDefault="00DF61BC" w:rsidP="00A17407">
      <w:pPr>
        <w:autoSpaceDE w:val="0"/>
        <w:autoSpaceDN w:val="0"/>
        <w:adjustRightInd w:val="0"/>
        <w:spacing w:before="0" w:line="240" w:lineRule="auto"/>
        <w:rPr>
          <w:rFonts w:eastAsia="Times New Roman"/>
          <w:lang w:eastAsia="en-AU"/>
        </w:rPr>
      </w:pPr>
      <w:r w:rsidRPr="00C94C33">
        <w:rPr>
          <w:rFonts w:eastAsia="Times New Roman"/>
          <w:lang w:eastAsia="en-AU"/>
        </w:rPr>
        <w:t>Of 44 enrolled patients, 22 were randomised to Group 1 (TAS-102 35 mg/m</w:t>
      </w:r>
      <w:r w:rsidRPr="00C94C33">
        <w:rPr>
          <w:rFonts w:eastAsia="Times New Roman"/>
          <w:vertAlign w:val="superscript"/>
          <w:lang w:eastAsia="en-AU"/>
        </w:rPr>
        <w:t>2</w:t>
      </w:r>
      <w:r w:rsidRPr="00C94C33">
        <w:rPr>
          <w:rFonts w:eastAsia="Times New Roman"/>
          <w:lang w:eastAsia="en-AU"/>
        </w:rPr>
        <w:t xml:space="preserve"> administered in the morning of Day 1, Cycle 1), and 22 were randomised to Group 2 (FTD 35 mg/m</w:t>
      </w:r>
      <w:r w:rsidRPr="00C94C33">
        <w:rPr>
          <w:rFonts w:eastAsia="Times New Roman"/>
          <w:vertAlign w:val="superscript"/>
          <w:lang w:eastAsia="en-AU"/>
        </w:rPr>
        <w:t>2</w:t>
      </w:r>
      <w:r w:rsidRPr="00C94C33">
        <w:rPr>
          <w:rFonts w:eastAsia="Times New Roman"/>
          <w:lang w:eastAsia="en-AU"/>
        </w:rPr>
        <w:t xml:space="preserve"> administered in the morning of Day 1, Cycle 1) in the PK Contribution part of the study. There were 38 patients with multiple-dose PK contributing data from at least 1 Cycle, and 7 patients with multiple-dose PK contributing data from 3 Cycles.</w:t>
      </w:r>
    </w:p>
    <w:p w14:paraId="5D327401" w14:textId="77777777" w:rsidR="00AA7141" w:rsidRDefault="00DF61BC" w:rsidP="00A17407">
      <w:pPr>
        <w:autoSpaceDE w:val="0"/>
        <w:autoSpaceDN w:val="0"/>
        <w:adjustRightInd w:val="0"/>
        <w:spacing w:before="0" w:line="240" w:lineRule="auto"/>
        <w:rPr>
          <w:rFonts w:eastAsia="Times New Roman"/>
          <w:lang w:eastAsia="en-AU"/>
        </w:rPr>
      </w:pPr>
      <w:r w:rsidRPr="00C94C33">
        <w:rPr>
          <w:rFonts w:eastAsia="Times New Roman"/>
          <w:kern w:val="16"/>
          <w:lang w:eastAsia="en-AU"/>
        </w:rPr>
        <w:t xml:space="preserve">In the PK Contribution part of the study (Day 1, Cycle 1), patients randomised to TAS-102 (Group 1) </w:t>
      </w:r>
      <w:r w:rsidRPr="00C94C33">
        <w:rPr>
          <w:rFonts w:eastAsia="Times New Roman"/>
          <w:lang w:eastAsia="en-AU"/>
        </w:rPr>
        <w:t>received a single oral dose of TAS-102 (35 mg/m</w:t>
      </w:r>
      <w:r w:rsidRPr="00C94C33">
        <w:rPr>
          <w:rFonts w:eastAsia="Times New Roman"/>
          <w:vertAlign w:val="superscript"/>
          <w:lang w:eastAsia="en-AU"/>
        </w:rPr>
        <w:t>2</w:t>
      </w:r>
      <w:r w:rsidRPr="00C94C33">
        <w:rPr>
          <w:rFonts w:eastAsia="Times New Roman"/>
          <w:lang w:eastAsia="en-AU"/>
        </w:rPr>
        <w:t>) within 30 minutes of the completion of a standardised high-fat, high-calorie breakfast following an overnight fast of at least 8 hours. Blood samples were collected from all patients on Day 1 pre-dose and then post-dose at 15 min, 30 min, 1 h, 1 h 30 min, 2, 3, 4, 6, 8, 10 and 12 h.</w:t>
      </w:r>
    </w:p>
    <w:p w14:paraId="374AB7FA" w14:textId="6D2FC8AD" w:rsidR="00A17407" w:rsidRPr="00C94C33" w:rsidRDefault="00DF61BC" w:rsidP="005C2FCA">
      <w:pPr>
        <w:autoSpaceDE w:val="0"/>
        <w:autoSpaceDN w:val="0"/>
        <w:adjustRightInd w:val="0"/>
        <w:spacing w:before="0" w:line="240" w:lineRule="auto"/>
        <w:rPr>
          <w:rFonts w:cstheme="minorBidi"/>
          <w:b/>
        </w:rPr>
      </w:pPr>
      <w:r w:rsidRPr="00C94C33">
        <w:rPr>
          <w:rFonts w:eastAsia="Times New Roman"/>
          <w:lang w:eastAsia="en-AU"/>
        </w:rPr>
        <w:t>In the Extension part of the study, all patients received TAS-102 35 mg/m</w:t>
      </w:r>
      <w:r w:rsidRPr="00C94C33">
        <w:rPr>
          <w:rFonts w:eastAsia="Times New Roman"/>
          <w:vertAlign w:val="superscript"/>
          <w:lang w:eastAsia="en-AU"/>
        </w:rPr>
        <w:t>2</w:t>
      </w:r>
      <w:r w:rsidRPr="00C94C33">
        <w:rPr>
          <w:rFonts w:eastAsia="Times New Roman"/>
          <w:lang w:eastAsia="en-AU"/>
        </w:rPr>
        <w:t xml:space="preserve"> BD on Days 1 through 5 and Days 8 through 12 of each 28</w:t>
      </w:r>
      <w:r w:rsidR="009C0389" w:rsidRPr="00C94C33">
        <w:rPr>
          <w:rFonts w:eastAsia="Times New Roman"/>
          <w:lang w:eastAsia="en-AU"/>
        </w:rPr>
        <w:t xml:space="preserve"> day</w:t>
      </w:r>
      <w:r w:rsidRPr="00C94C33">
        <w:rPr>
          <w:rFonts w:eastAsia="Times New Roman"/>
          <w:lang w:eastAsia="en-AU"/>
        </w:rPr>
        <w:t xml:space="preserve"> cycle. Patients were instructed to take study medication within 1 hour of completion of their morning and evening meal. Blood samples were collected on Day 12 of Cycles 2 and 3 pre-dose (AM), and then post-dose at 30 min, 1, 2, 4, 8, and 12 h. If a patient required a TAS-102 dose reduction then collection of subsequent Day 12 PK blood samples was not required. During the Extension part, patients received TAS-102 treatment until any of the pre-specified treatment discontinuation criteria were met. </w:t>
      </w:r>
      <w:r w:rsidRPr="00C94C33">
        <w:rPr>
          <w:rFonts w:eastAsia="Times New Roman"/>
          <w:kern w:val="16"/>
          <w:lang w:eastAsia="en-AU"/>
        </w:rPr>
        <w:t>The results for the single-dose and multiple-dose PK are summarised below</w:t>
      </w:r>
      <w:r w:rsidR="009C0389" w:rsidRPr="00C94C33">
        <w:rPr>
          <w:rFonts w:eastAsia="Times New Roman"/>
          <w:kern w:val="16"/>
          <w:lang w:eastAsia="en-AU"/>
        </w:rPr>
        <w:t>.</w:t>
      </w:r>
      <w:bookmarkStart w:id="82" w:name="_Toc470948657"/>
    </w:p>
    <w:p w14:paraId="4880D0AE" w14:textId="3C8F68E7" w:rsidR="00DF61BC" w:rsidRPr="00C94C33" w:rsidRDefault="00DF61BC" w:rsidP="009C0389">
      <w:pPr>
        <w:pStyle w:val="Tabletitle"/>
      </w:pPr>
      <w:r w:rsidRPr="00C94C33">
        <w:t xml:space="preserve">Table </w:t>
      </w:r>
      <w:r w:rsidR="00A17407" w:rsidRPr="00C94C33">
        <w:t xml:space="preserve">8: </w:t>
      </w:r>
      <w:r w:rsidRPr="00C94C33">
        <w:t>Study TPU-TAS-102-102</w:t>
      </w:r>
      <w:r w:rsidR="00A509B7" w:rsidRPr="00C94C33">
        <w:t>;</w:t>
      </w:r>
      <w:r w:rsidRPr="00C94C33">
        <w:t xml:space="preserve"> Single- and multiple-dose PK of TAS-102 (FTD, TPI) and FTY (primary metabolite of FTD)</w:t>
      </w:r>
      <w:bookmarkEnd w:id="82"/>
    </w:p>
    <w:p w14:paraId="10D27B68" w14:textId="77777777" w:rsidR="00DF61BC" w:rsidRPr="00C94C33" w:rsidRDefault="00DF61BC" w:rsidP="005C2FCA">
      <w:pPr>
        <w:keepNext/>
        <w:kinsoku w:val="0"/>
        <w:overflowPunct w:val="0"/>
        <w:autoSpaceDE w:val="0"/>
        <w:autoSpaceDN w:val="0"/>
        <w:adjustRightInd w:val="0"/>
        <w:spacing w:before="5" w:after="0" w:line="240" w:lineRule="auto"/>
        <w:rPr>
          <w:rFonts w:ascii="Times New Roman" w:eastAsia="Times New Roman" w:hAnsi="Times New Roman"/>
          <w:sz w:val="3"/>
          <w:szCs w:val="3"/>
          <w:lang w:eastAsia="en-AU"/>
        </w:rPr>
      </w:pPr>
    </w:p>
    <w:tbl>
      <w:tblPr>
        <w:tblW w:w="9468" w:type="dxa"/>
        <w:tblInd w:w="112" w:type="dxa"/>
        <w:tblLayout w:type="fixed"/>
        <w:tblCellMar>
          <w:left w:w="0" w:type="dxa"/>
          <w:right w:w="0" w:type="dxa"/>
        </w:tblCellMar>
        <w:tblLook w:val="0000" w:firstRow="0" w:lastRow="0" w:firstColumn="0" w:lastColumn="0" w:noHBand="0" w:noVBand="0"/>
      </w:tblPr>
      <w:tblGrid>
        <w:gridCol w:w="1456"/>
        <w:gridCol w:w="425"/>
        <w:gridCol w:w="1377"/>
        <w:gridCol w:w="540"/>
        <w:gridCol w:w="1530"/>
        <w:gridCol w:w="540"/>
        <w:gridCol w:w="1530"/>
        <w:gridCol w:w="450"/>
        <w:gridCol w:w="1620"/>
      </w:tblGrid>
      <w:tr w:rsidR="00DF61BC" w:rsidRPr="00C94C33" w14:paraId="0561EFFE" w14:textId="77777777" w:rsidTr="00C705AB">
        <w:trPr>
          <w:trHeight w:val="20"/>
          <w:tblHeader/>
        </w:trPr>
        <w:tc>
          <w:tcPr>
            <w:tcW w:w="1456" w:type="dxa"/>
            <w:vMerge w:val="restart"/>
            <w:tcBorders>
              <w:top w:val="single" w:sz="7" w:space="0" w:color="000000"/>
              <w:left w:val="single" w:sz="6" w:space="0" w:color="000000"/>
              <w:bottom w:val="single" w:sz="7" w:space="0" w:color="000000"/>
              <w:right w:val="single" w:sz="6" w:space="0" w:color="000000"/>
            </w:tcBorders>
            <w:shd w:val="clear" w:color="auto" w:fill="auto"/>
          </w:tcPr>
          <w:p w14:paraId="05113B7D" w14:textId="77777777" w:rsidR="00DF61BC" w:rsidRPr="00C94C33" w:rsidRDefault="00DF61BC" w:rsidP="00C705AB">
            <w:pPr>
              <w:pStyle w:val="TableHeading"/>
              <w:jc w:val="center"/>
              <w:rPr>
                <w:lang w:eastAsia="en-AU"/>
              </w:rPr>
            </w:pPr>
            <w:r w:rsidRPr="00C94C33">
              <w:rPr>
                <w:lang w:eastAsia="en-AU"/>
              </w:rPr>
              <w:t>Analyte</w:t>
            </w:r>
            <w:r w:rsidR="005F6338" w:rsidRPr="00C94C33">
              <w:rPr>
                <w:spacing w:val="24"/>
                <w:lang w:eastAsia="en-AU"/>
              </w:rPr>
              <w:t xml:space="preserve"> </w:t>
            </w:r>
            <w:r w:rsidRPr="00C94C33">
              <w:rPr>
                <w:lang w:eastAsia="en-AU"/>
              </w:rPr>
              <w:t>Parameter</w:t>
            </w:r>
          </w:p>
        </w:tc>
        <w:tc>
          <w:tcPr>
            <w:tcW w:w="1802" w:type="dxa"/>
            <w:gridSpan w:val="2"/>
            <w:tcBorders>
              <w:top w:val="single" w:sz="7" w:space="0" w:color="000000"/>
              <w:left w:val="single" w:sz="6" w:space="0" w:color="000000"/>
              <w:bottom w:val="single" w:sz="7" w:space="0" w:color="000000"/>
              <w:right w:val="single" w:sz="6" w:space="0" w:color="000000"/>
            </w:tcBorders>
            <w:shd w:val="clear" w:color="auto" w:fill="auto"/>
          </w:tcPr>
          <w:p w14:paraId="0123F079" w14:textId="64B8412E" w:rsidR="00DF61BC" w:rsidRPr="00C94C33" w:rsidRDefault="00DF61BC" w:rsidP="00C705AB">
            <w:pPr>
              <w:pStyle w:val="TableHeading"/>
              <w:jc w:val="center"/>
              <w:rPr>
                <w:lang w:eastAsia="en-AU"/>
              </w:rPr>
            </w:pPr>
            <w:r w:rsidRPr="00C94C33">
              <w:rPr>
                <w:lang w:eastAsia="en-AU"/>
              </w:rPr>
              <w:t>Single-dose</w:t>
            </w:r>
            <w:r w:rsidRPr="00C94C33">
              <w:rPr>
                <w:spacing w:val="1"/>
                <w:lang w:eastAsia="en-AU"/>
              </w:rPr>
              <w:t xml:space="preserve"> </w:t>
            </w:r>
            <w:r w:rsidRPr="00C94C33">
              <w:rPr>
                <w:lang w:eastAsia="en-AU"/>
              </w:rPr>
              <w:t>PK</w:t>
            </w:r>
            <w:r w:rsidRPr="00C94C33">
              <w:rPr>
                <w:spacing w:val="23"/>
                <w:lang w:eastAsia="en-AU"/>
              </w:rPr>
              <w:t xml:space="preserve"> </w:t>
            </w:r>
            <w:r w:rsidRPr="00C94C33">
              <w:rPr>
                <w:lang w:eastAsia="en-AU"/>
              </w:rPr>
              <w:t>(</w:t>
            </w:r>
            <w:r w:rsidR="009C0389" w:rsidRPr="00C94C33">
              <w:rPr>
                <w:lang w:eastAsia="en-AU"/>
              </w:rPr>
              <w:t>N = </w:t>
            </w:r>
            <w:r w:rsidRPr="00C94C33">
              <w:rPr>
                <w:lang w:eastAsia="en-AU"/>
              </w:rPr>
              <w:t>19)</w:t>
            </w:r>
          </w:p>
        </w:tc>
        <w:tc>
          <w:tcPr>
            <w:tcW w:w="6210" w:type="dxa"/>
            <w:gridSpan w:val="6"/>
            <w:tcBorders>
              <w:top w:val="single" w:sz="7" w:space="0" w:color="000000"/>
              <w:left w:val="single" w:sz="6" w:space="0" w:color="000000"/>
              <w:bottom w:val="single" w:sz="7" w:space="0" w:color="000000"/>
              <w:right w:val="single" w:sz="6" w:space="0" w:color="000000"/>
            </w:tcBorders>
            <w:shd w:val="clear" w:color="auto" w:fill="auto"/>
          </w:tcPr>
          <w:p w14:paraId="5ACCFF10" w14:textId="0BA964B2" w:rsidR="00DF61BC" w:rsidRPr="00C94C33" w:rsidRDefault="00DF61BC" w:rsidP="00C705AB">
            <w:pPr>
              <w:pStyle w:val="TableHeading"/>
              <w:jc w:val="center"/>
              <w:rPr>
                <w:lang w:eastAsia="en-AU"/>
              </w:rPr>
            </w:pPr>
            <w:r w:rsidRPr="00C94C33">
              <w:rPr>
                <w:lang w:eastAsia="en-AU"/>
              </w:rPr>
              <w:t>Multiple-dose PK (At Least 1 Cycle)</w:t>
            </w:r>
            <w:r w:rsidRPr="00C94C33">
              <w:rPr>
                <w:spacing w:val="25"/>
                <w:lang w:eastAsia="en-AU"/>
              </w:rPr>
              <w:t xml:space="preserve"> </w:t>
            </w:r>
            <w:r w:rsidRPr="00C94C33">
              <w:rPr>
                <w:lang w:eastAsia="en-AU"/>
              </w:rPr>
              <w:t>(</w:t>
            </w:r>
            <w:r w:rsidR="009C0389" w:rsidRPr="00C94C33">
              <w:rPr>
                <w:lang w:eastAsia="en-AU"/>
              </w:rPr>
              <w:t xml:space="preserve">N = </w:t>
            </w:r>
            <w:r w:rsidRPr="00C94C33">
              <w:rPr>
                <w:lang w:eastAsia="en-AU"/>
              </w:rPr>
              <w:t>38)</w:t>
            </w:r>
          </w:p>
        </w:tc>
      </w:tr>
      <w:tr w:rsidR="00DF61BC" w:rsidRPr="00C94C33" w14:paraId="68D872BB" w14:textId="77777777" w:rsidTr="00C705AB">
        <w:trPr>
          <w:trHeight w:val="20"/>
          <w:tblHeader/>
        </w:trPr>
        <w:tc>
          <w:tcPr>
            <w:tcW w:w="1456" w:type="dxa"/>
            <w:vMerge/>
            <w:tcBorders>
              <w:top w:val="single" w:sz="7" w:space="0" w:color="000000"/>
              <w:left w:val="single" w:sz="6" w:space="0" w:color="000000"/>
              <w:bottom w:val="single" w:sz="7" w:space="0" w:color="000000"/>
              <w:right w:val="single" w:sz="6" w:space="0" w:color="000000"/>
            </w:tcBorders>
            <w:shd w:val="clear" w:color="auto" w:fill="auto"/>
          </w:tcPr>
          <w:p w14:paraId="1940A6C9" w14:textId="77777777" w:rsidR="00DF61BC" w:rsidRPr="00C94C33" w:rsidRDefault="00DF61BC" w:rsidP="00C705AB">
            <w:pPr>
              <w:pStyle w:val="TableHeading"/>
              <w:jc w:val="center"/>
              <w:rPr>
                <w:lang w:eastAsia="en-AU"/>
              </w:rPr>
            </w:pPr>
          </w:p>
        </w:tc>
        <w:tc>
          <w:tcPr>
            <w:tcW w:w="1802" w:type="dxa"/>
            <w:gridSpan w:val="2"/>
            <w:tcBorders>
              <w:top w:val="single" w:sz="7" w:space="0" w:color="000000"/>
              <w:left w:val="single" w:sz="6" w:space="0" w:color="000000"/>
              <w:bottom w:val="single" w:sz="7" w:space="0" w:color="000000"/>
              <w:right w:val="single" w:sz="6" w:space="0" w:color="000000"/>
            </w:tcBorders>
            <w:shd w:val="clear" w:color="auto" w:fill="auto"/>
          </w:tcPr>
          <w:p w14:paraId="604B39BF" w14:textId="77777777" w:rsidR="00DF61BC" w:rsidRPr="00C94C33" w:rsidRDefault="00DF61BC" w:rsidP="00C705AB">
            <w:pPr>
              <w:pStyle w:val="TableHeading"/>
              <w:jc w:val="center"/>
              <w:rPr>
                <w:lang w:eastAsia="en-AU"/>
              </w:rPr>
            </w:pPr>
            <w:r w:rsidRPr="00C94C33">
              <w:rPr>
                <w:lang w:eastAsia="en-AU"/>
              </w:rPr>
              <w:t>Cycle 1,</w:t>
            </w:r>
            <w:r w:rsidRPr="00C94C33">
              <w:rPr>
                <w:spacing w:val="1"/>
                <w:lang w:eastAsia="en-AU"/>
              </w:rPr>
              <w:t xml:space="preserve"> </w:t>
            </w:r>
            <w:r w:rsidRPr="00C94C33">
              <w:rPr>
                <w:lang w:eastAsia="en-AU"/>
              </w:rPr>
              <w:t>Day 1</w:t>
            </w:r>
          </w:p>
        </w:tc>
        <w:tc>
          <w:tcPr>
            <w:tcW w:w="2070" w:type="dxa"/>
            <w:gridSpan w:val="2"/>
            <w:tcBorders>
              <w:top w:val="single" w:sz="7" w:space="0" w:color="000000"/>
              <w:left w:val="single" w:sz="6" w:space="0" w:color="000000"/>
              <w:bottom w:val="single" w:sz="7" w:space="0" w:color="000000"/>
              <w:right w:val="single" w:sz="6" w:space="0" w:color="000000"/>
            </w:tcBorders>
            <w:shd w:val="clear" w:color="auto" w:fill="auto"/>
          </w:tcPr>
          <w:p w14:paraId="40F32E3A" w14:textId="77777777" w:rsidR="00DF61BC" w:rsidRPr="00C94C33" w:rsidRDefault="00DF61BC" w:rsidP="00C705AB">
            <w:pPr>
              <w:pStyle w:val="TableHeading"/>
              <w:jc w:val="center"/>
              <w:rPr>
                <w:lang w:eastAsia="en-AU"/>
              </w:rPr>
            </w:pPr>
            <w:r w:rsidRPr="00C94C33">
              <w:rPr>
                <w:lang w:eastAsia="en-AU"/>
              </w:rPr>
              <w:t>Cycle 1,</w:t>
            </w:r>
            <w:r w:rsidRPr="00C94C33">
              <w:rPr>
                <w:spacing w:val="1"/>
                <w:lang w:eastAsia="en-AU"/>
              </w:rPr>
              <w:t xml:space="preserve"> </w:t>
            </w:r>
            <w:r w:rsidRPr="00C94C33">
              <w:rPr>
                <w:lang w:eastAsia="en-AU"/>
              </w:rPr>
              <w:t>Day 12</w:t>
            </w:r>
          </w:p>
        </w:tc>
        <w:tc>
          <w:tcPr>
            <w:tcW w:w="2070" w:type="dxa"/>
            <w:gridSpan w:val="2"/>
            <w:tcBorders>
              <w:top w:val="single" w:sz="7" w:space="0" w:color="000000"/>
              <w:left w:val="single" w:sz="6" w:space="0" w:color="000000"/>
              <w:bottom w:val="single" w:sz="7" w:space="0" w:color="000000"/>
              <w:right w:val="single" w:sz="6" w:space="0" w:color="000000"/>
            </w:tcBorders>
            <w:shd w:val="clear" w:color="auto" w:fill="auto"/>
          </w:tcPr>
          <w:p w14:paraId="4C4138BE" w14:textId="77777777" w:rsidR="00DF61BC" w:rsidRPr="00C94C33" w:rsidRDefault="00DF61BC" w:rsidP="00C705AB">
            <w:pPr>
              <w:pStyle w:val="TableHeading"/>
              <w:jc w:val="center"/>
              <w:rPr>
                <w:lang w:eastAsia="en-AU"/>
              </w:rPr>
            </w:pPr>
            <w:r w:rsidRPr="00C94C33">
              <w:rPr>
                <w:lang w:eastAsia="en-AU"/>
              </w:rPr>
              <w:t>Cycle 2,</w:t>
            </w:r>
            <w:r w:rsidRPr="00C94C33">
              <w:rPr>
                <w:spacing w:val="1"/>
                <w:lang w:eastAsia="en-AU"/>
              </w:rPr>
              <w:t xml:space="preserve"> </w:t>
            </w:r>
            <w:r w:rsidRPr="00C94C33">
              <w:rPr>
                <w:lang w:eastAsia="en-AU"/>
              </w:rPr>
              <w:t>Day 12</w:t>
            </w:r>
          </w:p>
        </w:tc>
        <w:tc>
          <w:tcPr>
            <w:tcW w:w="2070" w:type="dxa"/>
            <w:gridSpan w:val="2"/>
            <w:tcBorders>
              <w:top w:val="single" w:sz="7" w:space="0" w:color="000000"/>
              <w:left w:val="single" w:sz="6" w:space="0" w:color="000000"/>
              <w:bottom w:val="single" w:sz="7" w:space="0" w:color="000000"/>
              <w:right w:val="single" w:sz="6" w:space="0" w:color="000000"/>
            </w:tcBorders>
            <w:shd w:val="clear" w:color="auto" w:fill="auto"/>
          </w:tcPr>
          <w:p w14:paraId="7D2AAA69" w14:textId="77777777" w:rsidR="00DF61BC" w:rsidRPr="00C94C33" w:rsidRDefault="00DF61BC" w:rsidP="00C705AB">
            <w:pPr>
              <w:pStyle w:val="TableHeading"/>
              <w:jc w:val="center"/>
              <w:rPr>
                <w:lang w:eastAsia="en-AU"/>
              </w:rPr>
            </w:pPr>
            <w:r w:rsidRPr="00C94C33">
              <w:rPr>
                <w:lang w:eastAsia="en-AU"/>
              </w:rPr>
              <w:t>Cycle 3,</w:t>
            </w:r>
            <w:r w:rsidRPr="00C94C33">
              <w:rPr>
                <w:spacing w:val="1"/>
                <w:lang w:eastAsia="en-AU"/>
              </w:rPr>
              <w:t xml:space="preserve"> </w:t>
            </w:r>
            <w:r w:rsidRPr="00C94C33">
              <w:rPr>
                <w:lang w:eastAsia="en-AU"/>
              </w:rPr>
              <w:t>Day 12</w:t>
            </w:r>
          </w:p>
        </w:tc>
      </w:tr>
      <w:tr w:rsidR="00DF61BC" w:rsidRPr="00C94C33" w14:paraId="538874A1" w14:textId="77777777" w:rsidTr="00C705AB">
        <w:trPr>
          <w:trHeight w:val="20"/>
          <w:tblHeader/>
        </w:trPr>
        <w:tc>
          <w:tcPr>
            <w:tcW w:w="1456" w:type="dxa"/>
            <w:vMerge/>
            <w:tcBorders>
              <w:top w:val="single" w:sz="7" w:space="0" w:color="000000"/>
              <w:left w:val="single" w:sz="6" w:space="0" w:color="000000"/>
              <w:bottom w:val="single" w:sz="7" w:space="0" w:color="000000"/>
              <w:right w:val="single" w:sz="6" w:space="0" w:color="000000"/>
            </w:tcBorders>
            <w:shd w:val="clear" w:color="auto" w:fill="A7DDFF" w:themeFill="text2" w:themeFillTint="33"/>
          </w:tcPr>
          <w:p w14:paraId="52B6620C" w14:textId="77777777" w:rsidR="00DF61BC" w:rsidRPr="00C94C33" w:rsidRDefault="00DF61BC" w:rsidP="00C705AB">
            <w:pPr>
              <w:pStyle w:val="TableHeading"/>
              <w:jc w:val="center"/>
              <w:rPr>
                <w:lang w:eastAsia="en-AU"/>
              </w:rPr>
            </w:pPr>
          </w:p>
        </w:tc>
        <w:tc>
          <w:tcPr>
            <w:tcW w:w="425" w:type="dxa"/>
            <w:tcBorders>
              <w:top w:val="single" w:sz="7" w:space="0" w:color="000000"/>
              <w:left w:val="single" w:sz="6" w:space="0" w:color="000000"/>
              <w:bottom w:val="single" w:sz="7" w:space="0" w:color="000000"/>
              <w:right w:val="single" w:sz="6" w:space="0" w:color="000000"/>
            </w:tcBorders>
            <w:shd w:val="clear" w:color="auto" w:fill="auto"/>
          </w:tcPr>
          <w:p w14:paraId="5543ABE9" w14:textId="77777777" w:rsidR="00DF61BC" w:rsidRPr="00C94C33" w:rsidRDefault="00DF61BC" w:rsidP="00C705AB">
            <w:pPr>
              <w:pStyle w:val="TableHeading"/>
              <w:jc w:val="center"/>
              <w:rPr>
                <w:lang w:eastAsia="en-AU"/>
              </w:rPr>
            </w:pPr>
            <w:r w:rsidRPr="00C94C33">
              <w:rPr>
                <w:lang w:eastAsia="en-AU"/>
              </w:rPr>
              <w:t>N</w:t>
            </w:r>
          </w:p>
        </w:tc>
        <w:tc>
          <w:tcPr>
            <w:tcW w:w="1377" w:type="dxa"/>
            <w:tcBorders>
              <w:top w:val="single" w:sz="7" w:space="0" w:color="000000"/>
              <w:left w:val="single" w:sz="6" w:space="0" w:color="000000"/>
              <w:bottom w:val="single" w:sz="7" w:space="0" w:color="000000"/>
              <w:right w:val="single" w:sz="6" w:space="0" w:color="000000"/>
            </w:tcBorders>
            <w:shd w:val="clear" w:color="auto" w:fill="auto"/>
          </w:tcPr>
          <w:p w14:paraId="2026DE2A" w14:textId="77777777" w:rsidR="00DF61BC" w:rsidRPr="00C94C33" w:rsidRDefault="00DF61BC" w:rsidP="00C705AB">
            <w:pPr>
              <w:pStyle w:val="TableHeading"/>
              <w:jc w:val="center"/>
              <w:rPr>
                <w:lang w:eastAsia="en-AU"/>
              </w:rPr>
            </w:pPr>
            <w:r w:rsidRPr="00C94C33">
              <w:rPr>
                <w:lang w:eastAsia="en-AU"/>
              </w:rPr>
              <w:t>Mean ± SD (%CV)</w:t>
            </w:r>
          </w:p>
        </w:tc>
        <w:tc>
          <w:tcPr>
            <w:tcW w:w="540" w:type="dxa"/>
            <w:tcBorders>
              <w:top w:val="single" w:sz="7" w:space="0" w:color="000000"/>
              <w:left w:val="single" w:sz="6" w:space="0" w:color="000000"/>
              <w:bottom w:val="single" w:sz="7" w:space="0" w:color="000000"/>
              <w:right w:val="single" w:sz="6" w:space="0" w:color="000000"/>
            </w:tcBorders>
            <w:shd w:val="clear" w:color="auto" w:fill="auto"/>
          </w:tcPr>
          <w:p w14:paraId="5A4C56FF" w14:textId="77777777" w:rsidR="00DF61BC" w:rsidRPr="00C94C33" w:rsidRDefault="00DF61BC" w:rsidP="00C705AB">
            <w:pPr>
              <w:pStyle w:val="TableHeading"/>
              <w:jc w:val="center"/>
              <w:rPr>
                <w:lang w:eastAsia="en-AU"/>
              </w:rPr>
            </w:pPr>
            <w:r w:rsidRPr="00C94C33">
              <w:rPr>
                <w:lang w:eastAsia="en-AU"/>
              </w:rPr>
              <w:t>N</w:t>
            </w:r>
          </w:p>
        </w:tc>
        <w:tc>
          <w:tcPr>
            <w:tcW w:w="1530" w:type="dxa"/>
            <w:tcBorders>
              <w:top w:val="single" w:sz="7" w:space="0" w:color="000000"/>
              <w:left w:val="single" w:sz="6" w:space="0" w:color="000000"/>
              <w:bottom w:val="single" w:sz="7" w:space="0" w:color="000000"/>
              <w:right w:val="single" w:sz="6" w:space="0" w:color="000000"/>
            </w:tcBorders>
            <w:shd w:val="clear" w:color="auto" w:fill="auto"/>
          </w:tcPr>
          <w:p w14:paraId="3DB24EA0" w14:textId="77777777" w:rsidR="00DF61BC" w:rsidRPr="00C94C33" w:rsidRDefault="00DF61BC" w:rsidP="00C705AB">
            <w:pPr>
              <w:pStyle w:val="TableHeading"/>
              <w:jc w:val="center"/>
              <w:rPr>
                <w:lang w:eastAsia="en-AU"/>
              </w:rPr>
            </w:pPr>
            <w:r w:rsidRPr="00C94C33">
              <w:rPr>
                <w:lang w:eastAsia="en-AU"/>
              </w:rPr>
              <w:t>Mean ± SD (%CV)</w:t>
            </w:r>
          </w:p>
        </w:tc>
        <w:tc>
          <w:tcPr>
            <w:tcW w:w="540" w:type="dxa"/>
            <w:tcBorders>
              <w:top w:val="single" w:sz="7" w:space="0" w:color="000000"/>
              <w:left w:val="single" w:sz="6" w:space="0" w:color="000000"/>
              <w:bottom w:val="single" w:sz="7" w:space="0" w:color="000000"/>
              <w:right w:val="single" w:sz="6" w:space="0" w:color="000000"/>
            </w:tcBorders>
            <w:shd w:val="clear" w:color="auto" w:fill="auto"/>
          </w:tcPr>
          <w:p w14:paraId="36571072" w14:textId="77777777" w:rsidR="00DF61BC" w:rsidRPr="00C94C33" w:rsidRDefault="00DF61BC" w:rsidP="00C705AB">
            <w:pPr>
              <w:pStyle w:val="TableHeading"/>
              <w:jc w:val="center"/>
              <w:rPr>
                <w:lang w:eastAsia="en-AU"/>
              </w:rPr>
            </w:pPr>
            <w:r w:rsidRPr="00C94C33">
              <w:rPr>
                <w:lang w:eastAsia="en-AU"/>
              </w:rPr>
              <w:t>N</w:t>
            </w:r>
          </w:p>
        </w:tc>
        <w:tc>
          <w:tcPr>
            <w:tcW w:w="1530" w:type="dxa"/>
            <w:tcBorders>
              <w:top w:val="single" w:sz="7" w:space="0" w:color="000000"/>
              <w:left w:val="single" w:sz="6" w:space="0" w:color="000000"/>
              <w:bottom w:val="single" w:sz="7" w:space="0" w:color="000000"/>
              <w:right w:val="single" w:sz="6" w:space="0" w:color="000000"/>
            </w:tcBorders>
            <w:shd w:val="clear" w:color="auto" w:fill="auto"/>
          </w:tcPr>
          <w:p w14:paraId="451EB477" w14:textId="77777777" w:rsidR="00DF61BC" w:rsidRPr="00C94C33" w:rsidRDefault="00DF61BC" w:rsidP="00C705AB">
            <w:pPr>
              <w:pStyle w:val="TableHeading"/>
              <w:jc w:val="center"/>
              <w:rPr>
                <w:lang w:eastAsia="en-AU"/>
              </w:rPr>
            </w:pPr>
            <w:r w:rsidRPr="00C94C33">
              <w:rPr>
                <w:lang w:eastAsia="en-AU"/>
              </w:rPr>
              <w:t>Mean ± SD (%CV)</w:t>
            </w:r>
          </w:p>
        </w:tc>
        <w:tc>
          <w:tcPr>
            <w:tcW w:w="450" w:type="dxa"/>
            <w:tcBorders>
              <w:top w:val="single" w:sz="7" w:space="0" w:color="000000"/>
              <w:left w:val="single" w:sz="6" w:space="0" w:color="000000"/>
              <w:bottom w:val="single" w:sz="7" w:space="0" w:color="000000"/>
              <w:right w:val="single" w:sz="6" w:space="0" w:color="000000"/>
            </w:tcBorders>
            <w:shd w:val="clear" w:color="auto" w:fill="auto"/>
          </w:tcPr>
          <w:p w14:paraId="3D0F23A7" w14:textId="77777777" w:rsidR="00DF61BC" w:rsidRPr="00C94C33" w:rsidRDefault="00DF61BC" w:rsidP="00C705AB">
            <w:pPr>
              <w:pStyle w:val="TableHeading"/>
              <w:jc w:val="center"/>
              <w:rPr>
                <w:lang w:eastAsia="en-AU"/>
              </w:rPr>
            </w:pPr>
            <w:r w:rsidRPr="00C94C33">
              <w:rPr>
                <w:lang w:eastAsia="en-AU"/>
              </w:rPr>
              <w:t>N</w:t>
            </w:r>
          </w:p>
        </w:tc>
        <w:tc>
          <w:tcPr>
            <w:tcW w:w="1620" w:type="dxa"/>
            <w:tcBorders>
              <w:top w:val="single" w:sz="7" w:space="0" w:color="000000"/>
              <w:left w:val="single" w:sz="6" w:space="0" w:color="000000"/>
              <w:bottom w:val="single" w:sz="7" w:space="0" w:color="000000"/>
              <w:right w:val="single" w:sz="6" w:space="0" w:color="000000"/>
            </w:tcBorders>
            <w:shd w:val="clear" w:color="auto" w:fill="auto"/>
          </w:tcPr>
          <w:p w14:paraId="08D7A2AD" w14:textId="77777777" w:rsidR="00DF61BC" w:rsidRPr="00C94C33" w:rsidRDefault="00DF61BC" w:rsidP="00C705AB">
            <w:pPr>
              <w:pStyle w:val="TableHeading"/>
              <w:jc w:val="center"/>
              <w:rPr>
                <w:lang w:eastAsia="en-AU"/>
              </w:rPr>
            </w:pPr>
            <w:r w:rsidRPr="00C94C33">
              <w:rPr>
                <w:lang w:eastAsia="en-AU"/>
              </w:rPr>
              <w:t>Mean ± SD (%CV)</w:t>
            </w:r>
          </w:p>
        </w:tc>
      </w:tr>
      <w:tr w:rsidR="00DF61BC" w:rsidRPr="00C94C33" w14:paraId="5E805E9D" w14:textId="77777777" w:rsidTr="00C705AB">
        <w:trPr>
          <w:trHeight w:hRule="exact" w:val="340"/>
        </w:trPr>
        <w:tc>
          <w:tcPr>
            <w:tcW w:w="1456" w:type="dxa"/>
            <w:tcBorders>
              <w:top w:val="single" w:sz="7" w:space="0" w:color="000000"/>
              <w:left w:val="single" w:sz="6" w:space="0" w:color="000000"/>
              <w:bottom w:val="single" w:sz="7" w:space="0" w:color="000000"/>
              <w:right w:val="single" w:sz="6" w:space="0" w:color="000000"/>
            </w:tcBorders>
            <w:shd w:val="clear" w:color="auto" w:fill="F2F2F2" w:themeFill="background1" w:themeFillShade="F2"/>
          </w:tcPr>
          <w:p w14:paraId="34EF1DA7" w14:textId="77777777" w:rsidR="00DF61BC" w:rsidRPr="00C94C33" w:rsidRDefault="00DF61BC" w:rsidP="00C705AB">
            <w:pPr>
              <w:pStyle w:val="TableHeading"/>
              <w:rPr>
                <w:lang w:eastAsia="en-AU"/>
              </w:rPr>
            </w:pPr>
            <w:r w:rsidRPr="00C94C33">
              <w:rPr>
                <w:lang w:eastAsia="en-AU"/>
              </w:rPr>
              <w:t>FTD</w:t>
            </w:r>
          </w:p>
        </w:tc>
        <w:tc>
          <w:tcPr>
            <w:tcW w:w="1802" w:type="dxa"/>
            <w:gridSpan w:val="2"/>
            <w:tcBorders>
              <w:top w:val="single" w:sz="7" w:space="0" w:color="000000"/>
              <w:left w:val="single" w:sz="6" w:space="0" w:color="000000"/>
              <w:bottom w:val="single" w:sz="7" w:space="0" w:color="000000"/>
              <w:right w:val="single" w:sz="6" w:space="0" w:color="000000"/>
            </w:tcBorders>
            <w:shd w:val="clear" w:color="auto" w:fill="auto"/>
          </w:tcPr>
          <w:p w14:paraId="54516F5A" w14:textId="77777777" w:rsidR="00DF61BC" w:rsidRPr="00C94C33" w:rsidRDefault="00DF61BC" w:rsidP="00C705AB">
            <w:pPr>
              <w:pStyle w:val="TableHeading"/>
              <w:rPr>
                <w:kern w:val="16"/>
                <w:lang w:eastAsia="en-AU"/>
              </w:rPr>
            </w:pPr>
          </w:p>
        </w:tc>
        <w:tc>
          <w:tcPr>
            <w:tcW w:w="2070" w:type="dxa"/>
            <w:gridSpan w:val="2"/>
            <w:tcBorders>
              <w:top w:val="single" w:sz="7" w:space="0" w:color="000000"/>
              <w:left w:val="single" w:sz="6" w:space="0" w:color="000000"/>
              <w:bottom w:val="single" w:sz="7" w:space="0" w:color="000000"/>
              <w:right w:val="single" w:sz="6" w:space="0" w:color="000000"/>
            </w:tcBorders>
            <w:shd w:val="clear" w:color="auto" w:fill="auto"/>
          </w:tcPr>
          <w:p w14:paraId="5329A7CF" w14:textId="77777777" w:rsidR="00DF61BC" w:rsidRPr="00C94C33" w:rsidRDefault="00DF61BC" w:rsidP="00C705AB">
            <w:pPr>
              <w:pStyle w:val="TableHeading"/>
              <w:rPr>
                <w:kern w:val="16"/>
                <w:lang w:eastAsia="en-AU"/>
              </w:rPr>
            </w:pPr>
          </w:p>
        </w:tc>
        <w:tc>
          <w:tcPr>
            <w:tcW w:w="2070" w:type="dxa"/>
            <w:gridSpan w:val="2"/>
            <w:tcBorders>
              <w:top w:val="single" w:sz="7" w:space="0" w:color="000000"/>
              <w:left w:val="single" w:sz="6" w:space="0" w:color="000000"/>
              <w:bottom w:val="single" w:sz="7" w:space="0" w:color="000000"/>
              <w:right w:val="single" w:sz="6" w:space="0" w:color="000000"/>
            </w:tcBorders>
            <w:shd w:val="clear" w:color="auto" w:fill="auto"/>
          </w:tcPr>
          <w:p w14:paraId="0017A16C" w14:textId="77777777" w:rsidR="00DF61BC" w:rsidRPr="00C94C33" w:rsidRDefault="00DF61BC" w:rsidP="00C705AB">
            <w:pPr>
              <w:pStyle w:val="TableHeading"/>
              <w:rPr>
                <w:kern w:val="16"/>
                <w:lang w:eastAsia="en-AU"/>
              </w:rPr>
            </w:pPr>
          </w:p>
        </w:tc>
        <w:tc>
          <w:tcPr>
            <w:tcW w:w="2070" w:type="dxa"/>
            <w:gridSpan w:val="2"/>
            <w:tcBorders>
              <w:top w:val="single" w:sz="7" w:space="0" w:color="000000"/>
              <w:left w:val="single" w:sz="6" w:space="0" w:color="000000"/>
              <w:bottom w:val="single" w:sz="7" w:space="0" w:color="000000"/>
              <w:right w:val="single" w:sz="6" w:space="0" w:color="000000"/>
            </w:tcBorders>
            <w:shd w:val="clear" w:color="auto" w:fill="auto"/>
          </w:tcPr>
          <w:p w14:paraId="25984AF5" w14:textId="77777777" w:rsidR="00DF61BC" w:rsidRPr="00C94C33" w:rsidRDefault="00DF61BC" w:rsidP="00C705AB">
            <w:pPr>
              <w:pStyle w:val="TableHeading"/>
              <w:rPr>
                <w:kern w:val="16"/>
                <w:lang w:eastAsia="en-AU"/>
              </w:rPr>
            </w:pPr>
          </w:p>
        </w:tc>
      </w:tr>
      <w:tr w:rsidR="00DF61BC" w:rsidRPr="00C94C33" w14:paraId="10D55961" w14:textId="77777777" w:rsidTr="00C705AB">
        <w:trPr>
          <w:trHeight w:val="20"/>
        </w:trPr>
        <w:tc>
          <w:tcPr>
            <w:tcW w:w="1456" w:type="dxa"/>
            <w:tcBorders>
              <w:top w:val="single" w:sz="7" w:space="0" w:color="000000"/>
              <w:left w:val="single" w:sz="6" w:space="0" w:color="000000"/>
              <w:bottom w:val="nil"/>
              <w:right w:val="single" w:sz="6" w:space="0" w:color="000000"/>
            </w:tcBorders>
          </w:tcPr>
          <w:p w14:paraId="7DBA8AB1" w14:textId="77777777" w:rsidR="00DF61BC" w:rsidRPr="00C94C33" w:rsidRDefault="00DF61BC" w:rsidP="00C705AB">
            <w:pPr>
              <w:pStyle w:val="Tabletext"/>
              <w:jc w:val="center"/>
              <w:rPr>
                <w:lang w:eastAsia="en-AU"/>
              </w:rPr>
            </w:pPr>
            <w:r w:rsidRPr="00C94C33">
              <w:rPr>
                <w:position w:val="3"/>
                <w:lang w:eastAsia="en-AU"/>
              </w:rPr>
              <w:t>AUC</w:t>
            </w:r>
            <w:r w:rsidRPr="00C94C33">
              <w:rPr>
                <w:lang w:eastAsia="en-AU"/>
              </w:rPr>
              <w:t>0-last</w:t>
            </w:r>
          </w:p>
        </w:tc>
        <w:tc>
          <w:tcPr>
            <w:tcW w:w="425" w:type="dxa"/>
            <w:vMerge w:val="restart"/>
            <w:tcBorders>
              <w:top w:val="single" w:sz="7" w:space="0" w:color="000000"/>
              <w:left w:val="single" w:sz="6" w:space="0" w:color="000000"/>
              <w:bottom w:val="single" w:sz="4" w:space="0" w:color="000000"/>
              <w:right w:val="single" w:sz="6" w:space="0" w:color="000000"/>
            </w:tcBorders>
          </w:tcPr>
          <w:p w14:paraId="7867AA73" w14:textId="77777777" w:rsidR="00DF61BC" w:rsidRPr="00C94C33" w:rsidRDefault="00DF61BC" w:rsidP="00C705AB">
            <w:pPr>
              <w:pStyle w:val="Tabletext"/>
              <w:jc w:val="center"/>
              <w:rPr>
                <w:lang w:eastAsia="en-AU"/>
              </w:rPr>
            </w:pPr>
            <w:r w:rsidRPr="00C94C33">
              <w:rPr>
                <w:lang w:eastAsia="en-AU"/>
              </w:rPr>
              <w:t>19</w:t>
            </w:r>
          </w:p>
        </w:tc>
        <w:tc>
          <w:tcPr>
            <w:tcW w:w="1377" w:type="dxa"/>
            <w:tcBorders>
              <w:top w:val="single" w:sz="7" w:space="0" w:color="000000"/>
              <w:left w:val="single" w:sz="6" w:space="0" w:color="000000"/>
              <w:bottom w:val="nil"/>
              <w:right w:val="single" w:sz="6" w:space="0" w:color="000000"/>
            </w:tcBorders>
          </w:tcPr>
          <w:p w14:paraId="3C02EB40" w14:textId="77777777" w:rsidR="00DF61BC" w:rsidRPr="00C94C33" w:rsidRDefault="00DF61BC" w:rsidP="00C705AB">
            <w:pPr>
              <w:pStyle w:val="Tabletext"/>
              <w:jc w:val="center"/>
              <w:rPr>
                <w:lang w:eastAsia="en-AU"/>
              </w:rPr>
            </w:pPr>
            <w:r w:rsidRPr="00C94C33">
              <w:rPr>
                <w:lang w:eastAsia="en-AU"/>
              </w:rPr>
              <w:t>7044.53 ±</w:t>
            </w:r>
          </w:p>
        </w:tc>
        <w:tc>
          <w:tcPr>
            <w:tcW w:w="540" w:type="dxa"/>
            <w:vMerge w:val="restart"/>
            <w:tcBorders>
              <w:top w:val="single" w:sz="7" w:space="0" w:color="000000"/>
              <w:left w:val="single" w:sz="6" w:space="0" w:color="000000"/>
              <w:bottom w:val="single" w:sz="4" w:space="0" w:color="000000"/>
              <w:right w:val="single" w:sz="6" w:space="0" w:color="000000"/>
            </w:tcBorders>
          </w:tcPr>
          <w:p w14:paraId="5707B843" w14:textId="77777777" w:rsidR="00DF61BC" w:rsidRPr="00C94C33" w:rsidRDefault="00DF61BC" w:rsidP="00C705AB">
            <w:pPr>
              <w:pStyle w:val="Tabletext"/>
              <w:jc w:val="center"/>
              <w:rPr>
                <w:lang w:eastAsia="en-AU"/>
              </w:rPr>
            </w:pPr>
            <w:r w:rsidRPr="00C94C33">
              <w:rPr>
                <w:lang w:eastAsia="en-AU"/>
              </w:rPr>
              <w:t>34</w:t>
            </w:r>
          </w:p>
        </w:tc>
        <w:tc>
          <w:tcPr>
            <w:tcW w:w="1530" w:type="dxa"/>
            <w:tcBorders>
              <w:top w:val="single" w:sz="7" w:space="0" w:color="000000"/>
              <w:left w:val="single" w:sz="6" w:space="0" w:color="000000"/>
              <w:bottom w:val="nil"/>
              <w:right w:val="single" w:sz="6" w:space="0" w:color="000000"/>
            </w:tcBorders>
          </w:tcPr>
          <w:p w14:paraId="5E34BD27" w14:textId="77777777" w:rsidR="00DF61BC" w:rsidRPr="00C94C33" w:rsidRDefault="00DF61BC" w:rsidP="00C705AB">
            <w:pPr>
              <w:pStyle w:val="Tabletext"/>
              <w:jc w:val="center"/>
              <w:rPr>
                <w:lang w:eastAsia="en-AU"/>
              </w:rPr>
            </w:pPr>
            <w:r w:rsidRPr="00C94C33">
              <w:rPr>
                <w:lang w:eastAsia="en-AU"/>
              </w:rPr>
              <w:t>23696.93 ±</w:t>
            </w:r>
          </w:p>
        </w:tc>
        <w:tc>
          <w:tcPr>
            <w:tcW w:w="540" w:type="dxa"/>
            <w:vMerge w:val="restart"/>
            <w:tcBorders>
              <w:top w:val="single" w:sz="7" w:space="0" w:color="000000"/>
              <w:left w:val="single" w:sz="6" w:space="0" w:color="000000"/>
              <w:bottom w:val="single" w:sz="4" w:space="0" w:color="000000"/>
              <w:right w:val="single" w:sz="6" w:space="0" w:color="000000"/>
            </w:tcBorders>
          </w:tcPr>
          <w:p w14:paraId="284960B4" w14:textId="77777777" w:rsidR="00DF61BC" w:rsidRPr="00C94C33" w:rsidRDefault="00DF61BC" w:rsidP="00C705AB">
            <w:pPr>
              <w:pStyle w:val="Tabletext"/>
              <w:jc w:val="center"/>
              <w:rPr>
                <w:lang w:eastAsia="en-AU"/>
              </w:rPr>
            </w:pPr>
            <w:r w:rsidRPr="00C94C33">
              <w:rPr>
                <w:lang w:eastAsia="en-AU"/>
              </w:rPr>
              <w:t>25</w:t>
            </w:r>
          </w:p>
        </w:tc>
        <w:tc>
          <w:tcPr>
            <w:tcW w:w="1530" w:type="dxa"/>
            <w:tcBorders>
              <w:top w:val="single" w:sz="7" w:space="0" w:color="000000"/>
              <w:left w:val="single" w:sz="6" w:space="0" w:color="000000"/>
              <w:bottom w:val="nil"/>
              <w:right w:val="single" w:sz="6" w:space="0" w:color="000000"/>
            </w:tcBorders>
          </w:tcPr>
          <w:p w14:paraId="220FA392" w14:textId="77777777" w:rsidR="00DF61BC" w:rsidRPr="00C94C33" w:rsidRDefault="00DF61BC" w:rsidP="00C705AB">
            <w:pPr>
              <w:pStyle w:val="Tabletext"/>
              <w:jc w:val="center"/>
              <w:rPr>
                <w:lang w:eastAsia="en-AU"/>
              </w:rPr>
            </w:pPr>
            <w:r w:rsidRPr="00C94C33">
              <w:rPr>
                <w:lang w:eastAsia="en-AU"/>
              </w:rPr>
              <w:t>25056.38 ±</w:t>
            </w:r>
          </w:p>
        </w:tc>
        <w:tc>
          <w:tcPr>
            <w:tcW w:w="450" w:type="dxa"/>
            <w:vMerge w:val="restart"/>
            <w:tcBorders>
              <w:top w:val="single" w:sz="7" w:space="0" w:color="000000"/>
              <w:left w:val="single" w:sz="6" w:space="0" w:color="000000"/>
              <w:bottom w:val="single" w:sz="4" w:space="0" w:color="000000"/>
              <w:right w:val="single" w:sz="6" w:space="0" w:color="000000"/>
            </w:tcBorders>
          </w:tcPr>
          <w:p w14:paraId="4D02EB22" w14:textId="77777777" w:rsidR="00DF61BC" w:rsidRPr="00C94C33" w:rsidRDefault="00DF61BC" w:rsidP="00C705AB">
            <w:pPr>
              <w:pStyle w:val="Tabletext"/>
              <w:jc w:val="center"/>
              <w:rPr>
                <w:lang w:eastAsia="en-AU"/>
              </w:rPr>
            </w:pPr>
            <w:r w:rsidRPr="00C94C33">
              <w:rPr>
                <w:lang w:eastAsia="en-AU"/>
              </w:rPr>
              <w:t>9</w:t>
            </w:r>
          </w:p>
        </w:tc>
        <w:tc>
          <w:tcPr>
            <w:tcW w:w="1620" w:type="dxa"/>
            <w:tcBorders>
              <w:top w:val="single" w:sz="7" w:space="0" w:color="000000"/>
              <w:left w:val="single" w:sz="6" w:space="0" w:color="000000"/>
              <w:bottom w:val="nil"/>
              <w:right w:val="single" w:sz="6" w:space="0" w:color="000000"/>
            </w:tcBorders>
          </w:tcPr>
          <w:p w14:paraId="0403620E" w14:textId="77777777" w:rsidR="00DF61BC" w:rsidRPr="00C94C33" w:rsidRDefault="00DF61BC" w:rsidP="00C705AB">
            <w:pPr>
              <w:pStyle w:val="Tabletext"/>
              <w:jc w:val="center"/>
              <w:rPr>
                <w:lang w:eastAsia="en-AU"/>
              </w:rPr>
            </w:pPr>
            <w:r w:rsidRPr="00C94C33">
              <w:rPr>
                <w:lang w:eastAsia="en-AU"/>
              </w:rPr>
              <w:t>26696.38 ±</w:t>
            </w:r>
          </w:p>
        </w:tc>
      </w:tr>
      <w:tr w:rsidR="00DF61BC" w:rsidRPr="00C94C33" w14:paraId="36B7DAF8" w14:textId="77777777" w:rsidTr="00C705AB">
        <w:trPr>
          <w:trHeight w:val="20"/>
        </w:trPr>
        <w:tc>
          <w:tcPr>
            <w:tcW w:w="1456" w:type="dxa"/>
            <w:tcBorders>
              <w:top w:val="nil"/>
              <w:left w:val="single" w:sz="6" w:space="0" w:color="000000"/>
              <w:bottom w:val="single" w:sz="4" w:space="0" w:color="000000"/>
              <w:right w:val="single" w:sz="6" w:space="0" w:color="000000"/>
            </w:tcBorders>
          </w:tcPr>
          <w:p w14:paraId="63D28ABE" w14:textId="77777777" w:rsidR="00DF61BC" w:rsidRPr="00C94C33" w:rsidRDefault="00DF61BC" w:rsidP="00C705AB">
            <w:pPr>
              <w:pStyle w:val="Tabletext"/>
              <w:jc w:val="center"/>
              <w:rPr>
                <w:lang w:eastAsia="en-AU"/>
              </w:rPr>
            </w:pPr>
            <w:r w:rsidRPr="00C94C33">
              <w:rPr>
                <w:lang w:eastAsia="en-AU"/>
              </w:rPr>
              <w:lastRenderedPageBreak/>
              <w:t>(ng*hr/mL)</w:t>
            </w:r>
          </w:p>
        </w:tc>
        <w:tc>
          <w:tcPr>
            <w:tcW w:w="425" w:type="dxa"/>
            <w:vMerge/>
            <w:tcBorders>
              <w:top w:val="single" w:sz="7" w:space="0" w:color="000000"/>
              <w:left w:val="single" w:sz="6" w:space="0" w:color="000000"/>
              <w:bottom w:val="single" w:sz="4" w:space="0" w:color="000000"/>
              <w:right w:val="single" w:sz="6" w:space="0" w:color="000000"/>
            </w:tcBorders>
          </w:tcPr>
          <w:p w14:paraId="1F21972F" w14:textId="77777777" w:rsidR="00DF61BC" w:rsidRPr="00C94C33" w:rsidRDefault="00DF61BC" w:rsidP="00C705AB">
            <w:pPr>
              <w:pStyle w:val="Tabletext"/>
              <w:jc w:val="center"/>
              <w:rPr>
                <w:lang w:eastAsia="en-AU"/>
              </w:rPr>
            </w:pPr>
          </w:p>
        </w:tc>
        <w:tc>
          <w:tcPr>
            <w:tcW w:w="1377" w:type="dxa"/>
            <w:tcBorders>
              <w:top w:val="nil"/>
              <w:left w:val="single" w:sz="6" w:space="0" w:color="000000"/>
              <w:bottom w:val="single" w:sz="4" w:space="0" w:color="000000"/>
              <w:right w:val="single" w:sz="6" w:space="0" w:color="000000"/>
            </w:tcBorders>
          </w:tcPr>
          <w:p w14:paraId="66B198B9" w14:textId="77777777" w:rsidR="00DF61BC" w:rsidRPr="00C94C33" w:rsidRDefault="00DF61BC" w:rsidP="00C705AB">
            <w:pPr>
              <w:pStyle w:val="Tabletext"/>
              <w:jc w:val="center"/>
              <w:rPr>
                <w:lang w:eastAsia="en-AU"/>
              </w:rPr>
            </w:pPr>
            <w:r w:rsidRPr="00C94C33">
              <w:rPr>
                <w:lang w:eastAsia="en-AU"/>
              </w:rPr>
              <w:t>2411.25 (34.23)</w:t>
            </w:r>
          </w:p>
        </w:tc>
        <w:tc>
          <w:tcPr>
            <w:tcW w:w="540" w:type="dxa"/>
            <w:vMerge/>
            <w:tcBorders>
              <w:top w:val="single" w:sz="7" w:space="0" w:color="000000"/>
              <w:left w:val="single" w:sz="6" w:space="0" w:color="000000"/>
              <w:bottom w:val="single" w:sz="4" w:space="0" w:color="000000"/>
              <w:right w:val="single" w:sz="6" w:space="0" w:color="000000"/>
            </w:tcBorders>
          </w:tcPr>
          <w:p w14:paraId="463CE951" w14:textId="77777777" w:rsidR="00DF61BC" w:rsidRPr="00C94C33" w:rsidRDefault="00DF61BC" w:rsidP="00C705AB">
            <w:pPr>
              <w:pStyle w:val="Tabletext"/>
              <w:jc w:val="center"/>
              <w:rPr>
                <w:lang w:eastAsia="en-AU"/>
              </w:rPr>
            </w:pPr>
          </w:p>
        </w:tc>
        <w:tc>
          <w:tcPr>
            <w:tcW w:w="1530" w:type="dxa"/>
            <w:tcBorders>
              <w:top w:val="nil"/>
              <w:left w:val="single" w:sz="6" w:space="0" w:color="000000"/>
              <w:bottom w:val="single" w:sz="4" w:space="0" w:color="000000"/>
              <w:right w:val="single" w:sz="6" w:space="0" w:color="000000"/>
            </w:tcBorders>
          </w:tcPr>
          <w:p w14:paraId="29CFA8C9" w14:textId="77777777" w:rsidR="00DF61BC" w:rsidRPr="00C94C33" w:rsidRDefault="00DF61BC" w:rsidP="00C705AB">
            <w:pPr>
              <w:pStyle w:val="Tabletext"/>
              <w:jc w:val="center"/>
              <w:rPr>
                <w:lang w:eastAsia="en-AU"/>
              </w:rPr>
            </w:pPr>
            <w:r w:rsidRPr="00C94C33">
              <w:rPr>
                <w:lang w:eastAsia="en-AU"/>
              </w:rPr>
              <w:t>7419.01 (31.31)</w:t>
            </w:r>
          </w:p>
        </w:tc>
        <w:tc>
          <w:tcPr>
            <w:tcW w:w="540" w:type="dxa"/>
            <w:vMerge/>
            <w:tcBorders>
              <w:top w:val="single" w:sz="7" w:space="0" w:color="000000"/>
              <w:left w:val="single" w:sz="6" w:space="0" w:color="000000"/>
              <w:bottom w:val="single" w:sz="4" w:space="0" w:color="000000"/>
              <w:right w:val="single" w:sz="6" w:space="0" w:color="000000"/>
            </w:tcBorders>
          </w:tcPr>
          <w:p w14:paraId="1E8AF120" w14:textId="77777777" w:rsidR="00DF61BC" w:rsidRPr="00C94C33" w:rsidRDefault="00DF61BC" w:rsidP="00C705AB">
            <w:pPr>
              <w:pStyle w:val="Tabletext"/>
              <w:jc w:val="center"/>
              <w:rPr>
                <w:lang w:eastAsia="en-AU"/>
              </w:rPr>
            </w:pPr>
          </w:p>
        </w:tc>
        <w:tc>
          <w:tcPr>
            <w:tcW w:w="1530" w:type="dxa"/>
            <w:tcBorders>
              <w:top w:val="nil"/>
              <w:left w:val="single" w:sz="6" w:space="0" w:color="000000"/>
              <w:bottom w:val="single" w:sz="4" w:space="0" w:color="000000"/>
              <w:right w:val="single" w:sz="6" w:space="0" w:color="000000"/>
            </w:tcBorders>
          </w:tcPr>
          <w:p w14:paraId="535124C0" w14:textId="77777777" w:rsidR="00DF61BC" w:rsidRPr="00C94C33" w:rsidRDefault="00DF61BC" w:rsidP="00C705AB">
            <w:pPr>
              <w:pStyle w:val="Tabletext"/>
              <w:jc w:val="center"/>
              <w:rPr>
                <w:lang w:eastAsia="en-AU"/>
              </w:rPr>
            </w:pPr>
            <w:r w:rsidRPr="00C94C33">
              <w:rPr>
                <w:lang w:eastAsia="en-AU"/>
              </w:rPr>
              <w:t>10585.99 (42.25)</w:t>
            </w:r>
          </w:p>
        </w:tc>
        <w:tc>
          <w:tcPr>
            <w:tcW w:w="450" w:type="dxa"/>
            <w:vMerge/>
            <w:tcBorders>
              <w:top w:val="single" w:sz="7" w:space="0" w:color="000000"/>
              <w:left w:val="single" w:sz="6" w:space="0" w:color="000000"/>
              <w:bottom w:val="single" w:sz="4" w:space="0" w:color="000000"/>
              <w:right w:val="single" w:sz="6" w:space="0" w:color="000000"/>
            </w:tcBorders>
          </w:tcPr>
          <w:p w14:paraId="6AFBC891" w14:textId="77777777" w:rsidR="00DF61BC" w:rsidRPr="00C94C33" w:rsidRDefault="00DF61BC" w:rsidP="00C705AB">
            <w:pPr>
              <w:pStyle w:val="Tabletext"/>
              <w:jc w:val="center"/>
              <w:rPr>
                <w:lang w:eastAsia="en-AU"/>
              </w:rPr>
            </w:pPr>
          </w:p>
        </w:tc>
        <w:tc>
          <w:tcPr>
            <w:tcW w:w="1620" w:type="dxa"/>
            <w:tcBorders>
              <w:top w:val="nil"/>
              <w:left w:val="single" w:sz="6" w:space="0" w:color="000000"/>
              <w:bottom w:val="single" w:sz="4" w:space="0" w:color="000000"/>
              <w:right w:val="single" w:sz="6" w:space="0" w:color="000000"/>
            </w:tcBorders>
          </w:tcPr>
          <w:p w14:paraId="584A5551" w14:textId="77777777" w:rsidR="00DF61BC" w:rsidRPr="00C94C33" w:rsidRDefault="00DF61BC" w:rsidP="00C705AB">
            <w:pPr>
              <w:pStyle w:val="Tabletext"/>
              <w:jc w:val="center"/>
              <w:rPr>
                <w:lang w:eastAsia="en-AU"/>
              </w:rPr>
            </w:pPr>
            <w:r w:rsidRPr="00C94C33">
              <w:rPr>
                <w:lang w:eastAsia="en-AU"/>
              </w:rPr>
              <w:t>9218.56 (34.53)</w:t>
            </w:r>
          </w:p>
        </w:tc>
      </w:tr>
      <w:tr w:rsidR="00DF61BC" w:rsidRPr="00C94C33" w14:paraId="3E22B366" w14:textId="77777777" w:rsidTr="00C705AB">
        <w:trPr>
          <w:trHeight w:val="20"/>
        </w:trPr>
        <w:tc>
          <w:tcPr>
            <w:tcW w:w="1456" w:type="dxa"/>
            <w:vMerge w:val="restart"/>
            <w:tcBorders>
              <w:top w:val="single" w:sz="4" w:space="0" w:color="000000"/>
              <w:left w:val="single" w:sz="6" w:space="0" w:color="000000"/>
              <w:bottom w:val="single" w:sz="4" w:space="0" w:color="000000"/>
              <w:right w:val="single" w:sz="6" w:space="0" w:color="000000"/>
            </w:tcBorders>
          </w:tcPr>
          <w:p w14:paraId="46582E11" w14:textId="77777777" w:rsidR="00DF61BC" w:rsidRPr="00C94C33" w:rsidRDefault="00DF61BC" w:rsidP="00C705AB">
            <w:pPr>
              <w:pStyle w:val="Tabletext"/>
              <w:jc w:val="center"/>
              <w:rPr>
                <w:lang w:eastAsia="en-AU"/>
              </w:rPr>
            </w:pPr>
            <w:r w:rsidRPr="00C94C33">
              <w:rPr>
                <w:lang w:eastAsia="en-AU"/>
              </w:rPr>
              <w:t>C</w:t>
            </w:r>
            <w:r w:rsidRPr="00C94C33">
              <w:rPr>
                <w:position w:val="-3"/>
                <w:lang w:eastAsia="en-AU"/>
              </w:rPr>
              <w:t>max</w:t>
            </w:r>
            <w:r w:rsidRPr="00C94C33">
              <w:rPr>
                <w:spacing w:val="16"/>
                <w:position w:val="-3"/>
                <w:lang w:eastAsia="en-AU"/>
              </w:rPr>
              <w:t xml:space="preserve"> </w:t>
            </w:r>
            <w:r w:rsidRPr="00C94C33">
              <w:rPr>
                <w:lang w:eastAsia="en-AU"/>
              </w:rPr>
              <w:t>(ng/mL)</w:t>
            </w:r>
          </w:p>
        </w:tc>
        <w:tc>
          <w:tcPr>
            <w:tcW w:w="425" w:type="dxa"/>
            <w:vMerge w:val="restart"/>
            <w:tcBorders>
              <w:top w:val="single" w:sz="4" w:space="0" w:color="000000"/>
              <w:left w:val="single" w:sz="6" w:space="0" w:color="000000"/>
              <w:bottom w:val="single" w:sz="4" w:space="0" w:color="000000"/>
              <w:right w:val="single" w:sz="6" w:space="0" w:color="000000"/>
            </w:tcBorders>
          </w:tcPr>
          <w:p w14:paraId="3FEC1113" w14:textId="77777777" w:rsidR="00DF61BC" w:rsidRPr="00C94C33" w:rsidRDefault="00DF61BC" w:rsidP="00C705AB">
            <w:pPr>
              <w:pStyle w:val="Tabletext"/>
              <w:jc w:val="center"/>
              <w:rPr>
                <w:lang w:eastAsia="en-AU"/>
              </w:rPr>
            </w:pPr>
            <w:r w:rsidRPr="00C94C33">
              <w:rPr>
                <w:lang w:eastAsia="en-AU"/>
              </w:rPr>
              <w:t>19</w:t>
            </w:r>
          </w:p>
        </w:tc>
        <w:tc>
          <w:tcPr>
            <w:tcW w:w="1377" w:type="dxa"/>
            <w:tcBorders>
              <w:top w:val="single" w:sz="4" w:space="0" w:color="000000"/>
              <w:left w:val="single" w:sz="6" w:space="0" w:color="000000"/>
              <w:bottom w:val="nil"/>
              <w:right w:val="single" w:sz="6" w:space="0" w:color="000000"/>
            </w:tcBorders>
          </w:tcPr>
          <w:p w14:paraId="5E57EA01" w14:textId="77777777" w:rsidR="00DF61BC" w:rsidRPr="00C94C33" w:rsidRDefault="00DF61BC" w:rsidP="00C705AB">
            <w:pPr>
              <w:pStyle w:val="Tabletext"/>
              <w:jc w:val="center"/>
              <w:rPr>
                <w:lang w:eastAsia="en-AU"/>
              </w:rPr>
            </w:pPr>
            <w:r w:rsidRPr="00C94C33">
              <w:rPr>
                <w:lang w:eastAsia="en-AU"/>
              </w:rPr>
              <w:t>2381.21 ±</w:t>
            </w:r>
          </w:p>
        </w:tc>
        <w:tc>
          <w:tcPr>
            <w:tcW w:w="540" w:type="dxa"/>
            <w:vMerge w:val="restart"/>
            <w:tcBorders>
              <w:top w:val="single" w:sz="4" w:space="0" w:color="000000"/>
              <w:left w:val="single" w:sz="6" w:space="0" w:color="000000"/>
              <w:bottom w:val="single" w:sz="4" w:space="0" w:color="000000"/>
              <w:right w:val="single" w:sz="6" w:space="0" w:color="000000"/>
            </w:tcBorders>
          </w:tcPr>
          <w:p w14:paraId="6DB91BFA" w14:textId="77777777" w:rsidR="00DF61BC" w:rsidRPr="00C94C33" w:rsidRDefault="00DF61BC" w:rsidP="00C705AB">
            <w:pPr>
              <w:pStyle w:val="Tabletext"/>
              <w:jc w:val="center"/>
              <w:rPr>
                <w:lang w:eastAsia="en-AU"/>
              </w:rPr>
            </w:pPr>
            <w:r w:rsidRPr="00C94C33">
              <w:rPr>
                <w:lang w:eastAsia="en-AU"/>
              </w:rPr>
              <w:t>34</w:t>
            </w:r>
          </w:p>
        </w:tc>
        <w:tc>
          <w:tcPr>
            <w:tcW w:w="1530" w:type="dxa"/>
            <w:tcBorders>
              <w:top w:val="single" w:sz="4" w:space="0" w:color="000000"/>
              <w:left w:val="single" w:sz="6" w:space="0" w:color="000000"/>
              <w:bottom w:val="nil"/>
              <w:right w:val="single" w:sz="6" w:space="0" w:color="000000"/>
            </w:tcBorders>
          </w:tcPr>
          <w:p w14:paraId="71732A12" w14:textId="77777777" w:rsidR="00DF61BC" w:rsidRPr="00C94C33" w:rsidRDefault="00DF61BC" w:rsidP="00C705AB">
            <w:pPr>
              <w:pStyle w:val="Tabletext"/>
              <w:jc w:val="center"/>
              <w:rPr>
                <w:lang w:eastAsia="en-AU"/>
              </w:rPr>
            </w:pPr>
            <w:r w:rsidRPr="00C94C33">
              <w:rPr>
                <w:lang w:eastAsia="en-AU"/>
              </w:rPr>
              <w:t>4857.06 ±</w:t>
            </w:r>
          </w:p>
        </w:tc>
        <w:tc>
          <w:tcPr>
            <w:tcW w:w="540" w:type="dxa"/>
            <w:vMerge w:val="restart"/>
            <w:tcBorders>
              <w:top w:val="single" w:sz="4" w:space="0" w:color="000000"/>
              <w:left w:val="single" w:sz="6" w:space="0" w:color="000000"/>
              <w:bottom w:val="single" w:sz="4" w:space="0" w:color="000000"/>
              <w:right w:val="single" w:sz="6" w:space="0" w:color="000000"/>
            </w:tcBorders>
          </w:tcPr>
          <w:p w14:paraId="6A21F63D" w14:textId="77777777" w:rsidR="00DF61BC" w:rsidRPr="00C94C33" w:rsidRDefault="00DF61BC" w:rsidP="00C705AB">
            <w:pPr>
              <w:pStyle w:val="Tabletext"/>
              <w:jc w:val="center"/>
              <w:rPr>
                <w:lang w:eastAsia="en-AU"/>
              </w:rPr>
            </w:pPr>
            <w:r w:rsidRPr="00C94C33">
              <w:rPr>
                <w:lang w:eastAsia="en-AU"/>
              </w:rPr>
              <w:t>25</w:t>
            </w:r>
          </w:p>
        </w:tc>
        <w:tc>
          <w:tcPr>
            <w:tcW w:w="1530" w:type="dxa"/>
            <w:tcBorders>
              <w:top w:val="single" w:sz="4" w:space="0" w:color="000000"/>
              <w:left w:val="single" w:sz="6" w:space="0" w:color="000000"/>
              <w:bottom w:val="nil"/>
              <w:right w:val="single" w:sz="6" w:space="0" w:color="000000"/>
            </w:tcBorders>
          </w:tcPr>
          <w:p w14:paraId="33F06C2F" w14:textId="77777777" w:rsidR="00DF61BC" w:rsidRPr="00C94C33" w:rsidRDefault="00DF61BC" w:rsidP="00C705AB">
            <w:pPr>
              <w:pStyle w:val="Tabletext"/>
              <w:jc w:val="center"/>
              <w:rPr>
                <w:lang w:eastAsia="en-AU"/>
              </w:rPr>
            </w:pPr>
            <w:r w:rsidRPr="00C94C33">
              <w:rPr>
                <w:lang w:eastAsia="en-AU"/>
              </w:rPr>
              <w:t>5458.00 ±</w:t>
            </w:r>
          </w:p>
        </w:tc>
        <w:tc>
          <w:tcPr>
            <w:tcW w:w="450" w:type="dxa"/>
            <w:vMerge w:val="restart"/>
            <w:tcBorders>
              <w:top w:val="single" w:sz="4" w:space="0" w:color="000000"/>
              <w:left w:val="single" w:sz="6" w:space="0" w:color="000000"/>
              <w:bottom w:val="single" w:sz="4" w:space="0" w:color="000000"/>
              <w:right w:val="single" w:sz="6" w:space="0" w:color="000000"/>
            </w:tcBorders>
          </w:tcPr>
          <w:p w14:paraId="297321BD" w14:textId="77777777" w:rsidR="00DF61BC" w:rsidRPr="00C94C33" w:rsidRDefault="00DF61BC" w:rsidP="00C705AB">
            <w:pPr>
              <w:pStyle w:val="Tabletext"/>
              <w:jc w:val="center"/>
              <w:rPr>
                <w:lang w:eastAsia="en-AU"/>
              </w:rPr>
            </w:pPr>
            <w:r w:rsidRPr="00C94C33">
              <w:rPr>
                <w:lang w:eastAsia="en-AU"/>
              </w:rPr>
              <w:t>9</w:t>
            </w:r>
          </w:p>
        </w:tc>
        <w:tc>
          <w:tcPr>
            <w:tcW w:w="1620" w:type="dxa"/>
            <w:tcBorders>
              <w:top w:val="single" w:sz="4" w:space="0" w:color="000000"/>
              <w:left w:val="single" w:sz="6" w:space="0" w:color="000000"/>
              <w:bottom w:val="nil"/>
              <w:right w:val="single" w:sz="6" w:space="0" w:color="000000"/>
            </w:tcBorders>
          </w:tcPr>
          <w:p w14:paraId="40E22142" w14:textId="77777777" w:rsidR="00DF61BC" w:rsidRPr="00C94C33" w:rsidRDefault="00DF61BC" w:rsidP="00C705AB">
            <w:pPr>
              <w:pStyle w:val="Tabletext"/>
              <w:jc w:val="center"/>
              <w:rPr>
                <w:lang w:eastAsia="en-AU"/>
              </w:rPr>
            </w:pPr>
            <w:r w:rsidRPr="00C94C33">
              <w:rPr>
                <w:lang w:eastAsia="en-AU"/>
              </w:rPr>
              <w:t>5296.67 ±</w:t>
            </w:r>
          </w:p>
        </w:tc>
      </w:tr>
      <w:tr w:rsidR="00DF61BC" w:rsidRPr="00C94C33" w14:paraId="6F51EC3F" w14:textId="77777777" w:rsidTr="00C705AB">
        <w:trPr>
          <w:trHeight w:val="20"/>
        </w:trPr>
        <w:tc>
          <w:tcPr>
            <w:tcW w:w="1456" w:type="dxa"/>
            <w:vMerge/>
            <w:tcBorders>
              <w:top w:val="single" w:sz="4" w:space="0" w:color="000000"/>
              <w:left w:val="single" w:sz="6" w:space="0" w:color="000000"/>
              <w:bottom w:val="single" w:sz="4" w:space="0" w:color="000000"/>
              <w:right w:val="single" w:sz="6" w:space="0" w:color="000000"/>
            </w:tcBorders>
          </w:tcPr>
          <w:p w14:paraId="54492266" w14:textId="77777777" w:rsidR="00DF61BC" w:rsidRPr="00C94C33" w:rsidRDefault="00DF61BC" w:rsidP="00C705AB">
            <w:pPr>
              <w:pStyle w:val="Tabletext"/>
              <w:jc w:val="center"/>
              <w:rPr>
                <w:lang w:eastAsia="en-AU"/>
              </w:rPr>
            </w:pPr>
          </w:p>
        </w:tc>
        <w:tc>
          <w:tcPr>
            <w:tcW w:w="425" w:type="dxa"/>
            <w:vMerge/>
            <w:tcBorders>
              <w:top w:val="single" w:sz="4" w:space="0" w:color="000000"/>
              <w:left w:val="single" w:sz="6" w:space="0" w:color="000000"/>
              <w:bottom w:val="single" w:sz="4" w:space="0" w:color="000000"/>
              <w:right w:val="single" w:sz="6" w:space="0" w:color="000000"/>
            </w:tcBorders>
          </w:tcPr>
          <w:p w14:paraId="14B994CC" w14:textId="77777777" w:rsidR="00DF61BC" w:rsidRPr="00C94C33" w:rsidRDefault="00DF61BC" w:rsidP="00C705AB">
            <w:pPr>
              <w:pStyle w:val="Tabletext"/>
              <w:jc w:val="center"/>
              <w:rPr>
                <w:lang w:eastAsia="en-AU"/>
              </w:rPr>
            </w:pPr>
          </w:p>
        </w:tc>
        <w:tc>
          <w:tcPr>
            <w:tcW w:w="1377" w:type="dxa"/>
            <w:tcBorders>
              <w:top w:val="nil"/>
              <w:left w:val="single" w:sz="6" w:space="0" w:color="000000"/>
              <w:bottom w:val="single" w:sz="4" w:space="0" w:color="000000"/>
              <w:right w:val="single" w:sz="6" w:space="0" w:color="000000"/>
            </w:tcBorders>
          </w:tcPr>
          <w:p w14:paraId="2E8E259C" w14:textId="77777777" w:rsidR="00DF61BC" w:rsidRPr="00C94C33" w:rsidRDefault="00DF61BC" w:rsidP="00C705AB">
            <w:pPr>
              <w:pStyle w:val="Tabletext"/>
              <w:jc w:val="center"/>
              <w:rPr>
                <w:lang w:eastAsia="en-AU"/>
              </w:rPr>
            </w:pPr>
            <w:r w:rsidRPr="00C94C33">
              <w:rPr>
                <w:lang w:eastAsia="en-AU"/>
              </w:rPr>
              <w:t>1047.61 (43.99)</w:t>
            </w:r>
          </w:p>
        </w:tc>
        <w:tc>
          <w:tcPr>
            <w:tcW w:w="540" w:type="dxa"/>
            <w:vMerge/>
            <w:tcBorders>
              <w:top w:val="single" w:sz="4" w:space="0" w:color="000000"/>
              <w:left w:val="single" w:sz="6" w:space="0" w:color="000000"/>
              <w:bottom w:val="single" w:sz="4" w:space="0" w:color="000000"/>
              <w:right w:val="single" w:sz="6" w:space="0" w:color="000000"/>
            </w:tcBorders>
          </w:tcPr>
          <w:p w14:paraId="1E45A0CC" w14:textId="77777777" w:rsidR="00DF61BC" w:rsidRPr="00C94C33" w:rsidRDefault="00DF61BC" w:rsidP="00C705AB">
            <w:pPr>
              <w:pStyle w:val="Tabletext"/>
              <w:jc w:val="center"/>
              <w:rPr>
                <w:lang w:eastAsia="en-AU"/>
              </w:rPr>
            </w:pPr>
          </w:p>
        </w:tc>
        <w:tc>
          <w:tcPr>
            <w:tcW w:w="1530" w:type="dxa"/>
            <w:tcBorders>
              <w:top w:val="nil"/>
              <w:left w:val="single" w:sz="6" w:space="0" w:color="000000"/>
              <w:bottom w:val="single" w:sz="4" w:space="0" w:color="000000"/>
              <w:right w:val="single" w:sz="6" w:space="0" w:color="000000"/>
            </w:tcBorders>
          </w:tcPr>
          <w:p w14:paraId="703684C1" w14:textId="77777777" w:rsidR="00DF61BC" w:rsidRPr="00C94C33" w:rsidRDefault="00DF61BC" w:rsidP="00C705AB">
            <w:pPr>
              <w:pStyle w:val="Tabletext"/>
              <w:jc w:val="center"/>
              <w:rPr>
                <w:lang w:eastAsia="en-AU"/>
              </w:rPr>
            </w:pPr>
            <w:r w:rsidRPr="00C94C33">
              <w:rPr>
                <w:lang w:eastAsia="en-AU"/>
              </w:rPr>
              <w:t>1930.19 (39.74)</w:t>
            </w:r>
          </w:p>
        </w:tc>
        <w:tc>
          <w:tcPr>
            <w:tcW w:w="540" w:type="dxa"/>
            <w:vMerge/>
            <w:tcBorders>
              <w:top w:val="single" w:sz="4" w:space="0" w:color="000000"/>
              <w:left w:val="single" w:sz="6" w:space="0" w:color="000000"/>
              <w:bottom w:val="single" w:sz="4" w:space="0" w:color="000000"/>
              <w:right w:val="single" w:sz="6" w:space="0" w:color="000000"/>
            </w:tcBorders>
          </w:tcPr>
          <w:p w14:paraId="768FC75D" w14:textId="77777777" w:rsidR="00DF61BC" w:rsidRPr="00C94C33" w:rsidRDefault="00DF61BC" w:rsidP="00C705AB">
            <w:pPr>
              <w:pStyle w:val="Tabletext"/>
              <w:jc w:val="center"/>
              <w:rPr>
                <w:lang w:eastAsia="en-AU"/>
              </w:rPr>
            </w:pPr>
          </w:p>
        </w:tc>
        <w:tc>
          <w:tcPr>
            <w:tcW w:w="1530" w:type="dxa"/>
            <w:tcBorders>
              <w:top w:val="nil"/>
              <w:left w:val="single" w:sz="6" w:space="0" w:color="000000"/>
              <w:bottom w:val="single" w:sz="4" w:space="0" w:color="000000"/>
              <w:right w:val="single" w:sz="6" w:space="0" w:color="000000"/>
            </w:tcBorders>
          </w:tcPr>
          <w:p w14:paraId="04E02051" w14:textId="77777777" w:rsidR="00DF61BC" w:rsidRPr="00C94C33" w:rsidRDefault="00DF61BC" w:rsidP="00C705AB">
            <w:pPr>
              <w:pStyle w:val="Tabletext"/>
              <w:jc w:val="center"/>
              <w:rPr>
                <w:lang w:eastAsia="en-AU"/>
              </w:rPr>
            </w:pPr>
            <w:r w:rsidRPr="00C94C33">
              <w:rPr>
                <w:lang w:eastAsia="en-AU"/>
              </w:rPr>
              <w:t>2269.17 (41.58)</w:t>
            </w:r>
          </w:p>
        </w:tc>
        <w:tc>
          <w:tcPr>
            <w:tcW w:w="450" w:type="dxa"/>
            <w:vMerge/>
            <w:tcBorders>
              <w:top w:val="single" w:sz="4" w:space="0" w:color="000000"/>
              <w:left w:val="single" w:sz="6" w:space="0" w:color="000000"/>
              <w:bottom w:val="single" w:sz="4" w:space="0" w:color="000000"/>
              <w:right w:val="single" w:sz="6" w:space="0" w:color="000000"/>
            </w:tcBorders>
          </w:tcPr>
          <w:p w14:paraId="25447BB3" w14:textId="77777777" w:rsidR="00DF61BC" w:rsidRPr="00C94C33" w:rsidRDefault="00DF61BC" w:rsidP="00C705AB">
            <w:pPr>
              <w:pStyle w:val="Tabletext"/>
              <w:jc w:val="center"/>
              <w:rPr>
                <w:lang w:eastAsia="en-AU"/>
              </w:rPr>
            </w:pPr>
          </w:p>
        </w:tc>
        <w:tc>
          <w:tcPr>
            <w:tcW w:w="1620" w:type="dxa"/>
            <w:tcBorders>
              <w:top w:val="nil"/>
              <w:left w:val="single" w:sz="6" w:space="0" w:color="000000"/>
              <w:bottom w:val="single" w:sz="4" w:space="0" w:color="000000"/>
              <w:right w:val="single" w:sz="6" w:space="0" w:color="000000"/>
            </w:tcBorders>
          </w:tcPr>
          <w:p w14:paraId="4F4A4550" w14:textId="77777777" w:rsidR="00DF61BC" w:rsidRPr="00C94C33" w:rsidRDefault="00DF61BC" w:rsidP="00C705AB">
            <w:pPr>
              <w:pStyle w:val="Tabletext"/>
              <w:jc w:val="center"/>
              <w:rPr>
                <w:lang w:eastAsia="en-AU"/>
              </w:rPr>
            </w:pPr>
            <w:r w:rsidRPr="00C94C33">
              <w:rPr>
                <w:lang w:eastAsia="en-AU"/>
              </w:rPr>
              <w:t>2291.32 (43.26)</w:t>
            </w:r>
          </w:p>
        </w:tc>
      </w:tr>
      <w:tr w:rsidR="00DF61BC" w:rsidRPr="00C94C33" w14:paraId="5ED9F923" w14:textId="77777777" w:rsidTr="00C705AB">
        <w:trPr>
          <w:trHeight w:val="20"/>
        </w:trPr>
        <w:tc>
          <w:tcPr>
            <w:tcW w:w="1456" w:type="dxa"/>
            <w:tcBorders>
              <w:top w:val="single" w:sz="4" w:space="0" w:color="000000"/>
              <w:left w:val="single" w:sz="6" w:space="0" w:color="000000"/>
              <w:bottom w:val="single" w:sz="4" w:space="0" w:color="000000"/>
              <w:right w:val="single" w:sz="6" w:space="0" w:color="000000"/>
            </w:tcBorders>
          </w:tcPr>
          <w:p w14:paraId="34E11317" w14:textId="3578A38B" w:rsidR="00DF61BC" w:rsidRPr="00C94C33" w:rsidRDefault="00DF61BC" w:rsidP="00C705AB">
            <w:pPr>
              <w:pStyle w:val="Tabletext"/>
              <w:jc w:val="center"/>
              <w:rPr>
                <w:lang w:eastAsia="en-AU"/>
              </w:rPr>
            </w:pPr>
            <w:r w:rsidRPr="00C94C33">
              <w:rPr>
                <w:lang w:eastAsia="en-AU"/>
              </w:rPr>
              <w:t>T</w:t>
            </w:r>
            <w:r w:rsidRPr="00C94C33">
              <w:rPr>
                <w:spacing w:val="27"/>
                <w:lang w:eastAsia="en-AU"/>
              </w:rPr>
              <w:t xml:space="preserve"> </w:t>
            </w:r>
            <w:r w:rsidRPr="00C94C33">
              <w:rPr>
                <w:lang w:eastAsia="en-AU"/>
              </w:rPr>
              <w:t>(hours)</w:t>
            </w:r>
            <w:r w:rsidRPr="00C94C33">
              <w:rPr>
                <w:position w:val="10"/>
                <w:lang w:eastAsia="en-AU"/>
              </w:rPr>
              <w:t>a</w:t>
            </w:r>
          </w:p>
          <w:p w14:paraId="39A629E7" w14:textId="77777777" w:rsidR="00DF61BC" w:rsidRPr="00C94C33" w:rsidRDefault="00DF61BC" w:rsidP="00C705AB">
            <w:pPr>
              <w:pStyle w:val="Tabletext"/>
              <w:jc w:val="center"/>
              <w:rPr>
                <w:lang w:eastAsia="en-AU"/>
              </w:rPr>
            </w:pPr>
            <w:r w:rsidRPr="00C94C33">
              <w:rPr>
                <w:lang w:eastAsia="en-AU"/>
              </w:rPr>
              <w:t>max</w:t>
            </w:r>
          </w:p>
        </w:tc>
        <w:tc>
          <w:tcPr>
            <w:tcW w:w="425" w:type="dxa"/>
            <w:tcBorders>
              <w:top w:val="single" w:sz="4" w:space="0" w:color="000000"/>
              <w:left w:val="single" w:sz="6" w:space="0" w:color="000000"/>
              <w:bottom w:val="single" w:sz="4" w:space="0" w:color="000000"/>
              <w:right w:val="single" w:sz="6" w:space="0" w:color="000000"/>
            </w:tcBorders>
          </w:tcPr>
          <w:p w14:paraId="36A266E0" w14:textId="77777777" w:rsidR="00DF61BC" w:rsidRPr="00C94C33" w:rsidRDefault="00DF61BC" w:rsidP="00C705AB">
            <w:pPr>
              <w:pStyle w:val="Tabletext"/>
              <w:jc w:val="center"/>
              <w:rPr>
                <w:lang w:eastAsia="en-AU"/>
              </w:rPr>
            </w:pPr>
            <w:r w:rsidRPr="00C94C33">
              <w:rPr>
                <w:lang w:eastAsia="en-AU"/>
              </w:rPr>
              <w:t>19</w:t>
            </w:r>
          </w:p>
        </w:tc>
        <w:tc>
          <w:tcPr>
            <w:tcW w:w="1377" w:type="dxa"/>
            <w:tcBorders>
              <w:top w:val="single" w:sz="4" w:space="0" w:color="000000"/>
              <w:left w:val="single" w:sz="6" w:space="0" w:color="000000"/>
              <w:bottom w:val="single" w:sz="4" w:space="0" w:color="000000"/>
              <w:right w:val="single" w:sz="6" w:space="0" w:color="000000"/>
            </w:tcBorders>
          </w:tcPr>
          <w:p w14:paraId="0F515EB1" w14:textId="77777777" w:rsidR="00DF61BC" w:rsidRPr="00C94C33" w:rsidRDefault="00DF61BC" w:rsidP="00C705AB">
            <w:pPr>
              <w:pStyle w:val="Tabletext"/>
              <w:jc w:val="center"/>
              <w:rPr>
                <w:lang w:eastAsia="en-AU"/>
              </w:rPr>
            </w:pPr>
            <w:r w:rsidRPr="00C94C33">
              <w:rPr>
                <w:lang w:eastAsia="en-AU"/>
              </w:rPr>
              <w:t>1.50 (0.53, 4.00)</w:t>
            </w:r>
          </w:p>
        </w:tc>
        <w:tc>
          <w:tcPr>
            <w:tcW w:w="540" w:type="dxa"/>
            <w:tcBorders>
              <w:top w:val="single" w:sz="4" w:space="0" w:color="000000"/>
              <w:left w:val="single" w:sz="6" w:space="0" w:color="000000"/>
              <w:bottom w:val="single" w:sz="4" w:space="0" w:color="000000"/>
              <w:right w:val="single" w:sz="6" w:space="0" w:color="000000"/>
            </w:tcBorders>
          </w:tcPr>
          <w:p w14:paraId="3FAA726F" w14:textId="77777777" w:rsidR="00DF61BC" w:rsidRPr="00C94C33" w:rsidRDefault="00DF61BC" w:rsidP="00C705AB">
            <w:pPr>
              <w:pStyle w:val="Tabletext"/>
              <w:jc w:val="center"/>
              <w:rPr>
                <w:lang w:eastAsia="en-AU"/>
              </w:rPr>
            </w:pPr>
            <w:r w:rsidRPr="00C94C33">
              <w:rPr>
                <w:lang w:eastAsia="en-AU"/>
              </w:rPr>
              <w:t>34</w:t>
            </w:r>
          </w:p>
        </w:tc>
        <w:tc>
          <w:tcPr>
            <w:tcW w:w="1530" w:type="dxa"/>
            <w:tcBorders>
              <w:top w:val="single" w:sz="4" w:space="0" w:color="000000"/>
              <w:left w:val="single" w:sz="6" w:space="0" w:color="000000"/>
              <w:bottom w:val="single" w:sz="4" w:space="0" w:color="000000"/>
              <w:right w:val="single" w:sz="6" w:space="0" w:color="000000"/>
            </w:tcBorders>
          </w:tcPr>
          <w:p w14:paraId="08F4E6C4" w14:textId="77777777" w:rsidR="00DF61BC" w:rsidRPr="00C94C33" w:rsidRDefault="00DF61BC" w:rsidP="00C705AB">
            <w:pPr>
              <w:pStyle w:val="Tabletext"/>
              <w:jc w:val="center"/>
              <w:rPr>
                <w:lang w:eastAsia="en-AU"/>
              </w:rPr>
            </w:pPr>
            <w:r w:rsidRPr="00C94C33">
              <w:rPr>
                <w:lang w:eastAsia="en-AU"/>
              </w:rPr>
              <w:t>1.97 (0.50, 8.00)</w:t>
            </w:r>
          </w:p>
        </w:tc>
        <w:tc>
          <w:tcPr>
            <w:tcW w:w="540" w:type="dxa"/>
            <w:tcBorders>
              <w:top w:val="single" w:sz="4" w:space="0" w:color="000000"/>
              <w:left w:val="single" w:sz="6" w:space="0" w:color="000000"/>
              <w:bottom w:val="single" w:sz="4" w:space="0" w:color="000000"/>
              <w:right w:val="single" w:sz="6" w:space="0" w:color="000000"/>
            </w:tcBorders>
          </w:tcPr>
          <w:p w14:paraId="3645A9E5" w14:textId="77777777" w:rsidR="00DF61BC" w:rsidRPr="00C94C33" w:rsidRDefault="00DF61BC" w:rsidP="00C705AB">
            <w:pPr>
              <w:pStyle w:val="Tabletext"/>
              <w:jc w:val="center"/>
              <w:rPr>
                <w:lang w:eastAsia="en-AU"/>
              </w:rPr>
            </w:pPr>
            <w:r w:rsidRPr="00C94C33">
              <w:rPr>
                <w:lang w:eastAsia="en-AU"/>
              </w:rPr>
              <w:t>25</w:t>
            </w:r>
          </w:p>
        </w:tc>
        <w:tc>
          <w:tcPr>
            <w:tcW w:w="1530" w:type="dxa"/>
            <w:tcBorders>
              <w:top w:val="single" w:sz="4" w:space="0" w:color="000000"/>
              <w:left w:val="single" w:sz="6" w:space="0" w:color="000000"/>
              <w:bottom w:val="single" w:sz="4" w:space="0" w:color="000000"/>
              <w:right w:val="single" w:sz="6" w:space="0" w:color="000000"/>
            </w:tcBorders>
          </w:tcPr>
          <w:p w14:paraId="299394FA" w14:textId="77777777" w:rsidR="00DF61BC" w:rsidRPr="00C94C33" w:rsidRDefault="00DF61BC" w:rsidP="00C705AB">
            <w:pPr>
              <w:pStyle w:val="Tabletext"/>
              <w:jc w:val="center"/>
              <w:rPr>
                <w:lang w:eastAsia="en-AU"/>
              </w:rPr>
            </w:pPr>
            <w:r w:rsidRPr="00C94C33">
              <w:rPr>
                <w:lang w:eastAsia="en-AU"/>
              </w:rPr>
              <w:t>2.00 (0.50, 4.00)</w:t>
            </w:r>
          </w:p>
        </w:tc>
        <w:tc>
          <w:tcPr>
            <w:tcW w:w="450" w:type="dxa"/>
            <w:tcBorders>
              <w:top w:val="single" w:sz="4" w:space="0" w:color="000000"/>
              <w:left w:val="single" w:sz="6" w:space="0" w:color="000000"/>
              <w:bottom w:val="single" w:sz="4" w:space="0" w:color="000000"/>
              <w:right w:val="single" w:sz="6" w:space="0" w:color="000000"/>
            </w:tcBorders>
          </w:tcPr>
          <w:p w14:paraId="1DC70C0C" w14:textId="77777777" w:rsidR="00DF61BC" w:rsidRPr="00C94C33" w:rsidRDefault="00DF61BC" w:rsidP="00C705AB">
            <w:pPr>
              <w:pStyle w:val="Tabletext"/>
              <w:jc w:val="center"/>
              <w:rPr>
                <w:lang w:eastAsia="en-AU"/>
              </w:rPr>
            </w:pPr>
            <w:r w:rsidRPr="00C94C33">
              <w:rPr>
                <w:lang w:eastAsia="en-AU"/>
              </w:rPr>
              <w:t>9</w:t>
            </w:r>
          </w:p>
        </w:tc>
        <w:tc>
          <w:tcPr>
            <w:tcW w:w="1620" w:type="dxa"/>
            <w:tcBorders>
              <w:top w:val="single" w:sz="4" w:space="0" w:color="000000"/>
              <w:left w:val="single" w:sz="6" w:space="0" w:color="000000"/>
              <w:bottom w:val="single" w:sz="4" w:space="0" w:color="000000"/>
              <w:right w:val="single" w:sz="6" w:space="0" w:color="000000"/>
            </w:tcBorders>
          </w:tcPr>
          <w:p w14:paraId="7825D7F0" w14:textId="77777777" w:rsidR="00DF61BC" w:rsidRPr="00C94C33" w:rsidRDefault="00DF61BC" w:rsidP="00C705AB">
            <w:pPr>
              <w:pStyle w:val="Tabletext"/>
              <w:jc w:val="center"/>
              <w:rPr>
                <w:lang w:eastAsia="en-AU"/>
              </w:rPr>
            </w:pPr>
            <w:r w:rsidRPr="00C94C33">
              <w:rPr>
                <w:lang w:eastAsia="en-AU"/>
              </w:rPr>
              <w:t>2.00 (1.00, 4.00)</w:t>
            </w:r>
          </w:p>
        </w:tc>
      </w:tr>
      <w:tr w:rsidR="00DF61BC" w:rsidRPr="00C94C33" w14:paraId="6222BA8A" w14:textId="77777777" w:rsidTr="00C705AB">
        <w:trPr>
          <w:trHeight w:val="20"/>
        </w:trPr>
        <w:tc>
          <w:tcPr>
            <w:tcW w:w="1456" w:type="dxa"/>
            <w:tcBorders>
              <w:top w:val="single" w:sz="4" w:space="0" w:color="000000"/>
              <w:left w:val="single" w:sz="6" w:space="0" w:color="000000"/>
              <w:bottom w:val="single" w:sz="7" w:space="0" w:color="000000"/>
              <w:right w:val="single" w:sz="6" w:space="0" w:color="000000"/>
            </w:tcBorders>
          </w:tcPr>
          <w:p w14:paraId="6B37A3BB" w14:textId="77777777" w:rsidR="00DF61BC" w:rsidRPr="00C94C33" w:rsidRDefault="00DF61BC" w:rsidP="00C705AB">
            <w:pPr>
              <w:pStyle w:val="Tabletext"/>
              <w:jc w:val="center"/>
              <w:rPr>
                <w:lang w:eastAsia="en-AU"/>
              </w:rPr>
            </w:pPr>
            <w:r w:rsidRPr="00C94C33">
              <w:rPr>
                <w:lang w:eastAsia="en-AU"/>
              </w:rPr>
              <w:t>T</w:t>
            </w:r>
            <w:r w:rsidRPr="00C94C33">
              <w:rPr>
                <w:position w:val="-3"/>
                <w:lang w:eastAsia="en-AU"/>
              </w:rPr>
              <w:t>½</w:t>
            </w:r>
            <w:r w:rsidRPr="00C94C33">
              <w:rPr>
                <w:spacing w:val="15"/>
                <w:position w:val="-3"/>
                <w:lang w:eastAsia="en-AU"/>
              </w:rPr>
              <w:t xml:space="preserve"> </w:t>
            </w:r>
            <w:r w:rsidRPr="00C94C33">
              <w:rPr>
                <w:lang w:eastAsia="en-AU"/>
              </w:rPr>
              <w:t>(hours)</w:t>
            </w:r>
          </w:p>
        </w:tc>
        <w:tc>
          <w:tcPr>
            <w:tcW w:w="425" w:type="dxa"/>
            <w:tcBorders>
              <w:top w:val="single" w:sz="4" w:space="0" w:color="000000"/>
              <w:left w:val="single" w:sz="6" w:space="0" w:color="000000"/>
              <w:bottom w:val="single" w:sz="7" w:space="0" w:color="000000"/>
              <w:right w:val="single" w:sz="6" w:space="0" w:color="000000"/>
            </w:tcBorders>
          </w:tcPr>
          <w:p w14:paraId="50912BFA" w14:textId="77777777" w:rsidR="00DF61BC" w:rsidRPr="00C94C33" w:rsidRDefault="00DF61BC" w:rsidP="00C705AB">
            <w:pPr>
              <w:pStyle w:val="Tabletext"/>
              <w:jc w:val="center"/>
              <w:rPr>
                <w:lang w:eastAsia="en-AU"/>
              </w:rPr>
            </w:pPr>
            <w:r w:rsidRPr="00C94C33">
              <w:rPr>
                <w:lang w:eastAsia="en-AU"/>
              </w:rPr>
              <w:t>19</w:t>
            </w:r>
          </w:p>
        </w:tc>
        <w:tc>
          <w:tcPr>
            <w:tcW w:w="1377" w:type="dxa"/>
            <w:tcBorders>
              <w:top w:val="single" w:sz="4" w:space="0" w:color="000000"/>
              <w:left w:val="single" w:sz="6" w:space="0" w:color="000000"/>
              <w:bottom w:val="single" w:sz="7" w:space="0" w:color="000000"/>
              <w:right w:val="single" w:sz="6" w:space="0" w:color="000000"/>
            </w:tcBorders>
          </w:tcPr>
          <w:p w14:paraId="6C50F726" w14:textId="77777777" w:rsidR="00DF61BC" w:rsidRPr="00C94C33" w:rsidRDefault="00DF61BC" w:rsidP="00C705AB">
            <w:pPr>
              <w:pStyle w:val="Tabletext"/>
              <w:jc w:val="center"/>
              <w:rPr>
                <w:lang w:eastAsia="en-AU"/>
              </w:rPr>
            </w:pPr>
            <w:r w:rsidRPr="00C94C33">
              <w:rPr>
                <w:lang w:eastAsia="en-AU"/>
              </w:rPr>
              <w:t>1.42 ± 0.42</w:t>
            </w:r>
          </w:p>
        </w:tc>
        <w:tc>
          <w:tcPr>
            <w:tcW w:w="540" w:type="dxa"/>
            <w:tcBorders>
              <w:top w:val="single" w:sz="4" w:space="0" w:color="000000"/>
              <w:left w:val="single" w:sz="6" w:space="0" w:color="000000"/>
              <w:bottom w:val="single" w:sz="7" w:space="0" w:color="000000"/>
              <w:right w:val="single" w:sz="6" w:space="0" w:color="000000"/>
            </w:tcBorders>
          </w:tcPr>
          <w:p w14:paraId="79266B21" w14:textId="77777777" w:rsidR="00DF61BC" w:rsidRPr="00C94C33" w:rsidRDefault="00DF61BC" w:rsidP="00C705AB">
            <w:pPr>
              <w:pStyle w:val="Tabletext"/>
              <w:jc w:val="center"/>
              <w:rPr>
                <w:lang w:eastAsia="en-AU"/>
              </w:rPr>
            </w:pPr>
            <w:r w:rsidRPr="00C94C33">
              <w:rPr>
                <w:lang w:eastAsia="en-AU"/>
              </w:rPr>
              <w:t>26</w:t>
            </w:r>
            <w:r w:rsidRPr="00C94C33">
              <w:rPr>
                <w:position w:val="10"/>
                <w:lang w:eastAsia="en-AU"/>
              </w:rPr>
              <w:t>b</w:t>
            </w:r>
          </w:p>
        </w:tc>
        <w:tc>
          <w:tcPr>
            <w:tcW w:w="1530" w:type="dxa"/>
            <w:tcBorders>
              <w:top w:val="single" w:sz="4" w:space="0" w:color="000000"/>
              <w:left w:val="single" w:sz="6" w:space="0" w:color="000000"/>
              <w:bottom w:val="single" w:sz="7" w:space="0" w:color="000000"/>
              <w:right w:val="single" w:sz="6" w:space="0" w:color="000000"/>
            </w:tcBorders>
          </w:tcPr>
          <w:p w14:paraId="51E8DAC8" w14:textId="77777777" w:rsidR="00DF61BC" w:rsidRPr="00C94C33" w:rsidRDefault="00DF61BC" w:rsidP="00C705AB">
            <w:pPr>
              <w:pStyle w:val="Tabletext"/>
              <w:jc w:val="center"/>
              <w:rPr>
                <w:lang w:eastAsia="en-AU"/>
              </w:rPr>
            </w:pPr>
            <w:r w:rsidRPr="00C94C33">
              <w:rPr>
                <w:lang w:eastAsia="en-AU"/>
              </w:rPr>
              <w:t>2.07 ± 0.43</w:t>
            </w:r>
          </w:p>
        </w:tc>
        <w:tc>
          <w:tcPr>
            <w:tcW w:w="540" w:type="dxa"/>
            <w:tcBorders>
              <w:top w:val="single" w:sz="4" w:space="0" w:color="000000"/>
              <w:left w:val="single" w:sz="6" w:space="0" w:color="000000"/>
              <w:bottom w:val="single" w:sz="7" w:space="0" w:color="000000"/>
              <w:right w:val="single" w:sz="6" w:space="0" w:color="000000"/>
            </w:tcBorders>
          </w:tcPr>
          <w:p w14:paraId="6D1E05FE" w14:textId="77777777" w:rsidR="00DF61BC" w:rsidRPr="00C94C33" w:rsidRDefault="00DF61BC" w:rsidP="00C705AB">
            <w:pPr>
              <w:pStyle w:val="Tabletext"/>
              <w:jc w:val="center"/>
              <w:rPr>
                <w:lang w:eastAsia="en-AU"/>
              </w:rPr>
            </w:pPr>
            <w:r w:rsidRPr="00C94C33">
              <w:rPr>
                <w:lang w:eastAsia="en-AU"/>
              </w:rPr>
              <w:t>19</w:t>
            </w:r>
            <w:r w:rsidRPr="00C94C33">
              <w:rPr>
                <w:position w:val="10"/>
                <w:lang w:eastAsia="en-AU"/>
              </w:rPr>
              <w:t>b</w:t>
            </w:r>
          </w:p>
        </w:tc>
        <w:tc>
          <w:tcPr>
            <w:tcW w:w="1530" w:type="dxa"/>
            <w:tcBorders>
              <w:top w:val="single" w:sz="4" w:space="0" w:color="000000"/>
              <w:left w:val="single" w:sz="6" w:space="0" w:color="000000"/>
              <w:bottom w:val="single" w:sz="7" w:space="0" w:color="000000"/>
              <w:right w:val="single" w:sz="6" w:space="0" w:color="000000"/>
            </w:tcBorders>
          </w:tcPr>
          <w:p w14:paraId="33D8CB39" w14:textId="77777777" w:rsidR="00DF61BC" w:rsidRPr="00C94C33" w:rsidRDefault="00DF61BC" w:rsidP="00C705AB">
            <w:pPr>
              <w:pStyle w:val="Tabletext"/>
              <w:jc w:val="center"/>
              <w:rPr>
                <w:lang w:eastAsia="en-AU"/>
              </w:rPr>
            </w:pPr>
            <w:r w:rsidRPr="00C94C33">
              <w:rPr>
                <w:lang w:eastAsia="en-AU"/>
              </w:rPr>
              <w:t>2.10 ± 0.50</w:t>
            </w:r>
          </w:p>
        </w:tc>
        <w:tc>
          <w:tcPr>
            <w:tcW w:w="450" w:type="dxa"/>
            <w:tcBorders>
              <w:top w:val="single" w:sz="4" w:space="0" w:color="000000"/>
              <w:left w:val="single" w:sz="6" w:space="0" w:color="000000"/>
              <w:bottom w:val="single" w:sz="7" w:space="0" w:color="000000"/>
              <w:right w:val="single" w:sz="6" w:space="0" w:color="000000"/>
            </w:tcBorders>
          </w:tcPr>
          <w:p w14:paraId="1EF91D8E" w14:textId="77777777" w:rsidR="00DF61BC" w:rsidRPr="00C94C33" w:rsidRDefault="00DF61BC" w:rsidP="00C705AB">
            <w:pPr>
              <w:pStyle w:val="Tabletext"/>
              <w:jc w:val="center"/>
              <w:rPr>
                <w:lang w:eastAsia="en-AU"/>
              </w:rPr>
            </w:pPr>
            <w:r w:rsidRPr="00C94C33">
              <w:rPr>
                <w:position w:val="-10"/>
                <w:lang w:eastAsia="en-AU"/>
              </w:rPr>
              <w:t>5</w:t>
            </w:r>
            <w:r w:rsidRPr="00C94C33">
              <w:rPr>
                <w:lang w:eastAsia="en-AU"/>
              </w:rPr>
              <w:t>b</w:t>
            </w:r>
          </w:p>
        </w:tc>
        <w:tc>
          <w:tcPr>
            <w:tcW w:w="1620" w:type="dxa"/>
            <w:tcBorders>
              <w:top w:val="single" w:sz="4" w:space="0" w:color="000000"/>
              <w:left w:val="single" w:sz="6" w:space="0" w:color="000000"/>
              <w:bottom w:val="single" w:sz="7" w:space="0" w:color="000000"/>
              <w:right w:val="single" w:sz="6" w:space="0" w:color="000000"/>
            </w:tcBorders>
          </w:tcPr>
          <w:p w14:paraId="55EF8DE0" w14:textId="77777777" w:rsidR="00DF61BC" w:rsidRPr="00C94C33" w:rsidRDefault="00DF61BC" w:rsidP="00C705AB">
            <w:pPr>
              <w:pStyle w:val="Tabletext"/>
              <w:jc w:val="center"/>
              <w:rPr>
                <w:lang w:eastAsia="en-AU"/>
              </w:rPr>
            </w:pPr>
            <w:r w:rsidRPr="00C94C33">
              <w:rPr>
                <w:lang w:eastAsia="en-AU"/>
              </w:rPr>
              <w:t>2.55 ± 0.79</w:t>
            </w:r>
          </w:p>
        </w:tc>
      </w:tr>
      <w:tr w:rsidR="00DF61BC" w:rsidRPr="00C94C33" w14:paraId="2DE9436D" w14:textId="77777777" w:rsidTr="00C705AB">
        <w:trPr>
          <w:trHeight w:hRule="exact" w:val="340"/>
        </w:trPr>
        <w:tc>
          <w:tcPr>
            <w:tcW w:w="1456" w:type="dxa"/>
            <w:tcBorders>
              <w:top w:val="single" w:sz="7" w:space="0" w:color="000000"/>
              <w:left w:val="single" w:sz="6" w:space="0" w:color="000000"/>
              <w:bottom w:val="single" w:sz="7" w:space="0" w:color="000000"/>
              <w:right w:val="single" w:sz="6" w:space="0" w:color="000000"/>
            </w:tcBorders>
            <w:shd w:val="clear" w:color="auto" w:fill="F2F2F2" w:themeFill="background1" w:themeFillShade="F2"/>
          </w:tcPr>
          <w:p w14:paraId="695B3D1C" w14:textId="77777777" w:rsidR="00DF61BC" w:rsidRPr="00C94C33" w:rsidRDefault="00DF61BC" w:rsidP="00C705AB">
            <w:pPr>
              <w:pStyle w:val="TableHeading"/>
              <w:rPr>
                <w:lang w:eastAsia="en-AU"/>
              </w:rPr>
            </w:pPr>
            <w:r w:rsidRPr="00C94C33">
              <w:rPr>
                <w:lang w:eastAsia="en-AU"/>
              </w:rPr>
              <w:t>FTY</w:t>
            </w:r>
          </w:p>
        </w:tc>
        <w:tc>
          <w:tcPr>
            <w:tcW w:w="1802" w:type="dxa"/>
            <w:gridSpan w:val="2"/>
            <w:tcBorders>
              <w:top w:val="single" w:sz="7" w:space="0" w:color="000000"/>
              <w:left w:val="single" w:sz="6" w:space="0" w:color="000000"/>
              <w:bottom w:val="single" w:sz="7" w:space="0" w:color="000000"/>
              <w:right w:val="single" w:sz="6" w:space="0" w:color="000000"/>
            </w:tcBorders>
            <w:shd w:val="clear" w:color="auto" w:fill="F2F2F2" w:themeFill="background1" w:themeFillShade="F2"/>
          </w:tcPr>
          <w:p w14:paraId="6C445A79" w14:textId="77777777" w:rsidR="00DF61BC" w:rsidRPr="00C94C33" w:rsidRDefault="00DF61BC" w:rsidP="00C705AB">
            <w:pPr>
              <w:pStyle w:val="TableHeading"/>
              <w:rPr>
                <w:kern w:val="16"/>
                <w:lang w:eastAsia="en-AU"/>
              </w:rPr>
            </w:pPr>
          </w:p>
        </w:tc>
        <w:tc>
          <w:tcPr>
            <w:tcW w:w="2070" w:type="dxa"/>
            <w:gridSpan w:val="2"/>
            <w:tcBorders>
              <w:top w:val="single" w:sz="7" w:space="0" w:color="000000"/>
              <w:left w:val="single" w:sz="6" w:space="0" w:color="000000"/>
              <w:bottom w:val="single" w:sz="7" w:space="0" w:color="000000"/>
              <w:right w:val="single" w:sz="6" w:space="0" w:color="000000"/>
            </w:tcBorders>
            <w:shd w:val="clear" w:color="auto" w:fill="F2F2F2" w:themeFill="background1" w:themeFillShade="F2"/>
          </w:tcPr>
          <w:p w14:paraId="154FC51A" w14:textId="77777777" w:rsidR="00DF61BC" w:rsidRPr="00C94C33" w:rsidRDefault="00DF61BC" w:rsidP="00C705AB">
            <w:pPr>
              <w:pStyle w:val="TableHeading"/>
              <w:rPr>
                <w:kern w:val="16"/>
                <w:lang w:eastAsia="en-AU"/>
              </w:rPr>
            </w:pPr>
          </w:p>
        </w:tc>
        <w:tc>
          <w:tcPr>
            <w:tcW w:w="2070" w:type="dxa"/>
            <w:gridSpan w:val="2"/>
            <w:tcBorders>
              <w:top w:val="single" w:sz="7" w:space="0" w:color="000000"/>
              <w:left w:val="single" w:sz="6" w:space="0" w:color="000000"/>
              <w:bottom w:val="single" w:sz="7" w:space="0" w:color="000000"/>
              <w:right w:val="single" w:sz="6" w:space="0" w:color="000000"/>
            </w:tcBorders>
            <w:shd w:val="clear" w:color="auto" w:fill="F2F2F2" w:themeFill="background1" w:themeFillShade="F2"/>
          </w:tcPr>
          <w:p w14:paraId="304934B6" w14:textId="77777777" w:rsidR="00DF61BC" w:rsidRPr="00C94C33" w:rsidRDefault="00DF61BC" w:rsidP="00C705AB">
            <w:pPr>
              <w:pStyle w:val="TableHeading"/>
              <w:rPr>
                <w:kern w:val="16"/>
                <w:lang w:eastAsia="en-AU"/>
              </w:rPr>
            </w:pPr>
          </w:p>
        </w:tc>
        <w:tc>
          <w:tcPr>
            <w:tcW w:w="2070" w:type="dxa"/>
            <w:gridSpan w:val="2"/>
            <w:tcBorders>
              <w:top w:val="single" w:sz="7" w:space="0" w:color="000000"/>
              <w:left w:val="single" w:sz="6" w:space="0" w:color="000000"/>
              <w:bottom w:val="single" w:sz="7" w:space="0" w:color="000000"/>
              <w:right w:val="single" w:sz="6" w:space="0" w:color="000000"/>
            </w:tcBorders>
            <w:shd w:val="clear" w:color="auto" w:fill="F2F2F2" w:themeFill="background1" w:themeFillShade="F2"/>
          </w:tcPr>
          <w:p w14:paraId="037801CA" w14:textId="77777777" w:rsidR="00DF61BC" w:rsidRPr="00C94C33" w:rsidRDefault="00DF61BC" w:rsidP="00C705AB">
            <w:pPr>
              <w:pStyle w:val="TableHeading"/>
              <w:rPr>
                <w:kern w:val="16"/>
                <w:lang w:eastAsia="en-AU"/>
              </w:rPr>
            </w:pPr>
          </w:p>
        </w:tc>
      </w:tr>
      <w:tr w:rsidR="00DF61BC" w:rsidRPr="00C94C33" w14:paraId="09861178" w14:textId="77777777" w:rsidTr="00C705AB">
        <w:trPr>
          <w:trHeight w:val="20"/>
        </w:trPr>
        <w:tc>
          <w:tcPr>
            <w:tcW w:w="1456" w:type="dxa"/>
            <w:tcBorders>
              <w:top w:val="single" w:sz="7" w:space="0" w:color="000000"/>
              <w:left w:val="single" w:sz="6" w:space="0" w:color="000000"/>
              <w:bottom w:val="nil"/>
              <w:right w:val="single" w:sz="6" w:space="0" w:color="000000"/>
            </w:tcBorders>
          </w:tcPr>
          <w:p w14:paraId="68CC8A68" w14:textId="77777777" w:rsidR="00DF61BC" w:rsidRPr="00C94C33" w:rsidRDefault="00DF61BC" w:rsidP="00C705AB">
            <w:pPr>
              <w:pStyle w:val="Tabletext"/>
              <w:jc w:val="center"/>
              <w:rPr>
                <w:lang w:eastAsia="en-AU"/>
              </w:rPr>
            </w:pPr>
            <w:r w:rsidRPr="00C94C33">
              <w:rPr>
                <w:position w:val="3"/>
                <w:lang w:eastAsia="en-AU"/>
              </w:rPr>
              <w:t>AUC</w:t>
            </w:r>
            <w:r w:rsidRPr="00C94C33">
              <w:rPr>
                <w:lang w:eastAsia="en-AU"/>
              </w:rPr>
              <w:t>0-last</w:t>
            </w:r>
          </w:p>
        </w:tc>
        <w:tc>
          <w:tcPr>
            <w:tcW w:w="425" w:type="dxa"/>
            <w:vMerge w:val="restart"/>
            <w:tcBorders>
              <w:top w:val="single" w:sz="7" w:space="0" w:color="000000"/>
              <w:left w:val="single" w:sz="6" w:space="0" w:color="000000"/>
              <w:bottom w:val="single" w:sz="4" w:space="0" w:color="000000"/>
              <w:right w:val="single" w:sz="6" w:space="0" w:color="000000"/>
            </w:tcBorders>
          </w:tcPr>
          <w:p w14:paraId="09E6A182" w14:textId="77777777" w:rsidR="00DF61BC" w:rsidRPr="00C94C33" w:rsidRDefault="00DF61BC" w:rsidP="00C705AB">
            <w:pPr>
              <w:pStyle w:val="Tabletext"/>
              <w:jc w:val="center"/>
              <w:rPr>
                <w:lang w:eastAsia="en-AU"/>
              </w:rPr>
            </w:pPr>
            <w:r w:rsidRPr="00C94C33">
              <w:rPr>
                <w:lang w:eastAsia="en-AU"/>
              </w:rPr>
              <w:t>19</w:t>
            </w:r>
          </w:p>
        </w:tc>
        <w:tc>
          <w:tcPr>
            <w:tcW w:w="1377" w:type="dxa"/>
            <w:tcBorders>
              <w:top w:val="single" w:sz="7" w:space="0" w:color="000000"/>
              <w:left w:val="single" w:sz="6" w:space="0" w:color="000000"/>
              <w:bottom w:val="nil"/>
              <w:right w:val="single" w:sz="6" w:space="0" w:color="000000"/>
            </w:tcBorders>
          </w:tcPr>
          <w:p w14:paraId="6FCEB704" w14:textId="77777777" w:rsidR="00DF61BC" w:rsidRPr="00C94C33" w:rsidRDefault="00DF61BC" w:rsidP="00C705AB">
            <w:pPr>
              <w:pStyle w:val="Tabletext"/>
              <w:jc w:val="center"/>
              <w:rPr>
                <w:lang w:eastAsia="en-AU"/>
              </w:rPr>
            </w:pPr>
            <w:r w:rsidRPr="00C94C33">
              <w:rPr>
                <w:lang w:eastAsia="en-AU"/>
              </w:rPr>
              <w:t>3343.75 ± 897.48</w:t>
            </w:r>
          </w:p>
        </w:tc>
        <w:tc>
          <w:tcPr>
            <w:tcW w:w="540" w:type="dxa"/>
            <w:vMerge w:val="restart"/>
            <w:tcBorders>
              <w:top w:val="single" w:sz="7" w:space="0" w:color="000000"/>
              <w:left w:val="single" w:sz="6" w:space="0" w:color="000000"/>
              <w:bottom w:val="single" w:sz="4" w:space="0" w:color="000000"/>
              <w:right w:val="single" w:sz="6" w:space="0" w:color="000000"/>
            </w:tcBorders>
          </w:tcPr>
          <w:p w14:paraId="684FF688" w14:textId="77777777" w:rsidR="00DF61BC" w:rsidRPr="00C94C33" w:rsidRDefault="00DF61BC" w:rsidP="00C705AB">
            <w:pPr>
              <w:pStyle w:val="Tabletext"/>
              <w:jc w:val="center"/>
              <w:rPr>
                <w:lang w:eastAsia="en-AU"/>
              </w:rPr>
            </w:pPr>
            <w:r w:rsidRPr="00C94C33">
              <w:rPr>
                <w:lang w:eastAsia="en-AU"/>
              </w:rPr>
              <w:t>34</w:t>
            </w:r>
          </w:p>
        </w:tc>
        <w:tc>
          <w:tcPr>
            <w:tcW w:w="1530" w:type="dxa"/>
            <w:tcBorders>
              <w:top w:val="single" w:sz="7" w:space="0" w:color="000000"/>
              <w:left w:val="single" w:sz="6" w:space="0" w:color="000000"/>
              <w:bottom w:val="nil"/>
              <w:right w:val="single" w:sz="6" w:space="0" w:color="000000"/>
            </w:tcBorders>
          </w:tcPr>
          <w:p w14:paraId="5EB1B6C4" w14:textId="77777777" w:rsidR="00DF61BC" w:rsidRPr="00C94C33" w:rsidRDefault="00DF61BC" w:rsidP="00C705AB">
            <w:pPr>
              <w:pStyle w:val="Tabletext"/>
              <w:jc w:val="center"/>
              <w:rPr>
                <w:lang w:eastAsia="en-AU"/>
              </w:rPr>
            </w:pPr>
            <w:r w:rsidRPr="00C94C33">
              <w:rPr>
                <w:lang w:eastAsia="en-AU"/>
              </w:rPr>
              <w:t>5206.27 ±</w:t>
            </w:r>
          </w:p>
        </w:tc>
        <w:tc>
          <w:tcPr>
            <w:tcW w:w="540" w:type="dxa"/>
            <w:vMerge w:val="restart"/>
            <w:tcBorders>
              <w:top w:val="single" w:sz="7" w:space="0" w:color="000000"/>
              <w:left w:val="single" w:sz="6" w:space="0" w:color="000000"/>
              <w:bottom w:val="single" w:sz="4" w:space="0" w:color="000000"/>
              <w:right w:val="single" w:sz="6" w:space="0" w:color="000000"/>
            </w:tcBorders>
          </w:tcPr>
          <w:p w14:paraId="62BD649A" w14:textId="77777777" w:rsidR="00DF61BC" w:rsidRPr="00C94C33" w:rsidRDefault="00DF61BC" w:rsidP="00C705AB">
            <w:pPr>
              <w:pStyle w:val="Tabletext"/>
              <w:jc w:val="center"/>
              <w:rPr>
                <w:lang w:eastAsia="en-AU"/>
              </w:rPr>
            </w:pPr>
            <w:r w:rsidRPr="00C94C33">
              <w:rPr>
                <w:lang w:eastAsia="en-AU"/>
              </w:rPr>
              <w:t>25</w:t>
            </w:r>
          </w:p>
        </w:tc>
        <w:tc>
          <w:tcPr>
            <w:tcW w:w="1530" w:type="dxa"/>
            <w:tcBorders>
              <w:top w:val="single" w:sz="7" w:space="0" w:color="000000"/>
              <w:left w:val="single" w:sz="6" w:space="0" w:color="000000"/>
              <w:bottom w:val="nil"/>
              <w:right w:val="single" w:sz="6" w:space="0" w:color="000000"/>
            </w:tcBorders>
          </w:tcPr>
          <w:p w14:paraId="16C95B43" w14:textId="77777777" w:rsidR="00DF61BC" w:rsidRPr="00C94C33" w:rsidRDefault="00DF61BC" w:rsidP="00C705AB">
            <w:pPr>
              <w:pStyle w:val="Tabletext"/>
              <w:jc w:val="center"/>
              <w:rPr>
                <w:lang w:eastAsia="en-AU"/>
              </w:rPr>
            </w:pPr>
            <w:r w:rsidRPr="00C94C33">
              <w:rPr>
                <w:lang w:eastAsia="en-AU"/>
              </w:rPr>
              <w:t>5735.54 ±</w:t>
            </w:r>
          </w:p>
        </w:tc>
        <w:tc>
          <w:tcPr>
            <w:tcW w:w="450" w:type="dxa"/>
            <w:vMerge w:val="restart"/>
            <w:tcBorders>
              <w:top w:val="single" w:sz="7" w:space="0" w:color="000000"/>
              <w:left w:val="single" w:sz="6" w:space="0" w:color="000000"/>
              <w:bottom w:val="single" w:sz="4" w:space="0" w:color="000000"/>
              <w:right w:val="single" w:sz="6" w:space="0" w:color="000000"/>
            </w:tcBorders>
          </w:tcPr>
          <w:p w14:paraId="45BEE1B8" w14:textId="77777777" w:rsidR="00DF61BC" w:rsidRPr="00C94C33" w:rsidRDefault="00DF61BC" w:rsidP="00C705AB">
            <w:pPr>
              <w:pStyle w:val="Tabletext"/>
              <w:jc w:val="center"/>
              <w:rPr>
                <w:lang w:eastAsia="en-AU"/>
              </w:rPr>
            </w:pPr>
            <w:r w:rsidRPr="00C94C33">
              <w:rPr>
                <w:lang w:eastAsia="en-AU"/>
              </w:rPr>
              <w:t>9</w:t>
            </w:r>
          </w:p>
        </w:tc>
        <w:tc>
          <w:tcPr>
            <w:tcW w:w="1620" w:type="dxa"/>
            <w:tcBorders>
              <w:top w:val="single" w:sz="7" w:space="0" w:color="000000"/>
              <w:left w:val="single" w:sz="6" w:space="0" w:color="000000"/>
              <w:bottom w:val="nil"/>
              <w:right w:val="single" w:sz="6" w:space="0" w:color="000000"/>
            </w:tcBorders>
          </w:tcPr>
          <w:p w14:paraId="46E63B84" w14:textId="77777777" w:rsidR="00DF61BC" w:rsidRPr="00C94C33" w:rsidRDefault="00DF61BC" w:rsidP="00C705AB">
            <w:pPr>
              <w:pStyle w:val="Tabletext"/>
              <w:jc w:val="center"/>
              <w:rPr>
                <w:lang w:eastAsia="en-AU"/>
              </w:rPr>
            </w:pPr>
            <w:r w:rsidRPr="00C94C33">
              <w:rPr>
                <w:lang w:eastAsia="en-AU"/>
              </w:rPr>
              <w:t xml:space="preserve">5831.50 ± </w:t>
            </w:r>
            <w:r w:rsidRPr="00C94C33">
              <w:rPr>
                <w:spacing w:val="-2"/>
                <w:lang w:eastAsia="en-AU"/>
              </w:rPr>
              <w:t>1938.25</w:t>
            </w:r>
          </w:p>
        </w:tc>
      </w:tr>
      <w:tr w:rsidR="00DF61BC" w:rsidRPr="00C94C33" w14:paraId="13065A01" w14:textId="77777777" w:rsidTr="00C705AB">
        <w:trPr>
          <w:trHeight w:val="20"/>
        </w:trPr>
        <w:tc>
          <w:tcPr>
            <w:tcW w:w="1456" w:type="dxa"/>
            <w:tcBorders>
              <w:top w:val="nil"/>
              <w:left w:val="single" w:sz="6" w:space="0" w:color="000000"/>
              <w:bottom w:val="single" w:sz="4" w:space="0" w:color="000000"/>
              <w:right w:val="single" w:sz="6" w:space="0" w:color="000000"/>
            </w:tcBorders>
          </w:tcPr>
          <w:p w14:paraId="7758EC40" w14:textId="77777777" w:rsidR="00DF61BC" w:rsidRPr="00C94C33" w:rsidRDefault="00DF61BC" w:rsidP="00C705AB">
            <w:pPr>
              <w:pStyle w:val="Tabletext"/>
              <w:jc w:val="center"/>
              <w:rPr>
                <w:lang w:eastAsia="en-AU"/>
              </w:rPr>
            </w:pPr>
            <w:r w:rsidRPr="00C94C33">
              <w:rPr>
                <w:lang w:eastAsia="en-AU"/>
              </w:rPr>
              <w:t>(ng*hr/mL)</w:t>
            </w:r>
          </w:p>
        </w:tc>
        <w:tc>
          <w:tcPr>
            <w:tcW w:w="425" w:type="dxa"/>
            <w:vMerge/>
            <w:tcBorders>
              <w:top w:val="single" w:sz="7" w:space="0" w:color="000000"/>
              <w:left w:val="single" w:sz="6" w:space="0" w:color="000000"/>
              <w:bottom w:val="single" w:sz="4" w:space="0" w:color="000000"/>
              <w:right w:val="single" w:sz="6" w:space="0" w:color="000000"/>
            </w:tcBorders>
          </w:tcPr>
          <w:p w14:paraId="296C5447" w14:textId="77777777" w:rsidR="00DF61BC" w:rsidRPr="00C94C33" w:rsidRDefault="00DF61BC" w:rsidP="00C705AB">
            <w:pPr>
              <w:pStyle w:val="Tabletext"/>
              <w:jc w:val="center"/>
              <w:rPr>
                <w:lang w:eastAsia="en-AU"/>
              </w:rPr>
            </w:pPr>
          </w:p>
        </w:tc>
        <w:tc>
          <w:tcPr>
            <w:tcW w:w="1377" w:type="dxa"/>
            <w:tcBorders>
              <w:top w:val="nil"/>
              <w:left w:val="single" w:sz="6" w:space="0" w:color="000000"/>
              <w:bottom w:val="single" w:sz="4" w:space="0" w:color="000000"/>
              <w:right w:val="single" w:sz="6" w:space="0" w:color="000000"/>
            </w:tcBorders>
          </w:tcPr>
          <w:p w14:paraId="3BE9F98A" w14:textId="77777777" w:rsidR="00DF61BC" w:rsidRPr="00C94C33" w:rsidRDefault="00DF61BC" w:rsidP="00C705AB">
            <w:pPr>
              <w:pStyle w:val="Tabletext"/>
              <w:jc w:val="center"/>
              <w:rPr>
                <w:lang w:eastAsia="en-AU"/>
              </w:rPr>
            </w:pPr>
            <w:r w:rsidRPr="00C94C33">
              <w:rPr>
                <w:lang w:eastAsia="en-AU"/>
              </w:rPr>
              <w:t>(26.84)</w:t>
            </w:r>
          </w:p>
        </w:tc>
        <w:tc>
          <w:tcPr>
            <w:tcW w:w="540" w:type="dxa"/>
            <w:vMerge/>
            <w:tcBorders>
              <w:top w:val="single" w:sz="7" w:space="0" w:color="000000"/>
              <w:left w:val="single" w:sz="6" w:space="0" w:color="000000"/>
              <w:bottom w:val="single" w:sz="4" w:space="0" w:color="000000"/>
              <w:right w:val="single" w:sz="6" w:space="0" w:color="000000"/>
            </w:tcBorders>
          </w:tcPr>
          <w:p w14:paraId="1A17037E" w14:textId="77777777" w:rsidR="00DF61BC" w:rsidRPr="00C94C33" w:rsidRDefault="00DF61BC" w:rsidP="00C705AB">
            <w:pPr>
              <w:pStyle w:val="Tabletext"/>
              <w:jc w:val="center"/>
              <w:rPr>
                <w:lang w:eastAsia="en-AU"/>
              </w:rPr>
            </w:pPr>
          </w:p>
        </w:tc>
        <w:tc>
          <w:tcPr>
            <w:tcW w:w="1530" w:type="dxa"/>
            <w:tcBorders>
              <w:top w:val="nil"/>
              <w:left w:val="single" w:sz="6" w:space="0" w:color="000000"/>
              <w:bottom w:val="single" w:sz="4" w:space="0" w:color="000000"/>
              <w:right w:val="single" w:sz="6" w:space="0" w:color="000000"/>
            </w:tcBorders>
          </w:tcPr>
          <w:p w14:paraId="7FEDC2E0" w14:textId="77777777" w:rsidR="00DF61BC" w:rsidRPr="00C94C33" w:rsidRDefault="00DF61BC" w:rsidP="00C705AB">
            <w:pPr>
              <w:pStyle w:val="Tabletext"/>
              <w:jc w:val="center"/>
              <w:rPr>
                <w:lang w:eastAsia="en-AU"/>
              </w:rPr>
            </w:pPr>
            <w:r w:rsidRPr="00C94C33">
              <w:rPr>
                <w:lang w:eastAsia="en-AU"/>
              </w:rPr>
              <w:t>2055.07 (39.47)</w:t>
            </w:r>
          </w:p>
        </w:tc>
        <w:tc>
          <w:tcPr>
            <w:tcW w:w="540" w:type="dxa"/>
            <w:vMerge/>
            <w:tcBorders>
              <w:top w:val="single" w:sz="7" w:space="0" w:color="000000"/>
              <w:left w:val="single" w:sz="6" w:space="0" w:color="000000"/>
              <w:bottom w:val="single" w:sz="4" w:space="0" w:color="000000"/>
              <w:right w:val="single" w:sz="6" w:space="0" w:color="000000"/>
            </w:tcBorders>
          </w:tcPr>
          <w:p w14:paraId="5F59FDDD" w14:textId="77777777" w:rsidR="00DF61BC" w:rsidRPr="00C94C33" w:rsidRDefault="00DF61BC" w:rsidP="00C705AB">
            <w:pPr>
              <w:pStyle w:val="Tabletext"/>
              <w:jc w:val="center"/>
              <w:rPr>
                <w:lang w:eastAsia="en-AU"/>
              </w:rPr>
            </w:pPr>
          </w:p>
        </w:tc>
        <w:tc>
          <w:tcPr>
            <w:tcW w:w="1530" w:type="dxa"/>
            <w:tcBorders>
              <w:top w:val="nil"/>
              <w:left w:val="single" w:sz="6" w:space="0" w:color="000000"/>
              <w:bottom w:val="single" w:sz="4" w:space="0" w:color="000000"/>
              <w:right w:val="single" w:sz="6" w:space="0" w:color="000000"/>
            </w:tcBorders>
          </w:tcPr>
          <w:p w14:paraId="1A6CF61B" w14:textId="77777777" w:rsidR="00DF61BC" w:rsidRPr="00C94C33" w:rsidRDefault="00DF61BC" w:rsidP="00C705AB">
            <w:pPr>
              <w:pStyle w:val="Tabletext"/>
              <w:jc w:val="center"/>
              <w:rPr>
                <w:lang w:eastAsia="en-AU"/>
              </w:rPr>
            </w:pPr>
            <w:r w:rsidRPr="00C94C33">
              <w:rPr>
                <w:lang w:eastAsia="en-AU"/>
              </w:rPr>
              <w:t>2344.99 (40.89)</w:t>
            </w:r>
          </w:p>
        </w:tc>
        <w:tc>
          <w:tcPr>
            <w:tcW w:w="450" w:type="dxa"/>
            <w:vMerge/>
            <w:tcBorders>
              <w:top w:val="single" w:sz="7" w:space="0" w:color="000000"/>
              <w:left w:val="single" w:sz="6" w:space="0" w:color="000000"/>
              <w:bottom w:val="single" w:sz="4" w:space="0" w:color="000000"/>
              <w:right w:val="single" w:sz="6" w:space="0" w:color="000000"/>
            </w:tcBorders>
          </w:tcPr>
          <w:p w14:paraId="612A3615" w14:textId="77777777" w:rsidR="00DF61BC" w:rsidRPr="00C94C33" w:rsidRDefault="00DF61BC" w:rsidP="00C705AB">
            <w:pPr>
              <w:pStyle w:val="Tabletext"/>
              <w:jc w:val="center"/>
              <w:rPr>
                <w:lang w:eastAsia="en-AU"/>
              </w:rPr>
            </w:pPr>
          </w:p>
        </w:tc>
        <w:tc>
          <w:tcPr>
            <w:tcW w:w="1620" w:type="dxa"/>
            <w:tcBorders>
              <w:top w:val="nil"/>
              <w:left w:val="single" w:sz="6" w:space="0" w:color="000000"/>
              <w:bottom w:val="single" w:sz="4" w:space="0" w:color="000000"/>
              <w:right w:val="single" w:sz="6" w:space="0" w:color="000000"/>
            </w:tcBorders>
          </w:tcPr>
          <w:p w14:paraId="2B69C063" w14:textId="77777777" w:rsidR="00DF61BC" w:rsidRPr="00C94C33" w:rsidRDefault="00DF61BC" w:rsidP="00C705AB">
            <w:pPr>
              <w:pStyle w:val="Tabletext"/>
              <w:jc w:val="center"/>
              <w:rPr>
                <w:lang w:eastAsia="en-AU"/>
              </w:rPr>
            </w:pPr>
            <w:r w:rsidRPr="00C94C33">
              <w:rPr>
                <w:lang w:eastAsia="en-AU"/>
              </w:rPr>
              <w:t>(33.24)</w:t>
            </w:r>
          </w:p>
        </w:tc>
      </w:tr>
      <w:tr w:rsidR="00DF61BC" w:rsidRPr="00C94C33" w14:paraId="7178DD63" w14:textId="77777777" w:rsidTr="00C705AB">
        <w:trPr>
          <w:trHeight w:val="20"/>
        </w:trPr>
        <w:tc>
          <w:tcPr>
            <w:tcW w:w="1456" w:type="dxa"/>
            <w:vMerge w:val="restart"/>
            <w:tcBorders>
              <w:top w:val="single" w:sz="4" w:space="0" w:color="000000"/>
              <w:left w:val="single" w:sz="6" w:space="0" w:color="000000"/>
              <w:bottom w:val="single" w:sz="4" w:space="0" w:color="000000"/>
              <w:right w:val="single" w:sz="6" w:space="0" w:color="000000"/>
            </w:tcBorders>
          </w:tcPr>
          <w:p w14:paraId="75B78923" w14:textId="77777777" w:rsidR="00DF61BC" w:rsidRPr="00C94C33" w:rsidRDefault="00DF61BC" w:rsidP="00C705AB">
            <w:pPr>
              <w:pStyle w:val="Tabletext"/>
              <w:jc w:val="center"/>
              <w:rPr>
                <w:lang w:eastAsia="en-AU"/>
              </w:rPr>
            </w:pPr>
            <w:r w:rsidRPr="00C94C33">
              <w:rPr>
                <w:lang w:eastAsia="en-AU"/>
              </w:rPr>
              <w:t>C</w:t>
            </w:r>
            <w:r w:rsidRPr="00C94C33">
              <w:rPr>
                <w:position w:val="-3"/>
                <w:lang w:eastAsia="en-AU"/>
              </w:rPr>
              <w:t>max</w:t>
            </w:r>
            <w:r w:rsidRPr="00C94C33">
              <w:rPr>
                <w:spacing w:val="16"/>
                <w:position w:val="-3"/>
                <w:lang w:eastAsia="en-AU"/>
              </w:rPr>
              <w:t xml:space="preserve"> </w:t>
            </w:r>
            <w:r w:rsidRPr="00C94C33">
              <w:rPr>
                <w:lang w:eastAsia="en-AU"/>
              </w:rPr>
              <w:t>(ng/mL)</w:t>
            </w:r>
          </w:p>
        </w:tc>
        <w:tc>
          <w:tcPr>
            <w:tcW w:w="425" w:type="dxa"/>
            <w:vMerge w:val="restart"/>
            <w:tcBorders>
              <w:top w:val="single" w:sz="4" w:space="0" w:color="000000"/>
              <w:left w:val="single" w:sz="6" w:space="0" w:color="000000"/>
              <w:bottom w:val="single" w:sz="4" w:space="0" w:color="000000"/>
              <w:right w:val="single" w:sz="6" w:space="0" w:color="000000"/>
            </w:tcBorders>
          </w:tcPr>
          <w:p w14:paraId="1D150D6F" w14:textId="77777777" w:rsidR="00DF61BC" w:rsidRPr="00C94C33" w:rsidRDefault="00DF61BC" w:rsidP="00C705AB">
            <w:pPr>
              <w:pStyle w:val="Tabletext"/>
              <w:jc w:val="center"/>
              <w:rPr>
                <w:lang w:eastAsia="en-AU"/>
              </w:rPr>
            </w:pPr>
            <w:r w:rsidRPr="00C94C33">
              <w:rPr>
                <w:lang w:eastAsia="en-AU"/>
              </w:rPr>
              <w:t>19</w:t>
            </w:r>
          </w:p>
        </w:tc>
        <w:tc>
          <w:tcPr>
            <w:tcW w:w="1377" w:type="dxa"/>
            <w:tcBorders>
              <w:top w:val="single" w:sz="4" w:space="0" w:color="000000"/>
              <w:left w:val="single" w:sz="6" w:space="0" w:color="000000"/>
              <w:bottom w:val="nil"/>
              <w:right w:val="single" w:sz="6" w:space="0" w:color="000000"/>
            </w:tcBorders>
          </w:tcPr>
          <w:p w14:paraId="4BB12FC5" w14:textId="77777777" w:rsidR="00DF61BC" w:rsidRPr="00C94C33" w:rsidRDefault="00DF61BC" w:rsidP="00C705AB">
            <w:pPr>
              <w:pStyle w:val="Tabletext"/>
              <w:jc w:val="center"/>
              <w:rPr>
                <w:lang w:eastAsia="en-AU"/>
              </w:rPr>
            </w:pPr>
            <w:r w:rsidRPr="00C94C33">
              <w:rPr>
                <w:lang w:eastAsia="en-AU"/>
              </w:rPr>
              <w:t>764.89 ± 201.44</w:t>
            </w:r>
          </w:p>
        </w:tc>
        <w:tc>
          <w:tcPr>
            <w:tcW w:w="540" w:type="dxa"/>
            <w:vMerge w:val="restart"/>
            <w:tcBorders>
              <w:top w:val="single" w:sz="4" w:space="0" w:color="000000"/>
              <w:left w:val="single" w:sz="6" w:space="0" w:color="000000"/>
              <w:bottom w:val="single" w:sz="4" w:space="0" w:color="000000"/>
              <w:right w:val="single" w:sz="6" w:space="0" w:color="000000"/>
            </w:tcBorders>
          </w:tcPr>
          <w:p w14:paraId="6782673D" w14:textId="77777777" w:rsidR="00DF61BC" w:rsidRPr="00C94C33" w:rsidRDefault="00DF61BC" w:rsidP="00C705AB">
            <w:pPr>
              <w:pStyle w:val="Tabletext"/>
              <w:jc w:val="center"/>
              <w:rPr>
                <w:lang w:eastAsia="en-AU"/>
              </w:rPr>
            </w:pPr>
            <w:r w:rsidRPr="00C94C33">
              <w:rPr>
                <w:lang w:eastAsia="en-AU"/>
              </w:rPr>
              <w:t>34</w:t>
            </w:r>
          </w:p>
        </w:tc>
        <w:tc>
          <w:tcPr>
            <w:tcW w:w="1530" w:type="dxa"/>
            <w:tcBorders>
              <w:top w:val="single" w:sz="4" w:space="0" w:color="000000"/>
              <w:left w:val="single" w:sz="6" w:space="0" w:color="000000"/>
              <w:bottom w:val="nil"/>
              <w:right w:val="single" w:sz="6" w:space="0" w:color="000000"/>
            </w:tcBorders>
          </w:tcPr>
          <w:p w14:paraId="10BF84BA" w14:textId="77777777" w:rsidR="00DF61BC" w:rsidRPr="00C94C33" w:rsidRDefault="00DF61BC" w:rsidP="00C705AB">
            <w:pPr>
              <w:pStyle w:val="Tabletext"/>
              <w:jc w:val="center"/>
              <w:rPr>
                <w:lang w:eastAsia="en-AU"/>
              </w:rPr>
            </w:pPr>
            <w:r w:rsidRPr="00C94C33">
              <w:rPr>
                <w:lang w:eastAsia="en-AU"/>
              </w:rPr>
              <w:t>678.76 ± 199.77</w:t>
            </w:r>
          </w:p>
        </w:tc>
        <w:tc>
          <w:tcPr>
            <w:tcW w:w="540" w:type="dxa"/>
            <w:vMerge w:val="restart"/>
            <w:tcBorders>
              <w:top w:val="single" w:sz="4" w:space="0" w:color="000000"/>
              <w:left w:val="single" w:sz="6" w:space="0" w:color="000000"/>
              <w:bottom w:val="single" w:sz="4" w:space="0" w:color="000000"/>
              <w:right w:val="single" w:sz="6" w:space="0" w:color="000000"/>
            </w:tcBorders>
          </w:tcPr>
          <w:p w14:paraId="1E5386D3" w14:textId="77777777" w:rsidR="00DF61BC" w:rsidRPr="00C94C33" w:rsidRDefault="00DF61BC" w:rsidP="00C705AB">
            <w:pPr>
              <w:pStyle w:val="Tabletext"/>
              <w:jc w:val="center"/>
              <w:rPr>
                <w:lang w:eastAsia="en-AU"/>
              </w:rPr>
            </w:pPr>
            <w:r w:rsidRPr="00C94C33">
              <w:rPr>
                <w:lang w:eastAsia="en-AU"/>
              </w:rPr>
              <w:t>25</w:t>
            </w:r>
          </w:p>
        </w:tc>
        <w:tc>
          <w:tcPr>
            <w:tcW w:w="1530" w:type="dxa"/>
            <w:tcBorders>
              <w:top w:val="single" w:sz="4" w:space="0" w:color="000000"/>
              <w:left w:val="single" w:sz="6" w:space="0" w:color="000000"/>
              <w:bottom w:val="nil"/>
              <w:right w:val="single" w:sz="6" w:space="0" w:color="000000"/>
            </w:tcBorders>
          </w:tcPr>
          <w:p w14:paraId="0568096C" w14:textId="77777777" w:rsidR="00DF61BC" w:rsidRPr="00C94C33" w:rsidRDefault="00DF61BC" w:rsidP="00C705AB">
            <w:pPr>
              <w:pStyle w:val="Tabletext"/>
              <w:jc w:val="center"/>
              <w:rPr>
                <w:lang w:eastAsia="en-AU"/>
              </w:rPr>
            </w:pPr>
            <w:r w:rsidRPr="00C94C33">
              <w:rPr>
                <w:lang w:eastAsia="en-AU"/>
              </w:rPr>
              <w:t>753.96 ± 205.31</w:t>
            </w:r>
          </w:p>
        </w:tc>
        <w:tc>
          <w:tcPr>
            <w:tcW w:w="450" w:type="dxa"/>
            <w:vMerge w:val="restart"/>
            <w:tcBorders>
              <w:top w:val="single" w:sz="4" w:space="0" w:color="000000"/>
              <w:left w:val="single" w:sz="6" w:space="0" w:color="000000"/>
              <w:bottom w:val="single" w:sz="4" w:space="0" w:color="000000"/>
              <w:right w:val="single" w:sz="6" w:space="0" w:color="000000"/>
            </w:tcBorders>
          </w:tcPr>
          <w:p w14:paraId="033E33A1" w14:textId="77777777" w:rsidR="00DF61BC" w:rsidRPr="00C94C33" w:rsidRDefault="00DF61BC" w:rsidP="00C705AB">
            <w:pPr>
              <w:pStyle w:val="Tabletext"/>
              <w:jc w:val="center"/>
              <w:rPr>
                <w:lang w:eastAsia="en-AU"/>
              </w:rPr>
            </w:pPr>
            <w:r w:rsidRPr="00C94C33">
              <w:rPr>
                <w:lang w:eastAsia="en-AU"/>
              </w:rPr>
              <w:t>9</w:t>
            </w:r>
          </w:p>
        </w:tc>
        <w:tc>
          <w:tcPr>
            <w:tcW w:w="1620" w:type="dxa"/>
            <w:tcBorders>
              <w:top w:val="single" w:sz="4" w:space="0" w:color="000000"/>
              <w:left w:val="single" w:sz="6" w:space="0" w:color="000000"/>
              <w:bottom w:val="nil"/>
              <w:right w:val="single" w:sz="6" w:space="0" w:color="000000"/>
            </w:tcBorders>
          </w:tcPr>
          <w:p w14:paraId="044F4E3B" w14:textId="77777777" w:rsidR="00DF61BC" w:rsidRPr="00C94C33" w:rsidRDefault="00DF61BC" w:rsidP="00C705AB">
            <w:pPr>
              <w:pStyle w:val="Tabletext"/>
              <w:jc w:val="center"/>
              <w:rPr>
                <w:lang w:eastAsia="en-AU"/>
              </w:rPr>
            </w:pPr>
            <w:r w:rsidRPr="00C94C33">
              <w:rPr>
                <w:lang w:eastAsia="en-AU"/>
              </w:rPr>
              <w:t>782.89 ± 220.20</w:t>
            </w:r>
          </w:p>
        </w:tc>
      </w:tr>
      <w:tr w:rsidR="00DF61BC" w:rsidRPr="00C94C33" w14:paraId="3BDDE3B6" w14:textId="77777777" w:rsidTr="00C705AB">
        <w:trPr>
          <w:trHeight w:val="20"/>
        </w:trPr>
        <w:tc>
          <w:tcPr>
            <w:tcW w:w="1456" w:type="dxa"/>
            <w:vMerge/>
            <w:tcBorders>
              <w:top w:val="single" w:sz="4" w:space="0" w:color="000000"/>
              <w:left w:val="single" w:sz="6" w:space="0" w:color="000000"/>
              <w:bottom w:val="single" w:sz="4" w:space="0" w:color="000000"/>
              <w:right w:val="single" w:sz="6" w:space="0" w:color="000000"/>
            </w:tcBorders>
          </w:tcPr>
          <w:p w14:paraId="44D21963" w14:textId="77777777" w:rsidR="00DF61BC" w:rsidRPr="00C94C33" w:rsidRDefault="00DF61BC" w:rsidP="00C705AB">
            <w:pPr>
              <w:pStyle w:val="Tabletext"/>
              <w:jc w:val="center"/>
              <w:rPr>
                <w:lang w:eastAsia="en-AU"/>
              </w:rPr>
            </w:pPr>
          </w:p>
        </w:tc>
        <w:tc>
          <w:tcPr>
            <w:tcW w:w="425" w:type="dxa"/>
            <w:vMerge/>
            <w:tcBorders>
              <w:top w:val="single" w:sz="4" w:space="0" w:color="000000"/>
              <w:left w:val="single" w:sz="6" w:space="0" w:color="000000"/>
              <w:bottom w:val="single" w:sz="4" w:space="0" w:color="000000"/>
              <w:right w:val="single" w:sz="6" w:space="0" w:color="000000"/>
            </w:tcBorders>
          </w:tcPr>
          <w:p w14:paraId="4B24D463" w14:textId="77777777" w:rsidR="00DF61BC" w:rsidRPr="00C94C33" w:rsidRDefault="00DF61BC" w:rsidP="00C705AB">
            <w:pPr>
              <w:pStyle w:val="Tabletext"/>
              <w:jc w:val="center"/>
              <w:rPr>
                <w:lang w:eastAsia="en-AU"/>
              </w:rPr>
            </w:pPr>
          </w:p>
        </w:tc>
        <w:tc>
          <w:tcPr>
            <w:tcW w:w="1377" w:type="dxa"/>
            <w:tcBorders>
              <w:top w:val="nil"/>
              <w:left w:val="single" w:sz="6" w:space="0" w:color="000000"/>
              <w:bottom w:val="single" w:sz="4" w:space="0" w:color="000000"/>
              <w:right w:val="single" w:sz="6" w:space="0" w:color="000000"/>
            </w:tcBorders>
          </w:tcPr>
          <w:p w14:paraId="5EF4C99B" w14:textId="77777777" w:rsidR="00DF61BC" w:rsidRPr="00C94C33" w:rsidRDefault="00DF61BC" w:rsidP="00C705AB">
            <w:pPr>
              <w:pStyle w:val="Tabletext"/>
              <w:jc w:val="center"/>
              <w:rPr>
                <w:lang w:eastAsia="en-AU"/>
              </w:rPr>
            </w:pPr>
            <w:r w:rsidRPr="00C94C33">
              <w:rPr>
                <w:lang w:eastAsia="en-AU"/>
              </w:rPr>
              <w:t>(26.34)</w:t>
            </w:r>
          </w:p>
        </w:tc>
        <w:tc>
          <w:tcPr>
            <w:tcW w:w="540" w:type="dxa"/>
            <w:vMerge/>
            <w:tcBorders>
              <w:top w:val="single" w:sz="4" w:space="0" w:color="000000"/>
              <w:left w:val="single" w:sz="6" w:space="0" w:color="000000"/>
              <w:bottom w:val="single" w:sz="4" w:space="0" w:color="000000"/>
              <w:right w:val="single" w:sz="6" w:space="0" w:color="000000"/>
            </w:tcBorders>
          </w:tcPr>
          <w:p w14:paraId="6FE731DF" w14:textId="77777777" w:rsidR="00DF61BC" w:rsidRPr="00C94C33" w:rsidRDefault="00DF61BC" w:rsidP="00C705AB">
            <w:pPr>
              <w:pStyle w:val="Tabletext"/>
              <w:jc w:val="center"/>
              <w:rPr>
                <w:lang w:eastAsia="en-AU"/>
              </w:rPr>
            </w:pPr>
          </w:p>
        </w:tc>
        <w:tc>
          <w:tcPr>
            <w:tcW w:w="1530" w:type="dxa"/>
            <w:tcBorders>
              <w:top w:val="nil"/>
              <w:left w:val="single" w:sz="6" w:space="0" w:color="000000"/>
              <w:bottom w:val="single" w:sz="4" w:space="0" w:color="000000"/>
              <w:right w:val="single" w:sz="6" w:space="0" w:color="000000"/>
            </w:tcBorders>
          </w:tcPr>
          <w:p w14:paraId="13712DCD" w14:textId="77777777" w:rsidR="00DF61BC" w:rsidRPr="00C94C33" w:rsidRDefault="00DF61BC" w:rsidP="00C705AB">
            <w:pPr>
              <w:pStyle w:val="Tabletext"/>
              <w:jc w:val="center"/>
              <w:rPr>
                <w:lang w:eastAsia="en-AU"/>
              </w:rPr>
            </w:pPr>
            <w:r w:rsidRPr="00C94C33">
              <w:rPr>
                <w:lang w:eastAsia="en-AU"/>
              </w:rPr>
              <w:t>(29.43)</w:t>
            </w:r>
          </w:p>
        </w:tc>
        <w:tc>
          <w:tcPr>
            <w:tcW w:w="540" w:type="dxa"/>
            <w:vMerge/>
            <w:tcBorders>
              <w:top w:val="single" w:sz="4" w:space="0" w:color="000000"/>
              <w:left w:val="single" w:sz="6" w:space="0" w:color="000000"/>
              <w:bottom w:val="single" w:sz="4" w:space="0" w:color="000000"/>
              <w:right w:val="single" w:sz="6" w:space="0" w:color="000000"/>
            </w:tcBorders>
          </w:tcPr>
          <w:p w14:paraId="77F6D9A0" w14:textId="77777777" w:rsidR="00DF61BC" w:rsidRPr="00C94C33" w:rsidRDefault="00DF61BC" w:rsidP="00C705AB">
            <w:pPr>
              <w:pStyle w:val="Tabletext"/>
              <w:jc w:val="center"/>
              <w:rPr>
                <w:lang w:eastAsia="en-AU"/>
              </w:rPr>
            </w:pPr>
          </w:p>
        </w:tc>
        <w:tc>
          <w:tcPr>
            <w:tcW w:w="1530" w:type="dxa"/>
            <w:tcBorders>
              <w:top w:val="nil"/>
              <w:left w:val="single" w:sz="6" w:space="0" w:color="000000"/>
              <w:bottom w:val="single" w:sz="4" w:space="0" w:color="000000"/>
              <w:right w:val="single" w:sz="6" w:space="0" w:color="000000"/>
            </w:tcBorders>
          </w:tcPr>
          <w:p w14:paraId="5407CC41" w14:textId="77777777" w:rsidR="00DF61BC" w:rsidRPr="00C94C33" w:rsidRDefault="00DF61BC" w:rsidP="00C705AB">
            <w:pPr>
              <w:pStyle w:val="Tabletext"/>
              <w:jc w:val="center"/>
              <w:rPr>
                <w:lang w:eastAsia="en-AU"/>
              </w:rPr>
            </w:pPr>
            <w:r w:rsidRPr="00C94C33">
              <w:rPr>
                <w:lang w:eastAsia="en-AU"/>
              </w:rPr>
              <w:t>(27.23)</w:t>
            </w:r>
          </w:p>
        </w:tc>
        <w:tc>
          <w:tcPr>
            <w:tcW w:w="450" w:type="dxa"/>
            <w:vMerge/>
            <w:tcBorders>
              <w:top w:val="single" w:sz="4" w:space="0" w:color="000000"/>
              <w:left w:val="single" w:sz="6" w:space="0" w:color="000000"/>
              <w:bottom w:val="single" w:sz="4" w:space="0" w:color="000000"/>
              <w:right w:val="single" w:sz="6" w:space="0" w:color="000000"/>
            </w:tcBorders>
          </w:tcPr>
          <w:p w14:paraId="4A33C0A4" w14:textId="77777777" w:rsidR="00DF61BC" w:rsidRPr="00C94C33" w:rsidRDefault="00DF61BC" w:rsidP="00C705AB">
            <w:pPr>
              <w:pStyle w:val="Tabletext"/>
              <w:jc w:val="center"/>
              <w:rPr>
                <w:lang w:eastAsia="en-AU"/>
              </w:rPr>
            </w:pPr>
          </w:p>
        </w:tc>
        <w:tc>
          <w:tcPr>
            <w:tcW w:w="1620" w:type="dxa"/>
            <w:tcBorders>
              <w:top w:val="nil"/>
              <w:left w:val="single" w:sz="6" w:space="0" w:color="000000"/>
              <w:bottom w:val="single" w:sz="4" w:space="0" w:color="000000"/>
              <w:right w:val="single" w:sz="6" w:space="0" w:color="000000"/>
            </w:tcBorders>
          </w:tcPr>
          <w:p w14:paraId="3E72240D" w14:textId="77777777" w:rsidR="00DF61BC" w:rsidRPr="00C94C33" w:rsidRDefault="00DF61BC" w:rsidP="00C705AB">
            <w:pPr>
              <w:pStyle w:val="Tabletext"/>
              <w:jc w:val="center"/>
              <w:rPr>
                <w:lang w:eastAsia="en-AU"/>
              </w:rPr>
            </w:pPr>
            <w:r w:rsidRPr="00C94C33">
              <w:rPr>
                <w:lang w:eastAsia="en-AU"/>
              </w:rPr>
              <w:t>(28.13)</w:t>
            </w:r>
          </w:p>
        </w:tc>
      </w:tr>
      <w:tr w:rsidR="00DF61BC" w:rsidRPr="00C94C33" w14:paraId="00A7CF7E" w14:textId="77777777" w:rsidTr="00C705AB">
        <w:trPr>
          <w:trHeight w:val="20"/>
        </w:trPr>
        <w:tc>
          <w:tcPr>
            <w:tcW w:w="1456" w:type="dxa"/>
            <w:tcBorders>
              <w:top w:val="single" w:sz="4" w:space="0" w:color="000000"/>
              <w:left w:val="single" w:sz="6" w:space="0" w:color="000000"/>
              <w:bottom w:val="single" w:sz="4" w:space="0" w:color="000000"/>
              <w:right w:val="single" w:sz="6" w:space="0" w:color="000000"/>
            </w:tcBorders>
          </w:tcPr>
          <w:p w14:paraId="4A75808D" w14:textId="7026E149" w:rsidR="00DF61BC" w:rsidRPr="00C94C33" w:rsidRDefault="00DF61BC" w:rsidP="00C705AB">
            <w:pPr>
              <w:pStyle w:val="Tabletext"/>
              <w:jc w:val="center"/>
              <w:rPr>
                <w:lang w:eastAsia="en-AU"/>
              </w:rPr>
            </w:pPr>
            <w:r w:rsidRPr="00C94C33">
              <w:rPr>
                <w:lang w:eastAsia="en-AU"/>
              </w:rPr>
              <w:t>T</w:t>
            </w:r>
            <w:r w:rsidRPr="00C94C33">
              <w:rPr>
                <w:spacing w:val="27"/>
                <w:lang w:eastAsia="en-AU"/>
              </w:rPr>
              <w:t xml:space="preserve"> </w:t>
            </w:r>
            <w:r w:rsidRPr="00C94C33">
              <w:rPr>
                <w:lang w:eastAsia="en-AU"/>
              </w:rPr>
              <w:t>(hours)</w:t>
            </w:r>
            <w:r w:rsidRPr="00C94C33">
              <w:rPr>
                <w:spacing w:val="8"/>
                <w:lang w:eastAsia="en-AU"/>
              </w:rPr>
              <w:t xml:space="preserve"> </w:t>
            </w:r>
            <w:r w:rsidRPr="00C94C33">
              <w:rPr>
                <w:position w:val="10"/>
                <w:lang w:eastAsia="en-AU"/>
              </w:rPr>
              <w:t>a</w:t>
            </w:r>
          </w:p>
          <w:p w14:paraId="18D18D59" w14:textId="77777777" w:rsidR="00DF61BC" w:rsidRPr="00C94C33" w:rsidRDefault="00DF61BC" w:rsidP="00C705AB">
            <w:pPr>
              <w:pStyle w:val="Tabletext"/>
              <w:jc w:val="center"/>
              <w:rPr>
                <w:lang w:eastAsia="en-AU"/>
              </w:rPr>
            </w:pPr>
            <w:r w:rsidRPr="00C94C33">
              <w:rPr>
                <w:lang w:eastAsia="en-AU"/>
              </w:rPr>
              <w:t>max</w:t>
            </w:r>
          </w:p>
        </w:tc>
        <w:tc>
          <w:tcPr>
            <w:tcW w:w="425" w:type="dxa"/>
            <w:tcBorders>
              <w:top w:val="single" w:sz="4" w:space="0" w:color="000000"/>
              <w:left w:val="single" w:sz="6" w:space="0" w:color="000000"/>
              <w:bottom w:val="single" w:sz="4" w:space="0" w:color="000000"/>
              <w:right w:val="single" w:sz="6" w:space="0" w:color="000000"/>
            </w:tcBorders>
          </w:tcPr>
          <w:p w14:paraId="3A2846EE" w14:textId="77777777" w:rsidR="00DF61BC" w:rsidRPr="00C94C33" w:rsidRDefault="00DF61BC" w:rsidP="00C705AB">
            <w:pPr>
              <w:pStyle w:val="Tabletext"/>
              <w:jc w:val="center"/>
              <w:rPr>
                <w:lang w:eastAsia="en-AU"/>
              </w:rPr>
            </w:pPr>
            <w:r w:rsidRPr="00C94C33">
              <w:rPr>
                <w:lang w:eastAsia="en-AU"/>
              </w:rPr>
              <w:t>19</w:t>
            </w:r>
          </w:p>
        </w:tc>
        <w:tc>
          <w:tcPr>
            <w:tcW w:w="1377" w:type="dxa"/>
            <w:tcBorders>
              <w:top w:val="single" w:sz="4" w:space="0" w:color="000000"/>
              <w:left w:val="single" w:sz="6" w:space="0" w:color="000000"/>
              <w:bottom w:val="single" w:sz="4" w:space="0" w:color="000000"/>
              <w:right w:val="single" w:sz="6" w:space="0" w:color="000000"/>
            </w:tcBorders>
          </w:tcPr>
          <w:p w14:paraId="3635E9C2" w14:textId="77777777" w:rsidR="00DF61BC" w:rsidRPr="00C94C33" w:rsidRDefault="00DF61BC" w:rsidP="00C705AB">
            <w:pPr>
              <w:pStyle w:val="Tabletext"/>
              <w:jc w:val="center"/>
              <w:rPr>
                <w:lang w:eastAsia="en-AU"/>
              </w:rPr>
            </w:pPr>
            <w:r w:rsidRPr="00C94C33">
              <w:rPr>
                <w:lang w:eastAsia="en-AU"/>
              </w:rPr>
              <w:t>3.00 (1.00, 6.08)</w:t>
            </w:r>
          </w:p>
        </w:tc>
        <w:tc>
          <w:tcPr>
            <w:tcW w:w="540" w:type="dxa"/>
            <w:tcBorders>
              <w:top w:val="single" w:sz="4" w:space="0" w:color="000000"/>
              <w:left w:val="single" w:sz="6" w:space="0" w:color="000000"/>
              <w:bottom w:val="single" w:sz="4" w:space="0" w:color="000000"/>
              <w:right w:val="single" w:sz="6" w:space="0" w:color="000000"/>
            </w:tcBorders>
          </w:tcPr>
          <w:p w14:paraId="4D559463" w14:textId="77777777" w:rsidR="00DF61BC" w:rsidRPr="00C94C33" w:rsidRDefault="00DF61BC" w:rsidP="00C705AB">
            <w:pPr>
              <w:pStyle w:val="Tabletext"/>
              <w:jc w:val="center"/>
              <w:rPr>
                <w:lang w:eastAsia="en-AU"/>
              </w:rPr>
            </w:pPr>
            <w:r w:rsidRPr="00C94C33">
              <w:rPr>
                <w:lang w:eastAsia="en-AU"/>
              </w:rPr>
              <w:t>34</w:t>
            </w:r>
          </w:p>
        </w:tc>
        <w:tc>
          <w:tcPr>
            <w:tcW w:w="1530" w:type="dxa"/>
            <w:tcBorders>
              <w:top w:val="single" w:sz="4" w:space="0" w:color="000000"/>
              <w:left w:val="single" w:sz="6" w:space="0" w:color="000000"/>
              <w:bottom w:val="single" w:sz="4" w:space="0" w:color="000000"/>
              <w:right w:val="single" w:sz="6" w:space="0" w:color="000000"/>
            </w:tcBorders>
          </w:tcPr>
          <w:p w14:paraId="672A7CCB" w14:textId="77777777" w:rsidR="00DF61BC" w:rsidRPr="00C94C33" w:rsidRDefault="00DF61BC" w:rsidP="00C705AB">
            <w:pPr>
              <w:pStyle w:val="Tabletext"/>
              <w:jc w:val="center"/>
              <w:rPr>
                <w:lang w:eastAsia="en-AU"/>
              </w:rPr>
            </w:pPr>
            <w:r w:rsidRPr="00C94C33">
              <w:rPr>
                <w:lang w:eastAsia="en-AU"/>
              </w:rPr>
              <w:t>2.00 (0.50, 8.00)</w:t>
            </w:r>
          </w:p>
        </w:tc>
        <w:tc>
          <w:tcPr>
            <w:tcW w:w="540" w:type="dxa"/>
            <w:tcBorders>
              <w:top w:val="single" w:sz="4" w:space="0" w:color="000000"/>
              <w:left w:val="single" w:sz="6" w:space="0" w:color="000000"/>
              <w:bottom w:val="single" w:sz="4" w:space="0" w:color="000000"/>
              <w:right w:val="single" w:sz="6" w:space="0" w:color="000000"/>
            </w:tcBorders>
          </w:tcPr>
          <w:p w14:paraId="640267FD" w14:textId="77777777" w:rsidR="00DF61BC" w:rsidRPr="00C94C33" w:rsidRDefault="00DF61BC" w:rsidP="00C705AB">
            <w:pPr>
              <w:pStyle w:val="Tabletext"/>
              <w:jc w:val="center"/>
              <w:rPr>
                <w:lang w:eastAsia="en-AU"/>
              </w:rPr>
            </w:pPr>
            <w:r w:rsidRPr="00C94C33">
              <w:rPr>
                <w:lang w:eastAsia="en-AU"/>
              </w:rPr>
              <w:t>25</w:t>
            </w:r>
          </w:p>
        </w:tc>
        <w:tc>
          <w:tcPr>
            <w:tcW w:w="1530" w:type="dxa"/>
            <w:tcBorders>
              <w:top w:val="single" w:sz="4" w:space="0" w:color="000000"/>
              <w:left w:val="single" w:sz="6" w:space="0" w:color="000000"/>
              <w:bottom w:val="single" w:sz="4" w:space="0" w:color="000000"/>
              <w:right w:val="single" w:sz="6" w:space="0" w:color="000000"/>
            </w:tcBorders>
          </w:tcPr>
          <w:p w14:paraId="4B5C327F" w14:textId="77777777" w:rsidR="00DF61BC" w:rsidRPr="00C94C33" w:rsidRDefault="00DF61BC" w:rsidP="00C705AB">
            <w:pPr>
              <w:pStyle w:val="Tabletext"/>
              <w:jc w:val="center"/>
              <w:rPr>
                <w:lang w:eastAsia="en-AU"/>
              </w:rPr>
            </w:pPr>
            <w:r w:rsidRPr="00C94C33">
              <w:rPr>
                <w:lang w:eastAsia="en-AU"/>
              </w:rPr>
              <w:t>2.00 (1.00, 8.00)</w:t>
            </w:r>
          </w:p>
        </w:tc>
        <w:tc>
          <w:tcPr>
            <w:tcW w:w="450" w:type="dxa"/>
            <w:tcBorders>
              <w:top w:val="single" w:sz="4" w:space="0" w:color="000000"/>
              <w:left w:val="single" w:sz="6" w:space="0" w:color="000000"/>
              <w:bottom w:val="single" w:sz="4" w:space="0" w:color="000000"/>
              <w:right w:val="single" w:sz="6" w:space="0" w:color="000000"/>
            </w:tcBorders>
          </w:tcPr>
          <w:p w14:paraId="2B0A06F5" w14:textId="77777777" w:rsidR="00DF61BC" w:rsidRPr="00C94C33" w:rsidRDefault="00DF61BC" w:rsidP="00C705AB">
            <w:pPr>
              <w:pStyle w:val="Tabletext"/>
              <w:jc w:val="center"/>
              <w:rPr>
                <w:lang w:eastAsia="en-AU"/>
              </w:rPr>
            </w:pPr>
            <w:r w:rsidRPr="00C94C33">
              <w:rPr>
                <w:lang w:eastAsia="en-AU"/>
              </w:rPr>
              <w:t>9</w:t>
            </w:r>
          </w:p>
        </w:tc>
        <w:tc>
          <w:tcPr>
            <w:tcW w:w="1620" w:type="dxa"/>
            <w:tcBorders>
              <w:top w:val="single" w:sz="4" w:space="0" w:color="000000"/>
              <w:left w:val="single" w:sz="6" w:space="0" w:color="000000"/>
              <w:bottom w:val="single" w:sz="4" w:space="0" w:color="000000"/>
              <w:right w:val="single" w:sz="6" w:space="0" w:color="000000"/>
            </w:tcBorders>
          </w:tcPr>
          <w:p w14:paraId="3AB9B028" w14:textId="77777777" w:rsidR="00DF61BC" w:rsidRPr="00C94C33" w:rsidRDefault="00DF61BC" w:rsidP="00C705AB">
            <w:pPr>
              <w:pStyle w:val="Tabletext"/>
              <w:jc w:val="center"/>
              <w:rPr>
                <w:lang w:eastAsia="en-AU"/>
              </w:rPr>
            </w:pPr>
            <w:r w:rsidRPr="00C94C33">
              <w:rPr>
                <w:lang w:eastAsia="en-AU"/>
              </w:rPr>
              <w:t>3.93 (1.03, 4.00)</w:t>
            </w:r>
          </w:p>
        </w:tc>
      </w:tr>
      <w:tr w:rsidR="00DF61BC" w:rsidRPr="00C94C33" w14:paraId="31ED7FEB" w14:textId="77777777" w:rsidTr="00C705AB">
        <w:trPr>
          <w:trHeight w:val="20"/>
        </w:trPr>
        <w:tc>
          <w:tcPr>
            <w:tcW w:w="1456" w:type="dxa"/>
            <w:tcBorders>
              <w:top w:val="single" w:sz="4" w:space="0" w:color="000000"/>
              <w:left w:val="single" w:sz="6" w:space="0" w:color="000000"/>
              <w:bottom w:val="single" w:sz="7" w:space="0" w:color="000000"/>
              <w:right w:val="single" w:sz="6" w:space="0" w:color="000000"/>
            </w:tcBorders>
          </w:tcPr>
          <w:p w14:paraId="40CFC9E6" w14:textId="77777777" w:rsidR="00DF61BC" w:rsidRPr="00C94C33" w:rsidRDefault="00DF61BC" w:rsidP="00C705AB">
            <w:pPr>
              <w:pStyle w:val="Tabletext"/>
              <w:jc w:val="center"/>
              <w:rPr>
                <w:lang w:eastAsia="en-AU"/>
              </w:rPr>
            </w:pPr>
            <w:r w:rsidRPr="00C94C33">
              <w:rPr>
                <w:lang w:eastAsia="en-AU"/>
              </w:rPr>
              <w:t>T</w:t>
            </w:r>
            <w:r w:rsidRPr="00C94C33">
              <w:rPr>
                <w:position w:val="-3"/>
                <w:lang w:eastAsia="en-AU"/>
              </w:rPr>
              <w:t>½</w:t>
            </w:r>
            <w:r w:rsidRPr="00C94C33">
              <w:rPr>
                <w:spacing w:val="15"/>
                <w:position w:val="-3"/>
                <w:lang w:eastAsia="en-AU"/>
              </w:rPr>
              <w:t xml:space="preserve"> </w:t>
            </w:r>
            <w:r w:rsidRPr="00C94C33">
              <w:rPr>
                <w:lang w:eastAsia="en-AU"/>
              </w:rPr>
              <w:t>(hours)</w:t>
            </w:r>
          </w:p>
        </w:tc>
        <w:tc>
          <w:tcPr>
            <w:tcW w:w="425" w:type="dxa"/>
            <w:tcBorders>
              <w:top w:val="single" w:sz="4" w:space="0" w:color="000000"/>
              <w:left w:val="single" w:sz="6" w:space="0" w:color="000000"/>
              <w:bottom w:val="single" w:sz="7" w:space="0" w:color="000000"/>
              <w:right w:val="single" w:sz="6" w:space="0" w:color="000000"/>
            </w:tcBorders>
          </w:tcPr>
          <w:p w14:paraId="7E814E13" w14:textId="77777777" w:rsidR="00DF61BC" w:rsidRPr="00C94C33" w:rsidRDefault="00DF61BC" w:rsidP="00C705AB">
            <w:pPr>
              <w:pStyle w:val="Tabletext"/>
              <w:jc w:val="center"/>
              <w:rPr>
                <w:lang w:eastAsia="en-AU"/>
              </w:rPr>
            </w:pPr>
            <w:r w:rsidRPr="00C94C33">
              <w:rPr>
                <w:lang w:eastAsia="en-AU"/>
              </w:rPr>
              <w:t>19</w:t>
            </w:r>
          </w:p>
        </w:tc>
        <w:tc>
          <w:tcPr>
            <w:tcW w:w="1377" w:type="dxa"/>
            <w:tcBorders>
              <w:top w:val="single" w:sz="4" w:space="0" w:color="000000"/>
              <w:left w:val="single" w:sz="6" w:space="0" w:color="000000"/>
              <w:bottom w:val="single" w:sz="7" w:space="0" w:color="000000"/>
              <w:right w:val="single" w:sz="6" w:space="0" w:color="000000"/>
            </w:tcBorders>
          </w:tcPr>
          <w:p w14:paraId="419D2C2F" w14:textId="77777777" w:rsidR="00DF61BC" w:rsidRPr="00C94C33" w:rsidRDefault="00DF61BC" w:rsidP="00C705AB">
            <w:pPr>
              <w:pStyle w:val="Tabletext"/>
              <w:jc w:val="center"/>
              <w:rPr>
                <w:lang w:eastAsia="en-AU"/>
              </w:rPr>
            </w:pPr>
            <w:r w:rsidRPr="00C94C33">
              <w:rPr>
                <w:lang w:eastAsia="en-AU"/>
              </w:rPr>
              <w:t>1.76 ± 0.38</w:t>
            </w:r>
          </w:p>
        </w:tc>
        <w:tc>
          <w:tcPr>
            <w:tcW w:w="540" w:type="dxa"/>
            <w:tcBorders>
              <w:top w:val="single" w:sz="4" w:space="0" w:color="000000"/>
              <w:left w:val="single" w:sz="6" w:space="0" w:color="000000"/>
              <w:bottom w:val="single" w:sz="7" w:space="0" w:color="000000"/>
              <w:right w:val="single" w:sz="6" w:space="0" w:color="000000"/>
            </w:tcBorders>
          </w:tcPr>
          <w:p w14:paraId="45B4D586" w14:textId="77777777" w:rsidR="00DF61BC" w:rsidRPr="00C94C33" w:rsidRDefault="00DF61BC" w:rsidP="00C705AB">
            <w:pPr>
              <w:pStyle w:val="Tabletext"/>
              <w:jc w:val="center"/>
              <w:rPr>
                <w:lang w:eastAsia="en-AU"/>
              </w:rPr>
            </w:pPr>
            <w:r w:rsidRPr="00C94C33">
              <w:rPr>
                <w:position w:val="-10"/>
                <w:lang w:eastAsia="en-AU"/>
              </w:rPr>
              <w:t>9</w:t>
            </w:r>
            <w:r w:rsidRPr="00C94C33">
              <w:rPr>
                <w:lang w:eastAsia="en-AU"/>
              </w:rPr>
              <w:t>b</w:t>
            </w:r>
          </w:p>
        </w:tc>
        <w:tc>
          <w:tcPr>
            <w:tcW w:w="1530" w:type="dxa"/>
            <w:tcBorders>
              <w:top w:val="single" w:sz="4" w:space="0" w:color="000000"/>
              <w:left w:val="single" w:sz="6" w:space="0" w:color="000000"/>
              <w:bottom w:val="single" w:sz="7" w:space="0" w:color="000000"/>
              <w:right w:val="single" w:sz="6" w:space="0" w:color="000000"/>
            </w:tcBorders>
          </w:tcPr>
          <w:p w14:paraId="45705656" w14:textId="77777777" w:rsidR="00DF61BC" w:rsidRPr="00C94C33" w:rsidRDefault="00DF61BC" w:rsidP="00C705AB">
            <w:pPr>
              <w:pStyle w:val="Tabletext"/>
              <w:jc w:val="center"/>
              <w:rPr>
                <w:lang w:eastAsia="en-AU"/>
              </w:rPr>
            </w:pPr>
            <w:r w:rsidRPr="00C94C33">
              <w:rPr>
                <w:lang w:eastAsia="en-AU"/>
              </w:rPr>
              <w:t>4.51 ± 0.53</w:t>
            </w:r>
          </w:p>
        </w:tc>
        <w:tc>
          <w:tcPr>
            <w:tcW w:w="540" w:type="dxa"/>
            <w:tcBorders>
              <w:top w:val="single" w:sz="4" w:space="0" w:color="000000"/>
              <w:left w:val="single" w:sz="6" w:space="0" w:color="000000"/>
              <w:bottom w:val="single" w:sz="7" w:space="0" w:color="000000"/>
              <w:right w:val="single" w:sz="6" w:space="0" w:color="000000"/>
            </w:tcBorders>
          </w:tcPr>
          <w:p w14:paraId="01AD0739" w14:textId="77777777" w:rsidR="00DF61BC" w:rsidRPr="00C94C33" w:rsidRDefault="00DF61BC" w:rsidP="00C705AB">
            <w:pPr>
              <w:pStyle w:val="Tabletext"/>
              <w:jc w:val="center"/>
              <w:rPr>
                <w:lang w:eastAsia="en-AU"/>
              </w:rPr>
            </w:pPr>
            <w:r w:rsidRPr="00C94C33">
              <w:rPr>
                <w:position w:val="-10"/>
                <w:lang w:eastAsia="en-AU"/>
              </w:rPr>
              <w:t>6</w:t>
            </w:r>
            <w:r w:rsidRPr="00C94C33">
              <w:rPr>
                <w:lang w:eastAsia="en-AU"/>
              </w:rPr>
              <w:t>b</w:t>
            </w:r>
          </w:p>
        </w:tc>
        <w:tc>
          <w:tcPr>
            <w:tcW w:w="1530" w:type="dxa"/>
            <w:tcBorders>
              <w:top w:val="single" w:sz="4" w:space="0" w:color="000000"/>
              <w:left w:val="single" w:sz="6" w:space="0" w:color="000000"/>
              <w:bottom w:val="single" w:sz="7" w:space="0" w:color="000000"/>
              <w:right w:val="single" w:sz="6" w:space="0" w:color="000000"/>
            </w:tcBorders>
          </w:tcPr>
          <w:p w14:paraId="65FAD159" w14:textId="77777777" w:rsidR="00DF61BC" w:rsidRPr="00C94C33" w:rsidRDefault="00DF61BC" w:rsidP="00C705AB">
            <w:pPr>
              <w:pStyle w:val="Tabletext"/>
              <w:jc w:val="center"/>
              <w:rPr>
                <w:lang w:eastAsia="en-AU"/>
              </w:rPr>
            </w:pPr>
            <w:r w:rsidRPr="00C94C33">
              <w:rPr>
                <w:lang w:eastAsia="en-AU"/>
              </w:rPr>
              <w:t>3.76 ± 0.59</w:t>
            </w:r>
          </w:p>
        </w:tc>
        <w:tc>
          <w:tcPr>
            <w:tcW w:w="450" w:type="dxa"/>
            <w:tcBorders>
              <w:top w:val="single" w:sz="4" w:space="0" w:color="000000"/>
              <w:left w:val="single" w:sz="6" w:space="0" w:color="000000"/>
              <w:bottom w:val="single" w:sz="7" w:space="0" w:color="000000"/>
              <w:right w:val="single" w:sz="6" w:space="0" w:color="000000"/>
            </w:tcBorders>
          </w:tcPr>
          <w:p w14:paraId="623E33A6" w14:textId="77777777" w:rsidR="00DF61BC" w:rsidRPr="00C94C33" w:rsidRDefault="00DF61BC" w:rsidP="00C705AB">
            <w:pPr>
              <w:pStyle w:val="Tabletext"/>
              <w:jc w:val="center"/>
              <w:rPr>
                <w:lang w:eastAsia="en-AU"/>
              </w:rPr>
            </w:pPr>
            <w:r w:rsidRPr="00C94C33">
              <w:rPr>
                <w:position w:val="-10"/>
                <w:lang w:eastAsia="en-AU"/>
              </w:rPr>
              <w:t>0</w:t>
            </w:r>
            <w:r w:rsidRPr="00C94C33">
              <w:rPr>
                <w:lang w:eastAsia="en-AU"/>
              </w:rPr>
              <w:t>b</w:t>
            </w:r>
          </w:p>
        </w:tc>
        <w:tc>
          <w:tcPr>
            <w:tcW w:w="1620" w:type="dxa"/>
            <w:tcBorders>
              <w:top w:val="single" w:sz="4" w:space="0" w:color="000000"/>
              <w:left w:val="single" w:sz="6" w:space="0" w:color="000000"/>
              <w:bottom w:val="single" w:sz="7" w:space="0" w:color="000000"/>
              <w:right w:val="single" w:sz="6" w:space="0" w:color="000000"/>
            </w:tcBorders>
          </w:tcPr>
          <w:p w14:paraId="075062DD" w14:textId="77777777" w:rsidR="00DF61BC" w:rsidRPr="00C94C33" w:rsidRDefault="00DF61BC" w:rsidP="00C705AB">
            <w:pPr>
              <w:pStyle w:val="Tabletext"/>
              <w:jc w:val="center"/>
              <w:rPr>
                <w:lang w:eastAsia="en-AU"/>
              </w:rPr>
            </w:pPr>
            <w:r w:rsidRPr="00C94C33">
              <w:rPr>
                <w:lang w:eastAsia="en-AU"/>
              </w:rPr>
              <w:t>-</w:t>
            </w:r>
          </w:p>
        </w:tc>
      </w:tr>
      <w:tr w:rsidR="00DF61BC" w:rsidRPr="00C94C33" w14:paraId="2F46883F" w14:textId="77777777" w:rsidTr="00C705AB">
        <w:trPr>
          <w:trHeight w:hRule="exact" w:val="340"/>
        </w:trPr>
        <w:tc>
          <w:tcPr>
            <w:tcW w:w="1456" w:type="dxa"/>
            <w:tcBorders>
              <w:top w:val="single" w:sz="7" w:space="0" w:color="000000"/>
              <w:left w:val="single" w:sz="6" w:space="0" w:color="000000"/>
              <w:bottom w:val="single" w:sz="7" w:space="0" w:color="000000"/>
              <w:right w:val="single" w:sz="6" w:space="0" w:color="000000"/>
            </w:tcBorders>
            <w:shd w:val="clear" w:color="auto" w:fill="F2F2F2" w:themeFill="background1" w:themeFillShade="F2"/>
          </w:tcPr>
          <w:p w14:paraId="7F5126B8" w14:textId="77777777" w:rsidR="00DF61BC" w:rsidRPr="00C94C33" w:rsidRDefault="00DF61BC" w:rsidP="00C705AB">
            <w:pPr>
              <w:pStyle w:val="TableHeading"/>
              <w:rPr>
                <w:lang w:eastAsia="en-AU"/>
              </w:rPr>
            </w:pPr>
            <w:r w:rsidRPr="00C94C33">
              <w:rPr>
                <w:lang w:eastAsia="en-AU"/>
              </w:rPr>
              <w:t>TPI</w:t>
            </w:r>
          </w:p>
        </w:tc>
        <w:tc>
          <w:tcPr>
            <w:tcW w:w="1802" w:type="dxa"/>
            <w:gridSpan w:val="2"/>
            <w:tcBorders>
              <w:top w:val="single" w:sz="7" w:space="0" w:color="000000"/>
              <w:left w:val="single" w:sz="6" w:space="0" w:color="000000"/>
              <w:bottom w:val="single" w:sz="7" w:space="0" w:color="000000"/>
              <w:right w:val="single" w:sz="6" w:space="0" w:color="000000"/>
            </w:tcBorders>
            <w:shd w:val="clear" w:color="auto" w:fill="F2F2F2" w:themeFill="background1" w:themeFillShade="F2"/>
          </w:tcPr>
          <w:p w14:paraId="67476491" w14:textId="77777777" w:rsidR="00DF61BC" w:rsidRPr="00C94C33" w:rsidRDefault="00DF61BC" w:rsidP="00C705AB">
            <w:pPr>
              <w:pStyle w:val="TableHeading"/>
              <w:rPr>
                <w:kern w:val="16"/>
                <w:lang w:eastAsia="en-AU"/>
              </w:rPr>
            </w:pPr>
          </w:p>
        </w:tc>
        <w:tc>
          <w:tcPr>
            <w:tcW w:w="2070" w:type="dxa"/>
            <w:gridSpan w:val="2"/>
            <w:tcBorders>
              <w:top w:val="single" w:sz="7" w:space="0" w:color="000000"/>
              <w:left w:val="single" w:sz="6" w:space="0" w:color="000000"/>
              <w:bottom w:val="single" w:sz="7" w:space="0" w:color="000000"/>
              <w:right w:val="single" w:sz="6" w:space="0" w:color="000000"/>
            </w:tcBorders>
            <w:shd w:val="clear" w:color="auto" w:fill="F2F2F2" w:themeFill="background1" w:themeFillShade="F2"/>
          </w:tcPr>
          <w:p w14:paraId="38E9F51A" w14:textId="77777777" w:rsidR="00DF61BC" w:rsidRPr="00C94C33" w:rsidRDefault="00DF61BC" w:rsidP="00C705AB">
            <w:pPr>
              <w:pStyle w:val="TableHeading"/>
              <w:rPr>
                <w:kern w:val="16"/>
                <w:lang w:eastAsia="en-AU"/>
              </w:rPr>
            </w:pPr>
          </w:p>
        </w:tc>
        <w:tc>
          <w:tcPr>
            <w:tcW w:w="2070" w:type="dxa"/>
            <w:gridSpan w:val="2"/>
            <w:tcBorders>
              <w:top w:val="single" w:sz="7" w:space="0" w:color="000000"/>
              <w:left w:val="single" w:sz="6" w:space="0" w:color="000000"/>
              <w:bottom w:val="single" w:sz="7" w:space="0" w:color="000000"/>
              <w:right w:val="single" w:sz="6" w:space="0" w:color="000000"/>
            </w:tcBorders>
            <w:shd w:val="clear" w:color="auto" w:fill="F2F2F2" w:themeFill="background1" w:themeFillShade="F2"/>
          </w:tcPr>
          <w:p w14:paraId="026CCBE7" w14:textId="77777777" w:rsidR="00DF61BC" w:rsidRPr="00C94C33" w:rsidRDefault="00DF61BC" w:rsidP="00C705AB">
            <w:pPr>
              <w:pStyle w:val="TableHeading"/>
              <w:rPr>
                <w:kern w:val="16"/>
                <w:lang w:eastAsia="en-AU"/>
              </w:rPr>
            </w:pPr>
          </w:p>
        </w:tc>
        <w:tc>
          <w:tcPr>
            <w:tcW w:w="2070" w:type="dxa"/>
            <w:gridSpan w:val="2"/>
            <w:tcBorders>
              <w:top w:val="single" w:sz="7" w:space="0" w:color="000000"/>
              <w:left w:val="single" w:sz="6" w:space="0" w:color="000000"/>
              <w:bottom w:val="single" w:sz="7" w:space="0" w:color="000000"/>
              <w:right w:val="single" w:sz="6" w:space="0" w:color="000000"/>
            </w:tcBorders>
            <w:shd w:val="clear" w:color="auto" w:fill="F2F2F2" w:themeFill="background1" w:themeFillShade="F2"/>
          </w:tcPr>
          <w:p w14:paraId="22D70E26" w14:textId="77777777" w:rsidR="00DF61BC" w:rsidRPr="00C94C33" w:rsidRDefault="00DF61BC" w:rsidP="00C705AB">
            <w:pPr>
              <w:pStyle w:val="TableHeading"/>
              <w:rPr>
                <w:kern w:val="16"/>
                <w:lang w:eastAsia="en-AU"/>
              </w:rPr>
            </w:pPr>
          </w:p>
        </w:tc>
      </w:tr>
      <w:tr w:rsidR="00DF61BC" w:rsidRPr="00C94C33" w14:paraId="509D6F40" w14:textId="77777777" w:rsidTr="00C705AB">
        <w:trPr>
          <w:trHeight w:val="20"/>
        </w:trPr>
        <w:tc>
          <w:tcPr>
            <w:tcW w:w="1456" w:type="dxa"/>
            <w:tcBorders>
              <w:top w:val="single" w:sz="7" w:space="0" w:color="000000"/>
              <w:left w:val="single" w:sz="6" w:space="0" w:color="000000"/>
              <w:bottom w:val="nil"/>
              <w:right w:val="single" w:sz="6" w:space="0" w:color="000000"/>
            </w:tcBorders>
          </w:tcPr>
          <w:p w14:paraId="3FE5AB75" w14:textId="77777777" w:rsidR="00DF61BC" w:rsidRPr="00C94C33" w:rsidRDefault="00DF61BC" w:rsidP="00C705AB">
            <w:pPr>
              <w:pStyle w:val="Tabletext"/>
              <w:jc w:val="center"/>
              <w:rPr>
                <w:lang w:eastAsia="en-AU"/>
              </w:rPr>
            </w:pPr>
            <w:r w:rsidRPr="00C94C33">
              <w:rPr>
                <w:position w:val="3"/>
                <w:lang w:eastAsia="en-AU"/>
              </w:rPr>
              <w:t>AUC</w:t>
            </w:r>
            <w:r w:rsidRPr="00C94C33">
              <w:rPr>
                <w:lang w:eastAsia="en-AU"/>
              </w:rPr>
              <w:t>0-last</w:t>
            </w:r>
          </w:p>
        </w:tc>
        <w:tc>
          <w:tcPr>
            <w:tcW w:w="425" w:type="dxa"/>
            <w:vMerge w:val="restart"/>
            <w:tcBorders>
              <w:top w:val="single" w:sz="7" w:space="0" w:color="000000"/>
              <w:left w:val="single" w:sz="6" w:space="0" w:color="000000"/>
              <w:bottom w:val="single" w:sz="4" w:space="0" w:color="000000"/>
              <w:right w:val="single" w:sz="6" w:space="0" w:color="000000"/>
            </w:tcBorders>
          </w:tcPr>
          <w:p w14:paraId="68EF87C9" w14:textId="77777777" w:rsidR="00DF61BC" w:rsidRPr="00C94C33" w:rsidRDefault="00DF61BC" w:rsidP="00C705AB">
            <w:pPr>
              <w:pStyle w:val="Tabletext"/>
              <w:jc w:val="center"/>
              <w:rPr>
                <w:lang w:eastAsia="en-AU"/>
              </w:rPr>
            </w:pPr>
            <w:r w:rsidRPr="00C94C33">
              <w:rPr>
                <w:lang w:eastAsia="en-AU"/>
              </w:rPr>
              <w:t>19</w:t>
            </w:r>
          </w:p>
        </w:tc>
        <w:tc>
          <w:tcPr>
            <w:tcW w:w="1377" w:type="dxa"/>
            <w:tcBorders>
              <w:top w:val="single" w:sz="7" w:space="0" w:color="000000"/>
              <w:left w:val="single" w:sz="6" w:space="0" w:color="000000"/>
              <w:bottom w:val="nil"/>
              <w:right w:val="single" w:sz="6" w:space="0" w:color="000000"/>
            </w:tcBorders>
          </w:tcPr>
          <w:p w14:paraId="48391385" w14:textId="77777777" w:rsidR="00DF61BC" w:rsidRPr="00C94C33" w:rsidRDefault="00DF61BC" w:rsidP="00C705AB">
            <w:pPr>
              <w:pStyle w:val="Tabletext"/>
              <w:jc w:val="center"/>
              <w:rPr>
                <w:lang w:eastAsia="en-AU"/>
              </w:rPr>
            </w:pPr>
            <w:r w:rsidRPr="00C94C33">
              <w:rPr>
                <w:lang w:eastAsia="en-AU"/>
              </w:rPr>
              <w:t>300.54 ± 126.92</w:t>
            </w:r>
          </w:p>
        </w:tc>
        <w:tc>
          <w:tcPr>
            <w:tcW w:w="540" w:type="dxa"/>
            <w:vMerge w:val="restart"/>
            <w:tcBorders>
              <w:top w:val="single" w:sz="7" w:space="0" w:color="000000"/>
              <w:left w:val="single" w:sz="6" w:space="0" w:color="000000"/>
              <w:bottom w:val="single" w:sz="4" w:space="0" w:color="000000"/>
              <w:right w:val="single" w:sz="6" w:space="0" w:color="000000"/>
            </w:tcBorders>
          </w:tcPr>
          <w:p w14:paraId="50AEA590" w14:textId="77777777" w:rsidR="00DF61BC" w:rsidRPr="00C94C33" w:rsidRDefault="00DF61BC" w:rsidP="00C705AB">
            <w:pPr>
              <w:pStyle w:val="Tabletext"/>
              <w:jc w:val="center"/>
              <w:rPr>
                <w:lang w:eastAsia="en-AU"/>
              </w:rPr>
            </w:pPr>
            <w:r w:rsidRPr="00C94C33">
              <w:rPr>
                <w:lang w:eastAsia="en-AU"/>
              </w:rPr>
              <w:t>34</w:t>
            </w:r>
          </w:p>
        </w:tc>
        <w:tc>
          <w:tcPr>
            <w:tcW w:w="1530" w:type="dxa"/>
            <w:tcBorders>
              <w:top w:val="single" w:sz="7" w:space="0" w:color="000000"/>
              <w:left w:val="single" w:sz="6" w:space="0" w:color="000000"/>
              <w:bottom w:val="nil"/>
              <w:right w:val="single" w:sz="6" w:space="0" w:color="000000"/>
            </w:tcBorders>
          </w:tcPr>
          <w:p w14:paraId="571273C1" w14:textId="77777777" w:rsidR="00DF61BC" w:rsidRPr="00C94C33" w:rsidRDefault="00DF61BC" w:rsidP="00C705AB">
            <w:pPr>
              <w:pStyle w:val="Tabletext"/>
              <w:jc w:val="center"/>
              <w:rPr>
                <w:lang w:eastAsia="en-AU"/>
              </w:rPr>
            </w:pPr>
            <w:r w:rsidRPr="00C94C33">
              <w:rPr>
                <w:lang w:eastAsia="en-AU"/>
              </w:rPr>
              <w:t>372.13 ± 134.71</w:t>
            </w:r>
          </w:p>
        </w:tc>
        <w:tc>
          <w:tcPr>
            <w:tcW w:w="540" w:type="dxa"/>
            <w:vMerge w:val="restart"/>
            <w:tcBorders>
              <w:top w:val="single" w:sz="7" w:space="0" w:color="000000"/>
              <w:left w:val="single" w:sz="6" w:space="0" w:color="000000"/>
              <w:bottom w:val="single" w:sz="4" w:space="0" w:color="000000"/>
              <w:right w:val="single" w:sz="6" w:space="0" w:color="000000"/>
            </w:tcBorders>
          </w:tcPr>
          <w:p w14:paraId="79EFA946" w14:textId="77777777" w:rsidR="00DF61BC" w:rsidRPr="00C94C33" w:rsidRDefault="00DF61BC" w:rsidP="00C705AB">
            <w:pPr>
              <w:pStyle w:val="Tabletext"/>
              <w:jc w:val="center"/>
              <w:rPr>
                <w:lang w:eastAsia="en-AU"/>
              </w:rPr>
            </w:pPr>
            <w:r w:rsidRPr="00C94C33">
              <w:rPr>
                <w:lang w:eastAsia="en-AU"/>
              </w:rPr>
              <w:t>25</w:t>
            </w:r>
          </w:p>
        </w:tc>
        <w:tc>
          <w:tcPr>
            <w:tcW w:w="1530" w:type="dxa"/>
            <w:tcBorders>
              <w:top w:val="single" w:sz="7" w:space="0" w:color="000000"/>
              <w:left w:val="single" w:sz="6" w:space="0" w:color="000000"/>
              <w:bottom w:val="nil"/>
              <w:right w:val="single" w:sz="6" w:space="0" w:color="000000"/>
            </w:tcBorders>
          </w:tcPr>
          <w:p w14:paraId="7A3DCD6D" w14:textId="77777777" w:rsidR="00DF61BC" w:rsidRPr="00C94C33" w:rsidRDefault="00DF61BC" w:rsidP="00C705AB">
            <w:pPr>
              <w:pStyle w:val="Tabletext"/>
              <w:jc w:val="center"/>
              <w:rPr>
                <w:lang w:eastAsia="en-AU"/>
              </w:rPr>
            </w:pPr>
            <w:r w:rsidRPr="00C94C33">
              <w:rPr>
                <w:lang w:eastAsia="en-AU"/>
              </w:rPr>
              <w:t>333.07 ± 124.19</w:t>
            </w:r>
          </w:p>
        </w:tc>
        <w:tc>
          <w:tcPr>
            <w:tcW w:w="450" w:type="dxa"/>
            <w:vMerge w:val="restart"/>
            <w:tcBorders>
              <w:top w:val="single" w:sz="7" w:space="0" w:color="000000"/>
              <w:left w:val="single" w:sz="6" w:space="0" w:color="000000"/>
              <w:bottom w:val="single" w:sz="4" w:space="0" w:color="000000"/>
              <w:right w:val="single" w:sz="6" w:space="0" w:color="000000"/>
            </w:tcBorders>
          </w:tcPr>
          <w:p w14:paraId="2FFEB720" w14:textId="77777777" w:rsidR="00DF61BC" w:rsidRPr="00C94C33" w:rsidRDefault="00DF61BC" w:rsidP="00C705AB">
            <w:pPr>
              <w:pStyle w:val="Tabletext"/>
              <w:jc w:val="center"/>
              <w:rPr>
                <w:lang w:eastAsia="en-AU"/>
              </w:rPr>
            </w:pPr>
            <w:r w:rsidRPr="00C94C33">
              <w:rPr>
                <w:lang w:eastAsia="en-AU"/>
              </w:rPr>
              <w:t>9</w:t>
            </w:r>
          </w:p>
        </w:tc>
        <w:tc>
          <w:tcPr>
            <w:tcW w:w="1620" w:type="dxa"/>
            <w:tcBorders>
              <w:top w:val="single" w:sz="7" w:space="0" w:color="000000"/>
              <w:left w:val="single" w:sz="6" w:space="0" w:color="000000"/>
              <w:bottom w:val="nil"/>
              <w:right w:val="single" w:sz="6" w:space="0" w:color="000000"/>
            </w:tcBorders>
          </w:tcPr>
          <w:p w14:paraId="59C40916" w14:textId="77777777" w:rsidR="00DF61BC" w:rsidRPr="00C94C33" w:rsidRDefault="00DF61BC" w:rsidP="00C705AB">
            <w:pPr>
              <w:pStyle w:val="Tabletext"/>
              <w:jc w:val="center"/>
              <w:rPr>
                <w:lang w:eastAsia="en-AU"/>
              </w:rPr>
            </w:pPr>
            <w:r w:rsidRPr="00C94C33">
              <w:rPr>
                <w:lang w:eastAsia="en-AU"/>
              </w:rPr>
              <w:t>298.78 ± 91.62</w:t>
            </w:r>
          </w:p>
        </w:tc>
      </w:tr>
      <w:tr w:rsidR="00DF61BC" w:rsidRPr="00C94C33" w14:paraId="13E9CEA4" w14:textId="77777777" w:rsidTr="00C705AB">
        <w:trPr>
          <w:trHeight w:val="20"/>
        </w:trPr>
        <w:tc>
          <w:tcPr>
            <w:tcW w:w="1456" w:type="dxa"/>
            <w:tcBorders>
              <w:top w:val="nil"/>
              <w:left w:val="single" w:sz="6" w:space="0" w:color="000000"/>
              <w:bottom w:val="single" w:sz="4" w:space="0" w:color="000000"/>
              <w:right w:val="single" w:sz="6" w:space="0" w:color="000000"/>
            </w:tcBorders>
          </w:tcPr>
          <w:p w14:paraId="42C1D76C" w14:textId="77777777" w:rsidR="00DF61BC" w:rsidRPr="00C94C33" w:rsidRDefault="00DF61BC" w:rsidP="00C705AB">
            <w:pPr>
              <w:pStyle w:val="Tabletext"/>
              <w:jc w:val="center"/>
              <w:rPr>
                <w:lang w:eastAsia="en-AU"/>
              </w:rPr>
            </w:pPr>
            <w:r w:rsidRPr="00C94C33">
              <w:rPr>
                <w:lang w:eastAsia="en-AU"/>
              </w:rPr>
              <w:t>(ng*hr/mL)</w:t>
            </w:r>
          </w:p>
        </w:tc>
        <w:tc>
          <w:tcPr>
            <w:tcW w:w="425" w:type="dxa"/>
            <w:vMerge/>
            <w:tcBorders>
              <w:top w:val="single" w:sz="7" w:space="0" w:color="000000"/>
              <w:left w:val="single" w:sz="6" w:space="0" w:color="000000"/>
              <w:bottom w:val="single" w:sz="4" w:space="0" w:color="000000"/>
              <w:right w:val="single" w:sz="6" w:space="0" w:color="000000"/>
            </w:tcBorders>
          </w:tcPr>
          <w:p w14:paraId="217216AA" w14:textId="77777777" w:rsidR="00DF61BC" w:rsidRPr="00C94C33" w:rsidRDefault="00DF61BC" w:rsidP="00C705AB">
            <w:pPr>
              <w:pStyle w:val="Tabletext"/>
              <w:jc w:val="center"/>
              <w:rPr>
                <w:lang w:eastAsia="en-AU"/>
              </w:rPr>
            </w:pPr>
          </w:p>
        </w:tc>
        <w:tc>
          <w:tcPr>
            <w:tcW w:w="1377" w:type="dxa"/>
            <w:tcBorders>
              <w:top w:val="nil"/>
              <w:left w:val="single" w:sz="6" w:space="0" w:color="000000"/>
              <w:bottom w:val="single" w:sz="4" w:space="0" w:color="000000"/>
              <w:right w:val="single" w:sz="6" w:space="0" w:color="000000"/>
            </w:tcBorders>
          </w:tcPr>
          <w:p w14:paraId="30DC35BA" w14:textId="77777777" w:rsidR="00DF61BC" w:rsidRPr="00C94C33" w:rsidRDefault="00DF61BC" w:rsidP="00C705AB">
            <w:pPr>
              <w:pStyle w:val="Tabletext"/>
              <w:jc w:val="center"/>
              <w:rPr>
                <w:lang w:eastAsia="en-AU"/>
              </w:rPr>
            </w:pPr>
            <w:r w:rsidRPr="00C94C33">
              <w:rPr>
                <w:lang w:eastAsia="en-AU"/>
              </w:rPr>
              <w:t>(42.23)</w:t>
            </w:r>
          </w:p>
        </w:tc>
        <w:tc>
          <w:tcPr>
            <w:tcW w:w="540" w:type="dxa"/>
            <w:vMerge/>
            <w:tcBorders>
              <w:top w:val="single" w:sz="7" w:space="0" w:color="000000"/>
              <w:left w:val="single" w:sz="6" w:space="0" w:color="000000"/>
              <w:bottom w:val="single" w:sz="4" w:space="0" w:color="000000"/>
              <w:right w:val="single" w:sz="6" w:space="0" w:color="000000"/>
            </w:tcBorders>
          </w:tcPr>
          <w:p w14:paraId="0B05DC5E" w14:textId="77777777" w:rsidR="00DF61BC" w:rsidRPr="00C94C33" w:rsidRDefault="00DF61BC" w:rsidP="00C705AB">
            <w:pPr>
              <w:pStyle w:val="Tabletext"/>
              <w:jc w:val="center"/>
              <w:rPr>
                <w:lang w:eastAsia="en-AU"/>
              </w:rPr>
            </w:pPr>
          </w:p>
        </w:tc>
        <w:tc>
          <w:tcPr>
            <w:tcW w:w="1530" w:type="dxa"/>
            <w:tcBorders>
              <w:top w:val="nil"/>
              <w:left w:val="single" w:sz="6" w:space="0" w:color="000000"/>
              <w:bottom w:val="single" w:sz="4" w:space="0" w:color="000000"/>
              <w:right w:val="single" w:sz="6" w:space="0" w:color="000000"/>
            </w:tcBorders>
          </w:tcPr>
          <w:p w14:paraId="7AE3B3AC" w14:textId="77777777" w:rsidR="00DF61BC" w:rsidRPr="00C94C33" w:rsidRDefault="00DF61BC" w:rsidP="00C705AB">
            <w:pPr>
              <w:pStyle w:val="Tabletext"/>
              <w:jc w:val="center"/>
              <w:rPr>
                <w:lang w:eastAsia="en-AU"/>
              </w:rPr>
            </w:pPr>
            <w:r w:rsidRPr="00C94C33">
              <w:rPr>
                <w:lang w:eastAsia="en-AU"/>
              </w:rPr>
              <w:t>(36.20)</w:t>
            </w:r>
          </w:p>
        </w:tc>
        <w:tc>
          <w:tcPr>
            <w:tcW w:w="540" w:type="dxa"/>
            <w:vMerge/>
            <w:tcBorders>
              <w:top w:val="single" w:sz="7" w:space="0" w:color="000000"/>
              <w:left w:val="single" w:sz="6" w:space="0" w:color="000000"/>
              <w:bottom w:val="single" w:sz="4" w:space="0" w:color="000000"/>
              <w:right w:val="single" w:sz="6" w:space="0" w:color="000000"/>
            </w:tcBorders>
          </w:tcPr>
          <w:p w14:paraId="0C70D02A" w14:textId="77777777" w:rsidR="00DF61BC" w:rsidRPr="00C94C33" w:rsidRDefault="00DF61BC" w:rsidP="00C705AB">
            <w:pPr>
              <w:pStyle w:val="Tabletext"/>
              <w:jc w:val="center"/>
              <w:rPr>
                <w:lang w:eastAsia="en-AU"/>
              </w:rPr>
            </w:pPr>
          </w:p>
        </w:tc>
        <w:tc>
          <w:tcPr>
            <w:tcW w:w="1530" w:type="dxa"/>
            <w:tcBorders>
              <w:top w:val="nil"/>
              <w:left w:val="single" w:sz="6" w:space="0" w:color="000000"/>
              <w:bottom w:val="single" w:sz="4" w:space="0" w:color="000000"/>
              <w:right w:val="single" w:sz="6" w:space="0" w:color="000000"/>
            </w:tcBorders>
          </w:tcPr>
          <w:p w14:paraId="5EEE8657" w14:textId="77777777" w:rsidR="00DF61BC" w:rsidRPr="00C94C33" w:rsidRDefault="00DF61BC" w:rsidP="00C705AB">
            <w:pPr>
              <w:pStyle w:val="Tabletext"/>
              <w:jc w:val="center"/>
              <w:rPr>
                <w:lang w:eastAsia="en-AU"/>
              </w:rPr>
            </w:pPr>
            <w:r w:rsidRPr="00C94C33">
              <w:rPr>
                <w:lang w:eastAsia="en-AU"/>
              </w:rPr>
              <w:t>(37.29)</w:t>
            </w:r>
          </w:p>
        </w:tc>
        <w:tc>
          <w:tcPr>
            <w:tcW w:w="450" w:type="dxa"/>
            <w:vMerge/>
            <w:tcBorders>
              <w:top w:val="single" w:sz="7" w:space="0" w:color="000000"/>
              <w:left w:val="single" w:sz="6" w:space="0" w:color="000000"/>
              <w:bottom w:val="single" w:sz="4" w:space="0" w:color="000000"/>
              <w:right w:val="single" w:sz="6" w:space="0" w:color="000000"/>
            </w:tcBorders>
          </w:tcPr>
          <w:p w14:paraId="7FA4A273" w14:textId="77777777" w:rsidR="00DF61BC" w:rsidRPr="00C94C33" w:rsidRDefault="00DF61BC" w:rsidP="00C705AB">
            <w:pPr>
              <w:pStyle w:val="Tabletext"/>
              <w:jc w:val="center"/>
              <w:rPr>
                <w:lang w:eastAsia="en-AU"/>
              </w:rPr>
            </w:pPr>
          </w:p>
        </w:tc>
        <w:tc>
          <w:tcPr>
            <w:tcW w:w="1620" w:type="dxa"/>
            <w:tcBorders>
              <w:top w:val="nil"/>
              <w:left w:val="single" w:sz="6" w:space="0" w:color="000000"/>
              <w:bottom w:val="single" w:sz="4" w:space="0" w:color="000000"/>
              <w:right w:val="single" w:sz="6" w:space="0" w:color="000000"/>
            </w:tcBorders>
          </w:tcPr>
          <w:p w14:paraId="69F916BA" w14:textId="77777777" w:rsidR="00DF61BC" w:rsidRPr="00C94C33" w:rsidRDefault="00DF61BC" w:rsidP="00C705AB">
            <w:pPr>
              <w:pStyle w:val="Tabletext"/>
              <w:jc w:val="center"/>
              <w:rPr>
                <w:lang w:eastAsia="en-AU"/>
              </w:rPr>
            </w:pPr>
            <w:r w:rsidRPr="00C94C33">
              <w:rPr>
                <w:lang w:eastAsia="en-AU"/>
              </w:rPr>
              <w:t>(30.66)</w:t>
            </w:r>
          </w:p>
        </w:tc>
      </w:tr>
      <w:tr w:rsidR="00DF61BC" w:rsidRPr="00C94C33" w14:paraId="54D5770E" w14:textId="77777777" w:rsidTr="00C705AB">
        <w:trPr>
          <w:trHeight w:val="20"/>
        </w:trPr>
        <w:tc>
          <w:tcPr>
            <w:tcW w:w="1456" w:type="dxa"/>
            <w:vMerge w:val="restart"/>
            <w:tcBorders>
              <w:top w:val="single" w:sz="4" w:space="0" w:color="000000"/>
              <w:left w:val="single" w:sz="6" w:space="0" w:color="000000"/>
              <w:bottom w:val="single" w:sz="4" w:space="0" w:color="000000"/>
              <w:right w:val="single" w:sz="6" w:space="0" w:color="000000"/>
            </w:tcBorders>
          </w:tcPr>
          <w:p w14:paraId="0BA920BB" w14:textId="77777777" w:rsidR="00DF61BC" w:rsidRPr="00C94C33" w:rsidRDefault="00DF61BC" w:rsidP="00C705AB">
            <w:pPr>
              <w:pStyle w:val="Tabletext"/>
              <w:jc w:val="center"/>
              <w:rPr>
                <w:lang w:eastAsia="en-AU"/>
              </w:rPr>
            </w:pPr>
            <w:r w:rsidRPr="00C94C33">
              <w:rPr>
                <w:lang w:eastAsia="en-AU"/>
              </w:rPr>
              <w:t>C</w:t>
            </w:r>
            <w:r w:rsidRPr="00C94C33">
              <w:rPr>
                <w:position w:val="-3"/>
                <w:lang w:eastAsia="en-AU"/>
              </w:rPr>
              <w:t>max</w:t>
            </w:r>
            <w:r w:rsidRPr="00C94C33">
              <w:rPr>
                <w:spacing w:val="16"/>
                <w:position w:val="-3"/>
                <w:lang w:eastAsia="en-AU"/>
              </w:rPr>
              <w:t xml:space="preserve"> </w:t>
            </w:r>
            <w:r w:rsidRPr="00C94C33">
              <w:rPr>
                <w:lang w:eastAsia="en-AU"/>
              </w:rPr>
              <w:t>(ng/mL)</w:t>
            </w:r>
          </w:p>
        </w:tc>
        <w:tc>
          <w:tcPr>
            <w:tcW w:w="425" w:type="dxa"/>
            <w:vMerge w:val="restart"/>
            <w:tcBorders>
              <w:top w:val="single" w:sz="4" w:space="0" w:color="000000"/>
              <w:left w:val="single" w:sz="6" w:space="0" w:color="000000"/>
              <w:bottom w:val="single" w:sz="4" w:space="0" w:color="000000"/>
              <w:right w:val="single" w:sz="6" w:space="0" w:color="000000"/>
            </w:tcBorders>
          </w:tcPr>
          <w:p w14:paraId="72594D6B" w14:textId="77777777" w:rsidR="00DF61BC" w:rsidRPr="00C94C33" w:rsidRDefault="00DF61BC" w:rsidP="00C705AB">
            <w:pPr>
              <w:pStyle w:val="Tabletext"/>
              <w:jc w:val="center"/>
              <w:rPr>
                <w:lang w:eastAsia="en-AU"/>
              </w:rPr>
            </w:pPr>
            <w:r w:rsidRPr="00C94C33">
              <w:rPr>
                <w:lang w:eastAsia="en-AU"/>
              </w:rPr>
              <w:t>19</w:t>
            </w:r>
          </w:p>
        </w:tc>
        <w:tc>
          <w:tcPr>
            <w:tcW w:w="1377" w:type="dxa"/>
            <w:tcBorders>
              <w:top w:val="single" w:sz="4" w:space="0" w:color="000000"/>
              <w:left w:val="single" w:sz="6" w:space="0" w:color="000000"/>
              <w:bottom w:val="nil"/>
              <w:right w:val="single" w:sz="6" w:space="0" w:color="000000"/>
            </w:tcBorders>
          </w:tcPr>
          <w:p w14:paraId="66FBF782" w14:textId="77777777" w:rsidR="00DF61BC" w:rsidRPr="00C94C33" w:rsidRDefault="00DF61BC" w:rsidP="00C705AB">
            <w:pPr>
              <w:pStyle w:val="Tabletext"/>
              <w:jc w:val="center"/>
              <w:rPr>
                <w:lang w:eastAsia="en-AU"/>
              </w:rPr>
            </w:pPr>
            <w:r w:rsidRPr="00C94C33">
              <w:rPr>
                <w:lang w:eastAsia="en-AU"/>
              </w:rPr>
              <w:t>68.68 ± 29.71</w:t>
            </w:r>
          </w:p>
        </w:tc>
        <w:tc>
          <w:tcPr>
            <w:tcW w:w="540" w:type="dxa"/>
            <w:vMerge w:val="restart"/>
            <w:tcBorders>
              <w:top w:val="single" w:sz="4" w:space="0" w:color="000000"/>
              <w:left w:val="single" w:sz="6" w:space="0" w:color="000000"/>
              <w:bottom w:val="single" w:sz="4" w:space="0" w:color="000000"/>
              <w:right w:val="single" w:sz="6" w:space="0" w:color="000000"/>
            </w:tcBorders>
          </w:tcPr>
          <w:p w14:paraId="6B5316F5" w14:textId="77777777" w:rsidR="00DF61BC" w:rsidRPr="00C94C33" w:rsidRDefault="00DF61BC" w:rsidP="00C705AB">
            <w:pPr>
              <w:pStyle w:val="Tabletext"/>
              <w:jc w:val="center"/>
              <w:rPr>
                <w:lang w:eastAsia="en-AU"/>
              </w:rPr>
            </w:pPr>
            <w:r w:rsidRPr="00C94C33">
              <w:rPr>
                <w:lang w:eastAsia="en-AU"/>
              </w:rPr>
              <w:t>34</w:t>
            </w:r>
          </w:p>
        </w:tc>
        <w:tc>
          <w:tcPr>
            <w:tcW w:w="1530" w:type="dxa"/>
            <w:tcBorders>
              <w:top w:val="single" w:sz="4" w:space="0" w:color="000000"/>
              <w:left w:val="single" w:sz="6" w:space="0" w:color="000000"/>
              <w:bottom w:val="nil"/>
              <w:right w:val="single" w:sz="6" w:space="0" w:color="000000"/>
            </w:tcBorders>
          </w:tcPr>
          <w:p w14:paraId="6DA4A1F2" w14:textId="77777777" w:rsidR="00DF61BC" w:rsidRPr="00C94C33" w:rsidRDefault="00DF61BC" w:rsidP="00C705AB">
            <w:pPr>
              <w:pStyle w:val="Tabletext"/>
              <w:jc w:val="center"/>
              <w:rPr>
                <w:lang w:eastAsia="en-AU"/>
              </w:rPr>
            </w:pPr>
            <w:r w:rsidRPr="00C94C33">
              <w:rPr>
                <w:lang w:eastAsia="en-AU"/>
              </w:rPr>
              <w:t>69.35 ± 27.45</w:t>
            </w:r>
          </w:p>
        </w:tc>
        <w:tc>
          <w:tcPr>
            <w:tcW w:w="540" w:type="dxa"/>
            <w:vMerge w:val="restart"/>
            <w:tcBorders>
              <w:top w:val="single" w:sz="4" w:space="0" w:color="000000"/>
              <w:left w:val="single" w:sz="6" w:space="0" w:color="000000"/>
              <w:bottom w:val="single" w:sz="4" w:space="0" w:color="000000"/>
              <w:right w:val="single" w:sz="6" w:space="0" w:color="000000"/>
            </w:tcBorders>
          </w:tcPr>
          <w:p w14:paraId="5FE5C550" w14:textId="77777777" w:rsidR="00DF61BC" w:rsidRPr="00C94C33" w:rsidRDefault="00DF61BC" w:rsidP="00C705AB">
            <w:pPr>
              <w:pStyle w:val="Tabletext"/>
              <w:jc w:val="center"/>
              <w:rPr>
                <w:lang w:eastAsia="en-AU"/>
              </w:rPr>
            </w:pPr>
            <w:r w:rsidRPr="00C94C33">
              <w:rPr>
                <w:lang w:eastAsia="en-AU"/>
              </w:rPr>
              <w:t>25</w:t>
            </w:r>
          </w:p>
        </w:tc>
        <w:tc>
          <w:tcPr>
            <w:tcW w:w="1530" w:type="dxa"/>
            <w:tcBorders>
              <w:top w:val="single" w:sz="4" w:space="0" w:color="000000"/>
              <w:left w:val="single" w:sz="6" w:space="0" w:color="000000"/>
              <w:bottom w:val="nil"/>
              <w:right w:val="single" w:sz="6" w:space="0" w:color="000000"/>
            </w:tcBorders>
          </w:tcPr>
          <w:p w14:paraId="0CCF6668" w14:textId="77777777" w:rsidR="00DF61BC" w:rsidRPr="00C94C33" w:rsidRDefault="00DF61BC" w:rsidP="00C705AB">
            <w:pPr>
              <w:pStyle w:val="Tabletext"/>
              <w:jc w:val="center"/>
              <w:rPr>
                <w:lang w:eastAsia="en-AU"/>
              </w:rPr>
            </w:pPr>
            <w:r w:rsidRPr="00C94C33">
              <w:rPr>
                <w:lang w:eastAsia="en-AU"/>
              </w:rPr>
              <w:t>65.61 ± 25.46</w:t>
            </w:r>
          </w:p>
        </w:tc>
        <w:tc>
          <w:tcPr>
            <w:tcW w:w="450" w:type="dxa"/>
            <w:vMerge w:val="restart"/>
            <w:tcBorders>
              <w:top w:val="single" w:sz="4" w:space="0" w:color="000000"/>
              <w:left w:val="single" w:sz="6" w:space="0" w:color="000000"/>
              <w:bottom w:val="single" w:sz="4" w:space="0" w:color="000000"/>
              <w:right w:val="single" w:sz="6" w:space="0" w:color="000000"/>
            </w:tcBorders>
          </w:tcPr>
          <w:p w14:paraId="0B985D2E" w14:textId="77777777" w:rsidR="00DF61BC" w:rsidRPr="00C94C33" w:rsidRDefault="00DF61BC" w:rsidP="00C705AB">
            <w:pPr>
              <w:pStyle w:val="Tabletext"/>
              <w:jc w:val="center"/>
              <w:rPr>
                <w:lang w:eastAsia="en-AU"/>
              </w:rPr>
            </w:pPr>
            <w:r w:rsidRPr="00C94C33">
              <w:rPr>
                <w:lang w:eastAsia="en-AU"/>
              </w:rPr>
              <w:t>9</w:t>
            </w:r>
          </w:p>
        </w:tc>
        <w:tc>
          <w:tcPr>
            <w:tcW w:w="1620" w:type="dxa"/>
            <w:tcBorders>
              <w:top w:val="single" w:sz="4" w:space="0" w:color="000000"/>
              <w:left w:val="single" w:sz="6" w:space="0" w:color="000000"/>
              <w:bottom w:val="nil"/>
              <w:right w:val="single" w:sz="6" w:space="0" w:color="000000"/>
            </w:tcBorders>
          </w:tcPr>
          <w:p w14:paraId="6F3B666E" w14:textId="77777777" w:rsidR="00DF61BC" w:rsidRPr="00C94C33" w:rsidRDefault="00DF61BC" w:rsidP="00C705AB">
            <w:pPr>
              <w:pStyle w:val="Tabletext"/>
              <w:jc w:val="center"/>
              <w:rPr>
                <w:lang w:eastAsia="en-AU"/>
              </w:rPr>
            </w:pPr>
            <w:r w:rsidRPr="00C94C33">
              <w:rPr>
                <w:lang w:eastAsia="en-AU"/>
              </w:rPr>
              <w:t>53.70 ± 17.05</w:t>
            </w:r>
          </w:p>
        </w:tc>
      </w:tr>
      <w:tr w:rsidR="00DF61BC" w:rsidRPr="00C94C33" w14:paraId="63CA02DD" w14:textId="77777777" w:rsidTr="00C705AB">
        <w:trPr>
          <w:trHeight w:val="20"/>
        </w:trPr>
        <w:tc>
          <w:tcPr>
            <w:tcW w:w="1456" w:type="dxa"/>
            <w:vMerge/>
            <w:tcBorders>
              <w:top w:val="single" w:sz="4" w:space="0" w:color="000000"/>
              <w:left w:val="single" w:sz="6" w:space="0" w:color="000000"/>
              <w:bottom w:val="single" w:sz="4" w:space="0" w:color="000000"/>
              <w:right w:val="single" w:sz="6" w:space="0" w:color="000000"/>
            </w:tcBorders>
          </w:tcPr>
          <w:p w14:paraId="1C453FE9" w14:textId="77777777" w:rsidR="00DF61BC" w:rsidRPr="00C94C33" w:rsidRDefault="00DF61BC" w:rsidP="00C705AB">
            <w:pPr>
              <w:pStyle w:val="Tabletext"/>
              <w:jc w:val="center"/>
              <w:rPr>
                <w:lang w:eastAsia="en-AU"/>
              </w:rPr>
            </w:pPr>
          </w:p>
        </w:tc>
        <w:tc>
          <w:tcPr>
            <w:tcW w:w="425" w:type="dxa"/>
            <w:vMerge/>
            <w:tcBorders>
              <w:top w:val="single" w:sz="4" w:space="0" w:color="000000"/>
              <w:left w:val="single" w:sz="6" w:space="0" w:color="000000"/>
              <w:bottom w:val="single" w:sz="4" w:space="0" w:color="000000"/>
              <w:right w:val="single" w:sz="6" w:space="0" w:color="000000"/>
            </w:tcBorders>
          </w:tcPr>
          <w:p w14:paraId="27B18FBC" w14:textId="77777777" w:rsidR="00DF61BC" w:rsidRPr="00C94C33" w:rsidRDefault="00DF61BC" w:rsidP="00C705AB">
            <w:pPr>
              <w:pStyle w:val="Tabletext"/>
              <w:jc w:val="center"/>
              <w:rPr>
                <w:lang w:eastAsia="en-AU"/>
              </w:rPr>
            </w:pPr>
          </w:p>
        </w:tc>
        <w:tc>
          <w:tcPr>
            <w:tcW w:w="1377" w:type="dxa"/>
            <w:tcBorders>
              <w:top w:val="nil"/>
              <w:left w:val="single" w:sz="6" w:space="0" w:color="000000"/>
              <w:bottom w:val="single" w:sz="4" w:space="0" w:color="000000"/>
              <w:right w:val="single" w:sz="6" w:space="0" w:color="000000"/>
            </w:tcBorders>
          </w:tcPr>
          <w:p w14:paraId="61E3DAB7" w14:textId="77777777" w:rsidR="00DF61BC" w:rsidRPr="00C94C33" w:rsidRDefault="00DF61BC" w:rsidP="00C705AB">
            <w:pPr>
              <w:pStyle w:val="Tabletext"/>
              <w:jc w:val="center"/>
              <w:rPr>
                <w:lang w:eastAsia="en-AU"/>
              </w:rPr>
            </w:pPr>
            <w:r w:rsidRPr="00C94C33">
              <w:rPr>
                <w:lang w:eastAsia="en-AU"/>
              </w:rPr>
              <w:t>(43.25)</w:t>
            </w:r>
          </w:p>
        </w:tc>
        <w:tc>
          <w:tcPr>
            <w:tcW w:w="540" w:type="dxa"/>
            <w:vMerge/>
            <w:tcBorders>
              <w:top w:val="single" w:sz="4" w:space="0" w:color="000000"/>
              <w:left w:val="single" w:sz="6" w:space="0" w:color="000000"/>
              <w:bottom w:val="single" w:sz="4" w:space="0" w:color="000000"/>
              <w:right w:val="single" w:sz="6" w:space="0" w:color="000000"/>
            </w:tcBorders>
          </w:tcPr>
          <w:p w14:paraId="7D4A79E4" w14:textId="77777777" w:rsidR="00DF61BC" w:rsidRPr="00C94C33" w:rsidRDefault="00DF61BC" w:rsidP="00C705AB">
            <w:pPr>
              <w:pStyle w:val="Tabletext"/>
              <w:jc w:val="center"/>
              <w:rPr>
                <w:lang w:eastAsia="en-AU"/>
              </w:rPr>
            </w:pPr>
          </w:p>
        </w:tc>
        <w:tc>
          <w:tcPr>
            <w:tcW w:w="1530" w:type="dxa"/>
            <w:tcBorders>
              <w:top w:val="nil"/>
              <w:left w:val="single" w:sz="6" w:space="0" w:color="000000"/>
              <w:bottom w:val="single" w:sz="4" w:space="0" w:color="000000"/>
              <w:right w:val="single" w:sz="6" w:space="0" w:color="000000"/>
            </w:tcBorders>
          </w:tcPr>
          <w:p w14:paraId="2D3310BF" w14:textId="77777777" w:rsidR="00DF61BC" w:rsidRPr="00C94C33" w:rsidRDefault="00DF61BC" w:rsidP="00C705AB">
            <w:pPr>
              <w:pStyle w:val="Tabletext"/>
              <w:jc w:val="center"/>
              <w:rPr>
                <w:lang w:eastAsia="en-AU"/>
              </w:rPr>
            </w:pPr>
            <w:r w:rsidRPr="00C94C33">
              <w:rPr>
                <w:lang w:eastAsia="en-AU"/>
              </w:rPr>
              <w:t>(39.58)</w:t>
            </w:r>
          </w:p>
        </w:tc>
        <w:tc>
          <w:tcPr>
            <w:tcW w:w="540" w:type="dxa"/>
            <w:vMerge/>
            <w:tcBorders>
              <w:top w:val="single" w:sz="4" w:space="0" w:color="000000"/>
              <w:left w:val="single" w:sz="6" w:space="0" w:color="000000"/>
              <w:bottom w:val="single" w:sz="4" w:space="0" w:color="000000"/>
              <w:right w:val="single" w:sz="6" w:space="0" w:color="000000"/>
            </w:tcBorders>
          </w:tcPr>
          <w:p w14:paraId="1B163F0A" w14:textId="77777777" w:rsidR="00DF61BC" w:rsidRPr="00C94C33" w:rsidRDefault="00DF61BC" w:rsidP="00C705AB">
            <w:pPr>
              <w:pStyle w:val="Tabletext"/>
              <w:jc w:val="center"/>
              <w:rPr>
                <w:lang w:eastAsia="en-AU"/>
              </w:rPr>
            </w:pPr>
          </w:p>
        </w:tc>
        <w:tc>
          <w:tcPr>
            <w:tcW w:w="1530" w:type="dxa"/>
            <w:tcBorders>
              <w:top w:val="nil"/>
              <w:left w:val="single" w:sz="6" w:space="0" w:color="000000"/>
              <w:bottom w:val="single" w:sz="4" w:space="0" w:color="000000"/>
              <w:right w:val="single" w:sz="6" w:space="0" w:color="000000"/>
            </w:tcBorders>
          </w:tcPr>
          <w:p w14:paraId="3F7D1955" w14:textId="77777777" w:rsidR="00DF61BC" w:rsidRPr="00C94C33" w:rsidRDefault="00DF61BC" w:rsidP="00C705AB">
            <w:pPr>
              <w:pStyle w:val="Tabletext"/>
              <w:jc w:val="center"/>
              <w:rPr>
                <w:lang w:eastAsia="en-AU"/>
              </w:rPr>
            </w:pPr>
            <w:r w:rsidRPr="00C94C33">
              <w:rPr>
                <w:lang w:eastAsia="en-AU"/>
              </w:rPr>
              <w:t>(38.81)</w:t>
            </w:r>
          </w:p>
        </w:tc>
        <w:tc>
          <w:tcPr>
            <w:tcW w:w="450" w:type="dxa"/>
            <w:vMerge/>
            <w:tcBorders>
              <w:top w:val="single" w:sz="4" w:space="0" w:color="000000"/>
              <w:left w:val="single" w:sz="6" w:space="0" w:color="000000"/>
              <w:bottom w:val="single" w:sz="4" w:space="0" w:color="000000"/>
              <w:right w:val="single" w:sz="6" w:space="0" w:color="000000"/>
            </w:tcBorders>
          </w:tcPr>
          <w:p w14:paraId="3D419C48" w14:textId="77777777" w:rsidR="00DF61BC" w:rsidRPr="00C94C33" w:rsidRDefault="00DF61BC" w:rsidP="00C705AB">
            <w:pPr>
              <w:pStyle w:val="Tabletext"/>
              <w:jc w:val="center"/>
              <w:rPr>
                <w:lang w:eastAsia="en-AU"/>
              </w:rPr>
            </w:pPr>
          </w:p>
        </w:tc>
        <w:tc>
          <w:tcPr>
            <w:tcW w:w="1620" w:type="dxa"/>
            <w:tcBorders>
              <w:top w:val="nil"/>
              <w:left w:val="single" w:sz="6" w:space="0" w:color="000000"/>
              <w:bottom w:val="single" w:sz="4" w:space="0" w:color="000000"/>
              <w:right w:val="single" w:sz="6" w:space="0" w:color="000000"/>
            </w:tcBorders>
          </w:tcPr>
          <w:p w14:paraId="19155E29" w14:textId="77777777" w:rsidR="00DF61BC" w:rsidRPr="00C94C33" w:rsidRDefault="00DF61BC" w:rsidP="00C705AB">
            <w:pPr>
              <w:pStyle w:val="Tabletext"/>
              <w:jc w:val="center"/>
              <w:rPr>
                <w:lang w:eastAsia="en-AU"/>
              </w:rPr>
            </w:pPr>
            <w:r w:rsidRPr="00C94C33">
              <w:rPr>
                <w:lang w:eastAsia="en-AU"/>
              </w:rPr>
              <w:t>(31.76)</w:t>
            </w:r>
          </w:p>
        </w:tc>
      </w:tr>
      <w:tr w:rsidR="00DF61BC" w:rsidRPr="00C94C33" w14:paraId="40B88346" w14:textId="77777777" w:rsidTr="00C705AB">
        <w:trPr>
          <w:trHeight w:val="20"/>
        </w:trPr>
        <w:tc>
          <w:tcPr>
            <w:tcW w:w="1456" w:type="dxa"/>
            <w:tcBorders>
              <w:top w:val="single" w:sz="4" w:space="0" w:color="000000"/>
              <w:left w:val="single" w:sz="6" w:space="0" w:color="000000"/>
              <w:bottom w:val="single" w:sz="4" w:space="0" w:color="000000"/>
              <w:right w:val="single" w:sz="6" w:space="0" w:color="000000"/>
            </w:tcBorders>
          </w:tcPr>
          <w:p w14:paraId="57DCCC6C" w14:textId="1E9DACE6" w:rsidR="00DF61BC" w:rsidRPr="00C94C33" w:rsidRDefault="00DF61BC" w:rsidP="00C705AB">
            <w:pPr>
              <w:pStyle w:val="Tabletext"/>
              <w:jc w:val="center"/>
              <w:rPr>
                <w:lang w:eastAsia="en-AU"/>
              </w:rPr>
            </w:pPr>
            <w:r w:rsidRPr="00C94C33">
              <w:rPr>
                <w:lang w:eastAsia="en-AU"/>
              </w:rPr>
              <w:t>T</w:t>
            </w:r>
            <w:r w:rsidRPr="00C94C33">
              <w:rPr>
                <w:spacing w:val="27"/>
                <w:lang w:eastAsia="en-AU"/>
              </w:rPr>
              <w:t xml:space="preserve"> </w:t>
            </w:r>
            <w:r w:rsidRPr="00C94C33">
              <w:rPr>
                <w:lang w:eastAsia="en-AU"/>
              </w:rPr>
              <w:t>(hours)</w:t>
            </w:r>
            <w:r w:rsidRPr="00C94C33">
              <w:rPr>
                <w:spacing w:val="8"/>
                <w:lang w:eastAsia="en-AU"/>
              </w:rPr>
              <w:t xml:space="preserve"> </w:t>
            </w:r>
            <w:r w:rsidRPr="00C94C33">
              <w:rPr>
                <w:position w:val="10"/>
                <w:lang w:eastAsia="en-AU"/>
              </w:rPr>
              <w:t>a</w:t>
            </w:r>
          </w:p>
          <w:p w14:paraId="4C9B39E7" w14:textId="77777777" w:rsidR="00DF61BC" w:rsidRPr="00C94C33" w:rsidRDefault="00DF61BC" w:rsidP="00C705AB">
            <w:pPr>
              <w:pStyle w:val="Tabletext"/>
              <w:jc w:val="center"/>
              <w:rPr>
                <w:lang w:eastAsia="en-AU"/>
              </w:rPr>
            </w:pPr>
            <w:r w:rsidRPr="00C94C33">
              <w:rPr>
                <w:lang w:eastAsia="en-AU"/>
              </w:rPr>
              <w:t>max</w:t>
            </w:r>
          </w:p>
        </w:tc>
        <w:tc>
          <w:tcPr>
            <w:tcW w:w="425" w:type="dxa"/>
            <w:tcBorders>
              <w:top w:val="single" w:sz="4" w:space="0" w:color="000000"/>
              <w:left w:val="single" w:sz="6" w:space="0" w:color="000000"/>
              <w:bottom w:val="single" w:sz="4" w:space="0" w:color="000000"/>
              <w:right w:val="single" w:sz="6" w:space="0" w:color="000000"/>
            </w:tcBorders>
          </w:tcPr>
          <w:p w14:paraId="7A09379E" w14:textId="77777777" w:rsidR="00DF61BC" w:rsidRPr="00C94C33" w:rsidRDefault="00DF61BC" w:rsidP="00C705AB">
            <w:pPr>
              <w:pStyle w:val="Tabletext"/>
              <w:jc w:val="center"/>
              <w:rPr>
                <w:lang w:eastAsia="en-AU"/>
              </w:rPr>
            </w:pPr>
            <w:r w:rsidRPr="00C94C33">
              <w:rPr>
                <w:lang w:eastAsia="en-AU"/>
              </w:rPr>
              <w:t>19</w:t>
            </w:r>
          </w:p>
        </w:tc>
        <w:tc>
          <w:tcPr>
            <w:tcW w:w="1377" w:type="dxa"/>
            <w:tcBorders>
              <w:top w:val="single" w:sz="4" w:space="0" w:color="000000"/>
              <w:left w:val="single" w:sz="6" w:space="0" w:color="000000"/>
              <w:bottom w:val="single" w:sz="4" w:space="0" w:color="000000"/>
              <w:right w:val="single" w:sz="6" w:space="0" w:color="000000"/>
            </w:tcBorders>
          </w:tcPr>
          <w:p w14:paraId="4EA7AD65" w14:textId="77777777" w:rsidR="00DF61BC" w:rsidRPr="00C94C33" w:rsidRDefault="00DF61BC" w:rsidP="00C705AB">
            <w:pPr>
              <w:pStyle w:val="Tabletext"/>
              <w:jc w:val="center"/>
              <w:rPr>
                <w:lang w:eastAsia="en-AU"/>
              </w:rPr>
            </w:pPr>
            <w:r w:rsidRPr="00C94C33">
              <w:rPr>
                <w:lang w:eastAsia="en-AU"/>
              </w:rPr>
              <w:t>3.00 (1.02, 8.00)</w:t>
            </w:r>
          </w:p>
        </w:tc>
        <w:tc>
          <w:tcPr>
            <w:tcW w:w="540" w:type="dxa"/>
            <w:tcBorders>
              <w:top w:val="single" w:sz="4" w:space="0" w:color="000000"/>
              <w:left w:val="single" w:sz="6" w:space="0" w:color="000000"/>
              <w:bottom w:val="single" w:sz="4" w:space="0" w:color="000000"/>
              <w:right w:val="single" w:sz="6" w:space="0" w:color="000000"/>
            </w:tcBorders>
          </w:tcPr>
          <w:p w14:paraId="11B3E56B" w14:textId="77777777" w:rsidR="00DF61BC" w:rsidRPr="00C94C33" w:rsidRDefault="00DF61BC" w:rsidP="00C705AB">
            <w:pPr>
              <w:pStyle w:val="Tabletext"/>
              <w:jc w:val="center"/>
              <w:rPr>
                <w:lang w:eastAsia="en-AU"/>
              </w:rPr>
            </w:pPr>
            <w:r w:rsidRPr="00C94C33">
              <w:rPr>
                <w:lang w:eastAsia="en-AU"/>
              </w:rPr>
              <w:t>34</w:t>
            </w:r>
          </w:p>
        </w:tc>
        <w:tc>
          <w:tcPr>
            <w:tcW w:w="1530" w:type="dxa"/>
            <w:tcBorders>
              <w:top w:val="single" w:sz="4" w:space="0" w:color="000000"/>
              <w:left w:val="single" w:sz="6" w:space="0" w:color="000000"/>
              <w:bottom w:val="single" w:sz="4" w:space="0" w:color="000000"/>
              <w:right w:val="single" w:sz="6" w:space="0" w:color="000000"/>
            </w:tcBorders>
          </w:tcPr>
          <w:p w14:paraId="3D74F8A9" w14:textId="77777777" w:rsidR="00DF61BC" w:rsidRPr="00C94C33" w:rsidRDefault="00DF61BC" w:rsidP="00C705AB">
            <w:pPr>
              <w:pStyle w:val="Tabletext"/>
              <w:jc w:val="center"/>
              <w:rPr>
                <w:lang w:eastAsia="en-AU"/>
              </w:rPr>
            </w:pPr>
            <w:r w:rsidRPr="00C94C33">
              <w:rPr>
                <w:lang w:eastAsia="en-AU"/>
              </w:rPr>
              <w:t>2.01 (1.00, 8.03)</w:t>
            </w:r>
          </w:p>
        </w:tc>
        <w:tc>
          <w:tcPr>
            <w:tcW w:w="540" w:type="dxa"/>
            <w:tcBorders>
              <w:top w:val="single" w:sz="4" w:space="0" w:color="000000"/>
              <w:left w:val="single" w:sz="6" w:space="0" w:color="000000"/>
              <w:bottom w:val="single" w:sz="4" w:space="0" w:color="000000"/>
              <w:right w:val="single" w:sz="6" w:space="0" w:color="000000"/>
            </w:tcBorders>
          </w:tcPr>
          <w:p w14:paraId="4B744D7A" w14:textId="77777777" w:rsidR="00DF61BC" w:rsidRPr="00C94C33" w:rsidRDefault="00DF61BC" w:rsidP="00C705AB">
            <w:pPr>
              <w:pStyle w:val="Tabletext"/>
              <w:jc w:val="center"/>
              <w:rPr>
                <w:lang w:eastAsia="en-AU"/>
              </w:rPr>
            </w:pPr>
            <w:r w:rsidRPr="00C94C33">
              <w:rPr>
                <w:lang w:eastAsia="en-AU"/>
              </w:rPr>
              <w:t>25</w:t>
            </w:r>
          </w:p>
        </w:tc>
        <w:tc>
          <w:tcPr>
            <w:tcW w:w="1530" w:type="dxa"/>
            <w:tcBorders>
              <w:top w:val="single" w:sz="4" w:space="0" w:color="000000"/>
              <w:left w:val="single" w:sz="6" w:space="0" w:color="000000"/>
              <w:bottom w:val="single" w:sz="4" w:space="0" w:color="000000"/>
              <w:right w:val="single" w:sz="6" w:space="0" w:color="000000"/>
            </w:tcBorders>
          </w:tcPr>
          <w:p w14:paraId="47CD123E" w14:textId="77777777" w:rsidR="00DF61BC" w:rsidRPr="00C94C33" w:rsidRDefault="00DF61BC" w:rsidP="00C705AB">
            <w:pPr>
              <w:pStyle w:val="Tabletext"/>
              <w:jc w:val="center"/>
              <w:rPr>
                <w:lang w:eastAsia="en-AU"/>
              </w:rPr>
            </w:pPr>
            <w:r w:rsidRPr="00C94C33">
              <w:rPr>
                <w:lang w:eastAsia="en-AU"/>
              </w:rPr>
              <w:t>3.25 (1.00, 8.00)</w:t>
            </w:r>
          </w:p>
        </w:tc>
        <w:tc>
          <w:tcPr>
            <w:tcW w:w="450" w:type="dxa"/>
            <w:tcBorders>
              <w:top w:val="single" w:sz="4" w:space="0" w:color="000000"/>
              <w:left w:val="single" w:sz="6" w:space="0" w:color="000000"/>
              <w:bottom w:val="single" w:sz="4" w:space="0" w:color="000000"/>
              <w:right w:val="single" w:sz="6" w:space="0" w:color="000000"/>
            </w:tcBorders>
          </w:tcPr>
          <w:p w14:paraId="2141B4F5" w14:textId="77777777" w:rsidR="00DF61BC" w:rsidRPr="00C94C33" w:rsidRDefault="00DF61BC" w:rsidP="00C705AB">
            <w:pPr>
              <w:pStyle w:val="Tabletext"/>
              <w:jc w:val="center"/>
              <w:rPr>
                <w:lang w:eastAsia="en-AU"/>
              </w:rPr>
            </w:pPr>
            <w:r w:rsidRPr="00C94C33">
              <w:rPr>
                <w:lang w:eastAsia="en-AU"/>
              </w:rPr>
              <w:t>9</w:t>
            </w:r>
          </w:p>
        </w:tc>
        <w:tc>
          <w:tcPr>
            <w:tcW w:w="1620" w:type="dxa"/>
            <w:tcBorders>
              <w:top w:val="single" w:sz="4" w:space="0" w:color="000000"/>
              <w:left w:val="single" w:sz="6" w:space="0" w:color="000000"/>
              <w:bottom w:val="single" w:sz="4" w:space="0" w:color="000000"/>
              <w:right w:val="single" w:sz="6" w:space="0" w:color="000000"/>
            </w:tcBorders>
          </w:tcPr>
          <w:p w14:paraId="70C7EC13" w14:textId="77777777" w:rsidR="00DF61BC" w:rsidRPr="00C94C33" w:rsidRDefault="00DF61BC" w:rsidP="00C705AB">
            <w:pPr>
              <w:pStyle w:val="Tabletext"/>
              <w:jc w:val="center"/>
              <w:rPr>
                <w:lang w:eastAsia="en-AU"/>
              </w:rPr>
            </w:pPr>
            <w:r w:rsidRPr="00C94C33">
              <w:rPr>
                <w:lang w:eastAsia="en-AU"/>
              </w:rPr>
              <w:t>4.00 (1.97, 4.08)</w:t>
            </w:r>
          </w:p>
        </w:tc>
      </w:tr>
      <w:tr w:rsidR="00DF61BC" w:rsidRPr="00C94C33" w14:paraId="2A530AF7" w14:textId="77777777" w:rsidTr="00C705AB">
        <w:trPr>
          <w:trHeight w:val="20"/>
        </w:trPr>
        <w:tc>
          <w:tcPr>
            <w:tcW w:w="1456" w:type="dxa"/>
            <w:tcBorders>
              <w:top w:val="single" w:sz="4" w:space="0" w:color="000000"/>
              <w:left w:val="single" w:sz="6" w:space="0" w:color="000000"/>
              <w:bottom w:val="single" w:sz="6" w:space="0" w:color="000000"/>
              <w:right w:val="single" w:sz="6" w:space="0" w:color="000000"/>
            </w:tcBorders>
          </w:tcPr>
          <w:p w14:paraId="0190DD57" w14:textId="77777777" w:rsidR="00DF61BC" w:rsidRPr="00C94C33" w:rsidRDefault="00DF61BC" w:rsidP="00C705AB">
            <w:pPr>
              <w:pStyle w:val="Tabletext"/>
              <w:jc w:val="center"/>
              <w:rPr>
                <w:lang w:eastAsia="en-AU"/>
              </w:rPr>
            </w:pPr>
            <w:r w:rsidRPr="00C94C33">
              <w:rPr>
                <w:lang w:eastAsia="en-AU"/>
              </w:rPr>
              <w:t>T</w:t>
            </w:r>
            <w:r w:rsidRPr="00C94C33">
              <w:rPr>
                <w:position w:val="-3"/>
                <w:lang w:eastAsia="en-AU"/>
              </w:rPr>
              <w:t>½</w:t>
            </w:r>
            <w:r w:rsidRPr="00C94C33">
              <w:rPr>
                <w:spacing w:val="15"/>
                <w:position w:val="-3"/>
                <w:lang w:eastAsia="en-AU"/>
              </w:rPr>
              <w:t xml:space="preserve"> </w:t>
            </w:r>
            <w:r w:rsidRPr="00C94C33">
              <w:rPr>
                <w:lang w:eastAsia="en-AU"/>
              </w:rPr>
              <w:t>(hours)</w:t>
            </w:r>
          </w:p>
        </w:tc>
        <w:tc>
          <w:tcPr>
            <w:tcW w:w="425" w:type="dxa"/>
            <w:tcBorders>
              <w:top w:val="single" w:sz="4" w:space="0" w:color="000000"/>
              <w:left w:val="single" w:sz="6" w:space="0" w:color="000000"/>
              <w:bottom w:val="single" w:sz="6" w:space="0" w:color="000000"/>
              <w:right w:val="single" w:sz="6" w:space="0" w:color="000000"/>
            </w:tcBorders>
          </w:tcPr>
          <w:p w14:paraId="2D87FBF8" w14:textId="77777777" w:rsidR="00DF61BC" w:rsidRPr="00C94C33" w:rsidRDefault="00DF61BC" w:rsidP="00C705AB">
            <w:pPr>
              <w:pStyle w:val="Tabletext"/>
              <w:jc w:val="center"/>
              <w:rPr>
                <w:lang w:eastAsia="en-AU"/>
              </w:rPr>
            </w:pPr>
            <w:r w:rsidRPr="00C94C33">
              <w:rPr>
                <w:lang w:eastAsia="en-AU"/>
              </w:rPr>
              <w:t>16</w:t>
            </w:r>
          </w:p>
        </w:tc>
        <w:tc>
          <w:tcPr>
            <w:tcW w:w="1377" w:type="dxa"/>
            <w:tcBorders>
              <w:top w:val="single" w:sz="4" w:space="0" w:color="000000"/>
              <w:left w:val="single" w:sz="6" w:space="0" w:color="000000"/>
              <w:bottom w:val="single" w:sz="6" w:space="0" w:color="000000"/>
              <w:right w:val="single" w:sz="6" w:space="0" w:color="000000"/>
            </w:tcBorders>
          </w:tcPr>
          <w:p w14:paraId="54DA16C3" w14:textId="77777777" w:rsidR="00DF61BC" w:rsidRPr="00C94C33" w:rsidRDefault="00DF61BC" w:rsidP="00C705AB">
            <w:pPr>
              <w:pStyle w:val="Tabletext"/>
              <w:jc w:val="center"/>
              <w:rPr>
                <w:lang w:eastAsia="en-AU"/>
              </w:rPr>
            </w:pPr>
            <w:r w:rsidRPr="00C94C33">
              <w:rPr>
                <w:lang w:eastAsia="en-AU"/>
              </w:rPr>
              <w:t>2.10 ± 0.47</w:t>
            </w:r>
          </w:p>
        </w:tc>
        <w:tc>
          <w:tcPr>
            <w:tcW w:w="540" w:type="dxa"/>
            <w:tcBorders>
              <w:top w:val="single" w:sz="4" w:space="0" w:color="000000"/>
              <w:left w:val="single" w:sz="6" w:space="0" w:color="000000"/>
              <w:bottom w:val="single" w:sz="6" w:space="0" w:color="000000"/>
              <w:right w:val="single" w:sz="6" w:space="0" w:color="000000"/>
            </w:tcBorders>
          </w:tcPr>
          <w:p w14:paraId="4DA808A0" w14:textId="77777777" w:rsidR="00DF61BC" w:rsidRPr="00C94C33" w:rsidRDefault="00DF61BC" w:rsidP="00C705AB">
            <w:pPr>
              <w:pStyle w:val="Tabletext"/>
              <w:jc w:val="center"/>
              <w:rPr>
                <w:lang w:eastAsia="en-AU"/>
              </w:rPr>
            </w:pPr>
            <w:r w:rsidRPr="00C94C33">
              <w:rPr>
                <w:lang w:eastAsia="en-AU"/>
              </w:rPr>
              <w:t>19</w:t>
            </w:r>
            <w:r w:rsidRPr="00C94C33">
              <w:rPr>
                <w:position w:val="10"/>
                <w:lang w:eastAsia="en-AU"/>
              </w:rPr>
              <w:t>b</w:t>
            </w:r>
          </w:p>
        </w:tc>
        <w:tc>
          <w:tcPr>
            <w:tcW w:w="1530" w:type="dxa"/>
            <w:tcBorders>
              <w:top w:val="single" w:sz="4" w:space="0" w:color="000000"/>
              <w:left w:val="single" w:sz="6" w:space="0" w:color="000000"/>
              <w:bottom w:val="single" w:sz="6" w:space="0" w:color="000000"/>
              <w:right w:val="single" w:sz="6" w:space="0" w:color="000000"/>
            </w:tcBorders>
          </w:tcPr>
          <w:p w14:paraId="425FB2BF" w14:textId="77777777" w:rsidR="00DF61BC" w:rsidRPr="00C94C33" w:rsidRDefault="00DF61BC" w:rsidP="00C705AB">
            <w:pPr>
              <w:pStyle w:val="Tabletext"/>
              <w:jc w:val="center"/>
              <w:rPr>
                <w:lang w:eastAsia="en-AU"/>
              </w:rPr>
            </w:pPr>
            <w:r w:rsidRPr="00C94C33">
              <w:rPr>
                <w:lang w:eastAsia="en-AU"/>
              </w:rPr>
              <w:t>2.40 ± 0.59</w:t>
            </w:r>
          </w:p>
        </w:tc>
        <w:tc>
          <w:tcPr>
            <w:tcW w:w="540" w:type="dxa"/>
            <w:tcBorders>
              <w:top w:val="single" w:sz="4" w:space="0" w:color="000000"/>
              <w:left w:val="single" w:sz="6" w:space="0" w:color="000000"/>
              <w:bottom w:val="single" w:sz="6" w:space="0" w:color="000000"/>
              <w:right w:val="single" w:sz="6" w:space="0" w:color="000000"/>
            </w:tcBorders>
          </w:tcPr>
          <w:p w14:paraId="6C59344F" w14:textId="77777777" w:rsidR="00DF61BC" w:rsidRPr="00C94C33" w:rsidRDefault="00DF61BC" w:rsidP="00C705AB">
            <w:pPr>
              <w:pStyle w:val="Tabletext"/>
              <w:jc w:val="center"/>
              <w:rPr>
                <w:lang w:eastAsia="en-AU"/>
              </w:rPr>
            </w:pPr>
            <w:r w:rsidRPr="00C94C33">
              <w:rPr>
                <w:lang w:eastAsia="en-AU"/>
              </w:rPr>
              <w:t>12</w:t>
            </w:r>
            <w:r w:rsidRPr="00C94C33">
              <w:rPr>
                <w:position w:val="10"/>
                <w:lang w:eastAsia="en-AU"/>
              </w:rPr>
              <w:t>b</w:t>
            </w:r>
          </w:p>
        </w:tc>
        <w:tc>
          <w:tcPr>
            <w:tcW w:w="1530" w:type="dxa"/>
            <w:tcBorders>
              <w:top w:val="single" w:sz="4" w:space="0" w:color="000000"/>
              <w:left w:val="single" w:sz="6" w:space="0" w:color="000000"/>
              <w:bottom w:val="single" w:sz="6" w:space="0" w:color="000000"/>
              <w:right w:val="single" w:sz="6" w:space="0" w:color="000000"/>
            </w:tcBorders>
          </w:tcPr>
          <w:p w14:paraId="35389C42" w14:textId="77777777" w:rsidR="00DF61BC" w:rsidRPr="00C94C33" w:rsidRDefault="00DF61BC" w:rsidP="00C705AB">
            <w:pPr>
              <w:pStyle w:val="Tabletext"/>
              <w:jc w:val="center"/>
              <w:rPr>
                <w:lang w:eastAsia="en-AU"/>
              </w:rPr>
            </w:pPr>
            <w:r w:rsidRPr="00C94C33">
              <w:rPr>
                <w:lang w:eastAsia="en-AU"/>
              </w:rPr>
              <w:t>2.51 ± 0.69</w:t>
            </w:r>
          </w:p>
        </w:tc>
        <w:tc>
          <w:tcPr>
            <w:tcW w:w="450" w:type="dxa"/>
            <w:tcBorders>
              <w:top w:val="single" w:sz="4" w:space="0" w:color="000000"/>
              <w:left w:val="single" w:sz="6" w:space="0" w:color="000000"/>
              <w:bottom w:val="single" w:sz="6" w:space="0" w:color="000000"/>
              <w:right w:val="single" w:sz="6" w:space="0" w:color="000000"/>
            </w:tcBorders>
          </w:tcPr>
          <w:p w14:paraId="57CF56A2" w14:textId="77777777" w:rsidR="00DF61BC" w:rsidRPr="00C94C33" w:rsidRDefault="00DF61BC" w:rsidP="00C705AB">
            <w:pPr>
              <w:pStyle w:val="Tabletext"/>
              <w:jc w:val="center"/>
              <w:rPr>
                <w:lang w:eastAsia="en-AU"/>
              </w:rPr>
            </w:pPr>
            <w:r w:rsidRPr="00C94C33">
              <w:rPr>
                <w:position w:val="-10"/>
                <w:lang w:eastAsia="en-AU"/>
              </w:rPr>
              <w:t>2</w:t>
            </w:r>
            <w:r w:rsidRPr="00C94C33">
              <w:rPr>
                <w:lang w:eastAsia="en-AU"/>
              </w:rPr>
              <w:t>b</w:t>
            </w:r>
          </w:p>
        </w:tc>
        <w:tc>
          <w:tcPr>
            <w:tcW w:w="1620" w:type="dxa"/>
            <w:tcBorders>
              <w:top w:val="single" w:sz="4" w:space="0" w:color="000000"/>
              <w:left w:val="single" w:sz="6" w:space="0" w:color="000000"/>
              <w:bottom w:val="single" w:sz="6" w:space="0" w:color="000000"/>
              <w:right w:val="single" w:sz="6" w:space="0" w:color="000000"/>
            </w:tcBorders>
          </w:tcPr>
          <w:p w14:paraId="483B69B4" w14:textId="77777777" w:rsidR="00DF61BC" w:rsidRPr="00C94C33" w:rsidRDefault="00DF61BC" w:rsidP="00C705AB">
            <w:pPr>
              <w:pStyle w:val="Tabletext"/>
              <w:jc w:val="center"/>
              <w:rPr>
                <w:lang w:eastAsia="en-AU"/>
              </w:rPr>
            </w:pPr>
            <w:r w:rsidRPr="00C94C33">
              <w:rPr>
                <w:lang w:eastAsia="en-AU"/>
              </w:rPr>
              <w:t>2.31 ± 1.03</w:t>
            </w:r>
          </w:p>
        </w:tc>
      </w:tr>
    </w:tbl>
    <w:p w14:paraId="58FCC34C" w14:textId="77777777" w:rsidR="00AA7141" w:rsidRDefault="00A17407" w:rsidP="00A17407">
      <w:pPr>
        <w:pStyle w:val="TableDescription"/>
        <w:rPr>
          <w:lang w:eastAsia="en-AU"/>
        </w:rPr>
      </w:pPr>
      <w:bookmarkStart w:id="83" w:name="2.3.4._Study_TPU-TAS-102-104:_Relative_B"/>
      <w:bookmarkStart w:id="84" w:name="Table_7:_Single-_and_Multiple-dose_Pharm"/>
      <w:bookmarkEnd w:id="83"/>
      <w:bookmarkEnd w:id="84"/>
      <w:r w:rsidRPr="00C94C33">
        <w:rPr>
          <w:lang w:eastAsia="en-AU"/>
        </w:rPr>
        <w:t xml:space="preserve">a. </w:t>
      </w:r>
      <w:r w:rsidR="00DF61BC" w:rsidRPr="00C94C33">
        <w:rPr>
          <w:lang w:eastAsia="en-AU"/>
        </w:rPr>
        <w:t>Median (</w:t>
      </w:r>
      <w:r w:rsidRPr="00C94C33">
        <w:rPr>
          <w:lang w:eastAsia="en-AU"/>
        </w:rPr>
        <w:t xml:space="preserve">min, max) is presented for Tmax; b. </w:t>
      </w:r>
      <w:r w:rsidR="00DF61BC" w:rsidRPr="00C94C33">
        <w:rPr>
          <w:lang w:eastAsia="en-AU"/>
        </w:rPr>
        <w:t>Due to fewer sampling time points on Day 12 (30 min, 1, 2, 4, 8 and 12 hours post-dose), half-life could not be calculated for some patients.</w:t>
      </w:r>
    </w:p>
    <w:p w14:paraId="5E056ADD" w14:textId="73993E6D" w:rsidR="00DF61BC" w:rsidRPr="00C94C33" w:rsidRDefault="00DF61BC" w:rsidP="00A17407">
      <w:pPr>
        <w:autoSpaceDE w:val="0"/>
        <w:autoSpaceDN w:val="0"/>
        <w:adjustRightInd w:val="0"/>
        <w:spacing w:before="0" w:line="240" w:lineRule="auto"/>
        <w:rPr>
          <w:rFonts w:eastAsia="Times New Roman"/>
          <w:lang w:eastAsia="en-AU"/>
        </w:rPr>
      </w:pPr>
      <w:r w:rsidRPr="00C94C33">
        <w:rPr>
          <w:rFonts w:eastAsia="Times New Roman"/>
          <w:color w:val="000000"/>
          <w:lang w:eastAsia="en-AU"/>
        </w:rPr>
        <w:t xml:space="preserve">The results of the multiple-dose PK analyses indicate that there is accumulation of FTD between administration of the first dose of TAS-102 (Day 1 of Cycle 1) and after multiple dosing (Day 12 of Cycle 1). </w:t>
      </w:r>
      <w:r w:rsidRPr="00C94C33">
        <w:rPr>
          <w:rFonts w:eastAsia="Times New Roman"/>
          <w:lang w:eastAsia="en-AU"/>
        </w:rPr>
        <w:t>Following multiple-dose administration of TAS-102, the AUC</w:t>
      </w:r>
      <w:r w:rsidRPr="00C94C33">
        <w:rPr>
          <w:rFonts w:eastAsia="Times New Roman"/>
          <w:sz w:val="20"/>
          <w:szCs w:val="20"/>
          <w:lang w:eastAsia="en-AU"/>
        </w:rPr>
        <w:t>0-last</w:t>
      </w:r>
      <w:r w:rsidRPr="00C94C33">
        <w:rPr>
          <w:rFonts w:eastAsia="Times New Roman"/>
          <w:lang w:eastAsia="en-AU"/>
        </w:rPr>
        <w:t xml:space="preserve"> for FTD on Day 12 of Cycle 1 (</w:t>
      </w:r>
      <w:r w:rsidR="009C0389" w:rsidRPr="00C94C33">
        <w:rPr>
          <w:rFonts w:eastAsia="Times New Roman"/>
          <w:lang w:eastAsia="en-AU"/>
        </w:rPr>
        <w:t xml:space="preserve">n = </w:t>
      </w:r>
      <w:r w:rsidRPr="00C94C33">
        <w:rPr>
          <w:rFonts w:eastAsia="Times New Roman"/>
          <w:lang w:eastAsia="en-AU"/>
        </w:rPr>
        <w:t>34), Cycle 2 (</w:t>
      </w:r>
      <w:r w:rsidR="009C0389" w:rsidRPr="00C94C33">
        <w:rPr>
          <w:rFonts w:eastAsia="Times New Roman"/>
          <w:lang w:eastAsia="en-AU"/>
        </w:rPr>
        <w:t xml:space="preserve">n = </w:t>
      </w:r>
      <w:r w:rsidRPr="00C94C33">
        <w:rPr>
          <w:rFonts w:eastAsia="Times New Roman"/>
          <w:lang w:eastAsia="en-AU"/>
        </w:rPr>
        <w:t>25) and Cycle 3 (</w:t>
      </w:r>
      <w:r w:rsidR="009C0389" w:rsidRPr="00C94C33">
        <w:rPr>
          <w:rFonts w:eastAsia="Times New Roman"/>
          <w:lang w:eastAsia="en-AU"/>
        </w:rPr>
        <w:t xml:space="preserve">n = </w:t>
      </w:r>
      <w:r w:rsidRPr="00C94C33">
        <w:rPr>
          <w:rFonts w:eastAsia="Times New Roman"/>
          <w:lang w:eastAsia="en-AU"/>
        </w:rPr>
        <w:t>9) was approximately 3-fold higher than after administration on Day 1 of Cycle 1 (</w:t>
      </w:r>
      <w:r w:rsidR="009C0389" w:rsidRPr="00C94C33">
        <w:rPr>
          <w:rFonts w:eastAsia="Times New Roman"/>
          <w:lang w:eastAsia="en-AU"/>
        </w:rPr>
        <w:t xml:space="preserve">n = </w:t>
      </w:r>
      <w:r w:rsidRPr="00C94C33">
        <w:rPr>
          <w:rFonts w:eastAsia="Times New Roman"/>
          <w:lang w:eastAsia="en-AU"/>
        </w:rPr>
        <w:t>19), while the C</w:t>
      </w:r>
      <w:r w:rsidRPr="00C94C33">
        <w:rPr>
          <w:rFonts w:eastAsia="Times New Roman"/>
          <w:sz w:val="20"/>
          <w:szCs w:val="20"/>
          <w:lang w:eastAsia="en-AU"/>
        </w:rPr>
        <w:t>max</w:t>
      </w:r>
      <w:r w:rsidRPr="00C94C33">
        <w:rPr>
          <w:rFonts w:eastAsia="Times New Roman"/>
          <w:lang w:eastAsia="en-AU"/>
        </w:rPr>
        <w:t xml:space="preserve"> for FTD was approximately 2-fold higher. The AUC</w:t>
      </w:r>
      <w:r w:rsidRPr="00C94C33">
        <w:rPr>
          <w:rFonts w:eastAsia="Times New Roman"/>
          <w:sz w:val="20"/>
          <w:szCs w:val="20"/>
          <w:lang w:eastAsia="en-AU"/>
        </w:rPr>
        <w:t>0-last</w:t>
      </w:r>
      <w:r w:rsidRPr="00C94C33">
        <w:rPr>
          <w:rFonts w:eastAsia="Times New Roman"/>
          <w:lang w:eastAsia="en-AU"/>
        </w:rPr>
        <w:t xml:space="preserve"> for FTY was also increased after multiple dosing of TAS-102 compared to Day 1, but the C</w:t>
      </w:r>
      <w:r w:rsidRPr="00C94C33">
        <w:rPr>
          <w:rFonts w:eastAsia="Times New Roman"/>
          <w:sz w:val="20"/>
          <w:szCs w:val="20"/>
          <w:lang w:eastAsia="en-AU"/>
        </w:rPr>
        <w:t>max</w:t>
      </w:r>
      <w:r w:rsidRPr="00C94C33">
        <w:rPr>
          <w:rFonts w:eastAsia="Times New Roman"/>
          <w:lang w:eastAsia="en-AU"/>
        </w:rPr>
        <w:t xml:space="preserve"> values for FTY were similar after single and multiple dosing. The AUC</w:t>
      </w:r>
      <w:r w:rsidRPr="00C94C33">
        <w:rPr>
          <w:rFonts w:eastAsia="Times New Roman"/>
          <w:sz w:val="20"/>
          <w:szCs w:val="20"/>
          <w:lang w:eastAsia="en-AU"/>
        </w:rPr>
        <w:t xml:space="preserve">0-last </w:t>
      </w:r>
      <w:r w:rsidRPr="00C94C33">
        <w:rPr>
          <w:rFonts w:eastAsia="Times New Roman"/>
          <w:lang w:eastAsia="en-AU"/>
        </w:rPr>
        <w:t>and the C</w:t>
      </w:r>
      <w:r w:rsidRPr="00C94C33">
        <w:rPr>
          <w:rFonts w:eastAsia="Times New Roman"/>
          <w:sz w:val="20"/>
          <w:szCs w:val="20"/>
          <w:lang w:eastAsia="en-AU"/>
        </w:rPr>
        <w:t>max</w:t>
      </w:r>
      <w:r w:rsidRPr="00C94C33">
        <w:rPr>
          <w:rFonts w:eastAsia="Times New Roman"/>
          <w:lang w:eastAsia="en-AU"/>
        </w:rPr>
        <w:t xml:space="preserve"> for TPI were similar after single and multiple dosing of TAS-102.</w:t>
      </w:r>
    </w:p>
    <w:p w14:paraId="05A53797" w14:textId="77777777" w:rsidR="00AA7141" w:rsidRDefault="00DF61BC" w:rsidP="00A17407">
      <w:pPr>
        <w:ind w:left="720"/>
        <w:rPr>
          <w:i/>
        </w:rPr>
      </w:pPr>
      <w:r w:rsidRPr="00C94C33">
        <w:rPr>
          <w:i/>
        </w:rPr>
        <w:t xml:space="preserve">Comment: The mean </w:t>
      </w:r>
      <w:r w:rsidRPr="00C94C33">
        <w:rPr>
          <w:i/>
        </w:rPr>
        <w:softHyphen/>
        <w:t xml:space="preserve">± SD accumulation ratio (Day 12/Day 1) for the AUC0-last for FTD was 3.31 ± 0.77 (CV = 23.3%) for 20 patients with paired data, and 2.16 ± 0.90 (CV = 41.5%) for the </w:t>
      </w:r>
      <w:r w:rsidRPr="00C94C33">
        <w:rPr>
          <w:i/>
        </w:rPr>
        <w:lastRenderedPageBreak/>
        <w:t xml:space="preserve">Cmax for FTD. However, it is noted that the t1/2 for FTD was short on both Day 1 and Day 12 of Cycle 1. Therefore, based on the t1/2 values it could be anticipated that FDT should be completely eliminated within 10 to 12 hours of administration. Consequently, the observed accumulation of FTD following repeat BD dosing was unexpected. In additional data presented, the sponsor stated that the mechanism for accumulation of FTD following repeated dosing has not been identified. However, the sponsor stated that accumulation of FTD following repeated dosing will not be a safety risk for the following reasons: (1) the accumulation of FTD based on the AUC is not dose dependent and is predictable (mean accumulation = 2.29 to 2.83 for 15 to 35 mg/m2 BD </w:t>
      </w:r>
      <w:r w:rsidR="00A0007E" w:rsidRPr="00C94C33">
        <w:rPr>
          <w:i/>
        </w:rPr>
        <w:t>(</w:t>
      </w:r>
      <w:r w:rsidRPr="00C94C33">
        <w:rPr>
          <w:i/>
        </w:rPr>
        <w:t>J001-10040010</w:t>
      </w:r>
      <w:r w:rsidR="00A0007E" w:rsidRPr="00C94C33">
        <w:rPr>
          <w:i/>
        </w:rPr>
        <w:t>)</w:t>
      </w:r>
      <w:r w:rsidRPr="00C94C33">
        <w:rPr>
          <w:i/>
        </w:rPr>
        <w:t xml:space="preserve">); (2) the inter-individual variation for the accumulation ratio of FTD based on the AUC is relatively small (CV% = 27% </w:t>
      </w:r>
      <w:r w:rsidR="00A0007E" w:rsidRPr="00C94C33">
        <w:rPr>
          <w:i/>
        </w:rPr>
        <w:t>(</w:t>
      </w:r>
      <w:r w:rsidRPr="00C94C33">
        <w:rPr>
          <w:i/>
        </w:rPr>
        <w:t>J001-10040010</w:t>
      </w:r>
      <w:r w:rsidR="00A0007E" w:rsidRPr="00C94C33">
        <w:rPr>
          <w:i/>
        </w:rPr>
        <w:t>)</w:t>
      </w:r>
      <w:r w:rsidRPr="00C94C33">
        <w:rPr>
          <w:i/>
        </w:rPr>
        <w:t xml:space="preserve">; CV% = 23% </w:t>
      </w:r>
      <w:r w:rsidR="00A0007E" w:rsidRPr="00C94C33">
        <w:rPr>
          <w:i/>
        </w:rPr>
        <w:t>(</w:t>
      </w:r>
      <w:r w:rsidRPr="00C94C33">
        <w:rPr>
          <w:i/>
        </w:rPr>
        <w:t>TAS-102-102</w:t>
      </w:r>
      <w:r w:rsidR="00A0007E" w:rsidRPr="00C94C33">
        <w:rPr>
          <w:i/>
        </w:rPr>
        <w:t>)</w:t>
      </w:r>
      <w:r w:rsidRPr="00C94C33">
        <w:rPr>
          <w:i/>
        </w:rPr>
        <w:t xml:space="preserve">); and (3) no further accumulation of FTD with successive cycles of TAS-102 was observed </w:t>
      </w:r>
      <w:r w:rsidR="00A0007E" w:rsidRPr="00C94C33">
        <w:rPr>
          <w:i/>
        </w:rPr>
        <w:t>(</w:t>
      </w:r>
      <w:r w:rsidRPr="00C94C33">
        <w:rPr>
          <w:i/>
        </w:rPr>
        <w:t>TAS-102-102</w:t>
      </w:r>
      <w:r w:rsidR="00A0007E" w:rsidRPr="00C94C33">
        <w:rPr>
          <w:i/>
        </w:rPr>
        <w:t>)</w:t>
      </w:r>
      <w:r w:rsidRPr="00C94C33">
        <w:rPr>
          <w:i/>
        </w:rPr>
        <w:t>). The sponsor’s comments relating to the accumulation of FTD following repeated dosing are considered to be acceptable.</w:t>
      </w:r>
    </w:p>
    <w:p w14:paraId="35E3061E" w14:textId="73DD236E" w:rsidR="00DF61BC" w:rsidRPr="00C94C33" w:rsidRDefault="00DF61BC" w:rsidP="00955252">
      <w:pPr>
        <w:pStyle w:val="Heading4"/>
      </w:pPr>
      <w:r w:rsidRPr="00C94C33">
        <w:t>Effect of tipiracil on bioavailability of trifluridine</w:t>
      </w:r>
    </w:p>
    <w:p w14:paraId="2C15839C" w14:textId="77777777" w:rsidR="00AA7141" w:rsidRDefault="00DF61BC" w:rsidP="005F6338">
      <w:pPr>
        <w:autoSpaceDE w:val="0"/>
        <w:autoSpaceDN w:val="0"/>
        <w:adjustRightInd w:val="0"/>
        <w:spacing w:before="0" w:line="240" w:lineRule="auto"/>
        <w:rPr>
          <w:rFonts w:eastAsia="Times New Roman"/>
          <w:kern w:val="16"/>
          <w:lang w:eastAsia="en-AU"/>
        </w:rPr>
      </w:pPr>
      <w:r w:rsidRPr="00C94C33">
        <w:rPr>
          <w:rFonts w:eastAsia="Times New Roman"/>
          <w:kern w:val="16"/>
          <w:lang w:eastAsia="en-AU"/>
        </w:rPr>
        <w:t xml:space="preserve">The effect of tipiracil on the bioavailability of trifluridine was investigated in </w:t>
      </w:r>
      <w:r w:rsidR="00C17794" w:rsidRPr="00C94C33">
        <w:rPr>
          <w:rFonts w:eastAsia="Times New Roman"/>
          <w:kern w:val="16"/>
          <w:lang w:eastAsia="en-AU"/>
        </w:rPr>
        <w:t xml:space="preserve">Study </w:t>
      </w:r>
      <w:r w:rsidRPr="00C94C33">
        <w:rPr>
          <w:rFonts w:eastAsia="Times New Roman"/>
          <w:kern w:val="16"/>
          <w:lang w:eastAsia="en-AU"/>
        </w:rPr>
        <w:t>TPU-TAS-102-102. In this study, patients from the USA with solid tumours (excluding breast cancer) for which no standard therapy exists were randomised to receive a single oral dose of TAS-102 containing trifluridine 35 mg/m</w:t>
      </w:r>
      <w:r w:rsidRPr="00C94C33">
        <w:rPr>
          <w:rFonts w:eastAsia="Times New Roman"/>
          <w:kern w:val="16"/>
          <w:vertAlign w:val="superscript"/>
          <w:lang w:eastAsia="en-AU"/>
        </w:rPr>
        <w:t>2</w:t>
      </w:r>
      <w:r w:rsidRPr="00C94C33">
        <w:rPr>
          <w:rFonts w:eastAsia="Times New Roman"/>
          <w:kern w:val="16"/>
          <w:lang w:eastAsia="en-AU"/>
        </w:rPr>
        <w:t xml:space="preserve"> and tipiracil (Group 1, </w:t>
      </w:r>
      <w:r w:rsidR="009C0389" w:rsidRPr="00C94C33">
        <w:rPr>
          <w:rFonts w:eastAsia="Times New Roman"/>
          <w:kern w:val="16"/>
          <w:lang w:eastAsia="en-AU"/>
        </w:rPr>
        <w:t xml:space="preserve">n = </w:t>
      </w:r>
      <w:r w:rsidRPr="00C94C33">
        <w:rPr>
          <w:rFonts w:eastAsia="Times New Roman"/>
          <w:kern w:val="16"/>
          <w:lang w:eastAsia="en-AU"/>
        </w:rPr>
        <w:t>19) or a single oral dose of trifluridine alone (35</w:t>
      </w:r>
      <w:r w:rsidR="00A0007E" w:rsidRPr="00C94C33">
        <w:rPr>
          <w:rFonts w:eastAsia="Times New Roman"/>
          <w:kern w:val="16"/>
          <w:lang w:eastAsia="en-AU"/>
        </w:rPr>
        <w:t> </w:t>
      </w:r>
      <w:r w:rsidRPr="00C94C33">
        <w:rPr>
          <w:rFonts w:eastAsia="Times New Roman"/>
          <w:kern w:val="16"/>
          <w:lang w:eastAsia="en-AU"/>
        </w:rPr>
        <w:t>mg/m</w:t>
      </w:r>
      <w:r w:rsidRPr="00C94C33">
        <w:rPr>
          <w:rFonts w:eastAsia="Times New Roman"/>
          <w:kern w:val="16"/>
          <w:vertAlign w:val="superscript"/>
          <w:lang w:eastAsia="en-AU"/>
        </w:rPr>
        <w:t>2</w:t>
      </w:r>
      <w:r w:rsidRPr="00C94C33">
        <w:rPr>
          <w:rFonts w:eastAsia="Times New Roman"/>
          <w:kern w:val="16"/>
          <w:lang w:eastAsia="en-AU"/>
        </w:rPr>
        <w:t xml:space="preserve">) (Group 2, </w:t>
      </w:r>
      <w:r w:rsidR="009C0389" w:rsidRPr="00C94C33">
        <w:rPr>
          <w:rFonts w:eastAsia="Times New Roman"/>
          <w:kern w:val="16"/>
          <w:lang w:eastAsia="en-AU"/>
        </w:rPr>
        <w:t xml:space="preserve">n = </w:t>
      </w:r>
      <w:r w:rsidRPr="00C94C33">
        <w:rPr>
          <w:rFonts w:eastAsia="Times New Roman"/>
          <w:kern w:val="16"/>
          <w:lang w:eastAsia="en-AU"/>
        </w:rPr>
        <w:t>20) in the morning of Day 1 Cycle 1 (PK part). Serial blood samples were collected within the first 12-hours following dosing.</w:t>
      </w:r>
    </w:p>
    <w:p w14:paraId="6487DC9F" w14:textId="2C008C5D" w:rsidR="00DF61BC" w:rsidRPr="00C94C33" w:rsidRDefault="00DF61BC" w:rsidP="005F633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cs="TimesNewRomanPSMT"/>
          <w:lang w:eastAsia="en-AU"/>
        </w:rPr>
      </w:pPr>
      <w:r w:rsidRPr="00C94C33">
        <w:rPr>
          <w:rFonts w:eastAsia="Times New Roman"/>
          <w:lang w:eastAsia="en-AU"/>
        </w:rPr>
        <w:t>Based on the ratio of the geometric mean estimates (TAS-102 : FTD), the AUC</w:t>
      </w:r>
      <w:r w:rsidRPr="00C94C33">
        <w:rPr>
          <w:rFonts w:eastAsia="Times New Roman"/>
          <w:sz w:val="20"/>
          <w:szCs w:val="20"/>
          <w:lang w:eastAsia="en-AU"/>
        </w:rPr>
        <w:t xml:space="preserve">0-last </w:t>
      </w:r>
      <w:r w:rsidRPr="00C94C33">
        <w:rPr>
          <w:rFonts w:eastAsia="Times New Roman"/>
          <w:lang w:eastAsia="en-AU"/>
        </w:rPr>
        <w:t>for FTD was approximately 37-fold higher following administration of TAS-102 than following administration of FTD alone, and the C</w:t>
      </w:r>
      <w:r w:rsidRPr="00C94C33">
        <w:rPr>
          <w:rFonts w:eastAsia="Times New Roman"/>
          <w:sz w:val="20"/>
          <w:szCs w:val="20"/>
          <w:lang w:eastAsia="en-AU"/>
        </w:rPr>
        <w:t>max</w:t>
      </w:r>
      <w:r w:rsidRPr="00C94C33">
        <w:rPr>
          <w:rFonts w:eastAsia="Times New Roman"/>
          <w:lang w:eastAsia="en-AU"/>
        </w:rPr>
        <w:t xml:space="preserve"> for FTD was approximately 22-fold higher for TAS-102 compared to FTD alone. Plasma concentrations of FTY (the inactive metabolite of FTD) were also lower following administration of TAS-102 compared to FTD alone, due to extensive metabolism of FTD when administered alone. The results for the comparison of geometric mean ratios for AUC</w:t>
      </w:r>
      <w:r w:rsidRPr="00C94C33">
        <w:rPr>
          <w:rFonts w:eastAsia="Times New Roman"/>
          <w:sz w:val="18"/>
          <w:szCs w:val="18"/>
          <w:lang w:eastAsia="en-AU"/>
        </w:rPr>
        <w:t>0-las</w:t>
      </w:r>
      <w:r w:rsidRPr="00C94C33">
        <w:rPr>
          <w:rFonts w:eastAsia="Times New Roman"/>
          <w:lang w:eastAsia="en-AU"/>
        </w:rPr>
        <w:t>t, AUC</w:t>
      </w:r>
      <w:r w:rsidRPr="00C94C33">
        <w:rPr>
          <w:rFonts w:eastAsia="Times New Roman"/>
          <w:sz w:val="20"/>
          <w:szCs w:val="20"/>
          <w:lang w:eastAsia="en-AU"/>
        </w:rPr>
        <w:t>0-inf</w:t>
      </w:r>
      <w:r w:rsidRPr="00C94C33">
        <w:rPr>
          <w:rFonts w:eastAsia="Times New Roman"/>
          <w:lang w:eastAsia="en-AU"/>
        </w:rPr>
        <w:t>, and C</w:t>
      </w:r>
      <w:r w:rsidRPr="00C94C33">
        <w:rPr>
          <w:rFonts w:eastAsia="Times New Roman"/>
          <w:sz w:val="18"/>
          <w:szCs w:val="18"/>
          <w:lang w:eastAsia="en-AU"/>
        </w:rPr>
        <w:t>max</w:t>
      </w:r>
      <w:r w:rsidRPr="00C94C33">
        <w:rPr>
          <w:rFonts w:eastAsia="Times New Roman"/>
          <w:lang w:eastAsia="en-AU"/>
        </w:rPr>
        <w:t xml:space="preserve"> for FTD and FTY are summarised below, and the</w:t>
      </w:r>
      <w:r w:rsidRPr="00C94C33">
        <w:rPr>
          <w:rFonts w:eastAsia="Times New Roman"/>
          <w:kern w:val="16"/>
          <w:lang w:eastAsia="en-AU"/>
        </w:rPr>
        <w:t xml:space="preserve"> mean FTD plasma concentration time-profiles after a single dose of TAS-102 or FTD alone are presented</w:t>
      </w:r>
      <w:r w:rsidR="005F6338" w:rsidRPr="00C94C33">
        <w:rPr>
          <w:rFonts w:eastAsia="Times New Roman"/>
          <w:kern w:val="16"/>
          <w:lang w:eastAsia="en-AU"/>
        </w:rPr>
        <w:t>.</w:t>
      </w:r>
    </w:p>
    <w:p w14:paraId="4B279E05" w14:textId="3B83C224" w:rsidR="00DF61BC" w:rsidRPr="00C94C33" w:rsidRDefault="00DF61BC" w:rsidP="005F6338">
      <w:pPr>
        <w:pStyle w:val="Tabletitle"/>
        <w:rPr>
          <w:lang w:eastAsia="en-AU"/>
        </w:rPr>
      </w:pPr>
      <w:bookmarkStart w:id="85" w:name="_Toc470948658"/>
      <w:r w:rsidRPr="00C94C33">
        <w:rPr>
          <w:kern w:val="16"/>
          <w:lang w:eastAsia="en-AU"/>
        </w:rPr>
        <w:t xml:space="preserve">Table </w:t>
      </w:r>
      <w:r w:rsidR="005F6338" w:rsidRPr="00C94C33">
        <w:rPr>
          <w:kern w:val="16"/>
          <w:lang w:eastAsia="en-AU"/>
        </w:rPr>
        <w:t xml:space="preserve">9: </w:t>
      </w:r>
      <w:r w:rsidRPr="00C94C33">
        <w:rPr>
          <w:lang w:eastAsia="en-AU"/>
        </w:rPr>
        <w:t>TPU-TAS-102-102 – Statistical analysis of AUC and Cmax after single-dose of TAS-102 or FTD</w:t>
      </w:r>
      <w:bookmarkEnd w:id="85"/>
    </w:p>
    <w:p w14:paraId="49E612FD" w14:textId="77777777" w:rsidR="00DF61BC" w:rsidRPr="00C94C33" w:rsidRDefault="00DF61BC" w:rsidP="00DF61BC">
      <w:pPr>
        <w:kinsoku w:val="0"/>
        <w:overflowPunct w:val="0"/>
        <w:autoSpaceDE w:val="0"/>
        <w:autoSpaceDN w:val="0"/>
        <w:adjustRightInd w:val="0"/>
        <w:spacing w:before="11" w:after="0" w:line="240" w:lineRule="auto"/>
        <w:rPr>
          <w:rFonts w:ascii="Times New Roman" w:eastAsia="Times New Roman" w:hAnsi="Times New Roman"/>
          <w:sz w:val="4"/>
          <w:szCs w:val="4"/>
          <w:lang w:eastAsia="en-AU"/>
        </w:rPr>
      </w:pPr>
      <w:bookmarkStart w:id="86" w:name="11.1.4._Plasma_Pharmacokinetic_Parameter"/>
      <w:bookmarkStart w:id="87" w:name="Table_12:_Statistical_Analysis_of_AUC_an"/>
      <w:bookmarkEnd w:id="86"/>
      <w:bookmarkEnd w:id="87"/>
    </w:p>
    <w:tbl>
      <w:tblPr>
        <w:tblW w:w="9576" w:type="dxa"/>
        <w:tblInd w:w="112" w:type="dxa"/>
        <w:tblLayout w:type="fixed"/>
        <w:tblCellMar>
          <w:left w:w="0" w:type="dxa"/>
          <w:right w:w="0" w:type="dxa"/>
        </w:tblCellMar>
        <w:tblLook w:val="0020" w:firstRow="1" w:lastRow="0" w:firstColumn="0" w:lastColumn="0" w:noHBand="0" w:noVBand="0"/>
      </w:tblPr>
      <w:tblGrid>
        <w:gridCol w:w="2538"/>
        <w:gridCol w:w="619"/>
        <w:gridCol w:w="1451"/>
        <w:gridCol w:w="720"/>
        <w:gridCol w:w="1350"/>
        <w:gridCol w:w="1350"/>
        <w:gridCol w:w="1548"/>
      </w:tblGrid>
      <w:tr w:rsidR="00DF61BC" w:rsidRPr="00C94C33" w14:paraId="457F4459" w14:textId="77777777" w:rsidTr="00C705AB">
        <w:trPr>
          <w:trHeight w:hRule="exact" w:val="595"/>
          <w:tblHeader/>
        </w:trPr>
        <w:tc>
          <w:tcPr>
            <w:tcW w:w="2538" w:type="dxa"/>
            <w:tcBorders>
              <w:top w:val="single" w:sz="7" w:space="0" w:color="000000"/>
              <w:left w:val="single" w:sz="6" w:space="0" w:color="000000"/>
              <w:bottom w:val="single" w:sz="7" w:space="0" w:color="000000"/>
              <w:right w:val="single" w:sz="6" w:space="0" w:color="000000"/>
            </w:tcBorders>
            <w:shd w:val="clear" w:color="auto" w:fill="auto"/>
          </w:tcPr>
          <w:p w14:paraId="1A734057" w14:textId="77777777" w:rsidR="00DF61BC" w:rsidRPr="00C94C33" w:rsidRDefault="00DF61BC" w:rsidP="00C705AB">
            <w:pPr>
              <w:pStyle w:val="TableHeading"/>
              <w:jc w:val="center"/>
              <w:rPr>
                <w:lang w:eastAsia="en-AU"/>
              </w:rPr>
            </w:pPr>
          </w:p>
        </w:tc>
        <w:tc>
          <w:tcPr>
            <w:tcW w:w="2070" w:type="dxa"/>
            <w:gridSpan w:val="2"/>
            <w:tcBorders>
              <w:top w:val="single" w:sz="7" w:space="0" w:color="000000"/>
              <w:left w:val="single" w:sz="6" w:space="0" w:color="000000"/>
              <w:bottom w:val="single" w:sz="7" w:space="0" w:color="000000"/>
              <w:right w:val="single" w:sz="6" w:space="0" w:color="000000"/>
            </w:tcBorders>
            <w:shd w:val="clear" w:color="auto" w:fill="auto"/>
          </w:tcPr>
          <w:p w14:paraId="61C74E32" w14:textId="77777777" w:rsidR="00DF61BC" w:rsidRPr="00C94C33" w:rsidRDefault="00DF61BC" w:rsidP="00C705AB">
            <w:pPr>
              <w:pStyle w:val="TableHeading"/>
              <w:jc w:val="center"/>
              <w:rPr>
                <w:lang w:eastAsia="en-AU"/>
              </w:rPr>
            </w:pPr>
            <w:r w:rsidRPr="00C94C33">
              <w:rPr>
                <w:bCs/>
                <w:spacing w:val="-1"/>
                <w:lang w:eastAsia="en-AU"/>
              </w:rPr>
              <w:t>TAS-102</w:t>
            </w:r>
          </w:p>
        </w:tc>
        <w:tc>
          <w:tcPr>
            <w:tcW w:w="2070" w:type="dxa"/>
            <w:gridSpan w:val="2"/>
            <w:tcBorders>
              <w:top w:val="single" w:sz="7" w:space="0" w:color="000000"/>
              <w:left w:val="single" w:sz="6" w:space="0" w:color="000000"/>
              <w:bottom w:val="single" w:sz="7" w:space="0" w:color="000000"/>
              <w:right w:val="single" w:sz="6" w:space="0" w:color="000000"/>
            </w:tcBorders>
            <w:shd w:val="clear" w:color="auto" w:fill="auto"/>
          </w:tcPr>
          <w:p w14:paraId="12487167" w14:textId="77777777" w:rsidR="00DF61BC" w:rsidRPr="00C94C33" w:rsidRDefault="00DF61BC" w:rsidP="00C705AB">
            <w:pPr>
              <w:pStyle w:val="TableHeading"/>
              <w:jc w:val="center"/>
              <w:rPr>
                <w:lang w:eastAsia="en-AU"/>
              </w:rPr>
            </w:pPr>
            <w:r w:rsidRPr="00C94C33">
              <w:rPr>
                <w:bCs/>
                <w:spacing w:val="-1"/>
                <w:lang w:eastAsia="en-AU"/>
              </w:rPr>
              <w:t>FTD</w:t>
            </w:r>
          </w:p>
        </w:tc>
        <w:tc>
          <w:tcPr>
            <w:tcW w:w="2898" w:type="dxa"/>
            <w:gridSpan w:val="2"/>
            <w:tcBorders>
              <w:top w:val="single" w:sz="7" w:space="0" w:color="000000"/>
              <w:left w:val="single" w:sz="6" w:space="0" w:color="000000"/>
              <w:bottom w:val="single" w:sz="7" w:space="0" w:color="000000"/>
              <w:right w:val="single" w:sz="6" w:space="0" w:color="000000"/>
            </w:tcBorders>
            <w:shd w:val="clear" w:color="auto" w:fill="auto"/>
          </w:tcPr>
          <w:p w14:paraId="00332782" w14:textId="77777777" w:rsidR="00DF61BC" w:rsidRPr="00C94C33" w:rsidRDefault="00DF61BC" w:rsidP="00C705AB">
            <w:pPr>
              <w:pStyle w:val="TableHeading"/>
              <w:jc w:val="center"/>
              <w:rPr>
                <w:lang w:eastAsia="en-AU"/>
              </w:rPr>
            </w:pPr>
            <w:r w:rsidRPr="00C94C33">
              <w:rPr>
                <w:bCs/>
                <w:spacing w:val="-1"/>
                <w:lang w:eastAsia="en-AU"/>
              </w:rPr>
              <w:t>Ratio</w:t>
            </w:r>
            <w:r w:rsidRPr="00C94C33">
              <w:rPr>
                <w:bCs/>
                <w:lang w:eastAsia="en-AU"/>
              </w:rPr>
              <w:t xml:space="preserve"> </w:t>
            </w:r>
            <w:r w:rsidRPr="00C94C33">
              <w:rPr>
                <w:bCs/>
                <w:spacing w:val="-1"/>
                <w:lang w:eastAsia="en-AU"/>
              </w:rPr>
              <w:t>of</w:t>
            </w:r>
            <w:r w:rsidRPr="00C94C33">
              <w:rPr>
                <w:bCs/>
                <w:lang w:eastAsia="en-AU"/>
              </w:rPr>
              <w:t xml:space="preserve"> </w:t>
            </w:r>
            <w:r w:rsidRPr="00C94C33">
              <w:rPr>
                <w:bCs/>
                <w:spacing w:val="-1"/>
                <w:lang w:eastAsia="en-AU"/>
              </w:rPr>
              <w:t>Geometric</w:t>
            </w:r>
            <w:r w:rsidRPr="00C94C33">
              <w:rPr>
                <w:bCs/>
                <w:lang w:eastAsia="en-AU"/>
              </w:rPr>
              <w:t xml:space="preserve"> </w:t>
            </w:r>
            <w:r w:rsidRPr="00C94C33">
              <w:rPr>
                <w:bCs/>
                <w:spacing w:val="-1"/>
                <w:lang w:eastAsia="en-AU"/>
              </w:rPr>
              <w:t>Mean</w:t>
            </w:r>
            <w:r w:rsidRPr="00C94C33">
              <w:rPr>
                <w:bCs/>
                <w:spacing w:val="22"/>
                <w:lang w:eastAsia="en-AU"/>
              </w:rPr>
              <w:t xml:space="preserve"> </w:t>
            </w:r>
            <w:r w:rsidRPr="00C94C33">
              <w:rPr>
                <w:bCs/>
                <w:spacing w:val="-1"/>
                <w:lang w:eastAsia="en-AU"/>
              </w:rPr>
              <w:t>(TAS-102/FTD)</w:t>
            </w:r>
          </w:p>
        </w:tc>
      </w:tr>
      <w:tr w:rsidR="00DF61BC" w:rsidRPr="00C94C33" w14:paraId="5FFA3D03" w14:textId="77777777" w:rsidTr="00C705AB">
        <w:trPr>
          <w:trHeight w:hRule="exact" w:val="655"/>
          <w:tblHeader/>
        </w:trPr>
        <w:tc>
          <w:tcPr>
            <w:tcW w:w="2538" w:type="dxa"/>
            <w:tcBorders>
              <w:top w:val="single" w:sz="7" w:space="0" w:color="000000"/>
              <w:left w:val="single" w:sz="6" w:space="0" w:color="000000"/>
              <w:bottom w:val="single" w:sz="7" w:space="0" w:color="000000"/>
              <w:right w:val="single" w:sz="6" w:space="0" w:color="000000"/>
            </w:tcBorders>
            <w:shd w:val="clear" w:color="auto" w:fill="auto"/>
          </w:tcPr>
          <w:p w14:paraId="3E6DE4EC" w14:textId="77777777" w:rsidR="00DF61BC" w:rsidRPr="00C94C33" w:rsidRDefault="00DF61BC" w:rsidP="00C705AB">
            <w:pPr>
              <w:pStyle w:val="TableHeading"/>
              <w:jc w:val="center"/>
              <w:rPr>
                <w:lang w:eastAsia="en-AU"/>
              </w:rPr>
            </w:pPr>
            <w:r w:rsidRPr="00C94C33">
              <w:rPr>
                <w:bCs/>
                <w:spacing w:val="-1"/>
                <w:lang w:eastAsia="en-AU"/>
              </w:rPr>
              <w:t>Analyte</w:t>
            </w:r>
          </w:p>
          <w:p w14:paraId="18F40AC0" w14:textId="77777777" w:rsidR="00DF61BC" w:rsidRPr="00C94C33" w:rsidRDefault="00DF61BC" w:rsidP="00C705AB">
            <w:pPr>
              <w:pStyle w:val="TableHeading"/>
              <w:jc w:val="center"/>
              <w:rPr>
                <w:lang w:eastAsia="en-AU"/>
              </w:rPr>
            </w:pPr>
            <w:r w:rsidRPr="00C94C33">
              <w:rPr>
                <w:bCs/>
                <w:spacing w:val="-1"/>
                <w:lang w:eastAsia="en-AU"/>
              </w:rPr>
              <w:t>Parameter</w:t>
            </w:r>
          </w:p>
        </w:tc>
        <w:tc>
          <w:tcPr>
            <w:tcW w:w="619" w:type="dxa"/>
            <w:tcBorders>
              <w:top w:val="single" w:sz="7" w:space="0" w:color="000000"/>
              <w:left w:val="single" w:sz="6" w:space="0" w:color="000000"/>
              <w:bottom w:val="single" w:sz="7" w:space="0" w:color="000000"/>
              <w:right w:val="single" w:sz="6" w:space="0" w:color="000000"/>
            </w:tcBorders>
            <w:shd w:val="clear" w:color="auto" w:fill="auto"/>
          </w:tcPr>
          <w:p w14:paraId="5EA39D7E" w14:textId="77777777" w:rsidR="00DF61BC" w:rsidRPr="00C94C33" w:rsidRDefault="00DF61BC" w:rsidP="00C705AB">
            <w:pPr>
              <w:pStyle w:val="TableHeading"/>
              <w:jc w:val="center"/>
              <w:rPr>
                <w:lang w:eastAsia="en-AU"/>
              </w:rPr>
            </w:pPr>
            <w:r w:rsidRPr="00C94C33">
              <w:rPr>
                <w:bCs/>
                <w:lang w:eastAsia="en-AU"/>
              </w:rPr>
              <w:t>N</w:t>
            </w:r>
          </w:p>
        </w:tc>
        <w:tc>
          <w:tcPr>
            <w:tcW w:w="1451" w:type="dxa"/>
            <w:tcBorders>
              <w:top w:val="single" w:sz="7" w:space="0" w:color="000000"/>
              <w:left w:val="single" w:sz="6" w:space="0" w:color="000000"/>
              <w:bottom w:val="single" w:sz="7" w:space="0" w:color="000000"/>
              <w:right w:val="single" w:sz="6" w:space="0" w:color="000000"/>
            </w:tcBorders>
            <w:shd w:val="clear" w:color="auto" w:fill="auto"/>
          </w:tcPr>
          <w:p w14:paraId="45DDDB3E" w14:textId="77777777" w:rsidR="00DF61BC" w:rsidRPr="00C94C33" w:rsidRDefault="00DF61BC" w:rsidP="00C705AB">
            <w:pPr>
              <w:pStyle w:val="TableHeading"/>
              <w:jc w:val="center"/>
              <w:rPr>
                <w:lang w:eastAsia="en-AU"/>
              </w:rPr>
            </w:pPr>
            <w:r w:rsidRPr="00C94C33">
              <w:rPr>
                <w:bCs/>
                <w:spacing w:val="-1"/>
                <w:lang w:eastAsia="en-AU"/>
              </w:rPr>
              <w:t>Geometric</w:t>
            </w:r>
            <w:r w:rsidRPr="00C94C33">
              <w:rPr>
                <w:bCs/>
                <w:spacing w:val="20"/>
                <w:lang w:eastAsia="en-AU"/>
              </w:rPr>
              <w:t xml:space="preserve"> </w:t>
            </w:r>
            <w:r w:rsidRPr="00C94C33">
              <w:rPr>
                <w:bCs/>
                <w:spacing w:val="-1"/>
                <w:lang w:eastAsia="en-AU"/>
              </w:rPr>
              <w:t>Mean</w:t>
            </w:r>
          </w:p>
        </w:tc>
        <w:tc>
          <w:tcPr>
            <w:tcW w:w="720" w:type="dxa"/>
            <w:tcBorders>
              <w:top w:val="single" w:sz="7" w:space="0" w:color="000000"/>
              <w:left w:val="single" w:sz="6" w:space="0" w:color="000000"/>
              <w:bottom w:val="single" w:sz="7" w:space="0" w:color="000000"/>
              <w:right w:val="single" w:sz="6" w:space="0" w:color="000000"/>
            </w:tcBorders>
            <w:shd w:val="clear" w:color="auto" w:fill="auto"/>
          </w:tcPr>
          <w:p w14:paraId="444FC020" w14:textId="77777777" w:rsidR="00DF61BC" w:rsidRPr="00C94C33" w:rsidRDefault="00DF61BC" w:rsidP="00C705AB">
            <w:pPr>
              <w:pStyle w:val="TableHeading"/>
              <w:jc w:val="center"/>
              <w:rPr>
                <w:lang w:eastAsia="en-AU"/>
              </w:rPr>
            </w:pPr>
            <w:r w:rsidRPr="00C94C33">
              <w:rPr>
                <w:bCs/>
                <w:lang w:eastAsia="en-AU"/>
              </w:rPr>
              <w:t>N</w:t>
            </w:r>
          </w:p>
        </w:tc>
        <w:tc>
          <w:tcPr>
            <w:tcW w:w="1350" w:type="dxa"/>
            <w:tcBorders>
              <w:top w:val="single" w:sz="7" w:space="0" w:color="000000"/>
              <w:left w:val="single" w:sz="6" w:space="0" w:color="000000"/>
              <w:bottom w:val="single" w:sz="7" w:space="0" w:color="000000"/>
              <w:right w:val="single" w:sz="6" w:space="0" w:color="000000"/>
            </w:tcBorders>
            <w:shd w:val="clear" w:color="auto" w:fill="auto"/>
          </w:tcPr>
          <w:p w14:paraId="428A57FA" w14:textId="77777777" w:rsidR="00DF61BC" w:rsidRPr="00C94C33" w:rsidRDefault="00DF61BC" w:rsidP="00C705AB">
            <w:pPr>
              <w:pStyle w:val="TableHeading"/>
              <w:jc w:val="center"/>
              <w:rPr>
                <w:lang w:eastAsia="en-AU"/>
              </w:rPr>
            </w:pPr>
            <w:r w:rsidRPr="00C94C33">
              <w:rPr>
                <w:bCs/>
                <w:spacing w:val="-1"/>
                <w:lang w:eastAsia="en-AU"/>
              </w:rPr>
              <w:t>Geometric</w:t>
            </w:r>
            <w:r w:rsidRPr="00C94C33">
              <w:rPr>
                <w:bCs/>
                <w:spacing w:val="20"/>
                <w:lang w:eastAsia="en-AU"/>
              </w:rPr>
              <w:t xml:space="preserve"> </w:t>
            </w:r>
            <w:r w:rsidRPr="00C94C33">
              <w:rPr>
                <w:bCs/>
                <w:spacing w:val="-1"/>
                <w:lang w:eastAsia="en-AU"/>
              </w:rPr>
              <w:t>Mean</w:t>
            </w:r>
          </w:p>
        </w:tc>
        <w:tc>
          <w:tcPr>
            <w:tcW w:w="1350" w:type="dxa"/>
            <w:tcBorders>
              <w:top w:val="single" w:sz="7" w:space="0" w:color="000000"/>
              <w:left w:val="single" w:sz="6" w:space="0" w:color="000000"/>
              <w:bottom w:val="single" w:sz="7" w:space="0" w:color="000000"/>
              <w:right w:val="single" w:sz="6" w:space="0" w:color="000000"/>
            </w:tcBorders>
            <w:shd w:val="clear" w:color="auto" w:fill="auto"/>
          </w:tcPr>
          <w:p w14:paraId="3EAD9DFD" w14:textId="77777777" w:rsidR="00DF61BC" w:rsidRPr="00C94C33" w:rsidRDefault="00DF61BC" w:rsidP="00C705AB">
            <w:pPr>
              <w:pStyle w:val="TableHeading"/>
              <w:jc w:val="center"/>
              <w:rPr>
                <w:lang w:eastAsia="en-AU"/>
              </w:rPr>
            </w:pPr>
            <w:r w:rsidRPr="00C94C33">
              <w:rPr>
                <w:bCs/>
                <w:spacing w:val="-1"/>
                <w:lang w:eastAsia="en-AU"/>
              </w:rPr>
              <w:t>Estimate</w:t>
            </w:r>
          </w:p>
        </w:tc>
        <w:tc>
          <w:tcPr>
            <w:tcW w:w="1548" w:type="dxa"/>
            <w:tcBorders>
              <w:top w:val="single" w:sz="7" w:space="0" w:color="000000"/>
              <w:left w:val="single" w:sz="6" w:space="0" w:color="000000"/>
              <w:bottom w:val="single" w:sz="7" w:space="0" w:color="000000"/>
              <w:right w:val="single" w:sz="6" w:space="0" w:color="000000"/>
            </w:tcBorders>
            <w:shd w:val="clear" w:color="auto" w:fill="auto"/>
          </w:tcPr>
          <w:p w14:paraId="0B6C976F" w14:textId="77777777" w:rsidR="00DF61BC" w:rsidRPr="00C94C33" w:rsidRDefault="00DF61BC" w:rsidP="00C705AB">
            <w:pPr>
              <w:pStyle w:val="TableHeading"/>
              <w:jc w:val="center"/>
              <w:rPr>
                <w:lang w:eastAsia="en-AU"/>
              </w:rPr>
            </w:pPr>
            <w:r w:rsidRPr="00C94C33">
              <w:rPr>
                <w:bCs/>
                <w:lang w:eastAsia="en-AU"/>
              </w:rPr>
              <w:t>(95%</w:t>
            </w:r>
            <w:r w:rsidRPr="00C94C33">
              <w:rPr>
                <w:bCs/>
                <w:spacing w:val="-4"/>
                <w:lang w:eastAsia="en-AU"/>
              </w:rPr>
              <w:t xml:space="preserve"> </w:t>
            </w:r>
            <w:r w:rsidRPr="00C94C33">
              <w:rPr>
                <w:bCs/>
                <w:lang w:eastAsia="en-AU"/>
              </w:rPr>
              <w:t>CI)</w:t>
            </w:r>
          </w:p>
        </w:tc>
      </w:tr>
      <w:tr w:rsidR="00DF61BC" w:rsidRPr="00C94C33" w14:paraId="30FBBE66" w14:textId="77777777" w:rsidTr="00C705AB">
        <w:trPr>
          <w:trHeight w:hRule="exact" w:val="340"/>
        </w:trPr>
        <w:tc>
          <w:tcPr>
            <w:tcW w:w="2538" w:type="dxa"/>
            <w:tcBorders>
              <w:top w:val="single" w:sz="7" w:space="0" w:color="000000"/>
              <w:left w:val="single" w:sz="6" w:space="0" w:color="000000"/>
              <w:bottom w:val="single" w:sz="7" w:space="0" w:color="000000"/>
              <w:right w:val="single" w:sz="6" w:space="0" w:color="000000"/>
            </w:tcBorders>
            <w:shd w:val="clear" w:color="auto" w:fill="auto"/>
          </w:tcPr>
          <w:p w14:paraId="1E038511" w14:textId="77777777" w:rsidR="00DF61BC" w:rsidRPr="00C94C33" w:rsidRDefault="00DF61BC" w:rsidP="00C705AB">
            <w:pPr>
              <w:pStyle w:val="TableHeading"/>
              <w:rPr>
                <w:lang w:eastAsia="en-AU"/>
              </w:rPr>
            </w:pPr>
            <w:r w:rsidRPr="00C94C33">
              <w:rPr>
                <w:lang w:eastAsia="en-AU"/>
              </w:rPr>
              <w:t>FTD</w:t>
            </w:r>
          </w:p>
        </w:tc>
        <w:tc>
          <w:tcPr>
            <w:tcW w:w="619" w:type="dxa"/>
            <w:tcBorders>
              <w:top w:val="single" w:sz="7" w:space="0" w:color="000000"/>
              <w:left w:val="single" w:sz="6" w:space="0" w:color="000000"/>
              <w:bottom w:val="single" w:sz="7" w:space="0" w:color="000000"/>
              <w:right w:val="single" w:sz="6" w:space="0" w:color="000000"/>
            </w:tcBorders>
            <w:shd w:val="clear" w:color="auto" w:fill="auto"/>
          </w:tcPr>
          <w:p w14:paraId="0814A303" w14:textId="77777777" w:rsidR="00DF61BC" w:rsidRPr="00C94C33" w:rsidRDefault="00DF61BC" w:rsidP="00C705AB">
            <w:pPr>
              <w:pStyle w:val="TableHeading"/>
              <w:rPr>
                <w:lang w:eastAsia="en-AU"/>
              </w:rPr>
            </w:pPr>
          </w:p>
        </w:tc>
        <w:tc>
          <w:tcPr>
            <w:tcW w:w="1451" w:type="dxa"/>
            <w:tcBorders>
              <w:top w:val="single" w:sz="7" w:space="0" w:color="000000"/>
              <w:left w:val="single" w:sz="6" w:space="0" w:color="000000"/>
              <w:bottom w:val="single" w:sz="7" w:space="0" w:color="000000"/>
              <w:right w:val="single" w:sz="6" w:space="0" w:color="000000"/>
            </w:tcBorders>
            <w:shd w:val="clear" w:color="auto" w:fill="auto"/>
          </w:tcPr>
          <w:p w14:paraId="1ABE68A8" w14:textId="77777777" w:rsidR="00DF61BC" w:rsidRPr="00C94C33" w:rsidRDefault="00DF61BC" w:rsidP="00C705AB">
            <w:pPr>
              <w:pStyle w:val="TableHeading"/>
              <w:rPr>
                <w:lang w:eastAsia="en-AU"/>
              </w:rPr>
            </w:pPr>
          </w:p>
        </w:tc>
        <w:tc>
          <w:tcPr>
            <w:tcW w:w="720" w:type="dxa"/>
            <w:tcBorders>
              <w:top w:val="single" w:sz="7" w:space="0" w:color="000000"/>
              <w:left w:val="single" w:sz="6" w:space="0" w:color="000000"/>
              <w:bottom w:val="single" w:sz="7" w:space="0" w:color="000000"/>
              <w:right w:val="single" w:sz="6" w:space="0" w:color="000000"/>
            </w:tcBorders>
            <w:shd w:val="clear" w:color="auto" w:fill="auto"/>
          </w:tcPr>
          <w:p w14:paraId="15C1C236" w14:textId="77777777" w:rsidR="00DF61BC" w:rsidRPr="00C94C33" w:rsidRDefault="00DF61BC" w:rsidP="00C705AB">
            <w:pPr>
              <w:pStyle w:val="TableHeading"/>
              <w:rPr>
                <w:lang w:eastAsia="en-AU"/>
              </w:rPr>
            </w:pPr>
          </w:p>
        </w:tc>
        <w:tc>
          <w:tcPr>
            <w:tcW w:w="1350" w:type="dxa"/>
            <w:tcBorders>
              <w:top w:val="single" w:sz="7" w:space="0" w:color="000000"/>
              <w:left w:val="single" w:sz="6" w:space="0" w:color="000000"/>
              <w:bottom w:val="single" w:sz="7" w:space="0" w:color="000000"/>
              <w:right w:val="single" w:sz="6" w:space="0" w:color="000000"/>
            </w:tcBorders>
            <w:shd w:val="clear" w:color="auto" w:fill="auto"/>
          </w:tcPr>
          <w:p w14:paraId="4544488A" w14:textId="77777777" w:rsidR="00DF61BC" w:rsidRPr="00C94C33" w:rsidRDefault="00DF61BC" w:rsidP="00C705AB">
            <w:pPr>
              <w:pStyle w:val="TableHeading"/>
              <w:rPr>
                <w:lang w:eastAsia="en-AU"/>
              </w:rPr>
            </w:pPr>
          </w:p>
        </w:tc>
        <w:tc>
          <w:tcPr>
            <w:tcW w:w="1350" w:type="dxa"/>
            <w:tcBorders>
              <w:top w:val="single" w:sz="7" w:space="0" w:color="000000"/>
              <w:left w:val="single" w:sz="6" w:space="0" w:color="000000"/>
              <w:bottom w:val="single" w:sz="7" w:space="0" w:color="000000"/>
              <w:right w:val="single" w:sz="6" w:space="0" w:color="000000"/>
            </w:tcBorders>
            <w:shd w:val="clear" w:color="auto" w:fill="auto"/>
          </w:tcPr>
          <w:p w14:paraId="679FB571" w14:textId="77777777" w:rsidR="00DF61BC" w:rsidRPr="00C94C33" w:rsidRDefault="00DF61BC" w:rsidP="00C705AB">
            <w:pPr>
              <w:pStyle w:val="TableHeading"/>
              <w:rPr>
                <w:lang w:eastAsia="en-AU"/>
              </w:rPr>
            </w:pPr>
          </w:p>
        </w:tc>
        <w:tc>
          <w:tcPr>
            <w:tcW w:w="1548" w:type="dxa"/>
            <w:tcBorders>
              <w:top w:val="single" w:sz="7" w:space="0" w:color="000000"/>
              <w:left w:val="single" w:sz="6" w:space="0" w:color="000000"/>
              <w:bottom w:val="single" w:sz="7" w:space="0" w:color="000000"/>
              <w:right w:val="single" w:sz="6" w:space="0" w:color="000000"/>
            </w:tcBorders>
            <w:shd w:val="clear" w:color="auto" w:fill="auto"/>
          </w:tcPr>
          <w:p w14:paraId="75008BAF" w14:textId="77777777" w:rsidR="00DF61BC" w:rsidRPr="00C94C33" w:rsidRDefault="00DF61BC" w:rsidP="00C705AB">
            <w:pPr>
              <w:pStyle w:val="TableHeading"/>
              <w:rPr>
                <w:lang w:eastAsia="en-AU"/>
              </w:rPr>
            </w:pPr>
          </w:p>
        </w:tc>
      </w:tr>
      <w:tr w:rsidR="00DF61BC" w:rsidRPr="00C94C33" w14:paraId="31823A58" w14:textId="77777777" w:rsidTr="00C705AB">
        <w:trPr>
          <w:trHeight w:hRule="exact" w:val="397"/>
        </w:trPr>
        <w:tc>
          <w:tcPr>
            <w:tcW w:w="2538" w:type="dxa"/>
            <w:tcBorders>
              <w:top w:val="single" w:sz="7" w:space="0" w:color="000000"/>
              <w:left w:val="single" w:sz="6" w:space="0" w:color="000000"/>
              <w:bottom w:val="single" w:sz="7" w:space="0" w:color="000000"/>
              <w:right w:val="single" w:sz="6" w:space="0" w:color="000000"/>
            </w:tcBorders>
            <w:shd w:val="clear" w:color="auto" w:fill="auto"/>
          </w:tcPr>
          <w:p w14:paraId="44C4126A" w14:textId="77777777" w:rsidR="00DF61BC" w:rsidRPr="00C94C33" w:rsidRDefault="00DF61BC" w:rsidP="00C705AB">
            <w:pPr>
              <w:pStyle w:val="Tabletext"/>
              <w:jc w:val="center"/>
              <w:rPr>
                <w:lang w:eastAsia="en-AU"/>
              </w:rPr>
            </w:pPr>
            <w:r w:rsidRPr="00C94C33">
              <w:rPr>
                <w:lang w:eastAsia="en-AU"/>
              </w:rPr>
              <w:t>AUC</w:t>
            </w:r>
            <w:r w:rsidRPr="00C94C33">
              <w:rPr>
                <w:position w:val="-3"/>
                <w:lang w:eastAsia="en-AU"/>
              </w:rPr>
              <w:t>0-last</w:t>
            </w:r>
            <w:r w:rsidRPr="00C94C33">
              <w:rPr>
                <w:spacing w:val="14"/>
                <w:position w:val="-3"/>
                <w:lang w:eastAsia="en-AU"/>
              </w:rPr>
              <w:t xml:space="preserve"> </w:t>
            </w:r>
            <w:r w:rsidRPr="00C94C33">
              <w:rPr>
                <w:lang w:eastAsia="en-AU"/>
              </w:rPr>
              <w:t>(ng*hr/mL)</w:t>
            </w:r>
          </w:p>
        </w:tc>
        <w:tc>
          <w:tcPr>
            <w:tcW w:w="619" w:type="dxa"/>
            <w:tcBorders>
              <w:top w:val="single" w:sz="7" w:space="0" w:color="000000"/>
              <w:left w:val="single" w:sz="6" w:space="0" w:color="000000"/>
              <w:bottom w:val="single" w:sz="7" w:space="0" w:color="000000"/>
              <w:right w:val="single" w:sz="6" w:space="0" w:color="000000"/>
            </w:tcBorders>
            <w:shd w:val="clear" w:color="auto" w:fill="auto"/>
          </w:tcPr>
          <w:p w14:paraId="310351AA" w14:textId="77777777" w:rsidR="00DF61BC" w:rsidRPr="00C94C33" w:rsidRDefault="00DF61BC" w:rsidP="00C705AB">
            <w:pPr>
              <w:pStyle w:val="Tabletext"/>
              <w:jc w:val="center"/>
              <w:rPr>
                <w:lang w:eastAsia="en-AU"/>
              </w:rPr>
            </w:pPr>
            <w:r w:rsidRPr="00C94C33">
              <w:rPr>
                <w:lang w:eastAsia="en-AU"/>
              </w:rPr>
              <w:t>19</w:t>
            </w:r>
          </w:p>
        </w:tc>
        <w:tc>
          <w:tcPr>
            <w:tcW w:w="1451" w:type="dxa"/>
            <w:tcBorders>
              <w:top w:val="single" w:sz="7" w:space="0" w:color="000000"/>
              <w:left w:val="single" w:sz="6" w:space="0" w:color="000000"/>
              <w:bottom w:val="single" w:sz="7" w:space="0" w:color="000000"/>
              <w:right w:val="single" w:sz="6" w:space="0" w:color="000000"/>
            </w:tcBorders>
            <w:shd w:val="clear" w:color="auto" w:fill="auto"/>
          </w:tcPr>
          <w:p w14:paraId="6760A279" w14:textId="77777777" w:rsidR="00DF61BC" w:rsidRPr="00C94C33" w:rsidRDefault="00DF61BC" w:rsidP="00C705AB">
            <w:pPr>
              <w:pStyle w:val="Tabletext"/>
              <w:jc w:val="center"/>
              <w:rPr>
                <w:lang w:eastAsia="en-AU"/>
              </w:rPr>
            </w:pPr>
            <w:r w:rsidRPr="00C94C33">
              <w:rPr>
                <w:lang w:eastAsia="en-AU"/>
              </w:rPr>
              <w:t>6618.07</w:t>
            </w:r>
          </w:p>
        </w:tc>
        <w:tc>
          <w:tcPr>
            <w:tcW w:w="720" w:type="dxa"/>
            <w:tcBorders>
              <w:top w:val="single" w:sz="7" w:space="0" w:color="000000"/>
              <w:left w:val="single" w:sz="6" w:space="0" w:color="000000"/>
              <w:bottom w:val="single" w:sz="7" w:space="0" w:color="000000"/>
              <w:right w:val="single" w:sz="6" w:space="0" w:color="000000"/>
            </w:tcBorders>
            <w:shd w:val="clear" w:color="auto" w:fill="auto"/>
          </w:tcPr>
          <w:p w14:paraId="0145F33F" w14:textId="77777777" w:rsidR="00DF61BC" w:rsidRPr="00C94C33" w:rsidRDefault="00DF61BC" w:rsidP="00C705AB">
            <w:pPr>
              <w:pStyle w:val="Tabletext"/>
              <w:jc w:val="center"/>
              <w:rPr>
                <w:lang w:eastAsia="en-AU"/>
              </w:rPr>
            </w:pPr>
            <w:r w:rsidRPr="00C94C33">
              <w:rPr>
                <w:lang w:eastAsia="en-AU"/>
              </w:rPr>
              <w:t>20</w:t>
            </w:r>
          </w:p>
        </w:tc>
        <w:tc>
          <w:tcPr>
            <w:tcW w:w="1350" w:type="dxa"/>
            <w:tcBorders>
              <w:top w:val="single" w:sz="7" w:space="0" w:color="000000"/>
              <w:left w:val="single" w:sz="6" w:space="0" w:color="000000"/>
              <w:bottom w:val="single" w:sz="7" w:space="0" w:color="000000"/>
              <w:right w:val="single" w:sz="6" w:space="0" w:color="000000"/>
            </w:tcBorders>
            <w:shd w:val="clear" w:color="auto" w:fill="auto"/>
          </w:tcPr>
          <w:p w14:paraId="739171F4" w14:textId="77777777" w:rsidR="00DF61BC" w:rsidRPr="00C94C33" w:rsidRDefault="00DF61BC" w:rsidP="00C705AB">
            <w:pPr>
              <w:pStyle w:val="Tabletext"/>
              <w:jc w:val="center"/>
              <w:rPr>
                <w:lang w:eastAsia="en-AU"/>
              </w:rPr>
            </w:pPr>
            <w:r w:rsidRPr="00C94C33">
              <w:rPr>
                <w:lang w:eastAsia="en-AU"/>
              </w:rPr>
              <w:t>176.27</w:t>
            </w:r>
          </w:p>
        </w:tc>
        <w:tc>
          <w:tcPr>
            <w:tcW w:w="1350" w:type="dxa"/>
            <w:tcBorders>
              <w:top w:val="single" w:sz="7" w:space="0" w:color="000000"/>
              <w:left w:val="single" w:sz="6" w:space="0" w:color="000000"/>
              <w:bottom w:val="single" w:sz="7" w:space="0" w:color="000000"/>
              <w:right w:val="single" w:sz="6" w:space="0" w:color="000000"/>
            </w:tcBorders>
            <w:shd w:val="clear" w:color="auto" w:fill="auto"/>
          </w:tcPr>
          <w:p w14:paraId="2DCD9514" w14:textId="77777777" w:rsidR="00DF61BC" w:rsidRPr="00C94C33" w:rsidRDefault="00DF61BC" w:rsidP="00C705AB">
            <w:pPr>
              <w:pStyle w:val="Tabletext"/>
              <w:jc w:val="center"/>
              <w:rPr>
                <w:lang w:eastAsia="en-AU"/>
              </w:rPr>
            </w:pPr>
            <w:r w:rsidRPr="00C94C33">
              <w:rPr>
                <w:lang w:eastAsia="en-AU"/>
              </w:rPr>
              <w:t>37.545</w:t>
            </w:r>
          </w:p>
        </w:tc>
        <w:tc>
          <w:tcPr>
            <w:tcW w:w="1548" w:type="dxa"/>
            <w:tcBorders>
              <w:top w:val="single" w:sz="7" w:space="0" w:color="000000"/>
              <w:left w:val="single" w:sz="6" w:space="0" w:color="000000"/>
              <w:bottom w:val="single" w:sz="7" w:space="0" w:color="000000"/>
              <w:right w:val="single" w:sz="6" w:space="0" w:color="000000"/>
            </w:tcBorders>
            <w:shd w:val="clear" w:color="auto" w:fill="auto"/>
          </w:tcPr>
          <w:p w14:paraId="42DCF3D0" w14:textId="77777777" w:rsidR="00DF61BC" w:rsidRPr="00C94C33" w:rsidRDefault="00DF61BC" w:rsidP="00C705AB">
            <w:pPr>
              <w:pStyle w:val="Tabletext"/>
              <w:jc w:val="center"/>
              <w:rPr>
                <w:lang w:eastAsia="en-AU"/>
              </w:rPr>
            </w:pPr>
            <w:r w:rsidRPr="00C94C33">
              <w:rPr>
                <w:lang w:eastAsia="en-AU"/>
              </w:rPr>
              <w:t>(27.56</w:t>
            </w:r>
            <w:r w:rsidRPr="00C94C33">
              <w:rPr>
                <w:spacing w:val="1"/>
                <w:lang w:eastAsia="en-AU"/>
              </w:rPr>
              <w:t xml:space="preserve"> </w:t>
            </w:r>
            <w:r w:rsidRPr="00C94C33">
              <w:rPr>
                <w:lang w:eastAsia="en-AU"/>
              </w:rPr>
              <w:t>- 51.15)</w:t>
            </w:r>
          </w:p>
        </w:tc>
      </w:tr>
      <w:tr w:rsidR="00DF61BC" w:rsidRPr="00C94C33" w14:paraId="1ACE63ED" w14:textId="77777777" w:rsidTr="00C705AB">
        <w:trPr>
          <w:trHeight w:hRule="exact" w:val="397"/>
        </w:trPr>
        <w:tc>
          <w:tcPr>
            <w:tcW w:w="2538" w:type="dxa"/>
            <w:tcBorders>
              <w:top w:val="single" w:sz="7" w:space="0" w:color="000000"/>
              <w:left w:val="single" w:sz="6" w:space="0" w:color="000000"/>
              <w:bottom w:val="single" w:sz="7" w:space="0" w:color="000000"/>
              <w:right w:val="single" w:sz="6" w:space="0" w:color="000000"/>
            </w:tcBorders>
            <w:shd w:val="clear" w:color="auto" w:fill="auto"/>
          </w:tcPr>
          <w:p w14:paraId="6C051C41" w14:textId="77777777" w:rsidR="00DF61BC" w:rsidRPr="00C94C33" w:rsidRDefault="00DF61BC" w:rsidP="00C705AB">
            <w:pPr>
              <w:pStyle w:val="Tabletext"/>
              <w:jc w:val="center"/>
              <w:rPr>
                <w:lang w:eastAsia="en-AU"/>
              </w:rPr>
            </w:pPr>
            <w:r w:rsidRPr="00C94C33">
              <w:rPr>
                <w:lang w:eastAsia="en-AU"/>
              </w:rPr>
              <w:t>C</w:t>
            </w:r>
            <w:r w:rsidRPr="00C94C33">
              <w:rPr>
                <w:position w:val="-3"/>
                <w:lang w:eastAsia="en-AU"/>
              </w:rPr>
              <w:t>max</w:t>
            </w:r>
            <w:r w:rsidRPr="00C94C33">
              <w:rPr>
                <w:spacing w:val="15"/>
                <w:position w:val="-3"/>
                <w:lang w:eastAsia="en-AU"/>
              </w:rPr>
              <w:t xml:space="preserve"> </w:t>
            </w:r>
            <w:r w:rsidRPr="00C94C33">
              <w:rPr>
                <w:lang w:eastAsia="en-AU"/>
              </w:rPr>
              <w:t>(ng/mL)</w:t>
            </w:r>
          </w:p>
        </w:tc>
        <w:tc>
          <w:tcPr>
            <w:tcW w:w="619" w:type="dxa"/>
            <w:tcBorders>
              <w:top w:val="single" w:sz="7" w:space="0" w:color="000000"/>
              <w:left w:val="single" w:sz="6" w:space="0" w:color="000000"/>
              <w:bottom w:val="single" w:sz="7" w:space="0" w:color="000000"/>
              <w:right w:val="single" w:sz="6" w:space="0" w:color="000000"/>
            </w:tcBorders>
            <w:shd w:val="clear" w:color="auto" w:fill="auto"/>
          </w:tcPr>
          <w:p w14:paraId="1B19E519" w14:textId="77777777" w:rsidR="00DF61BC" w:rsidRPr="00C94C33" w:rsidRDefault="00DF61BC" w:rsidP="00C705AB">
            <w:pPr>
              <w:pStyle w:val="Tabletext"/>
              <w:jc w:val="center"/>
              <w:rPr>
                <w:lang w:eastAsia="en-AU"/>
              </w:rPr>
            </w:pPr>
            <w:r w:rsidRPr="00C94C33">
              <w:rPr>
                <w:lang w:eastAsia="en-AU"/>
              </w:rPr>
              <w:t>19</w:t>
            </w:r>
          </w:p>
        </w:tc>
        <w:tc>
          <w:tcPr>
            <w:tcW w:w="1451" w:type="dxa"/>
            <w:tcBorders>
              <w:top w:val="single" w:sz="7" w:space="0" w:color="000000"/>
              <w:left w:val="single" w:sz="6" w:space="0" w:color="000000"/>
              <w:bottom w:val="single" w:sz="7" w:space="0" w:color="000000"/>
              <w:right w:val="single" w:sz="6" w:space="0" w:color="000000"/>
            </w:tcBorders>
            <w:shd w:val="clear" w:color="auto" w:fill="auto"/>
          </w:tcPr>
          <w:p w14:paraId="4B76B0BF" w14:textId="77777777" w:rsidR="00DF61BC" w:rsidRPr="00C94C33" w:rsidRDefault="00DF61BC" w:rsidP="00C705AB">
            <w:pPr>
              <w:pStyle w:val="Tabletext"/>
              <w:jc w:val="center"/>
              <w:rPr>
                <w:lang w:eastAsia="en-AU"/>
              </w:rPr>
            </w:pPr>
            <w:r w:rsidRPr="00C94C33">
              <w:rPr>
                <w:lang w:eastAsia="en-AU"/>
              </w:rPr>
              <w:t>2155.17</w:t>
            </w:r>
          </w:p>
        </w:tc>
        <w:tc>
          <w:tcPr>
            <w:tcW w:w="720" w:type="dxa"/>
            <w:tcBorders>
              <w:top w:val="single" w:sz="7" w:space="0" w:color="000000"/>
              <w:left w:val="single" w:sz="6" w:space="0" w:color="000000"/>
              <w:bottom w:val="single" w:sz="7" w:space="0" w:color="000000"/>
              <w:right w:val="single" w:sz="6" w:space="0" w:color="000000"/>
            </w:tcBorders>
            <w:shd w:val="clear" w:color="auto" w:fill="auto"/>
          </w:tcPr>
          <w:p w14:paraId="23675FDD" w14:textId="77777777" w:rsidR="00DF61BC" w:rsidRPr="00C94C33" w:rsidRDefault="00DF61BC" w:rsidP="00C705AB">
            <w:pPr>
              <w:pStyle w:val="Tabletext"/>
              <w:jc w:val="center"/>
              <w:rPr>
                <w:lang w:eastAsia="en-AU"/>
              </w:rPr>
            </w:pPr>
            <w:r w:rsidRPr="00C94C33">
              <w:rPr>
                <w:lang w:eastAsia="en-AU"/>
              </w:rPr>
              <w:t>20</w:t>
            </w:r>
          </w:p>
        </w:tc>
        <w:tc>
          <w:tcPr>
            <w:tcW w:w="1350" w:type="dxa"/>
            <w:tcBorders>
              <w:top w:val="single" w:sz="7" w:space="0" w:color="000000"/>
              <w:left w:val="single" w:sz="6" w:space="0" w:color="000000"/>
              <w:bottom w:val="single" w:sz="7" w:space="0" w:color="000000"/>
              <w:right w:val="single" w:sz="6" w:space="0" w:color="000000"/>
            </w:tcBorders>
            <w:shd w:val="clear" w:color="auto" w:fill="auto"/>
          </w:tcPr>
          <w:p w14:paraId="4FD557E8" w14:textId="77777777" w:rsidR="00DF61BC" w:rsidRPr="00C94C33" w:rsidRDefault="00DF61BC" w:rsidP="00C705AB">
            <w:pPr>
              <w:pStyle w:val="Tabletext"/>
              <w:jc w:val="center"/>
              <w:rPr>
                <w:lang w:eastAsia="en-AU"/>
              </w:rPr>
            </w:pPr>
            <w:r w:rsidRPr="00C94C33">
              <w:rPr>
                <w:lang w:eastAsia="en-AU"/>
              </w:rPr>
              <w:t>96.24</w:t>
            </w:r>
          </w:p>
        </w:tc>
        <w:tc>
          <w:tcPr>
            <w:tcW w:w="1350" w:type="dxa"/>
            <w:tcBorders>
              <w:top w:val="single" w:sz="7" w:space="0" w:color="000000"/>
              <w:left w:val="single" w:sz="6" w:space="0" w:color="000000"/>
              <w:bottom w:val="single" w:sz="7" w:space="0" w:color="000000"/>
              <w:right w:val="single" w:sz="6" w:space="0" w:color="000000"/>
            </w:tcBorders>
            <w:shd w:val="clear" w:color="auto" w:fill="auto"/>
          </w:tcPr>
          <w:p w14:paraId="469A4914" w14:textId="77777777" w:rsidR="00DF61BC" w:rsidRPr="00C94C33" w:rsidRDefault="00DF61BC" w:rsidP="00C705AB">
            <w:pPr>
              <w:pStyle w:val="Tabletext"/>
              <w:jc w:val="center"/>
              <w:rPr>
                <w:lang w:eastAsia="en-AU"/>
              </w:rPr>
            </w:pPr>
            <w:r w:rsidRPr="00C94C33">
              <w:rPr>
                <w:lang w:eastAsia="en-AU"/>
              </w:rPr>
              <w:t>22.393</w:t>
            </w:r>
          </w:p>
        </w:tc>
        <w:tc>
          <w:tcPr>
            <w:tcW w:w="1548" w:type="dxa"/>
            <w:tcBorders>
              <w:top w:val="single" w:sz="7" w:space="0" w:color="000000"/>
              <w:left w:val="single" w:sz="6" w:space="0" w:color="000000"/>
              <w:bottom w:val="single" w:sz="7" w:space="0" w:color="000000"/>
              <w:right w:val="single" w:sz="6" w:space="0" w:color="000000"/>
            </w:tcBorders>
            <w:shd w:val="clear" w:color="auto" w:fill="auto"/>
          </w:tcPr>
          <w:p w14:paraId="27F27064" w14:textId="77777777" w:rsidR="00DF61BC" w:rsidRPr="00C94C33" w:rsidRDefault="00DF61BC" w:rsidP="00C705AB">
            <w:pPr>
              <w:pStyle w:val="Tabletext"/>
              <w:jc w:val="center"/>
              <w:rPr>
                <w:lang w:eastAsia="en-AU"/>
              </w:rPr>
            </w:pPr>
            <w:r w:rsidRPr="00C94C33">
              <w:rPr>
                <w:lang w:eastAsia="en-AU"/>
              </w:rPr>
              <w:t>(14.19</w:t>
            </w:r>
            <w:r w:rsidRPr="00C94C33">
              <w:rPr>
                <w:spacing w:val="1"/>
                <w:lang w:eastAsia="en-AU"/>
              </w:rPr>
              <w:t xml:space="preserve"> </w:t>
            </w:r>
            <w:r w:rsidRPr="00C94C33">
              <w:rPr>
                <w:lang w:eastAsia="en-AU"/>
              </w:rPr>
              <w:t>- 35.34)</w:t>
            </w:r>
          </w:p>
        </w:tc>
      </w:tr>
      <w:tr w:rsidR="00DF61BC" w:rsidRPr="00C94C33" w14:paraId="712B5B6E" w14:textId="77777777" w:rsidTr="00C705AB">
        <w:trPr>
          <w:trHeight w:hRule="exact" w:val="397"/>
        </w:trPr>
        <w:tc>
          <w:tcPr>
            <w:tcW w:w="2538" w:type="dxa"/>
            <w:tcBorders>
              <w:top w:val="single" w:sz="7" w:space="0" w:color="000000"/>
              <w:left w:val="single" w:sz="6" w:space="0" w:color="000000"/>
              <w:bottom w:val="single" w:sz="7" w:space="0" w:color="000000"/>
              <w:right w:val="single" w:sz="6" w:space="0" w:color="000000"/>
            </w:tcBorders>
            <w:shd w:val="clear" w:color="auto" w:fill="auto"/>
          </w:tcPr>
          <w:p w14:paraId="7ADC4C64" w14:textId="77777777" w:rsidR="00DF61BC" w:rsidRPr="00C94C33" w:rsidRDefault="00DF61BC" w:rsidP="00C705AB">
            <w:pPr>
              <w:pStyle w:val="Tabletext"/>
              <w:jc w:val="center"/>
              <w:rPr>
                <w:lang w:eastAsia="en-AU"/>
              </w:rPr>
            </w:pPr>
            <w:r w:rsidRPr="00C94C33">
              <w:rPr>
                <w:lang w:eastAsia="en-AU"/>
              </w:rPr>
              <w:t>AUC</w:t>
            </w:r>
            <w:r w:rsidRPr="00C94C33">
              <w:rPr>
                <w:position w:val="-3"/>
                <w:lang w:eastAsia="en-AU"/>
              </w:rPr>
              <w:t>0-inf</w:t>
            </w:r>
            <w:r w:rsidRPr="00C94C33">
              <w:rPr>
                <w:spacing w:val="15"/>
                <w:position w:val="-3"/>
                <w:lang w:eastAsia="en-AU"/>
              </w:rPr>
              <w:t xml:space="preserve"> </w:t>
            </w:r>
            <w:r w:rsidRPr="00C94C33">
              <w:rPr>
                <w:lang w:eastAsia="en-AU"/>
              </w:rPr>
              <w:t>(ng*hr/mL)</w:t>
            </w:r>
          </w:p>
        </w:tc>
        <w:tc>
          <w:tcPr>
            <w:tcW w:w="619" w:type="dxa"/>
            <w:tcBorders>
              <w:top w:val="single" w:sz="7" w:space="0" w:color="000000"/>
              <w:left w:val="single" w:sz="6" w:space="0" w:color="000000"/>
              <w:bottom w:val="single" w:sz="7" w:space="0" w:color="000000"/>
              <w:right w:val="single" w:sz="6" w:space="0" w:color="000000"/>
            </w:tcBorders>
            <w:shd w:val="clear" w:color="auto" w:fill="auto"/>
          </w:tcPr>
          <w:p w14:paraId="706B9B9A" w14:textId="77777777" w:rsidR="00DF61BC" w:rsidRPr="00C94C33" w:rsidRDefault="00DF61BC" w:rsidP="00C705AB">
            <w:pPr>
              <w:pStyle w:val="Tabletext"/>
              <w:jc w:val="center"/>
              <w:rPr>
                <w:lang w:eastAsia="en-AU"/>
              </w:rPr>
            </w:pPr>
            <w:r w:rsidRPr="00C94C33">
              <w:rPr>
                <w:lang w:eastAsia="en-AU"/>
              </w:rPr>
              <w:t>19</w:t>
            </w:r>
          </w:p>
        </w:tc>
        <w:tc>
          <w:tcPr>
            <w:tcW w:w="1451" w:type="dxa"/>
            <w:tcBorders>
              <w:top w:val="single" w:sz="7" w:space="0" w:color="000000"/>
              <w:left w:val="single" w:sz="6" w:space="0" w:color="000000"/>
              <w:bottom w:val="single" w:sz="7" w:space="0" w:color="000000"/>
              <w:right w:val="single" w:sz="6" w:space="0" w:color="000000"/>
            </w:tcBorders>
            <w:shd w:val="clear" w:color="auto" w:fill="auto"/>
          </w:tcPr>
          <w:p w14:paraId="6B3D45C6" w14:textId="77777777" w:rsidR="00DF61BC" w:rsidRPr="00C94C33" w:rsidRDefault="00DF61BC" w:rsidP="00C705AB">
            <w:pPr>
              <w:pStyle w:val="Tabletext"/>
              <w:jc w:val="center"/>
              <w:rPr>
                <w:lang w:eastAsia="en-AU"/>
              </w:rPr>
            </w:pPr>
            <w:r w:rsidRPr="00C94C33">
              <w:rPr>
                <w:lang w:eastAsia="en-AU"/>
              </w:rPr>
              <w:t>6693.97</w:t>
            </w:r>
          </w:p>
        </w:tc>
        <w:tc>
          <w:tcPr>
            <w:tcW w:w="720" w:type="dxa"/>
            <w:tcBorders>
              <w:top w:val="single" w:sz="7" w:space="0" w:color="000000"/>
              <w:left w:val="single" w:sz="6" w:space="0" w:color="000000"/>
              <w:bottom w:val="single" w:sz="7" w:space="0" w:color="000000"/>
              <w:right w:val="single" w:sz="6" w:space="0" w:color="000000"/>
            </w:tcBorders>
            <w:shd w:val="clear" w:color="auto" w:fill="auto"/>
          </w:tcPr>
          <w:p w14:paraId="28AAAD40" w14:textId="77777777" w:rsidR="00DF61BC" w:rsidRPr="00C94C33" w:rsidRDefault="00DF61BC" w:rsidP="00C705AB">
            <w:pPr>
              <w:pStyle w:val="Tabletext"/>
              <w:jc w:val="center"/>
              <w:rPr>
                <w:lang w:eastAsia="en-AU"/>
              </w:rPr>
            </w:pPr>
            <w:r w:rsidRPr="00C94C33">
              <w:rPr>
                <w:lang w:eastAsia="en-AU"/>
              </w:rPr>
              <w:t>10</w:t>
            </w:r>
            <w:r w:rsidRPr="00C94C33">
              <w:rPr>
                <w:position w:val="10"/>
                <w:lang w:eastAsia="en-AU"/>
              </w:rPr>
              <w:t>a</w:t>
            </w:r>
          </w:p>
        </w:tc>
        <w:tc>
          <w:tcPr>
            <w:tcW w:w="1350" w:type="dxa"/>
            <w:tcBorders>
              <w:top w:val="single" w:sz="7" w:space="0" w:color="000000"/>
              <w:left w:val="single" w:sz="6" w:space="0" w:color="000000"/>
              <w:bottom w:val="single" w:sz="7" w:space="0" w:color="000000"/>
              <w:right w:val="single" w:sz="6" w:space="0" w:color="000000"/>
            </w:tcBorders>
            <w:shd w:val="clear" w:color="auto" w:fill="auto"/>
          </w:tcPr>
          <w:p w14:paraId="36C52E84" w14:textId="77777777" w:rsidR="00DF61BC" w:rsidRPr="00C94C33" w:rsidRDefault="00DF61BC" w:rsidP="00C705AB">
            <w:pPr>
              <w:pStyle w:val="Tabletext"/>
              <w:jc w:val="center"/>
              <w:rPr>
                <w:lang w:eastAsia="en-AU"/>
              </w:rPr>
            </w:pPr>
            <w:r w:rsidRPr="00C94C33">
              <w:rPr>
                <w:lang w:eastAsia="en-AU"/>
              </w:rPr>
              <w:t>247.88</w:t>
            </w:r>
          </w:p>
        </w:tc>
        <w:tc>
          <w:tcPr>
            <w:tcW w:w="1350" w:type="dxa"/>
            <w:tcBorders>
              <w:top w:val="single" w:sz="7" w:space="0" w:color="000000"/>
              <w:left w:val="single" w:sz="6" w:space="0" w:color="000000"/>
              <w:bottom w:val="single" w:sz="7" w:space="0" w:color="000000"/>
              <w:right w:val="single" w:sz="6" w:space="0" w:color="000000"/>
            </w:tcBorders>
            <w:shd w:val="clear" w:color="auto" w:fill="auto"/>
          </w:tcPr>
          <w:p w14:paraId="4596559F" w14:textId="77777777" w:rsidR="00DF61BC" w:rsidRPr="00C94C33" w:rsidRDefault="00DF61BC" w:rsidP="00C705AB">
            <w:pPr>
              <w:pStyle w:val="Tabletext"/>
              <w:jc w:val="center"/>
              <w:rPr>
                <w:lang w:eastAsia="en-AU"/>
              </w:rPr>
            </w:pPr>
            <w:r w:rsidRPr="00C94C33">
              <w:rPr>
                <w:lang w:eastAsia="en-AU"/>
              </w:rPr>
              <w:t>27.004</w:t>
            </w:r>
          </w:p>
        </w:tc>
        <w:tc>
          <w:tcPr>
            <w:tcW w:w="1548" w:type="dxa"/>
            <w:tcBorders>
              <w:top w:val="single" w:sz="7" w:space="0" w:color="000000"/>
              <w:left w:val="single" w:sz="6" w:space="0" w:color="000000"/>
              <w:bottom w:val="single" w:sz="7" w:space="0" w:color="000000"/>
              <w:right w:val="single" w:sz="6" w:space="0" w:color="000000"/>
            </w:tcBorders>
            <w:shd w:val="clear" w:color="auto" w:fill="auto"/>
          </w:tcPr>
          <w:p w14:paraId="335F7C2B" w14:textId="77777777" w:rsidR="00DF61BC" w:rsidRPr="00C94C33" w:rsidRDefault="00DF61BC" w:rsidP="00C705AB">
            <w:pPr>
              <w:pStyle w:val="Tabletext"/>
              <w:jc w:val="center"/>
              <w:rPr>
                <w:lang w:eastAsia="en-AU"/>
              </w:rPr>
            </w:pPr>
            <w:r w:rsidRPr="00C94C33">
              <w:rPr>
                <w:lang w:eastAsia="en-AU"/>
              </w:rPr>
              <w:t>(19.56</w:t>
            </w:r>
            <w:r w:rsidRPr="00C94C33">
              <w:rPr>
                <w:spacing w:val="1"/>
                <w:lang w:eastAsia="en-AU"/>
              </w:rPr>
              <w:t xml:space="preserve"> </w:t>
            </w:r>
            <w:r w:rsidRPr="00C94C33">
              <w:rPr>
                <w:lang w:eastAsia="en-AU"/>
              </w:rPr>
              <w:t>- 37.27)</w:t>
            </w:r>
          </w:p>
        </w:tc>
      </w:tr>
      <w:tr w:rsidR="00DF61BC" w:rsidRPr="00C94C33" w14:paraId="646EA913" w14:textId="77777777" w:rsidTr="00C705AB">
        <w:trPr>
          <w:trHeight w:hRule="exact" w:val="340"/>
        </w:trPr>
        <w:tc>
          <w:tcPr>
            <w:tcW w:w="2538" w:type="dxa"/>
            <w:tcBorders>
              <w:top w:val="single" w:sz="7" w:space="0" w:color="000000"/>
              <w:left w:val="single" w:sz="6" w:space="0" w:color="000000"/>
              <w:bottom w:val="single" w:sz="7" w:space="0" w:color="000000"/>
              <w:right w:val="single" w:sz="6" w:space="0" w:color="000000"/>
            </w:tcBorders>
            <w:shd w:val="clear" w:color="auto" w:fill="auto"/>
          </w:tcPr>
          <w:p w14:paraId="275F74B0" w14:textId="77777777" w:rsidR="00DF61BC" w:rsidRPr="00C94C33" w:rsidRDefault="00DF61BC" w:rsidP="00C705AB">
            <w:pPr>
              <w:pStyle w:val="TableHeading"/>
              <w:rPr>
                <w:lang w:eastAsia="en-AU"/>
              </w:rPr>
            </w:pPr>
            <w:r w:rsidRPr="00C94C33">
              <w:rPr>
                <w:lang w:eastAsia="en-AU"/>
              </w:rPr>
              <w:t>FTY</w:t>
            </w:r>
          </w:p>
        </w:tc>
        <w:tc>
          <w:tcPr>
            <w:tcW w:w="619" w:type="dxa"/>
            <w:tcBorders>
              <w:top w:val="single" w:sz="7" w:space="0" w:color="000000"/>
              <w:left w:val="single" w:sz="6" w:space="0" w:color="000000"/>
              <w:bottom w:val="single" w:sz="7" w:space="0" w:color="000000"/>
              <w:right w:val="single" w:sz="6" w:space="0" w:color="000000"/>
            </w:tcBorders>
            <w:shd w:val="clear" w:color="auto" w:fill="auto"/>
          </w:tcPr>
          <w:p w14:paraId="140C42CE" w14:textId="77777777" w:rsidR="00DF61BC" w:rsidRPr="00C94C33" w:rsidRDefault="00DF61BC" w:rsidP="00C705AB">
            <w:pPr>
              <w:pStyle w:val="TableHeading"/>
              <w:rPr>
                <w:lang w:eastAsia="en-AU"/>
              </w:rPr>
            </w:pPr>
          </w:p>
        </w:tc>
        <w:tc>
          <w:tcPr>
            <w:tcW w:w="1451" w:type="dxa"/>
            <w:tcBorders>
              <w:top w:val="single" w:sz="7" w:space="0" w:color="000000"/>
              <w:left w:val="single" w:sz="6" w:space="0" w:color="000000"/>
              <w:bottom w:val="single" w:sz="7" w:space="0" w:color="000000"/>
              <w:right w:val="single" w:sz="6" w:space="0" w:color="000000"/>
            </w:tcBorders>
            <w:shd w:val="clear" w:color="auto" w:fill="auto"/>
          </w:tcPr>
          <w:p w14:paraId="356B9B86" w14:textId="77777777" w:rsidR="00DF61BC" w:rsidRPr="00C94C33" w:rsidRDefault="00DF61BC" w:rsidP="00C705AB">
            <w:pPr>
              <w:pStyle w:val="TableHeading"/>
              <w:rPr>
                <w:lang w:eastAsia="en-AU"/>
              </w:rPr>
            </w:pPr>
          </w:p>
        </w:tc>
        <w:tc>
          <w:tcPr>
            <w:tcW w:w="720" w:type="dxa"/>
            <w:tcBorders>
              <w:top w:val="single" w:sz="7" w:space="0" w:color="000000"/>
              <w:left w:val="single" w:sz="6" w:space="0" w:color="000000"/>
              <w:bottom w:val="single" w:sz="7" w:space="0" w:color="000000"/>
              <w:right w:val="single" w:sz="6" w:space="0" w:color="000000"/>
            </w:tcBorders>
            <w:shd w:val="clear" w:color="auto" w:fill="auto"/>
          </w:tcPr>
          <w:p w14:paraId="7C3A307A" w14:textId="77777777" w:rsidR="00DF61BC" w:rsidRPr="00C94C33" w:rsidRDefault="00DF61BC" w:rsidP="00C705AB">
            <w:pPr>
              <w:pStyle w:val="TableHeading"/>
              <w:rPr>
                <w:lang w:eastAsia="en-AU"/>
              </w:rPr>
            </w:pPr>
          </w:p>
        </w:tc>
        <w:tc>
          <w:tcPr>
            <w:tcW w:w="1350" w:type="dxa"/>
            <w:tcBorders>
              <w:top w:val="single" w:sz="7" w:space="0" w:color="000000"/>
              <w:left w:val="single" w:sz="6" w:space="0" w:color="000000"/>
              <w:bottom w:val="single" w:sz="7" w:space="0" w:color="000000"/>
              <w:right w:val="single" w:sz="6" w:space="0" w:color="000000"/>
            </w:tcBorders>
            <w:shd w:val="clear" w:color="auto" w:fill="auto"/>
          </w:tcPr>
          <w:p w14:paraId="5F62BF7D" w14:textId="77777777" w:rsidR="00DF61BC" w:rsidRPr="00C94C33" w:rsidRDefault="00DF61BC" w:rsidP="00C705AB">
            <w:pPr>
              <w:pStyle w:val="TableHeading"/>
              <w:rPr>
                <w:lang w:eastAsia="en-AU"/>
              </w:rPr>
            </w:pPr>
          </w:p>
        </w:tc>
        <w:tc>
          <w:tcPr>
            <w:tcW w:w="1350" w:type="dxa"/>
            <w:tcBorders>
              <w:top w:val="single" w:sz="7" w:space="0" w:color="000000"/>
              <w:left w:val="single" w:sz="6" w:space="0" w:color="000000"/>
              <w:bottom w:val="single" w:sz="7" w:space="0" w:color="000000"/>
              <w:right w:val="single" w:sz="6" w:space="0" w:color="000000"/>
            </w:tcBorders>
            <w:shd w:val="clear" w:color="auto" w:fill="auto"/>
          </w:tcPr>
          <w:p w14:paraId="6A591252" w14:textId="77777777" w:rsidR="00DF61BC" w:rsidRPr="00C94C33" w:rsidRDefault="00DF61BC" w:rsidP="00C705AB">
            <w:pPr>
              <w:pStyle w:val="TableHeading"/>
              <w:rPr>
                <w:lang w:eastAsia="en-AU"/>
              </w:rPr>
            </w:pPr>
          </w:p>
        </w:tc>
        <w:tc>
          <w:tcPr>
            <w:tcW w:w="1548" w:type="dxa"/>
            <w:tcBorders>
              <w:top w:val="single" w:sz="7" w:space="0" w:color="000000"/>
              <w:left w:val="single" w:sz="6" w:space="0" w:color="000000"/>
              <w:bottom w:val="single" w:sz="7" w:space="0" w:color="000000"/>
              <w:right w:val="single" w:sz="6" w:space="0" w:color="000000"/>
            </w:tcBorders>
            <w:shd w:val="clear" w:color="auto" w:fill="auto"/>
          </w:tcPr>
          <w:p w14:paraId="7620D3EA" w14:textId="77777777" w:rsidR="00DF61BC" w:rsidRPr="00C94C33" w:rsidRDefault="00DF61BC" w:rsidP="00C705AB">
            <w:pPr>
              <w:pStyle w:val="TableHeading"/>
              <w:rPr>
                <w:lang w:eastAsia="en-AU"/>
              </w:rPr>
            </w:pPr>
          </w:p>
        </w:tc>
      </w:tr>
      <w:tr w:rsidR="00DF61BC" w:rsidRPr="00C94C33" w14:paraId="3040E84C" w14:textId="77777777" w:rsidTr="00C705AB">
        <w:trPr>
          <w:trHeight w:val="20"/>
        </w:trPr>
        <w:tc>
          <w:tcPr>
            <w:tcW w:w="2538" w:type="dxa"/>
            <w:tcBorders>
              <w:top w:val="single" w:sz="7" w:space="0" w:color="000000"/>
              <w:left w:val="single" w:sz="6" w:space="0" w:color="000000"/>
              <w:bottom w:val="single" w:sz="7" w:space="0" w:color="000000"/>
              <w:right w:val="single" w:sz="6" w:space="0" w:color="000000"/>
            </w:tcBorders>
            <w:shd w:val="clear" w:color="auto" w:fill="auto"/>
          </w:tcPr>
          <w:p w14:paraId="04591B7E" w14:textId="77777777" w:rsidR="00DF61BC" w:rsidRPr="00C94C33" w:rsidRDefault="00DF61BC" w:rsidP="00C705AB">
            <w:pPr>
              <w:pStyle w:val="Tabletext"/>
              <w:jc w:val="center"/>
              <w:rPr>
                <w:lang w:eastAsia="en-AU"/>
              </w:rPr>
            </w:pPr>
            <w:r w:rsidRPr="00C94C33">
              <w:rPr>
                <w:lang w:eastAsia="en-AU"/>
              </w:rPr>
              <w:t>AUC</w:t>
            </w:r>
            <w:r w:rsidRPr="00C94C33">
              <w:rPr>
                <w:position w:val="-3"/>
                <w:lang w:eastAsia="en-AU"/>
              </w:rPr>
              <w:t>0-last</w:t>
            </w:r>
            <w:r w:rsidRPr="00C94C33">
              <w:rPr>
                <w:spacing w:val="14"/>
                <w:position w:val="-3"/>
                <w:lang w:eastAsia="en-AU"/>
              </w:rPr>
              <w:t xml:space="preserve"> </w:t>
            </w:r>
            <w:r w:rsidRPr="00C94C33">
              <w:rPr>
                <w:lang w:eastAsia="en-AU"/>
              </w:rPr>
              <w:t>(ng*hr/mL)</w:t>
            </w:r>
          </w:p>
        </w:tc>
        <w:tc>
          <w:tcPr>
            <w:tcW w:w="619" w:type="dxa"/>
            <w:tcBorders>
              <w:top w:val="single" w:sz="7" w:space="0" w:color="000000"/>
              <w:left w:val="single" w:sz="6" w:space="0" w:color="000000"/>
              <w:bottom w:val="single" w:sz="7" w:space="0" w:color="000000"/>
              <w:right w:val="single" w:sz="6" w:space="0" w:color="000000"/>
            </w:tcBorders>
            <w:shd w:val="clear" w:color="auto" w:fill="auto"/>
          </w:tcPr>
          <w:p w14:paraId="69805F3A" w14:textId="77777777" w:rsidR="00DF61BC" w:rsidRPr="00C94C33" w:rsidRDefault="00DF61BC" w:rsidP="00C705AB">
            <w:pPr>
              <w:pStyle w:val="Tabletext"/>
              <w:jc w:val="center"/>
              <w:rPr>
                <w:lang w:eastAsia="en-AU"/>
              </w:rPr>
            </w:pPr>
            <w:r w:rsidRPr="00C94C33">
              <w:rPr>
                <w:lang w:eastAsia="en-AU"/>
              </w:rPr>
              <w:t>19</w:t>
            </w:r>
          </w:p>
        </w:tc>
        <w:tc>
          <w:tcPr>
            <w:tcW w:w="1451" w:type="dxa"/>
            <w:tcBorders>
              <w:top w:val="single" w:sz="7" w:space="0" w:color="000000"/>
              <w:left w:val="single" w:sz="6" w:space="0" w:color="000000"/>
              <w:bottom w:val="single" w:sz="7" w:space="0" w:color="000000"/>
              <w:right w:val="single" w:sz="6" w:space="0" w:color="000000"/>
            </w:tcBorders>
            <w:shd w:val="clear" w:color="auto" w:fill="auto"/>
          </w:tcPr>
          <w:p w14:paraId="7CD22595" w14:textId="77777777" w:rsidR="00DF61BC" w:rsidRPr="00C94C33" w:rsidRDefault="00DF61BC" w:rsidP="00C705AB">
            <w:pPr>
              <w:pStyle w:val="Tabletext"/>
              <w:jc w:val="center"/>
              <w:rPr>
                <w:lang w:eastAsia="en-AU"/>
              </w:rPr>
            </w:pPr>
            <w:r w:rsidRPr="00C94C33">
              <w:rPr>
                <w:lang w:eastAsia="en-AU"/>
              </w:rPr>
              <w:t>3231.72</w:t>
            </w:r>
          </w:p>
        </w:tc>
        <w:tc>
          <w:tcPr>
            <w:tcW w:w="720" w:type="dxa"/>
            <w:tcBorders>
              <w:top w:val="single" w:sz="7" w:space="0" w:color="000000"/>
              <w:left w:val="single" w:sz="6" w:space="0" w:color="000000"/>
              <w:bottom w:val="single" w:sz="7" w:space="0" w:color="000000"/>
              <w:right w:val="single" w:sz="6" w:space="0" w:color="000000"/>
            </w:tcBorders>
            <w:shd w:val="clear" w:color="auto" w:fill="auto"/>
          </w:tcPr>
          <w:p w14:paraId="24F8CC74" w14:textId="77777777" w:rsidR="00DF61BC" w:rsidRPr="00C94C33" w:rsidRDefault="00DF61BC" w:rsidP="00C705AB">
            <w:pPr>
              <w:pStyle w:val="Tabletext"/>
              <w:jc w:val="center"/>
              <w:rPr>
                <w:lang w:eastAsia="en-AU"/>
              </w:rPr>
            </w:pPr>
            <w:r w:rsidRPr="00C94C33">
              <w:rPr>
                <w:lang w:eastAsia="en-AU"/>
              </w:rPr>
              <w:t>20</w:t>
            </w:r>
          </w:p>
        </w:tc>
        <w:tc>
          <w:tcPr>
            <w:tcW w:w="1350" w:type="dxa"/>
            <w:tcBorders>
              <w:top w:val="single" w:sz="7" w:space="0" w:color="000000"/>
              <w:left w:val="single" w:sz="6" w:space="0" w:color="000000"/>
              <w:bottom w:val="single" w:sz="7" w:space="0" w:color="000000"/>
              <w:right w:val="single" w:sz="6" w:space="0" w:color="000000"/>
            </w:tcBorders>
            <w:shd w:val="clear" w:color="auto" w:fill="auto"/>
          </w:tcPr>
          <w:p w14:paraId="77C83369" w14:textId="77777777" w:rsidR="00DF61BC" w:rsidRPr="00C94C33" w:rsidRDefault="00DF61BC" w:rsidP="00C705AB">
            <w:pPr>
              <w:pStyle w:val="Tabletext"/>
              <w:jc w:val="center"/>
              <w:rPr>
                <w:lang w:eastAsia="en-AU"/>
              </w:rPr>
            </w:pPr>
            <w:r w:rsidRPr="00C94C33">
              <w:rPr>
                <w:lang w:eastAsia="en-AU"/>
              </w:rPr>
              <w:t>4121.90</w:t>
            </w:r>
          </w:p>
        </w:tc>
        <w:tc>
          <w:tcPr>
            <w:tcW w:w="1350" w:type="dxa"/>
            <w:tcBorders>
              <w:top w:val="single" w:sz="7" w:space="0" w:color="000000"/>
              <w:left w:val="single" w:sz="6" w:space="0" w:color="000000"/>
              <w:bottom w:val="single" w:sz="7" w:space="0" w:color="000000"/>
              <w:right w:val="single" w:sz="6" w:space="0" w:color="000000"/>
            </w:tcBorders>
            <w:shd w:val="clear" w:color="auto" w:fill="auto"/>
          </w:tcPr>
          <w:p w14:paraId="566948F7" w14:textId="77777777" w:rsidR="00DF61BC" w:rsidRPr="00C94C33" w:rsidRDefault="00DF61BC" w:rsidP="00C705AB">
            <w:pPr>
              <w:pStyle w:val="Tabletext"/>
              <w:jc w:val="center"/>
              <w:rPr>
                <w:lang w:eastAsia="en-AU"/>
              </w:rPr>
            </w:pPr>
            <w:r w:rsidRPr="00C94C33">
              <w:rPr>
                <w:lang w:eastAsia="en-AU"/>
              </w:rPr>
              <w:t>0.784</w:t>
            </w:r>
          </w:p>
        </w:tc>
        <w:tc>
          <w:tcPr>
            <w:tcW w:w="1548" w:type="dxa"/>
            <w:tcBorders>
              <w:top w:val="single" w:sz="7" w:space="0" w:color="000000"/>
              <w:left w:val="single" w:sz="6" w:space="0" w:color="000000"/>
              <w:bottom w:val="single" w:sz="7" w:space="0" w:color="000000"/>
              <w:right w:val="single" w:sz="6" w:space="0" w:color="000000"/>
            </w:tcBorders>
            <w:shd w:val="clear" w:color="auto" w:fill="auto"/>
          </w:tcPr>
          <w:p w14:paraId="20211575" w14:textId="77777777" w:rsidR="00DF61BC" w:rsidRPr="00C94C33" w:rsidRDefault="00DF61BC" w:rsidP="00C705AB">
            <w:pPr>
              <w:pStyle w:val="Tabletext"/>
              <w:jc w:val="center"/>
              <w:rPr>
                <w:lang w:eastAsia="en-AU"/>
              </w:rPr>
            </w:pPr>
            <w:r w:rsidRPr="00C94C33">
              <w:rPr>
                <w:lang w:eastAsia="en-AU"/>
              </w:rPr>
              <w:t>(0.65 - 0.94)</w:t>
            </w:r>
          </w:p>
        </w:tc>
      </w:tr>
      <w:tr w:rsidR="00DF61BC" w:rsidRPr="00C94C33" w14:paraId="1EF8E920" w14:textId="77777777" w:rsidTr="00C705AB">
        <w:trPr>
          <w:trHeight w:val="20"/>
        </w:trPr>
        <w:tc>
          <w:tcPr>
            <w:tcW w:w="2538" w:type="dxa"/>
            <w:tcBorders>
              <w:top w:val="single" w:sz="7" w:space="0" w:color="000000"/>
              <w:left w:val="single" w:sz="6" w:space="0" w:color="000000"/>
              <w:bottom w:val="single" w:sz="7" w:space="0" w:color="000000"/>
              <w:right w:val="single" w:sz="6" w:space="0" w:color="000000"/>
            </w:tcBorders>
            <w:shd w:val="clear" w:color="auto" w:fill="auto"/>
          </w:tcPr>
          <w:p w14:paraId="451C6754" w14:textId="77777777" w:rsidR="00DF61BC" w:rsidRPr="00C94C33" w:rsidRDefault="00DF61BC" w:rsidP="00C705AB">
            <w:pPr>
              <w:pStyle w:val="Tabletext"/>
              <w:jc w:val="center"/>
              <w:rPr>
                <w:lang w:eastAsia="en-AU"/>
              </w:rPr>
            </w:pPr>
            <w:r w:rsidRPr="00C94C33">
              <w:rPr>
                <w:lang w:eastAsia="en-AU"/>
              </w:rPr>
              <w:t>C</w:t>
            </w:r>
            <w:r w:rsidRPr="00C94C33">
              <w:rPr>
                <w:position w:val="-3"/>
                <w:lang w:eastAsia="en-AU"/>
              </w:rPr>
              <w:t>max</w:t>
            </w:r>
            <w:r w:rsidRPr="00C94C33">
              <w:rPr>
                <w:spacing w:val="15"/>
                <w:position w:val="-3"/>
                <w:lang w:eastAsia="en-AU"/>
              </w:rPr>
              <w:t xml:space="preserve"> </w:t>
            </w:r>
            <w:r w:rsidRPr="00C94C33">
              <w:rPr>
                <w:lang w:eastAsia="en-AU"/>
              </w:rPr>
              <w:t>(ng/mL)</w:t>
            </w:r>
          </w:p>
        </w:tc>
        <w:tc>
          <w:tcPr>
            <w:tcW w:w="619" w:type="dxa"/>
            <w:tcBorders>
              <w:top w:val="single" w:sz="7" w:space="0" w:color="000000"/>
              <w:left w:val="single" w:sz="6" w:space="0" w:color="000000"/>
              <w:bottom w:val="single" w:sz="7" w:space="0" w:color="000000"/>
              <w:right w:val="single" w:sz="6" w:space="0" w:color="000000"/>
            </w:tcBorders>
            <w:shd w:val="clear" w:color="auto" w:fill="auto"/>
          </w:tcPr>
          <w:p w14:paraId="6DB4D270" w14:textId="77777777" w:rsidR="00DF61BC" w:rsidRPr="00C94C33" w:rsidRDefault="00DF61BC" w:rsidP="00C705AB">
            <w:pPr>
              <w:pStyle w:val="Tabletext"/>
              <w:jc w:val="center"/>
              <w:rPr>
                <w:lang w:eastAsia="en-AU"/>
              </w:rPr>
            </w:pPr>
            <w:r w:rsidRPr="00C94C33">
              <w:rPr>
                <w:lang w:eastAsia="en-AU"/>
              </w:rPr>
              <w:t>19</w:t>
            </w:r>
          </w:p>
        </w:tc>
        <w:tc>
          <w:tcPr>
            <w:tcW w:w="1451" w:type="dxa"/>
            <w:tcBorders>
              <w:top w:val="single" w:sz="7" w:space="0" w:color="000000"/>
              <w:left w:val="single" w:sz="6" w:space="0" w:color="000000"/>
              <w:bottom w:val="single" w:sz="7" w:space="0" w:color="000000"/>
              <w:right w:val="single" w:sz="6" w:space="0" w:color="000000"/>
            </w:tcBorders>
            <w:shd w:val="clear" w:color="auto" w:fill="auto"/>
          </w:tcPr>
          <w:p w14:paraId="4CF9F31F" w14:textId="77777777" w:rsidR="00DF61BC" w:rsidRPr="00C94C33" w:rsidRDefault="00DF61BC" w:rsidP="00C705AB">
            <w:pPr>
              <w:pStyle w:val="Tabletext"/>
              <w:jc w:val="center"/>
              <w:rPr>
                <w:lang w:eastAsia="en-AU"/>
              </w:rPr>
            </w:pPr>
            <w:r w:rsidRPr="00C94C33">
              <w:rPr>
                <w:lang w:eastAsia="en-AU"/>
              </w:rPr>
              <w:t>736.75</w:t>
            </w:r>
          </w:p>
        </w:tc>
        <w:tc>
          <w:tcPr>
            <w:tcW w:w="720" w:type="dxa"/>
            <w:tcBorders>
              <w:top w:val="single" w:sz="7" w:space="0" w:color="000000"/>
              <w:left w:val="single" w:sz="6" w:space="0" w:color="000000"/>
              <w:bottom w:val="single" w:sz="7" w:space="0" w:color="000000"/>
              <w:right w:val="single" w:sz="6" w:space="0" w:color="000000"/>
            </w:tcBorders>
            <w:shd w:val="clear" w:color="auto" w:fill="auto"/>
          </w:tcPr>
          <w:p w14:paraId="2BF0BD69" w14:textId="77777777" w:rsidR="00DF61BC" w:rsidRPr="00C94C33" w:rsidRDefault="00DF61BC" w:rsidP="00C705AB">
            <w:pPr>
              <w:pStyle w:val="Tabletext"/>
              <w:jc w:val="center"/>
              <w:rPr>
                <w:lang w:eastAsia="en-AU"/>
              </w:rPr>
            </w:pPr>
            <w:r w:rsidRPr="00C94C33">
              <w:rPr>
                <w:lang w:eastAsia="en-AU"/>
              </w:rPr>
              <w:t>20</w:t>
            </w:r>
          </w:p>
        </w:tc>
        <w:tc>
          <w:tcPr>
            <w:tcW w:w="1350" w:type="dxa"/>
            <w:tcBorders>
              <w:top w:val="single" w:sz="7" w:space="0" w:color="000000"/>
              <w:left w:val="single" w:sz="6" w:space="0" w:color="000000"/>
              <w:bottom w:val="single" w:sz="7" w:space="0" w:color="000000"/>
              <w:right w:val="single" w:sz="6" w:space="0" w:color="000000"/>
            </w:tcBorders>
            <w:shd w:val="clear" w:color="auto" w:fill="auto"/>
          </w:tcPr>
          <w:p w14:paraId="4D9F341E" w14:textId="77777777" w:rsidR="00DF61BC" w:rsidRPr="00C94C33" w:rsidRDefault="00DF61BC" w:rsidP="00C705AB">
            <w:pPr>
              <w:pStyle w:val="Tabletext"/>
              <w:jc w:val="center"/>
              <w:rPr>
                <w:lang w:eastAsia="en-AU"/>
              </w:rPr>
            </w:pPr>
            <w:r w:rsidRPr="00C94C33">
              <w:rPr>
                <w:lang w:eastAsia="en-AU"/>
              </w:rPr>
              <w:t>1104.29</w:t>
            </w:r>
          </w:p>
        </w:tc>
        <w:tc>
          <w:tcPr>
            <w:tcW w:w="1350" w:type="dxa"/>
            <w:tcBorders>
              <w:top w:val="single" w:sz="7" w:space="0" w:color="000000"/>
              <w:left w:val="single" w:sz="6" w:space="0" w:color="000000"/>
              <w:bottom w:val="single" w:sz="7" w:space="0" w:color="000000"/>
              <w:right w:val="single" w:sz="6" w:space="0" w:color="000000"/>
            </w:tcBorders>
            <w:shd w:val="clear" w:color="auto" w:fill="auto"/>
          </w:tcPr>
          <w:p w14:paraId="6F9F4DF8" w14:textId="77777777" w:rsidR="00DF61BC" w:rsidRPr="00C94C33" w:rsidRDefault="00DF61BC" w:rsidP="00C705AB">
            <w:pPr>
              <w:pStyle w:val="Tabletext"/>
              <w:jc w:val="center"/>
              <w:rPr>
                <w:lang w:eastAsia="en-AU"/>
              </w:rPr>
            </w:pPr>
            <w:r w:rsidRPr="00C94C33">
              <w:rPr>
                <w:lang w:eastAsia="en-AU"/>
              </w:rPr>
              <w:t>0.667</w:t>
            </w:r>
          </w:p>
        </w:tc>
        <w:tc>
          <w:tcPr>
            <w:tcW w:w="1548" w:type="dxa"/>
            <w:tcBorders>
              <w:top w:val="single" w:sz="7" w:space="0" w:color="000000"/>
              <w:left w:val="single" w:sz="6" w:space="0" w:color="000000"/>
              <w:bottom w:val="single" w:sz="7" w:space="0" w:color="000000"/>
              <w:right w:val="single" w:sz="6" w:space="0" w:color="000000"/>
            </w:tcBorders>
            <w:shd w:val="clear" w:color="auto" w:fill="auto"/>
          </w:tcPr>
          <w:p w14:paraId="4D7F1296" w14:textId="77777777" w:rsidR="00DF61BC" w:rsidRPr="00C94C33" w:rsidRDefault="00DF61BC" w:rsidP="00C705AB">
            <w:pPr>
              <w:pStyle w:val="Tabletext"/>
              <w:jc w:val="center"/>
              <w:rPr>
                <w:lang w:eastAsia="en-AU"/>
              </w:rPr>
            </w:pPr>
            <w:r w:rsidRPr="00C94C33">
              <w:rPr>
                <w:lang w:eastAsia="en-AU"/>
              </w:rPr>
              <w:t>(0.54 - 0.82)</w:t>
            </w:r>
          </w:p>
        </w:tc>
      </w:tr>
      <w:tr w:rsidR="00DF61BC" w:rsidRPr="00C94C33" w14:paraId="3240E2F9" w14:textId="77777777" w:rsidTr="00C705AB">
        <w:trPr>
          <w:trHeight w:val="20"/>
        </w:trPr>
        <w:tc>
          <w:tcPr>
            <w:tcW w:w="2538" w:type="dxa"/>
            <w:tcBorders>
              <w:top w:val="single" w:sz="7" w:space="0" w:color="000000"/>
              <w:left w:val="single" w:sz="6" w:space="0" w:color="000000"/>
              <w:bottom w:val="single" w:sz="6" w:space="0" w:color="000000"/>
              <w:right w:val="single" w:sz="6" w:space="0" w:color="000000"/>
            </w:tcBorders>
            <w:shd w:val="clear" w:color="auto" w:fill="auto"/>
          </w:tcPr>
          <w:p w14:paraId="4E1421ED" w14:textId="77777777" w:rsidR="00DF61BC" w:rsidRPr="00C94C33" w:rsidRDefault="00DF61BC" w:rsidP="00C705AB">
            <w:pPr>
              <w:pStyle w:val="Tabletext"/>
              <w:jc w:val="center"/>
              <w:rPr>
                <w:lang w:eastAsia="en-AU"/>
              </w:rPr>
            </w:pPr>
            <w:r w:rsidRPr="00C94C33">
              <w:rPr>
                <w:lang w:eastAsia="en-AU"/>
              </w:rPr>
              <w:t>AUC</w:t>
            </w:r>
            <w:r w:rsidRPr="00C94C33">
              <w:rPr>
                <w:position w:val="-3"/>
                <w:lang w:eastAsia="en-AU"/>
              </w:rPr>
              <w:t>0-inf</w:t>
            </w:r>
            <w:r w:rsidRPr="00C94C33">
              <w:rPr>
                <w:spacing w:val="15"/>
                <w:position w:val="-3"/>
                <w:lang w:eastAsia="en-AU"/>
              </w:rPr>
              <w:t xml:space="preserve"> </w:t>
            </w:r>
            <w:r w:rsidRPr="00C94C33">
              <w:rPr>
                <w:lang w:eastAsia="en-AU"/>
              </w:rPr>
              <w:t>(ng*hr/mL)</w:t>
            </w:r>
          </w:p>
        </w:tc>
        <w:tc>
          <w:tcPr>
            <w:tcW w:w="619" w:type="dxa"/>
            <w:tcBorders>
              <w:top w:val="single" w:sz="7" w:space="0" w:color="000000"/>
              <w:left w:val="single" w:sz="6" w:space="0" w:color="000000"/>
              <w:bottom w:val="single" w:sz="6" w:space="0" w:color="000000"/>
              <w:right w:val="single" w:sz="6" w:space="0" w:color="000000"/>
            </w:tcBorders>
            <w:shd w:val="clear" w:color="auto" w:fill="auto"/>
          </w:tcPr>
          <w:p w14:paraId="75666EDD" w14:textId="77777777" w:rsidR="00DF61BC" w:rsidRPr="00C94C33" w:rsidRDefault="00DF61BC" w:rsidP="00C705AB">
            <w:pPr>
              <w:pStyle w:val="Tabletext"/>
              <w:jc w:val="center"/>
              <w:rPr>
                <w:lang w:eastAsia="en-AU"/>
              </w:rPr>
            </w:pPr>
            <w:r w:rsidRPr="00C94C33">
              <w:rPr>
                <w:lang w:eastAsia="en-AU"/>
              </w:rPr>
              <w:t>19</w:t>
            </w:r>
          </w:p>
        </w:tc>
        <w:tc>
          <w:tcPr>
            <w:tcW w:w="1451" w:type="dxa"/>
            <w:tcBorders>
              <w:top w:val="single" w:sz="7" w:space="0" w:color="000000"/>
              <w:left w:val="single" w:sz="6" w:space="0" w:color="000000"/>
              <w:bottom w:val="single" w:sz="6" w:space="0" w:color="000000"/>
              <w:right w:val="single" w:sz="6" w:space="0" w:color="000000"/>
            </w:tcBorders>
            <w:shd w:val="clear" w:color="auto" w:fill="auto"/>
          </w:tcPr>
          <w:p w14:paraId="75B81875" w14:textId="77777777" w:rsidR="00DF61BC" w:rsidRPr="00C94C33" w:rsidRDefault="00DF61BC" w:rsidP="00C705AB">
            <w:pPr>
              <w:pStyle w:val="Tabletext"/>
              <w:jc w:val="center"/>
              <w:rPr>
                <w:lang w:eastAsia="en-AU"/>
              </w:rPr>
            </w:pPr>
            <w:r w:rsidRPr="00C94C33">
              <w:rPr>
                <w:lang w:eastAsia="en-AU"/>
              </w:rPr>
              <w:t>3320.23</w:t>
            </w:r>
          </w:p>
        </w:tc>
        <w:tc>
          <w:tcPr>
            <w:tcW w:w="720" w:type="dxa"/>
            <w:tcBorders>
              <w:top w:val="single" w:sz="7" w:space="0" w:color="000000"/>
              <w:left w:val="single" w:sz="6" w:space="0" w:color="000000"/>
              <w:bottom w:val="single" w:sz="6" w:space="0" w:color="000000"/>
              <w:right w:val="single" w:sz="6" w:space="0" w:color="000000"/>
            </w:tcBorders>
            <w:shd w:val="clear" w:color="auto" w:fill="auto"/>
          </w:tcPr>
          <w:p w14:paraId="328F2A3B" w14:textId="77777777" w:rsidR="00DF61BC" w:rsidRPr="00C94C33" w:rsidRDefault="00DF61BC" w:rsidP="00C705AB">
            <w:pPr>
              <w:pStyle w:val="Tabletext"/>
              <w:jc w:val="center"/>
              <w:rPr>
                <w:lang w:eastAsia="en-AU"/>
              </w:rPr>
            </w:pPr>
            <w:r w:rsidRPr="00C94C33">
              <w:rPr>
                <w:lang w:eastAsia="en-AU"/>
              </w:rPr>
              <w:t>20</w:t>
            </w:r>
          </w:p>
        </w:tc>
        <w:tc>
          <w:tcPr>
            <w:tcW w:w="1350" w:type="dxa"/>
            <w:tcBorders>
              <w:top w:val="single" w:sz="7" w:space="0" w:color="000000"/>
              <w:left w:val="single" w:sz="6" w:space="0" w:color="000000"/>
              <w:bottom w:val="single" w:sz="6" w:space="0" w:color="000000"/>
              <w:right w:val="single" w:sz="6" w:space="0" w:color="000000"/>
            </w:tcBorders>
            <w:shd w:val="clear" w:color="auto" w:fill="auto"/>
          </w:tcPr>
          <w:p w14:paraId="3953D84D" w14:textId="77777777" w:rsidR="00DF61BC" w:rsidRPr="00C94C33" w:rsidRDefault="00DF61BC" w:rsidP="00C705AB">
            <w:pPr>
              <w:pStyle w:val="Tabletext"/>
              <w:jc w:val="center"/>
              <w:rPr>
                <w:lang w:eastAsia="en-AU"/>
              </w:rPr>
            </w:pPr>
            <w:r w:rsidRPr="00C94C33">
              <w:rPr>
                <w:lang w:eastAsia="en-AU"/>
              </w:rPr>
              <w:t>4179.31</w:t>
            </w:r>
          </w:p>
        </w:tc>
        <w:tc>
          <w:tcPr>
            <w:tcW w:w="1350" w:type="dxa"/>
            <w:tcBorders>
              <w:top w:val="single" w:sz="7" w:space="0" w:color="000000"/>
              <w:left w:val="single" w:sz="6" w:space="0" w:color="000000"/>
              <w:bottom w:val="single" w:sz="6" w:space="0" w:color="000000"/>
              <w:right w:val="single" w:sz="6" w:space="0" w:color="000000"/>
            </w:tcBorders>
            <w:shd w:val="clear" w:color="auto" w:fill="auto"/>
          </w:tcPr>
          <w:p w14:paraId="609DC4A8" w14:textId="77777777" w:rsidR="00DF61BC" w:rsidRPr="00C94C33" w:rsidRDefault="00DF61BC" w:rsidP="00C705AB">
            <w:pPr>
              <w:pStyle w:val="Tabletext"/>
              <w:jc w:val="center"/>
              <w:rPr>
                <w:lang w:eastAsia="en-AU"/>
              </w:rPr>
            </w:pPr>
            <w:r w:rsidRPr="00C94C33">
              <w:rPr>
                <w:lang w:eastAsia="en-AU"/>
              </w:rPr>
              <w:t>0.794</w:t>
            </w:r>
          </w:p>
        </w:tc>
        <w:tc>
          <w:tcPr>
            <w:tcW w:w="1548" w:type="dxa"/>
            <w:tcBorders>
              <w:top w:val="single" w:sz="7" w:space="0" w:color="000000"/>
              <w:left w:val="single" w:sz="6" w:space="0" w:color="000000"/>
              <w:bottom w:val="single" w:sz="6" w:space="0" w:color="000000"/>
              <w:right w:val="single" w:sz="6" w:space="0" w:color="000000"/>
            </w:tcBorders>
            <w:shd w:val="clear" w:color="auto" w:fill="auto"/>
          </w:tcPr>
          <w:p w14:paraId="1F8E5433" w14:textId="77777777" w:rsidR="00DF61BC" w:rsidRPr="00C94C33" w:rsidRDefault="00DF61BC" w:rsidP="00C705AB">
            <w:pPr>
              <w:pStyle w:val="Tabletext"/>
              <w:jc w:val="center"/>
              <w:rPr>
                <w:lang w:eastAsia="en-AU"/>
              </w:rPr>
            </w:pPr>
            <w:r w:rsidRPr="00C94C33">
              <w:rPr>
                <w:lang w:eastAsia="en-AU"/>
              </w:rPr>
              <w:t>(0.66 - 0.96)</w:t>
            </w:r>
          </w:p>
        </w:tc>
      </w:tr>
    </w:tbl>
    <w:p w14:paraId="7E503801" w14:textId="77777777" w:rsidR="00DF61BC" w:rsidRPr="00C94C33" w:rsidRDefault="005F6338" w:rsidP="005F6338">
      <w:pPr>
        <w:pStyle w:val="TableDescription"/>
        <w:rPr>
          <w:lang w:eastAsia="en-AU"/>
        </w:rPr>
      </w:pPr>
      <w:r w:rsidRPr="00C94C33">
        <w:rPr>
          <w:lang w:eastAsia="en-AU"/>
        </w:rPr>
        <w:t xml:space="preserve">a. </w:t>
      </w:r>
      <w:r w:rsidR="00DF61BC" w:rsidRPr="00C94C33">
        <w:rPr>
          <w:lang w:eastAsia="en-AU"/>
        </w:rPr>
        <w:t>Due to low and fluctuating plasma FTD concentrations after administration of FTD alone, AUC0-inf could only be determined for 10 patients.</w:t>
      </w:r>
    </w:p>
    <w:p w14:paraId="10DE72A1" w14:textId="4E843A19" w:rsidR="00A1578F" w:rsidRPr="00C94C33" w:rsidRDefault="00DF61BC" w:rsidP="005C2FCA">
      <w:pPr>
        <w:autoSpaceDE w:val="0"/>
        <w:autoSpaceDN w:val="0"/>
        <w:adjustRightInd w:val="0"/>
        <w:spacing w:before="0" w:line="240" w:lineRule="auto"/>
        <w:rPr>
          <w:rFonts w:cstheme="minorBidi"/>
          <w:b/>
          <w:lang w:eastAsia="en-AU"/>
        </w:rPr>
      </w:pPr>
      <w:r w:rsidRPr="00C94C33">
        <w:rPr>
          <w:rFonts w:eastAsia="Times New Roman" w:cs="TimesNewRomanPSMT"/>
          <w:lang w:eastAsia="en-AU"/>
        </w:rPr>
        <w:lastRenderedPageBreak/>
        <w:t xml:space="preserve">The key PK results for FTD following TAS-102 and FTD alone are summarised below in Table 10. </w:t>
      </w:r>
      <w:r w:rsidRPr="00C94C33">
        <w:rPr>
          <w:rFonts w:eastAsia="Times New Roman"/>
          <w:lang w:eastAsia="en-AU"/>
        </w:rPr>
        <w:t>The mean Tmax was approximately 2 hours following administration of both TAS-102 and FTD. The apparent t</w:t>
      </w:r>
      <w:r w:rsidRPr="00C94C33">
        <w:rPr>
          <w:rFonts w:eastAsia="Times New Roman"/>
          <w:sz w:val="20"/>
          <w:szCs w:val="20"/>
          <w:lang w:eastAsia="en-AU"/>
        </w:rPr>
        <w:t xml:space="preserve">1/2 </w:t>
      </w:r>
      <w:r w:rsidRPr="00C94C33">
        <w:rPr>
          <w:rFonts w:eastAsia="Times New Roman"/>
          <w:lang w:eastAsia="en-AU"/>
        </w:rPr>
        <w:t>for FTD after TAS-102 administration (1.42 hours) was comparable to that observed after FTD administration alone (1.14 hours), while both CL/F and Vd/F for FTD were substantially lower after administration of TAS-102 than after administration of FTD alone</w:t>
      </w:r>
      <w:r w:rsidR="00C17794" w:rsidRPr="00C94C33">
        <w:rPr>
          <w:rFonts w:eastAsia="Times New Roman"/>
          <w:lang w:eastAsia="en-AU"/>
        </w:rPr>
        <w:t>.</w:t>
      </w:r>
      <w:bookmarkStart w:id="88" w:name="_Toc470948659"/>
    </w:p>
    <w:p w14:paraId="251A9CC2" w14:textId="77777777" w:rsidR="00AA7141" w:rsidRDefault="00DF61BC" w:rsidP="005F6338">
      <w:pPr>
        <w:pStyle w:val="Tabletitle"/>
        <w:rPr>
          <w:lang w:eastAsia="en-AU"/>
        </w:rPr>
      </w:pPr>
      <w:r w:rsidRPr="00C94C33">
        <w:rPr>
          <w:lang w:eastAsia="en-AU"/>
        </w:rPr>
        <w:t xml:space="preserve">Table </w:t>
      </w:r>
      <w:r w:rsidR="005F6338" w:rsidRPr="00C94C33">
        <w:rPr>
          <w:lang w:eastAsia="en-AU"/>
        </w:rPr>
        <w:t xml:space="preserve">10: </w:t>
      </w:r>
      <w:r w:rsidRPr="00C94C33">
        <w:rPr>
          <w:lang w:eastAsia="en-AU"/>
        </w:rPr>
        <w:t>TPU-TAS-102-102 – PK parameters for plasma PK parameters of FTD and FTY after a single-dose of TAS-102 and a single-dose of FTD alone</w:t>
      </w:r>
      <w:bookmarkEnd w:id="88"/>
    </w:p>
    <w:p w14:paraId="78598002" w14:textId="68948762" w:rsidR="00DF61BC" w:rsidRPr="00C94C33" w:rsidRDefault="00DF61BC" w:rsidP="00DF61BC">
      <w:pPr>
        <w:kinsoku w:val="0"/>
        <w:overflowPunct w:val="0"/>
        <w:autoSpaceDE w:val="0"/>
        <w:autoSpaceDN w:val="0"/>
        <w:adjustRightInd w:val="0"/>
        <w:spacing w:before="3" w:after="0" w:line="240" w:lineRule="auto"/>
        <w:rPr>
          <w:rFonts w:ascii="Times New Roman" w:eastAsia="Times New Roman" w:hAnsi="Times New Roman"/>
          <w:sz w:val="5"/>
          <w:szCs w:val="5"/>
          <w:lang w:eastAsia="en-AU"/>
        </w:rPr>
      </w:pPr>
      <w:bookmarkStart w:id="89" w:name="_Table_6:_Descriptive_Statistics_for_Pla"/>
      <w:bookmarkEnd w:id="89"/>
    </w:p>
    <w:tbl>
      <w:tblPr>
        <w:tblW w:w="0" w:type="auto"/>
        <w:tblInd w:w="100" w:type="dxa"/>
        <w:tblLayout w:type="fixed"/>
        <w:tblCellMar>
          <w:left w:w="0" w:type="dxa"/>
          <w:right w:w="0" w:type="dxa"/>
        </w:tblCellMar>
        <w:tblLook w:val="0000" w:firstRow="0" w:lastRow="0" w:firstColumn="0" w:lastColumn="0" w:noHBand="0" w:noVBand="0"/>
      </w:tblPr>
      <w:tblGrid>
        <w:gridCol w:w="2318"/>
        <w:gridCol w:w="562"/>
        <w:gridCol w:w="3060"/>
        <w:gridCol w:w="630"/>
        <w:gridCol w:w="2610"/>
      </w:tblGrid>
      <w:tr w:rsidR="00DF61BC" w:rsidRPr="00C94C33" w14:paraId="653821D6" w14:textId="77777777" w:rsidTr="00BC4B05">
        <w:trPr>
          <w:trHeight w:val="20"/>
          <w:tblHeader/>
        </w:trPr>
        <w:tc>
          <w:tcPr>
            <w:tcW w:w="2318" w:type="dxa"/>
            <w:vMerge w:val="restart"/>
            <w:tcBorders>
              <w:top w:val="single" w:sz="4" w:space="0" w:color="000000"/>
              <w:left w:val="single" w:sz="6" w:space="0" w:color="000000"/>
              <w:bottom w:val="single" w:sz="4" w:space="0" w:color="000000"/>
              <w:right w:val="single" w:sz="6" w:space="0" w:color="000000"/>
            </w:tcBorders>
            <w:shd w:val="clear" w:color="auto" w:fill="auto"/>
          </w:tcPr>
          <w:p w14:paraId="1C90C31E" w14:textId="77777777" w:rsidR="00DF61BC" w:rsidRPr="00C94C33" w:rsidRDefault="00DF61BC" w:rsidP="00BC4B05">
            <w:pPr>
              <w:pStyle w:val="TableHeading"/>
              <w:jc w:val="center"/>
              <w:rPr>
                <w:lang w:eastAsia="en-AU"/>
              </w:rPr>
            </w:pPr>
            <w:r w:rsidRPr="00C94C33">
              <w:rPr>
                <w:lang w:eastAsia="en-AU"/>
              </w:rPr>
              <w:t>Analyte</w:t>
            </w:r>
            <w:r w:rsidRPr="00C94C33">
              <w:rPr>
                <w:spacing w:val="24"/>
                <w:lang w:eastAsia="en-AU"/>
              </w:rPr>
              <w:t xml:space="preserve"> </w:t>
            </w:r>
            <w:r w:rsidRPr="00C94C33">
              <w:rPr>
                <w:lang w:eastAsia="en-AU"/>
              </w:rPr>
              <w:t>Parameter</w:t>
            </w:r>
          </w:p>
        </w:tc>
        <w:tc>
          <w:tcPr>
            <w:tcW w:w="6862" w:type="dxa"/>
            <w:gridSpan w:val="4"/>
            <w:tcBorders>
              <w:top w:val="single" w:sz="4" w:space="0" w:color="000000"/>
              <w:left w:val="single" w:sz="6" w:space="0" w:color="000000"/>
              <w:bottom w:val="single" w:sz="7" w:space="0" w:color="000000"/>
              <w:right w:val="single" w:sz="6" w:space="0" w:color="000000"/>
            </w:tcBorders>
            <w:shd w:val="clear" w:color="auto" w:fill="auto"/>
          </w:tcPr>
          <w:p w14:paraId="485AFA10" w14:textId="77777777" w:rsidR="00DF61BC" w:rsidRPr="00C94C33" w:rsidRDefault="00DF61BC" w:rsidP="00BC4B05">
            <w:pPr>
              <w:pStyle w:val="TableHeading"/>
              <w:jc w:val="center"/>
              <w:rPr>
                <w:lang w:eastAsia="en-AU"/>
              </w:rPr>
            </w:pPr>
            <w:r w:rsidRPr="00C94C33">
              <w:rPr>
                <w:lang w:eastAsia="en-AU"/>
              </w:rPr>
              <w:t>Mean ± SD (%CV)</w:t>
            </w:r>
          </w:p>
        </w:tc>
      </w:tr>
      <w:tr w:rsidR="00DF61BC" w:rsidRPr="00C94C33" w14:paraId="35E992EB" w14:textId="77777777" w:rsidTr="00BC4B05">
        <w:trPr>
          <w:trHeight w:val="20"/>
          <w:tblHeader/>
        </w:trPr>
        <w:tc>
          <w:tcPr>
            <w:tcW w:w="2318" w:type="dxa"/>
            <w:vMerge/>
            <w:tcBorders>
              <w:top w:val="single" w:sz="4" w:space="0" w:color="000000"/>
              <w:left w:val="single" w:sz="6" w:space="0" w:color="000000"/>
              <w:bottom w:val="single" w:sz="4" w:space="0" w:color="000000"/>
              <w:right w:val="single" w:sz="6" w:space="0" w:color="000000"/>
            </w:tcBorders>
            <w:shd w:val="clear" w:color="auto" w:fill="auto"/>
          </w:tcPr>
          <w:p w14:paraId="3576E968" w14:textId="77777777" w:rsidR="00DF61BC" w:rsidRPr="00C94C33" w:rsidRDefault="00DF61BC" w:rsidP="00BC4B05">
            <w:pPr>
              <w:pStyle w:val="TableHeading"/>
              <w:jc w:val="center"/>
              <w:rPr>
                <w:lang w:eastAsia="en-AU"/>
              </w:rPr>
            </w:pPr>
          </w:p>
        </w:tc>
        <w:tc>
          <w:tcPr>
            <w:tcW w:w="562" w:type="dxa"/>
            <w:tcBorders>
              <w:top w:val="single" w:sz="7" w:space="0" w:color="000000"/>
              <w:left w:val="single" w:sz="6" w:space="0" w:color="000000"/>
              <w:bottom w:val="single" w:sz="4" w:space="0" w:color="000000"/>
              <w:right w:val="single" w:sz="6" w:space="0" w:color="000000"/>
            </w:tcBorders>
            <w:shd w:val="clear" w:color="auto" w:fill="auto"/>
          </w:tcPr>
          <w:p w14:paraId="2DE50C61" w14:textId="77777777" w:rsidR="00DF61BC" w:rsidRPr="00C94C33" w:rsidRDefault="00DF61BC" w:rsidP="00BC4B05">
            <w:pPr>
              <w:pStyle w:val="TableHeading"/>
              <w:jc w:val="center"/>
              <w:rPr>
                <w:lang w:eastAsia="en-AU"/>
              </w:rPr>
            </w:pPr>
            <w:r w:rsidRPr="00C94C33">
              <w:rPr>
                <w:lang w:eastAsia="en-AU"/>
              </w:rPr>
              <w:t>N</w:t>
            </w:r>
          </w:p>
        </w:tc>
        <w:tc>
          <w:tcPr>
            <w:tcW w:w="3060" w:type="dxa"/>
            <w:tcBorders>
              <w:top w:val="single" w:sz="7" w:space="0" w:color="000000"/>
              <w:left w:val="single" w:sz="6" w:space="0" w:color="000000"/>
              <w:bottom w:val="single" w:sz="4" w:space="0" w:color="000000"/>
              <w:right w:val="single" w:sz="6" w:space="0" w:color="000000"/>
            </w:tcBorders>
            <w:shd w:val="clear" w:color="auto" w:fill="auto"/>
          </w:tcPr>
          <w:p w14:paraId="4718B7A9" w14:textId="77777777" w:rsidR="00DF61BC" w:rsidRPr="00C94C33" w:rsidRDefault="00DF61BC" w:rsidP="00BC4B05">
            <w:pPr>
              <w:pStyle w:val="TableHeading"/>
              <w:jc w:val="center"/>
              <w:rPr>
                <w:lang w:eastAsia="en-AU"/>
              </w:rPr>
            </w:pPr>
            <w:r w:rsidRPr="00C94C33">
              <w:rPr>
                <w:lang w:eastAsia="en-AU"/>
              </w:rPr>
              <w:t>TAS-102</w:t>
            </w:r>
          </w:p>
        </w:tc>
        <w:tc>
          <w:tcPr>
            <w:tcW w:w="630" w:type="dxa"/>
            <w:tcBorders>
              <w:top w:val="single" w:sz="7" w:space="0" w:color="000000"/>
              <w:left w:val="single" w:sz="6" w:space="0" w:color="000000"/>
              <w:bottom w:val="single" w:sz="4" w:space="0" w:color="000000"/>
              <w:right w:val="single" w:sz="6" w:space="0" w:color="000000"/>
            </w:tcBorders>
            <w:shd w:val="clear" w:color="auto" w:fill="auto"/>
          </w:tcPr>
          <w:p w14:paraId="1A4AA0BE" w14:textId="77777777" w:rsidR="00DF61BC" w:rsidRPr="00C94C33" w:rsidRDefault="00DF61BC" w:rsidP="00BC4B05">
            <w:pPr>
              <w:pStyle w:val="TableHeading"/>
              <w:jc w:val="center"/>
              <w:rPr>
                <w:lang w:eastAsia="en-AU"/>
              </w:rPr>
            </w:pPr>
            <w:r w:rsidRPr="00C94C33">
              <w:rPr>
                <w:lang w:eastAsia="en-AU"/>
              </w:rPr>
              <w:t>N</w:t>
            </w:r>
          </w:p>
        </w:tc>
        <w:tc>
          <w:tcPr>
            <w:tcW w:w="2610" w:type="dxa"/>
            <w:tcBorders>
              <w:top w:val="single" w:sz="7" w:space="0" w:color="000000"/>
              <w:left w:val="single" w:sz="6" w:space="0" w:color="000000"/>
              <w:bottom w:val="single" w:sz="4" w:space="0" w:color="000000"/>
              <w:right w:val="single" w:sz="6" w:space="0" w:color="000000"/>
            </w:tcBorders>
            <w:shd w:val="clear" w:color="auto" w:fill="auto"/>
          </w:tcPr>
          <w:p w14:paraId="3C056467" w14:textId="77777777" w:rsidR="00DF61BC" w:rsidRPr="00C94C33" w:rsidRDefault="00DF61BC" w:rsidP="00BC4B05">
            <w:pPr>
              <w:pStyle w:val="TableHeading"/>
              <w:jc w:val="center"/>
              <w:rPr>
                <w:lang w:eastAsia="en-AU"/>
              </w:rPr>
            </w:pPr>
            <w:r w:rsidRPr="00C94C33">
              <w:rPr>
                <w:lang w:eastAsia="en-AU"/>
              </w:rPr>
              <w:t>FTD Alone</w:t>
            </w:r>
          </w:p>
        </w:tc>
      </w:tr>
      <w:tr w:rsidR="00DF61BC" w:rsidRPr="00C94C33" w14:paraId="31836E61" w14:textId="77777777" w:rsidTr="00BC4B05">
        <w:trPr>
          <w:trHeight w:val="20"/>
        </w:trPr>
        <w:tc>
          <w:tcPr>
            <w:tcW w:w="2318" w:type="dxa"/>
            <w:tcBorders>
              <w:top w:val="single" w:sz="4" w:space="0" w:color="000000"/>
              <w:left w:val="single" w:sz="6" w:space="0" w:color="000000"/>
              <w:bottom w:val="single" w:sz="4" w:space="0" w:color="000000"/>
              <w:right w:val="single" w:sz="6" w:space="0" w:color="000000"/>
            </w:tcBorders>
            <w:shd w:val="clear" w:color="auto" w:fill="auto"/>
          </w:tcPr>
          <w:p w14:paraId="5CB6107E" w14:textId="77777777" w:rsidR="00DF61BC" w:rsidRPr="00C94C33" w:rsidRDefault="00DF61BC" w:rsidP="00BC4B05">
            <w:pPr>
              <w:pStyle w:val="TableHeading"/>
              <w:rPr>
                <w:lang w:eastAsia="en-AU"/>
              </w:rPr>
            </w:pPr>
            <w:r w:rsidRPr="00C94C33">
              <w:rPr>
                <w:lang w:eastAsia="en-AU"/>
              </w:rPr>
              <w:t>FTD</w:t>
            </w:r>
          </w:p>
        </w:tc>
        <w:tc>
          <w:tcPr>
            <w:tcW w:w="562" w:type="dxa"/>
            <w:tcBorders>
              <w:top w:val="single" w:sz="4" w:space="0" w:color="000000"/>
              <w:left w:val="single" w:sz="6" w:space="0" w:color="000000"/>
              <w:bottom w:val="single" w:sz="4" w:space="0" w:color="000000"/>
              <w:right w:val="single" w:sz="6" w:space="0" w:color="000000"/>
            </w:tcBorders>
            <w:shd w:val="clear" w:color="auto" w:fill="auto"/>
          </w:tcPr>
          <w:p w14:paraId="4FA3AAC8" w14:textId="77777777" w:rsidR="00DF61BC" w:rsidRPr="00C94C33" w:rsidRDefault="00DF61BC" w:rsidP="00BC4B05">
            <w:pPr>
              <w:pStyle w:val="TableHeading"/>
              <w:rPr>
                <w:lang w:eastAsia="en-AU"/>
              </w:rPr>
            </w:pPr>
          </w:p>
        </w:tc>
        <w:tc>
          <w:tcPr>
            <w:tcW w:w="3060" w:type="dxa"/>
            <w:tcBorders>
              <w:top w:val="single" w:sz="4" w:space="0" w:color="000000"/>
              <w:left w:val="single" w:sz="6" w:space="0" w:color="000000"/>
              <w:bottom w:val="single" w:sz="4" w:space="0" w:color="000000"/>
              <w:right w:val="single" w:sz="6" w:space="0" w:color="000000"/>
            </w:tcBorders>
            <w:shd w:val="clear" w:color="auto" w:fill="auto"/>
          </w:tcPr>
          <w:p w14:paraId="54DBA1E8" w14:textId="77777777" w:rsidR="00DF61BC" w:rsidRPr="00C94C33" w:rsidRDefault="00DF61BC" w:rsidP="00BC4B05">
            <w:pPr>
              <w:pStyle w:val="TableHeading"/>
              <w:rPr>
                <w:lang w:eastAsia="en-AU"/>
              </w:rPr>
            </w:pPr>
          </w:p>
        </w:tc>
        <w:tc>
          <w:tcPr>
            <w:tcW w:w="630" w:type="dxa"/>
            <w:tcBorders>
              <w:top w:val="single" w:sz="4" w:space="0" w:color="000000"/>
              <w:left w:val="single" w:sz="6" w:space="0" w:color="000000"/>
              <w:bottom w:val="single" w:sz="4" w:space="0" w:color="000000"/>
              <w:right w:val="single" w:sz="6" w:space="0" w:color="000000"/>
            </w:tcBorders>
            <w:shd w:val="clear" w:color="auto" w:fill="auto"/>
          </w:tcPr>
          <w:p w14:paraId="08DF26AA" w14:textId="77777777" w:rsidR="00DF61BC" w:rsidRPr="00C94C33" w:rsidRDefault="00DF61BC" w:rsidP="00BC4B05">
            <w:pPr>
              <w:pStyle w:val="TableHeading"/>
              <w:rPr>
                <w:lang w:eastAsia="en-AU"/>
              </w:rPr>
            </w:pPr>
          </w:p>
        </w:tc>
        <w:tc>
          <w:tcPr>
            <w:tcW w:w="2610" w:type="dxa"/>
            <w:tcBorders>
              <w:top w:val="single" w:sz="4" w:space="0" w:color="000000"/>
              <w:left w:val="single" w:sz="6" w:space="0" w:color="000000"/>
              <w:bottom w:val="single" w:sz="4" w:space="0" w:color="000000"/>
              <w:right w:val="single" w:sz="6" w:space="0" w:color="000000"/>
            </w:tcBorders>
            <w:shd w:val="clear" w:color="auto" w:fill="auto"/>
          </w:tcPr>
          <w:p w14:paraId="73DAF204" w14:textId="77777777" w:rsidR="00DF61BC" w:rsidRPr="00C94C33" w:rsidRDefault="00DF61BC" w:rsidP="00BC4B05">
            <w:pPr>
              <w:pStyle w:val="TableHeading"/>
              <w:rPr>
                <w:lang w:eastAsia="en-AU"/>
              </w:rPr>
            </w:pPr>
          </w:p>
        </w:tc>
      </w:tr>
      <w:tr w:rsidR="00DF61BC" w:rsidRPr="00C94C33" w14:paraId="4E92E495" w14:textId="77777777" w:rsidTr="00BC4B05">
        <w:trPr>
          <w:trHeight w:val="20"/>
        </w:trPr>
        <w:tc>
          <w:tcPr>
            <w:tcW w:w="2318" w:type="dxa"/>
            <w:tcBorders>
              <w:top w:val="single" w:sz="4" w:space="0" w:color="000000"/>
              <w:left w:val="single" w:sz="6" w:space="0" w:color="000000"/>
              <w:bottom w:val="single" w:sz="7" w:space="0" w:color="000000"/>
              <w:right w:val="single" w:sz="6" w:space="0" w:color="000000"/>
            </w:tcBorders>
            <w:shd w:val="clear" w:color="auto" w:fill="auto"/>
          </w:tcPr>
          <w:p w14:paraId="1A2E3A82" w14:textId="77777777" w:rsidR="00DF61BC" w:rsidRPr="00C94C33" w:rsidRDefault="00DF61BC" w:rsidP="00BC4B05">
            <w:pPr>
              <w:pStyle w:val="Tabletext"/>
              <w:jc w:val="center"/>
              <w:rPr>
                <w:lang w:eastAsia="en-AU"/>
              </w:rPr>
            </w:pPr>
            <w:r w:rsidRPr="00C94C33">
              <w:rPr>
                <w:spacing w:val="-1"/>
                <w:lang w:eastAsia="en-AU"/>
              </w:rPr>
              <w:t>AUC</w:t>
            </w:r>
            <w:r w:rsidRPr="00C94C33">
              <w:rPr>
                <w:spacing w:val="-1"/>
                <w:position w:val="-3"/>
                <w:lang w:eastAsia="en-AU"/>
              </w:rPr>
              <w:t>0-last</w:t>
            </w:r>
            <w:r w:rsidRPr="00C94C33">
              <w:rPr>
                <w:spacing w:val="29"/>
                <w:position w:val="-3"/>
                <w:lang w:eastAsia="en-AU"/>
              </w:rPr>
              <w:t xml:space="preserve"> </w:t>
            </w:r>
            <w:r w:rsidRPr="00C94C33">
              <w:rPr>
                <w:lang w:eastAsia="en-AU"/>
              </w:rPr>
              <w:t>(ng*hr/mL)</w:t>
            </w:r>
          </w:p>
        </w:tc>
        <w:tc>
          <w:tcPr>
            <w:tcW w:w="562" w:type="dxa"/>
            <w:tcBorders>
              <w:top w:val="single" w:sz="4" w:space="0" w:color="000000"/>
              <w:left w:val="single" w:sz="6" w:space="0" w:color="000000"/>
              <w:bottom w:val="single" w:sz="7" w:space="0" w:color="000000"/>
              <w:right w:val="single" w:sz="6" w:space="0" w:color="000000"/>
            </w:tcBorders>
            <w:shd w:val="clear" w:color="auto" w:fill="auto"/>
          </w:tcPr>
          <w:p w14:paraId="7A875AB3" w14:textId="77777777" w:rsidR="00DF61BC" w:rsidRPr="00C94C33" w:rsidRDefault="00DF61BC" w:rsidP="00BC4B05">
            <w:pPr>
              <w:pStyle w:val="Tabletext"/>
              <w:jc w:val="center"/>
              <w:rPr>
                <w:lang w:eastAsia="en-AU"/>
              </w:rPr>
            </w:pPr>
            <w:r w:rsidRPr="00C94C33">
              <w:rPr>
                <w:lang w:eastAsia="en-AU"/>
              </w:rPr>
              <w:t>19</w:t>
            </w:r>
          </w:p>
        </w:tc>
        <w:tc>
          <w:tcPr>
            <w:tcW w:w="3060" w:type="dxa"/>
            <w:tcBorders>
              <w:top w:val="single" w:sz="4" w:space="0" w:color="000000"/>
              <w:left w:val="single" w:sz="6" w:space="0" w:color="000000"/>
              <w:bottom w:val="single" w:sz="7" w:space="0" w:color="000000"/>
              <w:right w:val="single" w:sz="6" w:space="0" w:color="000000"/>
            </w:tcBorders>
            <w:shd w:val="clear" w:color="auto" w:fill="auto"/>
          </w:tcPr>
          <w:p w14:paraId="35AF7E30" w14:textId="77777777" w:rsidR="00DF61BC" w:rsidRPr="00C94C33" w:rsidRDefault="00DF61BC" w:rsidP="00BC4B05">
            <w:pPr>
              <w:pStyle w:val="Tabletext"/>
              <w:jc w:val="center"/>
              <w:rPr>
                <w:lang w:eastAsia="en-AU"/>
              </w:rPr>
            </w:pPr>
            <w:r w:rsidRPr="00C94C33">
              <w:rPr>
                <w:lang w:eastAsia="en-AU"/>
              </w:rPr>
              <w:t xml:space="preserve">7044.53 ± </w:t>
            </w:r>
            <w:r w:rsidRPr="00C94C33">
              <w:rPr>
                <w:spacing w:val="-1"/>
                <w:lang w:eastAsia="en-AU"/>
              </w:rPr>
              <w:t>2411.25</w:t>
            </w:r>
            <w:r w:rsidRPr="00C94C33">
              <w:rPr>
                <w:lang w:eastAsia="en-AU"/>
              </w:rPr>
              <w:t xml:space="preserve"> (34.23)</w:t>
            </w:r>
          </w:p>
        </w:tc>
        <w:tc>
          <w:tcPr>
            <w:tcW w:w="630" w:type="dxa"/>
            <w:tcBorders>
              <w:top w:val="single" w:sz="4" w:space="0" w:color="000000"/>
              <w:left w:val="single" w:sz="6" w:space="0" w:color="000000"/>
              <w:bottom w:val="single" w:sz="7" w:space="0" w:color="000000"/>
              <w:right w:val="single" w:sz="6" w:space="0" w:color="000000"/>
            </w:tcBorders>
            <w:shd w:val="clear" w:color="auto" w:fill="auto"/>
          </w:tcPr>
          <w:p w14:paraId="2888C657" w14:textId="77777777" w:rsidR="00DF61BC" w:rsidRPr="00C94C33" w:rsidRDefault="00DF61BC" w:rsidP="00BC4B05">
            <w:pPr>
              <w:pStyle w:val="Tabletext"/>
              <w:jc w:val="center"/>
              <w:rPr>
                <w:lang w:eastAsia="en-AU"/>
              </w:rPr>
            </w:pPr>
            <w:r w:rsidRPr="00C94C33">
              <w:rPr>
                <w:lang w:eastAsia="en-AU"/>
              </w:rPr>
              <w:t>20</w:t>
            </w:r>
          </w:p>
        </w:tc>
        <w:tc>
          <w:tcPr>
            <w:tcW w:w="2610" w:type="dxa"/>
            <w:tcBorders>
              <w:top w:val="single" w:sz="4" w:space="0" w:color="000000"/>
              <w:left w:val="single" w:sz="6" w:space="0" w:color="000000"/>
              <w:bottom w:val="single" w:sz="7" w:space="0" w:color="000000"/>
              <w:right w:val="single" w:sz="6" w:space="0" w:color="000000"/>
            </w:tcBorders>
            <w:shd w:val="clear" w:color="auto" w:fill="auto"/>
          </w:tcPr>
          <w:p w14:paraId="222DB559" w14:textId="77777777" w:rsidR="00DF61BC" w:rsidRPr="00C94C33" w:rsidRDefault="00DF61BC" w:rsidP="00BC4B05">
            <w:pPr>
              <w:pStyle w:val="Tabletext"/>
              <w:jc w:val="center"/>
              <w:rPr>
                <w:lang w:eastAsia="en-AU"/>
              </w:rPr>
            </w:pPr>
            <w:r w:rsidRPr="00C94C33">
              <w:rPr>
                <w:lang w:eastAsia="en-AU"/>
              </w:rPr>
              <w:t xml:space="preserve">200.45 ± </w:t>
            </w:r>
            <w:r w:rsidRPr="00C94C33">
              <w:rPr>
                <w:spacing w:val="-1"/>
                <w:lang w:eastAsia="en-AU"/>
              </w:rPr>
              <w:t>95.74</w:t>
            </w:r>
            <w:r w:rsidRPr="00C94C33">
              <w:rPr>
                <w:lang w:eastAsia="en-AU"/>
              </w:rPr>
              <w:t xml:space="preserve"> </w:t>
            </w:r>
            <w:r w:rsidRPr="00C94C33">
              <w:rPr>
                <w:spacing w:val="-1"/>
                <w:lang w:eastAsia="en-AU"/>
              </w:rPr>
              <w:t>(47.76)</w:t>
            </w:r>
          </w:p>
        </w:tc>
      </w:tr>
      <w:tr w:rsidR="00DF61BC" w:rsidRPr="00C94C33" w14:paraId="43F0F5B0" w14:textId="77777777" w:rsidTr="00BC4B05">
        <w:trPr>
          <w:trHeight w:val="20"/>
        </w:trPr>
        <w:tc>
          <w:tcPr>
            <w:tcW w:w="2318" w:type="dxa"/>
            <w:tcBorders>
              <w:top w:val="single" w:sz="7" w:space="0" w:color="000000"/>
              <w:left w:val="single" w:sz="6" w:space="0" w:color="000000"/>
              <w:bottom w:val="single" w:sz="7" w:space="0" w:color="000000"/>
              <w:right w:val="single" w:sz="6" w:space="0" w:color="000000"/>
            </w:tcBorders>
            <w:shd w:val="clear" w:color="auto" w:fill="auto"/>
          </w:tcPr>
          <w:p w14:paraId="74580C61" w14:textId="77777777" w:rsidR="00DF61BC" w:rsidRPr="00C94C33" w:rsidRDefault="00DF61BC" w:rsidP="00BC4B05">
            <w:pPr>
              <w:pStyle w:val="Tabletext"/>
              <w:jc w:val="center"/>
              <w:rPr>
                <w:lang w:eastAsia="en-AU"/>
              </w:rPr>
            </w:pPr>
            <w:r w:rsidRPr="00C94C33">
              <w:rPr>
                <w:spacing w:val="-1"/>
                <w:lang w:eastAsia="en-AU"/>
              </w:rPr>
              <w:t>C</w:t>
            </w:r>
            <w:r w:rsidRPr="00C94C33">
              <w:rPr>
                <w:spacing w:val="-1"/>
                <w:position w:val="-3"/>
                <w:lang w:eastAsia="en-AU"/>
              </w:rPr>
              <w:t>max</w:t>
            </w:r>
            <w:r w:rsidRPr="00C94C33">
              <w:rPr>
                <w:spacing w:val="16"/>
                <w:position w:val="-3"/>
                <w:lang w:eastAsia="en-AU"/>
              </w:rPr>
              <w:t xml:space="preserve"> </w:t>
            </w:r>
            <w:r w:rsidRPr="00C94C33">
              <w:rPr>
                <w:spacing w:val="-1"/>
                <w:lang w:eastAsia="en-AU"/>
              </w:rPr>
              <w:t>(ng/mL)</w:t>
            </w:r>
          </w:p>
        </w:tc>
        <w:tc>
          <w:tcPr>
            <w:tcW w:w="562" w:type="dxa"/>
            <w:tcBorders>
              <w:top w:val="single" w:sz="7" w:space="0" w:color="000000"/>
              <w:left w:val="single" w:sz="6" w:space="0" w:color="000000"/>
              <w:bottom w:val="single" w:sz="7" w:space="0" w:color="000000"/>
              <w:right w:val="single" w:sz="6" w:space="0" w:color="000000"/>
            </w:tcBorders>
            <w:shd w:val="clear" w:color="auto" w:fill="auto"/>
          </w:tcPr>
          <w:p w14:paraId="70DFE6C9" w14:textId="77777777" w:rsidR="00DF61BC" w:rsidRPr="00C94C33" w:rsidRDefault="00DF61BC" w:rsidP="00BC4B05">
            <w:pPr>
              <w:pStyle w:val="Tabletext"/>
              <w:jc w:val="center"/>
              <w:rPr>
                <w:lang w:eastAsia="en-AU"/>
              </w:rPr>
            </w:pPr>
            <w:r w:rsidRPr="00C94C33">
              <w:rPr>
                <w:lang w:eastAsia="en-AU"/>
              </w:rPr>
              <w:t>19</w:t>
            </w:r>
          </w:p>
        </w:tc>
        <w:tc>
          <w:tcPr>
            <w:tcW w:w="3060" w:type="dxa"/>
            <w:tcBorders>
              <w:top w:val="single" w:sz="7" w:space="0" w:color="000000"/>
              <w:left w:val="single" w:sz="6" w:space="0" w:color="000000"/>
              <w:bottom w:val="single" w:sz="7" w:space="0" w:color="000000"/>
              <w:right w:val="single" w:sz="6" w:space="0" w:color="000000"/>
            </w:tcBorders>
            <w:shd w:val="clear" w:color="auto" w:fill="auto"/>
          </w:tcPr>
          <w:p w14:paraId="58A5AF78" w14:textId="77777777" w:rsidR="00DF61BC" w:rsidRPr="00C94C33" w:rsidRDefault="00DF61BC" w:rsidP="00BC4B05">
            <w:pPr>
              <w:pStyle w:val="Tabletext"/>
              <w:jc w:val="center"/>
              <w:rPr>
                <w:lang w:eastAsia="en-AU"/>
              </w:rPr>
            </w:pPr>
            <w:r w:rsidRPr="00C94C33">
              <w:rPr>
                <w:lang w:eastAsia="en-AU"/>
              </w:rPr>
              <w:t xml:space="preserve">2381.21 ± </w:t>
            </w:r>
            <w:r w:rsidRPr="00C94C33">
              <w:rPr>
                <w:spacing w:val="-1"/>
                <w:lang w:eastAsia="en-AU"/>
              </w:rPr>
              <w:t>1047.61</w:t>
            </w:r>
            <w:r w:rsidRPr="00C94C33">
              <w:rPr>
                <w:lang w:eastAsia="en-AU"/>
              </w:rPr>
              <w:t xml:space="preserve"> (43.99)</w:t>
            </w:r>
          </w:p>
        </w:tc>
        <w:tc>
          <w:tcPr>
            <w:tcW w:w="630" w:type="dxa"/>
            <w:tcBorders>
              <w:top w:val="single" w:sz="7" w:space="0" w:color="000000"/>
              <w:left w:val="single" w:sz="6" w:space="0" w:color="000000"/>
              <w:bottom w:val="single" w:sz="7" w:space="0" w:color="000000"/>
              <w:right w:val="single" w:sz="6" w:space="0" w:color="000000"/>
            </w:tcBorders>
            <w:shd w:val="clear" w:color="auto" w:fill="auto"/>
          </w:tcPr>
          <w:p w14:paraId="67497192" w14:textId="77777777" w:rsidR="00DF61BC" w:rsidRPr="00C94C33" w:rsidRDefault="00DF61BC" w:rsidP="00BC4B05">
            <w:pPr>
              <w:pStyle w:val="Tabletext"/>
              <w:jc w:val="center"/>
              <w:rPr>
                <w:lang w:eastAsia="en-AU"/>
              </w:rPr>
            </w:pPr>
            <w:r w:rsidRPr="00C94C33">
              <w:rPr>
                <w:lang w:eastAsia="en-AU"/>
              </w:rPr>
              <w:t>20</w:t>
            </w:r>
          </w:p>
        </w:tc>
        <w:tc>
          <w:tcPr>
            <w:tcW w:w="2610" w:type="dxa"/>
            <w:tcBorders>
              <w:top w:val="single" w:sz="7" w:space="0" w:color="000000"/>
              <w:left w:val="single" w:sz="6" w:space="0" w:color="000000"/>
              <w:bottom w:val="single" w:sz="7" w:space="0" w:color="000000"/>
              <w:right w:val="single" w:sz="6" w:space="0" w:color="000000"/>
            </w:tcBorders>
            <w:shd w:val="clear" w:color="auto" w:fill="auto"/>
          </w:tcPr>
          <w:p w14:paraId="0796EC39" w14:textId="77777777" w:rsidR="00DF61BC" w:rsidRPr="00C94C33" w:rsidRDefault="00DF61BC" w:rsidP="00BC4B05">
            <w:pPr>
              <w:pStyle w:val="Tabletext"/>
              <w:jc w:val="center"/>
              <w:rPr>
                <w:lang w:eastAsia="en-AU"/>
              </w:rPr>
            </w:pPr>
            <w:r w:rsidRPr="00C94C33">
              <w:rPr>
                <w:lang w:eastAsia="en-AU"/>
              </w:rPr>
              <w:t xml:space="preserve">137.79 ± </w:t>
            </w:r>
            <w:r w:rsidRPr="00C94C33">
              <w:rPr>
                <w:spacing w:val="-1"/>
                <w:lang w:eastAsia="en-AU"/>
              </w:rPr>
              <w:t xml:space="preserve">126.75 </w:t>
            </w:r>
            <w:r w:rsidRPr="00C94C33">
              <w:rPr>
                <w:lang w:eastAsia="en-AU"/>
              </w:rPr>
              <w:t>(91.99)</w:t>
            </w:r>
          </w:p>
        </w:tc>
      </w:tr>
      <w:tr w:rsidR="00DF61BC" w:rsidRPr="00C94C33" w14:paraId="2F2F9D92" w14:textId="77777777" w:rsidTr="00BC4B05">
        <w:trPr>
          <w:trHeight w:val="20"/>
        </w:trPr>
        <w:tc>
          <w:tcPr>
            <w:tcW w:w="2318" w:type="dxa"/>
            <w:tcBorders>
              <w:top w:val="single" w:sz="7" w:space="0" w:color="000000"/>
              <w:left w:val="single" w:sz="6" w:space="0" w:color="000000"/>
              <w:bottom w:val="single" w:sz="7" w:space="0" w:color="000000"/>
              <w:right w:val="single" w:sz="6" w:space="0" w:color="000000"/>
            </w:tcBorders>
            <w:shd w:val="clear" w:color="auto" w:fill="auto"/>
          </w:tcPr>
          <w:p w14:paraId="0E0E3682" w14:textId="77777777" w:rsidR="00DF61BC" w:rsidRPr="00C94C33" w:rsidRDefault="00DF61BC" w:rsidP="00BC4B05">
            <w:pPr>
              <w:pStyle w:val="Tabletext"/>
              <w:jc w:val="center"/>
              <w:rPr>
                <w:lang w:eastAsia="en-AU"/>
              </w:rPr>
            </w:pPr>
            <w:r w:rsidRPr="00C94C33">
              <w:rPr>
                <w:spacing w:val="-1"/>
                <w:lang w:eastAsia="en-AU"/>
              </w:rPr>
              <w:t>T</w:t>
            </w:r>
            <w:r w:rsidRPr="00C94C33">
              <w:rPr>
                <w:spacing w:val="-1"/>
                <w:position w:val="-3"/>
                <w:lang w:eastAsia="en-AU"/>
              </w:rPr>
              <w:t>max</w:t>
            </w:r>
            <w:r w:rsidRPr="00C94C33">
              <w:rPr>
                <w:spacing w:val="15"/>
                <w:position w:val="-3"/>
                <w:lang w:eastAsia="en-AU"/>
              </w:rPr>
              <w:t xml:space="preserve"> </w:t>
            </w:r>
            <w:r w:rsidRPr="00C94C33">
              <w:rPr>
                <w:spacing w:val="-1"/>
                <w:lang w:eastAsia="en-AU"/>
              </w:rPr>
              <w:t>(hours)</w:t>
            </w:r>
            <w:r w:rsidRPr="00C94C33">
              <w:rPr>
                <w:spacing w:val="-1"/>
                <w:position w:val="8"/>
                <w:lang w:eastAsia="en-AU"/>
              </w:rPr>
              <w:t>a</w:t>
            </w:r>
          </w:p>
        </w:tc>
        <w:tc>
          <w:tcPr>
            <w:tcW w:w="562" w:type="dxa"/>
            <w:tcBorders>
              <w:top w:val="single" w:sz="7" w:space="0" w:color="000000"/>
              <w:left w:val="single" w:sz="6" w:space="0" w:color="000000"/>
              <w:bottom w:val="single" w:sz="7" w:space="0" w:color="000000"/>
              <w:right w:val="single" w:sz="6" w:space="0" w:color="000000"/>
            </w:tcBorders>
            <w:shd w:val="clear" w:color="auto" w:fill="auto"/>
          </w:tcPr>
          <w:p w14:paraId="524DDD56" w14:textId="77777777" w:rsidR="00DF61BC" w:rsidRPr="00C94C33" w:rsidRDefault="00DF61BC" w:rsidP="00BC4B05">
            <w:pPr>
              <w:pStyle w:val="Tabletext"/>
              <w:jc w:val="center"/>
              <w:rPr>
                <w:lang w:eastAsia="en-AU"/>
              </w:rPr>
            </w:pPr>
            <w:r w:rsidRPr="00C94C33">
              <w:rPr>
                <w:lang w:eastAsia="en-AU"/>
              </w:rPr>
              <w:t>19</w:t>
            </w:r>
          </w:p>
        </w:tc>
        <w:tc>
          <w:tcPr>
            <w:tcW w:w="3060" w:type="dxa"/>
            <w:tcBorders>
              <w:top w:val="single" w:sz="7" w:space="0" w:color="000000"/>
              <w:left w:val="single" w:sz="6" w:space="0" w:color="000000"/>
              <w:bottom w:val="single" w:sz="7" w:space="0" w:color="000000"/>
              <w:right w:val="single" w:sz="6" w:space="0" w:color="000000"/>
            </w:tcBorders>
            <w:shd w:val="clear" w:color="auto" w:fill="auto"/>
          </w:tcPr>
          <w:p w14:paraId="10310A5B" w14:textId="77777777" w:rsidR="00DF61BC" w:rsidRPr="00C94C33" w:rsidRDefault="00DF61BC" w:rsidP="00BC4B05">
            <w:pPr>
              <w:pStyle w:val="Tabletext"/>
              <w:jc w:val="center"/>
              <w:rPr>
                <w:lang w:eastAsia="en-AU"/>
              </w:rPr>
            </w:pPr>
            <w:r w:rsidRPr="00C94C33">
              <w:rPr>
                <w:lang w:eastAsia="en-AU"/>
              </w:rPr>
              <w:t xml:space="preserve">1.99 </w:t>
            </w:r>
            <w:r w:rsidRPr="00C94C33">
              <w:rPr>
                <w:spacing w:val="-1"/>
                <w:lang w:eastAsia="en-AU"/>
              </w:rPr>
              <w:t>(0.53,</w:t>
            </w:r>
            <w:r w:rsidRPr="00C94C33">
              <w:rPr>
                <w:lang w:eastAsia="en-AU"/>
              </w:rPr>
              <w:t xml:space="preserve"> 4.00)</w:t>
            </w:r>
          </w:p>
        </w:tc>
        <w:tc>
          <w:tcPr>
            <w:tcW w:w="630" w:type="dxa"/>
            <w:tcBorders>
              <w:top w:val="single" w:sz="7" w:space="0" w:color="000000"/>
              <w:left w:val="single" w:sz="6" w:space="0" w:color="000000"/>
              <w:bottom w:val="single" w:sz="7" w:space="0" w:color="000000"/>
              <w:right w:val="single" w:sz="6" w:space="0" w:color="000000"/>
            </w:tcBorders>
            <w:shd w:val="clear" w:color="auto" w:fill="auto"/>
          </w:tcPr>
          <w:p w14:paraId="4466FDEE" w14:textId="77777777" w:rsidR="00DF61BC" w:rsidRPr="00C94C33" w:rsidRDefault="00DF61BC" w:rsidP="00BC4B05">
            <w:pPr>
              <w:pStyle w:val="Tabletext"/>
              <w:jc w:val="center"/>
              <w:rPr>
                <w:lang w:eastAsia="en-AU"/>
              </w:rPr>
            </w:pPr>
            <w:r w:rsidRPr="00C94C33">
              <w:rPr>
                <w:lang w:eastAsia="en-AU"/>
              </w:rPr>
              <w:t>20</w:t>
            </w:r>
          </w:p>
        </w:tc>
        <w:tc>
          <w:tcPr>
            <w:tcW w:w="2610" w:type="dxa"/>
            <w:tcBorders>
              <w:top w:val="single" w:sz="7" w:space="0" w:color="000000"/>
              <w:left w:val="single" w:sz="6" w:space="0" w:color="000000"/>
              <w:bottom w:val="single" w:sz="7" w:space="0" w:color="000000"/>
              <w:right w:val="single" w:sz="6" w:space="0" w:color="000000"/>
            </w:tcBorders>
            <w:shd w:val="clear" w:color="auto" w:fill="auto"/>
          </w:tcPr>
          <w:p w14:paraId="3E286821" w14:textId="77777777" w:rsidR="00DF61BC" w:rsidRPr="00C94C33" w:rsidRDefault="00DF61BC" w:rsidP="00BC4B05">
            <w:pPr>
              <w:pStyle w:val="Tabletext"/>
              <w:jc w:val="center"/>
              <w:rPr>
                <w:lang w:eastAsia="en-AU"/>
              </w:rPr>
            </w:pPr>
            <w:r w:rsidRPr="00C94C33">
              <w:rPr>
                <w:lang w:eastAsia="en-AU"/>
              </w:rPr>
              <w:t xml:space="preserve">1.98 ± </w:t>
            </w:r>
            <w:r w:rsidRPr="00C94C33">
              <w:rPr>
                <w:spacing w:val="-1"/>
                <w:lang w:eastAsia="en-AU"/>
              </w:rPr>
              <w:t>1.46</w:t>
            </w:r>
            <w:r w:rsidRPr="00C94C33">
              <w:rPr>
                <w:lang w:eastAsia="en-AU"/>
              </w:rPr>
              <w:t xml:space="preserve"> </w:t>
            </w:r>
            <w:r w:rsidRPr="00C94C33">
              <w:rPr>
                <w:spacing w:val="-1"/>
                <w:lang w:eastAsia="en-AU"/>
              </w:rPr>
              <w:t>(74.02)</w:t>
            </w:r>
          </w:p>
        </w:tc>
      </w:tr>
      <w:tr w:rsidR="00DF61BC" w:rsidRPr="00C94C33" w14:paraId="09CF1FF7" w14:textId="77777777" w:rsidTr="00BC4B05">
        <w:trPr>
          <w:trHeight w:val="20"/>
        </w:trPr>
        <w:tc>
          <w:tcPr>
            <w:tcW w:w="2318" w:type="dxa"/>
            <w:tcBorders>
              <w:top w:val="single" w:sz="7" w:space="0" w:color="000000"/>
              <w:left w:val="single" w:sz="6" w:space="0" w:color="000000"/>
              <w:bottom w:val="single" w:sz="4" w:space="0" w:color="000000"/>
              <w:right w:val="single" w:sz="6" w:space="0" w:color="000000"/>
            </w:tcBorders>
            <w:shd w:val="clear" w:color="auto" w:fill="auto"/>
          </w:tcPr>
          <w:p w14:paraId="50BCACE0" w14:textId="77777777" w:rsidR="00DF61BC" w:rsidRPr="00C94C33" w:rsidRDefault="00DF61BC" w:rsidP="00BC4B05">
            <w:pPr>
              <w:pStyle w:val="Tabletext"/>
              <w:jc w:val="center"/>
              <w:rPr>
                <w:lang w:eastAsia="en-AU"/>
              </w:rPr>
            </w:pPr>
            <w:r w:rsidRPr="00C94C33">
              <w:rPr>
                <w:lang w:eastAsia="en-AU"/>
              </w:rPr>
              <w:t>T</w:t>
            </w:r>
            <w:r w:rsidRPr="00C94C33">
              <w:rPr>
                <w:position w:val="-3"/>
                <w:lang w:eastAsia="en-AU"/>
              </w:rPr>
              <w:t>½</w:t>
            </w:r>
            <w:r w:rsidRPr="00C94C33">
              <w:rPr>
                <w:spacing w:val="15"/>
                <w:position w:val="-3"/>
                <w:lang w:eastAsia="en-AU"/>
              </w:rPr>
              <w:t xml:space="preserve"> </w:t>
            </w:r>
            <w:r w:rsidRPr="00C94C33">
              <w:rPr>
                <w:lang w:eastAsia="en-AU"/>
              </w:rPr>
              <w:t>(hours)</w:t>
            </w:r>
          </w:p>
        </w:tc>
        <w:tc>
          <w:tcPr>
            <w:tcW w:w="562" w:type="dxa"/>
            <w:tcBorders>
              <w:top w:val="single" w:sz="7" w:space="0" w:color="000000"/>
              <w:left w:val="single" w:sz="6" w:space="0" w:color="000000"/>
              <w:bottom w:val="single" w:sz="4" w:space="0" w:color="000000"/>
              <w:right w:val="single" w:sz="6" w:space="0" w:color="000000"/>
            </w:tcBorders>
            <w:shd w:val="clear" w:color="auto" w:fill="auto"/>
          </w:tcPr>
          <w:p w14:paraId="7140E81C" w14:textId="77777777" w:rsidR="00DF61BC" w:rsidRPr="00C94C33" w:rsidRDefault="00DF61BC" w:rsidP="00BC4B05">
            <w:pPr>
              <w:pStyle w:val="Tabletext"/>
              <w:jc w:val="center"/>
              <w:rPr>
                <w:lang w:eastAsia="en-AU"/>
              </w:rPr>
            </w:pPr>
            <w:r w:rsidRPr="00C94C33">
              <w:rPr>
                <w:lang w:eastAsia="en-AU"/>
              </w:rPr>
              <w:t>19</w:t>
            </w:r>
          </w:p>
        </w:tc>
        <w:tc>
          <w:tcPr>
            <w:tcW w:w="3060" w:type="dxa"/>
            <w:tcBorders>
              <w:top w:val="single" w:sz="7" w:space="0" w:color="000000"/>
              <w:left w:val="single" w:sz="6" w:space="0" w:color="000000"/>
              <w:bottom w:val="single" w:sz="4" w:space="0" w:color="000000"/>
              <w:right w:val="single" w:sz="6" w:space="0" w:color="000000"/>
            </w:tcBorders>
            <w:shd w:val="clear" w:color="auto" w:fill="auto"/>
          </w:tcPr>
          <w:p w14:paraId="62157919" w14:textId="77777777" w:rsidR="00DF61BC" w:rsidRPr="00C94C33" w:rsidRDefault="00DF61BC" w:rsidP="00BC4B05">
            <w:pPr>
              <w:pStyle w:val="Tabletext"/>
              <w:jc w:val="center"/>
              <w:rPr>
                <w:lang w:eastAsia="en-AU"/>
              </w:rPr>
            </w:pPr>
            <w:r w:rsidRPr="00C94C33">
              <w:rPr>
                <w:lang w:eastAsia="en-AU"/>
              </w:rPr>
              <w:t xml:space="preserve">1.42 ± </w:t>
            </w:r>
            <w:r w:rsidRPr="00C94C33">
              <w:rPr>
                <w:spacing w:val="-1"/>
                <w:lang w:eastAsia="en-AU"/>
              </w:rPr>
              <w:t>0.42</w:t>
            </w:r>
            <w:r w:rsidRPr="00C94C33">
              <w:rPr>
                <w:lang w:eastAsia="en-AU"/>
              </w:rPr>
              <w:t xml:space="preserve"> </w:t>
            </w:r>
            <w:r w:rsidRPr="00C94C33">
              <w:rPr>
                <w:spacing w:val="-1"/>
                <w:lang w:eastAsia="en-AU"/>
              </w:rPr>
              <w:t>(29.52)</w:t>
            </w:r>
          </w:p>
        </w:tc>
        <w:tc>
          <w:tcPr>
            <w:tcW w:w="630" w:type="dxa"/>
            <w:tcBorders>
              <w:top w:val="single" w:sz="7" w:space="0" w:color="000000"/>
              <w:left w:val="single" w:sz="6" w:space="0" w:color="000000"/>
              <w:bottom w:val="single" w:sz="4" w:space="0" w:color="000000"/>
              <w:right w:val="single" w:sz="6" w:space="0" w:color="000000"/>
            </w:tcBorders>
            <w:shd w:val="clear" w:color="auto" w:fill="auto"/>
          </w:tcPr>
          <w:p w14:paraId="6CD3A8E5" w14:textId="77777777" w:rsidR="00DF61BC" w:rsidRPr="00C94C33" w:rsidRDefault="00DF61BC" w:rsidP="00BC4B05">
            <w:pPr>
              <w:pStyle w:val="Tabletext"/>
              <w:jc w:val="center"/>
              <w:rPr>
                <w:lang w:eastAsia="en-AU"/>
              </w:rPr>
            </w:pPr>
            <w:r w:rsidRPr="00C94C33">
              <w:rPr>
                <w:lang w:eastAsia="en-AU"/>
              </w:rPr>
              <w:t>10</w:t>
            </w:r>
          </w:p>
        </w:tc>
        <w:tc>
          <w:tcPr>
            <w:tcW w:w="2610" w:type="dxa"/>
            <w:tcBorders>
              <w:top w:val="single" w:sz="7" w:space="0" w:color="000000"/>
              <w:left w:val="single" w:sz="6" w:space="0" w:color="000000"/>
              <w:bottom w:val="single" w:sz="4" w:space="0" w:color="000000"/>
              <w:right w:val="single" w:sz="6" w:space="0" w:color="000000"/>
            </w:tcBorders>
            <w:shd w:val="clear" w:color="auto" w:fill="auto"/>
          </w:tcPr>
          <w:p w14:paraId="0F0339DA" w14:textId="77777777" w:rsidR="00DF61BC" w:rsidRPr="00C94C33" w:rsidRDefault="00DF61BC" w:rsidP="00BC4B05">
            <w:pPr>
              <w:pStyle w:val="Tabletext"/>
              <w:jc w:val="center"/>
              <w:rPr>
                <w:lang w:eastAsia="en-AU"/>
              </w:rPr>
            </w:pPr>
            <w:r w:rsidRPr="00C94C33">
              <w:rPr>
                <w:lang w:eastAsia="en-AU"/>
              </w:rPr>
              <w:t xml:space="preserve">1.14 ± </w:t>
            </w:r>
            <w:r w:rsidRPr="00C94C33">
              <w:rPr>
                <w:spacing w:val="-1"/>
                <w:lang w:eastAsia="en-AU"/>
              </w:rPr>
              <w:t>0.55</w:t>
            </w:r>
            <w:r w:rsidRPr="00C94C33">
              <w:rPr>
                <w:lang w:eastAsia="en-AU"/>
              </w:rPr>
              <w:t xml:space="preserve"> </w:t>
            </w:r>
            <w:r w:rsidRPr="00C94C33">
              <w:rPr>
                <w:spacing w:val="-1"/>
                <w:lang w:eastAsia="en-AU"/>
              </w:rPr>
              <w:t>(48.20)</w:t>
            </w:r>
          </w:p>
        </w:tc>
      </w:tr>
      <w:tr w:rsidR="00DF61BC" w:rsidRPr="00C94C33" w14:paraId="02AECD61" w14:textId="77777777" w:rsidTr="00BC4B05">
        <w:trPr>
          <w:trHeight w:val="20"/>
        </w:trPr>
        <w:tc>
          <w:tcPr>
            <w:tcW w:w="2318" w:type="dxa"/>
            <w:tcBorders>
              <w:top w:val="single" w:sz="4" w:space="0" w:color="000000"/>
              <w:left w:val="single" w:sz="6" w:space="0" w:color="000000"/>
              <w:bottom w:val="single" w:sz="4" w:space="0" w:color="000000"/>
              <w:right w:val="single" w:sz="6" w:space="0" w:color="000000"/>
            </w:tcBorders>
            <w:shd w:val="clear" w:color="auto" w:fill="auto"/>
          </w:tcPr>
          <w:p w14:paraId="6A09E9F2" w14:textId="77777777" w:rsidR="00DF61BC" w:rsidRPr="00C94C33" w:rsidRDefault="00DF61BC" w:rsidP="00BC4B05">
            <w:pPr>
              <w:pStyle w:val="Tabletext"/>
              <w:jc w:val="center"/>
              <w:rPr>
                <w:bCs/>
                <w:spacing w:val="-1"/>
                <w:lang w:eastAsia="en-AU"/>
              </w:rPr>
            </w:pPr>
            <w:r w:rsidRPr="00C94C33">
              <w:rPr>
                <w:bCs/>
                <w:spacing w:val="-1"/>
                <w:lang w:eastAsia="en-AU"/>
              </w:rPr>
              <w:t>CL/F (L/hr)</w:t>
            </w:r>
          </w:p>
        </w:tc>
        <w:tc>
          <w:tcPr>
            <w:tcW w:w="562" w:type="dxa"/>
            <w:tcBorders>
              <w:top w:val="single" w:sz="4" w:space="0" w:color="000000"/>
              <w:left w:val="single" w:sz="6" w:space="0" w:color="000000"/>
              <w:bottom w:val="single" w:sz="4" w:space="0" w:color="000000"/>
              <w:right w:val="single" w:sz="6" w:space="0" w:color="000000"/>
            </w:tcBorders>
            <w:shd w:val="clear" w:color="auto" w:fill="auto"/>
          </w:tcPr>
          <w:p w14:paraId="1960D0FE" w14:textId="36F5C15F" w:rsidR="00DF61BC" w:rsidRPr="00C94C33" w:rsidRDefault="00DF61BC" w:rsidP="00BC4B05">
            <w:pPr>
              <w:pStyle w:val="Tabletext"/>
              <w:jc w:val="center"/>
              <w:rPr>
                <w:lang w:eastAsia="en-AU"/>
              </w:rPr>
            </w:pPr>
            <w:r w:rsidRPr="00C94C33">
              <w:rPr>
                <w:lang w:eastAsia="en-AU"/>
              </w:rPr>
              <w:t>19</w:t>
            </w:r>
          </w:p>
        </w:tc>
        <w:tc>
          <w:tcPr>
            <w:tcW w:w="3060" w:type="dxa"/>
            <w:tcBorders>
              <w:top w:val="single" w:sz="4" w:space="0" w:color="000000"/>
              <w:left w:val="single" w:sz="6" w:space="0" w:color="000000"/>
              <w:bottom w:val="single" w:sz="4" w:space="0" w:color="000000"/>
              <w:right w:val="single" w:sz="6" w:space="0" w:color="000000"/>
            </w:tcBorders>
            <w:shd w:val="clear" w:color="auto" w:fill="auto"/>
          </w:tcPr>
          <w:p w14:paraId="323E5F37" w14:textId="617F8088" w:rsidR="00DF61BC" w:rsidRPr="00C94C33" w:rsidRDefault="00DF61BC" w:rsidP="00BC4B05">
            <w:pPr>
              <w:pStyle w:val="Tabletext"/>
              <w:jc w:val="center"/>
              <w:rPr>
                <w:lang w:eastAsia="en-AU"/>
              </w:rPr>
            </w:pPr>
            <w:r w:rsidRPr="00C94C33">
              <w:rPr>
                <w:lang w:eastAsia="en-AU"/>
              </w:rPr>
              <w:t>10.53 ± 4.46 (42.34)</w:t>
            </w:r>
          </w:p>
        </w:tc>
        <w:tc>
          <w:tcPr>
            <w:tcW w:w="630" w:type="dxa"/>
            <w:tcBorders>
              <w:top w:val="single" w:sz="4" w:space="0" w:color="000000"/>
              <w:left w:val="single" w:sz="6" w:space="0" w:color="000000"/>
              <w:bottom w:val="single" w:sz="4" w:space="0" w:color="000000"/>
              <w:right w:val="single" w:sz="6" w:space="0" w:color="000000"/>
            </w:tcBorders>
            <w:shd w:val="clear" w:color="auto" w:fill="auto"/>
          </w:tcPr>
          <w:p w14:paraId="1DD78AA3" w14:textId="6D555CE4" w:rsidR="00DF61BC" w:rsidRPr="00C94C33" w:rsidRDefault="00DF61BC" w:rsidP="00BC4B05">
            <w:pPr>
              <w:pStyle w:val="Tabletext"/>
              <w:jc w:val="center"/>
              <w:rPr>
                <w:lang w:eastAsia="en-AU"/>
              </w:rPr>
            </w:pPr>
            <w:r w:rsidRPr="00C94C33">
              <w:rPr>
                <w:lang w:eastAsia="en-AU"/>
              </w:rPr>
              <w:t>10</w:t>
            </w:r>
          </w:p>
        </w:tc>
        <w:tc>
          <w:tcPr>
            <w:tcW w:w="2610" w:type="dxa"/>
            <w:tcBorders>
              <w:top w:val="single" w:sz="4" w:space="0" w:color="000000"/>
              <w:left w:val="single" w:sz="6" w:space="0" w:color="000000"/>
              <w:bottom w:val="single" w:sz="4" w:space="0" w:color="000000"/>
              <w:right w:val="single" w:sz="6" w:space="0" w:color="000000"/>
            </w:tcBorders>
            <w:shd w:val="clear" w:color="auto" w:fill="auto"/>
          </w:tcPr>
          <w:p w14:paraId="70EE57E5" w14:textId="4CBFF52B" w:rsidR="00DF61BC" w:rsidRPr="00C94C33" w:rsidRDefault="00DF61BC" w:rsidP="00BC4B05">
            <w:pPr>
              <w:pStyle w:val="Tabletext"/>
              <w:jc w:val="center"/>
              <w:rPr>
                <w:lang w:eastAsia="en-AU"/>
              </w:rPr>
            </w:pPr>
            <w:r w:rsidRPr="00C94C33">
              <w:rPr>
                <w:lang w:eastAsia="en-AU"/>
              </w:rPr>
              <w:t>282.90 ± 193.31 (68.33)</w:t>
            </w:r>
          </w:p>
        </w:tc>
      </w:tr>
      <w:tr w:rsidR="00DF61BC" w:rsidRPr="00C94C33" w14:paraId="4A2CB298" w14:textId="77777777" w:rsidTr="00BC4B05">
        <w:trPr>
          <w:trHeight w:val="20"/>
        </w:trPr>
        <w:tc>
          <w:tcPr>
            <w:tcW w:w="2318" w:type="dxa"/>
            <w:tcBorders>
              <w:top w:val="single" w:sz="4" w:space="0" w:color="000000"/>
              <w:left w:val="single" w:sz="6" w:space="0" w:color="000000"/>
              <w:bottom w:val="single" w:sz="4" w:space="0" w:color="000000"/>
              <w:right w:val="single" w:sz="6" w:space="0" w:color="000000"/>
            </w:tcBorders>
            <w:shd w:val="clear" w:color="auto" w:fill="auto"/>
          </w:tcPr>
          <w:p w14:paraId="0709A5FC" w14:textId="5DC6FB9A" w:rsidR="00DF61BC" w:rsidRPr="00C94C33" w:rsidRDefault="00DF61BC" w:rsidP="00BC4B05">
            <w:pPr>
              <w:pStyle w:val="Tabletext"/>
              <w:jc w:val="center"/>
              <w:rPr>
                <w:bCs/>
                <w:spacing w:val="-1"/>
                <w:lang w:eastAsia="en-AU"/>
              </w:rPr>
            </w:pPr>
            <w:r w:rsidRPr="00C94C33">
              <w:rPr>
                <w:bCs/>
                <w:spacing w:val="-1"/>
                <w:lang w:eastAsia="en-AU"/>
              </w:rPr>
              <w:t>Vd/F (L)</w:t>
            </w:r>
          </w:p>
        </w:tc>
        <w:tc>
          <w:tcPr>
            <w:tcW w:w="562" w:type="dxa"/>
            <w:tcBorders>
              <w:top w:val="single" w:sz="4" w:space="0" w:color="000000"/>
              <w:left w:val="single" w:sz="6" w:space="0" w:color="000000"/>
              <w:bottom w:val="single" w:sz="4" w:space="0" w:color="000000"/>
              <w:right w:val="single" w:sz="6" w:space="0" w:color="000000"/>
            </w:tcBorders>
            <w:shd w:val="clear" w:color="auto" w:fill="auto"/>
          </w:tcPr>
          <w:p w14:paraId="18315A51" w14:textId="3803A208" w:rsidR="00DF61BC" w:rsidRPr="00C94C33" w:rsidRDefault="00DF61BC" w:rsidP="00BC4B05">
            <w:pPr>
              <w:pStyle w:val="Tabletext"/>
              <w:jc w:val="center"/>
              <w:rPr>
                <w:lang w:eastAsia="en-AU"/>
              </w:rPr>
            </w:pPr>
            <w:r w:rsidRPr="00C94C33">
              <w:rPr>
                <w:lang w:eastAsia="en-AU"/>
              </w:rPr>
              <w:t>19</w:t>
            </w:r>
          </w:p>
        </w:tc>
        <w:tc>
          <w:tcPr>
            <w:tcW w:w="3060" w:type="dxa"/>
            <w:tcBorders>
              <w:top w:val="single" w:sz="4" w:space="0" w:color="000000"/>
              <w:left w:val="single" w:sz="6" w:space="0" w:color="000000"/>
              <w:bottom w:val="single" w:sz="4" w:space="0" w:color="000000"/>
              <w:right w:val="single" w:sz="6" w:space="0" w:color="000000"/>
            </w:tcBorders>
            <w:shd w:val="clear" w:color="auto" w:fill="auto"/>
          </w:tcPr>
          <w:p w14:paraId="38628E83" w14:textId="4C4A2D32" w:rsidR="00DF61BC" w:rsidRPr="00C94C33" w:rsidRDefault="00DF61BC" w:rsidP="00BC4B05">
            <w:pPr>
              <w:pStyle w:val="Tabletext"/>
              <w:jc w:val="center"/>
              <w:rPr>
                <w:lang w:eastAsia="en-AU"/>
              </w:rPr>
            </w:pPr>
            <w:r w:rsidRPr="00C94C33">
              <w:rPr>
                <w:lang w:eastAsia="en-AU"/>
              </w:rPr>
              <w:t xml:space="preserve">20.9 </w:t>
            </w:r>
            <w:r w:rsidRPr="00C94C33">
              <w:rPr>
                <w:lang w:eastAsia="en-AU"/>
              </w:rPr>
              <w:softHyphen/>
              <w:t>± 9.68 (46.26)</w:t>
            </w:r>
          </w:p>
        </w:tc>
        <w:tc>
          <w:tcPr>
            <w:tcW w:w="630" w:type="dxa"/>
            <w:tcBorders>
              <w:top w:val="single" w:sz="4" w:space="0" w:color="000000"/>
              <w:left w:val="single" w:sz="6" w:space="0" w:color="000000"/>
              <w:bottom w:val="single" w:sz="4" w:space="0" w:color="000000"/>
              <w:right w:val="single" w:sz="6" w:space="0" w:color="000000"/>
            </w:tcBorders>
            <w:shd w:val="clear" w:color="auto" w:fill="auto"/>
          </w:tcPr>
          <w:p w14:paraId="380211EB" w14:textId="20AF4837" w:rsidR="00DF61BC" w:rsidRPr="00C94C33" w:rsidRDefault="00DF61BC" w:rsidP="00BC4B05">
            <w:pPr>
              <w:pStyle w:val="Tabletext"/>
              <w:jc w:val="center"/>
              <w:rPr>
                <w:lang w:eastAsia="en-AU"/>
              </w:rPr>
            </w:pPr>
            <w:r w:rsidRPr="00C94C33">
              <w:rPr>
                <w:lang w:eastAsia="en-AU"/>
              </w:rPr>
              <w:t>10</w:t>
            </w:r>
          </w:p>
        </w:tc>
        <w:tc>
          <w:tcPr>
            <w:tcW w:w="2610" w:type="dxa"/>
            <w:tcBorders>
              <w:top w:val="single" w:sz="4" w:space="0" w:color="000000"/>
              <w:left w:val="single" w:sz="6" w:space="0" w:color="000000"/>
              <w:bottom w:val="single" w:sz="4" w:space="0" w:color="000000"/>
              <w:right w:val="single" w:sz="6" w:space="0" w:color="000000"/>
            </w:tcBorders>
            <w:shd w:val="clear" w:color="auto" w:fill="auto"/>
          </w:tcPr>
          <w:p w14:paraId="427629C1" w14:textId="588768A9" w:rsidR="00DF61BC" w:rsidRPr="00C94C33" w:rsidRDefault="00DF61BC" w:rsidP="00BC4B05">
            <w:pPr>
              <w:pStyle w:val="Tabletext"/>
              <w:jc w:val="center"/>
              <w:rPr>
                <w:lang w:eastAsia="en-AU"/>
              </w:rPr>
            </w:pPr>
            <w:r w:rsidRPr="00C94C33">
              <w:rPr>
                <w:lang w:eastAsia="en-AU"/>
              </w:rPr>
              <w:t>486.14 ± 402.88 (82.87)</w:t>
            </w:r>
          </w:p>
        </w:tc>
      </w:tr>
      <w:tr w:rsidR="00DF61BC" w:rsidRPr="00C94C33" w14:paraId="001E89D5" w14:textId="77777777" w:rsidTr="00BC4B05">
        <w:trPr>
          <w:trHeight w:hRule="exact" w:val="340"/>
        </w:trPr>
        <w:tc>
          <w:tcPr>
            <w:tcW w:w="2318" w:type="dxa"/>
            <w:tcBorders>
              <w:top w:val="single" w:sz="4" w:space="0" w:color="000000"/>
              <w:left w:val="single" w:sz="6" w:space="0" w:color="000000"/>
              <w:bottom w:val="single" w:sz="4" w:space="0" w:color="000000"/>
              <w:right w:val="single" w:sz="6" w:space="0" w:color="000000"/>
            </w:tcBorders>
            <w:shd w:val="clear" w:color="auto" w:fill="auto"/>
          </w:tcPr>
          <w:p w14:paraId="2FCC571F" w14:textId="77777777" w:rsidR="00DF61BC" w:rsidRPr="00C94C33" w:rsidRDefault="00DF61BC" w:rsidP="00BC4B05">
            <w:pPr>
              <w:pStyle w:val="TableHeading"/>
              <w:rPr>
                <w:lang w:eastAsia="en-AU"/>
              </w:rPr>
            </w:pPr>
            <w:r w:rsidRPr="00C94C33">
              <w:rPr>
                <w:lang w:eastAsia="en-AU"/>
              </w:rPr>
              <w:t>FTY</w:t>
            </w:r>
          </w:p>
        </w:tc>
        <w:tc>
          <w:tcPr>
            <w:tcW w:w="562" w:type="dxa"/>
            <w:tcBorders>
              <w:top w:val="single" w:sz="4" w:space="0" w:color="000000"/>
              <w:left w:val="single" w:sz="6" w:space="0" w:color="000000"/>
              <w:bottom w:val="single" w:sz="4" w:space="0" w:color="000000"/>
              <w:right w:val="single" w:sz="6" w:space="0" w:color="000000"/>
            </w:tcBorders>
            <w:shd w:val="clear" w:color="auto" w:fill="auto"/>
          </w:tcPr>
          <w:p w14:paraId="4D371B4D" w14:textId="77777777" w:rsidR="00DF61BC" w:rsidRPr="00C94C33" w:rsidRDefault="00DF61BC" w:rsidP="00BC4B05">
            <w:pPr>
              <w:pStyle w:val="TableHeading"/>
              <w:rPr>
                <w:lang w:eastAsia="en-AU"/>
              </w:rPr>
            </w:pPr>
          </w:p>
        </w:tc>
        <w:tc>
          <w:tcPr>
            <w:tcW w:w="3060" w:type="dxa"/>
            <w:tcBorders>
              <w:top w:val="single" w:sz="4" w:space="0" w:color="000000"/>
              <w:left w:val="single" w:sz="6" w:space="0" w:color="000000"/>
              <w:bottom w:val="single" w:sz="4" w:space="0" w:color="000000"/>
              <w:right w:val="single" w:sz="6" w:space="0" w:color="000000"/>
            </w:tcBorders>
            <w:shd w:val="clear" w:color="auto" w:fill="auto"/>
          </w:tcPr>
          <w:p w14:paraId="561F270C" w14:textId="77777777" w:rsidR="00DF61BC" w:rsidRPr="00C94C33" w:rsidRDefault="00DF61BC" w:rsidP="00BC4B05">
            <w:pPr>
              <w:pStyle w:val="TableHeading"/>
              <w:rPr>
                <w:lang w:eastAsia="en-AU"/>
              </w:rPr>
            </w:pPr>
          </w:p>
        </w:tc>
        <w:tc>
          <w:tcPr>
            <w:tcW w:w="630" w:type="dxa"/>
            <w:tcBorders>
              <w:top w:val="single" w:sz="4" w:space="0" w:color="000000"/>
              <w:left w:val="single" w:sz="6" w:space="0" w:color="000000"/>
              <w:bottom w:val="single" w:sz="4" w:space="0" w:color="000000"/>
              <w:right w:val="single" w:sz="6" w:space="0" w:color="000000"/>
            </w:tcBorders>
            <w:shd w:val="clear" w:color="auto" w:fill="auto"/>
          </w:tcPr>
          <w:p w14:paraId="0429DB8B" w14:textId="77777777" w:rsidR="00DF61BC" w:rsidRPr="00C94C33" w:rsidRDefault="00DF61BC" w:rsidP="00BC4B05">
            <w:pPr>
              <w:pStyle w:val="TableHeading"/>
              <w:rPr>
                <w:lang w:eastAsia="en-AU"/>
              </w:rPr>
            </w:pPr>
          </w:p>
        </w:tc>
        <w:tc>
          <w:tcPr>
            <w:tcW w:w="2610" w:type="dxa"/>
            <w:tcBorders>
              <w:top w:val="single" w:sz="4" w:space="0" w:color="000000"/>
              <w:left w:val="single" w:sz="6" w:space="0" w:color="000000"/>
              <w:bottom w:val="single" w:sz="4" w:space="0" w:color="000000"/>
              <w:right w:val="single" w:sz="6" w:space="0" w:color="000000"/>
            </w:tcBorders>
            <w:shd w:val="clear" w:color="auto" w:fill="auto"/>
          </w:tcPr>
          <w:p w14:paraId="54D8115A" w14:textId="77777777" w:rsidR="00DF61BC" w:rsidRPr="00C94C33" w:rsidRDefault="00DF61BC" w:rsidP="00BC4B05">
            <w:pPr>
              <w:pStyle w:val="TableHeading"/>
              <w:rPr>
                <w:lang w:eastAsia="en-AU"/>
              </w:rPr>
            </w:pPr>
          </w:p>
        </w:tc>
      </w:tr>
      <w:tr w:rsidR="00DF61BC" w:rsidRPr="00C94C33" w14:paraId="57E56487" w14:textId="77777777" w:rsidTr="00BC4B05">
        <w:trPr>
          <w:trHeight w:val="20"/>
        </w:trPr>
        <w:tc>
          <w:tcPr>
            <w:tcW w:w="2318" w:type="dxa"/>
            <w:tcBorders>
              <w:top w:val="single" w:sz="4" w:space="0" w:color="000000"/>
              <w:left w:val="single" w:sz="6" w:space="0" w:color="000000"/>
              <w:bottom w:val="single" w:sz="7" w:space="0" w:color="000000"/>
              <w:right w:val="single" w:sz="6" w:space="0" w:color="000000"/>
            </w:tcBorders>
            <w:shd w:val="clear" w:color="auto" w:fill="auto"/>
          </w:tcPr>
          <w:p w14:paraId="2E9A6594" w14:textId="77777777" w:rsidR="00DF61BC" w:rsidRPr="00C94C33" w:rsidRDefault="00DF61BC" w:rsidP="00BC4B05">
            <w:pPr>
              <w:pStyle w:val="Tabletext"/>
              <w:jc w:val="center"/>
              <w:rPr>
                <w:lang w:eastAsia="en-AU"/>
              </w:rPr>
            </w:pPr>
            <w:r w:rsidRPr="00C94C33">
              <w:rPr>
                <w:spacing w:val="-1"/>
                <w:lang w:eastAsia="en-AU"/>
              </w:rPr>
              <w:t>AUC</w:t>
            </w:r>
            <w:r w:rsidRPr="00C94C33">
              <w:rPr>
                <w:spacing w:val="-1"/>
                <w:position w:val="-3"/>
                <w:lang w:eastAsia="en-AU"/>
              </w:rPr>
              <w:t>0-last</w:t>
            </w:r>
            <w:r w:rsidRPr="00C94C33">
              <w:rPr>
                <w:spacing w:val="29"/>
                <w:position w:val="-3"/>
                <w:lang w:eastAsia="en-AU"/>
              </w:rPr>
              <w:t xml:space="preserve"> </w:t>
            </w:r>
            <w:r w:rsidRPr="00C94C33">
              <w:rPr>
                <w:lang w:eastAsia="en-AU"/>
              </w:rPr>
              <w:t>(ng*hr/mL)</w:t>
            </w:r>
          </w:p>
        </w:tc>
        <w:tc>
          <w:tcPr>
            <w:tcW w:w="562" w:type="dxa"/>
            <w:tcBorders>
              <w:top w:val="single" w:sz="4" w:space="0" w:color="000000"/>
              <w:left w:val="single" w:sz="6" w:space="0" w:color="000000"/>
              <w:bottom w:val="single" w:sz="7" w:space="0" w:color="000000"/>
              <w:right w:val="single" w:sz="6" w:space="0" w:color="000000"/>
            </w:tcBorders>
            <w:shd w:val="clear" w:color="auto" w:fill="auto"/>
          </w:tcPr>
          <w:p w14:paraId="7437B741" w14:textId="77777777" w:rsidR="00DF61BC" w:rsidRPr="00C94C33" w:rsidRDefault="00DF61BC" w:rsidP="00BC4B05">
            <w:pPr>
              <w:pStyle w:val="Tabletext"/>
              <w:jc w:val="center"/>
              <w:rPr>
                <w:lang w:eastAsia="en-AU"/>
              </w:rPr>
            </w:pPr>
            <w:r w:rsidRPr="00C94C33">
              <w:rPr>
                <w:lang w:eastAsia="en-AU"/>
              </w:rPr>
              <w:t>19</w:t>
            </w:r>
          </w:p>
        </w:tc>
        <w:tc>
          <w:tcPr>
            <w:tcW w:w="3060" w:type="dxa"/>
            <w:tcBorders>
              <w:top w:val="single" w:sz="4" w:space="0" w:color="000000"/>
              <w:left w:val="single" w:sz="6" w:space="0" w:color="000000"/>
              <w:bottom w:val="single" w:sz="7" w:space="0" w:color="000000"/>
              <w:right w:val="single" w:sz="6" w:space="0" w:color="000000"/>
            </w:tcBorders>
            <w:shd w:val="clear" w:color="auto" w:fill="auto"/>
          </w:tcPr>
          <w:p w14:paraId="187E34B3" w14:textId="77777777" w:rsidR="00DF61BC" w:rsidRPr="00C94C33" w:rsidRDefault="00DF61BC" w:rsidP="00BC4B05">
            <w:pPr>
              <w:pStyle w:val="Tabletext"/>
              <w:jc w:val="center"/>
              <w:rPr>
                <w:lang w:eastAsia="en-AU"/>
              </w:rPr>
            </w:pPr>
            <w:r w:rsidRPr="00C94C33">
              <w:rPr>
                <w:lang w:eastAsia="en-AU"/>
              </w:rPr>
              <w:t xml:space="preserve">3343.75 ± </w:t>
            </w:r>
            <w:r w:rsidRPr="00C94C33">
              <w:rPr>
                <w:spacing w:val="-1"/>
                <w:lang w:eastAsia="en-AU"/>
              </w:rPr>
              <w:t>897.48</w:t>
            </w:r>
            <w:r w:rsidRPr="00C94C33">
              <w:rPr>
                <w:lang w:eastAsia="en-AU"/>
              </w:rPr>
              <w:t xml:space="preserve"> (26.84)</w:t>
            </w:r>
          </w:p>
        </w:tc>
        <w:tc>
          <w:tcPr>
            <w:tcW w:w="630" w:type="dxa"/>
            <w:tcBorders>
              <w:top w:val="single" w:sz="4" w:space="0" w:color="000000"/>
              <w:left w:val="single" w:sz="6" w:space="0" w:color="000000"/>
              <w:bottom w:val="single" w:sz="7" w:space="0" w:color="000000"/>
              <w:right w:val="single" w:sz="6" w:space="0" w:color="000000"/>
            </w:tcBorders>
            <w:shd w:val="clear" w:color="auto" w:fill="auto"/>
          </w:tcPr>
          <w:p w14:paraId="3CB862B6" w14:textId="77777777" w:rsidR="00DF61BC" w:rsidRPr="00C94C33" w:rsidRDefault="00DF61BC" w:rsidP="00BC4B05">
            <w:pPr>
              <w:pStyle w:val="Tabletext"/>
              <w:jc w:val="center"/>
              <w:rPr>
                <w:lang w:eastAsia="en-AU"/>
              </w:rPr>
            </w:pPr>
            <w:r w:rsidRPr="00C94C33">
              <w:rPr>
                <w:lang w:eastAsia="en-AU"/>
              </w:rPr>
              <w:t>20</w:t>
            </w:r>
          </w:p>
        </w:tc>
        <w:tc>
          <w:tcPr>
            <w:tcW w:w="2610" w:type="dxa"/>
            <w:tcBorders>
              <w:top w:val="single" w:sz="4" w:space="0" w:color="000000"/>
              <w:left w:val="single" w:sz="6" w:space="0" w:color="000000"/>
              <w:bottom w:val="single" w:sz="7" w:space="0" w:color="000000"/>
              <w:right w:val="single" w:sz="6" w:space="0" w:color="000000"/>
            </w:tcBorders>
            <w:shd w:val="clear" w:color="auto" w:fill="auto"/>
          </w:tcPr>
          <w:p w14:paraId="08AFB5FD" w14:textId="77777777" w:rsidR="00DF61BC" w:rsidRPr="00C94C33" w:rsidRDefault="00DF61BC" w:rsidP="00BC4B05">
            <w:pPr>
              <w:pStyle w:val="Tabletext"/>
              <w:jc w:val="center"/>
              <w:rPr>
                <w:lang w:eastAsia="en-AU"/>
              </w:rPr>
            </w:pPr>
            <w:r w:rsidRPr="00C94C33">
              <w:rPr>
                <w:lang w:eastAsia="en-AU"/>
              </w:rPr>
              <w:t xml:space="preserve">4280.65 ± </w:t>
            </w:r>
            <w:r w:rsidRPr="00C94C33">
              <w:rPr>
                <w:spacing w:val="-1"/>
                <w:lang w:eastAsia="en-AU"/>
              </w:rPr>
              <w:t>1132.27</w:t>
            </w:r>
            <w:r w:rsidRPr="00C94C33">
              <w:rPr>
                <w:lang w:eastAsia="en-AU"/>
              </w:rPr>
              <w:t xml:space="preserve"> (26.45)</w:t>
            </w:r>
          </w:p>
        </w:tc>
      </w:tr>
      <w:tr w:rsidR="00DF61BC" w:rsidRPr="00C94C33" w14:paraId="77FE3C93" w14:textId="77777777" w:rsidTr="00BC4B05">
        <w:trPr>
          <w:trHeight w:val="20"/>
        </w:trPr>
        <w:tc>
          <w:tcPr>
            <w:tcW w:w="2318" w:type="dxa"/>
            <w:tcBorders>
              <w:top w:val="single" w:sz="7" w:space="0" w:color="000000"/>
              <w:left w:val="single" w:sz="6" w:space="0" w:color="000000"/>
              <w:bottom w:val="single" w:sz="7" w:space="0" w:color="000000"/>
              <w:right w:val="single" w:sz="6" w:space="0" w:color="000000"/>
            </w:tcBorders>
            <w:shd w:val="clear" w:color="auto" w:fill="auto"/>
          </w:tcPr>
          <w:p w14:paraId="164E8309" w14:textId="77777777" w:rsidR="00DF61BC" w:rsidRPr="00C94C33" w:rsidRDefault="00DF61BC" w:rsidP="00BC4B05">
            <w:pPr>
              <w:pStyle w:val="Tabletext"/>
              <w:jc w:val="center"/>
              <w:rPr>
                <w:lang w:eastAsia="en-AU"/>
              </w:rPr>
            </w:pPr>
            <w:r w:rsidRPr="00C94C33">
              <w:rPr>
                <w:spacing w:val="-1"/>
                <w:lang w:eastAsia="en-AU"/>
              </w:rPr>
              <w:t>C</w:t>
            </w:r>
            <w:r w:rsidRPr="00C94C33">
              <w:rPr>
                <w:spacing w:val="-1"/>
                <w:position w:val="-3"/>
                <w:lang w:eastAsia="en-AU"/>
              </w:rPr>
              <w:t>max</w:t>
            </w:r>
            <w:r w:rsidRPr="00C94C33">
              <w:rPr>
                <w:spacing w:val="16"/>
                <w:position w:val="-3"/>
                <w:lang w:eastAsia="en-AU"/>
              </w:rPr>
              <w:t xml:space="preserve"> </w:t>
            </w:r>
            <w:r w:rsidRPr="00C94C33">
              <w:rPr>
                <w:spacing w:val="-1"/>
                <w:lang w:eastAsia="en-AU"/>
              </w:rPr>
              <w:t>(ng/mL)</w:t>
            </w:r>
          </w:p>
        </w:tc>
        <w:tc>
          <w:tcPr>
            <w:tcW w:w="562" w:type="dxa"/>
            <w:tcBorders>
              <w:top w:val="single" w:sz="7" w:space="0" w:color="000000"/>
              <w:left w:val="single" w:sz="6" w:space="0" w:color="000000"/>
              <w:bottom w:val="single" w:sz="7" w:space="0" w:color="000000"/>
              <w:right w:val="single" w:sz="6" w:space="0" w:color="000000"/>
            </w:tcBorders>
            <w:shd w:val="clear" w:color="auto" w:fill="auto"/>
          </w:tcPr>
          <w:p w14:paraId="5D05AAA3" w14:textId="77777777" w:rsidR="00DF61BC" w:rsidRPr="00C94C33" w:rsidRDefault="00DF61BC" w:rsidP="00BC4B05">
            <w:pPr>
              <w:pStyle w:val="Tabletext"/>
              <w:jc w:val="center"/>
              <w:rPr>
                <w:lang w:eastAsia="en-AU"/>
              </w:rPr>
            </w:pPr>
            <w:r w:rsidRPr="00C94C33">
              <w:rPr>
                <w:lang w:eastAsia="en-AU"/>
              </w:rPr>
              <w:t>19</w:t>
            </w:r>
          </w:p>
        </w:tc>
        <w:tc>
          <w:tcPr>
            <w:tcW w:w="3060" w:type="dxa"/>
            <w:tcBorders>
              <w:top w:val="single" w:sz="7" w:space="0" w:color="000000"/>
              <w:left w:val="single" w:sz="6" w:space="0" w:color="000000"/>
              <w:bottom w:val="single" w:sz="7" w:space="0" w:color="000000"/>
              <w:right w:val="single" w:sz="6" w:space="0" w:color="000000"/>
            </w:tcBorders>
            <w:shd w:val="clear" w:color="auto" w:fill="auto"/>
          </w:tcPr>
          <w:p w14:paraId="3D701C29" w14:textId="77777777" w:rsidR="00DF61BC" w:rsidRPr="00C94C33" w:rsidRDefault="00DF61BC" w:rsidP="00BC4B05">
            <w:pPr>
              <w:pStyle w:val="Tabletext"/>
              <w:jc w:val="center"/>
              <w:rPr>
                <w:lang w:eastAsia="en-AU"/>
              </w:rPr>
            </w:pPr>
            <w:r w:rsidRPr="00C94C33">
              <w:rPr>
                <w:lang w:eastAsia="en-AU"/>
              </w:rPr>
              <w:t xml:space="preserve">764.89 ± </w:t>
            </w:r>
            <w:r w:rsidRPr="00C94C33">
              <w:rPr>
                <w:spacing w:val="-1"/>
                <w:lang w:eastAsia="en-AU"/>
              </w:rPr>
              <w:t xml:space="preserve">201.44 </w:t>
            </w:r>
            <w:r w:rsidRPr="00C94C33">
              <w:rPr>
                <w:lang w:eastAsia="en-AU"/>
              </w:rPr>
              <w:t>(26.34)</w:t>
            </w:r>
          </w:p>
        </w:tc>
        <w:tc>
          <w:tcPr>
            <w:tcW w:w="630" w:type="dxa"/>
            <w:tcBorders>
              <w:top w:val="single" w:sz="7" w:space="0" w:color="000000"/>
              <w:left w:val="single" w:sz="6" w:space="0" w:color="000000"/>
              <w:bottom w:val="single" w:sz="7" w:space="0" w:color="000000"/>
              <w:right w:val="single" w:sz="6" w:space="0" w:color="000000"/>
            </w:tcBorders>
            <w:shd w:val="clear" w:color="auto" w:fill="auto"/>
          </w:tcPr>
          <w:p w14:paraId="10F52EC8" w14:textId="77777777" w:rsidR="00DF61BC" w:rsidRPr="00C94C33" w:rsidRDefault="00DF61BC" w:rsidP="00BC4B05">
            <w:pPr>
              <w:pStyle w:val="Tabletext"/>
              <w:jc w:val="center"/>
              <w:rPr>
                <w:lang w:eastAsia="en-AU"/>
              </w:rPr>
            </w:pPr>
            <w:r w:rsidRPr="00C94C33">
              <w:rPr>
                <w:lang w:eastAsia="en-AU"/>
              </w:rPr>
              <w:t>20</w:t>
            </w:r>
          </w:p>
        </w:tc>
        <w:tc>
          <w:tcPr>
            <w:tcW w:w="2610" w:type="dxa"/>
            <w:tcBorders>
              <w:top w:val="single" w:sz="7" w:space="0" w:color="000000"/>
              <w:left w:val="single" w:sz="6" w:space="0" w:color="000000"/>
              <w:bottom w:val="single" w:sz="7" w:space="0" w:color="000000"/>
              <w:right w:val="single" w:sz="6" w:space="0" w:color="000000"/>
            </w:tcBorders>
            <w:shd w:val="clear" w:color="auto" w:fill="auto"/>
          </w:tcPr>
          <w:p w14:paraId="291078FD" w14:textId="77777777" w:rsidR="00DF61BC" w:rsidRPr="00C94C33" w:rsidRDefault="00DF61BC" w:rsidP="00BC4B05">
            <w:pPr>
              <w:pStyle w:val="Tabletext"/>
              <w:jc w:val="center"/>
              <w:rPr>
                <w:lang w:eastAsia="en-AU"/>
              </w:rPr>
            </w:pPr>
            <w:r w:rsidRPr="00C94C33">
              <w:rPr>
                <w:lang w:eastAsia="en-AU"/>
              </w:rPr>
              <w:t xml:space="preserve">1169.05 ± </w:t>
            </w:r>
            <w:r w:rsidRPr="00C94C33">
              <w:rPr>
                <w:spacing w:val="-1"/>
                <w:lang w:eastAsia="en-AU"/>
              </w:rPr>
              <w:t>402.21</w:t>
            </w:r>
            <w:r w:rsidRPr="00C94C33">
              <w:rPr>
                <w:lang w:eastAsia="en-AU"/>
              </w:rPr>
              <w:t xml:space="preserve"> (34.40)</w:t>
            </w:r>
          </w:p>
        </w:tc>
      </w:tr>
      <w:tr w:rsidR="00DF61BC" w:rsidRPr="00C94C33" w14:paraId="47CBBCAF" w14:textId="77777777" w:rsidTr="00BC4B05">
        <w:trPr>
          <w:trHeight w:val="20"/>
        </w:trPr>
        <w:tc>
          <w:tcPr>
            <w:tcW w:w="2318" w:type="dxa"/>
            <w:tcBorders>
              <w:top w:val="single" w:sz="7" w:space="0" w:color="000000"/>
              <w:left w:val="single" w:sz="6" w:space="0" w:color="000000"/>
              <w:bottom w:val="single" w:sz="7" w:space="0" w:color="000000"/>
              <w:right w:val="single" w:sz="6" w:space="0" w:color="000000"/>
            </w:tcBorders>
            <w:shd w:val="clear" w:color="auto" w:fill="auto"/>
          </w:tcPr>
          <w:p w14:paraId="6F66DC38" w14:textId="77777777" w:rsidR="00DF61BC" w:rsidRPr="00C94C33" w:rsidRDefault="00DF61BC" w:rsidP="00BC4B05">
            <w:pPr>
              <w:pStyle w:val="Tabletext"/>
              <w:jc w:val="center"/>
              <w:rPr>
                <w:lang w:eastAsia="en-AU"/>
              </w:rPr>
            </w:pPr>
            <w:r w:rsidRPr="00C94C33">
              <w:rPr>
                <w:spacing w:val="-1"/>
                <w:lang w:eastAsia="en-AU"/>
              </w:rPr>
              <w:t>T</w:t>
            </w:r>
            <w:r w:rsidRPr="00C94C33">
              <w:rPr>
                <w:spacing w:val="-1"/>
                <w:position w:val="-3"/>
                <w:lang w:eastAsia="en-AU"/>
              </w:rPr>
              <w:t>max</w:t>
            </w:r>
            <w:r w:rsidRPr="00C94C33">
              <w:rPr>
                <w:spacing w:val="15"/>
                <w:position w:val="-3"/>
                <w:lang w:eastAsia="en-AU"/>
              </w:rPr>
              <w:t xml:space="preserve"> </w:t>
            </w:r>
            <w:r w:rsidRPr="00C94C33">
              <w:rPr>
                <w:spacing w:val="-1"/>
                <w:lang w:eastAsia="en-AU"/>
              </w:rPr>
              <w:t>(hours)</w:t>
            </w:r>
            <w:r w:rsidRPr="00C94C33">
              <w:rPr>
                <w:spacing w:val="-1"/>
                <w:position w:val="8"/>
                <w:lang w:eastAsia="en-AU"/>
              </w:rPr>
              <w:t>a</w:t>
            </w:r>
          </w:p>
        </w:tc>
        <w:tc>
          <w:tcPr>
            <w:tcW w:w="562" w:type="dxa"/>
            <w:tcBorders>
              <w:top w:val="single" w:sz="7" w:space="0" w:color="000000"/>
              <w:left w:val="single" w:sz="6" w:space="0" w:color="000000"/>
              <w:bottom w:val="single" w:sz="7" w:space="0" w:color="000000"/>
              <w:right w:val="single" w:sz="6" w:space="0" w:color="000000"/>
            </w:tcBorders>
            <w:shd w:val="clear" w:color="auto" w:fill="auto"/>
          </w:tcPr>
          <w:p w14:paraId="581B4442" w14:textId="77777777" w:rsidR="00DF61BC" w:rsidRPr="00C94C33" w:rsidRDefault="00DF61BC" w:rsidP="00BC4B05">
            <w:pPr>
              <w:pStyle w:val="Tabletext"/>
              <w:jc w:val="center"/>
              <w:rPr>
                <w:lang w:eastAsia="en-AU"/>
              </w:rPr>
            </w:pPr>
            <w:r w:rsidRPr="00C94C33">
              <w:rPr>
                <w:lang w:eastAsia="en-AU"/>
              </w:rPr>
              <w:t>19</w:t>
            </w:r>
          </w:p>
        </w:tc>
        <w:tc>
          <w:tcPr>
            <w:tcW w:w="3060" w:type="dxa"/>
            <w:tcBorders>
              <w:top w:val="single" w:sz="7" w:space="0" w:color="000000"/>
              <w:left w:val="single" w:sz="6" w:space="0" w:color="000000"/>
              <w:bottom w:val="single" w:sz="7" w:space="0" w:color="000000"/>
              <w:right w:val="single" w:sz="6" w:space="0" w:color="000000"/>
            </w:tcBorders>
            <w:shd w:val="clear" w:color="auto" w:fill="auto"/>
          </w:tcPr>
          <w:p w14:paraId="291671D1" w14:textId="77777777" w:rsidR="00DF61BC" w:rsidRPr="00C94C33" w:rsidRDefault="00DF61BC" w:rsidP="00BC4B05">
            <w:pPr>
              <w:pStyle w:val="Tabletext"/>
              <w:jc w:val="center"/>
              <w:rPr>
                <w:lang w:eastAsia="en-AU"/>
              </w:rPr>
            </w:pPr>
            <w:r w:rsidRPr="00C94C33">
              <w:rPr>
                <w:lang w:eastAsia="en-AU"/>
              </w:rPr>
              <w:t xml:space="preserve">2.69 </w:t>
            </w:r>
            <w:r w:rsidRPr="00C94C33">
              <w:rPr>
                <w:spacing w:val="-1"/>
                <w:lang w:eastAsia="en-AU"/>
              </w:rPr>
              <w:t>(1.00,</w:t>
            </w:r>
            <w:r w:rsidRPr="00C94C33">
              <w:rPr>
                <w:lang w:eastAsia="en-AU"/>
              </w:rPr>
              <w:t xml:space="preserve"> 6.08)</w:t>
            </w:r>
          </w:p>
        </w:tc>
        <w:tc>
          <w:tcPr>
            <w:tcW w:w="630" w:type="dxa"/>
            <w:tcBorders>
              <w:top w:val="single" w:sz="7" w:space="0" w:color="000000"/>
              <w:left w:val="single" w:sz="6" w:space="0" w:color="000000"/>
              <w:bottom w:val="single" w:sz="7" w:space="0" w:color="000000"/>
              <w:right w:val="single" w:sz="6" w:space="0" w:color="000000"/>
            </w:tcBorders>
            <w:shd w:val="clear" w:color="auto" w:fill="auto"/>
          </w:tcPr>
          <w:p w14:paraId="5D193099" w14:textId="77777777" w:rsidR="00DF61BC" w:rsidRPr="00C94C33" w:rsidRDefault="00DF61BC" w:rsidP="00BC4B05">
            <w:pPr>
              <w:pStyle w:val="Tabletext"/>
              <w:jc w:val="center"/>
              <w:rPr>
                <w:lang w:eastAsia="en-AU"/>
              </w:rPr>
            </w:pPr>
            <w:r w:rsidRPr="00C94C33">
              <w:rPr>
                <w:lang w:eastAsia="en-AU"/>
              </w:rPr>
              <w:t>20</w:t>
            </w:r>
          </w:p>
        </w:tc>
        <w:tc>
          <w:tcPr>
            <w:tcW w:w="2610" w:type="dxa"/>
            <w:tcBorders>
              <w:top w:val="single" w:sz="7" w:space="0" w:color="000000"/>
              <w:left w:val="single" w:sz="6" w:space="0" w:color="000000"/>
              <w:bottom w:val="single" w:sz="7" w:space="0" w:color="000000"/>
              <w:right w:val="single" w:sz="6" w:space="0" w:color="000000"/>
            </w:tcBorders>
            <w:shd w:val="clear" w:color="auto" w:fill="auto"/>
          </w:tcPr>
          <w:p w14:paraId="2A6A36F9" w14:textId="77777777" w:rsidR="00DF61BC" w:rsidRPr="00C94C33" w:rsidRDefault="00DF61BC" w:rsidP="00BC4B05">
            <w:pPr>
              <w:pStyle w:val="Tabletext"/>
              <w:jc w:val="center"/>
              <w:rPr>
                <w:lang w:eastAsia="en-AU"/>
              </w:rPr>
            </w:pPr>
            <w:r w:rsidRPr="00C94C33">
              <w:rPr>
                <w:lang w:eastAsia="en-AU"/>
              </w:rPr>
              <w:t xml:space="preserve">2.55 </w:t>
            </w:r>
            <w:r w:rsidRPr="00C94C33">
              <w:rPr>
                <w:spacing w:val="-1"/>
                <w:lang w:eastAsia="en-AU"/>
              </w:rPr>
              <w:t>(0.30,</w:t>
            </w:r>
            <w:r w:rsidRPr="00C94C33">
              <w:rPr>
                <w:lang w:eastAsia="en-AU"/>
              </w:rPr>
              <w:t xml:space="preserve"> 6.00)</w:t>
            </w:r>
          </w:p>
        </w:tc>
      </w:tr>
      <w:tr w:rsidR="00DF61BC" w:rsidRPr="00C94C33" w14:paraId="61FBA021" w14:textId="77777777" w:rsidTr="00BC4B05">
        <w:trPr>
          <w:trHeight w:val="20"/>
        </w:trPr>
        <w:tc>
          <w:tcPr>
            <w:tcW w:w="2318" w:type="dxa"/>
            <w:tcBorders>
              <w:top w:val="single" w:sz="7" w:space="0" w:color="000000"/>
              <w:left w:val="single" w:sz="6" w:space="0" w:color="000000"/>
              <w:bottom w:val="single" w:sz="6" w:space="0" w:color="000000"/>
              <w:right w:val="single" w:sz="6" w:space="0" w:color="000000"/>
            </w:tcBorders>
            <w:shd w:val="clear" w:color="auto" w:fill="auto"/>
          </w:tcPr>
          <w:p w14:paraId="6E125153" w14:textId="77777777" w:rsidR="00DF61BC" w:rsidRPr="00C94C33" w:rsidRDefault="00DF61BC" w:rsidP="00BC4B05">
            <w:pPr>
              <w:pStyle w:val="Tabletext"/>
              <w:jc w:val="center"/>
              <w:rPr>
                <w:lang w:eastAsia="en-AU"/>
              </w:rPr>
            </w:pPr>
            <w:r w:rsidRPr="00C94C33">
              <w:rPr>
                <w:lang w:eastAsia="en-AU"/>
              </w:rPr>
              <w:t>T</w:t>
            </w:r>
            <w:r w:rsidRPr="00C94C33">
              <w:rPr>
                <w:position w:val="-3"/>
                <w:lang w:eastAsia="en-AU"/>
              </w:rPr>
              <w:t>½</w:t>
            </w:r>
            <w:r w:rsidRPr="00C94C33">
              <w:rPr>
                <w:spacing w:val="15"/>
                <w:position w:val="-3"/>
                <w:lang w:eastAsia="en-AU"/>
              </w:rPr>
              <w:t xml:space="preserve"> </w:t>
            </w:r>
            <w:r w:rsidRPr="00C94C33">
              <w:rPr>
                <w:lang w:eastAsia="en-AU"/>
              </w:rPr>
              <w:t>(hours)</w:t>
            </w:r>
          </w:p>
        </w:tc>
        <w:tc>
          <w:tcPr>
            <w:tcW w:w="562" w:type="dxa"/>
            <w:tcBorders>
              <w:top w:val="single" w:sz="7" w:space="0" w:color="000000"/>
              <w:left w:val="single" w:sz="6" w:space="0" w:color="000000"/>
              <w:bottom w:val="single" w:sz="6" w:space="0" w:color="000000"/>
              <w:right w:val="single" w:sz="6" w:space="0" w:color="000000"/>
            </w:tcBorders>
            <w:shd w:val="clear" w:color="auto" w:fill="auto"/>
          </w:tcPr>
          <w:p w14:paraId="4FC6CF7E" w14:textId="77777777" w:rsidR="00DF61BC" w:rsidRPr="00C94C33" w:rsidRDefault="00DF61BC" w:rsidP="00BC4B05">
            <w:pPr>
              <w:pStyle w:val="Tabletext"/>
              <w:jc w:val="center"/>
              <w:rPr>
                <w:lang w:eastAsia="en-AU"/>
              </w:rPr>
            </w:pPr>
            <w:r w:rsidRPr="00C94C33">
              <w:rPr>
                <w:lang w:eastAsia="en-AU"/>
              </w:rPr>
              <w:t>19</w:t>
            </w:r>
          </w:p>
        </w:tc>
        <w:tc>
          <w:tcPr>
            <w:tcW w:w="3060" w:type="dxa"/>
            <w:tcBorders>
              <w:top w:val="single" w:sz="7" w:space="0" w:color="000000"/>
              <w:left w:val="single" w:sz="6" w:space="0" w:color="000000"/>
              <w:bottom w:val="single" w:sz="6" w:space="0" w:color="000000"/>
              <w:right w:val="single" w:sz="6" w:space="0" w:color="000000"/>
            </w:tcBorders>
            <w:shd w:val="clear" w:color="auto" w:fill="auto"/>
          </w:tcPr>
          <w:p w14:paraId="1912F5CF" w14:textId="77777777" w:rsidR="00DF61BC" w:rsidRPr="00C94C33" w:rsidRDefault="00DF61BC" w:rsidP="00BC4B05">
            <w:pPr>
              <w:pStyle w:val="Tabletext"/>
              <w:jc w:val="center"/>
              <w:rPr>
                <w:lang w:eastAsia="en-AU"/>
              </w:rPr>
            </w:pPr>
            <w:r w:rsidRPr="00C94C33">
              <w:rPr>
                <w:lang w:eastAsia="en-AU"/>
              </w:rPr>
              <w:t xml:space="preserve">1.76 ± </w:t>
            </w:r>
            <w:r w:rsidRPr="00C94C33">
              <w:rPr>
                <w:spacing w:val="-1"/>
                <w:lang w:eastAsia="en-AU"/>
              </w:rPr>
              <w:t>0.38</w:t>
            </w:r>
            <w:r w:rsidRPr="00C94C33">
              <w:rPr>
                <w:lang w:eastAsia="en-AU"/>
              </w:rPr>
              <w:t xml:space="preserve"> </w:t>
            </w:r>
            <w:r w:rsidRPr="00C94C33">
              <w:rPr>
                <w:spacing w:val="-1"/>
                <w:lang w:eastAsia="en-AU"/>
              </w:rPr>
              <w:t>(21.49)</w:t>
            </w:r>
          </w:p>
        </w:tc>
        <w:tc>
          <w:tcPr>
            <w:tcW w:w="630" w:type="dxa"/>
            <w:tcBorders>
              <w:top w:val="single" w:sz="7" w:space="0" w:color="000000"/>
              <w:left w:val="single" w:sz="6" w:space="0" w:color="000000"/>
              <w:bottom w:val="single" w:sz="6" w:space="0" w:color="000000"/>
              <w:right w:val="single" w:sz="6" w:space="0" w:color="000000"/>
            </w:tcBorders>
            <w:shd w:val="clear" w:color="auto" w:fill="auto"/>
          </w:tcPr>
          <w:p w14:paraId="076CC24C" w14:textId="77777777" w:rsidR="00DF61BC" w:rsidRPr="00C94C33" w:rsidRDefault="00DF61BC" w:rsidP="00BC4B05">
            <w:pPr>
              <w:pStyle w:val="Tabletext"/>
              <w:jc w:val="center"/>
              <w:rPr>
                <w:lang w:eastAsia="en-AU"/>
              </w:rPr>
            </w:pPr>
            <w:r w:rsidRPr="00C94C33">
              <w:rPr>
                <w:lang w:eastAsia="en-AU"/>
              </w:rPr>
              <w:t>20</w:t>
            </w:r>
          </w:p>
        </w:tc>
        <w:tc>
          <w:tcPr>
            <w:tcW w:w="2610" w:type="dxa"/>
            <w:tcBorders>
              <w:top w:val="single" w:sz="7" w:space="0" w:color="000000"/>
              <w:left w:val="single" w:sz="6" w:space="0" w:color="000000"/>
              <w:bottom w:val="single" w:sz="6" w:space="0" w:color="000000"/>
              <w:right w:val="single" w:sz="6" w:space="0" w:color="000000"/>
            </w:tcBorders>
            <w:shd w:val="clear" w:color="auto" w:fill="auto"/>
          </w:tcPr>
          <w:p w14:paraId="726684A5" w14:textId="77777777" w:rsidR="00DF61BC" w:rsidRPr="00C94C33" w:rsidRDefault="00DF61BC" w:rsidP="00BC4B05">
            <w:pPr>
              <w:pStyle w:val="Tabletext"/>
              <w:jc w:val="center"/>
              <w:rPr>
                <w:lang w:eastAsia="en-AU"/>
              </w:rPr>
            </w:pPr>
            <w:r w:rsidRPr="00C94C33">
              <w:rPr>
                <w:lang w:eastAsia="en-AU"/>
              </w:rPr>
              <w:t xml:space="preserve">1.28 ± </w:t>
            </w:r>
            <w:r w:rsidRPr="00C94C33">
              <w:rPr>
                <w:spacing w:val="-1"/>
                <w:lang w:eastAsia="en-AU"/>
              </w:rPr>
              <w:t>0.33</w:t>
            </w:r>
            <w:r w:rsidRPr="00C94C33">
              <w:rPr>
                <w:lang w:eastAsia="en-AU"/>
              </w:rPr>
              <w:t xml:space="preserve"> </w:t>
            </w:r>
            <w:r w:rsidRPr="00C94C33">
              <w:rPr>
                <w:spacing w:val="-1"/>
                <w:lang w:eastAsia="en-AU"/>
              </w:rPr>
              <w:t>(25.99)</w:t>
            </w:r>
          </w:p>
        </w:tc>
      </w:tr>
    </w:tbl>
    <w:p w14:paraId="0D3B0B4D" w14:textId="77777777" w:rsidR="00DF61BC" w:rsidRPr="0048322F" w:rsidRDefault="00A1578F" w:rsidP="00A1578F">
      <w:pPr>
        <w:pStyle w:val="TableDescription"/>
        <w:rPr>
          <w:sz w:val="18"/>
          <w:szCs w:val="18"/>
        </w:rPr>
      </w:pPr>
      <w:r w:rsidRPr="0048322F">
        <w:rPr>
          <w:sz w:val="18"/>
          <w:szCs w:val="18"/>
        </w:rPr>
        <w:t xml:space="preserve">a. </w:t>
      </w:r>
      <w:r w:rsidR="00DF61BC" w:rsidRPr="0048322F">
        <w:rPr>
          <w:sz w:val="18"/>
          <w:szCs w:val="18"/>
        </w:rPr>
        <w:t>Mean (min, max) is presented for Tmax.</w:t>
      </w:r>
    </w:p>
    <w:p w14:paraId="2D2D3F5F" w14:textId="55552B0C" w:rsidR="00DF61BC" w:rsidRPr="007709B8" w:rsidRDefault="00DF61BC" w:rsidP="005C2FCA">
      <w:pPr>
        <w:pStyle w:val="Comment"/>
      </w:pPr>
      <w:r w:rsidRPr="005C2FCA">
        <w:rPr>
          <w:b/>
        </w:rPr>
        <w:t>Comment:</w:t>
      </w:r>
      <w:r w:rsidR="00C17794" w:rsidRPr="007709B8">
        <w:t xml:space="preserve"> </w:t>
      </w:r>
      <w:r w:rsidRPr="00C94C33">
        <w:t xml:space="preserve"> Exposure to FTD was markedly increased when administered in combination with TPI. Exposure to FTY, the primary metabolite of FTD, was marginally lower following TAS</w:t>
      </w:r>
      <w:r w:rsidR="00015D8E" w:rsidRPr="00C94C33">
        <w:noBreakHyphen/>
      </w:r>
      <w:r w:rsidRPr="00C94C33">
        <w:t>102 compared to FTD alone. The sponsor comments that simple extrapolation based on the AUC values in this study indicates that the dose of FTD alone that would be necessary to achieve the AUC of FTD observed after administration of TAS-102 is 1295</w:t>
      </w:r>
      <w:r w:rsidR="00C17794" w:rsidRPr="00C94C33">
        <w:t> </w:t>
      </w:r>
      <w:r w:rsidRPr="00C94C33">
        <w:t>mg/m2 (</w:t>
      </w:r>
      <w:r w:rsidR="00B2072D" w:rsidRPr="00C94C33">
        <w:t>that is,</w:t>
      </w:r>
      <w:r w:rsidRPr="00C94C33">
        <w:t xml:space="preserve"> 35 mg/m</w:t>
      </w:r>
      <w:r w:rsidRPr="005C2FCA">
        <w:rPr>
          <w:vertAlign w:val="superscript"/>
        </w:rPr>
        <w:t>2</w:t>
      </w:r>
      <w:r w:rsidRPr="007709B8">
        <w:t xml:space="preserve"> x 37) based on BSA. The sponsor noted t</w:t>
      </w:r>
      <w:r w:rsidRPr="00C94C33">
        <w:t>hat this oral dose of FTD is predicted to exceed the projected lethal dose for humans (1194 mg/m</w:t>
      </w:r>
      <w:r w:rsidRPr="005C2FCA">
        <w:rPr>
          <w:vertAlign w:val="superscript"/>
        </w:rPr>
        <w:t>2</w:t>
      </w:r>
      <w:r w:rsidRPr="007709B8">
        <w:t>) based on primate toxicology studies. The equivalent dose in monkeys was reported to be associated with severe gastrointestin</w:t>
      </w:r>
      <w:r w:rsidR="00BC4B05">
        <w:t>al and haematologic toxicities.</w:t>
      </w:r>
    </w:p>
    <w:p w14:paraId="3BE4F468" w14:textId="57FB7024" w:rsidR="00DF61BC" w:rsidRPr="00C94C33" w:rsidRDefault="00DF61BC" w:rsidP="00A1578F">
      <w:pPr>
        <w:autoSpaceDE w:val="0"/>
        <w:autoSpaceDN w:val="0"/>
        <w:adjustRightInd w:val="0"/>
        <w:spacing w:before="0" w:line="240" w:lineRule="auto"/>
        <w:rPr>
          <w:rFonts w:asciiTheme="minorHAnsi" w:eastAsia="Times New Roman" w:hAnsiTheme="minorHAnsi" w:cs="Calibri"/>
          <w:lang w:eastAsia="en-AU"/>
        </w:rPr>
      </w:pPr>
      <w:r w:rsidRPr="00C94C33">
        <w:rPr>
          <w:rFonts w:asciiTheme="minorHAnsi" w:eastAsia="Times New Roman" w:hAnsiTheme="minorHAnsi" w:cs="Calibri"/>
          <w:lang w:eastAsia="en-AU"/>
        </w:rPr>
        <w:t>Data submitted by the sponsor (D120 Response) suggests that TPI exhibits a</w:t>
      </w:r>
      <w:r w:rsidR="00B206E2" w:rsidRPr="00C94C33">
        <w:rPr>
          <w:rFonts w:asciiTheme="minorHAnsi" w:eastAsia="Times New Roman" w:hAnsiTheme="minorHAnsi" w:cs="Calibri"/>
          <w:lang w:eastAsia="en-AU"/>
        </w:rPr>
        <w:t xml:space="preserve"> maximal inhibitory effect on F</w:t>
      </w:r>
      <w:r w:rsidRPr="00C94C33">
        <w:rPr>
          <w:rFonts w:asciiTheme="minorHAnsi" w:eastAsia="Times New Roman" w:hAnsiTheme="minorHAnsi" w:cs="Calibri"/>
          <w:lang w:eastAsia="en-AU"/>
        </w:rPr>
        <w:t>T</w:t>
      </w:r>
      <w:r w:rsidR="00B206E2" w:rsidRPr="00C94C33">
        <w:rPr>
          <w:rFonts w:asciiTheme="minorHAnsi" w:eastAsia="Times New Roman" w:hAnsiTheme="minorHAnsi" w:cs="Calibri"/>
          <w:lang w:eastAsia="en-AU"/>
        </w:rPr>
        <w:t>D</w:t>
      </w:r>
      <w:r w:rsidRPr="00C94C33">
        <w:rPr>
          <w:rFonts w:asciiTheme="minorHAnsi" w:eastAsia="Times New Roman" w:hAnsiTheme="minorHAnsi" w:cs="Calibri"/>
          <w:lang w:eastAsia="en-AU"/>
        </w:rPr>
        <w:t xml:space="preserve"> at TAS-102 dose levels of approximately 20 to 35 mg/m</w:t>
      </w:r>
      <w:r w:rsidRPr="00C94C33">
        <w:rPr>
          <w:rFonts w:asciiTheme="minorHAnsi" w:eastAsia="Times New Roman" w:hAnsiTheme="minorHAnsi" w:cs="Calibri"/>
          <w:vertAlign w:val="superscript"/>
          <w:lang w:eastAsia="en-AU"/>
        </w:rPr>
        <w:t>2</w:t>
      </w:r>
      <w:r w:rsidRPr="00C94C33">
        <w:rPr>
          <w:rFonts w:asciiTheme="minorHAnsi" w:eastAsia="Times New Roman" w:hAnsiTheme="minorHAnsi" w:cs="Calibri"/>
          <w:lang w:eastAsia="en-AU"/>
        </w:rPr>
        <w:t>, based on the following:</w:t>
      </w:r>
    </w:p>
    <w:p w14:paraId="59810BE7" w14:textId="6A321974" w:rsidR="00DF61BC" w:rsidRPr="00C94C33" w:rsidRDefault="00DF61BC" w:rsidP="00A1578F">
      <w:pPr>
        <w:pStyle w:val="ListBullet"/>
      </w:pPr>
      <w:r w:rsidRPr="00C94C33">
        <w:t xml:space="preserve">The inhibitory effect of TPI in the GIT is expected to be maximised due to high concentrations of TPI. The sponsor states that TPI is a high solubility compound with low permeability </w:t>
      </w:r>
      <w:r w:rsidR="00A0007E" w:rsidRPr="00C94C33">
        <w:t>(</w:t>
      </w:r>
      <w:r w:rsidR="00015D8E" w:rsidRPr="00C94C33">
        <w:t xml:space="preserve">Study </w:t>
      </w:r>
      <w:r w:rsidRPr="00C94C33">
        <w:t>P041295</w:t>
      </w:r>
      <w:r w:rsidR="00A0007E" w:rsidRPr="00C94C33">
        <w:t>)</w:t>
      </w:r>
      <w:r w:rsidRPr="00C94C33">
        <w:t xml:space="preserve">. The absorption of TPI is relatively poor and is estimated to be 29% as measured from the urinary excretion of TPI </w:t>
      </w:r>
      <w:r w:rsidR="00A0007E" w:rsidRPr="00C94C33">
        <w:t>(</w:t>
      </w:r>
      <w:r w:rsidR="00015D8E" w:rsidRPr="00C94C33">
        <w:t xml:space="preserve">Study </w:t>
      </w:r>
      <w:r w:rsidRPr="00C94C33">
        <w:t>TPU-TAS-102-104</w:t>
      </w:r>
      <w:r w:rsidR="00A0007E" w:rsidRPr="00C94C33">
        <w:t>)</w:t>
      </w:r>
      <w:r w:rsidRPr="00C94C33">
        <w:t>. Therefore, the GIT is exposed to a high concentration of unabsorbed TPI, which is likely to be much higher than the Ki value of TPI (1.7 x 10</w:t>
      </w:r>
      <w:r w:rsidRPr="00C94C33">
        <w:rPr>
          <w:vertAlign w:val="superscript"/>
        </w:rPr>
        <w:t xml:space="preserve">-8 </w:t>
      </w:r>
      <w:r w:rsidRPr="00C94C33">
        <w:t xml:space="preserve">M </w:t>
      </w:r>
      <w:r w:rsidR="00A0007E" w:rsidRPr="00C94C33">
        <w:t>(</w:t>
      </w:r>
      <w:r w:rsidRPr="00C94C33">
        <w:t>5 ng/mL</w:t>
      </w:r>
      <w:r w:rsidR="00A0007E" w:rsidRPr="00C94C33">
        <w:t>)</w:t>
      </w:r>
      <w:r w:rsidRPr="00C94C33">
        <w:t>) reported in the literature.</w:t>
      </w:r>
      <w:r w:rsidRPr="00C94C33">
        <w:rPr>
          <w:vertAlign w:val="superscript"/>
        </w:rPr>
        <w:t>1</w:t>
      </w:r>
      <w:r w:rsidRPr="00C94C33">
        <w:t xml:space="preserve"> The typical Cmax for TPI was estimated to be 69 ng/mL, which is also much higher that the Ki value of TPI, suggesting maximised inhibi</w:t>
      </w:r>
      <w:r w:rsidR="00B206E2" w:rsidRPr="00C94C33">
        <w:t>tion of hepatic metabolism of F</w:t>
      </w:r>
      <w:r w:rsidRPr="00C94C33">
        <w:t>T</w:t>
      </w:r>
      <w:r w:rsidR="00B206E2" w:rsidRPr="00C94C33">
        <w:t>D</w:t>
      </w:r>
      <w:r w:rsidRPr="00C94C33">
        <w:t xml:space="preserve"> by TPI at the recommended TAS-102 dose level of 35 mg/m</w:t>
      </w:r>
      <w:r w:rsidRPr="00C94C33">
        <w:rPr>
          <w:vertAlign w:val="superscript"/>
        </w:rPr>
        <w:t>2</w:t>
      </w:r>
      <w:r w:rsidRPr="00C94C33">
        <w:t xml:space="preserve"> BD.</w:t>
      </w:r>
    </w:p>
    <w:p w14:paraId="46B279C1" w14:textId="0180D45C" w:rsidR="00DF61BC" w:rsidRPr="00C94C33" w:rsidRDefault="00DF61BC" w:rsidP="00A1578F">
      <w:pPr>
        <w:pStyle w:val="ListBullet"/>
      </w:pPr>
      <w:r w:rsidRPr="00C94C33">
        <w:t>No clear dose response in endogenous thymidine levels were observed at TAS-102 doses over 30 mg/m</w:t>
      </w:r>
      <w:r w:rsidRPr="00C94C33">
        <w:rPr>
          <w:vertAlign w:val="superscript"/>
        </w:rPr>
        <w:t>2</w:t>
      </w:r>
      <w:r w:rsidRPr="00C94C33">
        <w:t xml:space="preserve">. The sponsor states that endogenous thymidine level in plasma is a surrogate </w:t>
      </w:r>
      <w:r w:rsidRPr="00C94C33">
        <w:lastRenderedPageBreak/>
        <w:t xml:space="preserve">biomarker which reflects the inhibitory effect of TPI on the hepatic metabolism of FTD. The plasma concentration of thymidine was measured in the Japanese </w:t>
      </w:r>
      <w:r w:rsidR="00015D8E" w:rsidRPr="00C94C33">
        <w:t>S</w:t>
      </w:r>
      <w:r w:rsidRPr="00C94C33">
        <w:t>tudy J001-10040010. Inspection of the data indicates no apparent dose response relationship for plasma concentrations of thymidine on Day 1 and Day 12 over the TAS-102 dose range of 30 to 70</w:t>
      </w:r>
      <w:r w:rsidR="00015D8E" w:rsidRPr="00C94C33">
        <w:t> </w:t>
      </w:r>
      <w:r w:rsidRPr="00C94C33">
        <w:t>mg/m</w:t>
      </w:r>
      <w:r w:rsidRPr="00C94C33">
        <w:rPr>
          <w:vertAlign w:val="superscript"/>
        </w:rPr>
        <w:t>2</w:t>
      </w:r>
      <w:r w:rsidRPr="00C94C33">
        <w:t xml:space="preserve"> per day, and the Cmax and AUC0-last values appear to plateau at a dose level of 30</w:t>
      </w:r>
      <w:r w:rsidR="00015D8E" w:rsidRPr="00C94C33">
        <w:t> </w:t>
      </w:r>
      <w:r w:rsidRPr="00C94C33">
        <w:t>mg/mg</w:t>
      </w:r>
      <w:r w:rsidRPr="00C94C33">
        <w:rPr>
          <w:vertAlign w:val="superscript"/>
        </w:rPr>
        <w:t>2</w:t>
      </w:r>
      <w:r w:rsidRPr="00C94C33">
        <w:t xml:space="preserve"> BD. Therefore, the inhibitory effect of TPI on hepatic metabolism is expected to be maximised at dose levels of 30 mg/m</w:t>
      </w:r>
      <w:r w:rsidRPr="00C94C33">
        <w:rPr>
          <w:vertAlign w:val="superscript"/>
        </w:rPr>
        <w:t>2</w:t>
      </w:r>
      <w:r w:rsidRPr="00C94C33">
        <w:t xml:space="preserve"> BD or higher.</w:t>
      </w:r>
    </w:p>
    <w:p w14:paraId="47F5BCFA" w14:textId="1B3D8DB1" w:rsidR="00DF61BC" w:rsidRPr="00C94C33" w:rsidRDefault="00DF61BC" w:rsidP="00A1578F">
      <w:pPr>
        <w:pStyle w:val="ListBullet"/>
      </w:pPr>
      <w:r w:rsidRPr="00C94C33">
        <w:t>Exposure to FTD is generally dose-proportional at the practical dose range (20 to 35 mg/m</w:t>
      </w:r>
      <w:r w:rsidRPr="00C94C33">
        <w:rPr>
          <w:vertAlign w:val="superscript"/>
        </w:rPr>
        <w:t>2</w:t>
      </w:r>
      <w:r w:rsidRPr="00C94C33">
        <w:t>), and there is no irreversible inhibition of TPase by TPI, suggesting that the inhibitory effect of TPI is re</w:t>
      </w:r>
      <w:r w:rsidR="00BC4B05">
        <w:t>aching a plateau at these dose.</w:t>
      </w:r>
    </w:p>
    <w:p w14:paraId="395F90D2" w14:textId="3F614499" w:rsidR="00DF61BC" w:rsidRPr="00C94C33" w:rsidRDefault="00DF61BC" w:rsidP="00955252">
      <w:pPr>
        <w:pStyle w:val="Heading3"/>
      </w:pPr>
      <w:bookmarkStart w:id="90" w:name="_Toc470948475"/>
      <w:bookmarkStart w:id="91" w:name="_Toc510016871"/>
      <w:r w:rsidRPr="00C94C33">
        <w:t>Distribution</w:t>
      </w:r>
      <w:bookmarkEnd w:id="90"/>
      <w:bookmarkEnd w:id="91"/>
    </w:p>
    <w:p w14:paraId="2243A581" w14:textId="77777777" w:rsidR="00DF61BC" w:rsidRPr="00C94C33" w:rsidRDefault="00DF61BC" w:rsidP="00955252">
      <w:pPr>
        <w:pStyle w:val="Heading4"/>
      </w:pPr>
      <w:r w:rsidRPr="00C94C33">
        <w:t>Volume of distribution</w:t>
      </w:r>
    </w:p>
    <w:p w14:paraId="5D217075" w14:textId="77777777" w:rsidR="00AA7141" w:rsidRDefault="00DF61BC" w:rsidP="00A1578F">
      <w:pPr>
        <w:autoSpaceDE w:val="0"/>
        <w:autoSpaceDN w:val="0"/>
        <w:adjustRightInd w:val="0"/>
        <w:spacing w:before="0" w:line="240" w:lineRule="auto"/>
        <w:rPr>
          <w:rFonts w:eastAsia="Times New Roman" w:cs="TimesNewRomanPSMT"/>
          <w:lang w:eastAsia="en-AU"/>
        </w:rPr>
      </w:pPr>
      <w:r w:rsidRPr="00C94C33">
        <w:rPr>
          <w:rFonts w:eastAsia="Times New Roman" w:cs="TimesNewRomanPSMT"/>
          <w:lang w:eastAsia="en-AU"/>
        </w:rPr>
        <w:t>The apparent volume of distribution (Vd/F) was 21 L (CV=46%) for trifluridine (FTD) and 333 L (CV</w:t>
      </w:r>
      <w:r w:rsidR="00015D8E" w:rsidRPr="00C94C33">
        <w:rPr>
          <w:rFonts w:eastAsia="Times New Roman" w:cs="TimesNewRomanPSMT"/>
          <w:lang w:eastAsia="en-AU"/>
        </w:rPr>
        <w:t xml:space="preserve"> </w:t>
      </w:r>
      <w:r w:rsidRPr="00C94C33">
        <w:rPr>
          <w:rFonts w:eastAsia="Times New Roman" w:cs="TimesNewRomanPSMT"/>
          <w:lang w:eastAsia="en-AU"/>
        </w:rPr>
        <w:t>=</w:t>
      </w:r>
      <w:r w:rsidR="00015D8E" w:rsidRPr="00C94C33">
        <w:rPr>
          <w:rFonts w:eastAsia="Times New Roman" w:cs="TimesNewRomanPSMT"/>
          <w:lang w:eastAsia="en-AU"/>
        </w:rPr>
        <w:t xml:space="preserve"> </w:t>
      </w:r>
      <w:r w:rsidRPr="00C94C33">
        <w:rPr>
          <w:rFonts w:eastAsia="Times New Roman" w:cs="TimesNewRomanPSMT"/>
          <w:lang w:eastAsia="en-AU"/>
        </w:rPr>
        <w:t>53%) for tipiracil (TPI) after a single 35 mg/m</w:t>
      </w:r>
      <w:r w:rsidRPr="00C94C33">
        <w:rPr>
          <w:rFonts w:eastAsia="Times New Roman" w:cs="TimesNewRomanPSMT"/>
          <w:vertAlign w:val="superscript"/>
          <w:lang w:eastAsia="en-AU"/>
        </w:rPr>
        <w:t>2</w:t>
      </w:r>
      <w:r w:rsidRPr="00C94C33">
        <w:rPr>
          <w:rFonts w:eastAsia="Times New Roman" w:cs="TimesNewRomanPSMT"/>
          <w:lang w:eastAsia="en-AU"/>
        </w:rPr>
        <w:t xml:space="preserve"> dose of TAS-102 administered under fed conditions </w:t>
      </w:r>
      <w:r w:rsidR="00A0007E" w:rsidRPr="00C94C33">
        <w:rPr>
          <w:rFonts w:eastAsia="Times New Roman" w:cs="TimesNewRomanPSMT"/>
          <w:lang w:eastAsia="en-AU"/>
        </w:rPr>
        <w:t>(</w:t>
      </w:r>
      <w:r w:rsidRPr="00C94C33">
        <w:rPr>
          <w:rFonts w:eastAsia="Times New Roman" w:cs="TimesNewRomanPSMT"/>
          <w:lang w:eastAsia="en-AU"/>
        </w:rPr>
        <w:t>Study TPU-TAS-102-102</w:t>
      </w:r>
      <w:r w:rsidR="00A0007E" w:rsidRPr="00C94C33">
        <w:rPr>
          <w:rFonts w:eastAsia="Times New Roman" w:cs="TimesNewRomanPSMT"/>
          <w:lang w:eastAsia="en-AU"/>
        </w:rPr>
        <w:t>)</w:t>
      </w:r>
      <w:r w:rsidRPr="00C94C33">
        <w:rPr>
          <w:rFonts w:eastAsia="Times New Roman" w:cs="TimesNewRomanPSMT"/>
          <w:lang w:eastAsia="en-AU"/>
        </w:rPr>
        <w:t xml:space="preserve">. The mean Vd/F estimated from the PPK analysis was 10 L for FTD (CV=25%) and 192 L for TPI (CV=63%) </w:t>
      </w:r>
      <w:r w:rsidR="00A0007E" w:rsidRPr="00C94C33">
        <w:rPr>
          <w:rFonts w:eastAsia="Times New Roman" w:cs="TimesNewRomanPSMT"/>
          <w:lang w:eastAsia="en-AU"/>
        </w:rPr>
        <w:t>(</w:t>
      </w:r>
      <w:r w:rsidRPr="00C94C33">
        <w:rPr>
          <w:rFonts w:eastAsia="Times New Roman" w:cs="TimesNewRomanPSMT"/>
          <w:lang w:eastAsia="en-AU"/>
        </w:rPr>
        <w:t>Study 12DA25</w:t>
      </w:r>
      <w:r w:rsidR="00A0007E" w:rsidRPr="00C94C33">
        <w:rPr>
          <w:rFonts w:eastAsia="Times New Roman" w:cs="TimesNewRomanPSMT"/>
          <w:lang w:eastAsia="en-AU"/>
        </w:rPr>
        <w:t>)</w:t>
      </w:r>
      <w:r w:rsidRPr="00C94C33">
        <w:rPr>
          <w:rFonts w:eastAsia="Times New Roman" w:cs="TimesNewRomanPSMT"/>
          <w:lang w:eastAsia="en-AU"/>
        </w:rPr>
        <w:t>. In the PPK model, body surface area (BSA) was identified as a significant covariate for the Vd/F of both FTD and TPI. No other tested covariates in the PPK model had a clinically meaningful effect on the Vd/F of FTD or TPI.</w:t>
      </w:r>
    </w:p>
    <w:p w14:paraId="29A0D2DE" w14:textId="08FC965F" w:rsidR="00DF61BC" w:rsidRPr="00C94C33" w:rsidRDefault="00DF61BC" w:rsidP="00955252">
      <w:pPr>
        <w:pStyle w:val="Heading5"/>
        <w:rPr>
          <w:lang w:eastAsia="en-AU"/>
        </w:rPr>
      </w:pPr>
      <w:r w:rsidRPr="00C94C33">
        <w:rPr>
          <w:lang w:eastAsia="en-AU"/>
        </w:rPr>
        <w:t>Plasma protein binding</w:t>
      </w:r>
    </w:p>
    <w:p w14:paraId="19C6475F" w14:textId="07993C80" w:rsidR="00DF61BC" w:rsidRPr="00C94C33" w:rsidRDefault="00DF61BC" w:rsidP="00A1578F">
      <w:pPr>
        <w:rPr>
          <w:lang w:eastAsia="en-AU"/>
        </w:rPr>
      </w:pPr>
      <w:r w:rsidRPr="00C94C33">
        <w:rPr>
          <w:lang w:eastAsia="en-AU"/>
        </w:rPr>
        <w:t xml:space="preserve">Trifluridine (FTD) mainly binds to human serum albumin. The </w:t>
      </w:r>
      <w:r w:rsidRPr="00C94C33">
        <w:rPr>
          <w:rFonts w:cs="TimesNewRomanPS-ItalicMT"/>
          <w:i/>
          <w:iCs/>
          <w:lang w:eastAsia="en-AU"/>
        </w:rPr>
        <w:t>in-vitro</w:t>
      </w:r>
      <w:r w:rsidRPr="00C94C33">
        <w:rPr>
          <w:rFonts w:cs="TimesNewRomanPS-ItalicMT"/>
          <w:iCs/>
          <w:lang w:eastAsia="en-AU"/>
        </w:rPr>
        <w:t xml:space="preserve"> </w:t>
      </w:r>
      <w:r w:rsidRPr="00C94C33">
        <w:rPr>
          <w:lang w:eastAsia="en-AU"/>
        </w:rPr>
        <w:t xml:space="preserve">protein binding of FTD in human plasma is greater than 96%, and is independent of drug concentration over the range 0.5 to 50 </w:t>
      </w:r>
      <w:r w:rsidR="009265E3" w:rsidRPr="00C94C33">
        <w:rPr>
          <w:lang w:eastAsia="en-AU"/>
        </w:rPr>
        <w:t>µg</w:t>
      </w:r>
      <w:r w:rsidRPr="00C94C33">
        <w:rPr>
          <w:lang w:eastAsia="en-AU"/>
        </w:rPr>
        <w:t xml:space="preserve">/mL and in the presence of tipiracil (TPI) </w:t>
      </w:r>
      <w:r w:rsidR="00A0007E" w:rsidRPr="00C94C33">
        <w:rPr>
          <w:lang w:eastAsia="en-AU"/>
        </w:rPr>
        <w:t>(</w:t>
      </w:r>
      <w:r w:rsidRPr="00C94C33">
        <w:rPr>
          <w:lang w:eastAsia="en-AU"/>
        </w:rPr>
        <w:t>Study AE-2350-3G</w:t>
      </w:r>
      <w:r w:rsidR="00A0007E" w:rsidRPr="00C94C33">
        <w:rPr>
          <w:lang w:eastAsia="en-AU"/>
        </w:rPr>
        <w:t>)</w:t>
      </w:r>
      <w:r w:rsidRPr="00C94C33">
        <w:rPr>
          <w:lang w:eastAsia="en-AU"/>
        </w:rPr>
        <w:t>. In the absence of TPI, the percentages of FTD bound in human plasma after incubation with concentrations of 0.5, 5 or 50</w:t>
      </w:r>
      <w:r w:rsidR="009265E3" w:rsidRPr="00C94C33">
        <w:rPr>
          <w:lang w:eastAsia="en-AU"/>
        </w:rPr>
        <w:t> µ</w:t>
      </w:r>
      <w:r w:rsidRPr="00C94C33">
        <w:rPr>
          <w:lang w:eastAsia="en-AU"/>
        </w:rPr>
        <w:t>g/mL of FTD were 96.9%, 97.3%, and 96.7%, respectively, and in the presence of TPI (5</w:t>
      </w:r>
      <w:r w:rsidR="00394543" w:rsidRPr="00C94C33">
        <w:rPr>
          <w:lang w:eastAsia="en-AU"/>
        </w:rPr>
        <w:t> </w:t>
      </w:r>
      <w:r w:rsidR="009265E3" w:rsidRPr="00C94C33">
        <w:rPr>
          <w:lang w:eastAsia="en-AU"/>
        </w:rPr>
        <w:t>µ</w:t>
      </w:r>
      <w:r w:rsidRPr="00C94C33">
        <w:rPr>
          <w:lang w:eastAsia="en-AU"/>
        </w:rPr>
        <w:t xml:space="preserve">g/mL) the corresponding percentages of bound FTD  were 97.0%, 97.0%, and 96.4%, respectively. Plasma protein binding of TPI (0.05, 0.5 and 5 </w:t>
      </w:r>
      <w:r w:rsidR="009265E3" w:rsidRPr="00C94C33">
        <w:rPr>
          <w:lang w:eastAsia="en-AU"/>
        </w:rPr>
        <w:t>µ</w:t>
      </w:r>
      <w:r w:rsidRPr="00C94C33">
        <w:rPr>
          <w:lang w:eastAsia="en-AU"/>
        </w:rPr>
        <w:t xml:space="preserve">g/mL) did not exceed 8% in the presence or absence of FTD (50 </w:t>
      </w:r>
      <w:r w:rsidR="009265E3" w:rsidRPr="00C94C33">
        <w:rPr>
          <w:lang w:eastAsia="en-AU"/>
        </w:rPr>
        <w:t>µ</w:t>
      </w:r>
      <w:r w:rsidRPr="00C94C33">
        <w:rPr>
          <w:lang w:eastAsia="en-AU"/>
        </w:rPr>
        <w:t xml:space="preserve">g/mL) </w:t>
      </w:r>
      <w:r w:rsidR="00A0007E" w:rsidRPr="00C94C33">
        <w:rPr>
          <w:lang w:eastAsia="en-AU"/>
        </w:rPr>
        <w:t>(</w:t>
      </w:r>
      <w:r w:rsidRPr="00C94C33">
        <w:rPr>
          <w:lang w:eastAsia="en-AU"/>
        </w:rPr>
        <w:t>Study AE-2350-2G</w:t>
      </w:r>
      <w:r w:rsidR="00A0007E" w:rsidRPr="00C94C33">
        <w:rPr>
          <w:lang w:eastAsia="en-AU"/>
        </w:rPr>
        <w:t>)</w:t>
      </w:r>
      <w:r w:rsidRPr="00C94C33">
        <w:rPr>
          <w:lang w:eastAsia="en-AU"/>
        </w:rPr>
        <w:t>.</w:t>
      </w:r>
    </w:p>
    <w:p w14:paraId="66ACCE3E" w14:textId="6BC73548" w:rsidR="00DF61BC" w:rsidRPr="00C94C33" w:rsidRDefault="00DF61BC" w:rsidP="00A1578F">
      <w:pPr>
        <w:rPr>
          <w:lang w:eastAsia="en-AU"/>
        </w:rPr>
      </w:pPr>
      <w:r w:rsidRPr="00C94C33">
        <w:rPr>
          <w:lang w:eastAsia="en-AU"/>
        </w:rPr>
        <w:t>In additi</w:t>
      </w:r>
      <w:r w:rsidR="00FB45D2" w:rsidRPr="00C94C33">
        <w:rPr>
          <w:lang w:eastAsia="en-AU"/>
        </w:rPr>
        <w:t>onal data provided</w:t>
      </w:r>
      <w:r w:rsidRPr="00C94C33">
        <w:rPr>
          <w:lang w:eastAsia="en-AU"/>
        </w:rPr>
        <w:t xml:space="preserve">, the sponsor stated that the plasma protein binding ratios of </w:t>
      </w:r>
      <w:r w:rsidRPr="00C94C33">
        <w:rPr>
          <w:vertAlign w:val="superscript"/>
          <w:lang w:eastAsia="en-AU"/>
        </w:rPr>
        <w:t>14</w:t>
      </w:r>
      <w:r w:rsidRPr="00C94C33">
        <w:rPr>
          <w:lang w:eastAsia="en-AU"/>
        </w:rPr>
        <w:t xml:space="preserve">C-FTD and </w:t>
      </w:r>
      <w:r w:rsidRPr="00C94C33">
        <w:rPr>
          <w:vertAlign w:val="superscript"/>
          <w:lang w:eastAsia="en-AU"/>
        </w:rPr>
        <w:t>14</w:t>
      </w:r>
      <w:r w:rsidRPr="00C94C33">
        <w:rPr>
          <w:lang w:eastAsia="en-AU"/>
        </w:rPr>
        <w:t>C-FTY were 94.5</w:t>
      </w:r>
      <w:r w:rsidR="009265E3" w:rsidRPr="00C94C33">
        <w:rPr>
          <w:lang w:eastAsia="en-AU"/>
        </w:rPr>
        <w:t xml:space="preserve"> </w:t>
      </w:r>
      <w:r w:rsidRPr="00C94C33">
        <w:rPr>
          <w:lang w:eastAsia="en-AU"/>
        </w:rPr>
        <w:t>±</w:t>
      </w:r>
      <w:r w:rsidR="009265E3" w:rsidRPr="00C94C33">
        <w:rPr>
          <w:lang w:eastAsia="en-AU"/>
        </w:rPr>
        <w:t xml:space="preserve"> </w:t>
      </w:r>
      <w:r w:rsidRPr="00C94C33">
        <w:rPr>
          <w:lang w:eastAsia="en-AU"/>
        </w:rPr>
        <w:t>0.8% and 77.4</w:t>
      </w:r>
      <w:r w:rsidR="009265E3" w:rsidRPr="00C94C33">
        <w:rPr>
          <w:lang w:eastAsia="en-AU"/>
        </w:rPr>
        <w:t xml:space="preserve"> </w:t>
      </w:r>
      <w:r w:rsidRPr="00C94C33">
        <w:rPr>
          <w:lang w:eastAsia="en-AU"/>
        </w:rPr>
        <w:t>±</w:t>
      </w:r>
      <w:r w:rsidR="009265E3" w:rsidRPr="00C94C33">
        <w:rPr>
          <w:lang w:eastAsia="en-AU"/>
        </w:rPr>
        <w:t xml:space="preserve"> </w:t>
      </w:r>
      <w:r w:rsidRPr="00C94C33">
        <w:rPr>
          <w:lang w:eastAsia="en-AU"/>
        </w:rPr>
        <w:t xml:space="preserve">0.9% (mean ± SD of 3 samples) under the same conditions </w:t>
      </w:r>
      <w:r w:rsidR="00A0007E" w:rsidRPr="00C94C33">
        <w:rPr>
          <w:lang w:eastAsia="en-AU"/>
        </w:rPr>
        <w:t>(</w:t>
      </w:r>
      <w:r w:rsidRPr="00C94C33">
        <w:rPr>
          <w:lang w:eastAsia="en-AU"/>
        </w:rPr>
        <w:t>study 15DB01</w:t>
      </w:r>
      <w:r w:rsidR="00A0007E" w:rsidRPr="00C94C33">
        <w:rPr>
          <w:lang w:eastAsia="en-AU"/>
        </w:rPr>
        <w:t>)</w:t>
      </w:r>
      <w:r w:rsidRPr="00C94C33">
        <w:rPr>
          <w:lang w:eastAsia="en-AU"/>
        </w:rPr>
        <w:t xml:space="preserve">. Given that the sample for the incubation of </w:t>
      </w:r>
      <w:r w:rsidRPr="00C94C33">
        <w:rPr>
          <w:vertAlign w:val="superscript"/>
          <w:lang w:eastAsia="en-AU"/>
        </w:rPr>
        <w:t>14</w:t>
      </w:r>
      <w:r w:rsidRPr="00C94C33">
        <w:rPr>
          <w:lang w:eastAsia="en-AU"/>
        </w:rPr>
        <w:t xml:space="preserve">C-FTY contained 7.26% of </w:t>
      </w:r>
      <w:r w:rsidRPr="00C94C33">
        <w:rPr>
          <w:vertAlign w:val="superscript"/>
          <w:lang w:eastAsia="en-AU"/>
        </w:rPr>
        <w:t>14</w:t>
      </w:r>
      <w:r w:rsidRPr="00C94C33">
        <w:rPr>
          <w:lang w:eastAsia="en-AU"/>
        </w:rPr>
        <w:t xml:space="preserve">C-FTD, the plasma protein binding ratio of </w:t>
      </w:r>
      <w:r w:rsidRPr="00C94C33">
        <w:rPr>
          <w:vertAlign w:val="superscript"/>
          <w:lang w:eastAsia="en-AU"/>
        </w:rPr>
        <w:t>14</w:t>
      </w:r>
      <w:r w:rsidRPr="00C94C33">
        <w:rPr>
          <w:lang w:eastAsia="en-AU"/>
        </w:rPr>
        <w:t>C-FTY would be approximately 70%. The sponsor concluded that both FTD and FTY irreversibly bind to human plasma proteins, including HSA and γ</w:t>
      </w:r>
      <w:r w:rsidR="00394543" w:rsidRPr="00C94C33">
        <w:rPr>
          <w:lang w:eastAsia="en-AU"/>
        </w:rPr>
        <w:noBreakHyphen/>
      </w:r>
      <w:r w:rsidRPr="00C94C33">
        <w:rPr>
          <w:lang w:eastAsia="en-AU"/>
        </w:rPr>
        <w:t xml:space="preserve">globulins. In addition, data relating to </w:t>
      </w:r>
      <w:r w:rsidRPr="005C2FCA">
        <w:rPr>
          <w:lang w:eastAsia="en-AU"/>
        </w:rPr>
        <w:t>in vitro</w:t>
      </w:r>
      <w:r w:rsidRPr="007709B8">
        <w:rPr>
          <w:lang w:eastAsia="en-AU"/>
        </w:rPr>
        <w:t xml:space="preserve"> induction and inhibition of CYP indicate that the </w:t>
      </w:r>
      <w:r w:rsidRPr="00C94C33">
        <w:rPr>
          <w:lang w:eastAsia="en-AU"/>
        </w:rPr>
        <w:t xml:space="preserve">unbound concentration of FTY is unlikely to results in inhibition or induction of CYP enzymes in the clinical setting </w:t>
      </w:r>
      <w:r w:rsidR="00A0007E" w:rsidRPr="00C94C33">
        <w:rPr>
          <w:lang w:eastAsia="en-AU"/>
        </w:rPr>
        <w:t>(</w:t>
      </w:r>
      <w:r w:rsidR="00394543" w:rsidRPr="00C94C33">
        <w:rPr>
          <w:lang w:eastAsia="en-AU"/>
        </w:rPr>
        <w:t xml:space="preserve">Studies </w:t>
      </w:r>
      <w:r w:rsidRPr="00C94C33">
        <w:rPr>
          <w:lang w:eastAsia="en-AU"/>
        </w:rPr>
        <w:t>XT133055; XT133075</w:t>
      </w:r>
      <w:r w:rsidR="00A0007E" w:rsidRPr="00C94C33">
        <w:rPr>
          <w:lang w:eastAsia="en-AU"/>
        </w:rPr>
        <w:t>)</w:t>
      </w:r>
      <w:r w:rsidRPr="00C94C33">
        <w:rPr>
          <w:lang w:eastAsia="en-AU"/>
        </w:rPr>
        <w:t>. The 50-fold value for the mean unbound Cmax (63.7</w:t>
      </w:r>
      <w:r w:rsidR="00394543" w:rsidRPr="00C94C33">
        <w:rPr>
          <w:lang w:eastAsia="en-AU"/>
        </w:rPr>
        <w:t> </w:t>
      </w:r>
      <w:r w:rsidRPr="00C94C33">
        <w:rPr>
          <w:lang w:eastAsia="en-AU"/>
        </w:rPr>
        <w:t xml:space="preserve">µmol/L) for FTY is lower than the maximum FTY concentration (100 µmol/L) used in the CYP inhibition study, and is similar to the maximum FTY concentration (55.5 mmol/L) used </w:t>
      </w:r>
      <w:r w:rsidR="00A1578F" w:rsidRPr="00C94C33">
        <w:rPr>
          <w:lang w:eastAsia="en-AU"/>
        </w:rPr>
        <w:t>in the CYP induction study.</w:t>
      </w:r>
    </w:p>
    <w:p w14:paraId="0E710C59" w14:textId="545404EA" w:rsidR="00DF61BC" w:rsidRPr="00C94C33" w:rsidRDefault="00DF61BC" w:rsidP="009265E3">
      <w:pPr>
        <w:pStyle w:val="Tabletitle"/>
      </w:pPr>
      <w:bookmarkStart w:id="92" w:name="_Toc470948660"/>
      <w:r w:rsidRPr="00C94C33">
        <w:t xml:space="preserve">Table </w:t>
      </w:r>
      <w:r w:rsidR="00A1578F" w:rsidRPr="00C94C33">
        <w:t xml:space="preserve">11: </w:t>
      </w:r>
      <w:r w:rsidRPr="00C94C33">
        <w:t>PK characteristics of FTY including protein binding and maximum FTY concentrations in the in vitro CYP inhibition and induction studies</w:t>
      </w:r>
      <w:bookmarkEnd w:id="92"/>
    </w:p>
    <w:tbl>
      <w:tblPr>
        <w:tblStyle w:val="TableGrid7"/>
        <w:tblW w:w="9784" w:type="dxa"/>
        <w:tblLook w:val="04A0" w:firstRow="1" w:lastRow="0" w:firstColumn="1" w:lastColumn="0" w:noHBand="0" w:noVBand="1"/>
        <w:tblDescription w:val="Table 11: PK characteristics of FTY including protein binding and maximum FTY concentrations in the in vitro CYP inhibition and induction studies"/>
      </w:tblPr>
      <w:tblGrid>
        <w:gridCol w:w="1909"/>
        <w:gridCol w:w="1909"/>
        <w:gridCol w:w="1910"/>
        <w:gridCol w:w="1910"/>
        <w:gridCol w:w="2146"/>
      </w:tblGrid>
      <w:tr w:rsidR="00DF61BC" w:rsidRPr="00C94C33" w14:paraId="720C3065" w14:textId="77777777" w:rsidTr="007B0D96">
        <w:trPr>
          <w:tblHeader/>
        </w:trPr>
        <w:tc>
          <w:tcPr>
            <w:tcW w:w="1909" w:type="dxa"/>
            <w:shd w:val="clear" w:color="auto" w:fill="auto"/>
          </w:tcPr>
          <w:p w14:paraId="21F3746C" w14:textId="77777777" w:rsidR="00DF61BC" w:rsidRPr="00C94C33" w:rsidRDefault="00DF61BC" w:rsidP="005C2FCA">
            <w:pPr>
              <w:keepNext/>
              <w:autoSpaceDE w:val="0"/>
              <w:autoSpaceDN w:val="0"/>
              <w:adjustRightInd w:val="0"/>
              <w:spacing w:before="0" w:line="240" w:lineRule="auto"/>
              <w:rPr>
                <w:rFonts w:asciiTheme="minorHAnsi" w:eastAsia="Times New Roman" w:hAnsiTheme="minorHAnsi" w:cs="Calibri"/>
                <w:b/>
                <w:sz w:val="18"/>
                <w:szCs w:val="18"/>
              </w:rPr>
            </w:pPr>
            <w:r w:rsidRPr="00C94C33">
              <w:rPr>
                <w:rFonts w:asciiTheme="minorHAnsi" w:eastAsia="Times New Roman" w:hAnsiTheme="minorHAnsi" w:cs="Calibri"/>
                <w:b/>
                <w:sz w:val="18"/>
                <w:szCs w:val="18"/>
              </w:rPr>
              <w:t xml:space="preserve">Mean Cmax of FTY on Day 1 </w:t>
            </w:r>
          </w:p>
        </w:tc>
        <w:tc>
          <w:tcPr>
            <w:tcW w:w="1909" w:type="dxa"/>
            <w:shd w:val="clear" w:color="auto" w:fill="auto"/>
          </w:tcPr>
          <w:p w14:paraId="13C60EA8" w14:textId="5233B162" w:rsidR="00DF61BC" w:rsidRPr="00C94C33" w:rsidRDefault="00DF61BC" w:rsidP="005C2FCA">
            <w:pPr>
              <w:keepNext/>
              <w:autoSpaceDE w:val="0"/>
              <w:autoSpaceDN w:val="0"/>
              <w:adjustRightInd w:val="0"/>
              <w:spacing w:before="0" w:line="240" w:lineRule="auto"/>
              <w:rPr>
                <w:rFonts w:asciiTheme="minorHAnsi" w:eastAsia="Times New Roman" w:hAnsiTheme="minorHAnsi" w:cs="Calibri"/>
                <w:b/>
                <w:sz w:val="18"/>
                <w:szCs w:val="18"/>
              </w:rPr>
            </w:pPr>
            <w:r w:rsidRPr="00C94C33">
              <w:rPr>
                <w:rFonts w:asciiTheme="minorHAnsi" w:eastAsia="Times New Roman" w:hAnsiTheme="minorHAnsi" w:cs="Calibri"/>
                <w:b/>
                <w:sz w:val="18"/>
                <w:szCs w:val="18"/>
              </w:rPr>
              <w:t xml:space="preserve">Protein binding ratio of FTY in human plasma </w:t>
            </w:r>
            <w:r w:rsidR="00A0007E" w:rsidRPr="00C94C33">
              <w:rPr>
                <w:rFonts w:asciiTheme="minorHAnsi" w:eastAsia="Times New Roman" w:hAnsiTheme="minorHAnsi" w:cs="Calibri"/>
                <w:b/>
                <w:sz w:val="18"/>
                <w:szCs w:val="18"/>
              </w:rPr>
              <w:t>(</w:t>
            </w:r>
            <w:r w:rsidRPr="00C94C33">
              <w:rPr>
                <w:rFonts w:asciiTheme="minorHAnsi" w:eastAsia="Times New Roman" w:hAnsiTheme="minorHAnsi" w:cs="Calibri"/>
                <w:b/>
                <w:sz w:val="18"/>
                <w:szCs w:val="18"/>
              </w:rPr>
              <w:t>15DB01</w:t>
            </w:r>
            <w:r w:rsidR="00A0007E" w:rsidRPr="00C94C33">
              <w:rPr>
                <w:rFonts w:asciiTheme="minorHAnsi" w:eastAsia="Times New Roman" w:hAnsiTheme="minorHAnsi" w:cs="Calibri"/>
                <w:b/>
                <w:sz w:val="18"/>
                <w:szCs w:val="18"/>
              </w:rPr>
              <w:t>)</w:t>
            </w:r>
          </w:p>
        </w:tc>
        <w:tc>
          <w:tcPr>
            <w:tcW w:w="1910" w:type="dxa"/>
            <w:shd w:val="clear" w:color="auto" w:fill="auto"/>
          </w:tcPr>
          <w:p w14:paraId="302CF815" w14:textId="77777777" w:rsidR="00DF61BC" w:rsidRPr="00C94C33" w:rsidRDefault="00DF61BC" w:rsidP="005C2FCA">
            <w:pPr>
              <w:keepNext/>
              <w:autoSpaceDE w:val="0"/>
              <w:autoSpaceDN w:val="0"/>
              <w:adjustRightInd w:val="0"/>
              <w:spacing w:before="0" w:line="240" w:lineRule="auto"/>
              <w:rPr>
                <w:rFonts w:asciiTheme="minorHAnsi" w:eastAsia="Times New Roman" w:hAnsiTheme="minorHAnsi" w:cs="Calibri"/>
                <w:b/>
                <w:sz w:val="18"/>
                <w:szCs w:val="18"/>
              </w:rPr>
            </w:pPr>
            <w:r w:rsidRPr="00C94C33">
              <w:rPr>
                <w:rFonts w:asciiTheme="minorHAnsi" w:eastAsia="Times New Roman" w:hAnsiTheme="minorHAnsi" w:cs="Calibri"/>
                <w:b/>
                <w:sz w:val="18"/>
                <w:szCs w:val="18"/>
              </w:rPr>
              <w:t>50-fold the mean unbound FTY Cmax</w:t>
            </w:r>
          </w:p>
        </w:tc>
        <w:tc>
          <w:tcPr>
            <w:tcW w:w="1910" w:type="dxa"/>
            <w:shd w:val="clear" w:color="auto" w:fill="auto"/>
          </w:tcPr>
          <w:p w14:paraId="4836082F" w14:textId="4C478F47" w:rsidR="00DF61BC" w:rsidRPr="00C94C33" w:rsidRDefault="00DF61BC" w:rsidP="005C2FCA">
            <w:pPr>
              <w:keepNext/>
              <w:autoSpaceDE w:val="0"/>
              <w:autoSpaceDN w:val="0"/>
              <w:adjustRightInd w:val="0"/>
              <w:spacing w:before="0" w:line="240" w:lineRule="auto"/>
              <w:rPr>
                <w:rFonts w:asciiTheme="minorHAnsi" w:eastAsia="Times New Roman" w:hAnsiTheme="minorHAnsi" w:cs="Calibri"/>
                <w:b/>
                <w:sz w:val="18"/>
                <w:szCs w:val="18"/>
              </w:rPr>
            </w:pPr>
            <w:r w:rsidRPr="00C94C33">
              <w:rPr>
                <w:rFonts w:asciiTheme="minorHAnsi" w:eastAsia="Times New Roman" w:hAnsiTheme="minorHAnsi" w:cs="Calibri"/>
                <w:b/>
                <w:sz w:val="18"/>
                <w:szCs w:val="18"/>
              </w:rPr>
              <w:t xml:space="preserve">Maximum FTY concentration in CYP inhibition study </w:t>
            </w:r>
            <w:r w:rsidR="00A0007E" w:rsidRPr="00C94C33">
              <w:rPr>
                <w:rFonts w:asciiTheme="minorHAnsi" w:eastAsia="Times New Roman" w:hAnsiTheme="minorHAnsi" w:cs="Calibri"/>
                <w:b/>
                <w:sz w:val="18"/>
                <w:szCs w:val="18"/>
              </w:rPr>
              <w:t>(</w:t>
            </w:r>
            <w:r w:rsidRPr="00C94C33">
              <w:rPr>
                <w:rFonts w:asciiTheme="minorHAnsi" w:eastAsia="Times New Roman" w:hAnsiTheme="minorHAnsi" w:cs="Calibri"/>
                <w:b/>
                <w:sz w:val="18"/>
                <w:szCs w:val="18"/>
              </w:rPr>
              <w:t>XT133055</w:t>
            </w:r>
            <w:r w:rsidR="00A0007E" w:rsidRPr="00C94C33">
              <w:rPr>
                <w:rFonts w:asciiTheme="minorHAnsi" w:eastAsia="Times New Roman" w:hAnsiTheme="minorHAnsi" w:cs="Calibri"/>
                <w:b/>
                <w:sz w:val="18"/>
                <w:szCs w:val="18"/>
              </w:rPr>
              <w:t>)</w:t>
            </w:r>
            <w:r w:rsidRPr="00C94C33">
              <w:rPr>
                <w:rFonts w:asciiTheme="minorHAnsi" w:eastAsia="Times New Roman" w:hAnsiTheme="minorHAnsi" w:cs="Calibri"/>
                <w:b/>
                <w:sz w:val="18"/>
                <w:szCs w:val="18"/>
              </w:rPr>
              <w:t xml:space="preserve"> </w:t>
            </w:r>
          </w:p>
        </w:tc>
        <w:tc>
          <w:tcPr>
            <w:tcW w:w="2146" w:type="dxa"/>
            <w:shd w:val="clear" w:color="auto" w:fill="auto"/>
          </w:tcPr>
          <w:p w14:paraId="5BE4C2A6" w14:textId="577C99DA" w:rsidR="00DF61BC" w:rsidRPr="00C94C33" w:rsidRDefault="00DF61BC" w:rsidP="005C2FCA">
            <w:pPr>
              <w:keepNext/>
              <w:autoSpaceDE w:val="0"/>
              <w:autoSpaceDN w:val="0"/>
              <w:adjustRightInd w:val="0"/>
              <w:spacing w:before="0" w:line="240" w:lineRule="auto"/>
              <w:rPr>
                <w:rFonts w:asciiTheme="minorHAnsi" w:eastAsia="Times New Roman" w:hAnsiTheme="minorHAnsi" w:cs="Calibri"/>
                <w:b/>
                <w:sz w:val="18"/>
                <w:szCs w:val="18"/>
              </w:rPr>
            </w:pPr>
            <w:r w:rsidRPr="00C94C33">
              <w:rPr>
                <w:rFonts w:asciiTheme="minorHAnsi" w:eastAsia="Times New Roman" w:hAnsiTheme="minorHAnsi" w:cs="Calibri"/>
                <w:b/>
                <w:sz w:val="18"/>
                <w:szCs w:val="18"/>
              </w:rPr>
              <w:t xml:space="preserve">Maximum FTY concentration in CYP induction study  </w:t>
            </w:r>
            <w:r w:rsidR="00A0007E" w:rsidRPr="00C94C33">
              <w:rPr>
                <w:rFonts w:asciiTheme="minorHAnsi" w:eastAsia="Times New Roman" w:hAnsiTheme="minorHAnsi" w:cs="Calibri"/>
                <w:b/>
                <w:sz w:val="18"/>
                <w:szCs w:val="18"/>
              </w:rPr>
              <w:t>(</w:t>
            </w:r>
            <w:r w:rsidRPr="00C94C33">
              <w:rPr>
                <w:rFonts w:asciiTheme="minorHAnsi" w:eastAsia="Times New Roman" w:hAnsiTheme="minorHAnsi" w:cs="Calibri"/>
                <w:b/>
                <w:sz w:val="18"/>
                <w:szCs w:val="18"/>
              </w:rPr>
              <w:t>XT133075</w:t>
            </w:r>
            <w:r w:rsidR="00A0007E" w:rsidRPr="00C94C33">
              <w:rPr>
                <w:rFonts w:asciiTheme="minorHAnsi" w:eastAsia="Times New Roman" w:hAnsiTheme="minorHAnsi" w:cs="Calibri"/>
                <w:b/>
                <w:sz w:val="18"/>
                <w:szCs w:val="18"/>
              </w:rPr>
              <w:t>)</w:t>
            </w:r>
          </w:p>
        </w:tc>
      </w:tr>
      <w:tr w:rsidR="00DF61BC" w:rsidRPr="00C94C33" w14:paraId="1F1A7BEB" w14:textId="77777777" w:rsidTr="0078778B">
        <w:tc>
          <w:tcPr>
            <w:tcW w:w="1909" w:type="dxa"/>
            <w:shd w:val="clear" w:color="auto" w:fill="auto"/>
          </w:tcPr>
          <w:p w14:paraId="58A98794" w14:textId="77777777" w:rsidR="00DF61BC" w:rsidRPr="00C94C33" w:rsidRDefault="00DF61BC" w:rsidP="00DF61BC">
            <w:pPr>
              <w:autoSpaceDE w:val="0"/>
              <w:autoSpaceDN w:val="0"/>
              <w:adjustRightInd w:val="0"/>
              <w:spacing w:before="0" w:line="240" w:lineRule="auto"/>
              <w:rPr>
                <w:rFonts w:asciiTheme="minorHAnsi" w:eastAsia="Times New Roman" w:hAnsiTheme="minorHAnsi" w:cs="Calibri"/>
                <w:sz w:val="18"/>
                <w:szCs w:val="18"/>
              </w:rPr>
            </w:pPr>
            <w:r w:rsidRPr="00C94C33">
              <w:rPr>
                <w:rFonts w:asciiTheme="minorHAnsi" w:eastAsia="Times New Roman" w:hAnsiTheme="minorHAnsi" w:cs="Calibri"/>
                <w:sz w:val="18"/>
                <w:szCs w:val="18"/>
              </w:rPr>
              <w:t>764.89 ng/mL</w:t>
            </w:r>
          </w:p>
        </w:tc>
        <w:tc>
          <w:tcPr>
            <w:tcW w:w="1909" w:type="dxa"/>
            <w:shd w:val="clear" w:color="auto" w:fill="auto"/>
          </w:tcPr>
          <w:p w14:paraId="7AC32063" w14:textId="77777777" w:rsidR="00DF61BC" w:rsidRPr="00C94C33" w:rsidRDefault="00DF61BC" w:rsidP="00DF61BC">
            <w:pPr>
              <w:autoSpaceDE w:val="0"/>
              <w:autoSpaceDN w:val="0"/>
              <w:adjustRightInd w:val="0"/>
              <w:spacing w:before="0" w:line="240" w:lineRule="auto"/>
              <w:rPr>
                <w:rFonts w:asciiTheme="minorHAnsi" w:eastAsia="Times New Roman" w:hAnsiTheme="minorHAnsi" w:cs="Calibri"/>
                <w:sz w:val="18"/>
                <w:szCs w:val="18"/>
              </w:rPr>
            </w:pPr>
            <w:r w:rsidRPr="00C94C33">
              <w:rPr>
                <w:rFonts w:asciiTheme="minorHAnsi" w:eastAsia="Times New Roman" w:hAnsiTheme="minorHAnsi" w:cs="Calibri"/>
                <w:sz w:val="18"/>
                <w:szCs w:val="18"/>
              </w:rPr>
              <w:t xml:space="preserve">70% </w:t>
            </w:r>
          </w:p>
        </w:tc>
        <w:tc>
          <w:tcPr>
            <w:tcW w:w="1910" w:type="dxa"/>
            <w:shd w:val="clear" w:color="auto" w:fill="auto"/>
          </w:tcPr>
          <w:p w14:paraId="2ABE7E30" w14:textId="77777777" w:rsidR="00DF61BC" w:rsidRPr="00C94C33" w:rsidRDefault="00DF61BC" w:rsidP="00DF61BC">
            <w:pPr>
              <w:autoSpaceDE w:val="0"/>
              <w:autoSpaceDN w:val="0"/>
              <w:adjustRightInd w:val="0"/>
              <w:spacing w:before="0" w:line="240" w:lineRule="auto"/>
              <w:rPr>
                <w:rFonts w:asciiTheme="minorHAnsi" w:eastAsia="Times New Roman" w:hAnsiTheme="minorHAnsi" w:cs="Calibri"/>
                <w:sz w:val="18"/>
                <w:szCs w:val="18"/>
              </w:rPr>
            </w:pPr>
            <w:r w:rsidRPr="00C94C33">
              <w:rPr>
                <w:rFonts w:asciiTheme="minorHAnsi" w:eastAsia="Times New Roman" w:hAnsiTheme="minorHAnsi" w:cs="Calibri"/>
                <w:sz w:val="18"/>
                <w:szCs w:val="18"/>
              </w:rPr>
              <w:t>63.7 µmol/L</w:t>
            </w:r>
          </w:p>
        </w:tc>
        <w:tc>
          <w:tcPr>
            <w:tcW w:w="1910" w:type="dxa"/>
            <w:shd w:val="clear" w:color="auto" w:fill="auto"/>
          </w:tcPr>
          <w:p w14:paraId="68FBB39A" w14:textId="77777777" w:rsidR="00DF61BC" w:rsidRPr="00C94C33" w:rsidRDefault="00DF61BC" w:rsidP="00DF61BC">
            <w:pPr>
              <w:autoSpaceDE w:val="0"/>
              <w:autoSpaceDN w:val="0"/>
              <w:adjustRightInd w:val="0"/>
              <w:spacing w:before="0" w:line="240" w:lineRule="auto"/>
              <w:rPr>
                <w:rFonts w:asciiTheme="minorHAnsi" w:eastAsia="Times New Roman" w:hAnsiTheme="minorHAnsi" w:cs="Calibri"/>
                <w:sz w:val="18"/>
                <w:szCs w:val="18"/>
              </w:rPr>
            </w:pPr>
            <w:r w:rsidRPr="00C94C33">
              <w:rPr>
                <w:rFonts w:asciiTheme="minorHAnsi" w:eastAsia="Times New Roman" w:hAnsiTheme="minorHAnsi" w:cs="Calibri"/>
                <w:sz w:val="18"/>
                <w:szCs w:val="18"/>
              </w:rPr>
              <w:t xml:space="preserve">100 µmol/L </w:t>
            </w:r>
          </w:p>
        </w:tc>
        <w:tc>
          <w:tcPr>
            <w:tcW w:w="2146" w:type="dxa"/>
            <w:shd w:val="clear" w:color="auto" w:fill="auto"/>
          </w:tcPr>
          <w:p w14:paraId="1B2615AE" w14:textId="622728B8" w:rsidR="00DF61BC" w:rsidRPr="00C94C33" w:rsidRDefault="00DF61BC" w:rsidP="00DF61BC">
            <w:pPr>
              <w:autoSpaceDE w:val="0"/>
              <w:autoSpaceDN w:val="0"/>
              <w:adjustRightInd w:val="0"/>
              <w:spacing w:before="0" w:line="240" w:lineRule="auto"/>
              <w:rPr>
                <w:rFonts w:asciiTheme="minorHAnsi" w:eastAsia="Times New Roman" w:hAnsiTheme="minorHAnsi" w:cs="Calibri"/>
                <w:sz w:val="18"/>
                <w:szCs w:val="18"/>
              </w:rPr>
            </w:pPr>
            <w:r w:rsidRPr="00C94C33">
              <w:rPr>
                <w:rFonts w:asciiTheme="minorHAnsi" w:eastAsia="Times New Roman" w:hAnsiTheme="minorHAnsi" w:cs="Calibri"/>
                <w:sz w:val="18"/>
                <w:szCs w:val="18"/>
              </w:rPr>
              <w:t xml:space="preserve">55.5 µmol/L (10 </w:t>
            </w:r>
            <w:r w:rsidR="009265E3" w:rsidRPr="00C94C33">
              <w:rPr>
                <w:rFonts w:asciiTheme="minorHAnsi" w:eastAsia="Times New Roman" w:hAnsiTheme="minorHAnsi" w:cs="Calibri"/>
                <w:sz w:val="18"/>
                <w:szCs w:val="18"/>
              </w:rPr>
              <w:t>µg</w:t>
            </w:r>
            <w:r w:rsidRPr="00C94C33">
              <w:rPr>
                <w:rFonts w:asciiTheme="minorHAnsi" w:eastAsia="Times New Roman" w:hAnsiTheme="minorHAnsi" w:cs="Calibri"/>
                <w:sz w:val="18"/>
                <w:szCs w:val="18"/>
              </w:rPr>
              <w:t>/mL)</w:t>
            </w:r>
          </w:p>
        </w:tc>
      </w:tr>
    </w:tbl>
    <w:p w14:paraId="5AB0948A" w14:textId="77777777" w:rsidR="00DF61BC" w:rsidRPr="00C94C33" w:rsidRDefault="00DF61BC" w:rsidP="00955252">
      <w:pPr>
        <w:pStyle w:val="Heading4"/>
      </w:pPr>
      <w:r w:rsidRPr="00C94C33">
        <w:lastRenderedPageBreak/>
        <w:t>Erythrocyte distribution</w:t>
      </w:r>
    </w:p>
    <w:p w14:paraId="433F58C9" w14:textId="13520399" w:rsidR="00DF61BC" w:rsidRPr="00C94C33" w:rsidRDefault="00DF61BC" w:rsidP="00A1578F">
      <w:pPr>
        <w:autoSpaceDE w:val="0"/>
        <w:autoSpaceDN w:val="0"/>
        <w:adjustRightInd w:val="0"/>
        <w:spacing w:before="0" w:line="240" w:lineRule="auto"/>
        <w:rPr>
          <w:rFonts w:eastAsia="Times New Roman"/>
          <w:lang w:eastAsia="en-AU"/>
        </w:rPr>
      </w:pPr>
      <w:r w:rsidRPr="00C94C33">
        <w:rPr>
          <w:rFonts w:eastAsia="Times New Roman"/>
          <w:lang w:eastAsia="en-AU"/>
        </w:rPr>
        <w:t xml:space="preserve">The blood/plasma concentration ratios for trifluridine (FTD) were 0.611, 0.596, and 0.619 at FTD concentrations of 0.5, 5, and 50 </w:t>
      </w:r>
      <w:r w:rsidR="009265E3" w:rsidRPr="00C94C33">
        <w:rPr>
          <w:rFonts w:eastAsia="Times New Roman"/>
          <w:lang w:eastAsia="en-AU"/>
        </w:rPr>
        <w:t>µg</w:t>
      </w:r>
      <w:r w:rsidRPr="00C94C33">
        <w:rPr>
          <w:rFonts w:eastAsia="Times New Roman"/>
          <w:lang w:eastAsia="en-AU"/>
        </w:rPr>
        <w:t>/mL, respectively, and the blood/plasma concentration ratios for tipiracil (TPI) were 0.661, 0.598, and 0.581 at TPI concentrations of 10, 100, and 1000 ng/mL, respectively. No concentration dependency for the blood/plasma concentration ratio was observed for either FTD or TPI. The results indicate that in human blood both FTD and TPI are distributed mainly in the plasma fraction.</w:t>
      </w:r>
    </w:p>
    <w:p w14:paraId="703DEB03" w14:textId="77777777" w:rsidR="00DF61BC" w:rsidRPr="00C94C33" w:rsidRDefault="00DF61BC" w:rsidP="00955252">
      <w:pPr>
        <w:pStyle w:val="Heading4"/>
      </w:pPr>
      <w:r w:rsidRPr="00C94C33">
        <w:t>Tissue distribution</w:t>
      </w:r>
    </w:p>
    <w:p w14:paraId="126DC3AF" w14:textId="4C60B583" w:rsidR="00DF61BC" w:rsidRPr="00C94C33" w:rsidRDefault="00DF61BC" w:rsidP="00A549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line="240" w:lineRule="auto"/>
        <w:rPr>
          <w:rFonts w:eastAsia="Times New Roman"/>
          <w:kern w:val="16"/>
          <w:szCs w:val="24"/>
          <w:lang w:eastAsia="en-AU"/>
        </w:rPr>
      </w:pPr>
      <w:r w:rsidRPr="00C94C33">
        <w:rPr>
          <w:rFonts w:eastAsia="Times New Roman"/>
          <w:kern w:val="16"/>
          <w:szCs w:val="24"/>
          <w:lang w:eastAsia="en-AU"/>
        </w:rPr>
        <w:t>There were no data in humans on tissue distribution.</w:t>
      </w:r>
    </w:p>
    <w:p w14:paraId="17F8D224" w14:textId="77777777" w:rsidR="00DF61BC" w:rsidRPr="00C94C33" w:rsidRDefault="00DF61BC" w:rsidP="00955252">
      <w:pPr>
        <w:pStyle w:val="Heading3"/>
      </w:pPr>
      <w:bookmarkStart w:id="93" w:name="_Toc272414622"/>
      <w:bookmarkStart w:id="94" w:name="_Toc290846245"/>
      <w:bookmarkStart w:id="95" w:name="_Toc470948476"/>
      <w:bookmarkStart w:id="96" w:name="_Toc510016872"/>
      <w:r w:rsidRPr="00C94C33">
        <w:t>Metabolism</w:t>
      </w:r>
      <w:bookmarkEnd w:id="93"/>
      <w:bookmarkEnd w:id="94"/>
      <w:bookmarkEnd w:id="95"/>
      <w:bookmarkEnd w:id="96"/>
    </w:p>
    <w:p w14:paraId="3FA26015" w14:textId="77777777" w:rsidR="00DF61BC" w:rsidRPr="00C94C33" w:rsidRDefault="00DF61BC" w:rsidP="00955252">
      <w:pPr>
        <w:pStyle w:val="Heading4"/>
      </w:pPr>
      <w:r w:rsidRPr="00C94C33">
        <w:t>Sites of metabolism and mechanisms / enzyme systems involved</w:t>
      </w:r>
    </w:p>
    <w:p w14:paraId="5B1E57E9" w14:textId="77777777" w:rsidR="00AA7141" w:rsidRDefault="00DF61BC" w:rsidP="00A549D4">
      <w:pPr>
        <w:autoSpaceDE w:val="0"/>
        <w:autoSpaceDN w:val="0"/>
        <w:adjustRightInd w:val="0"/>
        <w:spacing w:before="0" w:line="240" w:lineRule="auto"/>
        <w:rPr>
          <w:rFonts w:eastAsia="Times New Roman" w:cs="TimesNewRomanPSMT"/>
          <w:lang w:eastAsia="en-AU"/>
        </w:rPr>
      </w:pPr>
      <w:r w:rsidRPr="00C94C33">
        <w:rPr>
          <w:rFonts w:eastAsia="Times New Roman" w:cs="TimesNewRomanPSMT"/>
          <w:lang w:eastAsia="en-AU"/>
        </w:rPr>
        <w:t>The in vitro human biomaterial studies indicate that neither trifluridine (FTD) nor tipiracil (TPI) are metabolised by cytochrome P450 (CYP) enzymes, nor are they inhibitors of these enzymes. The proposed metabolic pathways of FTD and TPI in humans are summarised.</w:t>
      </w:r>
    </w:p>
    <w:p w14:paraId="6CBBA86C" w14:textId="77777777" w:rsidR="00AA7141" w:rsidRDefault="00DF61BC" w:rsidP="00A549D4">
      <w:pPr>
        <w:autoSpaceDE w:val="0"/>
        <w:autoSpaceDN w:val="0"/>
        <w:adjustRightInd w:val="0"/>
        <w:spacing w:before="0" w:line="240" w:lineRule="auto"/>
        <w:rPr>
          <w:rFonts w:eastAsia="Times New Roman"/>
          <w:lang w:eastAsia="en-AU"/>
        </w:rPr>
      </w:pPr>
      <w:r w:rsidRPr="00C94C33">
        <w:rPr>
          <w:rFonts w:eastAsia="Times New Roman" w:cs="TimesNewRomanPSMT"/>
          <w:lang w:eastAsia="en-AU"/>
        </w:rPr>
        <w:t xml:space="preserve">In </w:t>
      </w:r>
      <w:r w:rsidR="00394543" w:rsidRPr="00C94C33">
        <w:rPr>
          <w:rFonts w:eastAsia="Times New Roman" w:cs="TimesNewRomanPSMT"/>
          <w:lang w:eastAsia="en-AU"/>
        </w:rPr>
        <w:t>S</w:t>
      </w:r>
      <w:r w:rsidRPr="00C94C33">
        <w:rPr>
          <w:rFonts w:eastAsia="Times New Roman" w:cs="TimesNewRomanPSMT"/>
          <w:lang w:eastAsia="en-AU"/>
        </w:rPr>
        <w:t xml:space="preserve">tudy 99C42, it was reported that TPI was not metabolised by CYP enzymes in a human liver S9 preparation, and that TPI had no inhibitory effect on CYP-mediated metabolism of 7-ethoxycoumarin. In study 12DB03, </w:t>
      </w:r>
      <w:r w:rsidRPr="00C94C33">
        <w:rPr>
          <w:rFonts w:eastAsia="Times New Roman"/>
          <w:lang w:eastAsia="en-AU"/>
        </w:rPr>
        <w:t xml:space="preserve">the presence of metabolites of FTD was investigated in vitro following incubation of </w:t>
      </w:r>
      <w:r w:rsidRPr="00C94C33">
        <w:rPr>
          <w:rFonts w:eastAsia="Times New Roman"/>
          <w:vertAlign w:val="superscript"/>
          <w:lang w:eastAsia="en-AU"/>
        </w:rPr>
        <w:t>14</w:t>
      </w:r>
      <w:r w:rsidRPr="00C94C33">
        <w:rPr>
          <w:rFonts w:eastAsia="Times New Roman"/>
          <w:lang w:eastAsia="en-AU"/>
        </w:rPr>
        <w:t>C-FTD with human liver microsomes with or without NADPH and TPI. TPI was added to inhibit any potential metabolism of FTD by thymidine phosphorylase (TPase). The results showed that FTD was not metabolised via CYP pathways in human microsomes.</w:t>
      </w:r>
    </w:p>
    <w:p w14:paraId="678BC1AE" w14:textId="361F603C" w:rsidR="00DF61BC" w:rsidRPr="00C94C33" w:rsidRDefault="00DF61BC" w:rsidP="00A549D4">
      <w:pPr>
        <w:autoSpaceDE w:val="0"/>
        <w:autoSpaceDN w:val="0"/>
        <w:adjustRightInd w:val="0"/>
        <w:spacing w:before="0" w:line="240" w:lineRule="auto"/>
        <w:rPr>
          <w:rFonts w:eastAsia="Times New Roman"/>
          <w:lang w:eastAsia="en-AU"/>
        </w:rPr>
      </w:pPr>
      <w:r w:rsidRPr="00C94C33">
        <w:rPr>
          <w:rFonts w:eastAsia="Times New Roman"/>
          <w:lang w:eastAsia="en-AU"/>
        </w:rPr>
        <w:t xml:space="preserve">In study 12DA18, the major metabolite of FTD in vitro was identified as </w:t>
      </w:r>
      <w:r w:rsidRPr="00C94C33">
        <w:rPr>
          <w:rFonts w:eastAsia="Times New Roman" w:cs="TimesNewRomanPSMT"/>
          <w:lang w:eastAsia="en-AU"/>
        </w:rPr>
        <w:t xml:space="preserve">5-trifluoromethyluracil (FTY), with 5-carboxyuracil (5-CU) and 5-carboxy-2′-deoxyuridine (5-CdUrd) being minor metabolites. </w:t>
      </w:r>
      <w:r w:rsidRPr="00C94C33">
        <w:rPr>
          <w:rFonts w:eastAsia="Times New Roman"/>
          <w:lang w:eastAsia="en-AU"/>
        </w:rPr>
        <w:t xml:space="preserve">The production of 5-CdUrd was also observed when </w:t>
      </w:r>
      <w:r w:rsidRPr="00C94C33">
        <w:rPr>
          <w:rFonts w:eastAsia="Times New Roman"/>
          <w:vertAlign w:val="superscript"/>
          <w:lang w:eastAsia="en-AU"/>
        </w:rPr>
        <w:t>14</w:t>
      </w:r>
      <w:r w:rsidRPr="00C94C33">
        <w:rPr>
          <w:rFonts w:eastAsia="Times New Roman"/>
          <w:lang w:eastAsia="en-AU"/>
        </w:rPr>
        <w:t>C-FTD was incubated with phosphate buffer solution (without human hepatocytes), suggesting that it was also produced by non-enzymatic degradation. Marked inhibition of the metabolism of FTD and thymidine in human hepatocytes was observed in the presence of TPI, indicating that the main route of metabolism of FTD is to FTY, mediated by TPase.</w:t>
      </w:r>
    </w:p>
    <w:p w14:paraId="77922373" w14:textId="51CC56A0" w:rsidR="00DF61BC" w:rsidRPr="00C94C33" w:rsidRDefault="00DF61BC" w:rsidP="00A549D4">
      <w:pPr>
        <w:autoSpaceDE w:val="0"/>
        <w:autoSpaceDN w:val="0"/>
        <w:adjustRightInd w:val="0"/>
        <w:spacing w:before="0" w:line="240" w:lineRule="auto"/>
        <w:rPr>
          <w:rFonts w:eastAsia="Times New Roman"/>
          <w:lang w:eastAsia="en-AU"/>
        </w:rPr>
      </w:pPr>
      <w:r w:rsidRPr="00C94C33">
        <w:rPr>
          <w:rFonts w:eastAsia="Times New Roman" w:cs="TimesNewRomanPSMT"/>
          <w:lang w:eastAsia="en-AU"/>
        </w:rPr>
        <w:t xml:space="preserve">In study 11DA38, the metabolites of FTD in vivo were characterised using a pool of plasma from Japanese patients studied in </w:t>
      </w:r>
      <w:r w:rsidR="00394543" w:rsidRPr="00C94C33">
        <w:rPr>
          <w:rFonts w:eastAsia="Times New Roman" w:cs="TimesNewRomanPSMT"/>
          <w:lang w:eastAsia="en-AU"/>
        </w:rPr>
        <w:t xml:space="preserve">Study </w:t>
      </w:r>
      <w:r w:rsidRPr="00C94C33">
        <w:rPr>
          <w:rFonts w:eastAsia="Times New Roman" w:cs="TimesNewRomanPSMT"/>
          <w:lang w:eastAsia="en-AU"/>
        </w:rPr>
        <w:t xml:space="preserve">J004-10040040. </w:t>
      </w:r>
      <w:r w:rsidRPr="00C94C33">
        <w:rPr>
          <w:rFonts w:eastAsia="Times New Roman"/>
          <w:lang w:eastAsia="en-AU"/>
        </w:rPr>
        <w:t xml:space="preserve">FTY was the major metabolite detectable in the ultraviolet (UV) chromatogram. FTD was also detected in plasma by the UV chromatogram. In addition, 5-CU and 5-CdUrd were detected in the plasma sample at trace levels. No other metabolites of FTD were detected. In study P05-10408, the metabolites of TPI in vivo were characterised using a pool of plasma and a pool of urine from Japanese patients studied in </w:t>
      </w:r>
      <w:r w:rsidR="00394543" w:rsidRPr="00C94C33">
        <w:rPr>
          <w:rFonts w:eastAsia="Times New Roman"/>
          <w:lang w:eastAsia="en-AU"/>
        </w:rPr>
        <w:t>Study </w:t>
      </w:r>
      <w:r w:rsidRPr="00C94C33">
        <w:rPr>
          <w:rFonts w:eastAsia="Times New Roman"/>
          <w:lang w:eastAsia="en-AU"/>
        </w:rPr>
        <w:t>J0004-10040040. Following oral administration of TAS-102 at doses of 30 to 70 mg/m</w:t>
      </w:r>
      <w:r w:rsidRPr="00C94C33">
        <w:rPr>
          <w:rFonts w:eastAsia="Times New Roman"/>
          <w:vertAlign w:val="superscript"/>
          <w:lang w:eastAsia="en-AU"/>
        </w:rPr>
        <w:t>2</w:t>
      </w:r>
      <w:r w:rsidRPr="00C94C33">
        <w:rPr>
          <w:rFonts w:eastAsia="Times New Roman"/>
          <w:lang w:eastAsia="en-AU"/>
        </w:rPr>
        <w:t>/day, concentrations of 6-hydroxymethyluracil (6-HMU) were only quantifiable in plasma at higher doses of TAS-102 (50 to 70 mg/m</w:t>
      </w:r>
      <w:r w:rsidRPr="00C94C33">
        <w:rPr>
          <w:rFonts w:eastAsia="Times New Roman"/>
          <w:vertAlign w:val="superscript"/>
          <w:lang w:eastAsia="en-AU"/>
        </w:rPr>
        <w:t>2</w:t>
      </w:r>
      <w:r w:rsidRPr="00C94C33">
        <w:rPr>
          <w:rFonts w:eastAsia="Times New Roman"/>
          <w:lang w:eastAsia="en-AU"/>
        </w:rPr>
        <w:t xml:space="preserve">/day). Concentrations of 6-HMU were approximately 1 to 2 ng/mL in plasma and were below the limit of quantification (50 ng/mL) in urine. No other metabolites of TPI were </w:t>
      </w:r>
      <w:r w:rsidR="0078778B" w:rsidRPr="00C94C33">
        <w:rPr>
          <w:rFonts w:eastAsia="Times New Roman"/>
          <w:lang w:eastAsia="en-AU"/>
        </w:rPr>
        <w:t>detected.</w:t>
      </w:r>
    </w:p>
    <w:p w14:paraId="3C66DA8E" w14:textId="77777777" w:rsidR="00DF61BC" w:rsidRPr="00C94C33" w:rsidRDefault="00DF61BC" w:rsidP="00955252">
      <w:pPr>
        <w:pStyle w:val="Heading4"/>
      </w:pPr>
      <w:r w:rsidRPr="00C94C33">
        <w:t>Total clearance</w:t>
      </w:r>
    </w:p>
    <w:p w14:paraId="0B921B21" w14:textId="77777777" w:rsidR="00AA7141" w:rsidRDefault="00DF61BC" w:rsidP="00A549D4">
      <w:pPr>
        <w:autoSpaceDE w:val="0"/>
        <w:autoSpaceDN w:val="0"/>
        <w:adjustRightInd w:val="0"/>
        <w:spacing w:before="0" w:line="240" w:lineRule="auto"/>
        <w:rPr>
          <w:rFonts w:eastAsia="Times New Roman" w:cs="TimesNewRomanPSMT"/>
          <w:lang w:eastAsia="en-AU"/>
        </w:rPr>
      </w:pPr>
      <w:r w:rsidRPr="00C94C33">
        <w:rPr>
          <w:rFonts w:eastAsia="Times New Roman"/>
          <w:kern w:val="16"/>
          <w:lang w:eastAsia="en-AU"/>
        </w:rPr>
        <w:t xml:space="preserve">The mean apparent oral clearance (CL/F) of trifluridine (FTD) based on the final PPK model </w:t>
      </w:r>
      <w:r w:rsidR="00A0007E" w:rsidRPr="00C94C33">
        <w:rPr>
          <w:rFonts w:eastAsia="Times New Roman"/>
          <w:kern w:val="16"/>
          <w:lang w:eastAsia="en-AU"/>
        </w:rPr>
        <w:t>(</w:t>
      </w:r>
      <w:r w:rsidRPr="00C94C33">
        <w:rPr>
          <w:rFonts w:eastAsia="Times New Roman"/>
          <w:kern w:val="16"/>
          <w:lang w:eastAsia="en-AU"/>
        </w:rPr>
        <w:t>study 12DA25</w:t>
      </w:r>
      <w:r w:rsidR="00A0007E" w:rsidRPr="00C94C33">
        <w:rPr>
          <w:rFonts w:eastAsia="Times New Roman"/>
          <w:kern w:val="16"/>
          <w:lang w:eastAsia="en-AU"/>
        </w:rPr>
        <w:t>)</w:t>
      </w:r>
      <w:r w:rsidRPr="00C94C33">
        <w:rPr>
          <w:rFonts w:eastAsia="Times New Roman"/>
          <w:kern w:val="16"/>
          <w:lang w:eastAsia="en-AU"/>
        </w:rPr>
        <w:t xml:space="preserve"> was 2.93 L/hr, with inter-individual variability of 32.2% (CV%). The mean apparent oral clearance (CL/F) of tipiracil (TPI) based on the final PPK model </w:t>
      </w:r>
      <w:r w:rsidR="00A0007E" w:rsidRPr="00C94C33">
        <w:rPr>
          <w:rFonts w:eastAsia="Times New Roman"/>
          <w:kern w:val="16"/>
          <w:lang w:eastAsia="en-AU"/>
        </w:rPr>
        <w:t>(</w:t>
      </w:r>
      <w:r w:rsidR="00394543" w:rsidRPr="00C94C33">
        <w:rPr>
          <w:rFonts w:eastAsia="Times New Roman"/>
          <w:kern w:val="16"/>
          <w:lang w:eastAsia="en-AU"/>
        </w:rPr>
        <w:t xml:space="preserve">Study </w:t>
      </w:r>
      <w:r w:rsidRPr="00C94C33">
        <w:rPr>
          <w:rFonts w:eastAsia="Times New Roman"/>
          <w:kern w:val="16"/>
          <w:lang w:eastAsia="en-AU"/>
        </w:rPr>
        <w:t>12DA25</w:t>
      </w:r>
      <w:r w:rsidR="00A0007E" w:rsidRPr="00C94C33">
        <w:rPr>
          <w:rFonts w:eastAsia="Times New Roman"/>
          <w:kern w:val="16"/>
          <w:lang w:eastAsia="en-AU"/>
        </w:rPr>
        <w:t>)</w:t>
      </w:r>
      <w:r w:rsidRPr="00C94C33">
        <w:rPr>
          <w:rFonts w:eastAsia="Times New Roman"/>
          <w:kern w:val="16"/>
          <w:lang w:eastAsia="en-AU"/>
        </w:rPr>
        <w:t xml:space="preserve"> was 88.7 L/hr, with inter-individual variability of 44.3% (CV%). </w:t>
      </w:r>
      <w:r w:rsidRPr="00C94C33">
        <w:rPr>
          <w:rFonts w:eastAsia="Times New Roman" w:cs="TimesNewRomanPSMT"/>
          <w:lang w:eastAsia="en-AU"/>
        </w:rPr>
        <w:t xml:space="preserve">In the PPK model, BSA was identified as a significant covariate for the volume of distribution (Vd/F) of both FTA and TPI. Creatinine clearance (CLcr) was a significant covariate for the clearance (CL/F) of both FTD and TPI, and serum albumin (ALB) was a significant covariate for the CL/F of FTD (negative correlation possibly due to high protein binding of FTD). Other covariates tested had no clinically meaningful impact on </w:t>
      </w:r>
      <w:r w:rsidRPr="00C94C33">
        <w:rPr>
          <w:rFonts w:eastAsia="Times New Roman" w:cs="TimesNewRomanPSMT"/>
          <w:lang w:eastAsia="en-AU"/>
        </w:rPr>
        <w:lastRenderedPageBreak/>
        <w:t>exposure to FTD or TPI (</w:t>
      </w:r>
      <w:r w:rsidR="00B2072D" w:rsidRPr="00C94C33">
        <w:rPr>
          <w:rFonts w:eastAsia="Times New Roman" w:cs="TimesNewRomanPSMT"/>
          <w:lang w:eastAsia="en-AU"/>
        </w:rPr>
        <w:t>that is,</w:t>
      </w:r>
      <w:r w:rsidRPr="00C94C33">
        <w:rPr>
          <w:rFonts w:eastAsia="Times New Roman" w:cs="TimesNewRomanPSMT"/>
          <w:lang w:eastAsia="en-AU"/>
        </w:rPr>
        <w:t xml:space="preserve"> age, sex, race, hepatic function, and concomitant administration of OCT2 inhibitors).</w:t>
      </w:r>
    </w:p>
    <w:p w14:paraId="06A9AA77" w14:textId="76393423" w:rsidR="00DF61BC" w:rsidRPr="00C94C33" w:rsidRDefault="00DF61BC" w:rsidP="00955252">
      <w:pPr>
        <w:pStyle w:val="Heading4"/>
        <w:rPr>
          <w:color w:val="FF0000"/>
        </w:rPr>
      </w:pPr>
      <w:r w:rsidRPr="00C94C33">
        <w:t>Metabolites identified in humans</w:t>
      </w:r>
    </w:p>
    <w:p w14:paraId="35FD5A4B" w14:textId="77777777" w:rsidR="00DF61BC" w:rsidRPr="00C94C33" w:rsidRDefault="00DF61BC" w:rsidP="00955252">
      <w:pPr>
        <w:pStyle w:val="Heading5"/>
        <w:rPr>
          <w:lang w:eastAsia="en-AU"/>
        </w:rPr>
      </w:pPr>
      <w:r w:rsidRPr="00C94C33">
        <w:rPr>
          <w:lang w:eastAsia="en-AU"/>
        </w:rPr>
        <w:t>Active metabolites</w:t>
      </w:r>
    </w:p>
    <w:p w14:paraId="537DB886" w14:textId="240BA8BC" w:rsidR="00DF61BC" w:rsidRPr="00C94C33" w:rsidRDefault="00DF61BC" w:rsidP="00A549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szCs w:val="24"/>
          <w:lang w:eastAsia="en-AU"/>
        </w:rPr>
      </w:pPr>
      <w:r w:rsidRPr="00C94C33">
        <w:rPr>
          <w:rFonts w:eastAsia="Times New Roman"/>
          <w:kern w:val="16"/>
          <w:szCs w:val="24"/>
          <w:lang w:eastAsia="en-AU"/>
        </w:rPr>
        <w:t>No active metabolites have been reported.</w:t>
      </w:r>
    </w:p>
    <w:p w14:paraId="191CDF3F" w14:textId="77777777" w:rsidR="00DF61BC" w:rsidRPr="00C94C33" w:rsidRDefault="00DF61BC" w:rsidP="00955252">
      <w:pPr>
        <w:pStyle w:val="Heading5"/>
        <w:rPr>
          <w:lang w:eastAsia="en-AU"/>
        </w:rPr>
      </w:pPr>
      <w:r w:rsidRPr="00C94C33">
        <w:rPr>
          <w:lang w:eastAsia="en-AU"/>
        </w:rPr>
        <w:t>Other metabolites</w:t>
      </w:r>
    </w:p>
    <w:p w14:paraId="03AD4351" w14:textId="6E54F3E9" w:rsidR="00DF61BC" w:rsidRPr="00C94C33" w:rsidRDefault="00DF61BC" w:rsidP="00A549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szCs w:val="24"/>
          <w:lang w:eastAsia="en-AU"/>
        </w:rPr>
      </w:pPr>
      <w:r w:rsidRPr="00C94C33">
        <w:rPr>
          <w:rFonts w:eastAsia="Times New Roman"/>
          <w:kern w:val="16"/>
          <w:szCs w:val="24"/>
          <w:lang w:eastAsia="en-AU"/>
        </w:rPr>
        <w:t>See above.</w:t>
      </w:r>
    </w:p>
    <w:p w14:paraId="28FC1C38" w14:textId="77777777" w:rsidR="00DF61BC" w:rsidRPr="00C94C33" w:rsidRDefault="00DF61BC" w:rsidP="00955252">
      <w:pPr>
        <w:pStyle w:val="Heading5"/>
        <w:rPr>
          <w:lang w:eastAsia="en-AU"/>
        </w:rPr>
      </w:pPr>
      <w:r w:rsidRPr="00C94C33">
        <w:rPr>
          <w:lang w:eastAsia="en-AU"/>
        </w:rPr>
        <w:t>Pharmacokinetics of metabolites</w:t>
      </w:r>
    </w:p>
    <w:p w14:paraId="6AD3671C" w14:textId="6DA1E310" w:rsidR="00DF61BC" w:rsidRPr="00C94C33" w:rsidRDefault="00DF61BC" w:rsidP="00A549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line="240" w:lineRule="auto"/>
        <w:rPr>
          <w:rFonts w:eastAsia="Times New Roman" w:cs="TimesNewRomanPSMT"/>
          <w:lang w:eastAsia="en-AU"/>
        </w:rPr>
      </w:pPr>
      <w:r w:rsidRPr="00C94C33">
        <w:rPr>
          <w:rFonts w:eastAsia="Times New Roman"/>
          <w:kern w:val="16"/>
          <w:lang w:eastAsia="en-AU"/>
        </w:rPr>
        <w:t>The plasma and urinary PK of the major metabolite of trifluridine (</w:t>
      </w:r>
      <w:r w:rsidRPr="00C94C33">
        <w:rPr>
          <w:rFonts w:eastAsia="Times New Roman" w:cs="TimesNewRomanPSMT"/>
          <w:lang w:eastAsia="en-AU"/>
        </w:rPr>
        <w:t xml:space="preserve">5-trifluoromethyluracil </w:t>
      </w:r>
      <w:r w:rsidR="00A0007E" w:rsidRPr="00C94C33">
        <w:rPr>
          <w:rFonts w:eastAsia="Times New Roman" w:cs="TimesNewRomanPSMT"/>
          <w:lang w:eastAsia="en-AU"/>
        </w:rPr>
        <w:t>(</w:t>
      </w:r>
      <w:r w:rsidRPr="00C94C33">
        <w:rPr>
          <w:rFonts w:eastAsia="Times New Roman" w:cs="TimesNewRomanPSMT"/>
          <w:lang w:eastAsia="en-AU"/>
        </w:rPr>
        <w:t>FTY</w:t>
      </w:r>
      <w:r w:rsidR="00A0007E" w:rsidRPr="00C94C33">
        <w:rPr>
          <w:rFonts w:eastAsia="Times New Roman" w:cs="TimesNewRomanPSMT"/>
          <w:lang w:eastAsia="en-AU"/>
        </w:rPr>
        <w:t>)</w:t>
      </w:r>
      <w:r w:rsidRPr="00C94C33">
        <w:rPr>
          <w:rFonts w:eastAsia="Times New Roman" w:cs="TimesNewRomanPSMT"/>
          <w:lang w:eastAsia="en-AU"/>
        </w:rPr>
        <w:t>) were examined in a number of single- and multiple-dose studies. Following a single oral dose of TAS-102 (35 mg/m</w:t>
      </w:r>
      <w:r w:rsidRPr="00C94C33">
        <w:rPr>
          <w:rFonts w:eastAsia="Times New Roman" w:cs="TimesNewRomanPSMT"/>
          <w:vertAlign w:val="superscript"/>
          <w:lang w:eastAsia="en-AU"/>
        </w:rPr>
        <w:t>2</w:t>
      </w:r>
      <w:r w:rsidRPr="00C94C33">
        <w:rPr>
          <w:rFonts w:eastAsia="Times New Roman" w:cs="TimesNewRomanPSMT"/>
          <w:lang w:eastAsia="en-AU"/>
        </w:rPr>
        <w:t>) in the fed state, the C</w:t>
      </w:r>
      <w:r w:rsidRPr="00C94C33">
        <w:rPr>
          <w:rFonts w:eastAsia="Times New Roman" w:cs="TimesNewRomanPSMT"/>
          <w:sz w:val="20"/>
          <w:szCs w:val="20"/>
          <w:lang w:eastAsia="en-AU"/>
        </w:rPr>
        <w:t>max</w:t>
      </w:r>
      <w:r w:rsidRPr="00C94C33">
        <w:rPr>
          <w:rFonts w:eastAsia="Times New Roman" w:cs="TimesNewRomanPSMT"/>
          <w:lang w:eastAsia="en-AU"/>
        </w:rPr>
        <w:t xml:space="preserve"> and AUC</w:t>
      </w:r>
      <w:r w:rsidRPr="00C94C33">
        <w:rPr>
          <w:rFonts w:eastAsia="Times New Roman" w:cs="TimesNewRomanPSMT"/>
          <w:sz w:val="20"/>
          <w:szCs w:val="20"/>
          <w:lang w:eastAsia="en-AU"/>
        </w:rPr>
        <w:t xml:space="preserve">0-last </w:t>
      </w:r>
      <w:r w:rsidRPr="00C94C33">
        <w:rPr>
          <w:rFonts w:eastAsia="Times New Roman" w:cs="TimesNewRomanPSMT"/>
          <w:lang w:eastAsia="en-AU"/>
        </w:rPr>
        <w:t xml:space="preserve">values of the metabolite FTY were approximately 68% and 51% to 53% lower, respectively, than the parent compound FTD </w:t>
      </w:r>
      <w:r w:rsidR="00A0007E" w:rsidRPr="00C94C33">
        <w:rPr>
          <w:rFonts w:eastAsia="Times New Roman" w:cs="TimesNewRomanPSMT"/>
          <w:lang w:eastAsia="en-AU"/>
        </w:rPr>
        <w:t>(</w:t>
      </w:r>
      <w:r w:rsidRPr="00C94C33">
        <w:rPr>
          <w:rFonts w:eastAsia="Times New Roman" w:cs="TimesNewRomanPSMT"/>
          <w:lang w:eastAsia="en-AU"/>
        </w:rPr>
        <w:t>Studies</w:t>
      </w:r>
      <w:r w:rsidR="00394543" w:rsidRPr="00C94C33">
        <w:rPr>
          <w:rFonts w:eastAsia="Times New Roman" w:cs="TimesNewRomanPSMT"/>
          <w:lang w:eastAsia="en-AU"/>
        </w:rPr>
        <w:t> </w:t>
      </w:r>
      <w:r w:rsidRPr="00C94C33">
        <w:rPr>
          <w:rFonts w:eastAsia="Times New Roman" w:cs="TimesNewRomanPSMT"/>
          <w:lang w:eastAsia="en-AU"/>
        </w:rPr>
        <w:t>TPU-TAS-102-102, TPU-TAS-102-103</w:t>
      </w:r>
      <w:r w:rsidR="00A0007E" w:rsidRPr="00C94C33">
        <w:rPr>
          <w:rFonts w:eastAsia="Times New Roman" w:cs="TimesNewRomanPSMT"/>
          <w:lang w:eastAsia="en-AU"/>
        </w:rPr>
        <w:t>)</w:t>
      </w:r>
      <w:r w:rsidRPr="00C94C33">
        <w:rPr>
          <w:rFonts w:eastAsia="Times New Roman" w:cs="TimesNewRomanPSMT"/>
          <w:lang w:eastAsia="en-AU"/>
        </w:rPr>
        <w:t>. Following repeat oral doses of TAS-102 (35 mg/m</w:t>
      </w:r>
      <w:r w:rsidRPr="00C94C33">
        <w:rPr>
          <w:rFonts w:eastAsia="Times New Roman" w:cs="TimesNewRomanPSMT"/>
          <w:vertAlign w:val="superscript"/>
          <w:lang w:eastAsia="en-AU"/>
        </w:rPr>
        <w:t>2</w:t>
      </w:r>
      <w:r w:rsidRPr="00C94C33">
        <w:rPr>
          <w:rFonts w:eastAsia="Times New Roman" w:cs="TimesNewRomanPSMT"/>
          <w:lang w:eastAsia="en-AU"/>
        </w:rPr>
        <w:t xml:space="preserve"> BD) in the fed state, the C</w:t>
      </w:r>
      <w:r w:rsidRPr="00C94C33">
        <w:rPr>
          <w:rFonts w:eastAsia="Times New Roman" w:cs="TimesNewRomanPSMT"/>
          <w:sz w:val="20"/>
          <w:szCs w:val="20"/>
          <w:lang w:eastAsia="en-AU"/>
        </w:rPr>
        <w:t>max</w:t>
      </w:r>
      <w:r w:rsidRPr="00C94C33">
        <w:rPr>
          <w:rFonts w:eastAsia="Times New Roman" w:cs="TimesNewRomanPSMT"/>
          <w:lang w:eastAsia="en-AU"/>
        </w:rPr>
        <w:t xml:space="preserve"> and AUC</w:t>
      </w:r>
      <w:r w:rsidRPr="00C94C33">
        <w:rPr>
          <w:rFonts w:eastAsia="Times New Roman" w:cs="TimesNewRomanPSMT"/>
          <w:sz w:val="20"/>
          <w:szCs w:val="20"/>
          <w:lang w:eastAsia="en-AU"/>
        </w:rPr>
        <w:t xml:space="preserve">0-last </w:t>
      </w:r>
      <w:r w:rsidRPr="00C94C33">
        <w:rPr>
          <w:rFonts w:eastAsia="Times New Roman" w:cs="TimesNewRomanPSMT"/>
          <w:lang w:eastAsia="en-AU"/>
        </w:rPr>
        <w:t xml:space="preserve">values of metabolite FTY at steady state (Cycle 1, Day 12) were approximately 86% and 78% to 79% lower, respectively, than the parent compound FTD </w:t>
      </w:r>
      <w:r w:rsidR="00A0007E" w:rsidRPr="00C94C33">
        <w:rPr>
          <w:rFonts w:eastAsia="Times New Roman" w:cs="TimesNewRomanPSMT"/>
          <w:lang w:eastAsia="en-AU"/>
        </w:rPr>
        <w:t>(</w:t>
      </w:r>
      <w:r w:rsidRPr="00C94C33">
        <w:rPr>
          <w:rFonts w:eastAsia="Times New Roman" w:cs="TimesNewRomanPSMT"/>
          <w:lang w:eastAsia="en-AU"/>
        </w:rPr>
        <w:t>Studies TPU-TAS-102-102, TPU-TAS-102-103</w:t>
      </w:r>
      <w:r w:rsidR="00A0007E" w:rsidRPr="00C94C33">
        <w:rPr>
          <w:rFonts w:eastAsia="Times New Roman" w:cs="TimesNewRomanPSMT"/>
          <w:lang w:eastAsia="en-AU"/>
        </w:rPr>
        <w:t>)</w:t>
      </w:r>
      <w:r w:rsidRPr="00C94C33">
        <w:rPr>
          <w:rFonts w:eastAsia="Times New Roman" w:cs="TimesNewRomanPSMT"/>
          <w:lang w:eastAsia="en-AU"/>
        </w:rPr>
        <w:t>.</w:t>
      </w:r>
    </w:p>
    <w:p w14:paraId="4B27840C" w14:textId="77777777" w:rsidR="00DF61BC" w:rsidRPr="00C94C33" w:rsidRDefault="00DF61BC" w:rsidP="00955252">
      <w:pPr>
        <w:pStyle w:val="Heading4"/>
      </w:pPr>
      <w:bookmarkStart w:id="97" w:name="_Toc241374289"/>
      <w:bookmarkStart w:id="98" w:name="_Toc272414623"/>
      <w:bookmarkStart w:id="99" w:name="_Toc290846246"/>
      <w:bookmarkStart w:id="100" w:name="_Toc470948477"/>
      <w:r w:rsidRPr="00C94C33">
        <w:t>E</w:t>
      </w:r>
      <w:bookmarkEnd w:id="97"/>
      <w:r w:rsidRPr="00C94C33">
        <w:t>xcretion</w:t>
      </w:r>
      <w:bookmarkEnd w:id="98"/>
      <w:bookmarkEnd w:id="99"/>
      <w:bookmarkEnd w:id="100"/>
    </w:p>
    <w:p w14:paraId="4601A955" w14:textId="77777777" w:rsidR="00DF61BC" w:rsidRPr="00C94C33" w:rsidRDefault="00DF61BC" w:rsidP="00955252">
      <w:pPr>
        <w:pStyle w:val="Heading5"/>
        <w:rPr>
          <w:lang w:eastAsia="en-AU"/>
        </w:rPr>
      </w:pPr>
      <w:r w:rsidRPr="00C94C33">
        <w:rPr>
          <w:lang w:eastAsia="en-AU"/>
        </w:rPr>
        <w:t>Routes and mechanisms of excretion</w:t>
      </w:r>
    </w:p>
    <w:p w14:paraId="48CA0E13" w14:textId="7690DF42" w:rsidR="00DF61BC" w:rsidRPr="00C94C33" w:rsidRDefault="00DF61BC" w:rsidP="00A549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C94C33">
        <w:rPr>
          <w:rFonts w:eastAsia="Times New Roman"/>
          <w:kern w:val="16"/>
          <w:lang w:eastAsia="en-AU"/>
        </w:rPr>
        <w:t>The routes of excretion have been determined from the mass balance study (</w:t>
      </w:r>
      <w:r w:rsidR="00394543" w:rsidRPr="00C94C33">
        <w:rPr>
          <w:rFonts w:eastAsia="Times New Roman"/>
          <w:kern w:val="16"/>
          <w:lang w:eastAsia="en-AU"/>
        </w:rPr>
        <w:t xml:space="preserve">Study </w:t>
      </w:r>
      <w:r w:rsidRPr="00C94C33">
        <w:rPr>
          <w:rFonts w:eastAsia="Times New Roman"/>
          <w:kern w:val="16"/>
          <w:lang w:eastAsia="en-AU"/>
        </w:rPr>
        <w:t>TPU-TAS-102-108), and are presented in the next section of this CER.</w:t>
      </w:r>
    </w:p>
    <w:p w14:paraId="271651A1" w14:textId="77777777" w:rsidR="00AA7141" w:rsidRDefault="00DF61BC" w:rsidP="00955252">
      <w:pPr>
        <w:pStyle w:val="Heading5"/>
        <w:rPr>
          <w:rFonts w:eastAsia="TimesNewRoman"/>
          <w:lang w:eastAsia="en-AU"/>
        </w:rPr>
      </w:pPr>
      <w:r w:rsidRPr="00C94C33">
        <w:rPr>
          <w:rFonts w:eastAsia="TimesNewRoman"/>
          <w:lang w:eastAsia="en-AU"/>
        </w:rPr>
        <w:t>Trifluridine (FTD)</w:t>
      </w:r>
    </w:p>
    <w:p w14:paraId="0AED5F8F" w14:textId="7F277090" w:rsidR="00DF61BC" w:rsidRPr="00C94C33" w:rsidRDefault="00DF61BC" w:rsidP="00A549D4">
      <w:pPr>
        <w:autoSpaceDE w:val="0"/>
        <w:autoSpaceDN w:val="0"/>
        <w:adjustRightInd w:val="0"/>
        <w:spacing w:before="0" w:line="240" w:lineRule="auto"/>
        <w:rPr>
          <w:rFonts w:eastAsia="TimesNewRoman" w:cs="TimesNewRoman"/>
          <w:lang w:eastAsia="en-AU"/>
        </w:rPr>
      </w:pPr>
      <w:r w:rsidRPr="00C94C33">
        <w:rPr>
          <w:rFonts w:eastAsia="TimesNewRoman" w:cs="TimesNewRoman"/>
          <w:lang w:eastAsia="en-AU"/>
        </w:rPr>
        <w:t xml:space="preserve">After oral administration of TAS-102 with </w:t>
      </w:r>
      <w:r w:rsidR="00394543" w:rsidRPr="00C94C33">
        <w:rPr>
          <w:rFonts w:eastAsia="TimesNewRoman" w:cs="TimesNewRoman"/>
          <w:lang w:eastAsia="en-AU"/>
        </w:rPr>
        <w:t>[14C]</w:t>
      </w:r>
      <w:r w:rsidRPr="00C94C33">
        <w:rPr>
          <w:rFonts w:eastAsia="TimesNewRoman" w:cs="TimesNewRoman"/>
          <w:lang w:eastAsia="en-AU"/>
        </w:rPr>
        <w:t>-FTD, most of the administered FTD was absorbed and only 2.6% of the dose was excreted unchanged into the feces. The absorbed FTD was metabolised, and the majority of the total radioactivity (TRA) (54.8% of the dose) was excreted into urine as FTY and FTD glucuronide isomers. Only 2.4% of the dose was excreted into expired CO</w:t>
      </w:r>
      <w:r w:rsidRPr="00C94C33">
        <w:rPr>
          <w:rFonts w:eastAsia="TimesNewRoman" w:cs="TimesNewRoman"/>
          <w:vertAlign w:val="subscript"/>
          <w:lang w:eastAsia="en-AU"/>
        </w:rPr>
        <w:t>2</w:t>
      </w:r>
      <w:r w:rsidRPr="00C94C33">
        <w:rPr>
          <w:rFonts w:eastAsia="TimesNewRoman" w:cs="TimesNewRoman"/>
          <w:lang w:eastAsia="en-AU"/>
        </w:rPr>
        <w:t>, which the sponsor suggests indicates limited ring-opening metabolism of the pyrimidine ring of FTD. Overall recovery of TRA was 59.8% of the dose, which was lower than expected. The sponsor states that this is due to covalent binding of FTD and FTY to plasma or blood proteins. The extractable TRA in the pooled plasma sample consisted of 52.7% FTD and 33.2% FTY. Of note, the extractable fraction of the overall pooled plasma sample was only 6.67%. The major metabolite of FTD in the extractable fraction of plasma and urine was FTY.</w:t>
      </w:r>
    </w:p>
    <w:p w14:paraId="0B842F62" w14:textId="77777777" w:rsidR="00AA7141" w:rsidRDefault="00DF61BC" w:rsidP="00A549D4">
      <w:pPr>
        <w:autoSpaceDE w:val="0"/>
        <w:autoSpaceDN w:val="0"/>
        <w:adjustRightInd w:val="0"/>
        <w:spacing w:before="0" w:line="240" w:lineRule="auto"/>
        <w:rPr>
          <w:rFonts w:eastAsia="TimesNewRoman" w:cs="TimesNewRoman"/>
          <w:lang w:eastAsia="en-AU"/>
        </w:rPr>
      </w:pPr>
      <w:r w:rsidRPr="00C94C33">
        <w:rPr>
          <w:rFonts w:eastAsia="TimesNewRoman" w:cs="TimesNewRoman"/>
          <w:lang w:eastAsia="en-AU"/>
        </w:rPr>
        <w:t>Of the dose excreted, the radiochromatogram of the pooled urine sample suggested that TRA in urine consisted of 13.9% unknown front peaks, 45.9% FTY, 33.3% FTD glucuronide isomers, and 2.41% FTD. Given the limited excretion of unchanged FTD into urine, it can be concluded that the major elimination pathway of FTD is via hepatic and/or gastrointestinal metabolism.</w:t>
      </w:r>
    </w:p>
    <w:p w14:paraId="3986940A" w14:textId="77777777" w:rsidR="00AA7141" w:rsidRDefault="00DF61BC" w:rsidP="00955252">
      <w:pPr>
        <w:pStyle w:val="Heading5"/>
        <w:rPr>
          <w:rFonts w:eastAsia="TimesNewRoman"/>
        </w:rPr>
      </w:pPr>
      <w:r w:rsidRPr="00C94C33">
        <w:rPr>
          <w:rStyle w:val="Heading5Char"/>
          <w:rFonts w:eastAsia="TimesNewRoman"/>
          <w:b/>
          <w:bCs/>
          <w:i/>
        </w:rPr>
        <w:t>Tipiracil</w:t>
      </w:r>
    </w:p>
    <w:p w14:paraId="2E23266E" w14:textId="691A85A9" w:rsidR="00DF61BC" w:rsidRPr="00C94C33" w:rsidRDefault="00DF61BC" w:rsidP="00A549D4">
      <w:pPr>
        <w:autoSpaceDE w:val="0"/>
        <w:autoSpaceDN w:val="0"/>
        <w:adjustRightInd w:val="0"/>
        <w:spacing w:line="240" w:lineRule="auto"/>
        <w:rPr>
          <w:rFonts w:eastAsia="TimesNewRoman" w:cs="TimesNewRoman"/>
          <w:lang w:eastAsia="en-AU"/>
        </w:rPr>
      </w:pPr>
      <w:r w:rsidRPr="00C94C33">
        <w:rPr>
          <w:rFonts w:eastAsia="TimesNewRoman" w:cs="TimesNewRoman"/>
          <w:lang w:eastAsia="en-AU"/>
        </w:rPr>
        <w:t xml:space="preserve">After oral administration of TAS-102 with </w:t>
      </w:r>
      <w:r w:rsidR="00394543" w:rsidRPr="00C94C33">
        <w:rPr>
          <w:rFonts w:eastAsia="TimesNewRoman" w:cs="TimesNewRoman"/>
          <w:lang w:eastAsia="en-AU"/>
        </w:rPr>
        <w:t>[14C]</w:t>
      </w:r>
      <w:r w:rsidRPr="00C94C33">
        <w:rPr>
          <w:rFonts w:eastAsia="TimesNewRoman" w:cs="TimesNewRoman"/>
          <w:lang w:eastAsia="en-AU"/>
        </w:rPr>
        <w:t>-TPI, recovered TRA was 76.8% of the dose, which consisted of 27.0% urinary excretion and 49.7% f</w:t>
      </w:r>
      <w:r w:rsidR="00394543" w:rsidRPr="00C94C33">
        <w:rPr>
          <w:rFonts w:eastAsia="TimesNewRoman" w:cs="TimesNewRoman"/>
          <w:lang w:eastAsia="en-AU"/>
        </w:rPr>
        <w:t>a</w:t>
      </w:r>
      <w:r w:rsidRPr="00C94C33">
        <w:rPr>
          <w:rFonts w:eastAsia="TimesNewRoman" w:cs="TimesNewRoman"/>
          <w:lang w:eastAsia="en-AU"/>
        </w:rPr>
        <w:t>ecal excretion. The sponsor commented that the biliary excretion of unchanged TPI is expected to be negligible based on animal studies in rats. Therefore, the sponsor postulates that the majority of the TRA recovered in the f</w:t>
      </w:r>
      <w:r w:rsidR="00394543" w:rsidRPr="00C94C33">
        <w:rPr>
          <w:rFonts w:eastAsia="TimesNewRoman" w:cs="TimesNewRoman"/>
          <w:lang w:eastAsia="en-AU"/>
        </w:rPr>
        <w:t>a</w:t>
      </w:r>
      <w:r w:rsidRPr="00C94C33">
        <w:rPr>
          <w:rFonts w:eastAsia="TimesNewRoman" w:cs="TimesNewRoman"/>
          <w:lang w:eastAsia="en-AU"/>
        </w:rPr>
        <w:t xml:space="preserve">eces suggests either biliary excretion of TPI metabolites or poor absorption of TPI. Based on TRA derived </w:t>
      </w:r>
      <w:r w:rsidR="00394543" w:rsidRPr="00C94C33">
        <w:rPr>
          <w:rFonts w:eastAsia="TimesNewRoman" w:cs="TimesNewRoman"/>
          <w:lang w:eastAsia="en-AU"/>
        </w:rPr>
        <w:t>[14C]</w:t>
      </w:r>
      <w:r w:rsidRPr="00C94C33">
        <w:rPr>
          <w:rFonts w:eastAsia="TimesNewRoman" w:cs="TimesNewRoman"/>
          <w:lang w:eastAsia="en-AU"/>
        </w:rPr>
        <w:t>-TPI excreted into the f</w:t>
      </w:r>
      <w:r w:rsidR="00394543" w:rsidRPr="00C94C33">
        <w:rPr>
          <w:rFonts w:eastAsia="TimesNewRoman" w:cs="TimesNewRoman"/>
          <w:lang w:eastAsia="en-AU"/>
        </w:rPr>
        <w:t>a</w:t>
      </w:r>
      <w:r w:rsidRPr="00C94C33">
        <w:rPr>
          <w:rFonts w:eastAsia="TimesNewRoman" w:cs="TimesNewRoman"/>
          <w:lang w:eastAsia="en-AU"/>
        </w:rPr>
        <w:t>eces and the urine, it can be estimated that the absorbed fraction of TPI is ≥ 27% but &lt; 50% of the administered dose. The radiochromatograms of pooled samples suggested that the plasma TRA consisted of 30.9% 6-HMU and 53.1% TPI, the urine TRA consisted of 14.0% 6-HMU and 79.1% TPI, and the f</w:t>
      </w:r>
      <w:r w:rsidR="00394543" w:rsidRPr="00C94C33">
        <w:rPr>
          <w:rFonts w:eastAsia="TimesNewRoman" w:cs="TimesNewRoman"/>
          <w:lang w:eastAsia="en-AU"/>
        </w:rPr>
        <w:t>a</w:t>
      </w:r>
      <w:r w:rsidRPr="00C94C33">
        <w:rPr>
          <w:rFonts w:eastAsia="TimesNewRoman" w:cs="TimesNewRoman"/>
          <w:lang w:eastAsia="en-AU"/>
        </w:rPr>
        <w:t xml:space="preserve">ecal TRA consisted of 34.4% 6-HMU and 48.2% TPI. It was noted that the 6-HMU metabolite appeared in plasma or in blood after disappearance of TPI, which according to the sponsor may suggest that 6-HMU was slowly produced via a metabolic pathway </w:t>
      </w:r>
      <w:r w:rsidRPr="00C94C33">
        <w:rPr>
          <w:rFonts w:eastAsia="TimesNewRoman" w:cs="TimesNewRoman"/>
          <w:lang w:eastAsia="en-AU"/>
        </w:rPr>
        <w:lastRenderedPageBreak/>
        <w:t>other than hepatic metabolism. Overall, TPI was the major component and 6-HMU was the major metabolite of TPI in human plasma, urine, and feces. No other metabolites greater than 5.02% TRA were observed from these sources.</w:t>
      </w:r>
    </w:p>
    <w:p w14:paraId="1586030F" w14:textId="77777777" w:rsidR="00DF61BC" w:rsidRPr="00C94C33" w:rsidRDefault="00DF61BC" w:rsidP="00955252">
      <w:pPr>
        <w:pStyle w:val="Heading4"/>
      </w:pPr>
      <w:r w:rsidRPr="00C94C33">
        <w:t>Mass balance studies</w:t>
      </w:r>
    </w:p>
    <w:p w14:paraId="006E542C" w14:textId="77777777" w:rsidR="00AA7141" w:rsidRDefault="00DF61BC" w:rsidP="00A549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szCs w:val="24"/>
          <w:lang w:eastAsia="en-AU"/>
        </w:rPr>
      </w:pPr>
      <w:r w:rsidRPr="00C94C33">
        <w:rPr>
          <w:rFonts w:eastAsia="Times New Roman"/>
          <w:kern w:val="16"/>
          <w:szCs w:val="24"/>
          <w:lang w:eastAsia="en-AU"/>
        </w:rPr>
        <w:t xml:space="preserve">The </w:t>
      </w:r>
      <w:r w:rsidR="00842E8F" w:rsidRPr="00C94C33">
        <w:rPr>
          <w:rFonts w:eastAsia="Times New Roman"/>
          <w:kern w:val="16"/>
          <w:szCs w:val="24"/>
          <w:lang w:eastAsia="en-AU"/>
        </w:rPr>
        <w:t>Phase I</w:t>
      </w:r>
      <w:r w:rsidRPr="00C94C33">
        <w:rPr>
          <w:rFonts w:eastAsia="Times New Roman"/>
          <w:kern w:val="16"/>
          <w:szCs w:val="24"/>
          <w:lang w:eastAsia="en-AU"/>
        </w:rPr>
        <w:t>, open</w:t>
      </w:r>
      <w:r w:rsidR="00394543" w:rsidRPr="00C94C33">
        <w:rPr>
          <w:rFonts w:eastAsia="Times New Roman"/>
          <w:kern w:val="16"/>
          <w:szCs w:val="24"/>
          <w:lang w:eastAsia="en-AU"/>
        </w:rPr>
        <w:t xml:space="preserve"> </w:t>
      </w:r>
      <w:r w:rsidRPr="00C94C33">
        <w:rPr>
          <w:rFonts w:eastAsia="Times New Roman"/>
          <w:kern w:val="16"/>
          <w:szCs w:val="24"/>
          <w:lang w:eastAsia="en-AU"/>
        </w:rPr>
        <w:t xml:space="preserve">label, mass balance </w:t>
      </w:r>
      <w:r w:rsidR="00394543" w:rsidRPr="00C94C33">
        <w:rPr>
          <w:rFonts w:eastAsia="Times New Roman"/>
          <w:kern w:val="16"/>
          <w:szCs w:val="24"/>
          <w:lang w:eastAsia="en-AU"/>
        </w:rPr>
        <w:t xml:space="preserve">Study </w:t>
      </w:r>
      <w:r w:rsidRPr="00C94C33">
        <w:rPr>
          <w:rFonts w:eastAsia="Times New Roman"/>
          <w:kern w:val="16"/>
          <w:szCs w:val="24"/>
          <w:lang w:eastAsia="en-AU"/>
        </w:rPr>
        <w:t xml:space="preserve">TPU-TAS-102-108 was finalised on 17 June 2015. The study was undertaken in patients with advanced solid tumours at the University of Pittsburgh Cancer Institute, USA. The first patient was allocated to treatment on 12 May 2014 and the last patient completed the study on 8 September 2014. </w:t>
      </w:r>
      <w:r w:rsidRPr="00C94C33">
        <w:rPr>
          <w:rFonts w:eastAsia="TimesNewRoman"/>
          <w:kern w:val="16"/>
          <w:szCs w:val="24"/>
          <w:lang w:eastAsia="en-AU"/>
        </w:rPr>
        <w:t>The study also included an extension part aimed at assessing the safety profile of TAS-102, and the anti-tumour activity of the drug. Only the mass-balance part of the study is di</w:t>
      </w:r>
      <w:r w:rsidR="00FB45D2" w:rsidRPr="00C94C33">
        <w:rPr>
          <w:rFonts w:eastAsia="TimesNewRoman"/>
          <w:kern w:val="16"/>
          <w:szCs w:val="24"/>
          <w:lang w:eastAsia="en-AU"/>
        </w:rPr>
        <w:t>scussed below.</w:t>
      </w:r>
    </w:p>
    <w:p w14:paraId="3D553F9D" w14:textId="7AEA0FD5" w:rsidR="00DF61BC" w:rsidRPr="00C94C33" w:rsidRDefault="00DF61BC" w:rsidP="00A549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line="240" w:lineRule="auto"/>
        <w:rPr>
          <w:rFonts w:eastAsia="Times New Roman"/>
          <w:kern w:val="16"/>
          <w:szCs w:val="24"/>
          <w:lang w:eastAsia="en-AU"/>
        </w:rPr>
      </w:pPr>
      <w:r w:rsidRPr="00C94C33">
        <w:rPr>
          <w:rFonts w:eastAsia="Times New Roman"/>
          <w:kern w:val="16"/>
          <w:szCs w:val="24"/>
          <w:lang w:eastAsia="en-AU"/>
        </w:rPr>
        <w:t>The objectives of the mass-balance study were as follows:</w:t>
      </w:r>
    </w:p>
    <w:p w14:paraId="0A762E00" w14:textId="726F73A1" w:rsidR="00DF61BC" w:rsidRPr="00C94C33" w:rsidRDefault="00DF61BC" w:rsidP="00A549D4">
      <w:pPr>
        <w:pStyle w:val="ListBullet"/>
      </w:pPr>
      <w:r w:rsidRPr="00C94C33">
        <w:t xml:space="preserve">To determine the total recovery and relative excretion of radiocarbon in urine, feces, and expired air after a single dose of TAS-102 with a light tracer dose of </w:t>
      </w:r>
      <w:r w:rsidR="00394543" w:rsidRPr="00C94C33">
        <w:t>[14C]</w:t>
      </w:r>
      <w:r w:rsidRPr="00C94C33">
        <w:t xml:space="preserve">-FTD or </w:t>
      </w:r>
      <w:r w:rsidR="00394543" w:rsidRPr="00C94C33">
        <w:t>[14C]</w:t>
      </w:r>
      <w:r w:rsidRPr="00C94C33">
        <w:t>-TPI.</w:t>
      </w:r>
    </w:p>
    <w:p w14:paraId="72CF5FCF" w14:textId="336BFEB1" w:rsidR="00DF61BC" w:rsidRPr="00C94C33" w:rsidRDefault="00DF61BC" w:rsidP="00A549D4">
      <w:pPr>
        <w:pStyle w:val="ListBullet"/>
      </w:pPr>
      <w:r w:rsidRPr="00C94C33">
        <w:t xml:space="preserve">To evaluate the PK profile of total radioactivity (TRA) in blood and plasma after a single dose of TAS-102 with a light tracer dose of </w:t>
      </w:r>
      <w:r w:rsidR="00394543" w:rsidRPr="00C94C33">
        <w:t>[14C]</w:t>
      </w:r>
      <w:r w:rsidRPr="00C94C33">
        <w:t xml:space="preserve">-FTD or </w:t>
      </w:r>
      <w:r w:rsidR="00394543" w:rsidRPr="00C94C33">
        <w:t>[14C]</w:t>
      </w:r>
      <w:r w:rsidRPr="00C94C33">
        <w:t>-TPI.</w:t>
      </w:r>
    </w:p>
    <w:p w14:paraId="189B6FAE" w14:textId="0C10756C" w:rsidR="00DF61BC" w:rsidRPr="00C94C33" w:rsidRDefault="00DF61BC" w:rsidP="00A549D4">
      <w:pPr>
        <w:pStyle w:val="ListBullet"/>
      </w:pPr>
      <w:r w:rsidRPr="00C94C33">
        <w:t xml:space="preserve">To evaluate the metabolic profile of TAS-102 in plasma, urine, and feces following administration of TAS-102 with a light tracer dose of </w:t>
      </w:r>
      <w:r w:rsidR="00394543" w:rsidRPr="00C94C33">
        <w:t>[14C]</w:t>
      </w:r>
      <w:r w:rsidRPr="00C94C33">
        <w:t xml:space="preserve">-FTD or </w:t>
      </w:r>
      <w:r w:rsidR="00394543" w:rsidRPr="00C94C33">
        <w:t>[14C]</w:t>
      </w:r>
      <w:r w:rsidRPr="00C94C33">
        <w:t>-TPI using pooled samples.</w:t>
      </w:r>
    </w:p>
    <w:p w14:paraId="1E1813D8" w14:textId="77777777" w:rsidR="00DF61BC" w:rsidRPr="00C94C33" w:rsidRDefault="00DF61BC" w:rsidP="00A549D4">
      <w:pPr>
        <w:pStyle w:val="ListBullet"/>
      </w:pPr>
      <w:r w:rsidRPr="00C94C33">
        <w:t>To identify major radioactive peaks of metabolites found in metabolite profiling analyses.</w:t>
      </w:r>
    </w:p>
    <w:p w14:paraId="1CBE10B3" w14:textId="1B7572C7" w:rsidR="00DF61BC" w:rsidRPr="00C94C33" w:rsidRDefault="00DF61BC" w:rsidP="00A549D4">
      <w:pPr>
        <w:pStyle w:val="ListBullet"/>
      </w:pPr>
      <w:r w:rsidRPr="00C94C33">
        <w:t xml:space="preserve">To determine plasma FTD, FTY, and TPI PK parameters following single oral dose administration of TAS-102 with a light tracer dose of </w:t>
      </w:r>
      <w:r w:rsidR="00394543" w:rsidRPr="00C94C33">
        <w:t>[14C]</w:t>
      </w:r>
      <w:r w:rsidRPr="00C94C33">
        <w:t xml:space="preserve">-FTD or </w:t>
      </w:r>
      <w:r w:rsidR="00394543" w:rsidRPr="00C94C33">
        <w:t>[14C]</w:t>
      </w:r>
      <w:r w:rsidRPr="00C94C33">
        <w:t>-TPI.</w:t>
      </w:r>
    </w:p>
    <w:p w14:paraId="42936497" w14:textId="32CE9981" w:rsidR="00DF61BC" w:rsidRPr="00C94C33" w:rsidRDefault="00DF61BC" w:rsidP="00A549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NewRoman"/>
          <w:kern w:val="16"/>
          <w:szCs w:val="24"/>
          <w:lang w:eastAsia="en-AU"/>
        </w:rPr>
      </w:pPr>
      <w:r w:rsidRPr="00C94C33">
        <w:rPr>
          <w:rFonts w:eastAsia="TimesNewRoman"/>
          <w:kern w:val="16"/>
          <w:szCs w:val="24"/>
          <w:lang w:eastAsia="en-AU"/>
        </w:rPr>
        <w:t>In the mass-balance part of the study, a single 60 mg dose of TAS-102 with radiolabelled FTD or TPI in an oral solution was given, with PK sampling on Day 1 through Day 8. Patients were allocated to 1</w:t>
      </w:r>
      <w:r w:rsidR="00394543" w:rsidRPr="00C94C33">
        <w:rPr>
          <w:rFonts w:eastAsia="TimesNewRoman"/>
          <w:kern w:val="16"/>
          <w:szCs w:val="24"/>
          <w:lang w:eastAsia="en-AU"/>
        </w:rPr>
        <w:t> </w:t>
      </w:r>
      <w:r w:rsidRPr="00C94C33">
        <w:rPr>
          <w:rFonts w:eastAsia="TimesNewRoman"/>
          <w:kern w:val="16"/>
          <w:szCs w:val="24"/>
          <w:lang w:eastAsia="en-AU"/>
        </w:rPr>
        <w:t xml:space="preserve">of the following 2 treatment groups: Group A received a single dose of 60 mg TAS-102 with a light tracer dose (200 nCi, approximately 1.2 </w:t>
      </w:r>
      <w:r w:rsidR="009265E3" w:rsidRPr="00C94C33">
        <w:rPr>
          <w:rFonts w:eastAsia="TimesNewRoman"/>
          <w:kern w:val="16"/>
          <w:szCs w:val="24"/>
          <w:lang w:eastAsia="en-AU"/>
        </w:rPr>
        <w:t>µg</w:t>
      </w:r>
      <w:r w:rsidRPr="00C94C33">
        <w:rPr>
          <w:rFonts w:eastAsia="TimesNewRoman"/>
          <w:kern w:val="16"/>
          <w:szCs w:val="24"/>
          <w:lang w:eastAsia="en-AU"/>
        </w:rPr>
        <w:t xml:space="preserve">) of </w:t>
      </w:r>
      <w:r w:rsidR="00394543" w:rsidRPr="00C94C33">
        <w:rPr>
          <w:rFonts w:eastAsia="TimesNewRoman"/>
          <w:kern w:val="16"/>
          <w:szCs w:val="24"/>
          <w:lang w:eastAsia="en-AU"/>
        </w:rPr>
        <w:t>[14C]</w:t>
      </w:r>
      <w:r w:rsidRPr="00C94C33">
        <w:rPr>
          <w:rFonts w:eastAsia="TimesNewRoman"/>
          <w:kern w:val="16"/>
          <w:szCs w:val="24"/>
          <w:lang w:eastAsia="en-AU"/>
        </w:rPr>
        <w:t xml:space="preserve">-FTD administered as an oral solution on Day 1 in the morning within 30 minutes of completion of a standardised breakfast; and Group B received a single dose of 60 mg TAS-102 with a light tracer dose (1000 nCi, approximately 5.6 </w:t>
      </w:r>
      <w:r w:rsidR="009265E3" w:rsidRPr="00C94C33">
        <w:rPr>
          <w:rFonts w:eastAsia="TimesNewRoman"/>
          <w:kern w:val="16"/>
          <w:szCs w:val="24"/>
          <w:lang w:eastAsia="en-AU"/>
        </w:rPr>
        <w:t>µg</w:t>
      </w:r>
      <w:r w:rsidRPr="00C94C33">
        <w:rPr>
          <w:rFonts w:eastAsia="TimesNewRoman"/>
          <w:kern w:val="16"/>
          <w:szCs w:val="24"/>
          <w:lang w:eastAsia="en-AU"/>
        </w:rPr>
        <w:t xml:space="preserve">) of </w:t>
      </w:r>
      <w:r w:rsidR="00394543" w:rsidRPr="00C94C33">
        <w:rPr>
          <w:rFonts w:eastAsia="TimesNewRoman"/>
          <w:kern w:val="16"/>
          <w:szCs w:val="24"/>
          <w:lang w:eastAsia="en-AU"/>
        </w:rPr>
        <w:t>[14C]</w:t>
      </w:r>
      <w:r w:rsidR="00493650" w:rsidRPr="00C94C33">
        <w:rPr>
          <w:rFonts w:eastAsia="TimesNewRoman"/>
          <w:kern w:val="16"/>
          <w:szCs w:val="24"/>
          <w:lang w:eastAsia="en-AU"/>
        </w:rPr>
        <w:noBreakHyphen/>
      </w:r>
      <w:r w:rsidRPr="00C94C33">
        <w:rPr>
          <w:rFonts w:eastAsia="TimesNewRoman"/>
          <w:kern w:val="16"/>
          <w:szCs w:val="24"/>
          <w:lang w:eastAsia="en-AU"/>
        </w:rPr>
        <w:t>TPI administered as an oral solution on Day 1 in the morning within 30 minutes of completion of a standardised breakfast.</w:t>
      </w:r>
    </w:p>
    <w:p w14:paraId="2B86CC39" w14:textId="391D5865" w:rsidR="00DF61BC" w:rsidRPr="00C94C33" w:rsidRDefault="00DF61BC" w:rsidP="00A549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NewRoman"/>
          <w:kern w:val="16"/>
          <w:szCs w:val="24"/>
          <w:lang w:eastAsia="en-AU"/>
        </w:rPr>
      </w:pPr>
      <w:r w:rsidRPr="00C94C33">
        <w:rPr>
          <w:rFonts w:eastAsia="TimesNewRoman"/>
          <w:kern w:val="16"/>
          <w:szCs w:val="24"/>
          <w:lang w:eastAsia="en-AU"/>
        </w:rPr>
        <w:t>The first 4 patients enrolled were allocated to Group A, and the next 4 patients enrolled were allocated to Group B. The data from these 8 patients were included in the PK analysis if complete collection of all urine and f</w:t>
      </w:r>
      <w:r w:rsidR="00493650" w:rsidRPr="00C94C33">
        <w:rPr>
          <w:rFonts w:eastAsia="TimesNewRoman"/>
          <w:kern w:val="16"/>
          <w:szCs w:val="24"/>
          <w:lang w:eastAsia="en-AU"/>
        </w:rPr>
        <w:t>a</w:t>
      </w:r>
      <w:r w:rsidRPr="00C94C33">
        <w:rPr>
          <w:rFonts w:eastAsia="TimesNewRoman"/>
          <w:kern w:val="16"/>
          <w:szCs w:val="24"/>
          <w:lang w:eastAsia="en-AU"/>
        </w:rPr>
        <w:t>ecal samples between 0 and 96 hours post-dose had been obtained, and there had been no more than 1 missing urine or f</w:t>
      </w:r>
      <w:r w:rsidR="00493650" w:rsidRPr="00C94C33">
        <w:rPr>
          <w:rFonts w:eastAsia="TimesNewRoman"/>
          <w:kern w:val="16"/>
          <w:szCs w:val="24"/>
          <w:lang w:eastAsia="en-AU"/>
        </w:rPr>
        <w:t>a</w:t>
      </w:r>
      <w:r w:rsidRPr="00C94C33">
        <w:rPr>
          <w:rFonts w:eastAsia="TimesNewRoman"/>
          <w:kern w:val="16"/>
          <w:szCs w:val="24"/>
          <w:lang w:eastAsia="en-AU"/>
        </w:rPr>
        <w:t xml:space="preserve">ecal sample between 96 and 168 hours post-dose. Patients remained at the clinical site from 10 hours prior to the administration of study drug on Day 1 through to the completion of all post-dose sample collections on Day 8. During Day 1 through Day 8, samples of whole blood, urine, and feces were collected for measurement of total radioactivity (TRA) after administration of </w:t>
      </w:r>
      <w:r w:rsidR="00394543" w:rsidRPr="00C94C33">
        <w:rPr>
          <w:rFonts w:eastAsia="TimesNewRoman"/>
          <w:kern w:val="16"/>
          <w:szCs w:val="24"/>
          <w:lang w:eastAsia="en-AU"/>
        </w:rPr>
        <w:t>[14C]</w:t>
      </w:r>
      <w:r w:rsidRPr="00C94C33">
        <w:rPr>
          <w:rFonts w:eastAsia="TimesNewRoman"/>
          <w:kern w:val="16"/>
          <w:szCs w:val="24"/>
          <w:lang w:eastAsia="en-AU"/>
        </w:rPr>
        <w:t xml:space="preserve">-FTD or </w:t>
      </w:r>
      <w:r w:rsidR="00394543" w:rsidRPr="00C94C33">
        <w:rPr>
          <w:rFonts w:eastAsia="TimesNewRoman"/>
          <w:kern w:val="16"/>
          <w:szCs w:val="24"/>
          <w:lang w:eastAsia="en-AU"/>
        </w:rPr>
        <w:t>[14C]</w:t>
      </w:r>
      <w:r w:rsidRPr="00C94C33">
        <w:rPr>
          <w:rFonts w:eastAsia="TimesNewRoman"/>
          <w:kern w:val="16"/>
          <w:szCs w:val="24"/>
          <w:lang w:eastAsia="en-AU"/>
        </w:rPr>
        <w:t>-TPI in the TAS-102 oral solution.</w:t>
      </w:r>
    </w:p>
    <w:p w14:paraId="42405210" w14:textId="77777777" w:rsidR="00AA7141" w:rsidRDefault="00DF61BC" w:rsidP="00A549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NewRoman"/>
          <w:kern w:val="16"/>
          <w:szCs w:val="24"/>
          <w:lang w:eastAsia="en-AU"/>
        </w:rPr>
      </w:pPr>
      <w:r w:rsidRPr="00C94C33">
        <w:rPr>
          <w:rFonts w:eastAsia="TimesNewRoman" w:hint="eastAsia"/>
          <w:kern w:val="16"/>
          <w:szCs w:val="24"/>
          <w:lang w:eastAsia="en-AU"/>
        </w:rPr>
        <w:t>For both treatment groups, 8.5 mL of blood was collected at pre</w:t>
      </w:r>
      <w:r w:rsidRPr="00C94C33">
        <w:rPr>
          <w:rFonts w:eastAsia="TimesNewRoman"/>
          <w:kern w:val="16"/>
          <w:szCs w:val="24"/>
          <w:lang w:eastAsia="en-AU"/>
        </w:rPr>
        <w:t>-</w:t>
      </w:r>
      <w:r w:rsidRPr="00C94C33">
        <w:rPr>
          <w:rFonts w:eastAsia="TimesNewRoman" w:hint="eastAsia"/>
          <w:kern w:val="16"/>
          <w:szCs w:val="24"/>
          <w:lang w:eastAsia="en-AU"/>
        </w:rPr>
        <w:t>dose</w:t>
      </w:r>
      <w:r w:rsidRPr="00C94C33">
        <w:rPr>
          <w:rFonts w:eastAsia="TimesNewRoman"/>
          <w:kern w:val="16"/>
          <w:szCs w:val="24"/>
          <w:lang w:eastAsia="en-AU"/>
        </w:rPr>
        <w:t xml:space="preserve"> </w:t>
      </w:r>
      <w:r w:rsidRPr="00C94C33">
        <w:rPr>
          <w:rFonts w:eastAsia="TimesNewRoman" w:hint="eastAsia"/>
          <w:kern w:val="16"/>
          <w:szCs w:val="24"/>
          <w:lang w:eastAsia="en-AU"/>
        </w:rPr>
        <w:t>(0 hour)</w:t>
      </w:r>
      <w:r w:rsidRPr="00C94C33">
        <w:rPr>
          <w:rFonts w:eastAsia="TimesNewRoman"/>
          <w:kern w:val="16"/>
          <w:szCs w:val="24"/>
          <w:lang w:eastAsia="en-AU"/>
        </w:rPr>
        <w:t xml:space="preserve">, </w:t>
      </w:r>
      <w:r w:rsidRPr="00C94C33">
        <w:rPr>
          <w:rFonts w:eastAsia="TimesNewRoman" w:hint="eastAsia"/>
          <w:kern w:val="16"/>
          <w:szCs w:val="24"/>
          <w:lang w:eastAsia="en-AU"/>
        </w:rPr>
        <w:t xml:space="preserve">and </w:t>
      </w:r>
      <w:r w:rsidRPr="00C94C33">
        <w:rPr>
          <w:rFonts w:eastAsia="TimesNewRoman"/>
          <w:kern w:val="16"/>
          <w:szCs w:val="24"/>
          <w:lang w:eastAsia="en-AU"/>
        </w:rPr>
        <w:t xml:space="preserve">then post-dose </w:t>
      </w:r>
      <w:r w:rsidRPr="00C94C33">
        <w:rPr>
          <w:rFonts w:eastAsia="TimesNewRoman" w:hint="eastAsia"/>
          <w:kern w:val="16"/>
          <w:szCs w:val="24"/>
          <w:lang w:eastAsia="en-AU"/>
        </w:rPr>
        <w:t>at 30 min, 1, 2, 4, 8, 12, 24, 48, 72, 96, 120, 144 and 168 hours</w:t>
      </w:r>
      <w:r w:rsidRPr="00C94C33">
        <w:rPr>
          <w:rFonts w:eastAsia="TimesNewRoman"/>
          <w:kern w:val="16"/>
          <w:szCs w:val="24"/>
          <w:lang w:eastAsia="en-AU"/>
        </w:rPr>
        <w:t xml:space="preserve">. </w:t>
      </w:r>
      <w:r w:rsidRPr="00C94C33">
        <w:rPr>
          <w:rFonts w:eastAsia="TimesNewRoman" w:hint="eastAsia"/>
          <w:kern w:val="16"/>
          <w:szCs w:val="24"/>
          <w:lang w:eastAsia="en-AU"/>
        </w:rPr>
        <w:t>At each time point, a</w:t>
      </w:r>
      <w:r w:rsidRPr="00C94C33">
        <w:rPr>
          <w:rFonts w:eastAsia="TimesNewRoman"/>
          <w:kern w:val="16"/>
          <w:szCs w:val="24"/>
          <w:lang w:eastAsia="en-AU"/>
        </w:rPr>
        <w:t>n</w:t>
      </w:r>
      <w:r w:rsidRPr="00C94C33">
        <w:rPr>
          <w:rFonts w:eastAsia="TimesNewRoman" w:hint="eastAsia"/>
          <w:kern w:val="16"/>
          <w:szCs w:val="24"/>
          <w:lang w:eastAsia="en-AU"/>
        </w:rPr>
        <w:t xml:space="preserve"> 0.5 mL subsample of whole blood was</w:t>
      </w:r>
      <w:r w:rsidRPr="00C94C33">
        <w:rPr>
          <w:rFonts w:eastAsia="TimesNewRoman"/>
          <w:kern w:val="16"/>
          <w:szCs w:val="24"/>
          <w:lang w:eastAsia="en-AU"/>
        </w:rPr>
        <w:t xml:space="preserve"> </w:t>
      </w:r>
      <w:r w:rsidRPr="00C94C33">
        <w:rPr>
          <w:rFonts w:eastAsia="TimesNewRoman" w:hint="eastAsia"/>
          <w:kern w:val="16"/>
          <w:szCs w:val="24"/>
          <w:lang w:eastAsia="en-AU"/>
        </w:rPr>
        <w:t>retained for accelerator mass</w:t>
      </w:r>
      <w:r w:rsidRPr="00C94C33">
        <w:rPr>
          <w:rFonts w:eastAsia="TimesNewRoman"/>
          <w:kern w:val="16"/>
          <w:szCs w:val="24"/>
          <w:lang w:eastAsia="en-AU"/>
        </w:rPr>
        <w:t xml:space="preserve"> </w:t>
      </w:r>
      <w:r w:rsidRPr="00C94C33">
        <w:rPr>
          <w:rFonts w:eastAsia="TimesNewRoman" w:hint="eastAsia"/>
          <w:kern w:val="16"/>
          <w:szCs w:val="24"/>
          <w:lang w:eastAsia="en-AU"/>
        </w:rPr>
        <w:t>spectrometry (AMS) analysis of TRA.</w:t>
      </w:r>
      <w:r w:rsidRPr="00C94C33">
        <w:rPr>
          <w:rFonts w:eastAsia="TimesNewRoman"/>
          <w:kern w:val="16"/>
          <w:szCs w:val="24"/>
          <w:lang w:eastAsia="en-AU"/>
        </w:rPr>
        <w:t xml:space="preserve"> </w:t>
      </w:r>
      <w:r w:rsidRPr="00C94C33">
        <w:rPr>
          <w:rFonts w:eastAsia="TimesNewRoman" w:hint="eastAsia"/>
          <w:kern w:val="16"/>
          <w:szCs w:val="24"/>
          <w:lang w:eastAsia="en-AU"/>
        </w:rPr>
        <w:t>The remainder was centrifuged to prepare plasma for determination of FTD, FTY and TPI</w:t>
      </w:r>
      <w:r w:rsidRPr="00C94C33">
        <w:rPr>
          <w:rFonts w:eastAsia="TimesNewRoman"/>
          <w:kern w:val="16"/>
          <w:szCs w:val="24"/>
          <w:lang w:eastAsia="en-AU"/>
        </w:rPr>
        <w:t xml:space="preserve"> </w:t>
      </w:r>
      <w:r w:rsidRPr="00C94C33">
        <w:rPr>
          <w:rFonts w:eastAsia="TimesNewRoman" w:hint="eastAsia"/>
          <w:kern w:val="16"/>
          <w:szCs w:val="24"/>
          <w:lang w:eastAsia="en-AU"/>
        </w:rPr>
        <w:t>concentrations by means of conventional</w:t>
      </w:r>
      <w:r w:rsidRPr="00C94C33">
        <w:rPr>
          <w:rFonts w:eastAsia="TimesNewRoman"/>
          <w:kern w:val="16"/>
          <w:szCs w:val="24"/>
          <w:lang w:eastAsia="en-AU"/>
        </w:rPr>
        <w:t xml:space="preserve"> analysis using </w:t>
      </w:r>
      <w:r w:rsidRPr="00C94C33">
        <w:rPr>
          <w:rFonts w:eastAsia="TimesNewRoman" w:hint="eastAsia"/>
          <w:kern w:val="16"/>
          <w:szCs w:val="24"/>
          <w:lang w:eastAsia="en-AU"/>
        </w:rPr>
        <w:t>LC-MS/MS, for AMS analysis of TRA, and for metabolite profiling and identification.</w:t>
      </w:r>
      <w:r w:rsidRPr="00C94C33">
        <w:rPr>
          <w:rFonts w:eastAsia="TimesNewRoman"/>
          <w:kern w:val="16"/>
          <w:szCs w:val="24"/>
          <w:lang w:eastAsia="en-AU"/>
        </w:rPr>
        <w:t xml:space="preserve"> </w:t>
      </w:r>
      <w:r w:rsidRPr="00C94C33">
        <w:rPr>
          <w:rFonts w:eastAsia="TimesNewRoman" w:hint="eastAsia"/>
          <w:kern w:val="16"/>
          <w:szCs w:val="24"/>
          <w:lang w:eastAsia="en-AU"/>
        </w:rPr>
        <w:t>Urine and f</w:t>
      </w:r>
      <w:r w:rsidR="00493650" w:rsidRPr="00C94C33">
        <w:rPr>
          <w:rFonts w:eastAsia="TimesNewRoman"/>
          <w:kern w:val="16"/>
          <w:szCs w:val="24"/>
          <w:lang w:eastAsia="en-AU"/>
        </w:rPr>
        <w:t>a</w:t>
      </w:r>
      <w:r w:rsidRPr="00C94C33">
        <w:rPr>
          <w:rFonts w:eastAsia="TimesNewRoman" w:hint="eastAsia"/>
          <w:kern w:val="16"/>
          <w:szCs w:val="24"/>
          <w:lang w:eastAsia="en-AU"/>
        </w:rPr>
        <w:t>ecal samples were collected pre</w:t>
      </w:r>
      <w:r w:rsidRPr="00C94C33">
        <w:rPr>
          <w:rFonts w:eastAsia="TimesNewRoman"/>
          <w:kern w:val="16"/>
          <w:szCs w:val="24"/>
          <w:lang w:eastAsia="en-AU"/>
        </w:rPr>
        <w:t>-</w:t>
      </w:r>
      <w:r w:rsidRPr="00C94C33">
        <w:rPr>
          <w:rFonts w:eastAsia="TimesNewRoman" w:hint="eastAsia"/>
          <w:kern w:val="16"/>
          <w:szCs w:val="24"/>
          <w:lang w:eastAsia="en-AU"/>
        </w:rPr>
        <w:t>dose (single sample</w:t>
      </w:r>
      <w:r w:rsidRPr="00C94C33">
        <w:rPr>
          <w:rFonts w:eastAsia="TimesNewRoman"/>
          <w:kern w:val="16"/>
          <w:szCs w:val="24"/>
          <w:lang w:eastAsia="en-AU"/>
        </w:rPr>
        <w:t xml:space="preserve"> </w:t>
      </w:r>
      <w:r w:rsidRPr="00C94C33">
        <w:rPr>
          <w:rFonts w:eastAsia="TimesNewRoman" w:hint="eastAsia"/>
          <w:kern w:val="16"/>
          <w:szCs w:val="24"/>
          <w:lang w:eastAsia="en-AU"/>
        </w:rPr>
        <w:t>collection)</w:t>
      </w:r>
      <w:r w:rsidRPr="00C94C33">
        <w:rPr>
          <w:rFonts w:eastAsia="TimesNewRoman"/>
          <w:kern w:val="16"/>
          <w:szCs w:val="24"/>
          <w:lang w:eastAsia="en-AU"/>
        </w:rPr>
        <w:t xml:space="preserve">, </w:t>
      </w:r>
      <w:r w:rsidRPr="00C94C33">
        <w:rPr>
          <w:rFonts w:eastAsia="TimesNewRoman" w:hint="eastAsia"/>
          <w:kern w:val="16"/>
          <w:szCs w:val="24"/>
          <w:lang w:eastAsia="en-AU"/>
        </w:rPr>
        <w:t xml:space="preserve">and </w:t>
      </w:r>
      <w:r w:rsidRPr="00C94C33">
        <w:rPr>
          <w:rFonts w:eastAsia="TimesNewRoman"/>
          <w:kern w:val="16"/>
          <w:szCs w:val="24"/>
          <w:lang w:eastAsia="en-AU"/>
        </w:rPr>
        <w:t xml:space="preserve">post-dose </w:t>
      </w:r>
      <w:r w:rsidRPr="00C94C33">
        <w:rPr>
          <w:rFonts w:eastAsia="TimesNewRoman" w:hint="eastAsia"/>
          <w:kern w:val="16"/>
          <w:szCs w:val="24"/>
          <w:lang w:eastAsia="en-AU"/>
        </w:rPr>
        <w:t>from 0 to 24, 24 to 48, 48 to 72, 72 to 96, 96 to 120, 120 to 144 and 144 to 168</w:t>
      </w:r>
      <w:r w:rsidRPr="00C94C33">
        <w:rPr>
          <w:rFonts w:eastAsia="TimesNewRoman"/>
          <w:kern w:val="16"/>
          <w:szCs w:val="24"/>
          <w:lang w:eastAsia="en-AU"/>
        </w:rPr>
        <w:t xml:space="preserve"> </w:t>
      </w:r>
      <w:r w:rsidRPr="00C94C33">
        <w:rPr>
          <w:rFonts w:eastAsia="TimesNewRoman" w:hint="eastAsia"/>
          <w:kern w:val="16"/>
          <w:szCs w:val="24"/>
          <w:lang w:eastAsia="en-AU"/>
        </w:rPr>
        <w:t>hours.</w:t>
      </w:r>
      <w:r w:rsidRPr="00C94C33">
        <w:rPr>
          <w:rFonts w:eastAsia="TimesNewRoman"/>
          <w:kern w:val="16"/>
          <w:szCs w:val="24"/>
          <w:lang w:eastAsia="en-AU"/>
        </w:rPr>
        <w:t xml:space="preserve"> S</w:t>
      </w:r>
      <w:r w:rsidRPr="00C94C33">
        <w:rPr>
          <w:rFonts w:eastAsia="TimesNewRoman" w:hint="eastAsia"/>
          <w:kern w:val="16"/>
          <w:szCs w:val="24"/>
          <w:lang w:eastAsia="en-AU"/>
        </w:rPr>
        <w:t>amples of carbon dioxide (CO</w:t>
      </w:r>
      <w:r w:rsidRPr="00C94C33">
        <w:rPr>
          <w:rFonts w:eastAsia="TimesNewRoman" w:hint="eastAsia"/>
          <w:kern w:val="16"/>
          <w:szCs w:val="24"/>
          <w:vertAlign w:val="subscript"/>
          <w:lang w:eastAsia="en-AU"/>
        </w:rPr>
        <w:t>2</w:t>
      </w:r>
      <w:r w:rsidRPr="00C94C33">
        <w:rPr>
          <w:rFonts w:eastAsia="TimesNewRoman" w:hint="eastAsia"/>
          <w:kern w:val="16"/>
          <w:szCs w:val="24"/>
          <w:lang w:eastAsia="en-AU"/>
        </w:rPr>
        <w:t>) were</w:t>
      </w:r>
      <w:r w:rsidRPr="00C94C33">
        <w:rPr>
          <w:rFonts w:eastAsia="TimesNewRoman"/>
          <w:kern w:val="16"/>
          <w:szCs w:val="24"/>
          <w:lang w:eastAsia="en-AU"/>
        </w:rPr>
        <w:t xml:space="preserve"> collected from subjects in Group A </w:t>
      </w:r>
      <w:r w:rsidRPr="00C94C33">
        <w:rPr>
          <w:rFonts w:eastAsia="TimesNewRoman" w:hint="eastAsia"/>
          <w:kern w:val="16"/>
          <w:szCs w:val="24"/>
          <w:lang w:eastAsia="en-AU"/>
        </w:rPr>
        <w:t xml:space="preserve">for determination of TRA </w:t>
      </w:r>
      <w:r w:rsidRPr="00C94C33">
        <w:rPr>
          <w:rFonts w:eastAsia="TimesNewRoman"/>
          <w:kern w:val="16"/>
          <w:szCs w:val="24"/>
          <w:lang w:eastAsia="en-AU"/>
        </w:rPr>
        <w:t>(</w:t>
      </w:r>
      <w:r w:rsidRPr="00C94C33">
        <w:rPr>
          <w:rFonts w:eastAsia="TimesNewRoman" w:hint="eastAsia"/>
          <w:kern w:val="16"/>
          <w:szCs w:val="24"/>
          <w:vertAlign w:val="superscript"/>
          <w:lang w:eastAsia="en-AU"/>
        </w:rPr>
        <w:t>14</w:t>
      </w:r>
      <w:r w:rsidRPr="00C94C33">
        <w:rPr>
          <w:rFonts w:eastAsia="TimesNewRoman" w:hint="eastAsia"/>
          <w:kern w:val="16"/>
          <w:szCs w:val="24"/>
          <w:lang w:eastAsia="en-AU"/>
        </w:rPr>
        <w:t>CO</w:t>
      </w:r>
      <w:r w:rsidRPr="00C94C33">
        <w:rPr>
          <w:rFonts w:eastAsia="TimesNewRoman" w:hint="eastAsia"/>
          <w:kern w:val="16"/>
          <w:szCs w:val="24"/>
          <w:vertAlign w:val="subscript"/>
          <w:lang w:eastAsia="en-AU"/>
        </w:rPr>
        <w:t>2</w:t>
      </w:r>
      <w:r w:rsidRPr="00C94C33">
        <w:rPr>
          <w:rFonts w:eastAsia="TimesNewRoman"/>
          <w:kern w:val="16"/>
          <w:szCs w:val="24"/>
          <w:lang w:eastAsia="en-AU"/>
        </w:rPr>
        <w:t>) in</w:t>
      </w:r>
      <w:r w:rsidRPr="00C94C33">
        <w:rPr>
          <w:rFonts w:eastAsia="TimesNewRoman" w:hint="eastAsia"/>
          <w:kern w:val="16"/>
          <w:szCs w:val="24"/>
          <w:lang w:eastAsia="en-AU"/>
        </w:rPr>
        <w:t xml:space="preserve"> expired air pre</w:t>
      </w:r>
      <w:r w:rsidRPr="00C94C33">
        <w:rPr>
          <w:rFonts w:eastAsia="TimesNewRoman"/>
          <w:kern w:val="16"/>
          <w:szCs w:val="24"/>
          <w:lang w:eastAsia="en-AU"/>
        </w:rPr>
        <w:t>-</w:t>
      </w:r>
      <w:r w:rsidRPr="00C94C33">
        <w:rPr>
          <w:rFonts w:eastAsia="TimesNewRoman" w:hint="eastAsia"/>
          <w:kern w:val="16"/>
          <w:szCs w:val="24"/>
          <w:lang w:eastAsia="en-AU"/>
        </w:rPr>
        <w:t>dose (0 hour)</w:t>
      </w:r>
      <w:r w:rsidRPr="00C94C33">
        <w:rPr>
          <w:rFonts w:eastAsia="TimesNewRoman"/>
          <w:kern w:val="16"/>
          <w:szCs w:val="24"/>
          <w:lang w:eastAsia="en-AU"/>
        </w:rPr>
        <w:t xml:space="preserve">, </w:t>
      </w:r>
      <w:r w:rsidRPr="00C94C33">
        <w:rPr>
          <w:rFonts w:eastAsia="TimesNewRoman" w:hint="eastAsia"/>
          <w:kern w:val="16"/>
          <w:szCs w:val="24"/>
          <w:lang w:eastAsia="en-AU"/>
        </w:rPr>
        <w:t xml:space="preserve">and </w:t>
      </w:r>
      <w:r w:rsidRPr="00C94C33">
        <w:rPr>
          <w:rFonts w:eastAsia="TimesNewRoman"/>
          <w:kern w:val="16"/>
          <w:szCs w:val="24"/>
          <w:lang w:eastAsia="en-AU"/>
        </w:rPr>
        <w:t xml:space="preserve">then post-dose </w:t>
      </w:r>
      <w:r w:rsidRPr="00C94C33">
        <w:rPr>
          <w:rFonts w:eastAsia="TimesNewRoman" w:hint="eastAsia"/>
          <w:kern w:val="16"/>
          <w:szCs w:val="24"/>
          <w:lang w:eastAsia="en-AU"/>
        </w:rPr>
        <w:t>at 30 min</w:t>
      </w:r>
      <w:r w:rsidRPr="00C94C33">
        <w:rPr>
          <w:rFonts w:eastAsia="TimesNewRoman"/>
          <w:kern w:val="16"/>
          <w:szCs w:val="24"/>
          <w:lang w:eastAsia="en-AU"/>
        </w:rPr>
        <w:t>utes</w:t>
      </w:r>
      <w:r w:rsidRPr="00C94C33">
        <w:rPr>
          <w:rFonts w:eastAsia="TimesNewRoman" w:hint="eastAsia"/>
          <w:kern w:val="16"/>
          <w:szCs w:val="24"/>
          <w:lang w:eastAsia="en-AU"/>
        </w:rPr>
        <w:t>, 1, 2, 4, 8, 12, 24, 48, 72, 96, 120, 144 and</w:t>
      </w:r>
      <w:r w:rsidRPr="00C94C33">
        <w:rPr>
          <w:rFonts w:eastAsia="TimesNewRoman"/>
          <w:kern w:val="16"/>
          <w:szCs w:val="24"/>
          <w:lang w:eastAsia="en-AU"/>
        </w:rPr>
        <w:t xml:space="preserve"> </w:t>
      </w:r>
      <w:r w:rsidRPr="00C94C33">
        <w:rPr>
          <w:rFonts w:eastAsia="TimesNewRoman" w:hint="eastAsia"/>
          <w:kern w:val="16"/>
          <w:szCs w:val="24"/>
          <w:lang w:eastAsia="en-AU"/>
        </w:rPr>
        <w:t>168 hours</w:t>
      </w:r>
      <w:r w:rsidRPr="00C94C33">
        <w:rPr>
          <w:rFonts w:eastAsia="TimesNewRoman"/>
          <w:kern w:val="16"/>
          <w:szCs w:val="24"/>
          <w:lang w:eastAsia="en-AU"/>
        </w:rPr>
        <w:t>.</w:t>
      </w:r>
    </w:p>
    <w:p w14:paraId="03009A3E" w14:textId="239FBDC7" w:rsidR="00DF61BC" w:rsidRPr="00C94C33" w:rsidRDefault="00DF61BC" w:rsidP="00A549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NewRoman"/>
          <w:kern w:val="16"/>
          <w:lang w:eastAsia="en-AU"/>
        </w:rPr>
      </w:pPr>
      <w:r w:rsidRPr="00C94C33">
        <w:rPr>
          <w:rFonts w:eastAsia="TimesNewRoman"/>
          <w:kern w:val="16"/>
          <w:szCs w:val="24"/>
          <w:lang w:eastAsia="en-AU"/>
        </w:rPr>
        <w:lastRenderedPageBreak/>
        <w:t>It was planned that 12 patients were to be screened and enrolled in order to obtain 8 patients evaluable for mass-balance analysis (4 in Group A, 4 in Group B). The patients were required to have advanced solid tumours (excluding previously treated breast cancer) for which no standard therapy exists. All patients were to be ≥ 18 years and both males and females could be enrolled. The mass balance part of the study included all 8 enrolled patients, and all 8 patients completed the mass balance analysis. The mean ± SD (median) age of the 8 patients was 57.4 ± 8.57 years (58.0</w:t>
      </w:r>
      <w:r w:rsidR="00DF75EE" w:rsidRPr="00C94C33">
        <w:rPr>
          <w:rFonts w:eastAsia="TimesNewRoman"/>
          <w:kern w:val="16"/>
          <w:szCs w:val="24"/>
          <w:lang w:eastAsia="en-AU"/>
        </w:rPr>
        <w:t> </w:t>
      </w:r>
      <w:r w:rsidRPr="00C94C33">
        <w:rPr>
          <w:rFonts w:eastAsia="TimesNewRoman"/>
          <w:kern w:val="16"/>
          <w:szCs w:val="24"/>
          <w:lang w:eastAsia="en-AU"/>
        </w:rPr>
        <w:t xml:space="preserve">years), with a range of 45 to 68 years. 6 of the 8 patients were male and 2 were female. All 8 patients </w:t>
      </w:r>
      <w:r w:rsidRPr="00C94C33">
        <w:rPr>
          <w:rFonts w:eastAsia="TimesNewRoman"/>
          <w:kern w:val="16"/>
          <w:lang w:eastAsia="en-AU"/>
        </w:rPr>
        <w:t xml:space="preserve">were categorised as </w:t>
      </w:r>
      <w:r w:rsidR="00842E8F" w:rsidRPr="00C94C33">
        <w:rPr>
          <w:rFonts w:eastAsia="TimesNewRoman"/>
          <w:kern w:val="16"/>
          <w:lang w:eastAsia="en-AU"/>
        </w:rPr>
        <w:t>‘</w:t>
      </w:r>
      <w:r w:rsidRPr="00C94C33">
        <w:rPr>
          <w:rFonts w:eastAsia="TimesNewRoman"/>
          <w:kern w:val="16"/>
          <w:lang w:eastAsia="en-AU"/>
        </w:rPr>
        <w:t>Caucasian/White</w:t>
      </w:r>
      <w:r w:rsidR="00842E8F" w:rsidRPr="00C94C33">
        <w:rPr>
          <w:rFonts w:eastAsia="TimesNewRoman"/>
          <w:kern w:val="16"/>
          <w:lang w:eastAsia="en-AU"/>
        </w:rPr>
        <w:t>’</w:t>
      </w:r>
      <w:r w:rsidRPr="00C94C33">
        <w:rPr>
          <w:rFonts w:eastAsia="TimesNewRoman"/>
          <w:kern w:val="16"/>
          <w:lang w:eastAsia="en-AU"/>
        </w:rPr>
        <w:t>. 6 patients had ECOG performance scores of Grade 0 (75%), while 2 patients in Group A (25%) had ECOG scores of Grade 1. 6 patients had colon cancer (75%) and 2 had rectal cancer (25%). The majority of patients had undergone ≥ 4 prior treatment regimens (6 patients, 75%); 1 patient in Group B (12.5%) had undergone 3 prior regimens, and 1 patient in Group A (12.5%) had undergone 2 prior regimens. Overall, the demographics and baseline characteristics of patients in Treatment Group A (</w:t>
      </w:r>
      <w:r w:rsidR="009C0389" w:rsidRPr="00C94C33">
        <w:rPr>
          <w:rFonts w:eastAsia="TimesNewRoman"/>
          <w:kern w:val="16"/>
          <w:lang w:eastAsia="en-AU"/>
        </w:rPr>
        <w:t xml:space="preserve">n = </w:t>
      </w:r>
      <w:r w:rsidRPr="00C94C33">
        <w:rPr>
          <w:rFonts w:eastAsia="TimesNewRoman"/>
          <w:kern w:val="16"/>
          <w:lang w:eastAsia="en-AU"/>
        </w:rPr>
        <w:t>4) and Treatment Group B (</w:t>
      </w:r>
      <w:r w:rsidR="009C0389" w:rsidRPr="00C94C33">
        <w:rPr>
          <w:rFonts w:eastAsia="TimesNewRoman"/>
          <w:kern w:val="16"/>
          <w:lang w:eastAsia="en-AU"/>
        </w:rPr>
        <w:t xml:space="preserve">n = </w:t>
      </w:r>
      <w:r w:rsidRPr="00C94C33">
        <w:rPr>
          <w:rFonts w:eastAsia="TimesNewRoman"/>
          <w:kern w:val="16"/>
          <w:lang w:eastAsia="en-AU"/>
        </w:rPr>
        <w:t>4) were comparable.</w:t>
      </w:r>
    </w:p>
    <w:p w14:paraId="4929FE63" w14:textId="04B82F83" w:rsidR="00DF61BC" w:rsidRPr="00C94C33" w:rsidRDefault="00DF61BC" w:rsidP="00955252">
      <w:pPr>
        <w:pStyle w:val="Heading4"/>
      </w:pPr>
      <w:r w:rsidRPr="00C94C33">
        <w:t>Results</w:t>
      </w:r>
      <w:r w:rsidR="00DF75EE" w:rsidRPr="00C94C33">
        <w:t xml:space="preserve">; </w:t>
      </w:r>
      <w:r w:rsidRPr="00C94C33">
        <w:t>FTD (Group A)</w:t>
      </w:r>
    </w:p>
    <w:p w14:paraId="0F9AED24" w14:textId="77777777" w:rsidR="00AA7141" w:rsidRDefault="00DF61BC" w:rsidP="00A549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NewRoman" w:cs="TimesNewRoman"/>
          <w:lang w:eastAsia="en-AU"/>
        </w:rPr>
      </w:pPr>
      <w:r w:rsidRPr="00C94C33">
        <w:rPr>
          <w:rFonts w:eastAsia="TimesNewRoman" w:cs="TimesNewRoman"/>
          <w:lang w:eastAsia="en-AU"/>
        </w:rPr>
        <w:t xml:space="preserve">The PK of TRA in plasma and blood for </w:t>
      </w:r>
      <w:r w:rsidR="00394543" w:rsidRPr="00C94C33">
        <w:rPr>
          <w:rFonts w:eastAsia="TimesNewRoman" w:cs="TimesNewRoman"/>
          <w:lang w:eastAsia="en-AU"/>
        </w:rPr>
        <w:t>[14C]</w:t>
      </w:r>
      <w:r w:rsidRPr="00C94C33">
        <w:rPr>
          <w:rFonts w:eastAsia="TimesNewRoman" w:cs="TimesNewRoman"/>
          <w:lang w:eastAsia="en-AU"/>
        </w:rPr>
        <w:t xml:space="preserve">-FTD are summarised, and the plasma and blood TRA over time are provided. After oral administration of TAS-102 with </w:t>
      </w:r>
      <w:r w:rsidR="00394543" w:rsidRPr="00C94C33">
        <w:rPr>
          <w:rFonts w:eastAsia="TimesNewRoman" w:cs="TimesNewRoman"/>
          <w:lang w:eastAsia="en-AU"/>
        </w:rPr>
        <w:t>[14C]</w:t>
      </w:r>
      <w:r w:rsidRPr="00C94C33">
        <w:rPr>
          <w:rFonts w:eastAsia="TimesNewRoman" w:cs="TimesNewRoman"/>
          <w:lang w:eastAsia="en-AU"/>
        </w:rPr>
        <w:t xml:space="preserve">-FTD, TRA in both blood and plasma exhibited similar concentration-time profiles with rapid absorption and initial elimination, followed by slow terminal phase elimination. The TRA from </w:t>
      </w:r>
      <w:r w:rsidR="00394543" w:rsidRPr="00C94C33">
        <w:rPr>
          <w:rFonts w:eastAsia="TimesNewRoman" w:cs="TimesNewRoman"/>
          <w:lang w:eastAsia="en-AU"/>
        </w:rPr>
        <w:t>[14C]</w:t>
      </w:r>
      <w:r w:rsidRPr="00C94C33">
        <w:rPr>
          <w:rFonts w:eastAsia="TimesNewRoman" w:cs="TimesNewRoman"/>
          <w:lang w:eastAsia="en-AU"/>
        </w:rPr>
        <w:t xml:space="preserve">-FTD reached a peak value in whole blood and in plasma within 2 hours, decreasing thereafter and then slowly declined 12 hours after dosing. </w:t>
      </w:r>
      <w:r w:rsidRPr="00C94C33">
        <w:rPr>
          <w:rFonts w:eastAsia="TimesNewRoman" w:cs="TimesNewRoman"/>
          <w:color w:val="000000"/>
          <w:lang w:eastAsia="en-AU"/>
        </w:rPr>
        <w:t xml:space="preserve">The TRA blood/plasma ratio of </w:t>
      </w:r>
      <w:r w:rsidR="00394543" w:rsidRPr="00C94C33">
        <w:rPr>
          <w:rFonts w:eastAsia="TimesNewRoman" w:cs="TimesNewRoman"/>
          <w:color w:val="000000"/>
          <w:lang w:eastAsia="en-AU"/>
        </w:rPr>
        <w:t>[14C]</w:t>
      </w:r>
      <w:r w:rsidRPr="00C94C33">
        <w:rPr>
          <w:rFonts w:eastAsia="TimesNewRoman" w:cs="TimesNewRoman"/>
          <w:color w:val="000000"/>
          <w:lang w:eastAsia="en-AU"/>
        </w:rPr>
        <w:t>-FTD was below 1 through the 4-hour time point, and was greater than 1 for the remainder of the sampling time points, reaching approximately 1.4 at the last available sampling point (168 hours).</w:t>
      </w:r>
      <w:r w:rsidRPr="00C94C33">
        <w:rPr>
          <w:rFonts w:eastAsia="TimesNewRoman" w:cs="TimesNewRoman"/>
          <w:lang w:eastAsia="en-AU"/>
        </w:rPr>
        <w:t xml:space="preserve"> The median T</w:t>
      </w:r>
      <w:r w:rsidRPr="00C94C33">
        <w:rPr>
          <w:rFonts w:eastAsia="TimesNewRoman" w:cs="TimesNewRoman"/>
          <w:sz w:val="20"/>
          <w:szCs w:val="20"/>
          <w:lang w:eastAsia="en-AU"/>
        </w:rPr>
        <w:t>max</w:t>
      </w:r>
      <w:r w:rsidRPr="00C94C33">
        <w:rPr>
          <w:rFonts w:eastAsia="TimesNewRoman" w:cs="TimesNewRoman"/>
          <w:lang w:eastAsia="en-AU"/>
        </w:rPr>
        <w:t xml:space="preserve"> of TRA in blood occurred at 1.925 hours, while the T</w:t>
      </w:r>
      <w:r w:rsidRPr="00C94C33">
        <w:rPr>
          <w:rFonts w:eastAsia="TimesNewRoman" w:cs="TimesNewRoman"/>
          <w:sz w:val="20"/>
          <w:szCs w:val="20"/>
          <w:lang w:eastAsia="en-AU"/>
        </w:rPr>
        <w:t>max</w:t>
      </w:r>
      <w:r w:rsidRPr="00C94C33">
        <w:rPr>
          <w:rFonts w:eastAsia="TimesNewRoman" w:cs="TimesNewRoman"/>
          <w:lang w:eastAsia="en-AU"/>
        </w:rPr>
        <w:t xml:space="preserve"> in plasma occurred at 1.442 hours. The median T</w:t>
      </w:r>
      <w:r w:rsidRPr="00C94C33">
        <w:rPr>
          <w:rFonts w:eastAsia="TimesNewRoman" w:cs="TimesNewRoman"/>
          <w:sz w:val="20"/>
          <w:szCs w:val="20"/>
          <w:lang w:eastAsia="en-AU"/>
        </w:rPr>
        <w:t>1/2</w:t>
      </w:r>
      <w:r w:rsidRPr="00C94C33">
        <w:rPr>
          <w:rFonts w:eastAsia="TimesNewRoman" w:cs="TimesNewRoman"/>
          <w:lang w:eastAsia="en-AU"/>
        </w:rPr>
        <w:t xml:space="preserve"> for TRA in plasma was estimated to be approximately 320 hours, but this value is unreliably as the percent extrapolated AUC was &gt; 20% for all patients. The sponsor stated that the T</w:t>
      </w:r>
      <w:r w:rsidRPr="00C94C33">
        <w:rPr>
          <w:rFonts w:eastAsia="TimesNewRoman" w:cs="TimesNewRoman"/>
          <w:sz w:val="20"/>
          <w:szCs w:val="20"/>
          <w:lang w:eastAsia="en-AU"/>
        </w:rPr>
        <w:t xml:space="preserve">1/2 </w:t>
      </w:r>
      <w:r w:rsidRPr="00C94C33">
        <w:rPr>
          <w:rFonts w:eastAsia="TimesNewRoman" w:cs="TimesNewRoman"/>
          <w:lang w:eastAsia="en-AU"/>
        </w:rPr>
        <w:t xml:space="preserve">for TRA in plasma was provided for </w:t>
      </w:r>
      <w:r w:rsidR="00842E8F" w:rsidRPr="00C94C33">
        <w:rPr>
          <w:rFonts w:eastAsia="TimesNewRoman" w:cs="TimesNewRoman"/>
          <w:lang w:eastAsia="en-AU"/>
        </w:rPr>
        <w:t>‘</w:t>
      </w:r>
      <w:r w:rsidRPr="00C94C33">
        <w:rPr>
          <w:rFonts w:eastAsia="TimesNewRoman" w:cs="TimesNewRoman"/>
          <w:lang w:eastAsia="en-AU"/>
        </w:rPr>
        <w:t>informational purposes</w:t>
      </w:r>
      <w:r w:rsidR="00842E8F" w:rsidRPr="00C94C33">
        <w:rPr>
          <w:rFonts w:eastAsia="TimesNewRoman" w:cs="TimesNewRoman"/>
          <w:lang w:eastAsia="en-AU"/>
        </w:rPr>
        <w:t>’</w:t>
      </w:r>
      <w:r w:rsidRPr="00C94C33">
        <w:rPr>
          <w:rFonts w:eastAsia="TimesNewRoman" w:cs="TimesNewRoman"/>
          <w:lang w:eastAsia="en-AU"/>
        </w:rPr>
        <w:t>, and that the T</w:t>
      </w:r>
      <w:r w:rsidRPr="00C94C33">
        <w:rPr>
          <w:rFonts w:eastAsia="TimesNewRoman" w:cs="TimesNewRoman"/>
          <w:sz w:val="20"/>
          <w:szCs w:val="20"/>
          <w:lang w:eastAsia="en-AU"/>
        </w:rPr>
        <w:t xml:space="preserve">1/2 </w:t>
      </w:r>
      <w:r w:rsidRPr="00C94C33">
        <w:rPr>
          <w:rFonts w:eastAsia="TimesNewRoman" w:cs="TimesNewRoman"/>
          <w:lang w:eastAsia="en-AU"/>
        </w:rPr>
        <w:t xml:space="preserve">for TRA in blood could not be calculated </w:t>
      </w:r>
      <w:r w:rsidR="00842E8F" w:rsidRPr="00C94C33">
        <w:rPr>
          <w:rFonts w:eastAsia="TimesNewRoman" w:cs="TimesNewRoman"/>
          <w:lang w:eastAsia="en-AU"/>
        </w:rPr>
        <w:t>‘</w:t>
      </w:r>
      <w:r w:rsidRPr="00C94C33">
        <w:rPr>
          <w:rFonts w:eastAsia="TimesNewRoman" w:cs="TimesNewRoman"/>
          <w:lang w:eastAsia="en-AU"/>
        </w:rPr>
        <w:t>as it was much longer than the observation period</w:t>
      </w:r>
      <w:r w:rsidR="00842E8F" w:rsidRPr="00C94C33">
        <w:rPr>
          <w:rFonts w:eastAsia="TimesNewRoman" w:cs="TimesNewRoman"/>
          <w:lang w:eastAsia="en-AU"/>
        </w:rPr>
        <w:t>’</w:t>
      </w:r>
      <w:r w:rsidRPr="00C94C33">
        <w:rPr>
          <w:rFonts w:eastAsia="TimesNewRoman" w:cs="TimesNewRoman"/>
          <w:lang w:eastAsia="en-AU"/>
        </w:rPr>
        <w:t>. The sponsor notes that the T</w:t>
      </w:r>
      <w:r w:rsidRPr="00C94C33">
        <w:rPr>
          <w:rFonts w:eastAsia="TimesNewRoman" w:cs="TimesNewRoman"/>
          <w:sz w:val="20"/>
          <w:szCs w:val="20"/>
          <w:lang w:eastAsia="en-AU"/>
        </w:rPr>
        <w:t xml:space="preserve">1/2 </w:t>
      </w:r>
      <w:r w:rsidRPr="00C94C33">
        <w:rPr>
          <w:rFonts w:eastAsia="TimesNewRoman" w:cs="TimesNewRoman"/>
          <w:lang w:eastAsia="en-AU"/>
        </w:rPr>
        <w:t>for TRA in plasma of approximately 320 hours was comparable to the known turnover half-life of human serum albumin (approximately 20 days), and suggests that the long T</w:t>
      </w:r>
      <w:r w:rsidRPr="00C94C33">
        <w:rPr>
          <w:rFonts w:eastAsia="TimesNewRoman" w:cs="TimesNewRoman"/>
          <w:sz w:val="20"/>
          <w:szCs w:val="20"/>
          <w:lang w:eastAsia="en-AU"/>
        </w:rPr>
        <w:t>1/2</w:t>
      </w:r>
      <w:r w:rsidRPr="00C94C33">
        <w:rPr>
          <w:rFonts w:eastAsia="TimesNewRoman" w:cs="TimesNewRoman"/>
          <w:lang w:eastAsia="en-AU"/>
        </w:rPr>
        <w:t xml:space="preserve"> might be due to covalent lysine-specific binding of FTD and FTY to human serum albumin.</w:t>
      </w:r>
    </w:p>
    <w:p w14:paraId="02C17EE3" w14:textId="5066B783" w:rsidR="00DF61BC" w:rsidRPr="00C94C33" w:rsidRDefault="00DF61BC" w:rsidP="00A549D4">
      <w:pPr>
        <w:autoSpaceDE w:val="0"/>
        <w:autoSpaceDN w:val="0"/>
        <w:adjustRightInd w:val="0"/>
        <w:spacing w:before="0" w:line="240" w:lineRule="auto"/>
        <w:rPr>
          <w:rFonts w:eastAsia="TimesNewRoman" w:cs="TimesNewRoman"/>
          <w:lang w:eastAsia="en-AU"/>
        </w:rPr>
      </w:pPr>
      <w:r w:rsidRPr="00C94C33">
        <w:rPr>
          <w:rFonts w:eastAsia="TimesNewRoman" w:cs="TimesNewRoman"/>
          <w:lang w:eastAsia="en-AU"/>
        </w:rPr>
        <w:t>The PK of FTD, FTY, and TPI for patients in Group A are summarised. To compare the LC-MS/MS concentration with TRA, FTY concentrations were converted to FTD equivalent concentrations. The mean C</w:t>
      </w:r>
      <w:r w:rsidRPr="00C94C33">
        <w:rPr>
          <w:rFonts w:eastAsia="TimesNewRoman" w:cs="TimesNewRoman"/>
          <w:sz w:val="20"/>
          <w:szCs w:val="20"/>
          <w:lang w:eastAsia="en-AU"/>
        </w:rPr>
        <w:t>max</w:t>
      </w:r>
      <w:r w:rsidRPr="00C94C33">
        <w:rPr>
          <w:rFonts w:eastAsia="TimesNewRoman" w:cs="TimesNewRoman"/>
          <w:lang w:eastAsia="en-AU"/>
        </w:rPr>
        <w:t xml:space="preserve"> of TRA (3095.0 ng-eq/mL in plasma) was comparable to the sum of FTD C</w:t>
      </w:r>
      <w:r w:rsidRPr="00C94C33">
        <w:rPr>
          <w:rFonts w:eastAsia="TimesNewRoman" w:cs="TimesNewRoman"/>
          <w:sz w:val="20"/>
          <w:szCs w:val="20"/>
          <w:lang w:eastAsia="en-AU"/>
        </w:rPr>
        <w:t>max</w:t>
      </w:r>
      <w:r w:rsidRPr="00C94C33">
        <w:rPr>
          <w:rFonts w:eastAsia="TimesNewRoman" w:cs="TimesNewRoman"/>
          <w:lang w:eastAsia="en-AU"/>
        </w:rPr>
        <w:t xml:space="preserve"> (1717.5</w:t>
      </w:r>
      <w:r w:rsidR="00DF75EE" w:rsidRPr="00C94C33">
        <w:rPr>
          <w:rFonts w:eastAsia="TimesNewRoman" w:cs="TimesNewRoman"/>
          <w:lang w:eastAsia="en-AU"/>
        </w:rPr>
        <w:t> </w:t>
      </w:r>
      <w:r w:rsidRPr="00C94C33">
        <w:rPr>
          <w:rFonts w:eastAsia="TimesNewRoman" w:cs="TimesNewRoman"/>
          <w:lang w:eastAsia="en-AU"/>
        </w:rPr>
        <w:t>ng/mL) and FTY C</w:t>
      </w:r>
      <w:r w:rsidRPr="00C94C33">
        <w:rPr>
          <w:rFonts w:eastAsia="TimesNewRoman" w:cs="TimesNewRoman"/>
          <w:sz w:val="20"/>
          <w:szCs w:val="20"/>
          <w:lang w:eastAsia="en-AU"/>
        </w:rPr>
        <w:t>max</w:t>
      </w:r>
      <w:r w:rsidRPr="00C94C33">
        <w:rPr>
          <w:rFonts w:eastAsia="TimesNewRoman" w:cs="TimesNewRoman"/>
          <w:lang w:eastAsia="en-AU"/>
        </w:rPr>
        <w:t xml:space="preserve"> (948 ng/mL as FTD equivalent). However, the AUC</w:t>
      </w:r>
      <w:r w:rsidRPr="00C94C33">
        <w:rPr>
          <w:rFonts w:eastAsia="TimesNewRoman" w:cs="TimesNewRoman"/>
          <w:sz w:val="20"/>
          <w:szCs w:val="20"/>
          <w:lang w:eastAsia="en-AU"/>
        </w:rPr>
        <w:t xml:space="preserve">0-last </w:t>
      </w:r>
      <w:r w:rsidRPr="00C94C33">
        <w:rPr>
          <w:rFonts w:eastAsia="TimesNewRoman" w:cs="TimesNewRoman"/>
          <w:lang w:eastAsia="en-AU"/>
        </w:rPr>
        <w:t>of TRA in plasma (86248.4 ng-equiv*hr/mL) was approximately 10-fold higher than the sum of AUC</w:t>
      </w:r>
      <w:r w:rsidRPr="00C94C33">
        <w:rPr>
          <w:rFonts w:eastAsia="TimesNewRoman" w:cs="TimesNewRoman"/>
          <w:sz w:val="20"/>
          <w:szCs w:val="20"/>
          <w:lang w:eastAsia="en-AU"/>
        </w:rPr>
        <w:t>0-last</w:t>
      </w:r>
      <w:r w:rsidRPr="00C94C33">
        <w:rPr>
          <w:rFonts w:eastAsia="TimesNewRoman" w:cs="TimesNewRoman"/>
          <w:lang w:eastAsia="en-AU"/>
        </w:rPr>
        <w:t xml:space="preserve"> of FTD (6026.1 ng*hr/mL) and FTY (4500 ng*hr/mL as FTD equivalent). Both FTD and FTY in plasma decreased to BLQ levels (&lt; 5 ng/mL) at 24 hours after dosing, suggesting that the TRA in plasma at time points later than 24 hours consists of metabolites of FTD other than FTY. Based on the AUC values, FTD and FTY accounted for approximately 12% of the total AUC of TRA in plasma.</w:t>
      </w:r>
    </w:p>
    <w:p w14:paraId="7233C1FA" w14:textId="069E8B97" w:rsidR="00A549D4" w:rsidRPr="00C94C33" w:rsidRDefault="00DF61BC" w:rsidP="005C2FCA">
      <w:pPr>
        <w:autoSpaceDE w:val="0"/>
        <w:autoSpaceDN w:val="0"/>
        <w:adjustRightInd w:val="0"/>
        <w:spacing w:line="240" w:lineRule="auto"/>
        <w:rPr>
          <w:rFonts w:cstheme="minorBidi"/>
          <w:b/>
          <w:bCs/>
          <w:kern w:val="16"/>
          <w:lang w:eastAsia="en-AU"/>
        </w:rPr>
      </w:pPr>
      <w:r w:rsidRPr="00C94C33">
        <w:rPr>
          <w:rFonts w:eastAsia="TimesNewRoman" w:cs="TimesNewRoman"/>
          <w:lang w:eastAsia="en-AU"/>
        </w:rPr>
        <w:t xml:space="preserve">The excretion of TRA from </w:t>
      </w:r>
      <w:r w:rsidR="00394543" w:rsidRPr="00C94C33">
        <w:rPr>
          <w:rFonts w:eastAsia="TimesNewRoman" w:cs="TimesNewRoman"/>
          <w:lang w:eastAsia="en-AU"/>
        </w:rPr>
        <w:t>[14C]</w:t>
      </w:r>
      <w:r w:rsidRPr="00C94C33">
        <w:rPr>
          <w:rFonts w:eastAsia="TimesNewRoman" w:cs="TimesNewRoman"/>
          <w:lang w:eastAsia="en-AU"/>
        </w:rPr>
        <w:t>-FTD in urine, feces, and expired CO</w:t>
      </w:r>
      <w:r w:rsidRPr="00C94C33">
        <w:rPr>
          <w:rFonts w:eastAsia="TimesNewRoman" w:cs="TimesNewRoman"/>
          <w:vertAlign w:val="subscript"/>
          <w:lang w:eastAsia="en-AU"/>
        </w:rPr>
        <w:t xml:space="preserve">2 </w:t>
      </w:r>
      <w:r w:rsidRPr="00C94C33">
        <w:rPr>
          <w:rFonts w:eastAsia="TimesNewRoman" w:cs="TimesNewRoman"/>
          <w:lang w:eastAsia="en-AU"/>
        </w:rPr>
        <w:t>are summarised.</w:t>
      </w:r>
      <w:r w:rsidRPr="00C94C33">
        <w:rPr>
          <w:rFonts w:eastAsia="TimesNewRoman" w:cs="TimesNewRoman"/>
          <w:color w:val="000000"/>
          <w:lang w:eastAsia="en-AU"/>
        </w:rPr>
        <w:t xml:space="preserve"> </w:t>
      </w:r>
      <w:r w:rsidRPr="00C94C33">
        <w:rPr>
          <w:rFonts w:eastAsia="TimesNewRoman" w:cs="TimesNewRoman"/>
          <w:lang w:eastAsia="en-AU"/>
        </w:rPr>
        <w:t xml:space="preserve">After oral administration of TAS-102 with </w:t>
      </w:r>
      <w:r w:rsidR="00394543" w:rsidRPr="00C94C33">
        <w:rPr>
          <w:rFonts w:eastAsia="TimesNewRoman" w:cs="TimesNewRoman"/>
          <w:lang w:eastAsia="en-AU"/>
        </w:rPr>
        <w:t>[14C]</w:t>
      </w:r>
      <w:r w:rsidRPr="00C94C33">
        <w:rPr>
          <w:rFonts w:eastAsia="TimesNewRoman" w:cs="TimesNewRoman"/>
          <w:lang w:eastAsia="en-AU"/>
        </w:rPr>
        <w:t>-FTD, most of the administered FTD was absorbed and only 2.6% of the dose was excreted unchanged into the feces. The absorbed FTD was metabolised, and the majority of TRA (54.8% of the dose) was excreted into urine as FTY and FTD glucuronide isomers. Only 2.4% of the dose was excreted into expired CO</w:t>
      </w:r>
      <w:r w:rsidRPr="00C94C33">
        <w:rPr>
          <w:rFonts w:eastAsia="TimesNewRoman" w:cs="TimesNewRoman"/>
          <w:vertAlign w:val="subscript"/>
          <w:lang w:eastAsia="en-AU"/>
        </w:rPr>
        <w:t>2</w:t>
      </w:r>
      <w:r w:rsidRPr="00C94C33">
        <w:rPr>
          <w:rFonts w:eastAsia="TimesNewRoman" w:cs="TimesNewRoman"/>
          <w:lang w:eastAsia="en-AU"/>
        </w:rPr>
        <w:t>, which the sponsor suggests shows limited ring-opening metabolism of the pyrimidine ring of FTD. Of the dose excreted, the radiochromatogram of the pooled urine sample suggested that the TRA in urine consisted of 13.9% unknown front peaks, 45.9% FTY, 33.3% FTD glucuronide isomers, and 2.41% FTD. Given the limited excretion of FTD into urine, the major elimination pathway of FTD is considered to be via hepatic or gastrointestinal metabolism</w:t>
      </w:r>
      <w:r w:rsidR="00DF75EE" w:rsidRPr="00C94C33">
        <w:rPr>
          <w:rFonts w:eastAsia="TimesNewRoman" w:cs="TimesNewRoman"/>
          <w:lang w:eastAsia="en-AU"/>
        </w:rPr>
        <w:t>.</w:t>
      </w:r>
      <w:bookmarkStart w:id="101" w:name="_Toc470948661"/>
    </w:p>
    <w:p w14:paraId="46A5984B" w14:textId="48779858" w:rsidR="00DF61BC" w:rsidRPr="00C94C33" w:rsidRDefault="00A549D4" w:rsidP="00A549D4">
      <w:pPr>
        <w:pStyle w:val="Tabletitle"/>
        <w:rPr>
          <w:rFonts w:eastAsia="TimesNewRoman" w:cs="TimesNewRoman"/>
          <w:bCs/>
          <w:lang w:eastAsia="en-AU"/>
        </w:rPr>
      </w:pPr>
      <w:r w:rsidRPr="00C94C33">
        <w:rPr>
          <w:bCs/>
          <w:kern w:val="16"/>
          <w:lang w:eastAsia="en-AU"/>
        </w:rPr>
        <w:lastRenderedPageBreak/>
        <w:t xml:space="preserve">Table 12: </w:t>
      </w:r>
      <w:r w:rsidR="00DF61BC" w:rsidRPr="00C94C33">
        <w:rPr>
          <w:rFonts w:eastAsia="TimesNewRoman" w:cs="TimesNewRoman"/>
          <w:bCs/>
          <w:lang w:eastAsia="en-AU"/>
        </w:rPr>
        <w:t xml:space="preserve">TPU-TAS-102-108 - </w:t>
      </w:r>
      <w:r w:rsidR="00DF61BC" w:rsidRPr="00C94C33">
        <w:rPr>
          <w:lang w:eastAsia="en-AU"/>
        </w:rPr>
        <w:t xml:space="preserve">PK parameters for total radioactivity of </w:t>
      </w:r>
      <w:r w:rsidR="00394543" w:rsidRPr="00C94C33">
        <w:rPr>
          <w:lang w:eastAsia="en-AU"/>
        </w:rPr>
        <w:t>[14C]</w:t>
      </w:r>
      <w:r w:rsidR="00DF61BC" w:rsidRPr="00C94C33">
        <w:rPr>
          <w:lang w:eastAsia="en-AU"/>
        </w:rPr>
        <w:t>-FTD excreted in urine, f</w:t>
      </w:r>
      <w:r w:rsidR="00DF75EE" w:rsidRPr="00C94C33">
        <w:rPr>
          <w:lang w:eastAsia="en-AU"/>
        </w:rPr>
        <w:t>a</w:t>
      </w:r>
      <w:r w:rsidR="00DF61BC" w:rsidRPr="00C94C33">
        <w:rPr>
          <w:lang w:eastAsia="en-AU"/>
        </w:rPr>
        <w:t xml:space="preserve">eces, respired </w:t>
      </w:r>
      <w:r w:rsidR="00DF61BC" w:rsidRPr="00C94C33">
        <w:rPr>
          <w:vertAlign w:val="superscript"/>
          <w:lang w:eastAsia="en-AU"/>
        </w:rPr>
        <w:t>14</w:t>
      </w:r>
      <w:r w:rsidR="00DF61BC" w:rsidRPr="00C94C33">
        <w:rPr>
          <w:lang w:eastAsia="en-AU"/>
        </w:rPr>
        <w:t>CO</w:t>
      </w:r>
      <w:r w:rsidR="00DF61BC" w:rsidRPr="00C94C33">
        <w:rPr>
          <w:vertAlign w:val="subscript"/>
          <w:lang w:eastAsia="en-AU"/>
        </w:rPr>
        <w:t>2</w:t>
      </w:r>
      <w:r w:rsidR="00DF61BC" w:rsidRPr="00C94C33">
        <w:rPr>
          <w:lang w:eastAsia="en-AU"/>
        </w:rPr>
        <w:t xml:space="preserve"> and total recovered, PK Population Group A</w:t>
      </w:r>
      <w:bookmarkEnd w:id="101"/>
    </w:p>
    <w:tbl>
      <w:tblPr>
        <w:tblStyle w:val="TableGrid7"/>
        <w:tblW w:w="9784" w:type="dxa"/>
        <w:tblLook w:val="04A0" w:firstRow="1" w:lastRow="0" w:firstColumn="1" w:lastColumn="0" w:noHBand="0" w:noVBand="1"/>
        <w:tblDescription w:val="Table 12: TPU-TAS-102-108 - PK parameters for total radioactivity of [14C]-FTD excreted in urine, faeces, respired 14CO2 and total recovered, PK Population Group A"/>
      </w:tblPr>
      <w:tblGrid>
        <w:gridCol w:w="1364"/>
        <w:gridCol w:w="1364"/>
        <w:gridCol w:w="1364"/>
        <w:gridCol w:w="1261"/>
        <w:gridCol w:w="1703"/>
        <w:gridCol w:w="1364"/>
        <w:gridCol w:w="1364"/>
      </w:tblGrid>
      <w:tr w:rsidR="00DF61BC" w:rsidRPr="0048322F" w14:paraId="310025B6" w14:textId="77777777" w:rsidTr="00BC4B05">
        <w:trPr>
          <w:trHeight w:val="397"/>
          <w:tblHeader/>
        </w:trPr>
        <w:tc>
          <w:tcPr>
            <w:tcW w:w="1364" w:type="dxa"/>
            <w:shd w:val="clear" w:color="auto" w:fill="auto"/>
          </w:tcPr>
          <w:p w14:paraId="59D0547B" w14:textId="77777777" w:rsidR="00DF61BC" w:rsidRPr="0048322F" w:rsidRDefault="00DF61BC" w:rsidP="00BC4B05">
            <w:pPr>
              <w:pStyle w:val="TableHeading"/>
              <w:jc w:val="center"/>
            </w:pPr>
          </w:p>
        </w:tc>
        <w:tc>
          <w:tcPr>
            <w:tcW w:w="2728" w:type="dxa"/>
            <w:gridSpan w:val="2"/>
            <w:shd w:val="clear" w:color="auto" w:fill="auto"/>
          </w:tcPr>
          <w:p w14:paraId="2845C75B" w14:textId="77777777" w:rsidR="00DF61BC" w:rsidRPr="0048322F" w:rsidRDefault="00DF61BC" w:rsidP="00BC4B05">
            <w:pPr>
              <w:pStyle w:val="TableHeading"/>
              <w:jc w:val="center"/>
            </w:pPr>
            <w:r w:rsidRPr="0048322F">
              <w:t>Urine</w:t>
            </w:r>
          </w:p>
        </w:tc>
        <w:tc>
          <w:tcPr>
            <w:tcW w:w="1261" w:type="dxa"/>
            <w:shd w:val="clear" w:color="auto" w:fill="auto"/>
          </w:tcPr>
          <w:p w14:paraId="17FDAB47" w14:textId="77777777" w:rsidR="00DF61BC" w:rsidRPr="0048322F" w:rsidRDefault="00DF61BC" w:rsidP="00BC4B05">
            <w:pPr>
              <w:pStyle w:val="TableHeading"/>
              <w:jc w:val="center"/>
            </w:pPr>
            <w:r w:rsidRPr="0048322F">
              <w:t>Feces</w:t>
            </w:r>
          </w:p>
        </w:tc>
        <w:tc>
          <w:tcPr>
            <w:tcW w:w="3067" w:type="dxa"/>
            <w:gridSpan w:val="2"/>
            <w:shd w:val="clear" w:color="auto" w:fill="auto"/>
          </w:tcPr>
          <w:p w14:paraId="79A085A0" w14:textId="77777777" w:rsidR="00DF61BC" w:rsidRPr="0048322F" w:rsidRDefault="00DF61BC" w:rsidP="00BC4B05">
            <w:pPr>
              <w:pStyle w:val="TableHeading"/>
              <w:jc w:val="center"/>
            </w:pPr>
            <w:r w:rsidRPr="0048322F">
              <w:t>Expired CO</w:t>
            </w:r>
            <w:r w:rsidRPr="0048322F">
              <w:rPr>
                <w:vertAlign w:val="subscript"/>
              </w:rPr>
              <w:t>2</w:t>
            </w:r>
          </w:p>
        </w:tc>
        <w:tc>
          <w:tcPr>
            <w:tcW w:w="1364" w:type="dxa"/>
            <w:shd w:val="clear" w:color="auto" w:fill="auto"/>
          </w:tcPr>
          <w:p w14:paraId="1E334C3B" w14:textId="77777777" w:rsidR="00DF61BC" w:rsidRPr="0048322F" w:rsidRDefault="00DF61BC" w:rsidP="00BC4B05">
            <w:pPr>
              <w:pStyle w:val="TableHeading"/>
              <w:jc w:val="center"/>
            </w:pPr>
            <w:r w:rsidRPr="0048322F">
              <w:t>TRA</w:t>
            </w:r>
          </w:p>
        </w:tc>
      </w:tr>
      <w:tr w:rsidR="00DF61BC" w:rsidRPr="0048322F" w14:paraId="4ED724FE" w14:textId="77777777" w:rsidTr="00BC4B05">
        <w:trPr>
          <w:trHeight w:val="397"/>
          <w:tblHeader/>
        </w:trPr>
        <w:tc>
          <w:tcPr>
            <w:tcW w:w="1364" w:type="dxa"/>
            <w:shd w:val="clear" w:color="auto" w:fill="auto"/>
          </w:tcPr>
          <w:p w14:paraId="6DB38C62" w14:textId="77777777" w:rsidR="00DF61BC" w:rsidRPr="0048322F" w:rsidRDefault="00DF61BC" w:rsidP="00BC4B05">
            <w:pPr>
              <w:pStyle w:val="TableHeading"/>
              <w:jc w:val="center"/>
            </w:pPr>
          </w:p>
        </w:tc>
        <w:tc>
          <w:tcPr>
            <w:tcW w:w="1364" w:type="dxa"/>
            <w:shd w:val="clear" w:color="auto" w:fill="auto"/>
          </w:tcPr>
          <w:p w14:paraId="1C1D8091" w14:textId="1191883D" w:rsidR="00DF61BC" w:rsidRPr="0048322F" w:rsidRDefault="00DF61BC" w:rsidP="00BC4B05">
            <w:pPr>
              <w:pStyle w:val="TableHeading"/>
              <w:jc w:val="center"/>
            </w:pPr>
            <w:r w:rsidRPr="0048322F">
              <w:t>Ae%R (%)</w:t>
            </w:r>
          </w:p>
        </w:tc>
        <w:tc>
          <w:tcPr>
            <w:tcW w:w="1364" w:type="dxa"/>
            <w:shd w:val="clear" w:color="auto" w:fill="auto"/>
          </w:tcPr>
          <w:p w14:paraId="32DA02FC" w14:textId="77777777" w:rsidR="00DF61BC" w:rsidRPr="0048322F" w:rsidRDefault="00DF61BC" w:rsidP="00BC4B05">
            <w:pPr>
              <w:pStyle w:val="TableHeading"/>
              <w:jc w:val="center"/>
            </w:pPr>
            <w:r w:rsidRPr="0048322F">
              <w:t>CLr (mL/hr)</w:t>
            </w:r>
          </w:p>
        </w:tc>
        <w:tc>
          <w:tcPr>
            <w:tcW w:w="1261" w:type="dxa"/>
            <w:shd w:val="clear" w:color="auto" w:fill="auto"/>
          </w:tcPr>
          <w:p w14:paraId="70B13BE2" w14:textId="172439CB" w:rsidR="00DF61BC" w:rsidRPr="0048322F" w:rsidRDefault="00DF61BC" w:rsidP="00BC4B05">
            <w:pPr>
              <w:pStyle w:val="TableHeading"/>
              <w:jc w:val="center"/>
            </w:pPr>
            <w:r w:rsidRPr="0048322F">
              <w:t>Ae%F (%)</w:t>
            </w:r>
          </w:p>
        </w:tc>
        <w:tc>
          <w:tcPr>
            <w:tcW w:w="1703" w:type="dxa"/>
            <w:shd w:val="clear" w:color="auto" w:fill="auto"/>
          </w:tcPr>
          <w:p w14:paraId="5A535219" w14:textId="2A250392" w:rsidR="00DF61BC" w:rsidRPr="0048322F" w:rsidRDefault="00DF61BC" w:rsidP="00BC4B05">
            <w:pPr>
              <w:pStyle w:val="TableHeading"/>
              <w:jc w:val="center"/>
            </w:pPr>
            <w:r w:rsidRPr="0048322F">
              <w:t>AURC</w:t>
            </w:r>
            <w:r w:rsidRPr="0048322F">
              <w:rPr>
                <w:vertAlign w:val="subscript"/>
              </w:rPr>
              <w:t>0-last</w:t>
            </w:r>
            <w:r w:rsidR="00BC4B05">
              <w:rPr>
                <w:vertAlign w:val="subscript"/>
              </w:rPr>
              <w:t xml:space="preserve">  </w:t>
            </w:r>
            <w:r w:rsidR="00BC4B05">
              <w:br/>
            </w:r>
            <w:r w:rsidRPr="0048322F">
              <w:t>(mg-equivalents)</w:t>
            </w:r>
          </w:p>
        </w:tc>
        <w:tc>
          <w:tcPr>
            <w:tcW w:w="1364" w:type="dxa"/>
            <w:shd w:val="clear" w:color="auto" w:fill="auto"/>
          </w:tcPr>
          <w:p w14:paraId="498172CE" w14:textId="77777777" w:rsidR="00DF61BC" w:rsidRPr="0048322F" w:rsidRDefault="00DF61BC" w:rsidP="00BC4B05">
            <w:pPr>
              <w:pStyle w:val="TableHeading"/>
              <w:jc w:val="center"/>
              <w:rPr>
                <w:kern w:val="16"/>
              </w:rPr>
            </w:pPr>
            <w:r w:rsidRPr="0048322F">
              <w:rPr>
                <w:kern w:val="16"/>
              </w:rPr>
              <w:t>Ae%C0</w:t>
            </w:r>
            <w:r w:rsidRPr="0048322F">
              <w:rPr>
                <w:kern w:val="16"/>
                <w:vertAlign w:val="subscript"/>
              </w:rPr>
              <w:t>2</w:t>
            </w:r>
            <w:r w:rsidRPr="0048322F">
              <w:rPr>
                <w:kern w:val="16"/>
              </w:rPr>
              <w:t xml:space="preserve"> (%)</w:t>
            </w:r>
          </w:p>
        </w:tc>
        <w:tc>
          <w:tcPr>
            <w:tcW w:w="1364" w:type="dxa"/>
            <w:shd w:val="clear" w:color="auto" w:fill="auto"/>
          </w:tcPr>
          <w:p w14:paraId="061E2DFE" w14:textId="77777777" w:rsidR="00DF61BC" w:rsidRPr="0048322F" w:rsidRDefault="00DF61BC" w:rsidP="00BC4B05">
            <w:pPr>
              <w:pStyle w:val="TableHeading"/>
              <w:jc w:val="center"/>
            </w:pPr>
            <w:r w:rsidRPr="0048322F">
              <w:t>Ae%total (%)</w:t>
            </w:r>
          </w:p>
        </w:tc>
      </w:tr>
      <w:tr w:rsidR="00DF61BC" w:rsidRPr="0048322F" w14:paraId="3A409716" w14:textId="77777777" w:rsidTr="00650943">
        <w:tc>
          <w:tcPr>
            <w:tcW w:w="1364" w:type="dxa"/>
            <w:shd w:val="clear" w:color="auto" w:fill="auto"/>
          </w:tcPr>
          <w:p w14:paraId="2EB2F533" w14:textId="77777777" w:rsidR="00DF61BC" w:rsidRPr="0048322F" w:rsidRDefault="00DF61BC" w:rsidP="00BC4B05">
            <w:pPr>
              <w:pStyle w:val="Tabletext"/>
            </w:pPr>
          </w:p>
        </w:tc>
        <w:tc>
          <w:tcPr>
            <w:tcW w:w="1364" w:type="dxa"/>
            <w:shd w:val="clear" w:color="auto" w:fill="auto"/>
          </w:tcPr>
          <w:p w14:paraId="22755F99" w14:textId="77777777" w:rsidR="00DF61BC" w:rsidRPr="0048322F" w:rsidRDefault="00DF61BC" w:rsidP="00BC4B05">
            <w:pPr>
              <w:pStyle w:val="Tabletext"/>
            </w:pPr>
            <w:r w:rsidRPr="0048322F">
              <w:t>4</w:t>
            </w:r>
          </w:p>
        </w:tc>
        <w:tc>
          <w:tcPr>
            <w:tcW w:w="1364" w:type="dxa"/>
            <w:shd w:val="clear" w:color="auto" w:fill="auto"/>
          </w:tcPr>
          <w:p w14:paraId="0BE141A8" w14:textId="77777777" w:rsidR="00DF61BC" w:rsidRPr="0048322F" w:rsidRDefault="00DF61BC" w:rsidP="00BC4B05">
            <w:pPr>
              <w:pStyle w:val="Tabletext"/>
            </w:pPr>
            <w:r w:rsidRPr="0048322F">
              <w:t>4</w:t>
            </w:r>
          </w:p>
        </w:tc>
        <w:tc>
          <w:tcPr>
            <w:tcW w:w="1261" w:type="dxa"/>
            <w:shd w:val="clear" w:color="auto" w:fill="auto"/>
          </w:tcPr>
          <w:p w14:paraId="5BA09209" w14:textId="77777777" w:rsidR="00DF61BC" w:rsidRPr="0048322F" w:rsidRDefault="00DF61BC" w:rsidP="00BC4B05">
            <w:pPr>
              <w:pStyle w:val="Tabletext"/>
            </w:pPr>
            <w:r w:rsidRPr="0048322F">
              <w:t>4</w:t>
            </w:r>
          </w:p>
        </w:tc>
        <w:tc>
          <w:tcPr>
            <w:tcW w:w="1703" w:type="dxa"/>
            <w:shd w:val="clear" w:color="auto" w:fill="auto"/>
          </w:tcPr>
          <w:p w14:paraId="3A0F5277" w14:textId="77777777" w:rsidR="00DF61BC" w:rsidRPr="0048322F" w:rsidRDefault="00DF61BC" w:rsidP="00BC4B05">
            <w:pPr>
              <w:pStyle w:val="Tabletext"/>
            </w:pPr>
            <w:r w:rsidRPr="0048322F">
              <w:t>4</w:t>
            </w:r>
          </w:p>
        </w:tc>
        <w:tc>
          <w:tcPr>
            <w:tcW w:w="1364" w:type="dxa"/>
            <w:shd w:val="clear" w:color="auto" w:fill="auto"/>
          </w:tcPr>
          <w:p w14:paraId="78DB67FC" w14:textId="77777777" w:rsidR="00DF61BC" w:rsidRPr="0048322F" w:rsidRDefault="00DF61BC" w:rsidP="00BC4B05">
            <w:pPr>
              <w:pStyle w:val="Tabletext"/>
            </w:pPr>
            <w:r w:rsidRPr="0048322F">
              <w:t>4</w:t>
            </w:r>
          </w:p>
        </w:tc>
        <w:tc>
          <w:tcPr>
            <w:tcW w:w="1364" w:type="dxa"/>
            <w:shd w:val="clear" w:color="auto" w:fill="auto"/>
          </w:tcPr>
          <w:p w14:paraId="143116B3" w14:textId="77777777" w:rsidR="00DF61BC" w:rsidRPr="0048322F" w:rsidRDefault="00DF61BC" w:rsidP="00BC4B05">
            <w:pPr>
              <w:pStyle w:val="Tabletext"/>
            </w:pPr>
            <w:r w:rsidRPr="0048322F">
              <w:t>4</w:t>
            </w:r>
          </w:p>
        </w:tc>
      </w:tr>
      <w:tr w:rsidR="00DF61BC" w:rsidRPr="0048322F" w14:paraId="26CF6333" w14:textId="77777777" w:rsidTr="00650943">
        <w:tc>
          <w:tcPr>
            <w:tcW w:w="1364" w:type="dxa"/>
            <w:shd w:val="clear" w:color="auto" w:fill="auto"/>
          </w:tcPr>
          <w:p w14:paraId="5AF0FA76" w14:textId="77777777" w:rsidR="00DF61BC" w:rsidRPr="0048322F" w:rsidRDefault="00DF61BC" w:rsidP="00BC4B05">
            <w:pPr>
              <w:pStyle w:val="Tabletext"/>
            </w:pPr>
            <w:r w:rsidRPr="0048322F">
              <w:t xml:space="preserve">Mean </w:t>
            </w:r>
            <w:r w:rsidRPr="0048322F">
              <w:softHyphen/>
              <w:t>± SD</w:t>
            </w:r>
          </w:p>
        </w:tc>
        <w:tc>
          <w:tcPr>
            <w:tcW w:w="1364" w:type="dxa"/>
            <w:shd w:val="clear" w:color="auto" w:fill="auto"/>
          </w:tcPr>
          <w:p w14:paraId="69C5680B" w14:textId="77777777" w:rsidR="00DF61BC" w:rsidRPr="0048322F" w:rsidRDefault="00DF61BC" w:rsidP="00BC4B05">
            <w:pPr>
              <w:pStyle w:val="Tabletext"/>
            </w:pPr>
            <w:r w:rsidRPr="0048322F">
              <w:t>54.8 ± 1.7</w:t>
            </w:r>
          </w:p>
        </w:tc>
        <w:tc>
          <w:tcPr>
            <w:tcW w:w="1364" w:type="dxa"/>
            <w:shd w:val="clear" w:color="auto" w:fill="auto"/>
          </w:tcPr>
          <w:p w14:paraId="55354C68" w14:textId="77777777" w:rsidR="00DF61BC" w:rsidRPr="0048322F" w:rsidRDefault="00DF61BC" w:rsidP="00BC4B05">
            <w:pPr>
              <w:pStyle w:val="Tabletext"/>
            </w:pPr>
            <w:r w:rsidRPr="0048322F">
              <w:t>414.7 ± 134.8</w:t>
            </w:r>
          </w:p>
        </w:tc>
        <w:tc>
          <w:tcPr>
            <w:tcW w:w="1261" w:type="dxa"/>
            <w:shd w:val="clear" w:color="auto" w:fill="auto"/>
          </w:tcPr>
          <w:p w14:paraId="78C10686" w14:textId="77777777" w:rsidR="00DF61BC" w:rsidRPr="0048322F" w:rsidRDefault="00DF61BC" w:rsidP="00BC4B05">
            <w:pPr>
              <w:pStyle w:val="Tabletext"/>
            </w:pPr>
            <w:r w:rsidRPr="0048322F">
              <w:t>2.6 ± 0.4</w:t>
            </w:r>
          </w:p>
        </w:tc>
        <w:tc>
          <w:tcPr>
            <w:tcW w:w="1703" w:type="dxa"/>
            <w:shd w:val="clear" w:color="auto" w:fill="auto"/>
          </w:tcPr>
          <w:p w14:paraId="20242D3B" w14:textId="77777777" w:rsidR="00DF61BC" w:rsidRPr="0048322F" w:rsidRDefault="00DF61BC" w:rsidP="00BC4B05">
            <w:pPr>
              <w:pStyle w:val="Tabletext"/>
            </w:pPr>
            <w:r w:rsidRPr="0048322F">
              <w:t>1.4 ± 0.5</w:t>
            </w:r>
          </w:p>
        </w:tc>
        <w:tc>
          <w:tcPr>
            <w:tcW w:w="1364" w:type="dxa"/>
            <w:shd w:val="clear" w:color="auto" w:fill="auto"/>
          </w:tcPr>
          <w:p w14:paraId="26E7EF4D" w14:textId="77777777" w:rsidR="00DF61BC" w:rsidRPr="0048322F" w:rsidRDefault="00DF61BC" w:rsidP="00BC4B05">
            <w:pPr>
              <w:pStyle w:val="Tabletext"/>
            </w:pPr>
            <w:r w:rsidRPr="0048322F">
              <w:t>2.4 ± 0.9</w:t>
            </w:r>
          </w:p>
        </w:tc>
        <w:tc>
          <w:tcPr>
            <w:tcW w:w="1364" w:type="dxa"/>
            <w:shd w:val="clear" w:color="auto" w:fill="auto"/>
          </w:tcPr>
          <w:p w14:paraId="2AD41FA9" w14:textId="77777777" w:rsidR="00DF61BC" w:rsidRPr="0048322F" w:rsidRDefault="00DF61BC" w:rsidP="00BC4B05">
            <w:pPr>
              <w:pStyle w:val="Tabletext"/>
            </w:pPr>
            <w:r w:rsidRPr="0048322F">
              <w:t>59.8 ± 1.6</w:t>
            </w:r>
          </w:p>
        </w:tc>
      </w:tr>
      <w:tr w:rsidR="00DF61BC" w:rsidRPr="0048322F" w14:paraId="5F510C51" w14:textId="77777777" w:rsidTr="00650943">
        <w:tc>
          <w:tcPr>
            <w:tcW w:w="1364" w:type="dxa"/>
            <w:shd w:val="clear" w:color="auto" w:fill="auto"/>
          </w:tcPr>
          <w:p w14:paraId="7D1D55F8" w14:textId="77777777" w:rsidR="00DF61BC" w:rsidRPr="0048322F" w:rsidRDefault="00DF61BC" w:rsidP="00BC4B05">
            <w:pPr>
              <w:pStyle w:val="Tabletext"/>
            </w:pPr>
            <w:r w:rsidRPr="0048322F">
              <w:t>%CV</w:t>
            </w:r>
          </w:p>
        </w:tc>
        <w:tc>
          <w:tcPr>
            <w:tcW w:w="1364" w:type="dxa"/>
            <w:shd w:val="clear" w:color="auto" w:fill="auto"/>
          </w:tcPr>
          <w:p w14:paraId="6977FF01" w14:textId="77777777" w:rsidR="00DF61BC" w:rsidRPr="0048322F" w:rsidRDefault="00DF61BC" w:rsidP="00BC4B05">
            <w:pPr>
              <w:pStyle w:val="Tabletext"/>
            </w:pPr>
            <w:r w:rsidRPr="0048322F">
              <w:t>3.2</w:t>
            </w:r>
          </w:p>
        </w:tc>
        <w:tc>
          <w:tcPr>
            <w:tcW w:w="1364" w:type="dxa"/>
            <w:shd w:val="clear" w:color="auto" w:fill="auto"/>
          </w:tcPr>
          <w:p w14:paraId="3B7EC991" w14:textId="77777777" w:rsidR="00DF61BC" w:rsidRPr="0048322F" w:rsidRDefault="00DF61BC" w:rsidP="00BC4B05">
            <w:pPr>
              <w:pStyle w:val="Tabletext"/>
            </w:pPr>
            <w:r w:rsidRPr="0048322F">
              <w:t>32.5</w:t>
            </w:r>
          </w:p>
        </w:tc>
        <w:tc>
          <w:tcPr>
            <w:tcW w:w="1261" w:type="dxa"/>
            <w:shd w:val="clear" w:color="auto" w:fill="auto"/>
          </w:tcPr>
          <w:p w14:paraId="0A07915A" w14:textId="77777777" w:rsidR="00DF61BC" w:rsidRPr="0048322F" w:rsidRDefault="00DF61BC" w:rsidP="00BC4B05">
            <w:pPr>
              <w:pStyle w:val="Tabletext"/>
            </w:pPr>
            <w:r w:rsidRPr="0048322F">
              <w:t>14.4</w:t>
            </w:r>
          </w:p>
        </w:tc>
        <w:tc>
          <w:tcPr>
            <w:tcW w:w="1703" w:type="dxa"/>
            <w:shd w:val="clear" w:color="auto" w:fill="auto"/>
          </w:tcPr>
          <w:p w14:paraId="5F5FDCB8" w14:textId="77777777" w:rsidR="00DF61BC" w:rsidRPr="0048322F" w:rsidRDefault="00DF61BC" w:rsidP="00BC4B05">
            <w:pPr>
              <w:pStyle w:val="Tabletext"/>
            </w:pPr>
            <w:r w:rsidRPr="0048322F">
              <w:t>36.9</w:t>
            </w:r>
          </w:p>
        </w:tc>
        <w:tc>
          <w:tcPr>
            <w:tcW w:w="1364" w:type="dxa"/>
            <w:shd w:val="clear" w:color="auto" w:fill="auto"/>
          </w:tcPr>
          <w:p w14:paraId="7BA3736E" w14:textId="77777777" w:rsidR="00DF61BC" w:rsidRPr="0048322F" w:rsidRDefault="00DF61BC" w:rsidP="00BC4B05">
            <w:pPr>
              <w:pStyle w:val="Tabletext"/>
            </w:pPr>
            <w:r w:rsidRPr="0048322F">
              <w:t>36.9</w:t>
            </w:r>
          </w:p>
        </w:tc>
        <w:tc>
          <w:tcPr>
            <w:tcW w:w="1364" w:type="dxa"/>
            <w:shd w:val="clear" w:color="auto" w:fill="auto"/>
          </w:tcPr>
          <w:p w14:paraId="48903514" w14:textId="77777777" w:rsidR="00DF61BC" w:rsidRPr="0048322F" w:rsidRDefault="00DF61BC" w:rsidP="00BC4B05">
            <w:pPr>
              <w:pStyle w:val="Tabletext"/>
            </w:pPr>
            <w:r w:rsidRPr="0048322F">
              <w:t>2.6</w:t>
            </w:r>
          </w:p>
        </w:tc>
      </w:tr>
      <w:tr w:rsidR="00DF61BC" w:rsidRPr="0048322F" w14:paraId="26FD1CE2" w14:textId="77777777" w:rsidTr="00650943">
        <w:tc>
          <w:tcPr>
            <w:tcW w:w="1364" w:type="dxa"/>
            <w:shd w:val="clear" w:color="auto" w:fill="auto"/>
          </w:tcPr>
          <w:p w14:paraId="43526747" w14:textId="77777777" w:rsidR="00DF61BC" w:rsidRPr="0048322F" w:rsidRDefault="00DF61BC" w:rsidP="00BC4B05">
            <w:pPr>
              <w:pStyle w:val="Tabletext"/>
            </w:pPr>
            <w:r w:rsidRPr="0048322F">
              <w:t>Median</w:t>
            </w:r>
          </w:p>
        </w:tc>
        <w:tc>
          <w:tcPr>
            <w:tcW w:w="1364" w:type="dxa"/>
            <w:shd w:val="clear" w:color="auto" w:fill="auto"/>
          </w:tcPr>
          <w:p w14:paraId="4B50DF31" w14:textId="77777777" w:rsidR="00DF61BC" w:rsidRPr="0048322F" w:rsidRDefault="00DF61BC" w:rsidP="00BC4B05">
            <w:pPr>
              <w:pStyle w:val="Tabletext"/>
            </w:pPr>
            <w:r w:rsidRPr="0048322F">
              <w:t>54.2</w:t>
            </w:r>
          </w:p>
        </w:tc>
        <w:tc>
          <w:tcPr>
            <w:tcW w:w="1364" w:type="dxa"/>
            <w:shd w:val="clear" w:color="auto" w:fill="auto"/>
          </w:tcPr>
          <w:p w14:paraId="788F30D1" w14:textId="77777777" w:rsidR="00DF61BC" w:rsidRPr="0048322F" w:rsidRDefault="00DF61BC" w:rsidP="00BC4B05">
            <w:pPr>
              <w:pStyle w:val="Tabletext"/>
            </w:pPr>
            <w:r w:rsidRPr="0048322F">
              <w:t>427.8</w:t>
            </w:r>
          </w:p>
        </w:tc>
        <w:tc>
          <w:tcPr>
            <w:tcW w:w="1261" w:type="dxa"/>
            <w:shd w:val="clear" w:color="auto" w:fill="auto"/>
          </w:tcPr>
          <w:p w14:paraId="2850AFD9" w14:textId="77777777" w:rsidR="00DF61BC" w:rsidRPr="0048322F" w:rsidRDefault="00DF61BC" w:rsidP="00BC4B05">
            <w:pPr>
              <w:pStyle w:val="Tabletext"/>
            </w:pPr>
            <w:r w:rsidRPr="0048322F">
              <w:t>2.7</w:t>
            </w:r>
          </w:p>
        </w:tc>
        <w:tc>
          <w:tcPr>
            <w:tcW w:w="1703" w:type="dxa"/>
            <w:shd w:val="clear" w:color="auto" w:fill="auto"/>
          </w:tcPr>
          <w:p w14:paraId="3A76DD4B" w14:textId="77777777" w:rsidR="00DF61BC" w:rsidRPr="0048322F" w:rsidRDefault="00DF61BC" w:rsidP="00BC4B05">
            <w:pPr>
              <w:pStyle w:val="Tabletext"/>
            </w:pPr>
            <w:r w:rsidRPr="0048322F">
              <w:t>1.3</w:t>
            </w:r>
          </w:p>
        </w:tc>
        <w:tc>
          <w:tcPr>
            <w:tcW w:w="1364" w:type="dxa"/>
            <w:shd w:val="clear" w:color="auto" w:fill="auto"/>
          </w:tcPr>
          <w:p w14:paraId="7D144854" w14:textId="77777777" w:rsidR="00DF61BC" w:rsidRPr="0048322F" w:rsidRDefault="00DF61BC" w:rsidP="00BC4B05">
            <w:pPr>
              <w:pStyle w:val="Tabletext"/>
            </w:pPr>
            <w:r w:rsidRPr="0048322F">
              <w:t>2.1</w:t>
            </w:r>
          </w:p>
        </w:tc>
        <w:tc>
          <w:tcPr>
            <w:tcW w:w="1364" w:type="dxa"/>
            <w:shd w:val="clear" w:color="auto" w:fill="auto"/>
          </w:tcPr>
          <w:p w14:paraId="0E27C6AA" w14:textId="77777777" w:rsidR="00DF61BC" w:rsidRPr="0048322F" w:rsidRDefault="00DF61BC" w:rsidP="00BC4B05">
            <w:pPr>
              <w:pStyle w:val="Tabletext"/>
            </w:pPr>
            <w:r w:rsidRPr="0048322F">
              <w:t>59.3</w:t>
            </w:r>
          </w:p>
        </w:tc>
      </w:tr>
      <w:tr w:rsidR="00DF61BC" w:rsidRPr="0048322F" w14:paraId="597DBD02" w14:textId="77777777" w:rsidTr="00650943">
        <w:tc>
          <w:tcPr>
            <w:tcW w:w="1364" w:type="dxa"/>
            <w:shd w:val="clear" w:color="auto" w:fill="auto"/>
          </w:tcPr>
          <w:p w14:paraId="5749DB9F" w14:textId="77777777" w:rsidR="00DF61BC" w:rsidRPr="0048322F" w:rsidRDefault="00DF61BC" w:rsidP="00BC4B05">
            <w:pPr>
              <w:pStyle w:val="Tabletext"/>
            </w:pPr>
            <w:r w:rsidRPr="0048322F">
              <w:t>Min - Max</w:t>
            </w:r>
          </w:p>
        </w:tc>
        <w:tc>
          <w:tcPr>
            <w:tcW w:w="1364" w:type="dxa"/>
            <w:shd w:val="clear" w:color="auto" w:fill="auto"/>
          </w:tcPr>
          <w:p w14:paraId="477B5494" w14:textId="77777777" w:rsidR="00DF61BC" w:rsidRPr="0048322F" w:rsidRDefault="00DF61BC" w:rsidP="00BC4B05">
            <w:pPr>
              <w:pStyle w:val="Tabletext"/>
            </w:pPr>
            <w:r w:rsidRPr="0048322F">
              <w:t>53.4 -  57.3</w:t>
            </w:r>
          </w:p>
        </w:tc>
        <w:tc>
          <w:tcPr>
            <w:tcW w:w="1364" w:type="dxa"/>
            <w:shd w:val="clear" w:color="auto" w:fill="auto"/>
          </w:tcPr>
          <w:p w14:paraId="6168883B" w14:textId="77777777" w:rsidR="00DF61BC" w:rsidRPr="0048322F" w:rsidRDefault="00DF61BC" w:rsidP="00BC4B05">
            <w:pPr>
              <w:pStyle w:val="Tabletext"/>
            </w:pPr>
            <w:r w:rsidRPr="0048322F">
              <w:t xml:space="preserve">255.8 – 547.5 </w:t>
            </w:r>
          </w:p>
        </w:tc>
        <w:tc>
          <w:tcPr>
            <w:tcW w:w="1261" w:type="dxa"/>
            <w:shd w:val="clear" w:color="auto" w:fill="auto"/>
          </w:tcPr>
          <w:p w14:paraId="023F30CE" w14:textId="77777777" w:rsidR="00DF61BC" w:rsidRPr="0048322F" w:rsidRDefault="00DF61BC" w:rsidP="00BC4B05">
            <w:pPr>
              <w:pStyle w:val="Tabletext"/>
            </w:pPr>
            <w:r w:rsidRPr="0048322F">
              <w:t xml:space="preserve">2.1 – 3.0 </w:t>
            </w:r>
          </w:p>
        </w:tc>
        <w:tc>
          <w:tcPr>
            <w:tcW w:w="1703" w:type="dxa"/>
            <w:shd w:val="clear" w:color="auto" w:fill="auto"/>
          </w:tcPr>
          <w:p w14:paraId="4D3FFB7E" w14:textId="77777777" w:rsidR="00DF61BC" w:rsidRPr="0048322F" w:rsidRDefault="00DF61BC" w:rsidP="00BC4B05">
            <w:pPr>
              <w:pStyle w:val="Tabletext"/>
            </w:pPr>
            <w:r w:rsidRPr="0048322F">
              <w:t xml:space="preserve">1.0 – 2.2 </w:t>
            </w:r>
          </w:p>
        </w:tc>
        <w:tc>
          <w:tcPr>
            <w:tcW w:w="1364" w:type="dxa"/>
            <w:shd w:val="clear" w:color="auto" w:fill="auto"/>
          </w:tcPr>
          <w:p w14:paraId="2A9FF482" w14:textId="77777777" w:rsidR="00DF61BC" w:rsidRPr="0048322F" w:rsidRDefault="00DF61BC" w:rsidP="00BC4B05">
            <w:pPr>
              <w:pStyle w:val="Tabletext"/>
            </w:pPr>
            <w:r w:rsidRPr="0048322F">
              <w:t xml:space="preserve">1.7 – 3.7 </w:t>
            </w:r>
          </w:p>
        </w:tc>
        <w:tc>
          <w:tcPr>
            <w:tcW w:w="1364" w:type="dxa"/>
            <w:shd w:val="clear" w:color="auto" w:fill="auto"/>
          </w:tcPr>
          <w:p w14:paraId="5573E0A3" w14:textId="77777777" w:rsidR="00DF61BC" w:rsidRPr="0048322F" w:rsidRDefault="00DF61BC" w:rsidP="00BC4B05">
            <w:pPr>
              <w:pStyle w:val="Tabletext"/>
            </w:pPr>
            <w:r w:rsidRPr="0048322F">
              <w:t xml:space="preserve">58.5 – 62.0 </w:t>
            </w:r>
          </w:p>
        </w:tc>
      </w:tr>
    </w:tbl>
    <w:p w14:paraId="5FFD4B65" w14:textId="77777777" w:rsidR="00AA7141" w:rsidRDefault="00DF61BC" w:rsidP="00A549D4">
      <w:pPr>
        <w:pStyle w:val="TableDescription"/>
        <w:rPr>
          <w:lang w:eastAsia="en-AU"/>
        </w:rPr>
      </w:pPr>
      <w:r w:rsidRPr="00C94C33">
        <w:rPr>
          <w:lang w:eastAsia="en-AU"/>
        </w:rPr>
        <w:t xml:space="preserve">Ae%CO2 = percentage of administered dose excreted as </w:t>
      </w:r>
      <w:r w:rsidRPr="00C94C33">
        <w:rPr>
          <w:vertAlign w:val="superscript"/>
          <w:lang w:eastAsia="en-AU"/>
        </w:rPr>
        <w:t>14</w:t>
      </w:r>
      <w:r w:rsidRPr="00C94C33">
        <w:rPr>
          <w:lang w:eastAsia="en-AU"/>
        </w:rPr>
        <w:t>CO</w:t>
      </w:r>
      <w:r w:rsidRPr="00C94C33">
        <w:rPr>
          <w:vertAlign w:val="subscript"/>
          <w:lang w:eastAsia="en-AU"/>
        </w:rPr>
        <w:t>2</w:t>
      </w:r>
      <w:r w:rsidRPr="00C94C33">
        <w:rPr>
          <w:lang w:eastAsia="en-AU"/>
        </w:rPr>
        <w:t xml:space="preserve">; Ae%F = percentage of administered dose excreted in feces;  Ae%R = percentage of administered dose excreted in urine; Ae%total = Percentage of administered dose recovered from all routes of elimination; AURC0-last = Area under the 14CO2 excretion rate curve from time 0 to the last measurable </w:t>
      </w:r>
      <w:r w:rsidRPr="00C94C33">
        <w:rPr>
          <w:vertAlign w:val="superscript"/>
          <w:lang w:eastAsia="en-AU"/>
        </w:rPr>
        <w:t>14</w:t>
      </w:r>
      <w:r w:rsidRPr="00C94C33">
        <w:rPr>
          <w:lang w:eastAsia="en-AU"/>
        </w:rPr>
        <w:t>CO</w:t>
      </w:r>
      <w:r w:rsidRPr="00C94C33">
        <w:rPr>
          <w:vertAlign w:val="subscript"/>
          <w:lang w:eastAsia="en-AU"/>
        </w:rPr>
        <w:t>2</w:t>
      </w:r>
      <w:r w:rsidRPr="00C94C33">
        <w:rPr>
          <w:lang w:eastAsia="en-AU"/>
        </w:rPr>
        <w:t xml:space="preserve"> concentration; CLr = Renal clearance; CV = coefficient of variation; FTD = trifluridine; Max = maximum; Min = minimum; PK = pharmacokinetic; SD = standard deviation; TRA = total radioactivity.</w:t>
      </w:r>
    </w:p>
    <w:p w14:paraId="7DDB3ED4" w14:textId="3EF88B1A" w:rsidR="00DF61BC" w:rsidRPr="00C94C33" w:rsidRDefault="00DF61BC" w:rsidP="0088775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NewRoman"/>
          <w:kern w:val="16"/>
          <w:sz w:val="18"/>
          <w:szCs w:val="18"/>
          <w:lang w:eastAsia="en-AU"/>
        </w:rPr>
      </w:pPr>
      <w:r w:rsidRPr="00C94C33">
        <w:rPr>
          <w:rFonts w:eastAsia="TimesNewRoman" w:cs="TimesNewRoman"/>
          <w:lang w:eastAsia="en-AU"/>
        </w:rPr>
        <w:t xml:space="preserve">The cumulative excretion of TRA derived from </w:t>
      </w:r>
      <w:r w:rsidR="00394543" w:rsidRPr="00C94C33">
        <w:rPr>
          <w:rFonts w:eastAsia="TimesNewRoman" w:cs="TimesNewRoman"/>
          <w:lang w:eastAsia="en-AU"/>
        </w:rPr>
        <w:t>[14C]</w:t>
      </w:r>
      <w:r w:rsidRPr="00C94C33">
        <w:rPr>
          <w:rFonts w:eastAsia="TimesNewRoman" w:cs="TimesNewRoman"/>
          <w:lang w:eastAsia="en-AU"/>
        </w:rPr>
        <w:t>-FTD over the 168-hour sampling period is presented</w:t>
      </w:r>
      <w:r w:rsidR="00A549D4" w:rsidRPr="00C94C33">
        <w:rPr>
          <w:rFonts w:eastAsia="TimesNewRoman" w:cs="TimesNewRoman"/>
          <w:lang w:eastAsia="en-AU"/>
        </w:rPr>
        <w:t xml:space="preserve"> below</w:t>
      </w:r>
      <w:r w:rsidRPr="00C94C33">
        <w:rPr>
          <w:rFonts w:eastAsia="TimesNewRoman" w:cs="TimesNewRoman"/>
          <w:lang w:eastAsia="en-AU"/>
        </w:rPr>
        <w:t xml:space="preserve">. The majority of recovered TRA was eliminated from the circulation within the first 24 hours after oral administration of </w:t>
      </w:r>
      <w:r w:rsidR="00DF75EE" w:rsidRPr="00C94C33">
        <w:rPr>
          <w:rFonts w:eastAsia="TimesNewRoman" w:cs="TimesNewRoman"/>
          <w:lang w:eastAsia="en-AU"/>
        </w:rPr>
        <w:t>[</w:t>
      </w:r>
      <w:r w:rsidRPr="00C94C33">
        <w:rPr>
          <w:rFonts w:eastAsia="TimesNewRoman" w:cs="TimesNewRoman"/>
          <w:vertAlign w:val="superscript"/>
          <w:lang w:eastAsia="en-AU"/>
        </w:rPr>
        <w:t>14</w:t>
      </w:r>
      <w:r w:rsidRPr="00C94C33">
        <w:rPr>
          <w:rFonts w:eastAsia="TimesNewRoman" w:cs="TimesNewRoman"/>
          <w:lang w:eastAsia="en-AU"/>
        </w:rPr>
        <w:t>C-FTD</w:t>
      </w:r>
      <w:r w:rsidR="00DF75EE" w:rsidRPr="00C94C33">
        <w:rPr>
          <w:rFonts w:eastAsia="TimesNewRoman" w:cs="TimesNewRoman"/>
          <w:lang w:eastAsia="en-AU"/>
        </w:rPr>
        <w:t>]</w:t>
      </w:r>
      <w:r w:rsidRPr="00C94C33">
        <w:rPr>
          <w:rFonts w:eastAsia="TimesNewRoman" w:cs="TimesNewRoman"/>
          <w:lang w:eastAsia="en-AU"/>
        </w:rPr>
        <w:t>, with the remaining radioactivity being eliminated much more slowly.</w:t>
      </w:r>
    </w:p>
    <w:p w14:paraId="5F063A48" w14:textId="054B913A" w:rsidR="00DF61BC" w:rsidRPr="00C94C33" w:rsidRDefault="00DF61BC" w:rsidP="00887750">
      <w:pPr>
        <w:pStyle w:val="FigureTitle"/>
        <w:rPr>
          <w:lang w:eastAsia="en-AU"/>
        </w:rPr>
      </w:pPr>
      <w:bookmarkStart w:id="102" w:name="_Toc470948800"/>
      <w:r w:rsidRPr="00C94C33">
        <w:rPr>
          <w:bCs/>
          <w:kern w:val="16"/>
          <w:lang w:eastAsia="en-AU"/>
        </w:rPr>
        <w:t xml:space="preserve">Figure </w:t>
      </w:r>
      <w:r w:rsidR="00887750" w:rsidRPr="00C94C33">
        <w:rPr>
          <w:bCs/>
          <w:kern w:val="16"/>
          <w:lang w:eastAsia="en-AU"/>
        </w:rPr>
        <w:t xml:space="preserve">5: </w:t>
      </w:r>
      <w:r w:rsidRPr="00C94C33">
        <w:rPr>
          <w:lang w:eastAsia="en-AU"/>
        </w:rPr>
        <w:t xml:space="preserve">Cumulative excretion of total radioactivity of </w:t>
      </w:r>
      <w:r w:rsidRPr="00C94C33">
        <w:rPr>
          <w:vertAlign w:val="superscript"/>
          <w:lang w:eastAsia="en-AU"/>
        </w:rPr>
        <w:t>14</w:t>
      </w:r>
      <w:r w:rsidRPr="00C94C33">
        <w:rPr>
          <w:lang w:eastAsia="en-AU"/>
        </w:rPr>
        <w:t>C derived from FTD in urine, feces, and respired CO</w:t>
      </w:r>
      <w:r w:rsidRPr="00C94C33">
        <w:rPr>
          <w:vertAlign w:val="subscript"/>
          <w:lang w:eastAsia="en-AU"/>
        </w:rPr>
        <w:t>2</w:t>
      </w:r>
      <w:r w:rsidRPr="00C94C33">
        <w:rPr>
          <w:lang w:eastAsia="en-AU"/>
        </w:rPr>
        <w:t xml:space="preserve"> and total recovered radioactivity, PK population Group A</w:t>
      </w:r>
      <w:bookmarkEnd w:id="102"/>
    </w:p>
    <w:p w14:paraId="0CF6D252" w14:textId="27EAB172" w:rsidR="00DF61BC" w:rsidRPr="007709B8" w:rsidRDefault="00BC4B05" w:rsidP="00DF61BC">
      <w:pPr>
        <w:autoSpaceDE w:val="0"/>
        <w:autoSpaceDN w:val="0"/>
        <w:adjustRightInd w:val="0"/>
        <w:spacing w:before="0" w:line="240" w:lineRule="auto"/>
        <w:rPr>
          <w:rFonts w:ascii="TimesNewRoman" w:eastAsia="TimesNewRoman" w:hAnsi="Times New Roman" w:cs="TimesNewRoman"/>
          <w:sz w:val="24"/>
          <w:szCs w:val="24"/>
          <w:lang w:eastAsia="en-AU"/>
        </w:rPr>
      </w:pPr>
      <w:r>
        <w:rPr>
          <w:noProof/>
          <w:lang w:eastAsia="en-AU"/>
        </w:rPr>
        <w:drawing>
          <wp:inline distT="0" distB="0" distL="0" distR="0" wp14:anchorId="40E558B5" wp14:editId="3988DE7D">
            <wp:extent cx="4177665" cy="2806065"/>
            <wp:effectExtent l="0" t="0" r="0" b="0"/>
            <wp:docPr id="238" name="Picture 5" descr="Figure 5: Cumulative excretion of total radioactivity of 14C derived from FTD in urine, feces, and respired CO2 and total recovered radioactivity, PK population Group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5" descr="Figure 5: Cumulative excretion of total radioactivity of 14C derived from FTD in urine, feces, and respired CO2 and total recovered radioactivity, PK population Group A.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7665" cy="280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3EF586C" w14:textId="3F0F0A34" w:rsidR="00DF61BC" w:rsidRPr="00C94C33" w:rsidRDefault="00DF61BC" w:rsidP="00887750">
      <w:pPr>
        <w:autoSpaceDE w:val="0"/>
        <w:autoSpaceDN w:val="0"/>
        <w:adjustRightInd w:val="0"/>
        <w:spacing w:before="0" w:line="240" w:lineRule="auto"/>
        <w:rPr>
          <w:rFonts w:eastAsia="TimesNewRoman" w:cs="TimesNewRoman"/>
          <w:lang w:eastAsia="en-AU"/>
        </w:rPr>
      </w:pPr>
      <w:r w:rsidRPr="00C94C33">
        <w:rPr>
          <w:rFonts w:eastAsia="TimesNewRoman" w:cs="TimesNewRoman"/>
          <w:lang w:eastAsia="en-AU"/>
        </w:rPr>
        <w:t>Overall recovery of TRA was 59.8% of the dose, which was lower than expected. Therefore, it can be estimated that approximately 40% of the dose remained in the body at 168 hours after the single-dose of TAS-102. The sponsor stated that, based on the typical total blood volume of 5 L in humans, the amount of TRA in blood could be roughly estimated as 2.6 mg-eq (</w:t>
      </w:r>
      <w:r w:rsidR="00B2072D" w:rsidRPr="00C94C33">
        <w:rPr>
          <w:rFonts w:eastAsia="TimesNewRoman" w:cs="TimesNewRoman"/>
          <w:lang w:eastAsia="en-AU"/>
        </w:rPr>
        <w:t>that is,</w:t>
      </w:r>
      <w:r w:rsidRPr="00C94C33">
        <w:rPr>
          <w:rFonts w:eastAsia="TimesNewRoman" w:cs="TimesNewRoman"/>
          <w:lang w:eastAsia="en-AU"/>
        </w:rPr>
        <w:t xml:space="preserve"> 520 ng-eq/mL at the 168-hour time point x 5 L). This figure accounted for 4.3% of the total dose administered. Therefore, the sponsor suggests that unrecovered TRA remained not only in blood but also in other proteins in the body.</w:t>
      </w:r>
    </w:p>
    <w:p w14:paraId="40200FC2" w14:textId="7036BC57" w:rsidR="00DF61BC" w:rsidRPr="00C94C33" w:rsidRDefault="00DF61BC" w:rsidP="00887750">
      <w:pPr>
        <w:autoSpaceDE w:val="0"/>
        <w:autoSpaceDN w:val="0"/>
        <w:adjustRightInd w:val="0"/>
        <w:spacing w:before="0" w:line="240" w:lineRule="auto"/>
        <w:rPr>
          <w:rFonts w:eastAsia="TimesNewRoman" w:cs="TimesNewRoman"/>
          <w:lang w:eastAsia="en-AU"/>
        </w:rPr>
      </w:pPr>
      <w:r w:rsidRPr="00C94C33">
        <w:rPr>
          <w:rFonts w:eastAsia="TimesNewRoman" w:cs="TimesNewRoman"/>
          <w:lang w:eastAsia="en-AU"/>
        </w:rPr>
        <w:t xml:space="preserve">In the metabolite profiling experiment, the extraction efficiency from plasma samples was measured for the pooled plasma samples at different collection time points. The extraction </w:t>
      </w:r>
      <w:r w:rsidRPr="00C94C33">
        <w:rPr>
          <w:rFonts w:eastAsia="TimesNewRoman" w:cs="TimesNewRoman"/>
          <w:lang w:eastAsia="en-AU"/>
        </w:rPr>
        <w:lastRenderedPageBreak/>
        <w:t>recovery from the pooled sample was &gt; 90% at 2 hours after dosing, but declined to &lt; 1% at 96 hours and later time points. Approximately 90% of TRA was bound to plasma protein. In human plasma, TRA extraction efficiency of the overall pooled TRA samples was poor, and the extractable TRA fraction of 6.67% consisted of 52.7% FTD and 33.2% of FTY. The sponsor suggests that approximately 90% of TRA in plasma was not extractable due to covalent binding of TRA to plasma proteins. In urine, excreted TRA consisted of 45.9% FTY, 2.41% FTD, and 33.3% of suspected FTD glucuronide isomers. In f</w:t>
      </w:r>
      <w:r w:rsidR="00DF75EE" w:rsidRPr="00C94C33">
        <w:rPr>
          <w:rFonts w:eastAsia="TimesNewRoman" w:cs="TimesNewRoman"/>
          <w:lang w:eastAsia="en-AU"/>
        </w:rPr>
        <w:t>a</w:t>
      </w:r>
      <w:r w:rsidRPr="00C94C33">
        <w:rPr>
          <w:rFonts w:eastAsia="TimesNewRoman" w:cs="TimesNewRoman"/>
          <w:lang w:eastAsia="en-AU"/>
        </w:rPr>
        <w:t>eces, multiple metabolite peaks were observed, but those were present only at trace levels.</w:t>
      </w:r>
    </w:p>
    <w:p w14:paraId="29096E4E" w14:textId="1900C266" w:rsidR="00DF61BC" w:rsidRPr="00C94C33" w:rsidRDefault="00AD0020" w:rsidP="00955252">
      <w:pPr>
        <w:pStyle w:val="Heading4"/>
      </w:pPr>
      <w:r>
        <w:t>Results – TPI (Group B)</w:t>
      </w:r>
    </w:p>
    <w:p w14:paraId="69D95E3B" w14:textId="0D5FA641" w:rsidR="00DF61BC" w:rsidRPr="00C94C33" w:rsidRDefault="00DF61BC" w:rsidP="001F69A8">
      <w:pPr>
        <w:autoSpaceDE w:val="0"/>
        <w:autoSpaceDN w:val="0"/>
        <w:adjustRightInd w:val="0"/>
        <w:spacing w:before="0" w:line="240" w:lineRule="auto"/>
        <w:rPr>
          <w:rFonts w:eastAsia="TimesNewRoman" w:cs="TimesNewRoman"/>
          <w:lang w:eastAsia="en-AU"/>
        </w:rPr>
      </w:pPr>
      <w:r w:rsidRPr="00C94C33">
        <w:rPr>
          <w:rFonts w:eastAsia="TimesNewRoman" w:cs="TimesNewRoman"/>
          <w:lang w:eastAsia="en-AU"/>
        </w:rPr>
        <w:t xml:space="preserve">The PK of TRA in plasma and blood for </w:t>
      </w:r>
      <w:r w:rsidR="00394543" w:rsidRPr="00C94C33">
        <w:rPr>
          <w:rFonts w:eastAsia="TimesNewRoman" w:cs="TimesNewRoman"/>
          <w:lang w:eastAsia="en-AU"/>
        </w:rPr>
        <w:t>[14C]</w:t>
      </w:r>
      <w:r w:rsidRPr="00C94C33">
        <w:rPr>
          <w:rFonts w:eastAsia="TimesNewRoman" w:cs="TimesNewRoman"/>
          <w:lang w:eastAsia="en-AU"/>
        </w:rPr>
        <w:t>-TPI are summarised, and the plasma and b</w:t>
      </w:r>
      <w:r w:rsidR="001F69A8" w:rsidRPr="00C94C33">
        <w:rPr>
          <w:rFonts w:eastAsia="TimesNewRoman" w:cs="TimesNewRoman"/>
          <w:lang w:eastAsia="en-AU"/>
        </w:rPr>
        <w:t xml:space="preserve">lood TRA over time are provided. </w:t>
      </w:r>
      <w:r w:rsidRPr="00C94C33">
        <w:rPr>
          <w:rFonts w:eastAsia="TimesNewRoman" w:cs="TimesNewRoman"/>
          <w:lang w:eastAsia="en-AU"/>
        </w:rPr>
        <w:t xml:space="preserve">TRA (ng-equivalents/mL) from </w:t>
      </w:r>
      <w:r w:rsidR="00394543" w:rsidRPr="00C94C33">
        <w:rPr>
          <w:rFonts w:eastAsia="TimesNewRoman" w:cs="TimesNewRoman"/>
          <w:lang w:eastAsia="en-AU"/>
        </w:rPr>
        <w:t>[14C]</w:t>
      </w:r>
      <w:r w:rsidRPr="00C94C33">
        <w:rPr>
          <w:rFonts w:eastAsia="TimesNewRoman" w:cs="TimesNewRoman"/>
          <w:lang w:eastAsia="en-AU"/>
        </w:rPr>
        <w:t xml:space="preserve">-TPI reached a peak value in whole blood and in plasma within 2 to 2.5 hours, decreasing thereafter, and then slowly declining 12 hours after dosing. The blood/plasma ratio of </w:t>
      </w:r>
      <w:r w:rsidR="00394543" w:rsidRPr="00C94C33">
        <w:rPr>
          <w:rFonts w:eastAsia="TimesNewRoman" w:cs="TimesNewRoman"/>
          <w:lang w:eastAsia="en-AU"/>
        </w:rPr>
        <w:t>[14C]</w:t>
      </w:r>
      <w:r w:rsidRPr="00C94C33">
        <w:rPr>
          <w:rFonts w:eastAsia="TimesNewRoman" w:cs="TimesNewRoman"/>
          <w:lang w:eastAsia="en-AU"/>
        </w:rPr>
        <w:t xml:space="preserve"> TRA derived from TPI was initially below 1 up to the 4-hour time point, and increased to 1.2 to 1.5 at the 8</w:t>
      </w:r>
      <w:r w:rsidR="00DF75EE" w:rsidRPr="00C94C33">
        <w:rPr>
          <w:rFonts w:eastAsia="TimesNewRoman" w:cs="TimesNewRoman"/>
          <w:lang w:eastAsia="en-AU"/>
        </w:rPr>
        <w:t xml:space="preserve"> </w:t>
      </w:r>
      <w:r w:rsidRPr="00C94C33">
        <w:rPr>
          <w:rFonts w:eastAsia="TimesNewRoman" w:cs="TimesNewRoman"/>
          <w:lang w:eastAsia="en-AU"/>
        </w:rPr>
        <w:t>hour through 24</w:t>
      </w:r>
      <w:r w:rsidR="00DF75EE" w:rsidRPr="00C94C33">
        <w:rPr>
          <w:rFonts w:eastAsia="TimesNewRoman" w:cs="TimesNewRoman"/>
          <w:lang w:eastAsia="en-AU"/>
        </w:rPr>
        <w:t xml:space="preserve"> </w:t>
      </w:r>
      <w:r w:rsidRPr="00C94C33">
        <w:rPr>
          <w:rFonts w:eastAsia="TimesNewRoman" w:cs="TimesNewRoman"/>
          <w:lang w:eastAsia="en-AU"/>
        </w:rPr>
        <w:t>hour sampling time points. The median T</w:t>
      </w:r>
      <w:r w:rsidRPr="00C94C33">
        <w:rPr>
          <w:rFonts w:eastAsia="TimesNewRoman" w:cs="TimesNewRoman"/>
          <w:sz w:val="20"/>
          <w:szCs w:val="20"/>
          <w:lang w:eastAsia="en-AU"/>
        </w:rPr>
        <w:t>max</w:t>
      </w:r>
      <w:r w:rsidRPr="00C94C33">
        <w:rPr>
          <w:rFonts w:eastAsia="TimesNewRoman" w:cs="TimesNewRoman"/>
          <w:lang w:eastAsia="en-AU"/>
        </w:rPr>
        <w:t xml:space="preserve"> of TRA in blood and</w:t>
      </w:r>
      <w:r w:rsidR="00AD0020">
        <w:rPr>
          <w:rFonts w:eastAsia="TimesNewRoman" w:cs="TimesNewRoman"/>
          <w:lang w:eastAsia="en-AU"/>
        </w:rPr>
        <w:t xml:space="preserve"> plasma was reached at 2 hours.</w:t>
      </w:r>
    </w:p>
    <w:p w14:paraId="5300EA9A" w14:textId="77777777" w:rsidR="00DF61BC" w:rsidRPr="00C94C33" w:rsidRDefault="00DF61BC" w:rsidP="001F69A8">
      <w:pPr>
        <w:autoSpaceDE w:val="0"/>
        <w:autoSpaceDN w:val="0"/>
        <w:adjustRightInd w:val="0"/>
        <w:spacing w:before="0" w:line="240" w:lineRule="auto"/>
        <w:rPr>
          <w:rFonts w:eastAsia="TimesNewRoman" w:cs="TimesNewRoman"/>
          <w:lang w:eastAsia="en-AU"/>
        </w:rPr>
      </w:pPr>
      <w:r w:rsidRPr="00C94C33">
        <w:rPr>
          <w:rFonts w:eastAsia="TimesNewRoman" w:cs="TimesNewRoman"/>
          <w:lang w:eastAsia="en-AU"/>
        </w:rPr>
        <w:t>The PK of FTD, FTY, and TPI for patients in Group B are summarised. The C</w:t>
      </w:r>
      <w:r w:rsidRPr="00C94C33">
        <w:rPr>
          <w:rFonts w:eastAsia="TimesNewRoman" w:cs="TimesNewRoman"/>
          <w:sz w:val="20"/>
          <w:szCs w:val="20"/>
          <w:lang w:eastAsia="en-AU"/>
        </w:rPr>
        <w:t>max</w:t>
      </w:r>
      <w:r w:rsidRPr="00C94C33">
        <w:rPr>
          <w:rFonts w:eastAsia="TimesNewRoman" w:cs="TimesNewRoman"/>
          <w:sz w:val="18"/>
          <w:szCs w:val="18"/>
          <w:lang w:eastAsia="en-AU"/>
        </w:rPr>
        <w:t xml:space="preserve"> </w:t>
      </w:r>
      <w:r w:rsidRPr="00C94C33">
        <w:rPr>
          <w:rFonts w:eastAsia="TimesNewRoman" w:cs="TimesNewRoman"/>
          <w:lang w:eastAsia="en-AU"/>
        </w:rPr>
        <w:t>of TRA in plasma (54.2 ng-equiv/mL) was comparable to the C</w:t>
      </w:r>
      <w:r w:rsidRPr="00C94C33">
        <w:rPr>
          <w:rFonts w:eastAsia="TimesNewRoman" w:cs="TimesNewRoman"/>
          <w:sz w:val="20"/>
          <w:szCs w:val="20"/>
          <w:lang w:eastAsia="en-AU"/>
        </w:rPr>
        <w:t>max</w:t>
      </w:r>
      <w:r w:rsidRPr="00C94C33">
        <w:rPr>
          <w:rFonts w:eastAsia="TimesNewRoman" w:cs="TimesNewRoman"/>
          <w:lang w:eastAsia="en-AU"/>
        </w:rPr>
        <w:t xml:space="preserve"> of TPI (48.2 ng/mL) measured by LC-MS/MS. However, the AUC</w:t>
      </w:r>
      <w:r w:rsidRPr="00C94C33">
        <w:rPr>
          <w:rFonts w:eastAsia="TimesNewRoman" w:cs="TimesNewRoman"/>
          <w:sz w:val="20"/>
          <w:szCs w:val="20"/>
          <w:lang w:eastAsia="en-AU"/>
        </w:rPr>
        <w:t xml:space="preserve">0-last </w:t>
      </w:r>
      <w:r w:rsidRPr="00C94C33">
        <w:rPr>
          <w:rFonts w:eastAsia="TimesNewRoman" w:cs="TimesNewRoman"/>
          <w:lang w:eastAsia="en-AU"/>
        </w:rPr>
        <w:t>of TRA in plasma (677.5 ng-equiv*hr/mL) was approximately 3-fold higher than the AUC</w:t>
      </w:r>
      <w:r w:rsidRPr="00C94C33">
        <w:rPr>
          <w:rFonts w:eastAsia="TimesNewRoman" w:cs="TimesNewRoman"/>
          <w:sz w:val="20"/>
          <w:szCs w:val="20"/>
          <w:lang w:eastAsia="en-AU"/>
        </w:rPr>
        <w:t xml:space="preserve">0-last </w:t>
      </w:r>
      <w:r w:rsidRPr="00C94C33">
        <w:rPr>
          <w:rFonts w:eastAsia="TimesNewRoman" w:cs="TimesNewRoman"/>
          <w:lang w:eastAsia="en-AU"/>
        </w:rPr>
        <w:t>of TPI (210.4 ng*hr/mL). Therefore, the majority of TRA at earlier time points consisted of TPI, with the TRA in plasma after 12 hours consisting of slower eliminating TPI metabolites. Based on the AUC values, TPI accounted for approximately 30% of the total AUC of TRA in plasma.</w:t>
      </w:r>
    </w:p>
    <w:p w14:paraId="653508BC" w14:textId="3CFE1A0A" w:rsidR="00DF61BC" w:rsidRPr="00C94C33" w:rsidRDefault="00DF61BC" w:rsidP="001F69A8">
      <w:pPr>
        <w:autoSpaceDE w:val="0"/>
        <w:autoSpaceDN w:val="0"/>
        <w:adjustRightInd w:val="0"/>
        <w:spacing w:before="0" w:line="240" w:lineRule="auto"/>
        <w:rPr>
          <w:rFonts w:eastAsia="TimesNewRoman" w:cs="TimesNewRoman"/>
          <w:color w:val="000000"/>
          <w:lang w:eastAsia="en-AU"/>
        </w:rPr>
      </w:pPr>
      <w:r w:rsidRPr="00C94C33">
        <w:rPr>
          <w:rFonts w:eastAsia="TimesNewRoman" w:cs="TimesNewRoman"/>
          <w:lang w:eastAsia="en-AU"/>
        </w:rPr>
        <w:t xml:space="preserve">The excretion of TRA from </w:t>
      </w:r>
      <w:r w:rsidR="00394543" w:rsidRPr="00C94C33">
        <w:rPr>
          <w:rFonts w:eastAsia="TimesNewRoman" w:cs="TimesNewRoman"/>
          <w:lang w:eastAsia="en-AU"/>
        </w:rPr>
        <w:t>[14C]</w:t>
      </w:r>
      <w:r w:rsidRPr="00C94C33">
        <w:rPr>
          <w:rFonts w:eastAsia="TimesNewRoman" w:cs="TimesNewRoman"/>
          <w:lang w:eastAsia="en-AU"/>
        </w:rPr>
        <w:t>-TPI in urine and f</w:t>
      </w:r>
      <w:r w:rsidR="00DF75EE" w:rsidRPr="00C94C33">
        <w:rPr>
          <w:rFonts w:eastAsia="TimesNewRoman" w:cs="TimesNewRoman"/>
          <w:lang w:eastAsia="en-AU"/>
        </w:rPr>
        <w:t>ae</w:t>
      </w:r>
      <w:r w:rsidRPr="00C94C33">
        <w:rPr>
          <w:rFonts w:eastAsia="TimesNewRoman" w:cs="TimesNewRoman"/>
          <w:lang w:eastAsia="en-AU"/>
        </w:rPr>
        <w:t xml:space="preserve">ces is summarised below. </w:t>
      </w:r>
      <w:r w:rsidRPr="00C94C33">
        <w:rPr>
          <w:rFonts w:eastAsia="TimesNewRoman" w:cs="TimesNewRoman"/>
          <w:color w:val="000000"/>
          <w:lang w:eastAsia="en-AU"/>
        </w:rPr>
        <w:t xml:space="preserve">The total cumulative elimination of TRA derived from </w:t>
      </w:r>
      <w:r w:rsidR="00394543" w:rsidRPr="00C94C33">
        <w:rPr>
          <w:rFonts w:eastAsia="TimesNewRoman" w:cs="TimesNewRoman"/>
          <w:color w:val="000000"/>
          <w:lang w:eastAsia="en-AU"/>
        </w:rPr>
        <w:t>[14C]</w:t>
      </w:r>
      <w:r w:rsidRPr="00C94C33">
        <w:rPr>
          <w:rFonts w:eastAsia="TimesNewRoman" w:cs="TimesNewRoman"/>
          <w:color w:val="000000"/>
          <w:lang w:eastAsia="en-AU"/>
        </w:rPr>
        <w:t>-TPI was approximately 76.8% of the administered dose, and consisted of 27.0% urinary excretion and 49.7% f</w:t>
      </w:r>
      <w:r w:rsidR="00DF75EE" w:rsidRPr="00C94C33">
        <w:rPr>
          <w:rFonts w:eastAsia="TimesNewRoman" w:cs="TimesNewRoman"/>
          <w:color w:val="000000"/>
          <w:lang w:eastAsia="en-AU"/>
        </w:rPr>
        <w:t>a</w:t>
      </w:r>
      <w:r w:rsidR="00AD0020">
        <w:rPr>
          <w:rFonts w:eastAsia="TimesNewRoman" w:cs="TimesNewRoman"/>
          <w:color w:val="000000"/>
          <w:lang w:eastAsia="en-AU"/>
        </w:rPr>
        <w:t>ecal excretion.</w:t>
      </w:r>
    </w:p>
    <w:p w14:paraId="3E9CF8A0" w14:textId="0DFE6B0D" w:rsidR="00DF61BC" w:rsidRPr="00C94C33" w:rsidRDefault="00DF61BC" w:rsidP="001F69A8">
      <w:pPr>
        <w:pStyle w:val="Tabletitle"/>
        <w:rPr>
          <w:lang w:eastAsia="en-AU"/>
        </w:rPr>
      </w:pPr>
      <w:bookmarkStart w:id="103" w:name="_Toc470948662"/>
      <w:r w:rsidRPr="00C94C33">
        <w:rPr>
          <w:bCs/>
          <w:kern w:val="16"/>
          <w:szCs w:val="24"/>
          <w:lang w:eastAsia="en-AU"/>
        </w:rPr>
        <w:t>Tab</w:t>
      </w:r>
      <w:r w:rsidR="001F69A8" w:rsidRPr="00C94C33">
        <w:rPr>
          <w:bCs/>
          <w:kern w:val="16"/>
          <w:szCs w:val="24"/>
          <w:lang w:eastAsia="en-AU"/>
        </w:rPr>
        <w:t xml:space="preserve">le 13: </w:t>
      </w:r>
      <w:r w:rsidR="00DF75EE" w:rsidRPr="00C94C33">
        <w:rPr>
          <w:bCs/>
          <w:kern w:val="16"/>
          <w:szCs w:val="24"/>
          <w:lang w:eastAsia="en-AU"/>
        </w:rPr>
        <w:t xml:space="preserve">Study </w:t>
      </w:r>
      <w:r w:rsidRPr="00C94C33">
        <w:rPr>
          <w:rFonts w:eastAsia="TimesNewRoman" w:cs="TimesNewRoman"/>
          <w:bCs/>
          <w:lang w:eastAsia="en-AU"/>
        </w:rPr>
        <w:t>TPU-TAS-102-108</w:t>
      </w:r>
      <w:r w:rsidR="00DF75EE" w:rsidRPr="00C94C33">
        <w:rPr>
          <w:rFonts w:eastAsia="TimesNewRoman" w:cs="TimesNewRoman"/>
          <w:bCs/>
          <w:lang w:eastAsia="en-AU"/>
        </w:rPr>
        <w:t xml:space="preserve">; </w:t>
      </w:r>
      <w:r w:rsidRPr="00C94C33">
        <w:rPr>
          <w:lang w:eastAsia="en-AU"/>
        </w:rPr>
        <w:t xml:space="preserve">PK parameters for total radioactivity of </w:t>
      </w:r>
      <w:r w:rsidR="00394543" w:rsidRPr="00C94C33">
        <w:rPr>
          <w:lang w:eastAsia="en-AU"/>
        </w:rPr>
        <w:t>[14C]</w:t>
      </w:r>
      <w:r w:rsidRPr="00C94C33">
        <w:rPr>
          <w:lang w:eastAsia="en-AU"/>
        </w:rPr>
        <w:t>-TPI excreted in urine, f</w:t>
      </w:r>
      <w:r w:rsidR="00DF75EE" w:rsidRPr="00C94C33">
        <w:rPr>
          <w:lang w:eastAsia="en-AU"/>
        </w:rPr>
        <w:t>a</w:t>
      </w:r>
      <w:r w:rsidRPr="00C94C33">
        <w:rPr>
          <w:lang w:eastAsia="en-AU"/>
        </w:rPr>
        <w:t>eces, and total recovered, PK Population Group B</w:t>
      </w:r>
      <w:bookmarkEnd w:id="103"/>
    </w:p>
    <w:tbl>
      <w:tblPr>
        <w:tblStyle w:val="TableGrid7"/>
        <w:tblW w:w="8057" w:type="dxa"/>
        <w:tblLook w:val="04A0" w:firstRow="1" w:lastRow="0" w:firstColumn="1" w:lastColumn="0" w:noHBand="0" w:noVBand="1"/>
        <w:tblDescription w:val="Table 13: Study TPU-TAS-102-108; PK parameters for total radioactivity of [14C]-TPI excreted in urine, faeces, and total recovered, PK Population Group B"/>
      </w:tblPr>
      <w:tblGrid>
        <w:gridCol w:w="1364"/>
        <w:gridCol w:w="1521"/>
        <w:gridCol w:w="2028"/>
        <w:gridCol w:w="1572"/>
        <w:gridCol w:w="1572"/>
      </w:tblGrid>
      <w:tr w:rsidR="00DF61BC" w:rsidRPr="00C94C33" w14:paraId="6A3CB64E" w14:textId="77777777" w:rsidTr="007B0D96">
        <w:trPr>
          <w:tblHeader/>
        </w:trPr>
        <w:tc>
          <w:tcPr>
            <w:tcW w:w="1364" w:type="dxa"/>
            <w:shd w:val="clear" w:color="auto" w:fill="auto"/>
          </w:tcPr>
          <w:p w14:paraId="26FAF448" w14:textId="77777777" w:rsidR="00DF61BC" w:rsidRPr="00C94C33" w:rsidRDefault="00DF61BC" w:rsidP="00DF61BC">
            <w:pPr>
              <w:autoSpaceDE w:val="0"/>
              <w:autoSpaceDN w:val="0"/>
              <w:adjustRightInd w:val="0"/>
              <w:spacing w:before="0" w:after="0" w:line="240" w:lineRule="auto"/>
              <w:rPr>
                <w:rFonts w:asciiTheme="minorHAnsi" w:eastAsia="TimesNewRoman" w:hAnsiTheme="minorHAnsi" w:cs="Calibri"/>
                <w:b/>
                <w:sz w:val="18"/>
                <w:szCs w:val="18"/>
              </w:rPr>
            </w:pPr>
          </w:p>
        </w:tc>
        <w:tc>
          <w:tcPr>
            <w:tcW w:w="3549" w:type="dxa"/>
            <w:gridSpan w:val="2"/>
            <w:shd w:val="clear" w:color="auto" w:fill="auto"/>
          </w:tcPr>
          <w:p w14:paraId="047A460D" w14:textId="77777777" w:rsidR="00DF61BC" w:rsidRPr="00C94C33" w:rsidRDefault="00DF61BC" w:rsidP="00DF61BC">
            <w:pPr>
              <w:autoSpaceDE w:val="0"/>
              <w:autoSpaceDN w:val="0"/>
              <w:adjustRightInd w:val="0"/>
              <w:spacing w:before="0" w:after="0" w:line="240" w:lineRule="auto"/>
              <w:jc w:val="center"/>
              <w:rPr>
                <w:rFonts w:asciiTheme="minorHAnsi" w:eastAsia="TimesNewRoman" w:hAnsiTheme="minorHAnsi" w:cs="Calibri"/>
                <w:b/>
                <w:sz w:val="18"/>
                <w:szCs w:val="18"/>
              </w:rPr>
            </w:pPr>
            <w:r w:rsidRPr="00C94C33">
              <w:rPr>
                <w:rFonts w:asciiTheme="minorHAnsi" w:eastAsia="TimesNewRoman" w:hAnsiTheme="minorHAnsi" w:cs="Calibri"/>
                <w:b/>
                <w:sz w:val="18"/>
                <w:szCs w:val="18"/>
              </w:rPr>
              <w:t>Urine</w:t>
            </w:r>
          </w:p>
        </w:tc>
        <w:tc>
          <w:tcPr>
            <w:tcW w:w="1572" w:type="dxa"/>
            <w:shd w:val="clear" w:color="auto" w:fill="auto"/>
          </w:tcPr>
          <w:p w14:paraId="61DE16AB" w14:textId="77777777" w:rsidR="00DF61BC" w:rsidRPr="00C94C33" w:rsidRDefault="00DF61BC" w:rsidP="00DF61BC">
            <w:pPr>
              <w:autoSpaceDE w:val="0"/>
              <w:autoSpaceDN w:val="0"/>
              <w:adjustRightInd w:val="0"/>
              <w:spacing w:before="0" w:after="0" w:line="240" w:lineRule="auto"/>
              <w:jc w:val="center"/>
              <w:rPr>
                <w:rFonts w:asciiTheme="minorHAnsi" w:eastAsia="TimesNewRoman" w:hAnsiTheme="minorHAnsi" w:cs="Calibri"/>
                <w:b/>
                <w:sz w:val="18"/>
                <w:szCs w:val="18"/>
              </w:rPr>
            </w:pPr>
            <w:r w:rsidRPr="00C94C33">
              <w:rPr>
                <w:rFonts w:asciiTheme="minorHAnsi" w:eastAsia="TimesNewRoman" w:hAnsiTheme="minorHAnsi" w:cs="Calibri"/>
                <w:b/>
                <w:sz w:val="18"/>
                <w:szCs w:val="18"/>
              </w:rPr>
              <w:t>Feces</w:t>
            </w:r>
          </w:p>
        </w:tc>
        <w:tc>
          <w:tcPr>
            <w:tcW w:w="1572" w:type="dxa"/>
            <w:shd w:val="clear" w:color="auto" w:fill="auto"/>
          </w:tcPr>
          <w:p w14:paraId="201895EF" w14:textId="77777777" w:rsidR="00DF61BC" w:rsidRPr="00C94C33" w:rsidRDefault="00DF61BC" w:rsidP="00DF61BC">
            <w:pPr>
              <w:autoSpaceDE w:val="0"/>
              <w:autoSpaceDN w:val="0"/>
              <w:adjustRightInd w:val="0"/>
              <w:spacing w:before="0" w:after="0" w:line="240" w:lineRule="auto"/>
              <w:jc w:val="center"/>
              <w:rPr>
                <w:rFonts w:asciiTheme="minorHAnsi" w:eastAsia="TimesNewRoman" w:hAnsiTheme="minorHAnsi" w:cs="Calibri"/>
                <w:b/>
                <w:sz w:val="18"/>
                <w:szCs w:val="18"/>
              </w:rPr>
            </w:pPr>
            <w:r w:rsidRPr="00C94C33">
              <w:rPr>
                <w:rFonts w:asciiTheme="minorHAnsi" w:eastAsia="TimesNewRoman" w:hAnsiTheme="minorHAnsi" w:cs="Calibri"/>
                <w:b/>
                <w:sz w:val="18"/>
                <w:szCs w:val="18"/>
              </w:rPr>
              <w:t>TRA</w:t>
            </w:r>
          </w:p>
        </w:tc>
      </w:tr>
      <w:tr w:rsidR="00DF61BC" w:rsidRPr="00C94C33" w14:paraId="32751FD4" w14:textId="77777777" w:rsidTr="00650943">
        <w:tc>
          <w:tcPr>
            <w:tcW w:w="1364" w:type="dxa"/>
            <w:shd w:val="clear" w:color="auto" w:fill="auto"/>
          </w:tcPr>
          <w:p w14:paraId="362ACF4A" w14:textId="77777777" w:rsidR="00DF61BC" w:rsidRPr="00C94C33" w:rsidRDefault="00DF61BC" w:rsidP="00DF61BC">
            <w:pPr>
              <w:autoSpaceDE w:val="0"/>
              <w:autoSpaceDN w:val="0"/>
              <w:adjustRightInd w:val="0"/>
              <w:spacing w:before="0" w:after="0" w:line="240" w:lineRule="auto"/>
              <w:rPr>
                <w:rFonts w:asciiTheme="minorHAnsi" w:eastAsia="TimesNewRoman" w:hAnsiTheme="minorHAnsi" w:cs="Calibri"/>
                <w:b/>
                <w:sz w:val="18"/>
                <w:szCs w:val="18"/>
              </w:rPr>
            </w:pPr>
          </w:p>
        </w:tc>
        <w:tc>
          <w:tcPr>
            <w:tcW w:w="1521" w:type="dxa"/>
            <w:shd w:val="clear" w:color="auto" w:fill="auto"/>
          </w:tcPr>
          <w:p w14:paraId="235F1483" w14:textId="77777777" w:rsidR="00DF61BC" w:rsidRPr="00C94C33" w:rsidRDefault="00DF61BC" w:rsidP="00DF61BC">
            <w:pPr>
              <w:autoSpaceDE w:val="0"/>
              <w:autoSpaceDN w:val="0"/>
              <w:adjustRightInd w:val="0"/>
              <w:spacing w:before="0" w:after="0" w:line="240" w:lineRule="auto"/>
              <w:jc w:val="center"/>
              <w:rPr>
                <w:rFonts w:asciiTheme="minorHAnsi" w:eastAsia="TimesNewRoman" w:hAnsiTheme="minorHAnsi" w:cs="Calibri"/>
                <w:b/>
                <w:sz w:val="18"/>
                <w:szCs w:val="18"/>
              </w:rPr>
            </w:pPr>
            <w:r w:rsidRPr="00C94C33">
              <w:rPr>
                <w:rFonts w:asciiTheme="minorHAnsi" w:eastAsia="TimesNewRoman" w:hAnsiTheme="minorHAnsi" w:cs="Calibri"/>
                <w:b/>
                <w:sz w:val="18"/>
                <w:szCs w:val="18"/>
              </w:rPr>
              <w:t>Ae%R (%)</w:t>
            </w:r>
          </w:p>
        </w:tc>
        <w:tc>
          <w:tcPr>
            <w:tcW w:w="2028" w:type="dxa"/>
            <w:shd w:val="clear" w:color="auto" w:fill="auto"/>
          </w:tcPr>
          <w:p w14:paraId="11A2BC23" w14:textId="77777777" w:rsidR="00DF61BC" w:rsidRPr="00C94C33" w:rsidRDefault="00DF61BC" w:rsidP="00DF61BC">
            <w:pPr>
              <w:autoSpaceDE w:val="0"/>
              <w:autoSpaceDN w:val="0"/>
              <w:adjustRightInd w:val="0"/>
              <w:spacing w:before="0" w:after="0" w:line="240" w:lineRule="auto"/>
              <w:jc w:val="center"/>
              <w:rPr>
                <w:rFonts w:asciiTheme="minorHAnsi" w:eastAsia="TimesNewRoman" w:hAnsiTheme="minorHAnsi" w:cs="Calibri"/>
                <w:b/>
                <w:sz w:val="18"/>
                <w:szCs w:val="18"/>
              </w:rPr>
            </w:pPr>
            <w:r w:rsidRPr="00C94C33">
              <w:rPr>
                <w:rFonts w:asciiTheme="minorHAnsi" w:eastAsia="TimesNewRoman" w:hAnsiTheme="minorHAnsi" w:cs="Calibri"/>
                <w:b/>
                <w:sz w:val="18"/>
                <w:szCs w:val="18"/>
              </w:rPr>
              <w:t>CLr (mL/hr)</w:t>
            </w:r>
          </w:p>
        </w:tc>
        <w:tc>
          <w:tcPr>
            <w:tcW w:w="1572" w:type="dxa"/>
            <w:shd w:val="clear" w:color="auto" w:fill="auto"/>
          </w:tcPr>
          <w:p w14:paraId="2B183653" w14:textId="77777777" w:rsidR="00DF61BC" w:rsidRPr="00C94C33" w:rsidRDefault="00DF61BC" w:rsidP="00DF61BC">
            <w:pPr>
              <w:autoSpaceDE w:val="0"/>
              <w:autoSpaceDN w:val="0"/>
              <w:adjustRightInd w:val="0"/>
              <w:spacing w:before="0" w:after="0" w:line="240" w:lineRule="auto"/>
              <w:jc w:val="center"/>
              <w:rPr>
                <w:rFonts w:asciiTheme="minorHAnsi" w:eastAsia="TimesNewRoman" w:hAnsiTheme="minorHAnsi" w:cs="Calibri"/>
                <w:b/>
                <w:sz w:val="18"/>
                <w:szCs w:val="18"/>
              </w:rPr>
            </w:pPr>
            <w:r w:rsidRPr="00C94C33">
              <w:rPr>
                <w:rFonts w:asciiTheme="minorHAnsi" w:eastAsia="TimesNewRoman" w:hAnsiTheme="minorHAnsi" w:cs="Calibri"/>
                <w:b/>
                <w:sz w:val="18"/>
                <w:szCs w:val="18"/>
              </w:rPr>
              <w:t>Ae%F (%)</w:t>
            </w:r>
          </w:p>
        </w:tc>
        <w:tc>
          <w:tcPr>
            <w:tcW w:w="1572" w:type="dxa"/>
            <w:shd w:val="clear" w:color="auto" w:fill="auto"/>
          </w:tcPr>
          <w:p w14:paraId="5AE8DD0D" w14:textId="77777777" w:rsidR="00DF61BC" w:rsidRPr="00C94C33" w:rsidRDefault="00DF61BC" w:rsidP="00DF61BC">
            <w:pPr>
              <w:autoSpaceDE w:val="0"/>
              <w:autoSpaceDN w:val="0"/>
              <w:adjustRightInd w:val="0"/>
              <w:spacing w:before="0" w:after="0" w:line="240" w:lineRule="auto"/>
              <w:jc w:val="center"/>
              <w:rPr>
                <w:rFonts w:asciiTheme="minorHAnsi" w:eastAsia="TimesNewRoman" w:hAnsiTheme="minorHAnsi" w:cs="Calibri"/>
                <w:b/>
                <w:sz w:val="18"/>
                <w:szCs w:val="18"/>
              </w:rPr>
            </w:pPr>
            <w:r w:rsidRPr="00C94C33">
              <w:rPr>
                <w:rFonts w:asciiTheme="minorHAnsi" w:eastAsia="TimesNewRoman" w:hAnsiTheme="minorHAnsi" w:cs="Calibri"/>
                <w:b/>
                <w:sz w:val="18"/>
                <w:szCs w:val="18"/>
              </w:rPr>
              <w:t>Ae%total (%)</w:t>
            </w:r>
          </w:p>
        </w:tc>
      </w:tr>
      <w:tr w:rsidR="00DF61BC" w:rsidRPr="00C94C33" w14:paraId="0CB1F88C" w14:textId="77777777" w:rsidTr="00650943">
        <w:tc>
          <w:tcPr>
            <w:tcW w:w="1364" w:type="dxa"/>
            <w:shd w:val="clear" w:color="auto" w:fill="auto"/>
          </w:tcPr>
          <w:p w14:paraId="5252D544" w14:textId="77777777" w:rsidR="00DF61BC" w:rsidRPr="00C94C33" w:rsidRDefault="00DF61BC" w:rsidP="00DF61BC">
            <w:pPr>
              <w:autoSpaceDE w:val="0"/>
              <w:autoSpaceDN w:val="0"/>
              <w:adjustRightInd w:val="0"/>
              <w:spacing w:before="0" w:after="0" w:line="240" w:lineRule="auto"/>
              <w:rPr>
                <w:rFonts w:asciiTheme="minorHAnsi" w:eastAsia="TimesNewRoman" w:hAnsiTheme="minorHAnsi" w:cs="Calibri"/>
                <w:b/>
                <w:sz w:val="18"/>
                <w:szCs w:val="18"/>
              </w:rPr>
            </w:pPr>
            <w:r w:rsidRPr="00C94C33">
              <w:rPr>
                <w:rFonts w:asciiTheme="minorHAnsi" w:eastAsia="TimesNewRoman" w:hAnsiTheme="minorHAnsi" w:cs="Calibri"/>
                <w:b/>
                <w:sz w:val="18"/>
                <w:szCs w:val="18"/>
              </w:rPr>
              <w:t xml:space="preserve">N </w:t>
            </w:r>
          </w:p>
        </w:tc>
        <w:tc>
          <w:tcPr>
            <w:tcW w:w="1521" w:type="dxa"/>
            <w:shd w:val="clear" w:color="auto" w:fill="auto"/>
          </w:tcPr>
          <w:p w14:paraId="4ECC75F5" w14:textId="77777777" w:rsidR="00DF61BC" w:rsidRPr="00C94C33" w:rsidRDefault="00DF61BC" w:rsidP="00DF61BC">
            <w:pPr>
              <w:autoSpaceDE w:val="0"/>
              <w:autoSpaceDN w:val="0"/>
              <w:adjustRightInd w:val="0"/>
              <w:spacing w:before="0" w:after="0" w:line="240" w:lineRule="auto"/>
              <w:jc w:val="center"/>
              <w:rPr>
                <w:rFonts w:asciiTheme="minorHAnsi" w:eastAsia="TimesNewRoman" w:hAnsiTheme="minorHAnsi" w:cs="Calibri"/>
                <w:sz w:val="18"/>
                <w:szCs w:val="18"/>
              </w:rPr>
            </w:pPr>
            <w:r w:rsidRPr="00C94C33">
              <w:rPr>
                <w:rFonts w:asciiTheme="minorHAnsi" w:eastAsia="TimesNewRoman" w:hAnsiTheme="minorHAnsi" w:cs="Calibri"/>
                <w:sz w:val="18"/>
                <w:szCs w:val="18"/>
              </w:rPr>
              <w:t>4</w:t>
            </w:r>
          </w:p>
        </w:tc>
        <w:tc>
          <w:tcPr>
            <w:tcW w:w="2028" w:type="dxa"/>
            <w:shd w:val="clear" w:color="auto" w:fill="auto"/>
          </w:tcPr>
          <w:p w14:paraId="14D61332" w14:textId="77777777" w:rsidR="00DF61BC" w:rsidRPr="00C94C33" w:rsidRDefault="00DF61BC" w:rsidP="00DF61BC">
            <w:pPr>
              <w:autoSpaceDE w:val="0"/>
              <w:autoSpaceDN w:val="0"/>
              <w:adjustRightInd w:val="0"/>
              <w:spacing w:before="0" w:after="0" w:line="240" w:lineRule="auto"/>
              <w:jc w:val="center"/>
              <w:rPr>
                <w:rFonts w:asciiTheme="minorHAnsi" w:eastAsia="TimesNewRoman" w:hAnsiTheme="minorHAnsi" w:cs="Calibri"/>
                <w:sz w:val="18"/>
                <w:szCs w:val="18"/>
              </w:rPr>
            </w:pPr>
            <w:r w:rsidRPr="00C94C33">
              <w:rPr>
                <w:rFonts w:asciiTheme="minorHAnsi" w:eastAsia="TimesNewRoman" w:hAnsiTheme="minorHAnsi" w:cs="Calibri"/>
                <w:sz w:val="18"/>
                <w:szCs w:val="18"/>
              </w:rPr>
              <w:t>4</w:t>
            </w:r>
          </w:p>
        </w:tc>
        <w:tc>
          <w:tcPr>
            <w:tcW w:w="1572" w:type="dxa"/>
            <w:shd w:val="clear" w:color="auto" w:fill="auto"/>
          </w:tcPr>
          <w:p w14:paraId="73AB1ACF" w14:textId="77777777" w:rsidR="00DF61BC" w:rsidRPr="00C94C33" w:rsidRDefault="00DF61BC" w:rsidP="00DF61BC">
            <w:pPr>
              <w:autoSpaceDE w:val="0"/>
              <w:autoSpaceDN w:val="0"/>
              <w:adjustRightInd w:val="0"/>
              <w:spacing w:before="0" w:after="0" w:line="240" w:lineRule="auto"/>
              <w:jc w:val="center"/>
              <w:rPr>
                <w:rFonts w:asciiTheme="minorHAnsi" w:eastAsia="TimesNewRoman" w:hAnsiTheme="minorHAnsi" w:cs="Calibri"/>
                <w:sz w:val="18"/>
                <w:szCs w:val="18"/>
              </w:rPr>
            </w:pPr>
            <w:r w:rsidRPr="00C94C33">
              <w:rPr>
                <w:rFonts w:asciiTheme="minorHAnsi" w:eastAsia="TimesNewRoman" w:hAnsiTheme="minorHAnsi" w:cs="Calibri"/>
                <w:sz w:val="18"/>
                <w:szCs w:val="18"/>
              </w:rPr>
              <w:t>4</w:t>
            </w:r>
          </w:p>
        </w:tc>
        <w:tc>
          <w:tcPr>
            <w:tcW w:w="1572" w:type="dxa"/>
            <w:shd w:val="clear" w:color="auto" w:fill="auto"/>
          </w:tcPr>
          <w:p w14:paraId="06307981" w14:textId="77777777" w:rsidR="00DF61BC" w:rsidRPr="00C94C33" w:rsidRDefault="00DF61BC" w:rsidP="00DF61BC">
            <w:pPr>
              <w:autoSpaceDE w:val="0"/>
              <w:autoSpaceDN w:val="0"/>
              <w:adjustRightInd w:val="0"/>
              <w:spacing w:before="0" w:after="0" w:line="240" w:lineRule="auto"/>
              <w:jc w:val="center"/>
              <w:rPr>
                <w:rFonts w:asciiTheme="minorHAnsi" w:eastAsia="TimesNewRoman" w:hAnsiTheme="minorHAnsi" w:cs="Calibri"/>
                <w:sz w:val="18"/>
                <w:szCs w:val="18"/>
              </w:rPr>
            </w:pPr>
            <w:r w:rsidRPr="00C94C33">
              <w:rPr>
                <w:rFonts w:asciiTheme="minorHAnsi" w:eastAsia="TimesNewRoman" w:hAnsiTheme="minorHAnsi" w:cs="Calibri"/>
                <w:sz w:val="18"/>
                <w:szCs w:val="18"/>
              </w:rPr>
              <w:t>4</w:t>
            </w:r>
          </w:p>
        </w:tc>
      </w:tr>
      <w:tr w:rsidR="00DF61BC" w:rsidRPr="00C94C33" w14:paraId="340E6C02" w14:textId="77777777" w:rsidTr="00650943">
        <w:tc>
          <w:tcPr>
            <w:tcW w:w="1364" w:type="dxa"/>
            <w:shd w:val="clear" w:color="auto" w:fill="auto"/>
          </w:tcPr>
          <w:p w14:paraId="2298CC8E" w14:textId="77777777" w:rsidR="00DF61BC" w:rsidRPr="00C94C33" w:rsidRDefault="00DF61BC" w:rsidP="00DF61BC">
            <w:pPr>
              <w:autoSpaceDE w:val="0"/>
              <w:autoSpaceDN w:val="0"/>
              <w:adjustRightInd w:val="0"/>
              <w:spacing w:before="0" w:after="0" w:line="240" w:lineRule="auto"/>
              <w:rPr>
                <w:rFonts w:asciiTheme="minorHAnsi" w:eastAsia="TimesNewRoman" w:hAnsiTheme="minorHAnsi" w:cs="Calibri"/>
                <w:sz w:val="18"/>
                <w:szCs w:val="18"/>
              </w:rPr>
            </w:pPr>
            <w:r w:rsidRPr="00C94C33">
              <w:rPr>
                <w:rFonts w:asciiTheme="minorHAnsi" w:eastAsia="TimesNewRoman" w:hAnsiTheme="minorHAnsi" w:cs="Calibri"/>
                <w:sz w:val="18"/>
                <w:szCs w:val="18"/>
              </w:rPr>
              <w:t xml:space="preserve">Mean </w:t>
            </w:r>
            <w:r w:rsidRPr="00C94C33">
              <w:rPr>
                <w:rFonts w:asciiTheme="minorHAnsi" w:eastAsia="TimesNewRoman" w:hAnsiTheme="minorHAnsi" w:cs="Calibri"/>
                <w:sz w:val="18"/>
                <w:szCs w:val="18"/>
              </w:rPr>
              <w:softHyphen/>
              <w:t>± SD</w:t>
            </w:r>
          </w:p>
        </w:tc>
        <w:tc>
          <w:tcPr>
            <w:tcW w:w="1521" w:type="dxa"/>
            <w:shd w:val="clear" w:color="auto" w:fill="auto"/>
          </w:tcPr>
          <w:p w14:paraId="5AEC382E" w14:textId="77777777" w:rsidR="00DF61BC" w:rsidRPr="00C94C33" w:rsidRDefault="00DF61BC" w:rsidP="00DF61BC">
            <w:pPr>
              <w:autoSpaceDE w:val="0"/>
              <w:autoSpaceDN w:val="0"/>
              <w:adjustRightInd w:val="0"/>
              <w:spacing w:before="0" w:after="0" w:line="240" w:lineRule="auto"/>
              <w:jc w:val="center"/>
              <w:rPr>
                <w:rFonts w:asciiTheme="minorHAnsi" w:eastAsia="TimesNewRoman" w:hAnsiTheme="minorHAnsi" w:cs="Calibri"/>
                <w:sz w:val="18"/>
                <w:szCs w:val="18"/>
              </w:rPr>
            </w:pPr>
            <w:r w:rsidRPr="00C94C33">
              <w:rPr>
                <w:rFonts w:asciiTheme="minorHAnsi" w:eastAsia="TimesNewRoman" w:hAnsiTheme="minorHAnsi" w:cs="Calibri"/>
                <w:sz w:val="18"/>
                <w:szCs w:val="18"/>
              </w:rPr>
              <w:t>27.037 ± 8.0065</w:t>
            </w:r>
          </w:p>
        </w:tc>
        <w:tc>
          <w:tcPr>
            <w:tcW w:w="2028" w:type="dxa"/>
            <w:shd w:val="clear" w:color="auto" w:fill="auto"/>
          </w:tcPr>
          <w:p w14:paraId="33341953" w14:textId="77777777" w:rsidR="00DF61BC" w:rsidRPr="00C94C33" w:rsidRDefault="00DF61BC" w:rsidP="00DF61BC">
            <w:pPr>
              <w:autoSpaceDE w:val="0"/>
              <w:autoSpaceDN w:val="0"/>
              <w:adjustRightInd w:val="0"/>
              <w:spacing w:before="0" w:after="0" w:line="240" w:lineRule="auto"/>
              <w:jc w:val="center"/>
              <w:rPr>
                <w:rFonts w:asciiTheme="minorHAnsi" w:eastAsia="TimesNewRoman" w:hAnsiTheme="minorHAnsi" w:cs="Calibri"/>
                <w:sz w:val="18"/>
                <w:szCs w:val="18"/>
              </w:rPr>
            </w:pPr>
            <w:r w:rsidRPr="00C94C33">
              <w:rPr>
                <w:rFonts w:asciiTheme="minorHAnsi" w:eastAsia="TimesNewRoman" w:hAnsiTheme="minorHAnsi" w:cs="Calibri"/>
                <w:sz w:val="18"/>
                <w:szCs w:val="18"/>
              </w:rPr>
              <w:t>10549.115 ± 3284.9595</w:t>
            </w:r>
          </w:p>
        </w:tc>
        <w:tc>
          <w:tcPr>
            <w:tcW w:w="1572" w:type="dxa"/>
            <w:shd w:val="clear" w:color="auto" w:fill="auto"/>
          </w:tcPr>
          <w:p w14:paraId="70BC4C1B" w14:textId="77777777" w:rsidR="00DF61BC" w:rsidRPr="00C94C33" w:rsidRDefault="00DF61BC" w:rsidP="00DF61BC">
            <w:pPr>
              <w:autoSpaceDE w:val="0"/>
              <w:autoSpaceDN w:val="0"/>
              <w:adjustRightInd w:val="0"/>
              <w:spacing w:before="0" w:after="0" w:line="240" w:lineRule="auto"/>
              <w:jc w:val="center"/>
              <w:rPr>
                <w:rFonts w:asciiTheme="minorHAnsi" w:eastAsia="TimesNewRoman" w:hAnsiTheme="minorHAnsi" w:cs="Calibri"/>
                <w:sz w:val="18"/>
                <w:szCs w:val="18"/>
              </w:rPr>
            </w:pPr>
            <w:r w:rsidRPr="00C94C33">
              <w:rPr>
                <w:rFonts w:asciiTheme="minorHAnsi" w:eastAsia="TimesNewRoman" w:hAnsiTheme="minorHAnsi" w:cs="Calibri"/>
                <w:sz w:val="18"/>
                <w:szCs w:val="18"/>
              </w:rPr>
              <w:t>49.723 ± 21.5785</w:t>
            </w:r>
          </w:p>
        </w:tc>
        <w:tc>
          <w:tcPr>
            <w:tcW w:w="1572" w:type="dxa"/>
            <w:shd w:val="clear" w:color="auto" w:fill="auto"/>
          </w:tcPr>
          <w:p w14:paraId="02C0A88A" w14:textId="77777777" w:rsidR="00DF61BC" w:rsidRPr="00C94C33" w:rsidRDefault="00DF61BC" w:rsidP="00DF61BC">
            <w:pPr>
              <w:autoSpaceDE w:val="0"/>
              <w:autoSpaceDN w:val="0"/>
              <w:adjustRightInd w:val="0"/>
              <w:spacing w:before="0" w:after="0" w:line="240" w:lineRule="auto"/>
              <w:jc w:val="center"/>
              <w:rPr>
                <w:rFonts w:asciiTheme="minorHAnsi" w:eastAsia="TimesNewRoman" w:hAnsiTheme="minorHAnsi" w:cs="Calibri"/>
                <w:sz w:val="18"/>
                <w:szCs w:val="18"/>
              </w:rPr>
            </w:pPr>
            <w:r w:rsidRPr="00C94C33">
              <w:rPr>
                <w:rFonts w:asciiTheme="minorHAnsi" w:eastAsia="TimesNewRoman" w:hAnsiTheme="minorHAnsi" w:cs="Calibri"/>
                <w:sz w:val="18"/>
                <w:szCs w:val="18"/>
              </w:rPr>
              <w:t>76.760 ± 27.6565</w:t>
            </w:r>
          </w:p>
        </w:tc>
      </w:tr>
      <w:tr w:rsidR="00DF61BC" w:rsidRPr="00C94C33" w14:paraId="68D6CD98" w14:textId="77777777" w:rsidTr="00650943">
        <w:tc>
          <w:tcPr>
            <w:tcW w:w="1364" w:type="dxa"/>
            <w:shd w:val="clear" w:color="auto" w:fill="auto"/>
          </w:tcPr>
          <w:p w14:paraId="28525336" w14:textId="77777777" w:rsidR="00DF61BC" w:rsidRPr="00C94C33" w:rsidRDefault="00DF61BC" w:rsidP="00DF61BC">
            <w:pPr>
              <w:autoSpaceDE w:val="0"/>
              <w:autoSpaceDN w:val="0"/>
              <w:adjustRightInd w:val="0"/>
              <w:spacing w:before="0" w:after="0" w:line="240" w:lineRule="auto"/>
              <w:rPr>
                <w:rFonts w:asciiTheme="minorHAnsi" w:eastAsia="TimesNewRoman" w:hAnsiTheme="minorHAnsi" w:cs="Calibri"/>
                <w:sz w:val="18"/>
                <w:szCs w:val="18"/>
              </w:rPr>
            </w:pPr>
            <w:r w:rsidRPr="00C94C33">
              <w:rPr>
                <w:rFonts w:asciiTheme="minorHAnsi" w:eastAsia="TimesNewRoman" w:hAnsiTheme="minorHAnsi" w:cs="Calibri"/>
                <w:sz w:val="18"/>
                <w:szCs w:val="18"/>
              </w:rPr>
              <w:t>%CV</w:t>
            </w:r>
          </w:p>
        </w:tc>
        <w:tc>
          <w:tcPr>
            <w:tcW w:w="1521" w:type="dxa"/>
            <w:shd w:val="clear" w:color="auto" w:fill="auto"/>
          </w:tcPr>
          <w:p w14:paraId="794EF7DC" w14:textId="77777777" w:rsidR="00DF61BC" w:rsidRPr="00C94C33" w:rsidRDefault="00DF61BC" w:rsidP="00DF61BC">
            <w:pPr>
              <w:autoSpaceDE w:val="0"/>
              <w:autoSpaceDN w:val="0"/>
              <w:adjustRightInd w:val="0"/>
              <w:spacing w:before="0" w:after="0" w:line="240" w:lineRule="auto"/>
              <w:jc w:val="center"/>
              <w:rPr>
                <w:rFonts w:asciiTheme="minorHAnsi" w:eastAsia="TimesNewRoman" w:hAnsiTheme="minorHAnsi" w:cs="Calibri"/>
                <w:sz w:val="18"/>
                <w:szCs w:val="18"/>
              </w:rPr>
            </w:pPr>
            <w:r w:rsidRPr="00C94C33">
              <w:rPr>
                <w:rFonts w:asciiTheme="minorHAnsi" w:eastAsia="TimesNewRoman" w:hAnsiTheme="minorHAnsi" w:cs="Calibri"/>
                <w:sz w:val="18"/>
                <w:szCs w:val="18"/>
              </w:rPr>
              <w:t>29.6</w:t>
            </w:r>
          </w:p>
        </w:tc>
        <w:tc>
          <w:tcPr>
            <w:tcW w:w="2028" w:type="dxa"/>
            <w:shd w:val="clear" w:color="auto" w:fill="auto"/>
          </w:tcPr>
          <w:p w14:paraId="6587AA6E" w14:textId="77777777" w:rsidR="00DF61BC" w:rsidRPr="00C94C33" w:rsidRDefault="00DF61BC" w:rsidP="00DF61BC">
            <w:pPr>
              <w:autoSpaceDE w:val="0"/>
              <w:autoSpaceDN w:val="0"/>
              <w:adjustRightInd w:val="0"/>
              <w:spacing w:before="0" w:after="0" w:line="240" w:lineRule="auto"/>
              <w:jc w:val="center"/>
              <w:rPr>
                <w:rFonts w:asciiTheme="minorHAnsi" w:eastAsia="TimesNewRoman" w:hAnsiTheme="minorHAnsi" w:cs="Calibri"/>
                <w:sz w:val="18"/>
                <w:szCs w:val="18"/>
              </w:rPr>
            </w:pPr>
            <w:r w:rsidRPr="00C94C33">
              <w:rPr>
                <w:rFonts w:asciiTheme="minorHAnsi" w:eastAsia="TimesNewRoman" w:hAnsiTheme="minorHAnsi" w:cs="Calibri"/>
                <w:sz w:val="18"/>
                <w:szCs w:val="18"/>
              </w:rPr>
              <w:t>31.1</w:t>
            </w:r>
          </w:p>
        </w:tc>
        <w:tc>
          <w:tcPr>
            <w:tcW w:w="1572" w:type="dxa"/>
            <w:shd w:val="clear" w:color="auto" w:fill="auto"/>
          </w:tcPr>
          <w:p w14:paraId="20A23360" w14:textId="77777777" w:rsidR="00DF61BC" w:rsidRPr="00C94C33" w:rsidRDefault="00DF61BC" w:rsidP="00DF61BC">
            <w:pPr>
              <w:autoSpaceDE w:val="0"/>
              <w:autoSpaceDN w:val="0"/>
              <w:adjustRightInd w:val="0"/>
              <w:spacing w:before="0" w:after="0" w:line="240" w:lineRule="auto"/>
              <w:jc w:val="center"/>
              <w:rPr>
                <w:rFonts w:asciiTheme="minorHAnsi" w:eastAsia="TimesNewRoman" w:hAnsiTheme="minorHAnsi" w:cs="Calibri"/>
                <w:sz w:val="18"/>
                <w:szCs w:val="18"/>
              </w:rPr>
            </w:pPr>
            <w:r w:rsidRPr="00C94C33">
              <w:rPr>
                <w:rFonts w:asciiTheme="minorHAnsi" w:eastAsia="TimesNewRoman" w:hAnsiTheme="minorHAnsi" w:cs="Calibri"/>
                <w:sz w:val="18"/>
                <w:szCs w:val="18"/>
              </w:rPr>
              <w:t>43.4</w:t>
            </w:r>
          </w:p>
        </w:tc>
        <w:tc>
          <w:tcPr>
            <w:tcW w:w="1572" w:type="dxa"/>
            <w:shd w:val="clear" w:color="auto" w:fill="auto"/>
          </w:tcPr>
          <w:p w14:paraId="0999B58E" w14:textId="77777777" w:rsidR="00DF61BC" w:rsidRPr="00C94C33" w:rsidRDefault="00DF61BC" w:rsidP="00DF61BC">
            <w:pPr>
              <w:autoSpaceDE w:val="0"/>
              <w:autoSpaceDN w:val="0"/>
              <w:adjustRightInd w:val="0"/>
              <w:spacing w:before="0" w:after="0" w:line="240" w:lineRule="auto"/>
              <w:jc w:val="center"/>
              <w:rPr>
                <w:rFonts w:asciiTheme="minorHAnsi" w:eastAsia="TimesNewRoman" w:hAnsiTheme="minorHAnsi" w:cs="Calibri"/>
                <w:sz w:val="18"/>
                <w:szCs w:val="18"/>
              </w:rPr>
            </w:pPr>
            <w:r w:rsidRPr="00C94C33">
              <w:rPr>
                <w:rFonts w:asciiTheme="minorHAnsi" w:eastAsia="TimesNewRoman" w:hAnsiTheme="minorHAnsi" w:cs="Calibri"/>
                <w:sz w:val="18"/>
                <w:szCs w:val="18"/>
              </w:rPr>
              <w:t>36.0</w:t>
            </w:r>
          </w:p>
        </w:tc>
      </w:tr>
      <w:tr w:rsidR="00DF61BC" w:rsidRPr="00C94C33" w14:paraId="56E009F3" w14:textId="77777777" w:rsidTr="00650943">
        <w:tc>
          <w:tcPr>
            <w:tcW w:w="1364" w:type="dxa"/>
            <w:shd w:val="clear" w:color="auto" w:fill="auto"/>
          </w:tcPr>
          <w:p w14:paraId="139A253A" w14:textId="77777777" w:rsidR="00DF61BC" w:rsidRPr="00C94C33" w:rsidRDefault="00DF61BC" w:rsidP="00DF61BC">
            <w:pPr>
              <w:autoSpaceDE w:val="0"/>
              <w:autoSpaceDN w:val="0"/>
              <w:adjustRightInd w:val="0"/>
              <w:spacing w:before="0" w:after="0" w:line="240" w:lineRule="auto"/>
              <w:rPr>
                <w:rFonts w:asciiTheme="minorHAnsi" w:eastAsia="TimesNewRoman" w:hAnsiTheme="minorHAnsi" w:cs="Calibri"/>
                <w:sz w:val="18"/>
                <w:szCs w:val="18"/>
              </w:rPr>
            </w:pPr>
            <w:r w:rsidRPr="00C94C33">
              <w:rPr>
                <w:rFonts w:asciiTheme="minorHAnsi" w:eastAsia="TimesNewRoman" w:hAnsiTheme="minorHAnsi" w:cs="Calibri"/>
                <w:sz w:val="18"/>
                <w:szCs w:val="18"/>
              </w:rPr>
              <w:t>Median</w:t>
            </w:r>
          </w:p>
        </w:tc>
        <w:tc>
          <w:tcPr>
            <w:tcW w:w="1521" w:type="dxa"/>
            <w:shd w:val="clear" w:color="auto" w:fill="auto"/>
          </w:tcPr>
          <w:p w14:paraId="1B92CFDB" w14:textId="77777777" w:rsidR="00DF61BC" w:rsidRPr="00C94C33" w:rsidRDefault="00DF61BC" w:rsidP="00DF61BC">
            <w:pPr>
              <w:autoSpaceDE w:val="0"/>
              <w:autoSpaceDN w:val="0"/>
              <w:adjustRightInd w:val="0"/>
              <w:spacing w:before="0" w:after="0" w:line="240" w:lineRule="auto"/>
              <w:jc w:val="center"/>
              <w:rPr>
                <w:rFonts w:asciiTheme="minorHAnsi" w:eastAsia="TimesNewRoman" w:hAnsiTheme="minorHAnsi" w:cs="Calibri"/>
                <w:sz w:val="18"/>
                <w:szCs w:val="18"/>
              </w:rPr>
            </w:pPr>
            <w:r w:rsidRPr="00C94C33">
              <w:rPr>
                <w:rFonts w:asciiTheme="minorHAnsi" w:eastAsia="TimesNewRoman" w:hAnsiTheme="minorHAnsi" w:cs="Calibri"/>
                <w:sz w:val="18"/>
                <w:szCs w:val="18"/>
              </w:rPr>
              <w:t>25.725</w:t>
            </w:r>
          </w:p>
        </w:tc>
        <w:tc>
          <w:tcPr>
            <w:tcW w:w="2028" w:type="dxa"/>
            <w:shd w:val="clear" w:color="auto" w:fill="auto"/>
          </w:tcPr>
          <w:p w14:paraId="6A3CB75C" w14:textId="77777777" w:rsidR="00DF61BC" w:rsidRPr="00C94C33" w:rsidRDefault="00DF61BC" w:rsidP="00DF61BC">
            <w:pPr>
              <w:autoSpaceDE w:val="0"/>
              <w:autoSpaceDN w:val="0"/>
              <w:adjustRightInd w:val="0"/>
              <w:spacing w:before="0" w:after="0" w:line="240" w:lineRule="auto"/>
              <w:jc w:val="center"/>
              <w:rPr>
                <w:rFonts w:asciiTheme="minorHAnsi" w:eastAsia="TimesNewRoman" w:hAnsiTheme="minorHAnsi" w:cs="Calibri"/>
                <w:sz w:val="18"/>
                <w:szCs w:val="18"/>
              </w:rPr>
            </w:pPr>
            <w:r w:rsidRPr="00C94C33">
              <w:rPr>
                <w:rFonts w:asciiTheme="minorHAnsi" w:eastAsia="TimesNewRoman" w:hAnsiTheme="minorHAnsi" w:cs="Calibri"/>
                <w:sz w:val="18"/>
                <w:szCs w:val="18"/>
              </w:rPr>
              <w:t>10227.874</w:t>
            </w:r>
          </w:p>
        </w:tc>
        <w:tc>
          <w:tcPr>
            <w:tcW w:w="1572" w:type="dxa"/>
            <w:shd w:val="clear" w:color="auto" w:fill="auto"/>
          </w:tcPr>
          <w:p w14:paraId="3653241B" w14:textId="77777777" w:rsidR="00DF61BC" w:rsidRPr="00C94C33" w:rsidRDefault="00DF61BC" w:rsidP="00DF61BC">
            <w:pPr>
              <w:autoSpaceDE w:val="0"/>
              <w:autoSpaceDN w:val="0"/>
              <w:adjustRightInd w:val="0"/>
              <w:spacing w:before="0" w:after="0" w:line="240" w:lineRule="auto"/>
              <w:jc w:val="center"/>
              <w:rPr>
                <w:rFonts w:asciiTheme="minorHAnsi" w:eastAsia="TimesNewRoman" w:hAnsiTheme="minorHAnsi" w:cs="Calibri"/>
                <w:sz w:val="18"/>
                <w:szCs w:val="18"/>
              </w:rPr>
            </w:pPr>
            <w:r w:rsidRPr="00C94C33">
              <w:rPr>
                <w:rFonts w:asciiTheme="minorHAnsi" w:eastAsia="TimesNewRoman" w:hAnsiTheme="minorHAnsi" w:cs="Calibri"/>
                <w:sz w:val="18"/>
                <w:szCs w:val="18"/>
              </w:rPr>
              <w:t>59.525</w:t>
            </w:r>
          </w:p>
        </w:tc>
        <w:tc>
          <w:tcPr>
            <w:tcW w:w="1572" w:type="dxa"/>
            <w:shd w:val="clear" w:color="auto" w:fill="auto"/>
          </w:tcPr>
          <w:p w14:paraId="2E9CF7ED" w14:textId="77777777" w:rsidR="00DF61BC" w:rsidRPr="00C94C33" w:rsidRDefault="00DF61BC" w:rsidP="00DF61BC">
            <w:pPr>
              <w:autoSpaceDE w:val="0"/>
              <w:autoSpaceDN w:val="0"/>
              <w:adjustRightInd w:val="0"/>
              <w:spacing w:before="0" w:after="0" w:line="240" w:lineRule="auto"/>
              <w:jc w:val="center"/>
              <w:rPr>
                <w:rFonts w:asciiTheme="minorHAnsi" w:eastAsia="TimesNewRoman" w:hAnsiTheme="minorHAnsi" w:cs="Calibri"/>
                <w:sz w:val="18"/>
                <w:szCs w:val="18"/>
              </w:rPr>
            </w:pPr>
            <w:r w:rsidRPr="00C94C33">
              <w:rPr>
                <w:rFonts w:asciiTheme="minorHAnsi" w:eastAsia="TimesNewRoman" w:hAnsiTheme="minorHAnsi" w:cs="Calibri"/>
                <w:sz w:val="18"/>
                <w:szCs w:val="18"/>
              </w:rPr>
              <w:t>86.049</w:t>
            </w:r>
          </w:p>
        </w:tc>
      </w:tr>
      <w:tr w:rsidR="00DF61BC" w:rsidRPr="00C94C33" w14:paraId="4BBEA8FE" w14:textId="77777777" w:rsidTr="00650943">
        <w:tc>
          <w:tcPr>
            <w:tcW w:w="1364" w:type="dxa"/>
            <w:shd w:val="clear" w:color="auto" w:fill="auto"/>
          </w:tcPr>
          <w:p w14:paraId="6BEA9AB9" w14:textId="77777777" w:rsidR="00DF61BC" w:rsidRPr="00C94C33" w:rsidRDefault="00DF61BC" w:rsidP="00DF61BC">
            <w:pPr>
              <w:autoSpaceDE w:val="0"/>
              <w:autoSpaceDN w:val="0"/>
              <w:adjustRightInd w:val="0"/>
              <w:spacing w:before="0" w:after="0" w:line="240" w:lineRule="auto"/>
              <w:rPr>
                <w:rFonts w:asciiTheme="minorHAnsi" w:eastAsia="TimesNewRoman" w:hAnsiTheme="minorHAnsi" w:cs="Calibri"/>
                <w:sz w:val="18"/>
                <w:szCs w:val="18"/>
              </w:rPr>
            </w:pPr>
            <w:r w:rsidRPr="00C94C33">
              <w:rPr>
                <w:rFonts w:asciiTheme="minorHAnsi" w:eastAsia="TimesNewRoman" w:hAnsiTheme="minorHAnsi" w:cs="Calibri"/>
                <w:sz w:val="18"/>
                <w:szCs w:val="18"/>
              </w:rPr>
              <w:t>Min - Max</w:t>
            </w:r>
          </w:p>
        </w:tc>
        <w:tc>
          <w:tcPr>
            <w:tcW w:w="1521" w:type="dxa"/>
            <w:shd w:val="clear" w:color="auto" w:fill="auto"/>
          </w:tcPr>
          <w:p w14:paraId="223E972E" w14:textId="77777777" w:rsidR="00DF61BC" w:rsidRPr="00C94C33" w:rsidRDefault="00DF61BC" w:rsidP="00DF61BC">
            <w:pPr>
              <w:autoSpaceDE w:val="0"/>
              <w:autoSpaceDN w:val="0"/>
              <w:adjustRightInd w:val="0"/>
              <w:spacing w:before="0" w:after="0" w:line="240" w:lineRule="auto"/>
              <w:jc w:val="center"/>
              <w:rPr>
                <w:rFonts w:asciiTheme="minorHAnsi" w:eastAsia="TimesNewRoman" w:hAnsiTheme="minorHAnsi" w:cs="Calibri"/>
                <w:sz w:val="18"/>
                <w:szCs w:val="18"/>
              </w:rPr>
            </w:pPr>
            <w:r w:rsidRPr="00C94C33">
              <w:rPr>
                <w:rFonts w:asciiTheme="minorHAnsi" w:eastAsia="TimesNewRoman" w:hAnsiTheme="minorHAnsi" w:cs="Calibri"/>
                <w:sz w:val="18"/>
                <w:szCs w:val="18"/>
              </w:rPr>
              <w:t>18.80 - 37.90</w:t>
            </w:r>
          </w:p>
        </w:tc>
        <w:tc>
          <w:tcPr>
            <w:tcW w:w="2028" w:type="dxa"/>
            <w:shd w:val="clear" w:color="auto" w:fill="auto"/>
          </w:tcPr>
          <w:p w14:paraId="563A8FCF" w14:textId="77777777" w:rsidR="00DF61BC" w:rsidRPr="00C94C33" w:rsidRDefault="00DF61BC" w:rsidP="00DF61BC">
            <w:pPr>
              <w:autoSpaceDE w:val="0"/>
              <w:autoSpaceDN w:val="0"/>
              <w:adjustRightInd w:val="0"/>
              <w:spacing w:before="0" w:after="0" w:line="240" w:lineRule="auto"/>
              <w:jc w:val="center"/>
              <w:rPr>
                <w:rFonts w:asciiTheme="minorHAnsi" w:eastAsia="TimesNewRoman" w:hAnsiTheme="minorHAnsi" w:cs="Calibri"/>
                <w:sz w:val="18"/>
                <w:szCs w:val="18"/>
              </w:rPr>
            </w:pPr>
            <w:r w:rsidRPr="00C94C33">
              <w:rPr>
                <w:rFonts w:asciiTheme="minorHAnsi" w:eastAsia="TimesNewRoman" w:hAnsiTheme="minorHAnsi" w:cs="Calibri"/>
                <w:sz w:val="18"/>
                <w:szCs w:val="18"/>
              </w:rPr>
              <w:t>6916.44 - 14824.27</w:t>
            </w:r>
          </w:p>
        </w:tc>
        <w:tc>
          <w:tcPr>
            <w:tcW w:w="1572" w:type="dxa"/>
            <w:shd w:val="clear" w:color="auto" w:fill="auto"/>
          </w:tcPr>
          <w:p w14:paraId="1FABD8B6" w14:textId="77777777" w:rsidR="00DF61BC" w:rsidRPr="00C94C33" w:rsidRDefault="00DF61BC" w:rsidP="00DF61BC">
            <w:pPr>
              <w:autoSpaceDE w:val="0"/>
              <w:autoSpaceDN w:val="0"/>
              <w:adjustRightInd w:val="0"/>
              <w:spacing w:before="0" w:after="0" w:line="240" w:lineRule="auto"/>
              <w:jc w:val="center"/>
              <w:rPr>
                <w:rFonts w:asciiTheme="minorHAnsi" w:eastAsia="TimesNewRoman" w:hAnsiTheme="minorHAnsi" w:cs="Calibri"/>
                <w:sz w:val="18"/>
                <w:szCs w:val="18"/>
              </w:rPr>
            </w:pPr>
            <w:r w:rsidRPr="00C94C33">
              <w:rPr>
                <w:rFonts w:asciiTheme="minorHAnsi" w:eastAsia="TimesNewRoman" w:hAnsiTheme="minorHAnsi" w:cs="Calibri"/>
                <w:sz w:val="18"/>
                <w:szCs w:val="18"/>
              </w:rPr>
              <w:t>17.46 - 62.39</w:t>
            </w:r>
          </w:p>
        </w:tc>
        <w:tc>
          <w:tcPr>
            <w:tcW w:w="1572" w:type="dxa"/>
            <w:shd w:val="clear" w:color="auto" w:fill="auto"/>
          </w:tcPr>
          <w:p w14:paraId="1EA56FCC" w14:textId="77777777" w:rsidR="00DF61BC" w:rsidRPr="00C94C33" w:rsidRDefault="00DF61BC" w:rsidP="00DF61BC">
            <w:pPr>
              <w:autoSpaceDE w:val="0"/>
              <w:autoSpaceDN w:val="0"/>
              <w:adjustRightInd w:val="0"/>
              <w:spacing w:before="0" w:after="0" w:line="240" w:lineRule="auto"/>
              <w:jc w:val="center"/>
              <w:rPr>
                <w:rFonts w:asciiTheme="minorHAnsi" w:eastAsia="TimesNewRoman" w:hAnsiTheme="minorHAnsi" w:cs="Calibri"/>
                <w:sz w:val="18"/>
                <w:szCs w:val="18"/>
              </w:rPr>
            </w:pPr>
            <w:r w:rsidRPr="00C94C33">
              <w:rPr>
                <w:rFonts w:asciiTheme="minorHAnsi" w:eastAsia="TimesNewRoman" w:hAnsiTheme="minorHAnsi" w:cs="Calibri"/>
                <w:sz w:val="18"/>
                <w:szCs w:val="18"/>
              </w:rPr>
              <w:t>36.26 - 98.68</w:t>
            </w:r>
          </w:p>
        </w:tc>
      </w:tr>
    </w:tbl>
    <w:p w14:paraId="723FBC0E" w14:textId="77777777" w:rsidR="00AA7141" w:rsidRDefault="00DF61BC" w:rsidP="001F69A8">
      <w:pPr>
        <w:pStyle w:val="TableDescription"/>
        <w:rPr>
          <w:sz w:val="18"/>
          <w:szCs w:val="18"/>
          <w:lang w:eastAsia="en-AU"/>
        </w:rPr>
      </w:pPr>
      <w:r w:rsidRPr="0048322F">
        <w:rPr>
          <w:sz w:val="18"/>
          <w:szCs w:val="18"/>
          <w:lang w:eastAsia="en-AU"/>
        </w:rPr>
        <w:t>Ae%F = percentage of administered dose excreted in feces;  Ae%R = percentage of administered dose excreted in urine; Ae%total = Percentage of administered dose recovered from all routes of elimination; CLr = Renal clearance; CV = coefficient of variation; FTD = trifluridine; Max = maximum; Min = minimum; PK = pharmacokinetic; SD = standard deviation; TRA = total radioactivity.</w:t>
      </w:r>
    </w:p>
    <w:p w14:paraId="560602EF" w14:textId="13425190" w:rsidR="001F69A8" w:rsidRPr="00C94C33" w:rsidRDefault="00DF61BC" w:rsidP="005C2FCA">
      <w:pPr>
        <w:autoSpaceDE w:val="0"/>
        <w:autoSpaceDN w:val="0"/>
        <w:adjustRightInd w:val="0"/>
        <w:spacing w:before="0" w:line="240" w:lineRule="auto"/>
        <w:rPr>
          <w:b/>
          <w:bCs/>
          <w:kern w:val="16"/>
          <w:szCs w:val="24"/>
          <w:lang w:eastAsia="en-AU"/>
        </w:rPr>
      </w:pPr>
      <w:r w:rsidRPr="00C94C33">
        <w:rPr>
          <w:rFonts w:eastAsia="TimesNewRoman" w:cs="TimesNewRoman"/>
          <w:lang w:eastAsia="en-AU"/>
        </w:rPr>
        <w:t xml:space="preserve">The cumulative excretion of TRA derived from </w:t>
      </w:r>
      <w:r w:rsidR="00394543" w:rsidRPr="00C94C33">
        <w:rPr>
          <w:rFonts w:eastAsia="TimesNewRoman" w:cs="TimesNewRoman"/>
          <w:lang w:eastAsia="en-AU"/>
        </w:rPr>
        <w:t>[14C]</w:t>
      </w:r>
      <w:r w:rsidRPr="00C94C33">
        <w:rPr>
          <w:rFonts w:eastAsia="TimesNewRoman" w:cs="TimesNewRoman"/>
          <w:lang w:eastAsia="en-AU"/>
        </w:rPr>
        <w:t>-TPI over the 168-hour sampl</w:t>
      </w:r>
      <w:r w:rsidR="001F69A8" w:rsidRPr="00C94C33">
        <w:rPr>
          <w:rFonts w:eastAsia="TimesNewRoman" w:cs="TimesNewRoman"/>
          <w:lang w:eastAsia="en-AU"/>
        </w:rPr>
        <w:t>ing period is presented below</w:t>
      </w:r>
      <w:r w:rsidRPr="00C94C33">
        <w:rPr>
          <w:rFonts w:eastAsia="TimesNewRoman" w:cs="TimesNewRoman"/>
          <w:lang w:eastAsia="en-AU"/>
        </w:rPr>
        <w:t>. The majority of the f</w:t>
      </w:r>
      <w:r w:rsidR="00DF75EE" w:rsidRPr="00C94C33">
        <w:rPr>
          <w:rFonts w:eastAsia="TimesNewRoman" w:cs="TimesNewRoman"/>
          <w:lang w:eastAsia="en-AU"/>
        </w:rPr>
        <w:t>a</w:t>
      </w:r>
      <w:r w:rsidRPr="00C94C33">
        <w:rPr>
          <w:rFonts w:eastAsia="TimesNewRoman" w:cs="TimesNewRoman"/>
          <w:lang w:eastAsia="en-AU"/>
        </w:rPr>
        <w:t>ecal excretion was recovered within 96 hours post-dose, while renal excretion was recovered within 24 hours</w:t>
      </w:r>
      <w:bookmarkStart w:id="104" w:name="_Toc470948801"/>
      <w:r w:rsidR="00DF75EE" w:rsidRPr="00C94C33">
        <w:rPr>
          <w:rFonts w:eastAsia="TimesNewRoman" w:cs="TimesNewRoman"/>
          <w:lang w:eastAsia="en-AU"/>
        </w:rPr>
        <w:t>.</w:t>
      </w:r>
    </w:p>
    <w:p w14:paraId="3FAB78F8" w14:textId="130DDD45" w:rsidR="00DF61BC" w:rsidRPr="00C94C33" w:rsidRDefault="00DF61BC" w:rsidP="005C2FCA">
      <w:pPr>
        <w:pStyle w:val="FigureTitle"/>
        <w:keepNext/>
        <w:rPr>
          <w:lang w:eastAsia="en-AU"/>
        </w:rPr>
      </w:pPr>
      <w:r w:rsidRPr="00C94C33">
        <w:rPr>
          <w:bCs/>
          <w:kern w:val="16"/>
          <w:szCs w:val="24"/>
          <w:lang w:eastAsia="en-AU"/>
        </w:rPr>
        <w:lastRenderedPageBreak/>
        <w:t>Figure</w:t>
      </w:r>
      <w:r w:rsidR="001F69A8" w:rsidRPr="00C94C33">
        <w:rPr>
          <w:bCs/>
          <w:kern w:val="16"/>
          <w:szCs w:val="24"/>
          <w:lang w:eastAsia="en-AU"/>
        </w:rPr>
        <w:t xml:space="preserve"> 6</w:t>
      </w:r>
      <w:r w:rsidRPr="00C94C33">
        <w:rPr>
          <w:bCs/>
          <w:kern w:val="16"/>
          <w:szCs w:val="24"/>
          <w:lang w:eastAsia="en-AU"/>
        </w:rPr>
        <w:t xml:space="preserve">: </w:t>
      </w:r>
      <w:r w:rsidRPr="00C94C33">
        <w:rPr>
          <w:lang w:eastAsia="en-AU"/>
        </w:rPr>
        <w:t xml:space="preserve">Cumulative excretion of total radioactivity of </w:t>
      </w:r>
      <w:r w:rsidRPr="00C94C33">
        <w:rPr>
          <w:vertAlign w:val="superscript"/>
          <w:lang w:eastAsia="en-AU"/>
        </w:rPr>
        <w:t>14</w:t>
      </w:r>
      <w:r w:rsidRPr="00C94C33">
        <w:rPr>
          <w:lang w:eastAsia="en-AU"/>
        </w:rPr>
        <w:t>C derived from TPI in urine, f</w:t>
      </w:r>
      <w:r w:rsidR="00DF75EE" w:rsidRPr="00C94C33">
        <w:rPr>
          <w:lang w:eastAsia="en-AU"/>
        </w:rPr>
        <w:t>a</w:t>
      </w:r>
      <w:r w:rsidRPr="00C94C33">
        <w:rPr>
          <w:lang w:eastAsia="en-AU"/>
        </w:rPr>
        <w:t xml:space="preserve">eces, and total recovered </w:t>
      </w:r>
      <w:r w:rsidR="00DF75EE" w:rsidRPr="00C94C33">
        <w:rPr>
          <w:lang w:eastAsia="en-AU"/>
        </w:rPr>
        <w:t>radioactivity</w:t>
      </w:r>
      <w:r w:rsidR="00DF75EE" w:rsidRPr="00C94C33">
        <w:rPr>
          <w:rFonts w:eastAsia="Times New Roman,Bold" w:cs="Times New Roman,Bold"/>
          <w:lang w:eastAsia="en-AU"/>
        </w:rPr>
        <w:t xml:space="preserve">; </w:t>
      </w:r>
      <w:r w:rsidRPr="00C94C33">
        <w:rPr>
          <w:lang w:eastAsia="en-AU"/>
        </w:rPr>
        <w:t>PK population Group B</w:t>
      </w:r>
      <w:bookmarkEnd w:id="104"/>
    </w:p>
    <w:p w14:paraId="304C9C62" w14:textId="19C44E9A" w:rsidR="00DF61BC" w:rsidRPr="007709B8" w:rsidRDefault="00AD0020" w:rsidP="00DF61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line="240" w:lineRule="auto"/>
        <w:jc w:val="both"/>
        <w:rPr>
          <w:rFonts w:ascii="TimesNewRoman" w:eastAsia="TimesNewRoman" w:hAnsi="Times New Roman" w:cs="TimesNewRoman"/>
          <w:sz w:val="24"/>
          <w:szCs w:val="24"/>
          <w:lang w:eastAsia="en-AU"/>
        </w:rPr>
      </w:pPr>
      <w:r>
        <w:rPr>
          <w:noProof/>
          <w:lang w:eastAsia="en-AU"/>
        </w:rPr>
        <w:drawing>
          <wp:inline distT="0" distB="0" distL="0" distR="0" wp14:anchorId="58388D89" wp14:editId="0C9AAB82">
            <wp:extent cx="4175761" cy="2646877"/>
            <wp:effectExtent l="0" t="0" r="0" b="1270"/>
            <wp:docPr id="2088" name="Picture 13" descr="Figure 6: Cumulative excretion of total radioactivity of 14C derived from TPI in urine, feces, and total recovered radioactivity – PK population Group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 name="Picture 13" descr="Figure 6: Cumulative excretion of total radioactivity of 14C derived from TPI in urine, feces, and total recovered radioactivity – PK population Group B. "/>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5761" cy="2646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61830B9" w14:textId="68C8D3A3" w:rsidR="00DF61BC" w:rsidRPr="00C94C33" w:rsidRDefault="00DF61BC" w:rsidP="001F69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line="240" w:lineRule="auto"/>
        <w:rPr>
          <w:rFonts w:eastAsia="TimesNewRoman" w:cs="TimesNewRoman"/>
          <w:lang w:eastAsia="en-AU"/>
        </w:rPr>
      </w:pPr>
      <w:r w:rsidRPr="00C94C33">
        <w:rPr>
          <w:rFonts w:eastAsia="TimesNewRoman" w:cs="TimesNewRoman"/>
          <w:color w:val="000000"/>
          <w:lang w:eastAsia="en-AU"/>
        </w:rPr>
        <w:t>Most of the TRA was extractable from the plasma sample, with the extraction efficiency being 83.5%. The radiochromatogram of the pooled plasma</w:t>
      </w:r>
      <w:r w:rsidRPr="00C94C33">
        <w:rPr>
          <w:rFonts w:eastAsia="TimesNewRoman" w:cs="TimesNewRoman"/>
          <w:lang w:eastAsia="en-AU"/>
        </w:rPr>
        <w:t xml:space="preserve"> </w:t>
      </w:r>
      <w:r w:rsidRPr="00C94C33">
        <w:rPr>
          <w:rFonts w:eastAsia="TimesNewRoman" w:cs="TimesNewRoman"/>
          <w:color w:val="000000"/>
          <w:lang w:eastAsia="en-AU"/>
        </w:rPr>
        <w:t>sample suggested that the plasma TRA consisted of 53.1% TPI and 30.9% 6-hydroxymethyluracil (6-HMU). The major metabolite of TPI in plasma was 6-HMU, and no other metabolites greater than 5.02% TRA were identified in human plasma. In the urine sample, TRA consisted of 79.1% TPI and 14.0% 6-HMU. The major metabolite of TPI in urine was 6-HMU, and no other metabolites with concentrations greater than 1.26% TRA were found in human urine. Most of TRA was extractable from the f</w:t>
      </w:r>
      <w:r w:rsidR="00DF75EE" w:rsidRPr="00C94C33">
        <w:rPr>
          <w:rFonts w:eastAsia="TimesNewRoman" w:cs="TimesNewRoman"/>
          <w:color w:val="000000"/>
          <w:lang w:eastAsia="en-AU"/>
        </w:rPr>
        <w:t>a</w:t>
      </w:r>
      <w:r w:rsidRPr="00C94C33">
        <w:rPr>
          <w:rFonts w:eastAsia="TimesNewRoman" w:cs="TimesNewRoman"/>
          <w:color w:val="000000"/>
          <w:lang w:eastAsia="en-AU"/>
        </w:rPr>
        <w:t>eces sample, with the extraction efficiency being 106%. The f</w:t>
      </w:r>
      <w:r w:rsidR="00DF75EE" w:rsidRPr="00C94C33">
        <w:rPr>
          <w:rFonts w:eastAsia="TimesNewRoman" w:cs="TimesNewRoman"/>
          <w:color w:val="000000"/>
          <w:lang w:eastAsia="en-AU"/>
        </w:rPr>
        <w:t>a</w:t>
      </w:r>
      <w:r w:rsidRPr="00C94C33">
        <w:rPr>
          <w:rFonts w:eastAsia="TimesNewRoman" w:cs="TimesNewRoman"/>
          <w:color w:val="000000"/>
          <w:lang w:eastAsia="en-AU"/>
        </w:rPr>
        <w:t>ecal TRA consisted of 48.2% TPI and 34.4% 6-HMU. The major metabolite of TPI in f</w:t>
      </w:r>
      <w:r w:rsidR="00DF75EE" w:rsidRPr="00C94C33">
        <w:rPr>
          <w:rFonts w:eastAsia="TimesNewRoman" w:cs="TimesNewRoman"/>
          <w:color w:val="000000"/>
          <w:lang w:eastAsia="en-AU"/>
        </w:rPr>
        <w:t>a</w:t>
      </w:r>
      <w:r w:rsidRPr="00C94C33">
        <w:rPr>
          <w:rFonts w:eastAsia="TimesNewRoman" w:cs="TimesNewRoman"/>
          <w:color w:val="000000"/>
          <w:lang w:eastAsia="en-AU"/>
        </w:rPr>
        <w:t>eces was 6-HMU, and no other metabolite peaks with concentrations greater than 4.09% were found in human f</w:t>
      </w:r>
      <w:r w:rsidR="00DF75EE" w:rsidRPr="00C94C33">
        <w:rPr>
          <w:rFonts w:eastAsia="TimesNewRoman" w:cs="TimesNewRoman"/>
          <w:color w:val="000000"/>
          <w:lang w:eastAsia="en-AU"/>
        </w:rPr>
        <w:t>a</w:t>
      </w:r>
      <w:r w:rsidRPr="00C94C33">
        <w:rPr>
          <w:rFonts w:eastAsia="TimesNewRoman" w:cs="TimesNewRoman"/>
          <w:color w:val="000000"/>
          <w:lang w:eastAsia="en-AU"/>
        </w:rPr>
        <w:t>eces.</w:t>
      </w:r>
      <w:r w:rsidRPr="00C94C33">
        <w:rPr>
          <w:rFonts w:eastAsia="TimesNewRoman" w:cs="TimesNewRoman"/>
          <w:lang w:eastAsia="en-AU"/>
        </w:rPr>
        <w:t xml:space="preserve"> TPI was the major component and 6-HMU was the major metabolite of TPI in human plasma, urine and f</w:t>
      </w:r>
      <w:r w:rsidR="00DF75EE" w:rsidRPr="00C94C33">
        <w:rPr>
          <w:rFonts w:eastAsia="TimesNewRoman" w:cs="TimesNewRoman"/>
          <w:lang w:eastAsia="en-AU"/>
        </w:rPr>
        <w:t>a</w:t>
      </w:r>
      <w:r w:rsidRPr="00C94C33">
        <w:rPr>
          <w:rFonts w:eastAsia="TimesNewRoman" w:cs="TimesNewRoman"/>
          <w:lang w:eastAsia="en-AU"/>
        </w:rPr>
        <w:t xml:space="preserve">eces. No other metabolites greater than 5.02% TRA </w:t>
      </w:r>
      <w:r w:rsidR="00AD0020">
        <w:rPr>
          <w:rFonts w:eastAsia="TimesNewRoman" w:cs="TimesNewRoman"/>
          <w:lang w:eastAsia="en-AU"/>
        </w:rPr>
        <w:t>were observed in these sources.</w:t>
      </w:r>
    </w:p>
    <w:p w14:paraId="6911E9DE" w14:textId="77777777" w:rsidR="00DF61BC" w:rsidRPr="00C94C33" w:rsidRDefault="00DF61BC" w:rsidP="00955252">
      <w:pPr>
        <w:pStyle w:val="Heading4"/>
      </w:pPr>
      <w:r w:rsidRPr="00C94C33">
        <w:t>Renal clearance</w:t>
      </w:r>
    </w:p>
    <w:p w14:paraId="66C1D208" w14:textId="5DEF2E17" w:rsidR="00555DC7" w:rsidRPr="00C94C33" w:rsidRDefault="00DF61BC" w:rsidP="005C2FCA">
      <w:pPr>
        <w:autoSpaceDE w:val="0"/>
        <w:autoSpaceDN w:val="0"/>
        <w:adjustRightInd w:val="0"/>
        <w:spacing w:before="0" w:line="240" w:lineRule="auto"/>
        <w:rPr>
          <w:rFonts w:cstheme="minorBidi"/>
          <w:b/>
          <w:lang w:eastAsia="en-AU"/>
        </w:rPr>
      </w:pPr>
      <w:r w:rsidRPr="00C94C33">
        <w:rPr>
          <w:rFonts w:eastAsia="Times New Roman"/>
          <w:kern w:val="16"/>
          <w:lang w:eastAsia="en-AU"/>
        </w:rPr>
        <w:t xml:space="preserve">In </w:t>
      </w:r>
      <w:r w:rsidR="00DF75EE" w:rsidRPr="00C94C33">
        <w:rPr>
          <w:rFonts w:eastAsia="Times New Roman"/>
          <w:kern w:val="16"/>
          <w:lang w:eastAsia="en-AU"/>
        </w:rPr>
        <w:t xml:space="preserve">Study </w:t>
      </w:r>
      <w:r w:rsidRPr="00C94C33">
        <w:rPr>
          <w:rFonts w:eastAsia="Times New Roman"/>
          <w:kern w:val="16"/>
          <w:lang w:eastAsia="en-AU"/>
        </w:rPr>
        <w:t xml:space="preserve">TPU-TAS-102-104, </w:t>
      </w:r>
      <w:r w:rsidRPr="00C94C33">
        <w:rPr>
          <w:rFonts w:eastAsia="Times New Roman"/>
          <w:lang w:eastAsia="en-AU"/>
        </w:rPr>
        <w:t xml:space="preserve">urinary excretion of FTD, TPI, FTY, 5-CdUrd, and 5-CU after administration of TAS-102 tablets was evaluated as an exploratory endpoint. </w:t>
      </w:r>
      <w:r w:rsidRPr="00C94C33">
        <w:rPr>
          <w:rFonts w:eastAsia="Times New Roman"/>
          <w:color w:val="000000"/>
          <w:lang w:eastAsia="en-AU"/>
        </w:rPr>
        <w:t xml:space="preserve">On Day 1 of Period 1 (for patients in Sequence A) and Day 1 of Period 2 (for patients in Sequence B), urine samples were collected from all patients for measurement of urinary excretion of TAS-102 components (FTD and TPI) and metabolites of FTD (FTY, 5-CdUrd and 5-CU). Urine samples were collected at the following time intervals relative to dosing (TAS-102 tablets): prior to dosing (0 hour) and from 0 to 12, 12 to 24, and 24 to 48 hours post-dose. Patients were instructed to void prior to dosing. </w:t>
      </w:r>
      <w:r w:rsidRPr="00C94C33">
        <w:rPr>
          <w:rFonts w:eastAsia="Times New Roman"/>
          <w:kern w:val="16"/>
          <w:lang w:eastAsia="en-AU"/>
        </w:rPr>
        <w:t>Following a single 60 mg dose of TAS-102, the mean 48 hours cumulative urinary excretion was 1.5% for unchanged trifluridine, 19.2% for FTY (the major metabolite of trifluridine) and 29.3% for unchanged tipiracil. The urinary excretion results are summarised below.</w:t>
      </w:r>
      <w:bookmarkStart w:id="105" w:name="_Toc470948663"/>
    </w:p>
    <w:p w14:paraId="34A366C8" w14:textId="53926B76" w:rsidR="00DF61BC" w:rsidRPr="00C94C33" w:rsidRDefault="001F69A8" w:rsidP="00DF75EE">
      <w:pPr>
        <w:pStyle w:val="Tabletitle"/>
        <w:rPr>
          <w:lang w:eastAsia="en-AU"/>
        </w:rPr>
      </w:pPr>
      <w:r w:rsidRPr="00C94C33">
        <w:rPr>
          <w:lang w:eastAsia="en-AU"/>
        </w:rPr>
        <w:t>Table 14</w:t>
      </w:r>
      <w:r w:rsidR="00DF61BC" w:rsidRPr="00C94C33">
        <w:rPr>
          <w:lang w:eastAsia="en-AU"/>
        </w:rPr>
        <w:t xml:space="preserve">: </w:t>
      </w:r>
      <w:r w:rsidR="00DF75EE" w:rsidRPr="00C94C33">
        <w:rPr>
          <w:lang w:eastAsia="en-AU"/>
        </w:rPr>
        <w:t xml:space="preserve">Study </w:t>
      </w:r>
      <w:r w:rsidR="00DF61BC" w:rsidRPr="00C94C33">
        <w:rPr>
          <w:lang w:eastAsia="en-AU"/>
        </w:rPr>
        <w:t>TPU-TAS-102-104</w:t>
      </w:r>
      <w:r w:rsidR="00DF75EE" w:rsidRPr="00C94C33">
        <w:rPr>
          <w:lang w:eastAsia="en-AU"/>
        </w:rPr>
        <w:t>;</w:t>
      </w:r>
      <w:r w:rsidR="00DF61BC" w:rsidRPr="00C94C33">
        <w:rPr>
          <w:lang w:eastAsia="en-AU"/>
        </w:rPr>
        <w:t xml:space="preserve"> Urinary excretion of TAS-102 components and FTD metabolites after administration of TAS-102 tablet, all PK population</w:t>
      </w:r>
      <w:bookmarkEnd w:id="105"/>
    </w:p>
    <w:tbl>
      <w:tblPr>
        <w:tblStyle w:val="TableGrid7"/>
        <w:tblW w:w="0" w:type="auto"/>
        <w:tblLook w:val="04A0" w:firstRow="1" w:lastRow="0" w:firstColumn="1" w:lastColumn="0" w:noHBand="0" w:noVBand="1"/>
        <w:tblDescription w:val="Table 14: Study TPU-TAS-102-104; Urinary excretion of TAS-102 components and FTD metabolites after administration of TAS-102 tablet, all PK population"/>
      </w:tblPr>
      <w:tblGrid>
        <w:gridCol w:w="1668"/>
        <w:gridCol w:w="850"/>
        <w:gridCol w:w="4961"/>
      </w:tblGrid>
      <w:tr w:rsidR="00DF61BC" w:rsidRPr="0048322F" w14:paraId="7B6BE277" w14:textId="77777777" w:rsidTr="007B0D96">
        <w:trPr>
          <w:tblHeader/>
        </w:trPr>
        <w:tc>
          <w:tcPr>
            <w:tcW w:w="1668" w:type="dxa"/>
            <w:tcBorders>
              <w:left w:val="single" w:sz="4" w:space="0" w:color="auto"/>
              <w:right w:val="nil"/>
            </w:tcBorders>
            <w:shd w:val="clear" w:color="auto" w:fill="auto"/>
          </w:tcPr>
          <w:p w14:paraId="7BAAD361" w14:textId="77777777" w:rsidR="00DF61BC" w:rsidRPr="0048322F" w:rsidRDefault="00DF61BC" w:rsidP="00AD0020">
            <w:pPr>
              <w:pStyle w:val="TableHeading"/>
            </w:pPr>
            <w:r w:rsidRPr="0048322F">
              <w:t xml:space="preserve">Analyte </w:t>
            </w:r>
          </w:p>
        </w:tc>
        <w:tc>
          <w:tcPr>
            <w:tcW w:w="850" w:type="dxa"/>
            <w:tcBorders>
              <w:left w:val="nil"/>
              <w:right w:val="nil"/>
            </w:tcBorders>
            <w:shd w:val="clear" w:color="auto" w:fill="auto"/>
          </w:tcPr>
          <w:p w14:paraId="637C3070" w14:textId="77777777" w:rsidR="00DF61BC" w:rsidRPr="0048322F" w:rsidRDefault="00DF61BC" w:rsidP="00AD0020">
            <w:pPr>
              <w:pStyle w:val="TableHeading"/>
            </w:pPr>
            <w:r w:rsidRPr="0048322F">
              <w:t xml:space="preserve">N </w:t>
            </w:r>
          </w:p>
        </w:tc>
        <w:tc>
          <w:tcPr>
            <w:tcW w:w="4961" w:type="dxa"/>
            <w:tcBorders>
              <w:left w:val="nil"/>
              <w:right w:val="single" w:sz="4" w:space="0" w:color="auto"/>
            </w:tcBorders>
            <w:shd w:val="clear" w:color="auto" w:fill="auto"/>
          </w:tcPr>
          <w:p w14:paraId="2E5B30CD" w14:textId="789529DD" w:rsidR="00DF61BC" w:rsidRPr="0048322F" w:rsidRDefault="00DF61BC" w:rsidP="00AD0020">
            <w:pPr>
              <w:pStyle w:val="TableHeading"/>
            </w:pPr>
            <w:r w:rsidRPr="0048322F">
              <w:t xml:space="preserve">Percentage of administered parent dose excreted </w:t>
            </w:r>
            <w:r w:rsidRPr="0048322F">
              <w:rPr>
                <w:vertAlign w:val="superscript"/>
              </w:rPr>
              <w:t>a</w:t>
            </w:r>
            <w:r w:rsidR="00AD0020">
              <w:t xml:space="preserve"> (mean ± SD)</w:t>
            </w:r>
          </w:p>
        </w:tc>
      </w:tr>
      <w:tr w:rsidR="00DF61BC" w:rsidRPr="0048322F" w14:paraId="37B41FF3" w14:textId="77777777" w:rsidTr="00650943">
        <w:tc>
          <w:tcPr>
            <w:tcW w:w="1668" w:type="dxa"/>
            <w:tcBorders>
              <w:left w:val="single" w:sz="4" w:space="0" w:color="auto"/>
              <w:bottom w:val="nil"/>
              <w:right w:val="nil"/>
            </w:tcBorders>
            <w:shd w:val="clear" w:color="auto" w:fill="auto"/>
          </w:tcPr>
          <w:p w14:paraId="74DBDFB2" w14:textId="77777777" w:rsidR="00DF61BC" w:rsidRPr="0048322F" w:rsidRDefault="00DF61BC" w:rsidP="00AD0020">
            <w:pPr>
              <w:pStyle w:val="Tabletext"/>
            </w:pPr>
            <w:r w:rsidRPr="0048322F">
              <w:t>FTD (unchanged)</w:t>
            </w:r>
          </w:p>
        </w:tc>
        <w:tc>
          <w:tcPr>
            <w:tcW w:w="850" w:type="dxa"/>
            <w:tcBorders>
              <w:left w:val="nil"/>
              <w:bottom w:val="nil"/>
              <w:right w:val="nil"/>
            </w:tcBorders>
            <w:shd w:val="clear" w:color="auto" w:fill="auto"/>
          </w:tcPr>
          <w:p w14:paraId="3221A23B" w14:textId="77777777" w:rsidR="00DF61BC" w:rsidRPr="0048322F" w:rsidRDefault="00DF61BC" w:rsidP="00AD0020">
            <w:pPr>
              <w:pStyle w:val="Tabletext"/>
            </w:pPr>
            <w:r w:rsidRPr="0048322F">
              <w:t>36</w:t>
            </w:r>
          </w:p>
        </w:tc>
        <w:tc>
          <w:tcPr>
            <w:tcW w:w="4961" w:type="dxa"/>
            <w:tcBorders>
              <w:left w:val="nil"/>
              <w:bottom w:val="nil"/>
              <w:right w:val="single" w:sz="4" w:space="0" w:color="auto"/>
            </w:tcBorders>
            <w:shd w:val="clear" w:color="auto" w:fill="auto"/>
          </w:tcPr>
          <w:p w14:paraId="4F5980EF" w14:textId="77777777" w:rsidR="00DF61BC" w:rsidRPr="0048322F" w:rsidRDefault="00DF61BC" w:rsidP="00AD0020">
            <w:pPr>
              <w:pStyle w:val="Tabletext"/>
            </w:pPr>
            <w:r w:rsidRPr="0048322F">
              <w:t xml:space="preserve">1.5 ± 1.50 %  </w:t>
            </w:r>
          </w:p>
        </w:tc>
      </w:tr>
      <w:tr w:rsidR="00DF61BC" w:rsidRPr="0048322F" w14:paraId="7DFD3BB8" w14:textId="77777777" w:rsidTr="00650943">
        <w:tc>
          <w:tcPr>
            <w:tcW w:w="1668" w:type="dxa"/>
            <w:tcBorders>
              <w:top w:val="nil"/>
              <w:left w:val="single" w:sz="4" w:space="0" w:color="auto"/>
              <w:bottom w:val="nil"/>
              <w:right w:val="nil"/>
            </w:tcBorders>
            <w:shd w:val="clear" w:color="auto" w:fill="auto"/>
          </w:tcPr>
          <w:p w14:paraId="143A7FED" w14:textId="77777777" w:rsidR="00DF61BC" w:rsidRPr="0048322F" w:rsidRDefault="00DF61BC" w:rsidP="00AD0020">
            <w:pPr>
              <w:pStyle w:val="Tabletext"/>
            </w:pPr>
            <w:r w:rsidRPr="0048322F">
              <w:t>FTY</w:t>
            </w:r>
          </w:p>
        </w:tc>
        <w:tc>
          <w:tcPr>
            <w:tcW w:w="850" w:type="dxa"/>
            <w:tcBorders>
              <w:top w:val="nil"/>
              <w:left w:val="nil"/>
              <w:bottom w:val="nil"/>
              <w:right w:val="nil"/>
            </w:tcBorders>
            <w:shd w:val="clear" w:color="auto" w:fill="auto"/>
          </w:tcPr>
          <w:p w14:paraId="234A67FD" w14:textId="77777777" w:rsidR="00DF61BC" w:rsidRPr="0048322F" w:rsidRDefault="00DF61BC" w:rsidP="00AD0020">
            <w:pPr>
              <w:pStyle w:val="Tabletext"/>
            </w:pPr>
            <w:r w:rsidRPr="0048322F">
              <w:t>36</w:t>
            </w:r>
          </w:p>
        </w:tc>
        <w:tc>
          <w:tcPr>
            <w:tcW w:w="4961" w:type="dxa"/>
            <w:tcBorders>
              <w:top w:val="nil"/>
              <w:left w:val="nil"/>
              <w:bottom w:val="nil"/>
              <w:right w:val="single" w:sz="4" w:space="0" w:color="auto"/>
            </w:tcBorders>
            <w:shd w:val="clear" w:color="auto" w:fill="auto"/>
          </w:tcPr>
          <w:p w14:paraId="788413EC" w14:textId="77777777" w:rsidR="00DF61BC" w:rsidRPr="0048322F" w:rsidRDefault="00DF61BC" w:rsidP="00AD0020">
            <w:pPr>
              <w:pStyle w:val="Tabletext"/>
            </w:pPr>
            <w:r w:rsidRPr="0048322F">
              <w:t>19.2 ± 8.28 %</w:t>
            </w:r>
          </w:p>
        </w:tc>
      </w:tr>
      <w:tr w:rsidR="00DF61BC" w:rsidRPr="0048322F" w14:paraId="37D7F603" w14:textId="77777777" w:rsidTr="00650943">
        <w:tc>
          <w:tcPr>
            <w:tcW w:w="1668" w:type="dxa"/>
            <w:tcBorders>
              <w:top w:val="nil"/>
              <w:left w:val="single" w:sz="4" w:space="0" w:color="auto"/>
              <w:bottom w:val="nil"/>
              <w:right w:val="nil"/>
            </w:tcBorders>
            <w:shd w:val="clear" w:color="auto" w:fill="auto"/>
          </w:tcPr>
          <w:p w14:paraId="76E8ECC3" w14:textId="77777777" w:rsidR="00DF61BC" w:rsidRPr="0048322F" w:rsidRDefault="00DF61BC" w:rsidP="00AD0020">
            <w:pPr>
              <w:pStyle w:val="Tabletext"/>
            </w:pPr>
            <w:r w:rsidRPr="0048322F">
              <w:t>5-CdUrd</w:t>
            </w:r>
          </w:p>
        </w:tc>
        <w:tc>
          <w:tcPr>
            <w:tcW w:w="850" w:type="dxa"/>
            <w:tcBorders>
              <w:top w:val="nil"/>
              <w:left w:val="nil"/>
              <w:bottom w:val="nil"/>
              <w:right w:val="nil"/>
            </w:tcBorders>
            <w:shd w:val="clear" w:color="auto" w:fill="auto"/>
          </w:tcPr>
          <w:p w14:paraId="60CFFCD5" w14:textId="77777777" w:rsidR="00DF61BC" w:rsidRPr="0048322F" w:rsidRDefault="00DF61BC" w:rsidP="00AD0020">
            <w:pPr>
              <w:pStyle w:val="Tabletext"/>
            </w:pPr>
            <w:r w:rsidRPr="0048322F">
              <w:t>36</w:t>
            </w:r>
          </w:p>
        </w:tc>
        <w:tc>
          <w:tcPr>
            <w:tcW w:w="4961" w:type="dxa"/>
            <w:tcBorders>
              <w:top w:val="nil"/>
              <w:left w:val="nil"/>
              <w:bottom w:val="nil"/>
              <w:right w:val="single" w:sz="4" w:space="0" w:color="auto"/>
            </w:tcBorders>
            <w:shd w:val="clear" w:color="auto" w:fill="auto"/>
          </w:tcPr>
          <w:p w14:paraId="26236B4B" w14:textId="77777777" w:rsidR="00DF61BC" w:rsidRPr="0048322F" w:rsidRDefault="00DF61BC" w:rsidP="00AD0020">
            <w:pPr>
              <w:pStyle w:val="Tabletext"/>
            </w:pPr>
            <w:r w:rsidRPr="0048322F">
              <w:t xml:space="preserve">0.0 ± 0.0 </w:t>
            </w:r>
          </w:p>
        </w:tc>
      </w:tr>
      <w:tr w:rsidR="00DF61BC" w:rsidRPr="0048322F" w14:paraId="72C63949" w14:textId="77777777" w:rsidTr="00650943">
        <w:tc>
          <w:tcPr>
            <w:tcW w:w="1668" w:type="dxa"/>
            <w:tcBorders>
              <w:top w:val="nil"/>
              <w:left w:val="single" w:sz="4" w:space="0" w:color="auto"/>
              <w:bottom w:val="nil"/>
              <w:right w:val="nil"/>
            </w:tcBorders>
            <w:shd w:val="clear" w:color="auto" w:fill="auto"/>
          </w:tcPr>
          <w:p w14:paraId="73059BCA" w14:textId="77777777" w:rsidR="00DF61BC" w:rsidRPr="0048322F" w:rsidRDefault="00DF61BC" w:rsidP="00AD0020">
            <w:pPr>
              <w:pStyle w:val="Tabletext"/>
            </w:pPr>
            <w:r w:rsidRPr="0048322F">
              <w:t>5-CU</w:t>
            </w:r>
          </w:p>
        </w:tc>
        <w:tc>
          <w:tcPr>
            <w:tcW w:w="850" w:type="dxa"/>
            <w:tcBorders>
              <w:top w:val="nil"/>
              <w:left w:val="nil"/>
              <w:bottom w:val="nil"/>
              <w:right w:val="nil"/>
            </w:tcBorders>
            <w:shd w:val="clear" w:color="auto" w:fill="auto"/>
          </w:tcPr>
          <w:p w14:paraId="39369842" w14:textId="77777777" w:rsidR="00DF61BC" w:rsidRPr="0048322F" w:rsidRDefault="00DF61BC" w:rsidP="00AD0020">
            <w:pPr>
              <w:pStyle w:val="Tabletext"/>
            </w:pPr>
            <w:r w:rsidRPr="0048322F">
              <w:t>36</w:t>
            </w:r>
          </w:p>
        </w:tc>
        <w:tc>
          <w:tcPr>
            <w:tcW w:w="4961" w:type="dxa"/>
            <w:tcBorders>
              <w:top w:val="nil"/>
              <w:left w:val="nil"/>
              <w:bottom w:val="nil"/>
              <w:right w:val="single" w:sz="4" w:space="0" w:color="auto"/>
            </w:tcBorders>
            <w:shd w:val="clear" w:color="auto" w:fill="auto"/>
          </w:tcPr>
          <w:p w14:paraId="7E7BE9D3" w14:textId="77777777" w:rsidR="00DF61BC" w:rsidRPr="0048322F" w:rsidRDefault="00DF61BC" w:rsidP="00AD0020">
            <w:pPr>
              <w:pStyle w:val="Tabletext"/>
            </w:pPr>
            <w:r w:rsidRPr="0048322F">
              <w:t>0.3 ± 0.39 %</w:t>
            </w:r>
          </w:p>
        </w:tc>
      </w:tr>
      <w:tr w:rsidR="00DF61BC" w:rsidRPr="0048322F" w14:paraId="58A73CE8" w14:textId="77777777" w:rsidTr="00650943">
        <w:tc>
          <w:tcPr>
            <w:tcW w:w="1668" w:type="dxa"/>
            <w:tcBorders>
              <w:top w:val="nil"/>
              <w:left w:val="single" w:sz="4" w:space="0" w:color="auto"/>
              <w:right w:val="nil"/>
            </w:tcBorders>
            <w:shd w:val="clear" w:color="auto" w:fill="auto"/>
          </w:tcPr>
          <w:p w14:paraId="3990AC9E" w14:textId="77777777" w:rsidR="00DF61BC" w:rsidRPr="0048322F" w:rsidRDefault="00DF61BC" w:rsidP="00AD0020">
            <w:pPr>
              <w:pStyle w:val="Tabletext"/>
            </w:pPr>
            <w:r w:rsidRPr="0048322F">
              <w:lastRenderedPageBreak/>
              <w:t xml:space="preserve">Total </w:t>
            </w:r>
            <w:r w:rsidRPr="0048322F">
              <w:rPr>
                <w:vertAlign w:val="superscript"/>
              </w:rPr>
              <w:t>b</w:t>
            </w:r>
          </w:p>
        </w:tc>
        <w:tc>
          <w:tcPr>
            <w:tcW w:w="850" w:type="dxa"/>
            <w:tcBorders>
              <w:top w:val="nil"/>
              <w:left w:val="nil"/>
              <w:right w:val="nil"/>
            </w:tcBorders>
            <w:shd w:val="clear" w:color="auto" w:fill="auto"/>
          </w:tcPr>
          <w:p w14:paraId="7E3AF00D" w14:textId="77777777" w:rsidR="00DF61BC" w:rsidRPr="0048322F" w:rsidRDefault="00DF61BC" w:rsidP="00AD0020">
            <w:pPr>
              <w:pStyle w:val="Tabletext"/>
            </w:pPr>
          </w:p>
        </w:tc>
        <w:tc>
          <w:tcPr>
            <w:tcW w:w="4961" w:type="dxa"/>
            <w:tcBorders>
              <w:top w:val="nil"/>
              <w:left w:val="nil"/>
              <w:right w:val="single" w:sz="4" w:space="0" w:color="auto"/>
            </w:tcBorders>
            <w:shd w:val="clear" w:color="auto" w:fill="auto"/>
          </w:tcPr>
          <w:p w14:paraId="36182DF1" w14:textId="77777777" w:rsidR="00DF61BC" w:rsidRPr="0048322F" w:rsidRDefault="00DF61BC" w:rsidP="00AD0020">
            <w:pPr>
              <w:pStyle w:val="Tabletext"/>
            </w:pPr>
            <w:r w:rsidRPr="0048322F">
              <w:t>21.0 ± 9.07 %</w:t>
            </w:r>
          </w:p>
        </w:tc>
      </w:tr>
      <w:tr w:rsidR="00DF61BC" w:rsidRPr="0048322F" w14:paraId="356A7067" w14:textId="77777777" w:rsidTr="00650943">
        <w:tc>
          <w:tcPr>
            <w:tcW w:w="1668" w:type="dxa"/>
            <w:tcBorders>
              <w:left w:val="single" w:sz="4" w:space="0" w:color="auto"/>
              <w:right w:val="nil"/>
            </w:tcBorders>
            <w:shd w:val="clear" w:color="auto" w:fill="auto"/>
          </w:tcPr>
          <w:p w14:paraId="22D87FA0" w14:textId="77777777" w:rsidR="00DF61BC" w:rsidRPr="0048322F" w:rsidRDefault="00DF61BC" w:rsidP="00AD0020">
            <w:pPr>
              <w:pStyle w:val="Tabletext"/>
            </w:pPr>
            <w:r w:rsidRPr="0048322F">
              <w:t xml:space="preserve">TPI (unchanged) </w:t>
            </w:r>
          </w:p>
        </w:tc>
        <w:tc>
          <w:tcPr>
            <w:tcW w:w="850" w:type="dxa"/>
            <w:tcBorders>
              <w:left w:val="nil"/>
              <w:right w:val="nil"/>
            </w:tcBorders>
            <w:shd w:val="clear" w:color="auto" w:fill="auto"/>
          </w:tcPr>
          <w:p w14:paraId="66A4F3D1" w14:textId="77777777" w:rsidR="00DF61BC" w:rsidRPr="0048322F" w:rsidRDefault="00DF61BC" w:rsidP="00AD0020">
            <w:pPr>
              <w:pStyle w:val="Tabletext"/>
            </w:pPr>
            <w:r w:rsidRPr="0048322F">
              <w:t xml:space="preserve">36 </w:t>
            </w:r>
          </w:p>
        </w:tc>
        <w:tc>
          <w:tcPr>
            <w:tcW w:w="4961" w:type="dxa"/>
            <w:tcBorders>
              <w:left w:val="nil"/>
              <w:right w:val="single" w:sz="4" w:space="0" w:color="auto"/>
            </w:tcBorders>
            <w:shd w:val="clear" w:color="auto" w:fill="auto"/>
          </w:tcPr>
          <w:p w14:paraId="612A78D5" w14:textId="77777777" w:rsidR="00DF61BC" w:rsidRPr="0048322F" w:rsidRDefault="00DF61BC" w:rsidP="00AD0020">
            <w:pPr>
              <w:pStyle w:val="Tabletext"/>
            </w:pPr>
            <w:r w:rsidRPr="0048322F">
              <w:t xml:space="preserve">29.3 ± 17.03% </w:t>
            </w:r>
          </w:p>
        </w:tc>
      </w:tr>
    </w:tbl>
    <w:p w14:paraId="4F66DDE8" w14:textId="77777777" w:rsidR="00DF61BC" w:rsidRPr="00C94C33" w:rsidRDefault="00555DC7" w:rsidP="005C2FCA">
      <w:pPr>
        <w:pStyle w:val="TableDescription"/>
        <w:keepNext/>
        <w:rPr>
          <w:lang w:eastAsia="en-AU"/>
        </w:rPr>
      </w:pPr>
      <w:r w:rsidRPr="007709B8">
        <w:rPr>
          <w:lang w:eastAsia="en-AU"/>
        </w:rPr>
        <w:t xml:space="preserve">a. Based on molar equivalents; b. </w:t>
      </w:r>
      <w:r w:rsidR="00DF61BC" w:rsidRPr="00C94C33">
        <w:rPr>
          <w:lang w:eastAsia="en-AU"/>
        </w:rPr>
        <w:t>Sum of unchanged FTD and its metabolites.</w:t>
      </w:r>
    </w:p>
    <w:p w14:paraId="385BF9DA" w14:textId="333172F2" w:rsidR="00DF61BC" w:rsidRPr="00C94C33" w:rsidRDefault="00DF61BC" w:rsidP="00555DC7">
      <w:pPr>
        <w:autoSpaceDE w:val="0"/>
        <w:autoSpaceDN w:val="0"/>
        <w:adjustRightInd w:val="0"/>
        <w:spacing w:before="0" w:line="240" w:lineRule="auto"/>
        <w:rPr>
          <w:rFonts w:eastAsia="Times New Roman"/>
          <w:kern w:val="16"/>
          <w:szCs w:val="24"/>
          <w:lang w:eastAsia="en-AU"/>
        </w:rPr>
      </w:pPr>
      <w:r w:rsidRPr="00C94C33">
        <w:rPr>
          <w:rFonts w:eastAsia="Times New Roman"/>
          <w:kern w:val="16"/>
          <w:szCs w:val="24"/>
          <w:lang w:eastAsia="en-AU"/>
        </w:rPr>
        <w:t>The results for renal clearance of TAS-102 components and FTD metabolites are summarised below.</w:t>
      </w:r>
    </w:p>
    <w:p w14:paraId="3B8D019A" w14:textId="077CA697" w:rsidR="00DF61BC" w:rsidRPr="00C94C33" w:rsidRDefault="00DF61BC" w:rsidP="00555DC7">
      <w:pPr>
        <w:pStyle w:val="Tabletitle"/>
        <w:rPr>
          <w:lang w:eastAsia="en-AU"/>
        </w:rPr>
      </w:pPr>
      <w:bookmarkStart w:id="106" w:name="_Toc470948664"/>
      <w:r w:rsidRPr="00C94C33">
        <w:rPr>
          <w:lang w:eastAsia="en-AU"/>
        </w:rPr>
        <w:t xml:space="preserve">Table </w:t>
      </w:r>
      <w:r w:rsidR="00555DC7" w:rsidRPr="00C94C33">
        <w:rPr>
          <w:lang w:eastAsia="en-AU"/>
        </w:rPr>
        <w:t xml:space="preserve">15: </w:t>
      </w:r>
      <w:r w:rsidR="00DF75EE" w:rsidRPr="00C94C33">
        <w:rPr>
          <w:lang w:eastAsia="en-AU"/>
        </w:rPr>
        <w:t xml:space="preserve">Study </w:t>
      </w:r>
      <w:r w:rsidRPr="00C94C33">
        <w:rPr>
          <w:lang w:eastAsia="en-AU"/>
        </w:rPr>
        <w:t>TPU-TAS-102-104</w:t>
      </w:r>
      <w:r w:rsidR="00DF75EE" w:rsidRPr="00C94C33">
        <w:rPr>
          <w:lang w:eastAsia="en-AU"/>
        </w:rPr>
        <w:t>;</w:t>
      </w:r>
      <w:r w:rsidRPr="00C94C33">
        <w:rPr>
          <w:lang w:eastAsia="en-AU"/>
        </w:rPr>
        <w:t xml:space="preserve"> Renal clearance of TAS-102 components and FTD metabolites after administration of TAS-102 tablets, all PK population</w:t>
      </w:r>
      <w:bookmarkEnd w:id="106"/>
    </w:p>
    <w:tbl>
      <w:tblPr>
        <w:tblStyle w:val="TableGrid7"/>
        <w:tblW w:w="0" w:type="auto"/>
        <w:tblLook w:val="04A0" w:firstRow="1" w:lastRow="0" w:firstColumn="1" w:lastColumn="0" w:noHBand="0" w:noVBand="1"/>
        <w:tblDescription w:val="Table 15: Study TPU-TAS-102-104; Renal clearance of TAS-102 components and FTD metabolites after administration of TAS-102 tablets, all PK population"/>
      </w:tblPr>
      <w:tblGrid>
        <w:gridCol w:w="2387"/>
        <w:gridCol w:w="556"/>
        <w:gridCol w:w="1843"/>
      </w:tblGrid>
      <w:tr w:rsidR="00DF61BC" w:rsidRPr="0048322F" w14:paraId="321B0751" w14:textId="77777777" w:rsidTr="007B0D96">
        <w:trPr>
          <w:tblHeader/>
        </w:trPr>
        <w:tc>
          <w:tcPr>
            <w:tcW w:w="2387" w:type="dxa"/>
            <w:tcBorders>
              <w:left w:val="nil"/>
              <w:right w:val="nil"/>
            </w:tcBorders>
            <w:shd w:val="clear" w:color="auto" w:fill="auto"/>
          </w:tcPr>
          <w:p w14:paraId="2B834FE2" w14:textId="77777777" w:rsidR="00DF61BC" w:rsidRPr="0048322F" w:rsidRDefault="00DF61BC" w:rsidP="00AD0020">
            <w:pPr>
              <w:pStyle w:val="TableHeading"/>
            </w:pPr>
            <w:r w:rsidRPr="0048322F">
              <w:t xml:space="preserve">Parameter, unit </w:t>
            </w:r>
          </w:p>
        </w:tc>
        <w:tc>
          <w:tcPr>
            <w:tcW w:w="556" w:type="dxa"/>
            <w:tcBorders>
              <w:left w:val="nil"/>
              <w:right w:val="nil"/>
            </w:tcBorders>
            <w:shd w:val="clear" w:color="auto" w:fill="auto"/>
          </w:tcPr>
          <w:p w14:paraId="679C49E5" w14:textId="77777777" w:rsidR="00DF61BC" w:rsidRPr="0048322F" w:rsidRDefault="00DF61BC" w:rsidP="00AD0020">
            <w:pPr>
              <w:pStyle w:val="TableHeading"/>
            </w:pPr>
            <w:r w:rsidRPr="0048322F">
              <w:t xml:space="preserve">N </w:t>
            </w:r>
          </w:p>
        </w:tc>
        <w:tc>
          <w:tcPr>
            <w:tcW w:w="1843" w:type="dxa"/>
            <w:tcBorders>
              <w:left w:val="nil"/>
              <w:right w:val="nil"/>
            </w:tcBorders>
            <w:shd w:val="clear" w:color="auto" w:fill="auto"/>
          </w:tcPr>
          <w:p w14:paraId="71CBCA41" w14:textId="77777777" w:rsidR="00DF61BC" w:rsidRPr="0048322F" w:rsidRDefault="00DF61BC" w:rsidP="00AD0020">
            <w:pPr>
              <w:pStyle w:val="TableHeading"/>
            </w:pPr>
            <w:r w:rsidRPr="0048322F">
              <w:t xml:space="preserve">Mean ± SD </w:t>
            </w:r>
          </w:p>
        </w:tc>
      </w:tr>
      <w:tr w:rsidR="00DF61BC" w:rsidRPr="0048322F" w14:paraId="757345AA" w14:textId="77777777" w:rsidTr="00650943">
        <w:tc>
          <w:tcPr>
            <w:tcW w:w="2387" w:type="dxa"/>
            <w:tcBorders>
              <w:left w:val="nil"/>
              <w:bottom w:val="nil"/>
              <w:right w:val="nil"/>
            </w:tcBorders>
            <w:shd w:val="clear" w:color="auto" w:fill="auto"/>
          </w:tcPr>
          <w:p w14:paraId="51F470E3" w14:textId="77777777" w:rsidR="00DF61BC" w:rsidRPr="0048322F" w:rsidRDefault="00DF61BC" w:rsidP="00AD0020">
            <w:pPr>
              <w:pStyle w:val="Tabletext"/>
            </w:pPr>
            <w:r w:rsidRPr="0048322F">
              <w:t>CLr</w:t>
            </w:r>
            <w:r w:rsidRPr="0048322F">
              <w:rPr>
                <w:spacing w:val="-9"/>
              </w:rPr>
              <w:t xml:space="preserve"> </w:t>
            </w:r>
            <w:r w:rsidRPr="0048322F">
              <w:t>(FTD),</w:t>
            </w:r>
            <w:r w:rsidRPr="0048322F">
              <w:rPr>
                <w:spacing w:val="-8"/>
              </w:rPr>
              <w:t xml:space="preserve"> </w:t>
            </w:r>
            <w:r w:rsidRPr="0048322F">
              <w:rPr>
                <w:spacing w:val="-1"/>
              </w:rPr>
              <w:t>mL/min</w:t>
            </w:r>
          </w:p>
        </w:tc>
        <w:tc>
          <w:tcPr>
            <w:tcW w:w="556" w:type="dxa"/>
            <w:tcBorders>
              <w:left w:val="nil"/>
              <w:bottom w:val="nil"/>
              <w:right w:val="nil"/>
            </w:tcBorders>
            <w:shd w:val="clear" w:color="auto" w:fill="auto"/>
          </w:tcPr>
          <w:p w14:paraId="299B92BA" w14:textId="77777777" w:rsidR="00DF61BC" w:rsidRPr="0048322F" w:rsidRDefault="00DF61BC" w:rsidP="00AD0020">
            <w:pPr>
              <w:pStyle w:val="Tabletext"/>
            </w:pPr>
            <w:r w:rsidRPr="0048322F">
              <w:t>37</w:t>
            </w:r>
          </w:p>
        </w:tc>
        <w:tc>
          <w:tcPr>
            <w:tcW w:w="1843" w:type="dxa"/>
            <w:tcBorders>
              <w:left w:val="nil"/>
              <w:bottom w:val="nil"/>
              <w:right w:val="nil"/>
            </w:tcBorders>
            <w:shd w:val="clear" w:color="auto" w:fill="auto"/>
          </w:tcPr>
          <w:p w14:paraId="5058B060" w14:textId="77777777" w:rsidR="00DF61BC" w:rsidRPr="0048322F" w:rsidRDefault="00DF61BC" w:rsidP="00AD0020">
            <w:pPr>
              <w:pStyle w:val="Tabletext"/>
            </w:pPr>
            <w:r w:rsidRPr="0048322F">
              <w:t>2.29 ± 3.374</w:t>
            </w:r>
          </w:p>
        </w:tc>
      </w:tr>
      <w:tr w:rsidR="00DF61BC" w:rsidRPr="0048322F" w14:paraId="02380105" w14:textId="77777777" w:rsidTr="00650943">
        <w:tc>
          <w:tcPr>
            <w:tcW w:w="2387" w:type="dxa"/>
            <w:tcBorders>
              <w:top w:val="nil"/>
              <w:left w:val="nil"/>
              <w:bottom w:val="nil"/>
              <w:right w:val="nil"/>
            </w:tcBorders>
            <w:shd w:val="clear" w:color="auto" w:fill="auto"/>
          </w:tcPr>
          <w:p w14:paraId="62446F16" w14:textId="77777777" w:rsidR="00DF61BC" w:rsidRPr="0048322F" w:rsidRDefault="00DF61BC" w:rsidP="00AD0020">
            <w:pPr>
              <w:pStyle w:val="Tabletext"/>
            </w:pPr>
            <w:r w:rsidRPr="0048322F">
              <w:t>CLr</w:t>
            </w:r>
            <w:r w:rsidRPr="0048322F">
              <w:rPr>
                <w:spacing w:val="-9"/>
              </w:rPr>
              <w:t xml:space="preserve"> </w:t>
            </w:r>
            <w:r w:rsidRPr="0048322F">
              <w:t>(FTY),</w:t>
            </w:r>
            <w:r w:rsidRPr="0048322F">
              <w:rPr>
                <w:spacing w:val="-8"/>
              </w:rPr>
              <w:t xml:space="preserve"> </w:t>
            </w:r>
            <w:r w:rsidRPr="0048322F">
              <w:rPr>
                <w:spacing w:val="-1"/>
              </w:rPr>
              <w:t>mL/min</w:t>
            </w:r>
          </w:p>
        </w:tc>
        <w:tc>
          <w:tcPr>
            <w:tcW w:w="556" w:type="dxa"/>
            <w:tcBorders>
              <w:top w:val="nil"/>
              <w:left w:val="nil"/>
              <w:bottom w:val="nil"/>
              <w:right w:val="nil"/>
            </w:tcBorders>
            <w:shd w:val="clear" w:color="auto" w:fill="auto"/>
          </w:tcPr>
          <w:p w14:paraId="76668138" w14:textId="77777777" w:rsidR="00DF61BC" w:rsidRPr="0048322F" w:rsidRDefault="00DF61BC" w:rsidP="00AD0020">
            <w:pPr>
              <w:pStyle w:val="Tabletext"/>
            </w:pPr>
            <w:r w:rsidRPr="0048322F">
              <w:t>38</w:t>
            </w:r>
          </w:p>
        </w:tc>
        <w:tc>
          <w:tcPr>
            <w:tcW w:w="1843" w:type="dxa"/>
            <w:tcBorders>
              <w:top w:val="nil"/>
              <w:left w:val="nil"/>
              <w:bottom w:val="nil"/>
              <w:right w:val="nil"/>
            </w:tcBorders>
            <w:shd w:val="clear" w:color="auto" w:fill="auto"/>
          </w:tcPr>
          <w:p w14:paraId="55784691" w14:textId="77777777" w:rsidR="00DF61BC" w:rsidRPr="0048322F" w:rsidRDefault="00DF61BC" w:rsidP="00AD0020">
            <w:pPr>
              <w:pStyle w:val="Tabletext"/>
            </w:pPr>
            <w:r w:rsidRPr="0048322F">
              <w:rPr>
                <w:spacing w:val="-1"/>
              </w:rPr>
              <w:t>40.85 ± 24.622</w:t>
            </w:r>
          </w:p>
        </w:tc>
      </w:tr>
      <w:tr w:rsidR="00DF61BC" w:rsidRPr="0048322F" w14:paraId="6A731D61" w14:textId="77777777" w:rsidTr="00650943">
        <w:tc>
          <w:tcPr>
            <w:tcW w:w="2387" w:type="dxa"/>
            <w:tcBorders>
              <w:top w:val="nil"/>
              <w:left w:val="nil"/>
              <w:bottom w:val="nil"/>
              <w:right w:val="nil"/>
            </w:tcBorders>
            <w:shd w:val="clear" w:color="auto" w:fill="auto"/>
          </w:tcPr>
          <w:p w14:paraId="398BD636" w14:textId="77777777" w:rsidR="00DF61BC" w:rsidRPr="0048322F" w:rsidRDefault="00DF61BC" w:rsidP="00AD0020">
            <w:pPr>
              <w:pStyle w:val="Tabletext"/>
            </w:pPr>
            <w:r w:rsidRPr="0048322F">
              <w:t>CLr</w:t>
            </w:r>
            <w:r w:rsidRPr="0048322F">
              <w:rPr>
                <w:spacing w:val="-8"/>
              </w:rPr>
              <w:t xml:space="preserve"> </w:t>
            </w:r>
            <w:r w:rsidRPr="0048322F">
              <w:t>(TPI),</w:t>
            </w:r>
            <w:r w:rsidRPr="0048322F">
              <w:rPr>
                <w:spacing w:val="-8"/>
              </w:rPr>
              <w:t xml:space="preserve"> </w:t>
            </w:r>
            <w:r w:rsidRPr="0048322F">
              <w:rPr>
                <w:spacing w:val="-1"/>
              </w:rPr>
              <w:t>mL/min</w:t>
            </w:r>
          </w:p>
        </w:tc>
        <w:tc>
          <w:tcPr>
            <w:tcW w:w="556" w:type="dxa"/>
            <w:tcBorders>
              <w:top w:val="nil"/>
              <w:left w:val="nil"/>
              <w:bottom w:val="nil"/>
              <w:right w:val="nil"/>
            </w:tcBorders>
            <w:shd w:val="clear" w:color="auto" w:fill="auto"/>
          </w:tcPr>
          <w:p w14:paraId="44A5B4B4" w14:textId="77777777" w:rsidR="00DF61BC" w:rsidRPr="0048322F" w:rsidRDefault="00DF61BC" w:rsidP="00AD0020">
            <w:pPr>
              <w:pStyle w:val="Tabletext"/>
            </w:pPr>
            <w:r w:rsidRPr="0048322F">
              <w:t>34</w:t>
            </w:r>
          </w:p>
        </w:tc>
        <w:tc>
          <w:tcPr>
            <w:tcW w:w="1843" w:type="dxa"/>
            <w:tcBorders>
              <w:top w:val="nil"/>
              <w:left w:val="nil"/>
              <w:bottom w:val="nil"/>
              <w:right w:val="nil"/>
            </w:tcBorders>
            <w:shd w:val="clear" w:color="auto" w:fill="auto"/>
          </w:tcPr>
          <w:p w14:paraId="24123B21" w14:textId="77777777" w:rsidR="00DF61BC" w:rsidRPr="0048322F" w:rsidRDefault="00DF61BC" w:rsidP="00AD0020">
            <w:pPr>
              <w:pStyle w:val="Tabletext"/>
            </w:pPr>
            <w:r w:rsidRPr="0048322F">
              <w:rPr>
                <w:spacing w:val="-1"/>
              </w:rPr>
              <w:t>292.67 ± 105.650</w:t>
            </w:r>
          </w:p>
        </w:tc>
      </w:tr>
      <w:tr w:rsidR="00DF61BC" w:rsidRPr="0048322F" w14:paraId="5CA801C2" w14:textId="77777777" w:rsidTr="00650943">
        <w:tc>
          <w:tcPr>
            <w:tcW w:w="2387" w:type="dxa"/>
            <w:tcBorders>
              <w:top w:val="nil"/>
              <w:left w:val="nil"/>
              <w:bottom w:val="nil"/>
              <w:right w:val="nil"/>
            </w:tcBorders>
            <w:shd w:val="clear" w:color="auto" w:fill="auto"/>
          </w:tcPr>
          <w:p w14:paraId="5D3AFB83" w14:textId="77777777" w:rsidR="00DF61BC" w:rsidRPr="0048322F" w:rsidRDefault="00DF61BC" w:rsidP="00AD0020">
            <w:pPr>
              <w:pStyle w:val="Tabletext"/>
            </w:pPr>
            <w:r w:rsidRPr="0048322F">
              <w:t>CLr</w:t>
            </w:r>
            <w:r w:rsidRPr="0048322F">
              <w:rPr>
                <w:spacing w:val="-11"/>
              </w:rPr>
              <w:t xml:space="preserve"> </w:t>
            </w:r>
            <w:r w:rsidRPr="0048322F">
              <w:t>(5-CdUrd),</w:t>
            </w:r>
            <w:r w:rsidRPr="0048322F">
              <w:rPr>
                <w:spacing w:val="-10"/>
              </w:rPr>
              <w:t xml:space="preserve"> </w:t>
            </w:r>
            <w:r w:rsidRPr="0048322F">
              <w:rPr>
                <w:spacing w:val="-1"/>
              </w:rPr>
              <w:t>mL/min</w:t>
            </w:r>
          </w:p>
        </w:tc>
        <w:tc>
          <w:tcPr>
            <w:tcW w:w="556" w:type="dxa"/>
            <w:tcBorders>
              <w:top w:val="nil"/>
              <w:left w:val="nil"/>
              <w:bottom w:val="nil"/>
              <w:right w:val="nil"/>
            </w:tcBorders>
            <w:shd w:val="clear" w:color="auto" w:fill="auto"/>
          </w:tcPr>
          <w:p w14:paraId="3ACFB24C" w14:textId="77777777" w:rsidR="00DF61BC" w:rsidRPr="0048322F" w:rsidRDefault="00DF61BC" w:rsidP="00AD0020">
            <w:pPr>
              <w:pStyle w:val="Tabletext"/>
            </w:pPr>
            <w:r w:rsidRPr="0048322F">
              <w:t>0</w:t>
            </w:r>
          </w:p>
        </w:tc>
        <w:tc>
          <w:tcPr>
            <w:tcW w:w="1843" w:type="dxa"/>
            <w:tcBorders>
              <w:top w:val="nil"/>
              <w:left w:val="nil"/>
              <w:bottom w:val="nil"/>
              <w:right w:val="nil"/>
            </w:tcBorders>
            <w:shd w:val="clear" w:color="auto" w:fill="auto"/>
          </w:tcPr>
          <w:p w14:paraId="4CF7E20E" w14:textId="77777777" w:rsidR="00DF61BC" w:rsidRPr="0048322F" w:rsidRDefault="00DF61BC" w:rsidP="00AD0020">
            <w:pPr>
              <w:pStyle w:val="Tabletext"/>
            </w:pPr>
            <w:r w:rsidRPr="0048322F">
              <w:t xml:space="preserve">- </w:t>
            </w:r>
          </w:p>
        </w:tc>
      </w:tr>
      <w:tr w:rsidR="00DF61BC" w:rsidRPr="0048322F" w14:paraId="533CDD34" w14:textId="77777777" w:rsidTr="00650943">
        <w:tc>
          <w:tcPr>
            <w:tcW w:w="2387" w:type="dxa"/>
            <w:tcBorders>
              <w:top w:val="nil"/>
              <w:left w:val="nil"/>
              <w:bottom w:val="double" w:sz="4" w:space="0" w:color="auto"/>
              <w:right w:val="nil"/>
            </w:tcBorders>
            <w:shd w:val="clear" w:color="auto" w:fill="auto"/>
          </w:tcPr>
          <w:p w14:paraId="3458650A" w14:textId="77777777" w:rsidR="00DF61BC" w:rsidRPr="0048322F" w:rsidRDefault="00DF61BC" w:rsidP="00AD0020">
            <w:pPr>
              <w:pStyle w:val="Tabletext"/>
            </w:pPr>
            <w:r w:rsidRPr="0048322F">
              <w:t>CLr</w:t>
            </w:r>
            <w:r w:rsidRPr="0048322F">
              <w:rPr>
                <w:spacing w:val="-9"/>
              </w:rPr>
              <w:t xml:space="preserve"> </w:t>
            </w:r>
            <w:r w:rsidRPr="0048322F">
              <w:t>(5-CU),</w:t>
            </w:r>
            <w:r w:rsidRPr="0048322F">
              <w:rPr>
                <w:spacing w:val="-9"/>
              </w:rPr>
              <w:t xml:space="preserve"> </w:t>
            </w:r>
            <w:r w:rsidRPr="0048322F">
              <w:rPr>
                <w:spacing w:val="-1"/>
              </w:rPr>
              <w:t>mL/min</w:t>
            </w:r>
          </w:p>
        </w:tc>
        <w:tc>
          <w:tcPr>
            <w:tcW w:w="556" w:type="dxa"/>
            <w:tcBorders>
              <w:top w:val="nil"/>
              <w:left w:val="nil"/>
              <w:bottom w:val="double" w:sz="4" w:space="0" w:color="auto"/>
              <w:right w:val="nil"/>
            </w:tcBorders>
            <w:shd w:val="clear" w:color="auto" w:fill="auto"/>
          </w:tcPr>
          <w:p w14:paraId="3E290A3F" w14:textId="77777777" w:rsidR="00DF61BC" w:rsidRPr="0048322F" w:rsidRDefault="00DF61BC" w:rsidP="00AD0020">
            <w:pPr>
              <w:pStyle w:val="Tabletext"/>
            </w:pPr>
            <w:r w:rsidRPr="0048322F">
              <w:t>1</w:t>
            </w:r>
          </w:p>
        </w:tc>
        <w:tc>
          <w:tcPr>
            <w:tcW w:w="1843" w:type="dxa"/>
            <w:tcBorders>
              <w:top w:val="nil"/>
              <w:left w:val="nil"/>
              <w:bottom w:val="double" w:sz="4" w:space="0" w:color="auto"/>
              <w:right w:val="nil"/>
            </w:tcBorders>
            <w:shd w:val="clear" w:color="auto" w:fill="auto"/>
          </w:tcPr>
          <w:p w14:paraId="477AF604" w14:textId="77777777" w:rsidR="00DF61BC" w:rsidRPr="0048322F" w:rsidRDefault="00DF61BC" w:rsidP="00AD0020">
            <w:pPr>
              <w:pStyle w:val="Tabletext"/>
            </w:pPr>
            <w:r w:rsidRPr="0048322F">
              <w:rPr>
                <w:spacing w:val="-1"/>
              </w:rPr>
              <w:t xml:space="preserve">133.57 </w:t>
            </w:r>
          </w:p>
        </w:tc>
      </w:tr>
      <w:tr w:rsidR="00DF61BC" w:rsidRPr="0048322F" w14:paraId="01F61D9A" w14:textId="77777777" w:rsidTr="00650943">
        <w:tc>
          <w:tcPr>
            <w:tcW w:w="2387" w:type="dxa"/>
            <w:tcBorders>
              <w:top w:val="double" w:sz="4" w:space="0" w:color="auto"/>
              <w:left w:val="nil"/>
              <w:bottom w:val="nil"/>
              <w:right w:val="nil"/>
            </w:tcBorders>
            <w:shd w:val="clear" w:color="auto" w:fill="auto"/>
          </w:tcPr>
          <w:p w14:paraId="60FF075A" w14:textId="77777777" w:rsidR="00DF61BC" w:rsidRPr="0048322F" w:rsidRDefault="00DF61BC" w:rsidP="00AD0020">
            <w:pPr>
              <w:pStyle w:val="Tabletext"/>
            </w:pPr>
            <w:r w:rsidRPr="0048322F">
              <w:rPr>
                <w:spacing w:val="-1"/>
              </w:rPr>
              <w:t>CL</w:t>
            </w:r>
            <w:r w:rsidRPr="0048322F">
              <w:rPr>
                <w:spacing w:val="-1"/>
                <w:vertAlign w:val="subscript"/>
              </w:rPr>
              <w:t>Cr</w:t>
            </w:r>
            <w:r w:rsidRPr="0048322F">
              <w:rPr>
                <w:spacing w:val="-1"/>
              </w:rPr>
              <w:t>,</w:t>
            </w:r>
            <w:r w:rsidRPr="0048322F">
              <w:rPr>
                <w:spacing w:val="-10"/>
              </w:rPr>
              <w:t xml:space="preserve"> </w:t>
            </w:r>
            <w:r w:rsidRPr="0048322F">
              <w:rPr>
                <w:spacing w:val="-1"/>
              </w:rPr>
              <w:t>mL/min</w:t>
            </w:r>
          </w:p>
        </w:tc>
        <w:tc>
          <w:tcPr>
            <w:tcW w:w="556" w:type="dxa"/>
            <w:tcBorders>
              <w:top w:val="double" w:sz="4" w:space="0" w:color="auto"/>
              <w:left w:val="nil"/>
              <w:bottom w:val="nil"/>
              <w:right w:val="nil"/>
            </w:tcBorders>
            <w:shd w:val="clear" w:color="auto" w:fill="auto"/>
          </w:tcPr>
          <w:p w14:paraId="32CA0461" w14:textId="77777777" w:rsidR="00DF61BC" w:rsidRPr="0048322F" w:rsidRDefault="00DF61BC" w:rsidP="00AD0020">
            <w:pPr>
              <w:pStyle w:val="Tabletext"/>
            </w:pPr>
            <w:r w:rsidRPr="0048322F">
              <w:t>38</w:t>
            </w:r>
          </w:p>
        </w:tc>
        <w:tc>
          <w:tcPr>
            <w:tcW w:w="1843" w:type="dxa"/>
            <w:tcBorders>
              <w:top w:val="double" w:sz="4" w:space="0" w:color="auto"/>
              <w:left w:val="nil"/>
              <w:bottom w:val="nil"/>
              <w:right w:val="nil"/>
            </w:tcBorders>
            <w:shd w:val="clear" w:color="auto" w:fill="auto"/>
          </w:tcPr>
          <w:p w14:paraId="0B16BA4F" w14:textId="77777777" w:rsidR="00DF61BC" w:rsidRPr="0048322F" w:rsidRDefault="00DF61BC" w:rsidP="00AD0020">
            <w:pPr>
              <w:pStyle w:val="Tabletext"/>
            </w:pPr>
            <w:r w:rsidRPr="0048322F">
              <w:rPr>
                <w:spacing w:val="-1"/>
              </w:rPr>
              <w:t>104.77 ± 42.271</w:t>
            </w:r>
          </w:p>
        </w:tc>
      </w:tr>
      <w:tr w:rsidR="00DF61BC" w:rsidRPr="0048322F" w14:paraId="1519DEBF" w14:textId="77777777" w:rsidTr="00650943">
        <w:tc>
          <w:tcPr>
            <w:tcW w:w="2387" w:type="dxa"/>
            <w:tcBorders>
              <w:top w:val="nil"/>
              <w:left w:val="nil"/>
              <w:right w:val="nil"/>
            </w:tcBorders>
            <w:shd w:val="clear" w:color="auto" w:fill="auto"/>
          </w:tcPr>
          <w:p w14:paraId="59DA5990" w14:textId="77777777" w:rsidR="00DF61BC" w:rsidRPr="0048322F" w:rsidRDefault="00DF61BC" w:rsidP="00AD0020">
            <w:pPr>
              <w:pStyle w:val="Tabletext"/>
            </w:pPr>
            <w:r w:rsidRPr="0048322F">
              <w:t>eGFR,</w:t>
            </w:r>
            <w:r w:rsidRPr="0048322F">
              <w:rPr>
                <w:spacing w:val="-9"/>
              </w:rPr>
              <w:t xml:space="preserve"> </w:t>
            </w:r>
            <w:r w:rsidRPr="0048322F">
              <w:rPr>
                <w:spacing w:val="-1"/>
              </w:rPr>
              <w:t>mL/min/1.73</w:t>
            </w:r>
            <w:r w:rsidRPr="0048322F">
              <w:rPr>
                <w:spacing w:val="-10"/>
              </w:rPr>
              <w:t xml:space="preserve"> </w:t>
            </w:r>
            <w:r w:rsidRPr="0048322F">
              <w:rPr>
                <w:spacing w:val="-2"/>
              </w:rPr>
              <w:t>m</w:t>
            </w:r>
            <w:r w:rsidRPr="0048322F">
              <w:rPr>
                <w:spacing w:val="-2"/>
                <w:vertAlign w:val="superscript"/>
              </w:rPr>
              <w:t xml:space="preserve">2 </w:t>
            </w:r>
          </w:p>
        </w:tc>
        <w:tc>
          <w:tcPr>
            <w:tcW w:w="556" w:type="dxa"/>
            <w:tcBorders>
              <w:top w:val="nil"/>
              <w:left w:val="nil"/>
              <w:right w:val="nil"/>
            </w:tcBorders>
            <w:shd w:val="clear" w:color="auto" w:fill="auto"/>
          </w:tcPr>
          <w:p w14:paraId="28AAC122" w14:textId="77777777" w:rsidR="00DF61BC" w:rsidRPr="0048322F" w:rsidRDefault="00DF61BC" w:rsidP="00AD0020">
            <w:pPr>
              <w:pStyle w:val="Tabletext"/>
            </w:pPr>
            <w:r w:rsidRPr="0048322F">
              <w:t>38</w:t>
            </w:r>
          </w:p>
        </w:tc>
        <w:tc>
          <w:tcPr>
            <w:tcW w:w="1843" w:type="dxa"/>
            <w:tcBorders>
              <w:top w:val="nil"/>
              <w:left w:val="nil"/>
              <w:right w:val="nil"/>
            </w:tcBorders>
            <w:shd w:val="clear" w:color="auto" w:fill="auto"/>
          </w:tcPr>
          <w:p w14:paraId="39BFFB56" w14:textId="77777777" w:rsidR="00DF61BC" w:rsidRPr="0048322F" w:rsidRDefault="00DF61BC" w:rsidP="00AD0020">
            <w:pPr>
              <w:pStyle w:val="Tabletext"/>
            </w:pPr>
            <w:r w:rsidRPr="0048322F">
              <w:rPr>
                <w:spacing w:val="-1"/>
              </w:rPr>
              <w:t>84.38 ± 27.766</w:t>
            </w:r>
          </w:p>
        </w:tc>
      </w:tr>
    </w:tbl>
    <w:p w14:paraId="1C830A53" w14:textId="77777777" w:rsidR="00DF61BC" w:rsidRPr="00C94C33" w:rsidRDefault="00DF61BC" w:rsidP="00555DC7">
      <w:pPr>
        <w:pStyle w:val="TableDescription"/>
        <w:rPr>
          <w:lang w:eastAsia="en-AU"/>
        </w:rPr>
      </w:pPr>
      <w:r w:rsidRPr="00C94C33">
        <w:rPr>
          <w:lang w:eastAsia="en-AU"/>
        </w:rPr>
        <w:t>CLr = renal clearance; CLCR = creatinine clearance; eGFR = estimated glomerular filtration rate.</w:t>
      </w:r>
    </w:p>
    <w:p w14:paraId="6A2FC9D2" w14:textId="540FA88D" w:rsidR="00DF61BC" w:rsidRPr="00C94C33" w:rsidRDefault="00DF61BC" w:rsidP="005C2FCA">
      <w:pPr>
        <w:pStyle w:val="Comment"/>
      </w:pPr>
      <w:r w:rsidRPr="005C2FCA">
        <w:rPr>
          <w:b/>
        </w:rPr>
        <w:t>Comment:</w:t>
      </w:r>
      <w:r w:rsidRPr="007709B8">
        <w:t xml:space="preserve"> </w:t>
      </w:r>
      <w:r w:rsidR="00DF75EE" w:rsidRPr="00C94C33">
        <w:t xml:space="preserve"> </w:t>
      </w:r>
      <w:r w:rsidRPr="00C94C33">
        <w:t>The data suggest that urinary excretion is the major route of elimination for TPI, but a minor</w:t>
      </w:r>
      <w:r w:rsidR="007317F2" w:rsidRPr="00C94C33">
        <w:t xml:space="preserve"> route of administration for FTD</w:t>
      </w:r>
      <w:r w:rsidRPr="00C94C33">
        <w:t>. TPI is mainly eliminated by urinary excretion in humans, because the concentrations of major metabolites of TPI were similar to or below the lower limit of quantification in human plasma and urine, respectively, and the biliary excretion of TPI was reported by the sponsor to be negligible in a rat PK study. Renal tubular secretion is involved in the urinary excretion of TPI because the renal clearance of TPI (292.67 mL/min) is about 3-fold higher than the creatinine clearance (104.77 mL/min).</w:t>
      </w:r>
    </w:p>
    <w:p w14:paraId="465E7BEB" w14:textId="77777777" w:rsidR="00DF61BC" w:rsidRPr="00C94C33" w:rsidRDefault="00DF61BC" w:rsidP="00955252">
      <w:pPr>
        <w:pStyle w:val="Heading3"/>
      </w:pPr>
      <w:bookmarkStart w:id="107" w:name="_Toc241374291"/>
      <w:bookmarkStart w:id="108" w:name="_Toc272414624"/>
      <w:bookmarkStart w:id="109" w:name="_Toc290846247"/>
      <w:bookmarkStart w:id="110" w:name="_Toc470948478"/>
      <w:bookmarkStart w:id="111" w:name="_Toc510016873"/>
      <w:r w:rsidRPr="00C94C33">
        <w:t>Intra- and inter-individual variability</w:t>
      </w:r>
      <w:bookmarkEnd w:id="107"/>
      <w:r w:rsidRPr="00C94C33">
        <w:t xml:space="preserve"> of pharmacokinetics</w:t>
      </w:r>
      <w:bookmarkEnd w:id="108"/>
      <w:bookmarkEnd w:id="109"/>
      <w:bookmarkEnd w:id="110"/>
      <w:bookmarkEnd w:id="111"/>
    </w:p>
    <w:p w14:paraId="63E66B19" w14:textId="0B1AD018" w:rsidR="00555DC7" w:rsidRPr="00C94C33" w:rsidRDefault="00DF61BC" w:rsidP="005C2FCA">
      <w:pPr>
        <w:autoSpaceDE w:val="0"/>
        <w:autoSpaceDN w:val="0"/>
        <w:adjustRightInd w:val="0"/>
        <w:spacing w:before="0" w:line="240" w:lineRule="auto"/>
        <w:rPr>
          <w:rFonts w:cstheme="minorBidi"/>
          <w:b/>
          <w:kern w:val="16"/>
          <w:lang w:eastAsia="en-AU"/>
        </w:rPr>
      </w:pPr>
      <w:r w:rsidRPr="00C94C33">
        <w:rPr>
          <w:rFonts w:eastAsia="Times New Roman" w:cs="TimesNewRomanPSMT"/>
          <w:lang w:eastAsia="en-AU"/>
        </w:rPr>
        <w:t xml:space="preserve">Based on the PK data from patients in </w:t>
      </w:r>
      <w:r w:rsidR="00DF75EE" w:rsidRPr="00C94C33">
        <w:rPr>
          <w:rFonts w:eastAsia="Times New Roman" w:cs="TimesNewRomanPSMT"/>
          <w:lang w:eastAsia="en-AU"/>
        </w:rPr>
        <w:t xml:space="preserve">Study </w:t>
      </w:r>
      <w:r w:rsidRPr="00C94C33">
        <w:rPr>
          <w:rFonts w:eastAsia="Times New Roman" w:cs="TimesNewRomanPSMT"/>
          <w:lang w:eastAsia="en-AU"/>
        </w:rPr>
        <w:t>TPU-TAS-102-104, the inter-subject variability (CV %) for trifluridine was 64% for C</w:t>
      </w:r>
      <w:r w:rsidRPr="00C94C33">
        <w:rPr>
          <w:rFonts w:eastAsia="Times New Roman" w:cs="TimesNewRomanPSMT"/>
          <w:sz w:val="20"/>
          <w:szCs w:val="20"/>
          <w:lang w:eastAsia="en-AU"/>
        </w:rPr>
        <w:t>max</w:t>
      </w:r>
      <w:r w:rsidRPr="00C94C33">
        <w:rPr>
          <w:rFonts w:eastAsia="Times New Roman" w:cs="TimesNewRomanPSMT"/>
          <w:lang w:eastAsia="en-AU"/>
        </w:rPr>
        <w:t xml:space="preserve"> and 61% for AUC</w:t>
      </w:r>
      <w:r w:rsidRPr="00C94C33">
        <w:rPr>
          <w:rFonts w:eastAsia="Times New Roman" w:cs="TimesNewRomanPSMT"/>
          <w:sz w:val="20"/>
          <w:szCs w:val="20"/>
          <w:lang w:eastAsia="en-AU"/>
        </w:rPr>
        <w:t>0-last</w:t>
      </w:r>
      <w:r w:rsidRPr="00C94C33">
        <w:rPr>
          <w:rFonts w:eastAsia="Times New Roman" w:cs="TimesNewRomanPSMT"/>
          <w:lang w:eastAsia="en-AU"/>
        </w:rPr>
        <w:t>, and the corresponding results for intra-subject variability were 25% and 16%. The inter-subject variability (CV %) for tipiracil was 59% for C</w:t>
      </w:r>
      <w:r w:rsidRPr="00C94C33">
        <w:rPr>
          <w:rFonts w:eastAsia="Times New Roman" w:cs="TimesNewRomanPSMT"/>
          <w:sz w:val="20"/>
          <w:szCs w:val="20"/>
          <w:lang w:eastAsia="en-AU"/>
        </w:rPr>
        <w:t>max</w:t>
      </w:r>
      <w:r w:rsidRPr="00C94C33">
        <w:rPr>
          <w:rFonts w:eastAsia="Times New Roman" w:cs="TimesNewRomanPSMT"/>
          <w:lang w:eastAsia="en-AU"/>
        </w:rPr>
        <w:t xml:space="preserve"> and 54% for AUC</w:t>
      </w:r>
      <w:r w:rsidRPr="00C94C33">
        <w:rPr>
          <w:rFonts w:eastAsia="Times New Roman" w:cs="TimesNewRomanPSMT"/>
          <w:sz w:val="20"/>
          <w:szCs w:val="20"/>
          <w:lang w:eastAsia="en-AU"/>
        </w:rPr>
        <w:t xml:space="preserve">0-last </w:t>
      </w:r>
      <w:r w:rsidRPr="00C94C33">
        <w:rPr>
          <w:rFonts w:eastAsia="Times New Roman" w:cs="TimesNewRomanPSMT"/>
          <w:lang w:eastAsia="en-AU"/>
        </w:rPr>
        <w:t>and the corresponding results for intra-subject variability were 36% and 30%. The results are summarised below.</w:t>
      </w:r>
      <w:bookmarkStart w:id="112" w:name="_Toc470948665"/>
    </w:p>
    <w:p w14:paraId="19A78ACE" w14:textId="0EF95AEF" w:rsidR="00DF61BC" w:rsidRPr="00C94C33" w:rsidRDefault="00555DC7" w:rsidP="00DF75EE">
      <w:pPr>
        <w:pStyle w:val="Tabletitle"/>
        <w:rPr>
          <w:lang w:eastAsia="en-AU"/>
        </w:rPr>
      </w:pPr>
      <w:r w:rsidRPr="00C94C33">
        <w:rPr>
          <w:kern w:val="16"/>
          <w:lang w:eastAsia="en-AU"/>
        </w:rPr>
        <w:t>Table 16</w:t>
      </w:r>
      <w:r w:rsidR="00DF61BC" w:rsidRPr="00C94C33">
        <w:rPr>
          <w:kern w:val="16"/>
          <w:lang w:eastAsia="en-AU"/>
        </w:rPr>
        <w:t xml:space="preserve">: </w:t>
      </w:r>
      <w:r w:rsidR="00DF75EE" w:rsidRPr="00C94C33">
        <w:rPr>
          <w:kern w:val="16"/>
          <w:lang w:eastAsia="en-AU"/>
        </w:rPr>
        <w:t xml:space="preserve">Study </w:t>
      </w:r>
      <w:r w:rsidR="00DF61BC" w:rsidRPr="00C94C33">
        <w:rPr>
          <w:lang w:eastAsia="en-AU"/>
        </w:rPr>
        <w:t>TPU-TAS-102-104</w:t>
      </w:r>
      <w:r w:rsidR="00DF75EE" w:rsidRPr="00C94C33">
        <w:rPr>
          <w:lang w:eastAsia="en-AU"/>
        </w:rPr>
        <w:t>;</w:t>
      </w:r>
      <w:r w:rsidR="00DF61BC" w:rsidRPr="00C94C33">
        <w:rPr>
          <w:lang w:eastAsia="en-AU"/>
        </w:rPr>
        <w:t xml:space="preserve"> Assessment of inter-subject and intra-subject variability in FTD and TPI following administration of TAS-102</w:t>
      </w:r>
      <w:bookmarkStart w:id="113" w:name="3.2.5._Selection_of_Dose_and_Dose_Interv"/>
      <w:bookmarkStart w:id="114" w:name="Table_12:_Assessment_of_Variability_in_A"/>
      <w:bookmarkEnd w:id="112"/>
      <w:bookmarkEnd w:id="113"/>
      <w:bookmarkEnd w:id="114"/>
    </w:p>
    <w:tbl>
      <w:tblPr>
        <w:tblW w:w="9269" w:type="dxa"/>
        <w:tblInd w:w="105" w:type="dxa"/>
        <w:tblLayout w:type="fixed"/>
        <w:tblCellMar>
          <w:left w:w="0" w:type="dxa"/>
          <w:right w:w="0" w:type="dxa"/>
        </w:tblCellMar>
        <w:tblLook w:val="0000" w:firstRow="0" w:lastRow="0" w:firstColumn="0" w:lastColumn="0" w:noHBand="0" w:noVBand="0"/>
      </w:tblPr>
      <w:tblGrid>
        <w:gridCol w:w="4481"/>
        <w:gridCol w:w="2394"/>
        <w:gridCol w:w="2394"/>
      </w:tblGrid>
      <w:tr w:rsidR="00DF61BC" w:rsidRPr="00C94C33" w14:paraId="0D212B5C" w14:textId="77777777" w:rsidTr="00650943">
        <w:trPr>
          <w:trHeight w:hRule="exact" w:val="389"/>
        </w:trPr>
        <w:tc>
          <w:tcPr>
            <w:tcW w:w="4481" w:type="dxa"/>
            <w:tcBorders>
              <w:top w:val="single" w:sz="7" w:space="0" w:color="000000"/>
              <w:left w:val="single" w:sz="6" w:space="0" w:color="000000"/>
              <w:bottom w:val="single" w:sz="7" w:space="0" w:color="000000"/>
              <w:right w:val="single" w:sz="6" w:space="0" w:color="000000"/>
            </w:tcBorders>
            <w:shd w:val="clear" w:color="auto" w:fill="auto"/>
          </w:tcPr>
          <w:p w14:paraId="4B84C9D1" w14:textId="77777777" w:rsidR="00DF61BC" w:rsidRPr="00C94C33" w:rsidRDefault="00DF61BC" w:rsidP="00DF1424">
            <w:pPr>
              <w:pStyle w:val="TableHeading"/>
              <w:rPr>
                <w:lang w:eastAsia="en-AU"/>
              </w:rPr>
            </w:pPr>
          </w:p>
        </w:tc>
        <w:tc>
          <w:tcPr>
            <w:tcW w:w="2394" w:type="dxa"/>
            <w:tcBorders>
              <w:top w:val="single" w:sz="7" w:space="0" w:color="000000"/>
              <w:left w:val="single" w:sz="6" w:space="0" w:color="000000"/>
              <w:bottom w:val="single" w:sz="7" w:space="0" w:color="000000"/>
              <w:right w:val="single" w:sz="6" w:space="0" w:color="000000"/>
            </w:tcBorders>
            <w:shd w:val="clear" w:color="auto" w:fill="auto"/>
          </w:tcPr>
          <w:p w14:paraId="403F2D9E" w14:textId="77777777" w:rsidR="00DF61BC" w:rsidRPr="00C94C33" w:rsidRDefault="00DF61BC" w:rsidP="00DF1424">
            <w:pPr>
              <w:pStyle w:val="TableHeading"/>
              <w:rPr>
                <w:lang w:eastAsia="en-AU"/>
              </w:rPr>
            </w:pPr>
            <w:r w:rsidRPr="00C94C33">
              <w:rPr>
                <w:bCs/>
                <w:spacing w:val="-1"/>
                <w:position w:val="3"/>
                <w:lang w:eastAsia="en-AU"/>
              </w:rPr>
              <w:t>AUC</w:t>
            </w:r>
            <w:r w:rsidRPr="00C94C33">
              <w:rPr>
                <w:bCs/>
                <w:spacing w:val="-1"/>
                <w:lang w:eastAsia="en-AU"/>
              </w:rPr>
              <w:t>0-last</w:t>
            </w:r>
          </w:p>
        </w:tc>
        <w:tc>
          <w:tcPr>
            <w:tcW w:w="2394" w:type="dxa"/>
            <w:tcBorders>
              <w:top w:val="single" w:sz="7" w:space="0" w:color="000000"/>
              <w:left w:val="single" w:sz="6" w:space="0" w:color="000000"/>
              <w:bottom w:val="single" w:sz="7" w:space="0" w:color="000000"/>
              <w:right w:val="single" w:sz="6" w:space="0" w:color="000000"/>
            </w:tcBorders>
            <w:shd w:val="clear" w:color="auto" w:fill="auto"/>
          </w:tcPr>
          <w:p w14:paraId="52C5E64E" w14:textId="77777777" w:rsidR="00DF61BC" w:rsidRPr="00C94C33" w:rsidRDefault="00DF61BC" w:rsidP="00DF1424">
            <w:pPr>
              <w:pStyle w:val="TableHeading"/>
              <w:rPr>
                <w:lang w:eastAsia="en-AU"/>
              </w:rPr>
            </w:pPr>
            <w:r w:rsidRPr="00C94C33">
              <w:rPr>
                <w:bCs/>
                <w:spacing w:val="-1"/>
                <w:position w:val="3"/>
                <w:lang w:eastAsia="en-AU"/>
              </w:rPr>
              <w:t>C</w:t>
            </w:r>
            <w:r w:rsidRPr="00C94C33">
              <w:rPr>
                <w:bCs/>
                <w:spacing w:val="-1"/>
                <w:lang w:eastAsia="en-AU"/>
              </w:rPr>
              <w:t>max</w:t>
            </w:r>
          </w:p>
        </w:tc>
      </w:tr>
      <w:tr w:rsidR="00DF61BC" w:rsidRPr="00C94C33" w14:paraId="1E0A84E7" w14:textId="77777777" w:rsidTr="00650943">
        <w:trPr>
          <w:trHeight w:hRule="exact" w:val="385"/>
        </w:trPr>
        <w:tc>
          <w:tcPr>
            <w:tcW w:w="4481" w:type="dxa"/>
            <w:tcBorders>
              <w:top w:val="single" w:sz="7" w:space="0" w:color="000000"/>
              <w:left w:val="single" w:sz="6" w:space="0" w:color="000000"/>
              <w:bottom w:val="single" w:sz="4" w:space="0" w:color="000000"/>
              <w:right w:val="single" w:sz="6" w:space="0" w:color="000000"/>
            </w:tcBorders>
            <w:shd w:val="clear" w:color="auto" w:fill="auto"/>
          </w:tcPr>
          <w:p w14:paraId="4C8926E9" w14:textId="77777777" w:rsidR="00DF61BC" w:rsidRPr="00C94C33" w:rsidRDefault="00DF61BC" w:rsidP="00DF1424">
            <w:pPr>
              <w:pStyle w:val="TableHeading"/>
              <w:rPr>
                <w:lang w:eastAsia="en-AU"/>
              </w:rPr>
            </w:pPr>
            <w:r w:rsidRPr="00C94C33">
              <w:rPr>
                <w:bCs/>
                <w:lang w:eastAsia="en-AU"/>
              </w:rPr>
              <w:t>FTD</w:t>
            </w:r>
          </w:p>
        </w:tc>
        <w:tc>
          <w:tcPr>
            <w:tcW w:w="2394" w:type="dxa"/>
            <w:tcBorders>
              <w:top w:val="single" w:sz="7" w:space="0" w:color="000000"/>
              <w:left w:val="single" w:sz="6" w:space="0" w:color="000000"/>
              <w:bottom w:val="single" w:sz="4" w:space="0" w:color="000000"/>
              <w:right w:val="single" w:sz="6" w:space="0" w:color="000000"/>
            </w:tcBorders>
            <w:shd w:val="clear" w:color="auto" w:fill="auto"/>
          </w:tcPr>
          <w:p w14:paraId="44A6A537" w14:textId="77777777" w:rsidR="00DF61BC" w:rsidRPr="00C94C33" w:rsidRDefault="00DF61BC" w:rsidP="00DF1424">
            <w:pPr>
              <w:pStyle w:val="TableHeading"/>
              <w:rPr>
                <w:lang w:eastAsia="en-AU"/>
              </w:rPr>
            </w:pPr>
          </w:p>
        </w:tc>
        <w:tc>
          <w:tcPr>
            <w:tcW w:w="2394" w:type="dxa"/>
            <w:tcBorders>
              <w:top w:val="single" w:sz="7" w:space="0" w:color="000000"/>
              <w:left w:val="single" w:sz="6" w:space="0" w:color="000000"/>
              <w:bottom w:val="single" w:sz="4" w:space="0" w:color="000000"/>
              <w:right w:val="single" w:sz="6" w:space="0" w:color="000000"/>
            </w:tcBorders>
            <w:shd w:val="clear" w:color="auto" w:fill="auto"/>
          </w:tcPr>
          <w:p w14:paraId="481D1063" w14:textId="77777777" w:rsidR="00DF61BC" w:rsidRPr="00C94C33" w:rsidRDefault="00DF61BC" w:rsidP="00DF1424">
            <w:pPr>
              <w:pStyle w:val="TableHeading"/>
              <w:rPr>
                <w:lang w:eastAsia="en-AU"/>
              </w:rPr>
            </w:pPr>
          </w:p>
        </w:tc>
      </w:tr>
      <w:tr w:rsidR="00DF61BC" w:rsidRPr="00C94C33" w14:paraId="53CBBCF8" w14:textId="77777777" w:rsidTr="00DF1424">
        <w:trPr>
          <w:trHeight w:hRule="exact" w:val="323"/>
        </w:trPr>
        <w:tc>
          <w:tcPr>
            <w:tcW w:w="4481" w:type="dxa"/>
            <w:tcBorders>
              <w:top w:val="single" w:sz="4" w:space="0" w:color="000000"/>
              <w:left w:val="single" w:sz="6" w:space="0" w:color="000000"/>
              <w:bottom w:val="single" w:sz="4" w:space="0" w:color="000000"/>
              <w:right w:val="single" w:sz="6" w:space="0" w:color="000000"/>
            </w:tcBorders>
            <w:shd w:val="clear" w:color="auto" w:fill="auto"/>
          </w:tcPr>
          <w:p w14:paraId="14994AB7" w14:textId="77777777" w:rsidR="00DF61BC" w:rsidRPr="00C94C33" w:rsidRDefault="00DF61BC" w:rsidP="00DF1424">
            <w:pPr>
              <w:pStyle w:val="Tabletext"/>
              <w:rPr>
                <w:lang w:eastAsia="en-AU"/>
              </w:rPr>
            </w:pPr>
            <w:r w:rsidRPr="00C94C33">
              <w:rPr>
                <w:lang w:eastAsia="en-AU"/>
              </w:rPr>
              <w:t>Between</w:t>
            </w:r>
            <w:r w:rsidRPr="00C94C33">
              <w:rPr>
                <w:spacing w:val="-12"/>
                <w:lang w:eastAsia="en-AU"/>
              </w:rPr>
              <w:t xml:space="preserve"> </w:t>
            </w:r>
            <w:r w:rsidRPr="00C94C33">
              <w:rPr>
                <w:lang w:eastAsia="en-AU"/>
              </w:rPr>
              <w:t>subject</w:t>
            </w:r>
            <w:r w:rsidRPr="00C94C33">
              <w:rPr>
                <w:spacing w:val="-11"/>
                <w:lang w:eastAsia="en-AU"/>
              </w:rPr>
              <w:t xml:space="preserve"> </w:t>
            </w:r>
            <w:r w:rsidRPr="00C94C33">
              <w:rPr>
                <w:lang w:eastAsia="en-AU"/>
              </w:rPr>
              <w:t>(inter-subject)</w:t>
            </w:r>
            <w:r w:rsidRPr="00C94C33">
              <w:rPr>
                <w:spacing w:val="-11"/>
                <w:lang w:eastAsia="en-AU"/>
              </w:rPr>
              <w:t xml:space="preserve"> </w:t>
            </w:r>
            <w:r w:rsidRPr="00C94C33">
              <w:rPr>
                <w:lang w:eastAsia="en-AU"/>
              </w:rPr>
              <w:t>variance</w:t>
            </w:r>
          </w:p>
        </w:tc>
        <w:tc>
          <w:tcPr>
            <w:tcW w:w="2394" w:type="dxa"/>
            <w:tcBorders>
              <w:top w:val="single" w:sz="4" w:space="0" w:color="000000"/>
              <w:left w:val="single" w:sz="6" w:space="0" w:color="000000"/>
              <w:bottom w:val="single" w:sz="4" w:space="0" w:color="000000"/>
              <w:right w:val="single" w:sz="6" w:space="0" w:color="000000"/>
            </w:tcBorders>
            <w:shd w:val="clear" w:color="auto" w:fill="auto"/>
          </w:tcPr>
          <w:p w14:paraId="57D41C2E" w14:textId="77777777" w:rsidR="00DF61BC" w:rsidRPr="00C94C33" w:rsidRDefault="00DF61BC" w:rsidP="00DF1424">
            <w:pPr>
              <w:pStyle w:val="Tabletext"/>
              <w:rPr>
                <w:lang w:eastAsia="en-AU"/>
              </w:rPr>
            </w:pPr>
            <w:r w:rsidRPr="00C94C33">
              <w:rPr>
                <w:spacing w:val="-1"/>
                <w:lang w:eastAsia="en-AU"/>
              </w:rPr>
              <w:t>15563809.7</w:t>
            </w:r>
          </w:p>
        </w:tc>
        <w:tc>
          <w:tcPr>
            <w:tcW w:w="2394" w:type="dxa"/>
            <w:tcBorders>
              <w:top w:val="single" w:sz="4" w:space="0" w:color="000000"/>
              <w:left w:val="single" w:sz="6" w:space="0" w:color="000000"/>
              <w:bottom w:val="single" w:sz="4" w:space="0" w:color="000000"/>
              <w:right w:val="single" w:sz="6" w:space="0" w:color="000000"/>
            </w:tcBorders>
            <w:shd w:val="clear" w:color="auto" w:fill="auto"/>
          </w:tcPr>
          <w:p w14:paraId="7F49F868" w14:textId="77777777" w:rsidR="00DF61BC" w:rsidRPr="00C94C33" w:rsidRDefault="00DF61BC" w:rsidP="00DF1424">
            <w:pPr>
              <w:pStyle w:val="Tabletext"/>
              <w:rPr>
                <w:lang w:eastAsia="en-AU"/>
              </w:rPr>
            </w:pPr>
            <w:r w:rsidRPr="00C94C33">
              <w:rPr>
                <w:spacing w:val="-1"/>
                <w:lang w:eastAsia="en-AU"/>
              </w:rPr>
              <w:t>5200940.8</w:t>
            </w:r>
          </w:p>
        </w:tc>
      </w:tr>
      <w:tr w:rsidR="00DF61BC" w:rsidRPr="00C94C33" w14:paraId="0B124F70" w14:textId="77777777" w:rsidTr="00DF1424">
        <w:trPr>
          <w:trHeight w:hRule="exact" w:val="323"/>
        </w:trPr>
        <w:tc>
          <w:tcPr>
            <w:tcW w:w="4481" w:type="dxa"/>
            <w:tcBorders>
              <w:top w:val="single" w:sz="4" w:space="0" w:color="000000"/>
              <w:left w:val="single" w:sz="6" w:space="0" w:color="000000"/>
              <w:bottom w:val="single" w:sz="4" w:space="0" w:color="000000"/>
              <w:right w:val="single" w:sz="6" w:space="0" w:color="000000"/>
            </w:tcBorders>
            <w:shd w:val="clear" w:color="auto" w:fill="auto"/>
          </w:tcPr>
          <w:p w14:paraId="4A1D546E" w14:textId="77777777" w:rsidR="00DF61BC" w:rsidRPr="00C94C33" w:rsidRDefault="00DF61BC" w:rsidP="00DF1424">
            <w:pPr>
              <w:pStyle w:val="Tabletext"/>
              <w:rPr>
                <w:lang w:eastAsia="en-AU"/>
              </w:rPr>
            </w:pPr>
            <w:r w:rsidRPr="00C94C33">
              <w:rPr>
                <w:lang w:eastAsia="en-AU"/>
              </w:rPr>
              <w:t>Within</w:t>
            </w:r>
            <w:r w:rsidRPr="00C94C33">
              <w:rPr>
                <w:spacing w:val="-11"/>
                <w:lang w:eastAsia="en-AU"/>
              </w:rPr>
              <w:t xml:space="preserve"> </w:t>
            </w:r>
            <w:r w:rsidRPr="00C94C33">
              <w:rPr>
                <w:spacing w:val="-1"/>
                <w:lang w:eastAsia="en-AU"/>
              </w:rPr>
              <w:t>subject</w:t>
            </w:r>
            <w:r w:rsidRPr="00C94C33">
              <w:rPr>
                <w:spacing w:val="-11"/>
                <w:lang w:eastAsia="en-AU"/>
              </w:rPr>
              <w:t xml:space="preserve"> </w:t>
            </w:r>
            <w:r w:rsidRPr="00C94C33">
              <w:rPr>
                <w:lang w:eastAsia="en-AU"/>
              </w:rPr>
              <w:t>(intra-subject)</w:t>
            </w:r>
            <w:r w:rsidRPr="00C94C33">
              <w:rPr>
                <w:spacing w:val="-11"/>
                <w:lang w:eastAsia="en-AU"/>
              </w:rPr>
              <w:t xml:space="preserve"> </w:t>
            </w:r>
            <w:r w:rsidRPr="00C94C33">
              <w:rPr>
                <w:lang w:eastAsia="en-AU"/>
              </w:rPr>
              <w:t>variance</w:t>
            </w:r>
          </w:p>
        </w:tc>
        <w:tc>
          <w:tcPr>
            <w:tcW w:w="2394" w:type="dxa"/>
            <w:tcBorders>
              <w:top w:val="single" w:sz="4" w:space="0" w:color="000000"/>
              <w:left w:val="single" w:sz="6" w:space="0" w:color="000000"/>
              <w:bottom w:val="single" w:sz="4" w:space="0" w:color="000000"/>
              <w:right w:val="single" w:sz="6" w:space="0" w:color="000000"/>
            </w:tcBorders>
            <w:shd w:val="clear" w:color="auto" w:fill="auto"/>
          </w:tcPr>
          <w:p w14:paraId="623CCDBC" w14:textId="77777777" w:rsidR="00DF61BC" w:rsidRPr="00C94C33" w:rsidRDefault="00DF61BC" w:rsidP="00DF1424">
            <w:pPr>
              <w:pStyle w:val="Tabletext"/>
              <w:rPr>
                <w:lang w:eastAsia="en-AU"/>
              </w:rPr>
            </w:pPr>
            <w:r w:rsidRPr="00C94C33">
              <w:rPr>
                <w:spacing w:val="-1"/>
                <w:lang w:eastAsia="en-AU"/>
              </w:rPr>
              <w:t>1126848.2</w:t>
            </w:r>
          </w:p>
        </w:tc>
        <w:tc>
          <w:tcPr>
            <w:tcW w:w="2394" w:type="dxa"/>
            <w:tcBorders>
              <w:top w:val="single" w:sz="4" w:space="0" w:color="000000"/>
              <w:left w:val="single" w:sz="6" w:space="0" w:color="000000"/>
              <w:bottom w:val="single" w:sz="4" w:space="0" w:color="000000"/>
              <w:right w:val="single" w:sz="6" w:space="0" w:color="000000"/>
            </w:tcBorders>
            <w:shd w:val="clear" w:color="auto" w:fill="auto"/>
          </w:tcPr>
          <w:p w14:paraId="51AD93F7" w14:textId="77777777" w:rsidR="00DF61BC" w:rsidRPr="00C94C33" w:rsidRDefault="00DF61BC" w:rsidP="00DF1424">
            <w:pPr>
              <w:pStyle w:val="Tabletext"/>
              <w:rPr>
                <w:lang w:eastAsia="en-AU"/>
              </w:rPr>
            </w:pPr>
            <w:r w:rsidRPr="00C94C33">
              <w:rPr>
                <w:spacing w:val="-1"/>
                <w:lang w:eastAsia="en-AU"/>
              </w:rPr>
              <w:t>808638.0</w:t>
            </w:r>
          </w:p>
        </w:tc>
      </w:tr>
      <w:tr w:rsidR="00DF61BC" w:rsidRPr="00C94C33" w14:paraId="502F0479" w14:textId="77777777" w:rsidTr="00DF1424">
        <w:trPr>
          <w:trHeight w:hRule="exact" w:val="323"/>
        </w:trPr>
        <w:tc>
          <w:tcPr>
            <w:tcW w:w="4481" w:type="dxa"/>
            <w:tcBorders>
              <w:top w:val="single" w:sz="4" w:space="0" w:color="000000"/>
              <w:left w:val="single" w:sz="6" w:space="0" w:color="000000"/>
              <w:bottom w:val="single" w:sz="4" w:space="0" w:color="000000"/>
              <w:right w:val="single" w:sz="6" w:space="0" w:color="000000"/>
            </w:tcBorders>
            <w:shd w:val="clear" w:color="auto" w:fill="auto"/>
          </w:tcPr>
          <w:p w14:paraId="587E33F5" w14:textId="77777777" w:rsidR="00DF61BC" w:rsidRPr="00C94C33" w:rsidRDefault="00DF61BC" w:rsidP="00DF1424">
            <w:pPr>
              <w:pStyle w:val="Tabletext"/>
              <w:rPr>
                <w:lang w:eastAsia="en-AU"/>
              </w:rPr>
            </w:pPr>
            <w:r w:rsidRPr="00C94C33">
              <w:rPr>
                <w:spacing w:val="-1"/>
                <w:lang w:eastAsia="en-AU"/>
              </w:rPr>
              <w:t>Geometric</w:t>
            </w:r>
            <w:r w:rsidRPr="00C94C33">
              <w:rPr>
                <w:spacing w:val="-14"/>
                <w:lang w:eastAsia="en-AU"/>
              </w:rPr>
              <w:t xml:space="preserve"> </w:t>
            </w:r>
            <w:r w:rsidRPr="00C94C33">
              <w:rPr>
                <w:lang w:eastAsia="en-AU"/>
              </w:rPr>
              <w:t>mean</w:t>
            </w:r>
          </w:p>
        </w:tc>
        <w:tc>
          <w:tcPr>
            <w:tcW w:w="2394" w:type="dxa"/>
            <w:tcBorders>
              <w:top w:val="single" w:sz="4" w:space="0" w:color="000000"/>
              <w:left w:val="single" w:sz="6" w:space="0" w:color="000000"/>
              <w:bottom w:val="single" w:sz="4" w:space="0" w:color="000000"/>
              <w:right w:val="single" w:sz="6" w:space="0" w:color="000000"/>
            </w:tcBorders>
            <w:shd w:val="clear" w:color="auto" w:fill="auto"/>
          </w:tcPr>
          <w:p w14:paraId="7C9C27A6" w14:textId="77777777" w:rsidR="00DF61BC" w:rsidRPr="00C94C33" w:rsidRDefault="00DF61BC" w:rsidP="00DF1424">
            <w:pPr>
              <w:pStyle w:val="Tabletext"/>
              <w:rPr>
                <w:lang w:eastAsia="en-AU"/>
              </w:rPr>
            </w:pPr>
            <w:r w:rsidRPr="00C94C33">
              <w:rPr>
                <w:spacing w:val="-1"/>
                <w:lang w:eastAsia="en-AU"/>
              </w:rPr>
              <w:t>6482.7</w:t>
            </w:r>
          </w:p>
        </w:tc>
        <w:tc>
          <w:tcPr>
            <w:tcW w:w="2394" w:type="dxa"/>
            <w:tcBorders>
              <w:top w:val="single" w:sz="4" w:space="0" w:color="000000"/>
              <w:left w:val="single" w:sz="6" w:space="0" w:color="000000"/>
              <w:bottom w:val="single" w:sz="4" w:space="0" w:color="000000"/>
              <w:right w:val="single" w:sz="6" w:space="0" w:color="000000"/>
            </w:tcBorders>
            <w:shd w:val="clear" w:color="auto" w:fill="auto"/>
          </w:tcPr>
          <w:p w14:paraId="0DAA0FDB" w14:textId="77777777" w:rsidR="00DF61BC" w:rsidRPr="00C94C33" w:rsidRDefault="00DF61BC" w:rsidP="00DF1424">
            <w:pPr>
              <w:pStyle w:val="Tabletext"/>
              <w:rPr>
                <w:lang w:eastAsia="en-AU"/>
              </w:rPr>
            </w:pPr>
            <w:r w:rsidRPr="00C94C33">
              <w:rPr>
                <w:spacing w:val="-1"/>
                <w:lang w:eastAsia="en-AU"/>
              </w:rPr>
              <w:t>3547.1</w:t>
            </w:r>
          </w:p>
        </w:tc>
      </w:tr>
      <w:tr w:rsidR="00DF61BC" w:rsidRPr="00C94C33" w14:paraId="2664144D" w14:textId="77777777" w:rsidTr="00DF1424">
        <w:trPr>
          <w:trHeight w:hRule="exact" w:val="324"/>
        </w:trPr>
        <w:tc>
          <w:tcPr>
            <w:tcW w:w="4481" w:type="dxa"/>
            <w:tcBorders>
              <w:top w:val="single" w:sz="4" w:space="0" w:color="000000"/>
              <w:left w:val="single" w:sz="6" w:space="0" w:color="000000"/>
              <w:bottom w:val="single" w:sz="4" w:space="0" w:color="000000"/>
              <w:right w:val="single" w:sz="6" w:space="0" w:color="000000"/>
            </w:tcBorders>
            <w:shd w:val="clear" w:color="auto" w:fill="auto"/>
          </w:tcPr>
          <w:p w14:paraId="36CB6D79" w14:textId="77777777" w:rsidR="00DF61BC" w:rsidRPr="00C94C33" w:rsidRDefault="00DF61BC" w:rsidP="00DF1424">
            <w:pPr>
              <w:pStyle w:val="Tabletext"/>
              <w:rPr>
                <w:lang w:eastAsia="en-AU"/>
              </w:rPr>
            </w:pPr>
            <w:r w:rsidRPr="00C94C33">
              <w:rPr>
                <w:lang w:eastAsia="en-AU"/>
              </w:rPr>
              <w:t>Inter-subject</w:t>
            </w:r>
            <w:r w:rsidRPr="00C94C33">
              <w:rPr>
                <w:spacing w:val="-18"/>
                <w:lang w:eastAsia="en-AU"/>
              </w:rPr>
              <w:t xml:space="preserve"> </w:t>
            </w:r>
            <w:r w:rsidRPr="00C94C33">
              <w:rPr>
                <w:spacing w:val="-1"/>
                <w:lang w:eastAsia="en-AU"/>
              </w:rPr>
              <w:t>CV(%)</w:t>
            </w:r>
          </w:p>
        </w:tc>
        <w:tc>
          <w:tcPr>
            <w:tcW w:w="2394" w:type="dxa"/>
            <w:tcBorders>
              <w:top w:val="single" w:sz="4" w:space="0" w:color="000000"/>
              <w:left w:val="single" w:sz="6" w:space="0" w:color="000000"/>
              <w:bottom w:val="single" w:sz="4" w:space="0" w:color="000000"/>
              <w:right w:val="single" w:sz="6" w:space="0" w:color="000000"/>
            </w:tcBorders>
            <w:shd w:val="clear" w:color="auto" w:fill="auto"/>
          </w:tcPr>
          <w:p w14:paraId="35339ACB" w14:textId="77777777" w:rsidR="00DF61BC" w:rsidRPr="00C94C33" w:rsidRDefault="00DF61BC" w:rsidP="00DF1424">
            <w:pPr>
              <w:pStyle w:val="Tabletext"/>
              <w:rPr>
                <w:lang w:eastAsia="en-AU"/>
              </w:rPr>
            </w:pPr>
            <w:r w:rsidRPr="00C94C33">
              <w:rPr>
                <w:lang w:eastAsia="en-AU"/>
              </w:rPr>
              <w:t>60.9</w:t>
            </w:r>
          </w:p>
        </w:tc>
        <w:tc>
          <w:tcPr>
            <w:tcW w:w="2394" w:type="dxa"/>
            <w:tcBorders>
              <w:top w:val="single" w:sz="4" w:space="0" w:color="000000"/>
              <w:left w:val="single" w:sz="6" w:space="0" w:color="000000"/>
              <w:bottom w:val="single" w:sz="4" w:space="0" w:color="000000"/>
              <w:right w:val="single" w:sz="6" w:space="0" w:color="000000"/>
            </w:tcBorders>
            <w:shd w:val="clear" w:color="auto" w:fill="auto"/>
          </w:tcPr>
          <w:p w14:paraId="17C61D70" w14:textId="77777777" w:rsidR="00DF61BC" w:rsidRPr="00C94C33" w:rsidRDefault="00DF61BC" w:rsidP="00DF1424">
            <w:pPr>
              <w:pStyle w:val="Tabletext"/>
              <w:rPr>
                <w:lang w:eastAsia="en-AU"/>
              </w:rPr>
            </w:pPr>
            <w:r w:rsidRPr="00C94C33">
              <w:rPr>
                <w:lang w:eastAsia="en-AU"/>
              </w:rPr>
              <w:t>64.3</w:t>
            </w:r>
          </w:p>
        </w:tc>
      </w:tr>
      <w:tr w:rsidR="00DF61BC" w:rsidRPr="00C94C33" w14:paraId="1B3A5C87" w14:textId="77777777" w:rsidTr="00DF1424">
        <w:trPr>
          <w:trHeight w:hRule="exact" w:val="323"/>
        </w:trPr>
        <w:tc>
          <w:tcPr>
            <w:tcW w:w="4481" w:type="dxa"/>
            <w:tcBorders>
              <w:top w:val="single" w:sz="4" w:space="0" w:color="000000"/>
              <w:left w:val="single" w:sz="6" w:space="0" w:color="000000"/>
              <w:bottom w:val="single" w:sz="4" w:space="0" w:color="000000"/>
              <w:right w:val="single" w:sz="6" w:space="0" w:color="000000"/>
            </w:tcBorders>
            <w:shd w:val="clear" w:color="auto" w:fill="auto"/>
          </w:tcPr>
          <w:p w14:paraId="686B93CE" w14:textId="77777777" w:rsidR="00DF61BC" w:rsidRPr="00C94C33" w:rsidRDefault="00DF61BC" w:rsidP="00DF1424">
            <w:pPr>
              <w:pStyle w:val="Tabletext"/>
              <w:rPr>
                <w:lang w:eastAsia="en-AU"/>
              </w:rPr>
            </w:pPr>
            <w:r w:rsidRPr="00C94C33">
              <w:rPr>
                <w:lang w:eastAsia="en-AU"/>
              </w:rPr>
              <w:t>Intra-subject</w:t>
            </w:r>
            <w:r w:rsidRPr="00C94C33">
              <w:rPr>
                <w:spacing w:val="-18"/>
                <w:lang w:eastAsia="en-AU"/>
              </w:rPr>
              <w:t xml:space="preserve"> </w:t>
            </w:r>
            <w:r w:rsidRPr="00C94C33">
              <w:rPr>
                <w:spacing w:val="-1"/>
                <w:lang w:eastAsia="en-AU"/>
              </w:rPr>
              <w:t>CV(%)</w:t>
            </w:r>
          </w:p>
        </w:tc>
        <w:tc>
          <w:tcPr>
            <w:tcW w:w="2394" w:type="dxa"/>
            <w:tcBorders>
              <w:top w:val="single" w:sz="4" w:space="0" w:color="000000"/>
              <w:left w:val="single" w:sz="6" w:space="0" w:color="000000"/>
              <w:bottom w:val="single" w:sz="4" w:space="0" w:color="000000"/>
              <w:right w:val="single" w:sz="6" w:space="0" w:color="000000"/>
            </w:tcBorders>
            <w:shd w:val="clear" w:color="auto" w:fill="auto"/>
          </w:tcPr>
          <w:p w14:paraId="02122AC5" w14:textId="77777777" w:rsidR="00DF61BC" w:rsidRPr="00C94C33" w:rsidRDefault="00DF61BC" w:rsidP="00DF1424">
            <w:pPr>
              <w:pStyle w:val="Tabletext"/>
              <w:rPr>
                <w:lang w:eastAsia="en-AU"/>
              </w:rPr>
            </w:pPr>
            <w:r w:rsidRPr="00C94C33">
              <w:rPr>
                <w:lang w:eastAsia="en-AU"/>
              </w:rPr>
              <w:t>16.4</w:t>
            </w:r>
          </w:p>
        </w:tc>
        <w:tc>
          <w:tcPr>
            <w:tcW w:w="2394" w:type="dxa"/>
            <w:tcBorders>
              <w:top w:val="single" w:sz="4" w:space="0" w:color="000000"/>
              <w:left w:val="single" w:sz="6" w:space="0" w:color="000000"/>
              <w:bottom w:val="single" w:sz="4" w:space="0" w:color="000000"/>
              <w:right w:val="single" w:sz="6" w:space="0" w:color="000000"/>
            </w:tcBorders>
            <w:shd w:val="clear" w:color="auto" w:fill="auto"/>
          </w:tcPr>
          <w:p w14:paraId="0DFF6E62" w14:textId="77777777" w:rsidR="00DF61BC" w:rsidRPr="00C94C33" w:rsidRDefault="00DF61BC" w:rsidP="00DF1424">
            <w:pPr>
              <w:pStyle w:val="Tabletext"/>
              <w:rPr>
                <w:lang w:eastAsia="en-AU"/>
              </w:rPr>
            </w:pPr>
            <w:r w:rsidRPr="00C94C33">
              <w:rPr>
                <w:lang w:eastAsia="en-AU"/>
              </w:rPr>
              <w:t>25.4</w:t>
            </w:r>
          </w:p>
        </w:tc>
      </w:tr>
      <w:tr w:rsidR="00DF61BC" w:rsidRPr="00C94C33" w14:paraId="06B8F554" w14:textId="77777777" w:rsidTr="00650943">
        <w:trPr>
          <w:trHeight w:hRule="exact" w:val="323"/>
        </w:trPr>
        <w:tc>
          <w:tcPr>
            <w:tcW w:w="4481" w:type="dxa"/>
            <w:tcBorders>
              <w:top w:val="single" w:sz="4" w:space="0" w:color="000000"/>
              <w:left w:val="single" w:sz="6" w:space="0" w:color="000000"/>
              <w:bottom w:val="single" w:sz="4" w:space="0" w:color="000000"/>
              <w:right w:val="single" w:sz="6" w:space="0" w:color="000000"/>
            </w:tcBorders>
            <w:shd w:val="clear" w:color="auto" w:fill="auto"/>
          </w:tcPr>
          <w:p w14:paraId="28FC76FE" w14:textId="77777777" w:rsidR="00DF61BC" w:rsidRPr="00C94C33" w:rsidRDefault="00DF61BC" w:rsidP="00DF1424">
            <w:pPr>
              <w:pStyle w:val="TableHeading"/>
              <w:rPr>
                <w:lang w:eastAsia="en-AU"/>
              </w:rPr>
            </w:pPr>
            <w:r w:rsidRPr="00C94C33">
              <w:rPr>
                <w:lang w:eastAsia="en-AU"/>
              </w:rPr>
              <w:lastRenderedPageBreak/>
              <w:t>TPI</w:t>
            </w:r>
          </w:p>
        </w:tc>
        <w:tc>
          <w:tcPr>
            <w:tcW w:w="2394" w:type="dxa"/>
            <w:tcBorders>
              <w:top w:val="single" w:sz="4" w:space="0" w:color="000000"/>
              <w:left w:val="single" w:sz="6" w:space="0" w:color="000000"/>
              <w:bottom w:val="single" w:sz="4" w:space="0" w:color="000000"/>
              <w:right w:val="single" w:sz="6" w:space="0" w:color="000000"/>
            </w:tcBorders>
            <w:shd w:val="clear" w:color="auto" w:fill="auto"/>
          </w:tcPr>
          <w:p w14:paraId="786DC0D7" w14:textId="77777777" w:rsidR="00DF61BC" w:rsidRPr="00C94C33" w:rsidRDefault="00DF61BC" w:rsidP="00DF1424">
            <w:pPr>
              <w:pStyle w:val="TableHeading"/>
              <w:rPr>
                <w:lang w:eastAsia="en-AU"/>
              </w:rPr>
            </w:pPr>
          </w:p>
        </w:tc>
        <w:tc>
          <w:tcPr>
            <w:tcW w:w="2394" w:type="dxa"/>
            <w:tcBorders>
              <w:top w:val="single" w:sz="4" w:space="0" w:color="000000"/>
              <w:left w:val="single" w:sz="6" w:space="0" w:color="000000"/>
              <w:bottom w:val="single" w:sz="4" w:space="0" w:color="000000"/>
              <w:right w:val="single" w:sz="6" w:space="0" w:color="000000"/>
            </w:tcBorders>
            <w:shd w:val="clear" w:color="auto" w:fill="auto"/>
          </w:tcPr>
          <w:p w14:paraId="258BFEC1" w14:textId="77777777" w:rsidR="00DF61BC" w:rsidRPr="00C94C33" w:rsidRDefault="00DF61BC" w:rsidP="00DF1424">
            <w:pPr>
              <w:pStyle w:val="TableHeading"/>
              <w:rPr>
                <w:lang w:eastAsia="en-AU"/>
              </w:rPr>
            </w:pPr>
          </w:p>
        </w:tc>
      </w:tr>
      <w:tr w:rsidR="00DF61BC" w:rsidRPr="00DF1424" w14:paraId="17F836EE" w14:textId="77777777" w:rsidTr="00650943">
        <w:trPr>
          <w:trHeight w:hRule="exact" w:val="323"/>
        </w:trPr>
        <w:tc>
          <w:tcPr>
            <w:tcW w:w="4481" w:type="dxa"/>
            <w:tcBorders>
              <w:top w:val="single" w:sz="4" w:space="0" w:color="000000"/>
              <w:left w:val="single" w:sz="6" w:space="0" w:color="000000"/>
              <w:bottom w:val="single" w:sz="4" w:space="0" w:color="000000"/>
              <w:right w:val="single" w:sz="6" w:space="0" w:color="000000"/>
            </w:tcBorders>
            <w:shd w:val="clear" w:color="auto" w:fill="auto"/>
          </w:tcPr>
          <w:p w14:paraId="00A84860" w14:textId="77777777" w:rsidR="00DF61BC" w:rsidRPr="00DF1424" w:rsidRDefault="00DF61BC" w:rsidP="00DF1424">
            <w:pPr>
              <w:pStyle w:val="Tabletext"/>
            </w:pPr>
            <w:r w:rsidRPr="00DF1424">
              <w:t>Between subject (inter-subject) variance</w:t>
            </w:r>
          </w:p>
        </w:tc>
        <w:tc>
          <w:tcPr>
            <w:tcW w:w="2394" w:type="dxa"/>
            <w:tcBorders>
              <w:top w:val="single" w:sz="4" w:space="0" w:color="000000"/>
              <w:left w:val="single" w:sz="6" w:space="0" w:color="000000"/>
              <w:bottom w:val="single" w:sz="4" w:space="0" w:color="000000"/>
              <w:right w:val="single" w:sz="6" w:space="0" w:color="000000"/>
            </w:tcBorders>
            <w:shd w:val="clear" w:color="auto" w:fill="auto"/>
          </w:tcPr>
          <w:p w14:paraId="52ED2879" w14:textId="77777777" w:rsidR="00DF61BC" w:rsidRPr="00DF1424" w:rsidRDefault="00DF61BC" w:rsidP="00DF1424">
            <w:pPr>
              <w:pStyle w:val="Tabletext"/>
            </w:pPr>
            <w:r w:rsidRPr="00DF1424">
              <w:t>53301.4</w:t>
            </w:r>
          </w:p>
        </w:tc>
        <w:tc>
          <w:tcPr>
            <w:tcW w:w="2394" w:type="dxa"/>
            <w:tcBorders>
              <w:top w:val="single" w:sz="4" w:space="0" w:color="000000"/>
              <w:left w:val="single" w:sz="6" w:space="0" w:color="000000"/>
              <w:bottom w:val="single" w:sz="4" w:space="0" w:color="000000"/>
              <w:right w:val="single" w:sz="6" w:space="0" w:color="000000"/>
            </w:tcBorders>
            <w:shd w:val="clear" w:color="auto" w:fill="auto"/>
          </w:tcPr>
          <w:p w14:paraId="6F367A21" w14:textId="77777777" w:rsidR="00DF61BC" w:rsidRPr="00DF1424" w:rsidRDefault="00DF61BC" w:rsidP="00DF1424">
            <w:pPr>
              <w:pStyle w:val="Tabletext"/>
            </w:pPr>
            <w:r w:rsidRPr="00DF1424">
              <w:t>3225.5</w:t>
            </w:r>
          </w:p>
        </w:tc>
      </w:tr>
      <w:tr w:rsidR="00DF61BC" w:rsidRPr="00DF1424" w14:paraId="3D7769CC" w14:textId="77777777" w:rsidTr="00650943">
        <w:trPr>
          <w:trHeight w:hRule="exact" w:val="323"/>
        </w:trPr>
        <w:tc>
          <w:tcPr>
            <w:tcW w:w="4481" w:type="dxa"/>
            <w:tcBorders>
              <w:top w:val="single" w:sz="4" w:space="0" w:color="000000"/>
              <w:left w:val="single" w:sz="6" w:space="0" w:color="000000"/>
              <w:bottom w:val="single" w:sz="4" w:space="0" w:color="000000"/>
              <w:right w:val="single" w:sz="6" w:space="0" w:color="000000"/>
            </w:tcBorders>
            <w:shd w:val="clear" w:color="auto" w:fill="auto"/>
          </w:tcPr>
          <w:p w14:paraId="28601484" w14:textId="77777777" w:rsidR="00DF61BC" w:rsidRPr="00DF1424" w:rsidRDefault="00DF61BC" w:rsidP="00DF1424">
            <w:pPr>
              <w:pStyle w:val="Tabletext"/>
            </w:pPr>
            <w:r w:rsidRPr="00DF1424">
              <w:t>Within subject (intra-subject) variance</w:t>
            </w:r>
          </w:p>
        </w:tc>
        <w:tc>
          <w:tcPr>
            <w:tcW w:w="2394" w:type="dxa"/>
            <w:tcBorders>
              <w:top w:val="single" w:sz="4" w:space="0" w:color="000000"/>
              <w:left w:val="single" w:sz="6" w:space="0" w:color="000000"/>
              <w:bottom w:val="single" w:sz="4" w:space="0" w:color="000000"/>
              <w:right w:val="single" w:sz="6" w:space="0" w:color="000000"/>
            </w:tcBorders>
            <w:shd w:val="clear" w:color="auto" w:fill="auto"/>
          </w:tcPr>
          <w:p w14:paraId="08FFCD72" w14:textId="77777777" w:rsidR="00DF61BC" w:rsidRPr="00DF1424" w:rsidRDefault="00DF61BC" w:rsidP="00DF1424">
            <w:pPr>
              <w:pStyle w:val="Tabletext"/>
            </w:pPr>
            <w:r w:rsidRPr="00DF1424">
              <w:t>15124.3</w:t>
            </w:r>
          </w:p>
        </w:tc>
        <w:tc>
          <w:tcPr>
            <w:tcW w:w="2394" w:type="dxa"/>
            <w:tcBorders>
              <w:top w:val="single" w:sz="4" w:space="0" w:color="000000"/>
              <w:left w:val="single" w:sz="6" w:space="0" w:color="000000"/>
              <w:bottom w:val="single" w:sz="4" w:space="0" w:color="000000"/>
              <w:right w:val="single" w:sz="6" w:space="0" w:color="000000"/>
            </w:tcBorders>
            <w:shd w:val="clear" w:color="auto" w:fill="auto"/>
          </w:tcPr>
          <w:p w14:paraId="58793873" w14:textId="77777777" w:rsidR="00DF61BC" w:rsidRPr="00DF1424" w:rsidRDefault="00DF61BC" w:rsidP="00DF1424">
            <w:pPr>
              <w:pStyle w:val="Tabletext"/>
            </w:pPr>
            <w:r w:rsidRPr="00DF1424">
              <w:t>1212.6</w:t>
            </w:r>
          </w:p>
        </w:tc>
      </w:tr>
      <w:tr w:rsidR="00DF61BC" w:rsidRPr="00DF1424" w14:paraId="5CA476DF" w14:textId="77777777" w:rsidTr="00650943">
        <w:trPr>
          <w:trHeight w:hRule="exact" w:val="323"/>
        </w:trPr>
        <w:tc>
          <w:tcPr>
            <w:tcW w:w="4481" w:type="dxa"/>
            <w:tcBorders>
              <w:top w:val="single" w:sz="4" w:space="0" w:color="000000"/>
              <w:left w:val="single" w:sz="6" w:space="0" w:color="000000"/>
              <w:bottom w:val="single" w:sz="4" w:space="0" w:color="000000"/>
              <w:right w:val="single" w:sz="6" w:space="0" w:color="000000"/>
            </w:tcBorders>
            <w:shd w:val="clear" w:color="auto" w:fill="auto"/>
          </w:tcPr>
          <w:p w14:paraId="29227EAB" w14:textId="77777777" w:rsidR="00DF61BC" w:rsidRPr="00DF1424" w:rsidRDefault="00DF61BC" w:rsidP="00DF1424">
            <w:pPr>
              <w:pStyle w:val="Tabletext"/>
            </w:pPr>
            <w:r w:rsidRPr="00DF1424">
              <w:t>Geometric mean</w:t>
            </w:r>
          </w:p>
        </w:tc>
        <w:tc>
          <w:tcPr>
            <w:tcW w:w="2394" w:type="dxa"/>
            <w:tcBorders>
              <w:top w:val="single" w:sz="4" w:space="0" w:color="000000"/>
              <w:left w:val="single" w:sz="6" w:space="0" w:color="000000"/>
              <w:bottom w:val="single" w:sz="4" w:space="0" w:color="000000"/>
              <w:right w:val="single" w:sz="6" w:space="0" w:color="000000"/>
            </w:tcBorders>
            <w:shd w:val="clear" w:color="auto" w:fill="auto"/>
          </w:tcPr>
          <w:p w14:paraId="2B622B82" w14:textId="77777777" w:rsidR="00DF61BC" w:rsidRPr="00DF1424" w:rsidRDefault="00DF61BC" w:rsidP="00DF1424">
            <w:pPr>
              <w:pStyle w:val="Tabletext"/>
            </w:pPr>
            <w:r w:rsidRPr="00DF1424">
              <w:t>425.4</w:t>
            </w:r>
          </w:p>
        </w:tc>
        <w:tc>
          <w:tcPr>
            <w:tcW w:w="2394" w:type="dxa"/>
            <w:tcBorders>
              <w:top w:val="single" w:sz="4" w:space="0" w:color="000000"/>
              <w:left w:val="single" w:sz="6" w:space="0" w:color="000000"/>
              <w:bottom w:val="single" w:sz="4" w:space="0" w:color="000000"/>
              <w:right w:val="single" w:sz="6" w:space="0" w:color="000000"/>
            </w:tcBorders>
            <w:shd w:val="clear" w:color="auto" w:fill="auto"/>
          </w:tcPr>
          <w:p w14:paraId="702BD558" w14:textId="77777777" w:rsidR="00DF61BC" w:rsidRPr="00DF1424" w:rsidRDefault="00DF61BC" w:rsidP="00DF1424">
            <w:pPr>
              <w:pStyle w:val="Tabletext"/>
            </w:pPr>
            <w:r w:rsidRPr="00DF1424">
              <w:t>96.8</w:t>
            </w:r>
          </w:p>
        </w:tc>
      </w:tr>
      <w:tr w:rsidR="00DF61BC" w:rsidRPr="00DF1424" w14:paraId="3E103D1A" w14:textId="77777777" w:rsidTr="00650943">
        <w:trPr>
          <w:trHeight w:hRule="exact" w:val="323"/>
        </w:trPr>
        <w:tc>
          <w:tcPr>
            <w:tcW w:w="4481" w:type="dxa"/>
            <w:tcBorders>
              <w:top w:val="single" w:sz="4" w:space="0" w:color="000000"/>
              <w:left w:val="single" w:sz="6" w:space="0" w:color="000000"/>
              <w:bottom w:val="single" w:sz="4" w:space="0" w:color="000000"/>
              <w:right w:val="single" w:sz="6" w:space="0" w:color="000000"/>
            </w:tcBorders>
            <w:shd w:val="clear" w:color="auto" w:fill="auto"/>
          </w:tcPr>
          <w:p w14:paraId="2C71240D" w14:textId="77777777" w:rsidR="00DF61BC" w:rsidRPr="00DF1424" w:rsidRDefault="00DF61BC" w:rsidP="00DF1424">
            <w:pPr>
              <w:pStyle w:val="Tabletext"/>
            </w:pPr>
            <w:r w:rsidRPr="00DF1424">
              <w:t>Inter-subject CV(%)</w:t>
            </w:r>
          </w:p>
        </w:tc>
        <w:tc>
          <w:tcPr>
            <w:tcW w:w="2394" w:type="dxa"/>
            <w:tcBorders>
              <w:top w:val="single" w:sz="4" w:space="0" w:color="000000"/>
              <w:left w:val="single" w:sz="6" w:space="0" w:color="000000"/>
              <w:bottom w:val="single" w:sz="4" w:space="0" w:color="000000"/>
              <w:right w:val="single" w:sz="6" w:space="0" w:color="000000"/>
            </w:tcBorders>
            <w:shd w:val="clear" w:color="auto" w:fill="auto"/>
          </w:tcPr>
          <w:p w14:paraId="0B80D4CD" w14:textId="77777777" w:rsidR="00DF61BC" w:rsidRPr="00DF1424" w:rsidRDefault="00DF61BC" w:rsidP="00DF1424">
            <w:pPr>
              <w:pStyle w:val="Tabletext"/>
            </w:pPr>
            <w:r w:rsidRPr="00DF1424">
              <w:t>54.3</w:t>
            </w:r>
          </w:p>
        </w:tc>
        <w:tc>
          <w:tcPr>
            <w:tcW w:w="2394" w:type="dxa"/>
            <w:tcBorders>
              <w:top w:val="single" w:sz="4" w:space="0" w:color="000000"/>
              <w:left w:val="single" w:sz="6" w:space="0" w:color="000000"/>
              <w:bottom w:val="single" w:sz="4" w:space="0" w:color="000000"/>
              <w:right w:val="single" w:sz="6" w:space="0" w:color="000000"/>
            </w:tcBorders>
            <w:shd w:val="clear" w:color="auto" w:fill="auto"/>
          </w:tcPr>
          <w:p w14:paraId="68707A49" w14:textId="77777777" w:rsidR="00DF61BC" w:rsidRPr="00DF1424" w:rsidRDefault="00DF61BC" w:rsidP="00DF1424">
            <w:pPr>
              <w:pStyle w:val="Tabletext"/>
            </w:pPr>
            <w:r w:rsidRPr="00DF1424">
              <w:t>58.6</w:t>
            </w:r>
          </w:p>
        </w:tc>
      </w:tr>
      <w:tr w:rsidR="00DF61BC" w:rsidRPr="00DF1424" w14:paraId="70F41E0E" w14:textId="77777777" w:rsidTr="00650943">
        <w:trPr>
          <w:trHeight w:hRule="exact" w:val="325"/>
        </w:trPr>
        <w:tc>
          <w:tcPr>
            <w:tcW w:w="4481" w:type="dxa"/>
            <w:tcBorders>
              <w:top w:val="single" w:sz="4" w:space="0" w:color="000000"/>
              <w:left w:val="single" w:sz="6" w:space="0" w:color="000000"/>
              <w:bottom w:val="single" w:sz="6" w:space="0" w:color="000000"/>
              <w:right w:val="single" w:sz="6" w:space="0" w:color="000000"/>
            </w:tcBorders>
            <w:shd w:val="clear" w:color="auto" w:fill="auto"/>
          </w:tcPr>
          <w:p w14:paraId="1004EE95" w14:textId="77777777" w:rsidR="00DF61BC" w:rsidRPr="00DF1424" w:rsidRDefault="00DF61BC" w:rsidP="00DF1424">
            <w:pPr>
              <w:pStyle w:val="Tabletext"/>
            </w:pPr>
            <w:r w:rsidRPr="00DF1424">
              <w:t>Intra-subject CV(%)</w:t>
            </w:r>
          </w:p>
        </w:tc>
        <w:tc>
          <w:tcPr>
            <w:tcW w:w="2394" w:type="dxa"/>
            <w:tcBorders>
              <w:top w:val="single" w:sz="4" w:space="0" w:color="000000"/>
              <w:left w:val="single" w:sz="6" w:space="0" w:color="000000"/>
              <w:bottom w:val="single" w:sz="6" w:space="0" w:color="000000"/>
              <w:right w:val="single" w:sz="6" w:space="0" w:color="000000"/>
            </w:tcBorders>
            <w:shd w:val="clear" w:color="auto" w:fill="auto"/>
          </w:tcPr>
          <w:p w14:paraId="28417F54" w14:textId="77777777" w:rsidR="00DF61BC" w:rsidRPr="00DF1424" w:rsidRDefault="00DF61BC" w:rsidP="00DF1424">
            <w:pPr>
              <w:pStyle w:val="Tabletext"/>
            </w:pPr>
            <w:r w:rsidRPr="00DF1424">
              <w:t>28.9</w:t>
            </w:r>
          </w:p>
        </w:tc>
        <w:tc>
          <w:tcPr>
            <w:tcW w:w="2394" w:type="dxa"/>
            <w:tcBorders>
              <w:top w:val="single" w:sz="4" w:space="0" w:color="000000"/>
              <w:left w:val="single" w:sz="6" w:space="0" w:color="000000"/>
              <w:bottom w:val="single" w:sz="6" w:space="0" w:color="000000"/>
              <w:right w:val="single" w:sz="6" w:space="0" w:color="000000"/>
            </w:tcBorders>
            <w:shd w:val="clear" w:color="auto" w:fill="auto"/>
          </w:tcPr>
          <w:p w14:paraId="73BE9201" w14:textId="77777777" w:rsidR="00DF61BC" w:rsidRPr="00DF1424" w:rsidRDefault="00DF61BC" w:rsidP="00DF1424">
            <w:pPr>
              <w:pStyle w:val="Tabletext"/>
            </w:pPr>
            <w:r w:rsidRPr="00DF1424">
              <w:t>36.0</w:t>
            </w:r>
          </w:p>
        </w:tc>
      </w:tr>
    </w:tbl>
    <w:p w14:paraId="6031FC4A" w14:textId="77777777" w:rsidR="00DF61BC" w:rsidRPr="0048322F" w:rsidRDefault="00DF61BC" w:rsidP="00555DC7">
      <w:pPr>
        <w:pStyle w:val="TableDescription"/>
        <w:rPr>
          <w:sz w:val="18"/>
          <w:szCs w:val="18"/>
          <w:lang w:eastAsia="en-AU"/>
        </w:rPr>
      </w:pPr>
      <w:r w:rsidRPr="0048322F">
        <w:rPr>
          <w:sz w:val="18"/>
          <w:szCs w:val="18"/>
          <w:lang w:eastAsia="en-AU"/>
        </w:rPr>
        <w:t>AUC units are ng*hr/mL; Cmax units are ng/mL. CV: Coefficient of variation. These are overall estimates based on the analysis of log-transformed data from TPU-TAS-102-104, from the tablet estimates from the GLM model for the cross-over design with replication.</w:t>
      </w:r>
    </w:p>
    <w:p w14:paraId="78A890CD" w14:textId="2FE5C9FF" w:rsidR="00DF61BC" w:rsidRPr="00C94C33" w:rsidRDefault="00DF61BC" w:rsidP="005C2FCA">
      <w:pPr>
        <w:pStyle w:val="Comment"/>
      </w:pPr>
      <w:r w:rsidRPr="005C2FCA">
        <w:rPr>
          <w:b/>
        </w:rPr>
        <w:t>Comment:</w:t>
      </w:r>
      <w:r w:rsidR="00DF75EE" w:rsidRPr="005C2FCA">
        <w:rPr>
          <w:b/>
        </w:rPr>
        <w:t xml:space="preserve"> </w:t>
      </w:r>
      <w:r w:rsidRPr="005C2FCA">
        <w:rPr>
          <w:b/>
        </w:rPr>
        <w:t xml:space="preserve"> </w:t>
      </w:r>
      <w:r w:rsidRPr="007709B8">
        <w:t>Inter</w:t>
      </w:r>
      <w:r w:rsidRPr="00C94C33">
        <w:t>subject variability of Cmax and</w:t>
      </w:r>
      <w:r w:rsidR="00B75DFC" w:rsidRPr="00C94C33">
        <w:t xml:space="preserve"> AUC0-last was high for both FTD</w:t>
      </w:r>
      <w:r w:rsidRPr="00C94C33">
        <w:t xml:space="preserve"> and TPI following administration of TAS-102. The intra-subject variability of Cmax and AUC0-last for FTD was &lt; 30% for both parameters, which the sponsor categorises as low variability.</w:t>
      </w:r>
    </w:p>
    <w:p w14:paraId="75C7F437" w14:textId="1D83151B" w:rsidR="00DF61BC" w:rsidRPr="00C94C33" w:rsidRDefault="00DF61BC" w:rsidP="00955252">
      <w:pPr>
        <w:pStyle w:val="Heading3"/>
      </w:pPr>
      <w:bookmarkStart w:id="115" w:name="_Toc470948479"/>
      <w:bookmarkStart w:id="116" w:name="_Toc510016874"/>
      <w:r w:rsidRPr="00C94C33">
        <w:t>Population PK analysis</w:t>
      </w:r>
      <w:bookmarkEnd w:id="115"/>
      <w:bookmarkEnd w:id="116"/>
    </w:p>
    <w:p w14:paraId="12F0E9FA" w14:textId="5B33B929" w:rsidR="00DF61BC" w:rsidRPr="00C94C33" w:rsidRDefault="00DF61BC" w:rsidP="00555D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bookmarkStart w:id="117" w:name="_Toc241374293"/>
      <w:r w:rsidRPr="00C94C33">
        <w:rPr>
          <w:rFonts w:eastAsia="Times New Roman"/>
          <w:kern w:val="16"/>
          <w:lang w:eastAsia="en-AU"/>
        </w:rPr>
        <w:t xml:space="preserve">The submission included a population PK analysis </w:t>
      </w:r>
      <w:r w:rsidR="00A0007E" w:rsidRPr="00C94C33">
        <w:rPr>
          <w:rFonts w:eastAsia="Times New Roman"/>
          <w:kern w:val="16"/>
          <w:lang w:eastAsia="en-AU"/>
        </w:rPr>
        <w:t>(</w:t>
      </w:r>
      <w:r w:rsidRPr="00C94C33">
        <w:rPr>
          <w:rFonts w:eastAsia="Times New Roman"/>
          <w:kern w:val="16"/>
          <w:lang w:eastAsia="en-AU"/>
        </w:rPr>
        <w:t>12DA205</w:t>
      </w:r>
      <w:r w:rsidR="00A0007E" w:rsidRPr="00C94C33">
        <w:rPr>
          <w:rFonts w:eastAsia="Times New Roman"/>
          <w:kern w:val="16"/>
          <w:lang w:eastAsia="en-AU"/>
        </w:rPr>
        <w:t>)</w:t>
      </w:r>
      <w:r w:rsidRPr="00C94C33">
        <w:rPr>
          <w:rFonts w:eastAsia="Times New Roman"/>
          <w:kern w:val="16"/>
          <w:lang w:eastAsia="en-AU"/>
        </w:rPr>
        <w:t xml:space="preserve"> for FTD and TDI following TAS-102 administration using the combined PK data from three </w:t>
      </w:r>
      <w:r w:rsidR="00842E8F" w:rsidRPr="00C94C33">
        <w:rPr>
          <w:rFonts w:eastAsia="Times New Roman"/>
          <w:kern w:val="16"/>
          <w:lang w:eastAsia="en-AU"/>
        </w:rPr>
        <w:t>Phase I</w:t>
      </w:r>
      <w:r w:rsidRPr="00C94C33">
        <w:rPr>
          <w:rFonts w:eastAsia="Times New Roman"/>
          <w:kern w:val="16"/>
          <w:lang w:eastAsia="en-AU"/>
        </w:rPr>
        <w:t xml:space="preserve"> </w:t>
      </w:r>
      <w:r w:rsidR="00330EE4" w:rsidRPr="00C94C33">
        <w:rPr>
          <w:rFonts w:eastAsia="Times New Roman"/>
          <w:kern w:val="16"/>
          <w:lang w:eastAsia="en-AU"/>
        </w:rPr>
        <w:t xml:space="preserve">Studies </w:t>
      </w:r>
      <w:r w:rsidRPr="00C94C33">
        <w:rPr>
          <w:rFonts w:eastAsia="Times New Roman"/>
          <w:kern w:val="16"/>
          <w:lang w:eastAsia="en-AU"/>
        </w:rPr>
        <w:t xml:space="preserve">J001-10040010, TPU-TAS-102-102, TPU-TAS-102-103, and sparse sampling PK data from the pivotal </w:t>
      </w:r>
      <w:r w:rsidR="00842E8F" w:rsidRPr="00C94C33">
        <w:rPr>
          <w:rFonts w:eastAsia="Times New Roman"/>
          <w:kern w:val="16"/>
          <w:lang w:eastAsia="en-AU"/>
        </w:rPr>
        <w:t>Phase III</w:t>
      </w:r>
      <w:r w:rsidRPr="00C94C33">
        <w:rPr>
          <w:rFonts w:eastAsia="Times New Roman"/>
          <w:kern w:val="16"/>
          <w:lang w:eastAsia="en-AU"/>
        </w:rPr>
        <w:t xml:space="preserve"> efficacy and study </w:t>
      </w:r>
      <w:r w:rsidR="00A0007E" w:rsidRPr="00C94C33">
        <w:rPr>
          <w:rFonts w:eastAsia="Times New Roman"/>
          <w:kern w:val="16"/>
          <w:lang w:eastAsia="en-AU"/>
        </w:rPr>
        <w:t>(</w:t>
      </w:r>
      <w:r w:rsidRPr="00C94C33">
        <w:rPr>
          <w:rFonts w:eastAsia="Times New Roman"/>
          <w:kern w:val="16"/>
          <w:lang w:eastAsia="en-AU"/>
        </w:rPr>
        <w:t>RECOURSE</w:t>
      </w:r>
      <w:r w:rsidR="00A0007E" w:rsidRPr="00C94C33">
        <w:rPr>
          <w:rFonts w:eastAsia="Times New Roman"/>
          <w:kern w:val="16"/>
          <w:lang w:eastAsia="en-AU"/>
        </w:rPr>
        <w:t>)</w:t>
      </w:r>
      <w:r w:rsidRPr="00C94C33">
        <w:rPr>
          <w:rFonts w:eastAsia="Times New Roman"/>
          <w:kern w:val="16"/>
          <w:lang w:eastAsia="en-AU"/>
        </w:rPr>
        <w:t>. The studies contributing data to the populati</w:t>
      </w:r>
      <w:r w:rsidR="00555DC7" w:rsidRPr="00C94C33">
        <w:rPr>
          <w:rFonts w:eastAsia="Times New Roman"/>
          <w:kern w:val="16"/>
          <w:lang w:eastAsia="en-AU"/>
        </w:rPr>
        <w:t>on PK analysis are summarised</w:t>
      </w:r>
      <w:r w:rsidRPr="00C94C33">
        <w:rPr>
          <w:rFonts w:eastAsia="Times New Roman"/>
          <w:kern w:val="16"/>
          <w:lang w:eastAsia="en-AU"/>
        </w:rPr>
        <w:t>.</w:t>
      </w:r>
    </w:p>
    <w:p w14:paraId="2FB6C0F2" w14:textId="77777777" w:rsidR="00AA7141" w:rsidRDefault="00DF61BC" w:rsidP="00555D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C94C33">
        <w:rPr>
          <w:rFonts w:eastAsia="Times New Roman"/>
          <w:kern w:val="16"/>
          <w:lang w:eastAsia="en-AU"/>
        </w:rPr>
        <w:t>The objectives of the analysis were:</w:t>
      </w:r>
    </w:p>
    <w:p w14:paraId="678C324B" w14:textId="77777777" w:rsidR="00AA7141" w:rsidRDefault="00650943" w:rsidP="00555DC7">
      <w:pPr>
        <w:pStyle w:val="ListBullet"/>
      </w:pPr>
      <w:r w:rsidRPr="00C94C33">
        <w:t>T</w:t>
      </w:r>
      <w:r w:rsidR="00DF61BC" w:rsidRPr="00C94C33">
        <w:t>o establish the population PK parameters of FTD and TPI, and to determine significant intrinsic and extrinsic factors that influence drug exposure; and</w:t>
      </w:r>
    </w:p>
    <w:p w14:paraId="1665F4CD" w14:textId="77777777" w:rsidR="00AA7141" w:rsidRDefault="00650943" w:rsidP="00555DC7">
      <w:pPr>
        <w:pStyle w:val="ListBullet"/>
      </w:pPr>
      <w:r w:rsidRPr="00C94C33">
        <w:t>T</w:t>
      </w:r>
      <w:r w:rsidR="00DF61BC" w:rsidRPr="00C94C33">
        <w:t xml:space="preserve">o estimate the individual drug exposures in patients enrolled in the </w:t>
      </w:r>
      <w:r w:rsidR="00842E8F" w:rsidRPr="00C94C33">
        <w:t>Phase III</w:t>
      </w:r>
      <w:r w:rsidR="00DF61BC" w:rsidRPr="00C94C33">
        <w:t xml:space="preserve"> study </w:t>
      </w:r>
      <w:r w:rsidR="00A0007E" w:rsidRPr="00C94C33">
        <w:t>(</w:t>
      </w:r>
      <w:r w:rsidR="00DF61BC" w:rsidRPr="00C94C33">
        <w:t>RECOURSE</w:t>
      </w:r>
      <w:r w:rsidR="00A0007E" w:rsidRPr="00C94C33">
        <w:t>)</w:t>
      </w:r>
      <w:r w:rsidR="00DF61BC" w:rsidRPr="00C94C33">
        <w:t xml:space="preserve"> using the established population PK parameters.</w:t>
      </w:r>
    </w:p>
    <w:p w14:paraId="0F27BA03" w14:textId="45883BAB" w:rsidR="00AA7141" w:rsidRDefault="00DF61BC" w:rsidP="00555D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NewRoman" w:cs="TimesNewRoman"/>
          <w:color w:val="000000"/>
          <w:lang w:eastAsia="en-AU"/>
        </w:rPr>
      </w:pPr>
      <w:r w:rsidRPr="00C94C33">
        <w:rPr>
          <w:rFonts w:eastAsia="TimesNewRoman"/>
          <w:kern w:val="16"/>
          <w:lang w:eastAsia="en-AU"/>
        </w:rPr>
        <w:t>The principal analytical technique was the population PK approach using nonlinear mixed effect modelling (NONMEM). A compartment model was applied for FTD and TPI as the structural model, and subject demographics, clinical laboratory parameters and other subject background information were used in the covariate modelling to assess and incorporate their effects on the individual PK parameters. The performance of the final model was verified using standard model validation procedures. The reporting of the study was consistent with the relevant TGA adopted guideline (Guideline on Reporting the Results of Population Pharmacokinetic Analysis).</w:t>
      </w:r>
      <w:r w:rsidRPr="00C94C33">
        <w:rPr>
          <w:rFonts w:eastAsia="TimesNewRoman" w:cs="TimesNewRoman"/>
          <w:color w:val="000000"/>
          <w:kern w:val="16"/>
          <w:lang w:eastAsia="en-AU"/>
        </w:rPr>
        <w:t xml:space="preserve"> </w:t>
      </w:r>
      <w:r w:rsidRPr="00C94C33">
        <w:rPr>
          <w:rFonts w:eastAsia="TimesNewRoman" w:cs="TimesNewRoman"/>
          <w:color w:val="000000"/>
          <w:lang w:eastAsia="en-AU"/>
        </w:rPr>
        <w:t>The plasma concentration data used in the analysis are summarised below.</w:t>
      </w:r>
    </w:p>
    <w:p w14:paraId="6795E427" w14:textId="5A4B206C" w:rsidR="00DF61BC" w:rsidRPr="00C94C33" w:rsidRDefault="00555DC7" w:rsidP="00555DC7">
      <w:pPr>
        <w:pStyle w:val="Tabletitle"/>
        <w:rPr>
          <w:lang w:eastAsia="en-AU"/>
        </w:rPr>
      </w:pPr>
      <w:bookmarkStart w:id="118" w:name="_Toc470948666"/>
      <w:r w:rsidRPr="00C94C33">
        <w:rPr>
          <w:rFonts w:eastAsia="Times New Roman"/>
          <w:kern w:val="16"/>
          <w:lang w:eastAsia="en-AU"/>
        </w:rPr>
        <w:t>Table 17</w:t>
      </w:r>
      <w:r w:rsidR="00DF61BC" w:rsidRPr="00C94C33">
        <w:rPr>
          <w:rFonts w:eastAsia="Times New Roman"/>
          <w:kern w:val="16"/>
          <w:lang w:eastAsia="en-AU"/>
        </w:rPr>
        <w:t xml:space="preserve">: </w:t>
      </w:r>
      <w:r w:rsidR="00DF61BC" w:rsidRPr="00C94C33">
        <w:rPr>
          <w:lang w:eastAsia="en-AU"/>
        </w:rPr>
        <w:t>Population PK analysis (12DA25)</w:t>
      </w:r>
      <w:r w:rsidR="00330EE4" w:rsidRPr="00C94C33">
        <w:rPr>
          <w:lang w:eastAsia="en-AU"/>
        </w:rPr>
        <w:t xml:space="preserve">; </w:t>
      </w:r>
      <w:r w:rsidR="00DF61BC" w:rsidRPr="00C94C33">
        <w:rPr>
          <w:lang w:eastAsia="en-AU"/>
        </w:rPr>
        <w:t>Summary of the plasma concentration data analysed</w:t>
      </w:r>
      <w:bookmarkEnd w:id="118"/>
    </w:p>
    <w:p w14:paraId="7C5EA1E1" w14:textId="46A009B8" w:rsidR="00DF61BC" w:rsidRPr="007709B8" w:rsidRDefault="005D5DE3" w:rsidP="00DF61BC">
      <w:pPr>
        <w:autoSpaceDE w:val="0"/>
        <w:autoSpaceDN w:val="0"/>
        <w:adjustRightInd w:val="0"/>
        <w:spacing w:before="0" w:after="0" w:line="240" w:lineRule="auto"/>
        <w:rPr>
          <w:rFonts w:ascii="TimesNewRoman" w:eastAsia="TimesNewRoman" w:hAnsi="Times New Roman" w:cs="TimesNewRoman"/>
          <w:color w:val="000000"/>
          <w:sz w:val="24"/>
          <w:szCs w:val="24"/>
          <w:lang w:eastAsia="en-AU"/>
        </w:rPr>
      </w:pPr>
      <w:r>
        <w:rPr>
          <w:noProof/>
          <w:lang w:eastAsia="en-AU"/>
        </w:rPr>
        <w:drawing>
          <wp:inline distT="0" distB="0" distL="0" distR="0" wp14:anchorId="6F7238BE" wp14:editId="0BF7B881">
            <wp:extent cx="5370830" cy="1789430"/>
            <wp:effectExtent l="0" t="0" r="1270" b="1270"/>
            <wp:docPr id="2091" name="Picture 13" descr="Table 17: Population PK analysis (12DA25) - Summary of the plasma concentration data analy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 name="Picture 13" descr="Table 17: Population PK analysis (12DA25) - Summary of the plasma concentration data analysed.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0830" cy="178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221CF14" w14:textId="77777777" w:rsidR="00AA7141" w:rsidRDefault="00DF61BC" w:rsidP="00955252">
      <w:pPr>
        <w:pStyle w:val="Heading4"/>
      </w:pPr>
      <w:r w:rsidRPr="00C94C33">
        <w:lastRenderedPageBreak/>
        <w:t>Results</w:t>
      </w:r>
    </w:p>
    <w:p w14:paraId="08CB1DED" w14:textId="0217B25A" w:rsidR="00DF61BC" w:rsidRPr="00C94C33" w:rsidRDefault="00650943" w:rsidP="00555DC7">
      <w:pPr>
        <w:pStyle w:val="ListBullet"/>
      </w:pPr>
      <w:r w:rsidRPr="00C94C33">
        <w:t>T</w:t>
      </w:r>
      <w:r w:rsidR="00DF61BC" w:rsidRPr="00C94C33">
        <w:t>he structural model for trifluridine was a 1-compartment disposition model with transit absorption model (4 transit compartments). A covariance structure for the inter-individual variability (IIV) between Vd/F and CL/F was included in the base and final model.</w:t>
      </w:r>
    </w:p>
    <w:p w14:paraId="7347B4CF" w14:textId="77777777" w:rsidR="00DF61BC" w:rsidRPr="00C94C33" w:rsidRDefault="00DF61BC" w:rsidP="00555DC7">
      <w:pPr>
        <w:pStyle w:val="ListBullet"/>
        <w:rPr>
          <w:rFonts w:cs="Calibri"/>
          <w:b/>
        </w:rPr>
      </w:pPr>
      <w:r w:rsidRPr="00C94C33">
        <w:t>The structural model for tipiracil was a two-compartment disposition model with transit absorption model (4 transit compartments). A covariance structure for the inter-individual (IIV) between Vd/F and CL/F was included in the base and final model.</w:t>
      </w:r>
    </w:p>
    <w:p w14:paraId="429A349B" w14:textId="77777777" w:rsidR="00AA7141" w:rsidRDefault="00DF61BC" w:rsidP="00555DC7">
      <w:pPr>
        <w:pStyle w:val="ListBullet"/>
        <w:rPr>
          <w:rFonts w:cs="Calibri"/>
        </w:rPr>
      </w:pPr>
      <w:r w:rsidRPr="00C94C33">
        <w:rPr>
          <w:rFonts w:cs="Calibri"/>
        </w:rPr>
        <w:t>The final model parameters estimated for FTD are summarised, and the final model parameters for TPI are summarised. No single-dose data were included in the model.</w:t>
      </w:r>
    </w:p>
    <w:p w14:paraId="41B39A71" w14:textId="77777777" w:rsidR="00AA7141" w:rsidRDefault="00DF61BC" w:rsidP="00555DC7">
      <w:pPr>
        <w:pStyle w:val="ListBullet"/>
        <w:rPr>
          <w:rFonts w:eastAsia="TimesNewRoman" w:cs="TimesNewRoman"/>
        </w:rPr>
      </w:pPr>
      <w:r w:rsidRPr="00C94C33">
        <w:rPr>
          <w:rFonts w:cs="Calibri"/>
        </w:rPr>
        <w:t>The population mean apparent volume of distribution (Vd/F) for FTD was 10.L (CV% = 25.3) at median BSA of 1.81 m</w:t>
      </w:r>
      <w:r w:rsidRPr="00C94C33">
        <w:rPr>
          <w:rFonts w:cs="Calibri"/>
          <w:vertAlign w:val="superscript"/>
        </w:rPr>
        <w:t>2</w:t>
      </w:r>
      <w:r w:rsidRPr="00C94C33">
        <w:rPr>
          <w:rFonts w:cs="Calibri"/>
        </w:rPr>
        <w:t xml:space="preserve">. </w:t>
      </w:r>
      <w:r w:rsidRPr="00C94C33">
        <w:rPr>
          <w:rFonts w:eastAsia="TimesNewRoman" w:cs="TimesNewRoman"/>
        </w:rPr>
        <w:t>The model showed that Vd/F increased with increasing BSA. Inclusion of BSA as a covariate of Vd/F reduced the inter-individual variability (CV%) of Vd/F from 30.8% in the base model to 25.3% in the final model. Apart from BSA, no other covariates significantly affected the Vd/F of FTD.</w:t>
      </w:r>
    </w:p>
    <w:p w14:paraId="762445F6" w14:textId="77777777" w:rsidR="00AA7141" w:rsidRDefault="00DF61BC" w:rsidP="00555DC7">
      <w:pPr>
        <w:pStyle w:val="ListBullet"/>
        <w:rPr>
          <w:rFonts w:eastAsia="TimesNewRoman" w:cs="TimesNewRoman"/>
        </w:rPr>
      </w:pPr>
      <w:r w:rsidRPr="00C94C33">
        <w:rPr>
          <w:rFonts w:eastAsia="TimesNewRoman" w:cs="TimesNewRoman"/>
        </w:rPr>
        <w:t>The population mean apparent clearance (CL/F) for FTD was 2.93 L/hr at a median creatinine clearance (CLCR) of 103 mL/min and a median serum albumin (ALB) of 3.9 g/dL. The model showed that CL/F increased with increasing CLCR, and decreased with increasing ALB. Inclusion of CLCR and ALB as covariates of CL/F reduced the inter-individual variation (CV%) of CL/F from 39.2% in the base model to 32.2% in the final model. Apart from CLCR and ALB, no other covariates significantly affected the CL/F of FTD.</w:t>
      </w:r>
    </w:p>
    <w:p w14:paraId="55D56EBF" w14:textId="77777777" w:rsidR="00AA7141" w:rsidRDefault="00DF61BC" w:rsidP="00555DC7">
      <w:pPr>
        <w:pStyle w:val="ListBullet"/>
        <w:rPr>
          <w:rFonts w:eastAsia="TimesNewRoman" w:cs="TimesNewRoman"/>
        </w:rPr>
      </w:pPr>
      <w:r w:rsidRPr="00C94C33">
        <w:rPr>
          <w:rFonts w:eastAsia="TimesNewRoman" w:cs="TimesNewRoman"/>
        </w:rPr>
        <w:t>The population mean Vd/F for TPI was 192 L at a median BSA of 1.81 m</w:t>
      </w:r>
      <w:r w:rsidRPr="00C94C33">
        <w:rPr>
          <w:rFonts w:eastAsia="TimesNewRoman" w:cs="TimesNewRoman"/>
          <w:vertAlign w:val="superscript"/>
        </w:rPr>
        <w:t>2</w:t>
      </w:r>
      <w:r w:rsidRPr="00C94C33">
        <w:rPr>
          <w:rFonts w:eastAsia="TimesNewRoman" w:cs="TimesNewRoman"/>
        </w:rPr>
        <w:t>. The model showed that Vd/F increased with increasing BSA. Inclusion of BSA as a covariate of Vd/F reduced the inter-individual variability (CV%) of Vd/F from 65.0% in the base model to 62.7% in the final model. Apart from BSA, no other covariates significantly affected the Vd/F of TPI.</w:t>
      </w:r>
    </w:p>
    <w:p w14:paraId="38BC13CD" w14:textId="606D229B" w:rsidR="00AA7141" w:rsidRDefault="00DF61BC" w:rsidP="00555DC7">
      <w:pPr>
        <w:pStyle w:val="ListBullet"/>
        <w:rPr>
          <w:rFonts w:eastAsia="TimesNewRoman" w:cs="TimesNewRoman"/>
        </w:rPr>
      </w:pPr>
      <w:r w:rsidRPr="00C94C33">
        <w:rPr>
          <w:rFonts w:eastAsia="TimesNewRoman" w:cs="TimesNewRoman"/>
        </w:rPr>
        <w:t>The population mean apparent clearance (CL/F) for TPI was 88.7 L/hr at a median creatinine clearance (CLCR) of 103 mL/min. The model showed that CL/F increased with increasing CLCR. Inclusion of CLCR as a covariate of CL/F reduced the inter-individual variation (CV%) of CL/F from 50.2% in the base model to 44.3% in the final model. Apart from CLCR, no other covariates significa</w:t>
      </w:r>
      <w:r w:rsidR="00650943" w:rsidRPr="00C94C33">
        <w:rPr>
          <w:rFonts w:eastAsia="TimesNewRoman" w:cs="TimesNewRoman"/>
        </w:rPr>
        <w:t>ntly affected the CL/F of TPI.</w:t>
      </w:r>
    </w:p>
    <w:p w14:paraId="759245B8" w14:textId="47D10510" w:rsidR="00DF61BC" w:rsidRPr="00C94C33" w:rsidRDefault="00DF61BC" w:rsidP="005C2FCA">
      <w:pPr>
        <w:pStyle w:val="Comment"/>
      </w:pPr>
      <w:r w:rsidRPr="005C2FCA">
        <w:rPr>
          <w:b/>
        </w:rPr>
        <w:t>Comment:</w:t>
      </w:r>
      <w:r w:rsidR="00330EE4" w:rsidRPr="007709B8">
        <w:t xml:space="preserve"> </w:t>
      </w:r>
      <w:r w:rsidRPr="00C94C33">
        <w:t xml:space="preserve"> BSA was a significant covariate for Vd/F in both final models of FTD and TPI. Race and gender were not included in the final models. Therefore, given that these two factors can affect BSA it is possible that they are confounders of the association between BSA and Vd/F in the final models. However, adjusting for dose based on BSA should account for differences in the parameter due to race and gender.</w:t>
      </w:r>
    </w:p>
    <w:p w14:paraId="07898C73" w14:textId="77777777" w:rsidR="00DF61BC" w:rsidRPr="00C94C33" w:rsidRDefault="00DF61BC" w:rsidP="00955252">
      <w:pPr>
        <w:pStyle w:val="Heading3"/>
      </w:pPr>
      <w:bookmarkStart w:id="119" w:name="_Toc272414626"/>
      <w:bookmarkStart w:id="120" w:name="_Toc290846249"/>
      <w:bookmarkStart w:id="121" w:name="_Toc470948480"/>
      <w:bookmarkStart w:id="122" w:name="_Toc510016875"/>
      <w:r w:rsidRPr="00C94C33">
        <w:t>Pharmacokinetics in special populations</w:t>
      </w:r>
      <w:bookmarkEnd w:id="117"/>
      <w:bookmarkEnd w:id="119"/>
      <w:bookmarkEnd w:id="120"/>
      <w:bookmarkEnd w:id="121"/>
      <w:bookmarkEnd w:id="122"/>
    </w:p>
    <w:p w14:paraId="42DDBAC5" w14:textId="77777777" w:rsidR="00DF61BC" w:rsidRPr="00C94C33" w:rsidRDefault="00DF61BC" w:rsidP="00955252">
      <w:pPr>
        <w:pStyle w:val="Heading4"/>
      </w:pPr>
      <w:bookmarkStart w:id="123" w:name="_Toc272414627"/>
      <w:bookmarkStart w:id="124" w:name="_Toc290846250"/>
      <w:bookmarkStart w:id="125" w:name="_Toc470948481"/>
      <w:r w:rsidRPr="00C94C33">
        <w:t>Pharmacokinetics in subjects with impaired hepatic function</w:t>
      </w:r>
      <w:bookmarkEnd w:id="123"/>
      <w:bookmarkEnd w:id="124"/>
      <w:bookmarkEnd w:id="125"/>
    </w:p>
    <w:p w14:paraId="4F52EABC" w14:textId="7D0A3BF7" w:rsidR="00DF61BC" w:rsidRPr="00C94C33" w:rsidRDefault="00DF61BC" w:rsidP="00555DC7">
      <w:pPr>
        <w:autoSpaceDE w:val="0"/>
        <w:autoSpaceDN w:val="0"/>
        <w:adjustRightInd w:val="0"/>
        <w:spacing w:before="0" w:line="240" w:lineRule="auto"/>
        <w:rPr>
          <w:rFonts w:eastAsia="Times New Roman" w:cs="TimesNewRomanPSMT"/>
          <w:color w:val="000000"/>
          <w:lang w:eastAsia="en-AU"/>
        </w:rPr>
      </w:pPr>
      <w:r w:rsidRPr="00C94C33">
        <w:rPr>
          <w:rFonts w:eastAsia="Times New Roman" w:cs="TimesNewRomanPSMT"/>
          <w:color w:val="000000"/>
          <w:lang w:eastAsia="en-AU"/>
        </w:rPr>
        <w:t xml:space="preserve">No dedicated clinical studies evaluating the effect of hepatic impairment on the PK of TAS-102 were submitted. In the population PK analysis </w:t>
      </w:r>
      <w:r w:rsidR="00A0007E" w:rsidRPr="00C94C33">
        <w:rPr>
          <w:rFonts w:eastAsia="Times New Roman" w:cs="TimesNewRomanPSMT"/>
          <w:color w:val="000000"/>
          <w:lang w:eastAsia="en-AU"/>
        </w:rPr>
        <w:t>(</w:t>
      </w:r>
      <w:r w:rsidRPr="00C94C33">
        <w:rPr>
          <w:rFonts w:eastAsia="Times New Roman" w:cs="TimesNewRomanPSMT"/>
          <w:color w:val="000000"/>
          <w:lang w:eastAsia="en-AU"/>
        </w:rPr>
        <w:t>12DA25</w:t>
      </w:r>
      <w:r w:rsidR="00A0007E" w:rsidRPr="00C94C33">
        <w:rPr>
          <w:rFonts w:eastAsia="Times New Roman" w:cs="TimesNewRomanPSMT"/>
          <w:color w:val="000000"/>
          <w:lang w:eastAsia="en-AU"/>
        </w:rPr>
        <w:t>)</w:t>
      </w:r>
      <w:r w:rsidRPr="00C94C33">
        <w:rPr>
          <w:rFonts w:eastAsia="Times New Roman" w:cs="TimesNewRomanPSMT"/>
          <w:color w:val="000000"/>
          <w:lang w:eastAsia="en-AU"/>
        </w:rPr>
        <w:t xml:space="preserve">, hepatic function parameters (ALT, AST, ALP and bilirubin) were not significant covariates for the PK parameters (including CL/F) of FTD or TPI following oral administration of TAS-102. Additional data provided (120D Response) indicated that of the patients from the pivotal study </w:t>
      </w:r>
      <w:r w:rsidR="00A0007E" w:rsidRPr="00C94C33">
        <w:rPr>
          <w:rFonts w:eastAsia="Times New Roman" w:cs="TimesNewRomanPSMT"/>
          <w:color w:val="000000"/>
          <w:lang w:eastAsia="en-AU"/>
        </w:rPr>
        <w:t>(</w:t>
      </w:r>
      <w:r w:rsidRPr="00C94C33">
        <w:rPr>
          <w:rFonts w:eastAsia="Times New Roman" w:cs="TimesNewRomanPSMT"/>
          <w:color w:val="000000"/>
          <w:lang w:eastAsia="en-AU"/>
        </w:rPr>
        <w:t>RECOURSE</w:t>
      </w:r>
      <w:r w:rsidR="00330EE4" w:rsidRPr="00C94C33">
        <w:rPr>
          <w:rFonts w:eastAsia="Times New Roman" w:cs="TimesNewRomanPSMT"/>
          <w:color w:val="000000"/>
          <w:lang w:eastAsia="en-AU"/>
        </w:rPr>
        <w:t xml:space="preserve"> trial</w:t>
      </w:r>
      <w:r w:rsidR="00A0007E" w:rsidRPr="00C94C33">
        <w:rPr>
          <w:rFonts w:eastAsia="Times New Roman" w:cs="TimesNewRomanPSMT"/>
          <w:color w:val="000000"/>
          <w:lang w:eastAsia="en-AU"/>
        </w:rPr>
        <w:t>)</w:t>
      </w:r>
      <w:r w:rsidRPr="00C94C33">
        <w:rPr>
          <w:rFonts w:eastAsia="Times New Roman" w:cs="TimesNewRomanPSMT"/>
          <w:color w:val="000000"/>
          <w:lang w:eastAsia="en-AU"/>
        </w:rPr>
        <w:t xml:space="preserve"> included in the population PK analysis, 96 had normal hepatic function, 42 had mild hepatic impairment, and no patients had moderate hepatic impairment. The daily AUC values for both FTD and TPI on Day 12 were comparable for patients with normal hepatic function and mild hepatic impairment (see below).</w:t>
      </w:r>
    </w:p>
    <w:p w14:paraId="3B041FF7" w14:textId="27459981" w:rsidR="00DF61BC" w:rsidRPr="00C94C33" w:rsidRDefault="00DF61BC" w:rsidP="003E1712">
      <w:pPr>
        <w:pStyle w:val="Tabletitle"/>
        <w:rPr>
          <w:lang w:eastAsia="en-AU"/>
        </w:rPr>
      </w:pPr>
      <w:bookmarkStart w:id="126" w:name="_Toc470948667"/>
      <w:r w:rsidRPr="00C94C33">
        <w:rPr>
          <w:kern w:val="16"/>
          <w:lang w:eastAsia="en-AU"/>
        </w:rPr>
        <w:lastRenderedPageBreak/>
        <w:t xml:space="preserve">Table </w:t>
      </w:r>
      <w:r w:rsidR="00555DC7" w:rsidRPr="00C94C33">
        <w:rPr>
          <w:kern w:val="16"/>
          <w:lang w:eastAsia="en-AU"/>
        </w:rPr>
        <w:t xml:space="preserve">18: </w:t>
      </w:r>
      <w:r w:rsidRPr="00C94C33">
        <w:rPr>
          <w:lang w:eastAsia="en-AU"/>
        </w:rPr>
        <w:t xml:space="preserve">RECOURSE </w:t>
      </w:r>
      <w:r w:rsidR="00330EE4" w:rsidRPr="00C94C33">
        <w:rPr>
          <w:lang w:eastAsia="en-AU"/>
        </w:rPr>
        <w:t xml:space="preserve">trial </w:t>
      </w:r>
      <w:r w:rsidRPr="00C94C33">
        <w:rPr>
          <w:lang w:eastAsia="en-AU"/>
        </w:rPr>
        <w:t>(patients included in the population PK analysis)</w:t>
      </w:r>
      <w:r w:rsidR="00330EE4" w:rsidRPr="00C94C33">
        <w:rPr>
          <w:lang w:eastAsia="en-AU"/>
        </w:rPr>
        <w:t>;</w:t>
      </w:r>
      <w:r w:rsidRPr="00C94C33">
        <w:rPr>
          <w:lang w:eastAsia="en-AU"/>
        </w:rPr>
        <w:t xml:space="preserve"> Summary of AUC for FTD and TPI for hepatic function groups</w:t>
      </w:r>
      <w:bookmarkEnd w:id="126"/>
    </w:p>
    <w:tbl>
      <w:tblPr>
        <w:tblStyle w:val="TableGrid7"/>
        <w:tblW w:w="9548" w:type="dxa"/>
        <w:tblLook w:val="04A0" w:firstRow="1" w:lastRow="0" w:firstColumn="1" w:lastColumn="0" w:noHBand="0" w:noVBand="1"/>
        <w:tblDescription w:val="Table 18: RECOURSE trial (patients included in the population PK analysis); Summary of AUC for FTD and TPI for hepatic function groups"/>
      </w:tblPr>
      <w:tblGrid>
        <w:gridCol w:w="1940"/>
        <w:gridCol w:w="1273"/>
        <w:gridCol w:w="1970"/>
        <w:gridCol w:w="1830"/>
        <w:gridCol w:w="1271"/>
        <w:gridCol w:w="1264"/>
      </w:tblGrid>
      <w:tr w:rsidR="00DF61BC" w:rsidRPr="00C94C33" w14:paraId="08B8EC4E" w14:textId="77777777" w:rsidTr="007B0D96">
        <w:trPr>
          <w:tblHeader/>
        </w:trPr>
        <w:tc>
          <w:tcPr>
            <w:tcW w:w="1940" w:type="dxa"/>
            <w:tcBorders>
              <w:top w:val="single" w:sz="4" w:space="0" w:color="auto"/>
              <w:right w:val="nil"/>
            </w:tcBorders>
            <w:shd w:val="clear" w:color="auto" w:fill="auto"/>
          </w:tcPr>
          <w:p w14:paraId="284B0F43" w14:textId="77777777" w:rsidR="00DF61BC" w:rsidRPr="00C94C33" w:rsidRDefault="00DF61BC" w:rsidP="00751040">
            <w:pPr>
              <w:pStyle w:val="TableHeading"/>
            </w:pPr>
            <w:r w:rsidRPr="00C94C33">
              <w:t xml:space="preserve">Hepatic Function </w:t>
            </w:r>
          </w:p>
        </w:tc>
        <w:tc>
          <w:tcPr>
            <w:tcW w:w="1273" w:type="dxa"/>
            <w:tcBorders>
              <w:top w:val="single" w:sz="4" w:space="0" w:color="auto"/>
              <w:left w:val="nil"/>
            </w:tcBorders>
            <w:shd w:val="clear" w:color="auto" w:fill="auto"/>
          </w:tcPr>
          <w:p w14:paraId="62955095" w14:textId="77777777" w:rsidR="00DF61BC" w:rsidRPr="00C94C33" w:rsidRDefault="00DF61BC" w:rsidP="00751040">
            <w:pPr>
              <w:pStyle w:val="TableHeading"/>
            </w:pPr>
            <w:r w:rsidRPr="00C94C33">
              <w:t xml:space="preserve">Parameter </w:t>
            </w:r>
          </w:p>
        </w:tc>
        <w:tc>
          <w:tcPr>
            <w:tcW w:w="1970" w:type="dxa"/>
            <w:tcBorders>
              <w:top w:val="single" w:sz="4" w:space="0" w:color="auto"/>
            </w:tcBorders>
            <w:shd w:val="clear" w:color="auto" w:fill="auto"/>
          </w:tcPr>
          <w:p w14:paraId="00EF4A68" w14:textId="77777777" w:rsidR="00AA7141" w:rsidRDefault="00DF61BC" w:rsidP="00751040">
            <w:pPr>
              <w:pStyle w:val="TableHeading"/>
            </w:pPr>
            <w:r w:rsidRPr="00C94C33">
              <w:t>FTD AUC (daily)</w:t>
            </w:r>
          </w:p>
          <w:p w14:paraId="07908F9E" w14:textId="225062E9" w:rsidR="00DF61BC" w:rsidRPr="00C94C33" w:rsidRDefault="00DF61BC" w:rsidP="00751040">
            <w:pPr>
              <w:pStyle w:val="TableHeading"/>
            </w:pPr>
            <w:r w:rsidRPr="00C94C33">
              <w:t xml:space="preserve">Day 12 </w:t>
            </w:r>
          </w:p>
        </w:tc>
        <w:tc>
          <w:tcPr>
            <w:tcW w:w="1830" w:type="dxa"/>
            <w:shd w:val="clear" w:color="auto" w:fill="auto"/>
          </w:tcPr>
          <w:p w14:paraId="4FE24DA8" w14:textId="77777777" w:rsidR="00DF61BC" w:rsidRPr="00C94C33" w:rsidRDefault="00DF61BC" w:rsidP="00751040">
            <w:pPr>
              <w:pStyle w:val="TableHeading"/>
            </w:pPr>
            <w:r w:rsidRPr="00C94C33">
              <w:t>TPI AUC (daily)</w:t>
            </w:r>
          </w:p>
          <w:p w14:paraId="37C9F4C8" w14:textId="77777777" w:rsidR="00DF61BC" w:rsidRPr="00C94C33" w:rsidRDefault="00DF61BC" w:rsidP="00751040">
            <w:pPr>
              <w:pStyle w:val="TableHeading"/>
            </w:pPr>
            <w:r w:rsidRPr="00C94C33">
              <w:t xml:space="preserve"> Day 12 </w:t>
            </w:r>
          </w:p>
        </w:tc>
        <w:tc>
          <w:tcPr>
            <w:tcW w:w="1271" w:type="dxa"/>
            <w:shd w:val="clear" w:color="auto" w:fill="auto"/>
          </w:tcPr>
          <w:p w14:paraId="59C072D3" w14:textId="77777777" w:rsidR="00DF61BC" w:rsidRPr="00C94C33" w:rsidRDefault="00DF61BC" w:rsidP="00751040">
            <w:pPr>
              <w:pStyle w:val="TableHeading"/>
            </w:pPr>
            <w:r w:rsidRPr="00C94C33">
              <w:t>BIL (mg/dL)</w:t>
            </w:r>
          </w:p>
          <w:p w14:paraId="4701DE25" w14:textId="77777777" w:rsidR="00DF61BC" w:rsidRPr="00C94C33" w:rsidRDefault="00DF61BC" w:rsidP="00751040">
            <w:pPr>
              <w:pStyle w:val="TableHeading"/>
            </w:pPr>
            <w:r w:rsidRPr="00C94C33">
              <w:t>baseline</w:t>
            </w:r>
          </w:p>
        </w:tc>
        <w:tc>
          <w:tcPr>
            <w:tcW w:w="1264" w:type="dxa"/>
            <w:shd w:val="clear" w:color="auto" w:fill="auto"/>
          </w:tcPr>
          <w:p w14:paraId="2DB414F3" w14:textId="77777777" w:rsidR="00DF61BC" w:rsidRPr="00C94C33" w:rsidRDefault="00DF61BC" w:rsidP="00751040">
            <w:pPr>
              <w:pStyle w:val="TableHeading"/>
            </w:pPr>
            <w:r w:rsidRPr="00C94C33">
              <w:t>AST (U/L)</w:t>
            </w:r>
          </w:p>
          <w:p w14:paraId="70946A24" w14:textId="77777777" w:rsidR="00DF61BC" w:rsidRPr="00C94C33" w:rsidRDefault="00DF61BC" w:rsidP="00751040">
            <w:pPr>
              <w:pStyle w:val="TableHeading"/>
            </w:pPr>
            <w:r w:rsidRPr="00C94C33">
              <w:t xml:space="preserve">baseline </w:t>
            </w:r>
          </w:p>
        </w:tc>
      </w:tr>
      <w:tr w:rsidR="00DF61BC" w:rsidRPr="00C94C33" w14:paraId="67BE2078" w14:textId="77777777" w:rsidTr="00B5151B">
        <w:tc>
          <w:tcPr>
            <w:tcW w:w="1940" w:type="dxa"/>
            <w:tcBorders>
              <w:bottom w:val="nil"/>
              <w:right w:val="nil"/>
            </w:tcBorders>
            <w:shd w:val="clear" w:color="auto" w:fill="auto"/>
          </w:tcPr>
          <w:p w14:paraId="394E1E50" w14:textId="77777777" w:rsidR="00DF61BC" w:rsidRPr="00C94C33" w:rsidRDefault="00DF61BC" w:rsidP="00751040">
            <w:pPr>
              <w:pStyle w:val="Tabletext"/>
            </w:pPr>
            <w:r w:rsidRPr="00C94C33">
              <w:t xml:space="preserve">Normal </w:t>
            </w:r>
          </w:p>
        </w:tc>
        <w:tc>
          <w:tcPr>
            <w:tcW w:w="1273" w:type="dxa"/>
            <w:tcBorders>
              <w:left w:val="nil"/>
              <w:bottom w:val="nil"/>
            </w:tcBorders>
            <w:shd w:val="clear" w:color="auto" w:fill="auto"/>
          </w:tcPr>
          <w:p w14:paraId="04EDC2D3" w14:textId="77777777" w:rsidR="00DF61BC" w:rsidRPr="00C94C33" w:rsidRDefault="00DF61BC" w:rsidP="00751040">
            <w:pPr>
              <w:pStyle w:val="Tabletext"/>
            </w:pPr>
            <w:r w:rsidRPr="00C94C33">
              <w:t>n</w:t>
            </w:r>
          </w:p>
        </w:tc>
        <w:tc>
          <w:tcPr>
            <w:tcW w:w="1970" w:type="dxa"/>
            <w:tcBorders>
              <w:bottom w:val="nil"/>
            </w:tcBorders>
            <w:shd w:val="clear" w:color="auto" w:fill="auto"/>
          </w:tcPr>
          <w:p w14:paraId="3057D160" w14:textId="77777777" w:rsidR="00DF61BC" w:rsidRPr="00C94C33" w:rsidRDefault="00DF61BC" w:rsidP="00751040">
            <w:pPr>
              <w:pStyle w:val="Tabletext"/>
            </w:pPr>
            <w:r w:rsidRPr="00C94C33">
              <w:t>96</w:t>
            </w:r>
          </w:p>
        </w:tc>
        <w:tc>
          <w:tcPr>
            <w:tcW w:w="1830" w:type="dxa"/>
            <w:tcBorders>
              <w:bottom w:val="nil"/>
            </w:tcBorders>
            <w:shd w:val="clear" w:color="auto" w:fill="auto"/>
          </w:tcPr>
          <w:p w14:paraId="3408169C" w14:textId="77777777" w:rsidR="00DF61BC" w:rsidRPr="00C94C33" w:rsidRDefault="00DF61BC" w:rsidP="00751040">
            <w:pPr>
              <w:pStyle w:val="Tabletext"/>
            </w:pPr>
            <w:r w:rsidRPr="00C94C33">
              <w:t xml:space="preserve">96 </w:t>
            </w:r>
          </w:p>
        </w:tc>
        <w:tc>
          <w:tcPr>
            <w:tcW w:w="1271" w:type="dxa"/>
            <w:tcBorders>
              <w:bottom w:val="nil"/>
            </w:tcBorders>
            <w:shd w:val="clear" w:color="auto" w:fill="auto"/>
          </w:tcPr>
          <w:p w14:paraId="35582422" w14:textId="77777777" w:rsidR="00DF61BC" w:rsidRPr="00C94C33" w:rsidRDefault="00DF61BC" w:rsidP="00751040">
            <w:pPr>
              <w:pStyle w:val="Tabletext"/>
            </w:pPr>
            <w:r w:rsidRPr="00C94C33">
              <w:t>96</w:t>
            </w:r>
          </w:p>
        </w:tc>
        <w:tc>
          <w:tcPr>
            <w:tcW w:w="1264" w:type="dxa"/>
            <w:tcBorders>
              <w:bottom w:val="nil"/>
            </w:tcBorders>
            <w:shd w:val="clear" w:color="auto" w:fill="auto"/>
          </w:tcPr>
          <w:p w14:paraId="116EEE71" w14:textId="77777777" w:rsidR="00DF61BC" w:rsidRPr="00C94C33" w:rsidRDefault="00DF61BC" w:rsidP="00751040">
            <w:pPr>
              <w:pStyle w:val="Tabletext"/>
            </w:pPr>
            <w:r w:rsidRPr="00C94C33">
              <w:t xml:space="preserve">96 </w:t>
            </w:r>
          </w:p>
        </w:tc>
      </w:tr>
      <w:tr w:rsidR="00DF61BC" w:rsidRPr="00C94C33" w14:paraId="30FBA81C" w14:textId="77777777" w:rsidTr="00B5151B">
        <w:tc>
          <w:tcPr>
            <w:tcW w:w="1940" w:type="dxa"/>
            <w:tcBorders>
              <w:top w:val="nil"/>
              <w:bottom w:val="nil"/>
              <w:right w:val="nil"/>
            </w:tcBorders>
            <w:shd w:val="clear" w:color="auto" w:fill="auto"/>
          </w:tcPr>
          <w:p w14:paraId="03F07703" w14:textId="38A49025" w:rsidR="00DF61BC" w:rsidRPr="00C94C33" w:rsidRDefault="00DF61BC" w:rsidP="00751040">
            <w:pPr>
              <w:pStyle w:val="Tabletext"/>
            </w:pPr>
            <w:r w:rsidRPr="00C94C33">
              <w:t xml:space="preserve">TBIL ≤ ULN AST ≤ ULN) </w:t>
            </w:r>
          </w:p>
        </w:tc>
        <w:tc>
          <w:tcPr>
            <w:tcW w:w="1273" w:type="dxa"/>
            <w:tcBorders>
              <w:top w:val="nil"/>
              <w:left w:val="nil"/>
              <w:bottom w:val="nil"/>
            </w:tcBorders>
            <w:shd w:val="clear" w:color="auto" w:fill="auto"/>
          </w:tcPr>
          <w:p w14:paraId="43546D89" w14:textId="77777777" w:rsidR="00AA7141" w:rsidRDefault="00DF61BC" w:rsidP="00751040">
            <w:pPr>
              <w:pStyle w:val="Tabletext"/>
            </w:pPr>
            <w:r w:rsidRPr="00C94C33">
              <w:t>Mean ± SD</w:t>
            </w:r>
          </w:p>
          <w:p w14:paraId="48EB63BB" w14:textId="77062F60" w:rsidR="00DF61BC" w:rsidRPr="00C94C33" w:rsidRDefault="00DF61BC" w:rsidP="00751040">
            <w:pPr>
              <w:pStyle w:val="Tabletext"/>
            </w:pPr>
            <w:r w:rsidRPr="00C94C33">
              <w:t>(CV%)</w:t>
            </w:r>
          </w:p>
        </w:tc>
        <w:tc>
          <w:tcPr>
            <w:tcW w:w="1970" w:type="dxa"/>
            <w:tcBorders>
              <w:top w:val="nil"/>
              <w:bottom w:val="nil"/>
            </w:tcBorders>
            <w:shd w:val="clear" w:color="auto" w:fill="auto"/>
          </w:tcPr>
          <w:p w14:paraId="095DD308" w14:textId="1AA0B1FA" w:rsidR="00DF61BC" w:rsidRPr="00C94C33" w:rsidRDefault="00DF61BC" w:rsidP="00751040">
            <w:pPr>
              <w:pStyle w:val="Tabletext"/>
            </w:pPr>
            <w:r w:rsidRPr="00C94C33">
              <w:t>45733 ± 12971</w:t>
            </w:r>
          </w:p>
          <w:p w14:paraId="6F758211" w14:textId="77777777" w:rsidR="00DF61BC" w:rsidRPr="00C94C33" w:rsidRDefault="00DF61BC" w:rsidP="00751040">
            <w:pPr>
              <w:pStyle w:val="Tabletext"/>
            </w:pPr>
            <w:r w:rsidRPr="00C94C33">
              <w:t xml:space="preserve">(28.4%) </w:t>
            </w:r>
          </w:p>
        </w:tc>
        <w:tc>
          <w:tcPr>
            <w:tcW w:w="1830" w:type="dxa"/>
            <w:tcBorders>
              <w:top w:val="nil"/>
              <w:bottom w:val="nil"/>
            </w:tcBorders>
            <w:shd w:val="clear" w:color="auto" w:fill="auto"/>
          </w:tcPr>
          <w:p w14:paraId="0A0BADCE" w14:textId="77777777" w:rsidR="00DF61BC" w:rsidRPr="00C94C33" w:rsidRDefault="00DF61BC" w:rsidP="00751040">
            <w:pPr>
              <w:pStyle w:val="Tabletext"/>
            </w:pPr>
            <w:r w:rsidRPr="00C94C33">
              <w:t>724 ± 327</w:t>
            </w:r>
          </w:p>
          <w:p w14:paraId="7D177367" w14:textId="77777777" w:rsidR="00DF61BC" w:rsidRPr="00C94C33" w:rsidRDefault="00DF61BC" w:rsidP="00751040">
            <w:pPr>
              <w:pStyle w:val="Tabletext"/>
            </w:pPr>
            <w:r w:rsidRPr="00C94C33">
              <w:t>(45.2%)</w:t>
            </w:r>
          </w:p>
        </w:tc>
        <w:tc>
          <w:tcPr>
            <w:tcW w:w="1271" w:type="dxa"/>
            <w:tcBorders>
              <w:top w:val="nil"/>
              <w:bottom w:val="nil"/>
            </w:tcBorders>
            <w:shd w:val="clear" w:color="auto" w:fill="auto"/>
          </w:tcPr>
          <w:p w14:paraId="719AAB40" w14:textId="77777777" w:rsidR="00AA7141" w:rsidRDefault="00DF61BC" w:rsidP="00751040">
            <w:pPr>
              <w:pStyle w:val="Tabletext"/>
            </w:pPr>
            <w:r w:rsidRPr="00C94C33">
              <w:t>0.50 ± 0.21</w:t>
            </w:r>
          </w:p>
          <w:p w14:paraId="7DD68B06" w14:textId="18FB0926" w:rsidR="00DF61BC" w:rsidRPr="00C94C33" w:rsidRDefault="00DF61BC" w:rsidP="00751040">
            <w:pPr>
              <w:pStyle w:val="Tabletext"/>
            </w:pPr>
            <w:r w:rsidRPr="00C94C33">
              <w:t>(41.3%)</w:t>
            </w:r>
          </w:p>
        </w:tc>
        <w:tc>
          <w:tcPr>
            <w:tcW w:w="1264" w:type="dxa"/>
            <w:tcBorders>
              <w:top w:val="nil"/>
              <w:bottom w:val="nil"/>
            </w:tcBorders>
            <w:shd w:val="clear" w:color="auto" w:fill="auto"/>
          </w:tcPr>
          <w:p w14:paraId="2AA069CE" w14:textId="77777777" w:rsidR="00DF61BC" w:rsidRPr="00C94C33" w:rsidRDefault="00DF61BC" w:rsidP="00751040">
            <w:pPr>
              <w:pStyle w:val="Tabletext"/>
            </w:pPr>
            <w:r w:rsidRPr="00C94C33">
              <w:t>23.4 ± 6.5</w:t>
            </w:r>
          </w:p>
          <w:p w14:paraId="6707CACA" w14:textId="77777777" w:rsidR="00DF61BC" w:rsidRPr="00C94C33" w:rsidRDefault="00DF61BC" w:rsidP="00751040">
            <w:pPr>
              <w:pStyle w:val="Tabletext"/>
            </w:pPr>
            <w:r w:rsidRPr="00C94C33">
              <w:t>(27.9%)</w:t>
            </w:r>
          </w:p>
        </w:tc>
      </w:tr>
      <w:tr w:rsidR="00DF61BC" w:rsidRPr="00C94C33" w14:paraId="65B9F12C" w14:textId="77777777" w:rsidTr="00B5151B">
        <w:tc>
          <w:tcPr>
            <w:tcW w:w="1940" w:type="dxa"/>
            <w:tcBorders>
              <w:bottom w:val="nil"/>
              <w:right w:val="nil"/>
            </w:tcBorders>
            <w:shd w:val="clear" w:color="auto" w:fill="auto"/>
          </w:tcPr>
          <w:p w14:paraId="416D1642" w14:textId="77777777" w:rsidR="00DF61BC" w:rsidRPr="00C94C33" w:rsidRDefault="00DF61BC" w:rsidP="00751040">
            <w:pPr>
              <w:pStyle w:val="Tabletext"/>
            </w:pPr>
            <w:r w:rsidRPr="00C94C33">
              <w:t xml:space="preserve">Mild Impairment </w:t>
            </w:r>
          </w:p>
        </w:tc>
        <w:tc>
          <w:tcPr>
            <w:tcW w:w="1273" w:type="dxa"/>
            <w:tcBorders>
              <w:left w:val="nil"/>
              <w:bottom w:val="nil"/>
            </w:tcBorders>
            <w:shd w:val="clear" w:color="auto" w:fill="auto"/>
          </w:tcPr>
          <w:p w14:paraId="10FBC4E3" w14:textId="77777777" w:rsidR="00DF61BC" w:rsidRPr="00C94C33" w:rsidRDefault="00DF61BC" w:rsidP="00751040">
            <w:pPr>
              <w:pStyle w:val="Tabletext"/>
            </w:pPr>
            <w:r w:rsidRPr="00C94C33">
              <w:t>n</w:t>
            </w:r>
          </w:p>
        </w:tc>
        <w:tc>
          <w:tcPr>
            <w:tcW w:w="1970" w:type="dxa"/>
            <w:tcBorders>
              <w:bottom w:val="nil"/>
            </w:tcBorders>
            <w:shd w:val="clear" w:color="auto" w:fill="auto"/>
          </w:tcPr>
          <w:p w14:paraId="25BCE2F3" w14:textId="77777777" w:rsidR="00DF61BC" w:rsidRPr="00C94C33" w:rsidRDefault="00DF61BC" w:rsidP="00751040">
            <w:pPr>
              <w:pStyle w:val="Tabletext"/>
            </w:pPr>
            <w:r w:rsidRPr="00C94C33">
              <w:t xml:space="preserve">42 </w:t>
            </w:r>
          </w:p>
        </w:tc>
        <w:tc>
          <w:tcPr>
            <w:tcW w:w="1830" w:type="dxa"/>
            <w:tcBorders>
              <w:bottom w:val="nil"/>
            </w:tcBorders>
            <w:shd w:val="clear" w:color="auto" w:fill="auto"/>
          </w:tcPr>
          <w:p w14:paraId="5A5B5DBE" w14:textId="77777777" w:rsidR="00DF61BC" w:rsidRPr="00C94C33" w:rsidRDefault="00DF61BC" w:rsidP="00751040">
            <w:pPr>
              <w:pStyle w:val="Tabletext"/>
            </w:pPr>
            <w:r w:rsidRPr="00C94C33">
              <w:t>42</w:t>
            </w:r>
          </w:p>
        </w:tc>
        <w:tc>
          <w:tcPr>
            <w:tcW w:w="1271" w:type="dxa"/>
            <w:tcBorders>
              <w:bottom w:val="nil"/>
            </w:tcBorders>
            <w:shd w:val="clear" w:color="auto" w:fill="auto"/>
          </w:tcPr>
          <w:p w14:paraId="7E281737" w14:textId="77777777" w:rsidR="00DF61BC" w:rsidRPr="00C94C33" w:rsidRDefault="00DF61BC" w:rsidP="00751040">
            <w:pPr>
              <w:pStyle w:val="Tabletext"/>
            </w:pPr>
            <w:r w:rsidRPr="00C94C33">
              <w:t>42</w:t>
            </w:r>
          </w:p>
        </w:tc>
        <w:tc>
          <w:tcPr>
            <w:tcW w:w="1264" w:type="dxa"/>
            <w:tcBorders>
              <w:bottom w:val="nil"/>
            </w:tcBorders>
            <w:shd w:val="clear" w:color="auto" w:fill="auto"/>
          </w:tcPr>
          <w:p w14:paraId="630F86F9" w14:textId="77777777" w:rsidR="00DF61BC" w:rsidRPr="00C94C33" w:rsidRDefault="00DF61BC" w:rsidP="00751040">
            <w:pPr>
              <w:pStyle w:val="Tabletext"/>
            </w:pPr>
            <w:r w:rsidRPr="00C94C33">
              <w:t>42</w:t>
            </w:r>
          </w:p>
        </w:tc>
      </w:tr>
      <w:tr w:rsidR="00DF61BC" w:rsidRPr="00C94C33" w14:paraId="7A98CEC1" w14:textId="77777777" w:rsidTr="00B5151B">
        <w:tc>
          <w:tcPr>
            <w:tcW w:w="1940" w:type="dxa"/>
            <w:tcBorders>
              <w:top w:val="nil"/>
              <w:bottom w:val="nil"/>
              <w:right w:val="nil"/>
            </w:tcBorders>
            <w:shd w:val="clear" w:color="auto" w:fill="auto"/>
          </w:tcPr>
          <w:p w14:paraId="29660259" w14:textId="21FEC54E" w:rsidR="00DF61BC" w:rsidRPr="00C94C33" w:rsidRDefault="00DF61BC" w:rsidP="002D3613">
            <w:pPr>
              <w:pStyle w:val="Tabletext"/>
            </w:pPr>
            <w:r w:rsidRPr="00C94C33">
              <w:t>TBIL ≤ ULN; AST &gt; ULN OR TBIL ≥ 1 to ≤ 1.5 x ULN, AST any</w:t>
            </w:r>
          </w:p>
        </w:tc>
        <w:tc>
          <w:tcPr>
            <w:tcW w:w="1273" w:type="dxa"/>
            <w:tcBorders>
              <w:top w:val="nil"/>
              <w:left w:val="nil"/>
              <w:bottom w:val="nil"/>
            </w:tcBorders>
            <w:shd w:val="clear" w:color="auto" w:fill="auto"/>
          </w:tcPr>
          <w:p w14:paraId="494F166D" w14:textId="77777777" w:rsidR="00AA7141" w:rsidRDefault="00DF61BC" w:rsidP="00751040">
            <w:pPr>
              <w:pStyle w:val="Tabletext"/>
            </w:pPr>
            <w:r w:rsidRPr="00C94C33">
              <w:t>Mean ± SD</w:t>
            </w:r>
          </w:p>
          <w:p w14:paraId="2165D868" w14:textId="29980D9D" w:rsidR="00DF61BC" w:rsidRPr="00C94C33" w:rsidRDefault="00DF61BC" w:rsidP="00751040">
            <w:pPr>
              <w:pStyle w:val="Tabletext"/>
            </w:pPr>
            <w:r w:rsidRPr="00C94C33">
              <w:t>(CV%)</w:t>
            </w:r>
          </w:p>
        </w:tc>
        <w:tc>
          <w:tcPr>
            <w:tcW w:w="1970" w:type="dxa"/>
            <w:tcBorders>
              <w:top w:val="nil"/>
              <w:bottom w:val="nil"/>
            </w:tcBorders>
            <w:shd w:val="clear" w:color="auto" w:fill="auto"/>
          </w:tcPr>
          <w:p w14:paraId="5B2BC740" w14:textId="77777777" w:rsidR="00DF61BC" w:rsidRPr="00C94C33" w:rsidRDefault="00DF61BC" w:rsidP="00751040">
            <w:pPr>
              <w:pStyle w:val="Tabletext"/>
            </w:pPr>
            <w:r w:rsidRPr="00C94C33">
              <w:t>39404 ± 12408</w:t>
            </w:r>
          </w:p>
          <w:p w14:paraId="3987C84E" w14:textId="77777777" w:rsidR="00DF61BC" w:rsidRPr="00C94C33" w:rsidRDefault="00DF61BC" w:rsidP="00751040">
            <w:pPr>
              <w:pStyle w:val="Tabletext"/>
            </w:pPr>
            <w:r w:rsidRPr="00C94C33">
              <w:t>(31.5%)</w:t>
            </w:r>
          </w:p>
        </w:tc>
        <w:tc>
          <w:tcPr>
            <w:tcW w:w="1830" w:type="dxa"/>
            <w:tcBorders>
              <w:top w:val="nil"/>
              <w:bottom w:val="nil"/>
            </w:tcBorders>
            <w:shd w:val="clear" w:color="auto" w:fill="auto"/>
          </w:tcPr>
          <w:p w14:paraId="288336C8" w14:textId="77777777" w:rsidR="00AA7141" w:rsidRDefault="00DF61BC" w:rsidP="00751040">
            <w:pPr>
              <w:pStyle w:val="Tabletext"/>
            </w:pPr>
            <w:r w:rsidRPr="00C94C33">
              <w:t>759 ± 501</w:t>
            </w:r>
          </w:p>
          <w:p w14:paraId="3642A21D" w14:textId="7A1C3DFE" w:rsidR="00DF61BC" w:rsidRPr="00C94C33" w:rsidRDefault="00DF61BC" w:rsidP="00751040">
            <w:pPr>
              <w:pStyle w:val="Tabletext"/>
            </w:pPr>
            <w:r w:rsidRPr="00C94C33">
              <w:t>(66.0%)</w:t>
            </w:r>
          </w:p>
        </w:tc>
        <w:tc>
          <w:tcPr>
            <w:tcW w:w="1271" w:type="dxa"/>
            <w:tcBorders>
              <w:top w:val="nil"/>
              <w:bottom w:val="nil"/>
            </w:tcBorders>
            <w:shd w:val="clear" w:color="auto" w:fill="auto"/>
          </w:tcPr>
          <w:p w14:paraId="3551F11A" w14:textId="77777777" w:rsidR="00DF61BC" w:rsidRPr="00C94C33" w:rsidRDefault="00DF61BC" w:rsidP="00751040">
            <w:pPr>
              <w:pStyle w:val="Tabletext"/>
            </w:pPr>
            <w:r w:rsidRPr="00C94C33">
              <w:t>0.80 ± 0.37</w:t>
            </w:r>
          </w:p>
          <w:p w14:paraId="239B3FA0" w14:textId="77777777" w:rsidR="00DF61BC" w:rsidRPr="00C94C33" w:rsidRDefault="00DF61BC" w:rsidP="00751040">
            <w:pPr>
              <w:pStyle w:val="Tabletext"/>
            </w:pPr>
            <w:r w:rsidRPr="00C94C33">
              <w:t>(45.7%)</w:t>
            </w:r>
          </w:p>
        </w:tc>
        <w:tc>
          <w:tcPr>
            <w:tcW w:w="1264" w:type="dxa"/>
            <w:tcBorders>
              <w:top w:val="nil"/>
              <w:bottom w:val="nil"/>
            </w:tcBorders>
            <w:shd w:val="clear" w:color="auto" w:fill="auto"/>
          </w:tcPr>
          <w:p w14:paraId="15E4940D" w14:textId="77777777" w:rsidR="00DF61BC" w:rsidRPr="00C94C33" w:rsidRDefault="00DF61BC" w:rsidP="00751040">
            <w:pPr>
              <w:pStyle w:val="Tabletext"/>
            </w:pPr>
            <w:r w:rsidRPr="00C94C33">
              <w:t>63.0 ± 30.2</w:t>
            </w:r>
          </w:p>
          <w:p w14:paraId="7D106FAA" w14:textId="77777777" w:rsidR="00DF61BC" w:rsidRPr="00C94C33" w:rsidRDefault="00DF61BC" w:rsidP="00751040">
            <w:pPr>
              <w:pStyle w:val="Tabletext"/>
            </w:pPr>
            <w:r w:rsidRPr="00C94C33">
              <w:t>(47.9%)</w:t>
            </w:r>
          </w:p>
        </w:tc>
      </w:tr>
      <w:tr w:rsidR="00DF61BC" w:rsidRPr="00C94C33" w14:paraId="444A80F3" w14:textId="77777777" w:rsidTr="00B5151B">
        <w:tc>
          <w:tcPr>
            <w:tcW w:w="1940" w:type="dxa"/>
            <w:tcBorders>
              <w:bottom w:val="nil"/>
              <w:right w:val="nil"/>
            </w:tcBorders>
            <w:shd w:val="clear" w:color="auto" w:fill="auto"/>
          </w:tcPr>
          <w:p w14:paraId="5340C802" w14:textId="77777777" w:rsidR="00DF61BC" w:rsidRPr="00C94C33" w:rsidRDefault="00DF61BC" w:rsidP="00751040">
            <w:pPr>
              <w:pStyle w:val="Tabletext"/>
            </w:pPr>
            <w:r w:rsidRPr="00C94C33">
              <w:t>Moderate Impairment</w:t>
            </w:r>
          </w:p>
        </w:tc>
        <w:tc>
          <w:tcPr>
            <w:tcW w:w="1273" w:type="dxa"/>
            <w:tcBorders>
              <w:left w:val="nil"/>
              <w:bottom w:val="nil"/>
            </w:tcBorders>
            <w:shd w:val="clear" w:color="auto" w:fill="auto"/>
          </w:tcPr>
          <w:p w14:paraId="7745E557" w14:textId="77777777" w:rsidR="00DF61BC" w:rsidRPr="00C94C33" w:rsidRDefault="00DF61BC" w:rsidP="00751040">
            <w:pPr>
              <w:pStyle w:val="Tabletext"/>
            </w:pPr>
            <w:r w:rsidRPr="00C94C33">
              <w:t>n</w:t>
            </w:r>
          </w:p>
        </w:tc>
        <w:tc>
          <w:tcPr>
            <w:tcW w:w="1970" w:type="dxa"/>
            <w:tcBorders>
              <w:bottom w:val="nil"/>
            </w:tcBorders>
            <w:shd w:val="clear" w:color="auto" w:fill="auto"/>
          </w:tcPr>
          <w:p w14:paraId="4F7C3B08" w14:textId="77777777" w:rsidR="00DF61BC" w:rsidRPr="00C94C33" w:rsidRDefault="00DF61BC" w:rsidP="00751040">
            <w:pPr>
              <w:pStyle w:val="Tabletext"/>
            </w:pPr>
            <w:r w:rsidRPr="00C94C33">
              <w:t xml:space="preserve">0 </w:t>
            </w:r>
          </w:p>
        </w:tc>
        <w:tc>
          <w:tcPr>
            <w:tcW w:w="1830" w:type="dxa"/>
            <w:tcBorders>
              <w:bottom w:val="nil"/>
            </w:tcBorders>
            <w:shd w:val="clear" w:color="auto" w:fill="auto"/>
          </w:tcPr>
          <w:p w14:paraId="6BF188A1" w14:textId="77777777" w:rsidR="00DF61BC" w:rsidRPr="00C94C33" w:rsidRDefault="00DF61BC" w:rsidP="00751040">
            <w:pPr>
              <w:pStyle w:val="Tabletext"/>
            </w:pPr>
            <w:r w:rsidRPr="00C94C33">
              <w:t>0</w:t>
            </w:r>
          </w:p>
        </w:tc>
        <w:tc>
          <w:tcPr>
            <w:tcW w:w="1271" w:type="dxa"/>
            <w:tcBorders>
              <w:bottom w:val="nil"/>
            </w:tcBorders>
            <w:shd w:val="clear" w:color="auto" w:fill="auto"/>
          </w:tcPr>
          <w:p w14:paraId="2C1389D1" w14:textId="77777777" w:rsidR="00DF61BC" w:rsidRPr="00C94C33" w:rsidRDefault="00DF61BC" w:rsidP="00751040">
            <w:pPr>
              <w:pStyle w:val="Tabletext"/>
            </w:pPr>
            <w:r w:rsidRPr="00C94C33">
              <w:t>0</w:t>
            </w:r>
          </w:p>
        </w:tc>
        <w:tc>
          <w:tcPr>
            <w:tcW w:w="1264" w:type="dxa"/>
            <w:tcBorders>
              <w:bottom w:val="nil"/>
            </w:tcBorders>
            <w:shd w:val="clear" w:color="auto" w:fill="auto"/>
          </w:tcPr>
          <w:p w14:paraId="049ADE30" w14:textId="77777777" w:rsidR="00DF61BC" w:rsidRPr="00C94C33" w:rsidRDefault="00DF61BC" w:rsidP="00751040">
            <w:pPr>
              <w:pStyle w:val="Tabletext"/>
            </w:pPr>
            <w:r w:rsidRPr="00C94C33">
              <w:t>0</w:t>
            </w:r>
          </w:p>
        </w:tc>
      </w:tr>
      <w:tr w:rsidR="00DF61BC" w:rsidRPr="00C94C33" w14:paraId="64C6F1D4" w14:textId="77777777" w:rsidTr="00B5151B">
        <w:tc>
          <w:tcPr>
            <w:tcW w:w="1940" w:type="dxa"/>
            <w:tcBorders>
              <w:top w:val="nil"/>
              <w:bottom w:val="single" w:sz="4" w:space="0" w:color="auto"/>
              <w:right w:val="nil"/>
            </w:tcBorders>
            <w:shd w:val="clear" w:color="auto" w:fill="auto"/>
          </w:tcPr>
          <w:p w14:paraId="7941B5E0" w14:textId="77777777" w:rsidR="00DF61BC" w:rsidRPr="00C94C33" w:rsidRDefault="00DF61BC" w:rsidP="00751040">
            <w:pPr>
              <w:pStyle w:val="Tabletext"/>
            </w:pPr>
            <w:r w:rsidRPr="00C94C33">
              <w:t>TBIL &gt; 1.5x to ≤ 3x ULN, AST, any.</w:t>
            </w:r>
          </w:p>
        </w:tc>
        <w:tc>
          <w:tcPr>
            <w:tcW w:w="1273" w:type="dxa"/>
            <w:tcBorders>
              <w:top w:val="nil"/>
              <w:left w:val="nil"/>
              <w:bottom w:val="single" w:sz="4" w:space="0" w:color="auto"/>
            </w:tcBorders>
            <w:shd w:val="clear" w:color="auto" w:fill="auto"/>
          </w:tcPr>
          <w:p w14:paraId="68EB5D24" w14:textId="77777777" w:rsidR="00DF61BC" w:rsidRPr="00C94C33" w:rsidRDefault="00DF61BC" w:rsidP="00751040">
            <w:pPr>
              <w:pStyle w:val="Tabletext"/>
            </w:pPr>
            <w:r w:rsidRPr="00C94C33">
              <w:t>Mean ± SD (CV)</w:t>
            </w:r>
          </w:p>
        </w:tc>
        <w:tc>
          <w:tcPr>
            <w:tcW w:w="1970" w:type="dxa"/>
            <w:tcBorders>
              <w:top w:val="nil"/>
              <w:bottom w:val="single" w:sz="4" w:space="0" w:color="auto"/>
            </w:tcBorders>
            <w:shd w:val="clear" w:color="auto" w:fill="auto"/>
          </w:tcPr>
          <w:p w14:paraId="28611734" w14:textId="77777777" w:rsidR="00DF61BC" w:rsidRPr="00C94C33" w:rsidRDefault="00DF61BC" w:rsidP="00751040">
            <w:pPr>
              <w:pStyle w:val="Tabletext"/>
            </w:pPr>
            <w:r w:rsidRPr="00C94C33">
              <w:t xml:space="preserve">NA </w:t>
            </w:r>
          </w:p>
        </w:tc>
        <w:tc>
          <w:tcPr>
            <w:tcW w:w="1830" w:type="dxa"/>
            <w:tcBorders>
              <w:top w:val="nil"/>
              <w:bottom w:val="single" w:sz="4" w:space="0" w:color="auto"/>
            </w:tcBorders>
            <w:shd w:val="clear" w:color="auto" w:fill="auto"/>
          </w:tcPr>
          <w:p w14:paraId="2FC3F9A9" w14:textId="77777777" w:rsidR="00DF61BC" w:rsidRPr="00C94C33" w:rsidRDefault="00DF61BC" w:rsidP="00751040">
            <w:pPr>
              <w:pStyle w:val="Tabletext"/>
            </w:pPr>
            <w:r w:rsidRPr="00C94C33">
              <w:t>NA</w:t>
            </w:r>
          </w:p>
        </w:tc>
        <w:tc>
          <w:tcPr>
            <w:tcW w:w="1271" w:type="dxa"/>
            <w:tcBorders>
              <w:top w:val="nil"/>
              <w:bottom w:val="single" w:sz="4" w:space="0" w:color="auto"/>
            </w:tcBorders>
            <w:shd w:val="clear" w:color="auto" w:fill="auto"/>
          </w:tcPr>
          <w:p w14:paraId="0C4DA516" w14:textId="77777777" w:rsidR="00DF61BC" w:rsidRPr="00C94C33" w:rsidRDefault="00DF61BC" w:rsidP="00751040">
            <w:pPr>
              <w:pStyle w:val="Tabletext"/>
            </w:pPr>
            <w:r w:rsidRPr="00C94C33">
              <w:t xml:space="preserve">NA </w:t>
            </w:r>
          </w:p>
        </w:tc>
        <w:tc>
          <w:tcPr>
            <w:tcW w:w="1264" w:type="dxa"/>
            <w:tcBorders>
              <w:top w:val="nil"/>
              <w:bottom w:val="single" w:sz="4" w:space="0" w:color="auto"/>
            </w:tcBorders>
            <w:shd w:val="clear" w:color="auto" w:fill="auto"/>
          </w:tcPr>
          <w:p w14:paraId="19C2E48F" w14:textId="77777777" w:rsidR="00DF61BC" w:rsidRPr="00C94C33" w:rsidRDefault="00DF61BC" w:rsidP="00751040">
            <w:pPr>
              <w:pStyle w:val="Tabletext"/>
            </w:pPr>
            <w:r w:rsidRPr="00C94C33">
              <w:t>NA</w:t>
            </w:r>
          </w:p>
        </w:tc>
      </w:tr>
    </w:tbl>
    <w:p w14:paraId="486DBB78" w14:textId="77777777" w:rsidR="00AA7141" w:rsidRDefault="00DF61BC" w:rsidP="003E1712">
      <w:pPr>
        <w:pStyle w:val="TableDescription"/>
        <w:rPr>
          <w:sz w:val="18"/>
          <w:szCs w:val="18"/>
          <w:lang w:eastAsia="en-AU"/>
        </w:rPr>
      </w:pPr>
      <w:r w:rsidRPr="0048322F">
        <w:rPr>
          <w:sz w:val="18"/>
          <w:szCs w:val="18"/>
          <w:lang w:eastAsia="en-AU"/>
        </w:rPr>
        <w:t>AUC = Area under the curve (ng•hr/mL). BIL = Bilirubin. TBIL = Total bilirubin. FTD = trifluridine. TPI = Tipiracil.</w:t>
      </w:r>
    </w:p>
    <w:p w14:paraId="4546C80F" w14:textId="77777777" w:rsidR="00AA7141" w:rsidRDefault="00DF61BC" w:rsidP="004F44BB">
      <w:pPr>
        <w:autoSpaceDE w:val="0"/>
        <w:autoSpaceDN w:val="0"/>
        <w:adjustRightInd w:val="0"/>
        <w:spacing w:before="0" w:line="240" w:lineRule="auto"/>
        <w:rPr>
          <w:rFonts w:eastAsia="Times New Roman"/>
          <w:lang w:eastAsia="en-AU"/>
        </w:rPr>
      </w:pPr>
      <w:r w:rsidRPr="00C94C33">
        <w:rPr>
          <w:rFonts w:eastAsia="Times New Roman"/>
          <w:lang w:eastAsia="en-AU"/>
        </w:rPr>
        <w:t xml:space="preserve">The sponsor’s 120D Response also included non-compartmental PK data (Day 1 and Day 12) relating to hepatic function for patients from two </w:t>
      </w:r>
      <w:r w:rsidR="00842E8F" w:rsidRPr="00C94C33">
        <w:rPr>
          <w:rFonts w:eastAsia="Times New Roman"/>
          <w:lang w:eastAsia="en-AU"/>
        </w:rPr>
        <w:t>Phase I</w:t>
      </w:r>
      <w:r w:rsidRPr="00C94C33">
        <w:rPr>
          <w:rFonts w:eastAsia="Times New Roman"/>
          <w:lang w:eastAsia="en-AU"/>
        </w:rPr>
        <w:t xml:space="preserve"> studies (TPU-TAS-102-102; TPU-TAS102-103). Inspection of the data showed that mild hepatic impairment had no significant effect on FTD or TPI exposure (AUC</w:t>
      </w:r>
      <w:r w:rsidRPr="00C94C33">
        <w:rPr>
          <w:rFonts w:eastAsia="Times New Roman"/>
          <w:sz w:val="20"/>
          <w:szCs w:val="20"/>
          <w:lang w:eastAsia="en-AU"/>
        </w:rPr>
        <w:t>0-las</w:t>
      </w:r>
      <w:r w:rsidRPr="00C94C33">
        <w:rPr>
          <w:rFonts w:eastAsia="Times New Roman"/>
          <w:lang w:eastAsia="en-AU"/>
        </w:rPr>
        <w:t>t) on Day 1 or Day 12. However, the number of patients with moderate hepatic impairment (n ≤ 2) was too small to draw meaningful conclusions about the PK of FTD and TPI in this group, and there were no data in patients with severe hepatic impairment.</w:t>
      </w:r>
    </w:p>
    <w:p w14:paraId="04552500" w14:textId="55A8BC25" w:rsidR="00DF61BC" w:rsidRPr="00C94C33" w:rsidRDefault="00DF61BC" w:rsidP="005C2FCA">
      <w:pPr>
        <w:pStyle w:val="Comment"/>
      </w:pPr>
      <w:r w:rsidRPr="005C2FCA">
        <w:rPr>
          <w:b/>
        </w:rPr>
        <w:t>Comment:</w:t>
      </w:r>
      <w:r w:rsidRPr="007709B8">
        <w:t xml:space="preserve"> </w:t>
      </w:r>
      <w:r w:rsidR="00330EE4" w:rsidRPr="00C94C33">
        <w:t xml:space="preserve"> </w:t>
      </w:r>
      <w:r w:rsidRPr="00C94C33">
        <w:t>The available data indicate that mild hepatic impairment does not increase systemic exposure (AUC) to FTD or TPI following administration of TAS-102. However, there were no data in patients with moderate or severe hepatic impairment. The sponsor indicated that a PK hepatic impairment study (</w:t>
      </w:r>
      <w:r w:rsidR="00330EE4" w:rsidRPr="00C94C33">
        <w:t xml:space="preserve">Study </w:t>
      </w:r>
      <w:r w:rsidRPr="00C94C33">
        <w:t>TPU-TAS-102-106) will be completed by September 2017 and the CSR will be submitted to the EMA by the end of 2017.</w:t>
      </w:r>
    </w:p>
    <w:p w14:paraId="517925F9" w14:textId="77777777" w:rsidR="00DF61BC" w:rsidRPr="00C94C33" w:rsidRDefault="00DF61BC" w:rsidP="00955252">
      <w:pPr>
        <w:pStyle w:val="Heading4"/>
      </w:pPr>
      <w:bookmarkStart w:id="127" w:name="_Toc272414628"/>
      <w:bookmarkStart w:id="128" w:name="_Toc290846251"/>
      <w:bookmarkStart w:id="129" w:name="_Toc470948482"/>
      <w:r w:rsidRPr="00C94C33">
        <w:t>Pharmacokinetics in subjects with impaired renal function</w:t>
      </w:r>
      <w:bookmarkEnd w:id="127"/>
      <w:bookmarkEnd w:id="128"/>
      <w:bookmarkEnd w:id="129"/>
    </w:p>
    <w:p w14:paraId="2FB2AB68" w14:textId="0C9D94FF" w:rsidR="00DF61BC" w:rsidRPr="00C94C33" w:rsidRDefault="00DF61BC" w:rsidP="00DF0358">
      <w:pPr>
        <w:autoSpaceDE w:val="0"/>
        <w:autoSpaceDN w:val="0"/>
        <w:adjustRightInd w:val="0"/>
        <w:spacing w:before="0" w:line="240" w:lineRule="auto"/>
        <w:rPr>
          <w:rFonts w:eastAsia="TimesNewRoman" w:cs="TimesNewRoman"/>
          <w:lang w:eastAsia="en-AU"/>
        </w:rPr>
      </w:pPr>
      <w:r w:rsidRPr="00C94C33">
        <w:rPr>
          <w:rFonts w:eastAsia="Times New Roman" w:cs="TimesNewRomanPSMT"/>
          <w:color w:val="000000"/>
          <w:lang w:eastAsia="en-AU"/>
        </w:rPr>
        <w:t>No dedicated clinical studies evaluating the effect of renal impairment on the PK of TAS-102 were submitted. In the population PK analysis, the mean ± SD CLCR of the patients included in the dataset (</w:t>
      </w:r>
      <w:r w:rsidR="009C0389" w:rsidRPr="00C94C33">
        <w:rPr>
          <w:rFonts w:eastAsia="Times New Roman" w:cs="TimesNewRomanPSMT"/>
          <w:color w:val="000000"/>
          <w:lang w:eastAsia="en-AU"/>
        </w:rPr>
        <w:t xml:space="preserve">n = </w:t>
      </w:r>
      <w:r w:rsidRPr="00C94C33">
        <w:rPr>
          <w:rFonts w:eastAsia="Times New Roman" w:cs="TimesNewRomanPSMT"/>
          <w:color w:val="000000"/>
          <w:lang w:eastAsia="en-AU"/>
        </w:rPr>
        <w:t xml:space="preserve">238) was 103 ± 34 ml/minute (CV = 32.5%), with a median value of 103 mL/minute and a range of from 35 to 200 mL/minute. </w:t>
      </w:r>
      <w:r w:rsidRPr="00C94C33">
        <w:rPr>
          <w:rFonts w:eastAsia="TimesNewRoman" w:cs="TimesNewRoman"/>
          <w:color w:val="000000"/>
          <w:lang w:eastAsia="en-AU"/>
        </w:rPr>
        <w:t xml:space="preserve">CLCR was a significant covariate for the CL/F of both FTD and TPI, with positive correlations being observed between CLCR and the CL/F of FTD and TPI. Urinary excretion was the main elimination route for TPI, but was a minor route of excretion for FTD. </w:t>
      </w:r>
      <w:r w:rsidRPr="00C94C33">
        <w:rPr>
          <w:rFonts w:eastAsia="TimesNewRoman" w:cs="TimesNewRoman"/>
          <w:lang w:eastAsia="en-AU"/>
        </w:rPr>
        <w:t>However, since TPI is a pharmacokinetic modulator that enhances the systemic exposure of FTD by inhibiting TPase, the CL/F of FTD would be influenced by TPI plasma concentration.  Therefore, increased plasma concentrations of TPI in patients with renal impairment would be expected to increase systemic exposure to FTD. Based on the final model developed for CL/F of FTD, the mean relative ratio of AUC in patients with mild renal impairment (CLCR = 60 to 89 mL/min) and moderate renal impairment (CLCR = 30 to 59 mL/min) compared to patients with typical renal function (median CLCR = 103 mL/min) were estimated to be 1.08 to 1.32 and 1.33 to 1.87, respectively. The increment in AUC for FTD in patients with mild renal impairment was similar to the range of inter-individual variability for CL/F for FTD (CV = 32.2%), but was greater in patients with moderate renal impairment than inter-individual variability.</w:t>
      </w:r>
    </w:p>
    <w:p w14:paraId="74668879" w14:textId="3BB49DE0" w:rsidR="00DF61BC" w:rsidRPr="00C94C33" w:rsidRDefault="00DF61BC" w:rsidP="00DF0358">
      <w:pPr>
        <w:autoSpaceDE w:val="0"/>
        <w:autoSpaceDN w:val="0"/>
        <w:adjustRightInd w:val="0"/>
        <w:spacing w:before="0" w:line="240" w:lineRule="auto"/>
        <w:rPr>
          <w:rFonts w:eastAsia="Times New Roman"/>
          <w:lang w:eastAsia="en-AU"/>
        </w:rPr>
      </w:pPr>
      <w:r w:rsidRPr="00C94C33">
        <w:rPr>
          <w:rFonts w:eastAsia="Times New Roman" w:cs="TimesNewRomanPSMT"/>
          <w:color w:val="000000"/>
          <w:lang w:eastAsia="en-AU"/>
        </w:rPr>
        <w:t xml:space="preserve">The sponsor’s 120D Response included additional analyses based on renal function in patients from the pivotal study </w:t>
      </w:r>
      <w:r w:rsidR="00A0007E" w:rsidRPr="00C94C33">
        <w:rPr>
          <w:rFonts w:eastAsia="Times New Roman" w:cs="TimesNewRomanPSMT"/>
          <w:color w:val="000000"/>
          <w:lang w:eastAsia="en-AU"/>
        </w:rPr>
        <w:t>(</w:t>
      </w:r>
      <w:r w:rsidRPr="00C94C33">
        <w:rPr>
          <w:rFonts w:eastAsia="Times New Roman" w:cs="TimesNewRomanPSMT"/>
          <w:color w:val="000000"/>
          <w:lang w:eastAsia="en-AU"/>
        </w:rPr>
        <w:t>RECOURSE</w:t>
      </w:r>
      <w:r w:rsidR="00330EE4" w:rsidRPr="00C94C33">
        <w:rPr>
          <w:rFonts w:eastAsia="Times New Roman" w:cs="TimesNewRomanPSMT"/>
          <w:color w:val="000000"/>
          <w:lang w:eastAsia="en-AU"/>
        </w:rPr>
        <w:t xml:space="preserve"> trial</w:t>
      </w:r>
      <w:r w:rsidR="00A0007E" w:rsidRPr="00C94C33">
        <w:rPr>
          <w:rFonts w:eastAsia="Times New Roman" w:cs="TimesNewRomanPSMT"/>
          <w:color w:val="000000"/>
          <w:lang w:eastAsia="en-AU"/>
        </w:rPr>
        <w:t>)</w:t>
      </w:r>
      <w:r w:rsidRPr="00C94C33">
        <w:rPr>
          <w:rFonts w:eastAsia="Times New Roman" w:cs="TimesNewRomanPSMT"/>
          <w:color w:val="000000"/>
          <w:lang w:eastAsia="en-AU"/>
        </w:rPr>
        <w:t xml:space="preserve"> who contributed data to the population PK analysis. The </w:t>
      </w:r>
      <w:r w:rsidRPr="00C94C33">
        <w:rPr>
          <w:rFonts w:eastAsia="Times New Roman" w:cs="TimesNewRomanPSMT"/>
          <w:color w:val="000000"/>
          <w:lang w:eastAsia="en-AU"/>
        </w:rPr>
        <w:lastRenderedPageBreak/>
        <w:t xml:space="preserve">population PK analysis included 84 patients from RECOURSE with normal renal function, 38 patients with mild renal impairment and 16 patients with moderate renal impairment. Based on the patients from RECOURSE included in the population PK analysis, </w:t>
      </w:r>
      <w:r w:rsidRPr="00C94C33">
        <w:rPr>
          <w:rFonts w:eastAsia="Times New Roman"/>
          <w:lang w:eastAsia="en-AU"/>
        </w:rPr>
        <w:t>exposure (AUC) to FTD was 31% higher in patients with mild renal impairment compared to patients with normal renal function and 43% higher in patients with moderate renal impairment compared to patients with normal renal function, with the corresponding values for TPI being 34% and 65%, respectively.  The results for patients from RECOURSE included in the population analysis are summarised below.</w:t>
      </w:r>
    </w:p>
    <w:p w14:paraId="1C8E860A" w14:textId="37C353BA" w:rsidR="00DF61BC" w:rsidRPr="00C94C33" w:rsidRDefault="00DF61BC" w:rsidP="00DF0358">
      <w:pPr>
        <w:pStyle w:val="Tabletitle"/>
        <w:rPr>
          <w:lang w:eastAsia="en-AU"/>
        </w:rPr>
      </w:pPr>
      <w:bookmarkStart w:id="130" w:name="_Toc470948668"/>
      <w:r w:rsidRPr="00C94C33">
        <w:rPr>
          <w:kern w:val="16"/>
          <w:lang w:eastAsia="en-AU"/>
        </w:rPr>
        <w:t xml:space="preserve">Table </w:t>
      </w:r>
      <w:r w:rsidR="00DF0358" w:rsidRPr="00C94C33">
        <w:rPr>
          <w:kern w:val="16"/>
          <w:lang w:eastAsia="en-AU"/>
        </w:rPr>
        <w:t xml:space="preserve">19: </w:t>
      </w:r>
      <w:r w:rsidRPr="00C94C33">
        <w:rPr>
          <w:lang w:eastAsia="en-AU"/>
        </w:rPr>
        <w:t>RECOURSE</w:t>
      </w:r>
      <w:r w:rsidR="00330EE4" w:rsidRPr="00C94C33">
        <w:rPr>
          <w:lang w:eastAsia="en-AU"/>
        </w:rPr>
        <w:t xml:space="preserve"> trial</w:t>
      </w:r>
      <w:r w:rsidRPr="00C94C33">
        <w:rPr>
          <w:lang w:eastAsia="en-AU"/>
        </w:rPr>
        <w:t xml:space="preserve"> (patients included in the population PK analysis)</w:t>
      </w:r>
      <w:r w:rsidR="00330EE4" w:rsidRPr="00C94C33">
        <w:rPr>
          <w:lang w:eastAsia="en-AU"/>
        </w:rPr>
        <w:t xml:space="preserve">; </w:t>
      </w:r>
      <w:r w:rsidRPr="00C94C33">
        <w:rPr>
          <w:lang w:eastAsia="en-AU"/>
        </w:rPr>
        <w:t>Summary of AUC for FTD and TPI for renal function groups</w:t>
      </w:r>
      <w:bookmarkEnd w:id="130"/>
    </w:p>
    <w:tbl>
      <w:tblPr>
        <w:tblStyle w:val="TableGrid7"/>
        <w:tblW w:w="9649" w:type="dxa"/>
        <w:tblLook w:val="04A0" w:firstRow="1" w:lastRow="0" w:firstColumn="1" w:lastColumn="0" w:noHBand="0" w:noVBand="1"/>
        <w:tblDescription w:val="Table 19: RECOURSE trial (patients included in the population PK analysis); Summary of AUC for FTD and TPI for renal function groups"/>
      </w:tblPr>
      <w:tblGrid>
        <w:gridCol w:w="2040"/>
        <w:gridCol w:w="1865"/>
        <w:gridCol w:w="2014"/>
        <w:gridCol w:w="1865"/>
        <w:gridCol w:w="1865"/>
      </w:tblGrid>
      <w:tr w:rsidR="00DF61BC" w:rsidRPr="00C94C33" w14:paraId="47D78DC1" w14:textId="77777777" w:rsidTr="007B0D96">
        <w:trPr>
          <w:tblHeader/>
        </w:trPr>
        <w:tc>
          <w:tcPr>
            <w:tcW w:w="2040" w:type="dxa"/>
            <w:tcBorders>
              <w:top w:val="single" w:sz="4" w:space="0" w:color="auto"/>
              <w:right w:val="nil"/>
            </w:tcBorders>
            <w:shd w:val="clear" w:color="auto" w:fill="auto"/>
          </w:tcPr>
          <w:p w14:paraId="22B8FFAE" w14:textId="77777777" w:rsidR="00DF61BC" w:rsidRPr="00C94C33" w:rsidRDefault="00DF61BC" w:rsidP="00751040">
            <w:pPr>
              <w:pStyle w:val="TableHeading"/>
            </w:pPr>
            <w:r w:rsidRPr="00C94C33">
              <w:t xml:space="preserve">Renal Function </w:t>
            </w:r>
          </w:p>
        </w:tc>
        <w:tc>
          <w:tcPr>
            <w:tcW w:w="1865" w:type="dxa"/>
            <w:tcBorders>
              <w:top w:val="single" w:sz="4" w:space="0" w:color="auto"/>
              <w:left w:val="nil"/>
            </w:tcBorders>
            <w:shd w:val="clear" w:color="auto" w:fill="auto"/>
          </w:tcPr>
          <w:p w14:paraId="2E358C15" w14:textId="77777777" w:rsidR="00DF61BC" w:rsidRPr="00C94C33" w:rsidRDefault="00DF61BC" w:rsidP="00751040">
            <w:pPr>
              <w:pStyle w:val="TableHeading"/>
            </w:pPr>
            <w:r w:rsidRPr="00C94C33">
              <w:t xml:space="preserve">Parameter </w:t>
            </w:r>
          </w:p>
        </w:tc>
        <w:tc>
          <w:tcPr>
            <w:tcW w:w="2014" w:type="dxa"/>
            <w:tcBorders>
              <w:top w:val="single" w:sz="4" w:space="0" w:color="auto"/>
            </w:tcBorders>
            <w:shd w:val="clear" w:color="auto" w:fill="auto"/>
          </w:tcPr>
          <w:p w14:paraId="574BBB3F" w14:textId="77777777" w:rsidR="00DF61BC" w:rsidRPr="00C94C33" w:rsidRDefault="00DF61BC" w:rsidP="00751040">
            <w:pPr>
              <w:pStyle w:val="TableHeading"/>
            </w:pPr>
            <w:r w:rsidRPr="00C94C33">
              <w:t xml:space="preserve">FTD AUC (daily) Day 12 </w:t>
            </w:r>
          </w:p>
        </w:tc>
        <w:tc>
          <w:tcPr>
            <w:tcW w:w="1865" w:type="dxa"/>
            <w:shd w:val="clear" w:color="auto" w:fill="auto"/>
          </w:tcPr>
          <w:p w14:paraId="0F5B53E1" w14:textId="77777777" w:rsidR="00DF61BC" w:rsidRPr="00C94C33" w:rsidRDefault="00DF61BC" w:rsidP="00751040">
            <w:pPr>
              <w:pStyle w:val="TableHeading"/>
            </w:pPr>
            <w:r w:rsidRPr="00C94C33">
              <w:t xml:space="preserve">TPI AUC (daily) Day 12 </w:t>
            </w:r>
          </w:p>
        </w:tc>
        <w:tc>
          <w:tcPr>
            <w:tcW w:w="1865" w:type="dxa"/>
            <w:shd w:val="clear" w:color="auto" w:fill="auto"/>
          </w:tcPr>
          <w:p w14:paraId="3DAD991C" w14:textId="77777777" w:rsidR="00DF61BC" w:rsidRPr="00C94C33" w:rsidRDefault="00DF61BC" w:rsidP="00751040">
            <w:pPr>
              <w:pStyle w:val="TableHeading"/>
            </w:pPr>
            <w:r w:rsidRPr="00C94C33">
              <w:t xml:space="preserve">CLCr Baseline </w:t>
            </w:r>
          </w:p>
        </w:tc>
      </w:tr>
      <w:tr w:rsidR="00DF61BC" w:rsidRPr="00C94C33" w14:paraId="4BB4B3BC" w14:textId="77777777" w:rsidTr="00B5151B">
        <w:tc>
          <w:tcPr>
            <w:tcW w:w="2040" w:type="dxa"/>
            <w:tcBorders>
              <w:bottom w:val="nil"/>
              <w:right w:val="nil"/>
            </w:tcBorders>
            <w:shd w:val="clear" w:color="auto" w:fill="auto"/>
          </w:tcPr>
          <w:p w14:paraId="33660300" w14:textId="77777777" w:rsidR="00DF61BC" w:rsidRPr="00C94C33" w:rsidRDefault="00DF61BC" w:rsidP="00751040">
            <w:pPr>
              <w:pStyle w:val="Tabletext"/>
            </w:pPr>
            <w:r w:rsidRPr="00C94C33">
              <w:t xml:space="preserve">Normal </w:t>
            </w:r>
          </w:p>
        </w:tc>
        <w:tc>
          <w:tcPr>
            <w:tcW w:w="1865" w:type="dxa"/>
            <w:tcBorders>
              <w:left w:val="nil"/>
              <w:bottom w:val="nil"/>
            </w:tcBorders>
            <w:shd w:val="clear" w:color="auto" w:fill="auto"/>
          </w:tcPr>
          <w:p w14:paraId="6B8DE154" w14:textId="77777777" w:rsidR="00DF61BC" w:rsidRPr="00C94C33" w:rsidRDefault="00DF61BC" w:rsidP="00751040">
            <w:pPr>
              <w:pStyle w:val="Tabletext"/>
            </w:pPr>
            <w:r w:rsidRPr="00C94C33">
              <w:t>n</w:t>
            </w:r>
          </w:p>
        </w:tc>
        <w:tc>
          <w:tcPr>
            <w:tcW w:w="2014" w:type="dxa"/>
            <w:tcBorders>
              <w:bottom w:val="nil"/>
            </w:tcBorders>
            <w:shd w:val="clear" w:color="auto" w:fill="auto"/>
          </w:tcPr>
          <w:p w14:paraId="3D0A348C" w14:textId="77777777" w:rsidR="00DF61BC" w:rsidRPr="00C94C33" w:rsidRDefault="00DF61BC" w:rsidP="00751040">
            <w:pPr>
              <w:pStyle w:val="Tabletext"/>
            </w:pPr>
            <w:r w:rsidRPr="00C94C33">
              <w:t>84</w:t>
            </w:r>
          </w:p>
        </w:tc>
        <w:tc>
          <w:tcPr>
            <w:tcW w:w="1865" w:type="dxa"/>
            <w:tcBorders>
              <w:bottom w:val="nil"/>
            </w:tcBorders>
            <w:shd w:val="clear" w:color="auto" w:fill="auto"/>
          </w:tcPr>
          <w:p w14:paraId="4B8EC164" w14:textId="77777777" w:rsidR="00DF61BC" w:rsidRPr="00C94C33" w:rsidRDefault="00DF61BC" w:rsidP="00751040">
            <w:pPr>
              <w:pStyle w:val="Tabletext"/>
            </w:pPr>
            <w:r w:rsidRPr="00C94C33">
              <w:t xml:space="preserve">84 </w:t>
            </w:r>
          </w:p>
        </w:tc>
        <w:tc>
          <w:tcPr>
            <w:tcW w:w="1865" w:type="dxa"/>
            <w:tcBorders>
              <w:bottom w:val="nil"/>
            </w:tcBorders>
            <w:shd w:val="clear" w:color="auto" w:fill="auto"/>
          </w:tcPr>
          <w:p w14:paraId="3E9DEDB3" w14:textId="77777777" w:rsidR="00DF61BC" w:rsidRPr="00C94C33" w:rsidRDefault="00DF61BC" w:rsidP="00751040">
            <w:pPr>
              <w:pStyle w:val="Tabletext"/>
            </w:pPr>
            <w:r w:rsidRPr="00C94C33">
              <w:t xml:space="preserve">83 </w:t>
            </w:r>
          </w:p>
        </w:tc>
      </w:tr>
      <w:tr w:rsidR="00DF61BC" w:rsidRPr="00C94C33" w14:paraId="3D8CAF83" w14:textId="77777777" w:rsidTr="00B5151B">
        <w:tc>
          <w:tcPr>
            <w:tcW w:w="2040" w:type="dxa"/>
            <w:tcBorders>
              <w:top w:val="nil"/>
              <w:bottom w:val="nil"/>
              <w:right w:val="nil"/>
            </w:tcBorders>
            <w:shd w:val="clear" w:color="auto" w:fill="auto"/>
          </w:tcPr>
          <w:p w14:paraId="6E60069D" w14:textId="77777777" w:rsidR="00DF61BC" w:rsidRPr="00C94C33" w:rsidRDefault="00DF61BC" w:rsidP="00751040">
            <w:pPr>
              <w:pStyle w:val="Tabletext"/>
            </w:pPr>
            <w:r w:rsidRPr="00C94C33">
              <w:t xml:space="preserve">(CLcr ≥ 90 mL/minute </w:t>
            </w:r>
          </w:p>
        </w:tc>
        <w:tc>
          <w:tcPr>
            <w:tcW w:w="1865" w:type="dxa"/>
            <w:tcBorders>
              <w:top w:val="nil"/>
              <w:left w:val="nil"/>
              <w:bottom w:val="nil"/>
            </w:tcBorders>
            <w:shd w:val="clear" w:color="auto" w:fill="auto"/>
          </w:tcPr>
          <w:p w14:paraId="74EAB4A3" w14:textId="77777777" w:rsidR="00DF61BC" w:rsidRPr="00C94C33" w:rsidRDefault="00DF61BC" w:rsidP="00751040">
            <w:pPr>
              <w:pStyle w:val="Tabletext"/>
            </w:pPr>
            <w:r w:rsidRPr="00C94C33">
              <w:t>Mean ± SD (CV)</w:t>
            </w:r>
          </w:p>
        </w:tc>
        <w:tc>
          <w:tcPr>
            <w:tcW w:w="2014" w:type="dxa"/>
            <w:tcBorders>
              <w:top w:val="nil"/>
              <w:bottom w:val="nil"/>
            </w:tcBorders>
            <w:shd w:val="clear" w:color="auto" w:fill="auto"/>
          </w:tcPr>
          <w:p w14:paraId="6B20B7F0" w14:textId="77777777" w:rsidR="00DF61BC" w:rsidRPr="00C94C33" w:rsidRDefault="00DF61BC" w:rsidP="00751040">
            <w:pPr>
              <w:pStyle w:val="Tabletext"/>
            </w:pPr>
            <w:r w:rsidRPr="00C94C33">
              <w:t>38812 ± 10905 (28%)</w:t>
            </w:r>
          </w:p>
        </w:tc>
        <w:tc>
          <w:tcPr>
            <w:tcW w:w="1865" w:type="dxa"/>
            <w:tcBorders>
              <w:top w:val="nil"/>
              <w:bottom w:val="nil"/>
            </w:tcBorders>
            <w:shd w:val="clear" w:color="auto" w:fill="auto"/>
          </w:tcPr>
          <w:p w14:paraId="613D7396" w14:textId="77777777" w:rsidR="00DF61BC" w:rsidRPr="00C94C33" w:rsidRDefault="00DF61BC" w:rsidP="00751040">
            <w:pPr>
              <w:pStyle w:val="Tabletext"/>
            </w:pPr>
            <w:r w:rsidRPr="00C94C33">
              <w:t>631 ± 301 (48%)</w:t>
            </w:r>
          </w:p>
        </w:tc>
        <w:tc>
          <w:tcPr>
            <w:tcW w:w="1865" w:type="dxa"/>
            <w:tcBorders>
              <w:top w:val="nil"/>
              <w:bottom w:val="nil"/>
            </w:tcBorders>
            <w:shd w:val="clear" w:color="auto" w:fill="auto"/>
          </w:tcPr>
          <w:p w14:paraId="0D883602" w14:textId="77777777" w:rsidR="00DF61BC" w:rsidRPr="00C94C33" w:rsidRDefault="00DF61BC" w:rsidP="00751040">
            <w:pPr>
              <w:pStyle w:val="Tabletext"/>
            </w:pPr>
            <w:r w:rsidRPr="00C94C33">
              <w:t>122 ± 20 (16.3%)</w:t>
            </w:r>
          </w:p>
        </w:tc>
      </w:tr>
      <w:tr w:rsidR="00DF61BC" w:rsidRPr="00C94C33" w14:paraId="1FD61F01" w14:textId="77777777" w:rsidTr="00B5151B">
        <w:tc>
          <w:tcPr>
            <w:tcW w:w="2040" w:type="dxa"/>
            <w:tcBorders>
              <w:top w:val="nil"/>
              <w:right w:val="nil"/>
            </w:tcBorders>
            <w:shd w:val="clear" w:color="auto" w:fill="auto"/>
          </w:tcPr>
          <w:p w14:paraId="593604B0" w14:textId="77777777" w:rsidR="00DF61BC" w:rsidRPr="00C94C33" w:rsidRDefault="00DF61BC" w:rsidP="00751040">
            <w:pPr>
              <w:pStyle w:val="Tabletext"/>
            </w:pPr>
          </w:p>
        </w:tc>
        <w:tc>
          <w:tcPr>
            <w:tcW w:w="1865" w:type="dxa"/>
            <w:tcBorders>
              <w:top w:val="nil"/>
              <w:left w:val="nil"/>
            </w:tcBorders>
            <w:shd w:val="clear" w:color="auto" w:fill="auto"/>
          </w:tcPr>
          <w:p w14:paraId="085EB473" w14:textId="77777777" w:rsidR="00DF61BC" w:rsidRPr="00C94C33" w:rsidRDefault="00DF61BC" w:rsidP="00751040">
            <w:pPr>
              <w:pStyle w:val="Tabletext"/>
            </w:pPr>
            <w:r w:rsidRPr="00C94C33">
              <w:t>GM Ratio (95% CI)</w:t>
            </w:r>
          </w:p>
        </w:tc>
        <w:tc>
          <w:tcPr>
            <w:tcW w:w="2014" w:type="dxa"/>
            <w:tcBorders>
              <w:top w:val="nil"/>
            </w:tcBorders>
            <w:shd w:val="clear" w:color="auto" w:fill="auto"/>
          </w:tcPr>
          <w:p w14:paraId="343D5175" w14:textId="77777777" w:rsidR="00DF61BC" w:rsidRPr="00C94C33" w:rsidRDefault="00DF61BC" w:rsidP="00751040">
            <w:pPr>
              <w:pStyle w:val="Tabletext"/>
            </w:pPr>
            <w:r w:rsidRPr="00C94C33">
              <w:t>-</w:t>
            </w:r>
          </w:p>
        </w:tc>
        <w:tc>
          <w:tcPr>
            <w:tcW w:w="1865" w:type="dxa"/>
            <w:tcBorders>
              <w:top w:val="nil"/>
            </w:tcBorders>
            <w:shd w:val="clear" w:color="auto" w:fill="auto"/>
          </w:tcPr>
          <w:p w14:paraId="2F6AB964" w14:textId="77777777" w:rsidR="00DF61BC" w:rsidRPr="00C94C33" w:rsidRDefault="00DF61BC" w:rsidP="00751040">
            <w:pPr>
              <w:pStyle w:val="Tabletext"/>
            </w:pPr>
            <w:r w:rsidRPr="00C94C33">
              <w:t xml:space="preserve">- </w:t>
            </w:r>
          </w:p>
        </w:tc>
        <w:tc>
          <w:tcPr>
            <w:tcW w:w="1865" w:type="dxa"/>
            <w:tcBorders>
              <w:top w:val="nil"/>
            </w:tcBorders>
            <w:shd w:val="clear" w:color="auto" w:fill="auto"/>
          </w:tcPr>
          <w:p w14:paraId="2C56FA89" w14:textId="77777777" w:rsidR="00DF61BC" w:rsidRPr="00C94C33" w:rsidRDefault="00DF61BC" w:rsidP="00751040">
            <w:pPr>
              <w:pStyle w:val="Tabletext"/>
            </w:pPr>
            <w:r w:rsidRPr="00C94C33">
              <w:t xml:space="preserve">- </w:t>
            </w:r>
          </w:p>
        </w:tc>
      </w:tr>
      <w:tr w:rsidR="00DF61BC" w:rsidRPr="00C94C33" w14:paraId="41070869" w14:textId="77777777" w:rsidTr="00B5151B">
        <w:tc>
          <w:tcPr>
            <w:tcW w:w="2040" w:type="dxa"/>
            <w:tcBorders>
              <w:bottom w:val="nil"/>
              <w:right w:val="nil"/>
            </w:tcBorders>
            <w:shd w:val="clear" w:color="auto" w:fill="auto"/>
          </w:tcPr>
          <w:p w14:paraId="74703CE8" w14:textId="77777777" w:rsidR="00DF61BC" w:rsidRPr="00C94C33" w:rsidRDefault="00DF61BC" w:rsidP="00751040">
            <w:pPr>
              <w:pStyle w:val="Tabletext"/>
            </w:pPr>
            <w:r w:rsidRPr="00C94C33">
              <w:t xml:space="preserve">Mild Impairment </w:t>
            </w:r>
          </w:p>
        </w:tc>
        <w:tc>
          <w:tcPr>
            <w:tcW w:w="1865" w:type="dxa"/>
            <w:tcBorders>
              <w:left w:val="nil"/>
              <w:bottom w:val="nil"/>
            </w:tcBorders>
            <w:shd w:val="clear" w:color="auto" w:fill="auto"/>
          </w:tcPr>
          <w:p w14:paraId="10DD7E6E" w14:textId="77777777" w:rsidR="00DF61BC" w:rsidRPr="00C94C33" w:rsidRDefault="00DF61BC" w:rsidP="00751040">
            <w:pPr>
              <w:pStyle w:val="Tabletext"/>
            </w:pPr>
            <w:r w:rsidRPr="00C94C33">
              <w:t>n</w:t>
            </w:r>
          </w:p>
        </w:tc>
        <w:tc>
          <w:tcPr>
            <w:tcW w:w="2014" w:type="dxa"/>
            <w:tcBorders>
              <w:bottom w:val="nil"/>
            </w:tcBorders>
            <w:shd w:val="clear" w:color="auto" w:fill="auto"/>
          </w:tcPr>
          <w:p w14:paraId="1C47F60A" w14:textId="77777777" w:rsidR="00DF61BC" w:rsidRPr="00C94C33" w:rsidRDefault="00DF61BC" w:rsidP="00751040">
            <w:pPr>
              <w:pStyle w:val="Tabletext"/>
            </w:pPr>
            <w:r w:rsidRPr="00C94C33">
              <w:t xml:space="preserve">38 </w:t>
            </w:r>
          </w:p>
        </w:tc>
        <w:tc>
          <w:tcPr>
            <w:tcW w:w="1865" w:type="dxa"/>
            <w:tcBorders>
              <w:bottom w:val="nil"/>
            </w:tcBorders>
            <w:shd w:val="clear" w:color="auto" w:fill="auto"/>
          </w:tcPr>
          <w:p w14:paraId="0FB69A54" w14:textId="77777777" w:rsidR="00DF61BC" w:rsidRPr="00C94C33" w:rsidRDefault="00DF61BC" w:rsidP="00751040">
            <w:pPr>
              <w:pStyle w:val="Tabletext"/>
            </w:pPr>
            <w:r w:rsidRPr="00C94C33">
              <w:t xml:space="preserve">38 </w:t>
            </w:r>
          </w:p>
        </w:tc>
        <w:tc>
          <w:tcPr>
            <w:tcW w:w="1865" w:type="dxa"/>
            <w:tcBorders>
              <w:bottom w:val="nil"/>
            </w:tcBorders>
            <w:shd w:val="clear" w:color="auto" w:fill="auto"/>
          </w:tcPr>
          <w:p w14:paraId="6B4B40EF" w14:textId="77777777" w:rsidR="00DF61BC" w:rsidRPr="00C94C33" w:rsidRDefault="00DF61BC" w:rsidP="00751040">
            <w:pPr>
              <w:pStyle w:val="Tabletext"/>
            </w:pPr>
            <w:r w:rsidRPr="00C94C33">
              <w:t xml:space="preserve">38 </w:t>
            </w:r>
          </w:p>
        </w:tc>
      </w:tr>
      <w:tr w:rsidR="00DF61BC" w:rsidRPr="00C94C33" w14:paraId="65AA272B" w14:textId="77777777" w:rsidTr="00B5151B">
        <w:tc>
          <w:tcPr>
            <w:tcW w:w="2040" w:type="dxa"/>
            <w:tcBorders>
              <w:top w:val="nil"/>
              <w:bottom w:val="nil"/>
              <w:right w:val="nil"/>
            </w:tcBorders>
            <w:shd w:val="clear" w:color="auto" w:fill="auto"/>
          </w:tcPr>
          <w:p w14:paraId="45DA7A16" w14:textId="77777777" w:rsidR="00DF61BC" w:rsidRPr="00C94C33" w:rsidRDefault="00DF61BC" w:rsidP="00751040">
            <w:pPr>
              <w:pStyle w:val="Tabletext"/>
            </w:pPr>
            <w:r w:rsidRPr="00C94C33">
              <w:t>(CLcr 60-89 mL/minute)</w:t>
            </w:r>
          </w:p>
        </w:tc>
        <w:tc>
          <w:tcPr>
            <w:tcW w:w="1865" w:type="dxa"/>
            <w:tcBorders>
              <w:top w:val="nil"/>
              <w:left w:val="nil"/>
              <w:bottom w:val="nil"/>
            </w:tcBorders>
            <w:shd w:val="clear" w:color="auto" w:fill="auto"/>
          </w:tcPr>
          <w:p w14:paraId="698A84F1" w14:textId="77777777" w:rsidR="00DF61BC" w:rsidRPr="00C94C33" w:rsidRDefault="00DF61BC" w:rsidP="00751040">
            <w:pPr>
              <w:pStyle w:val="Tabletext"/>
            </w:pPr>
            <w:r w:rsidRPr="00C94C33">
              <w:t>Mean ± SD (CV)</w:t>
            </w:r>
          </w:p>
        </w:tc>
        <w:tc>
          <w:tcPr>
            <w:tcW w:w="2014" w:type="dxa"/>
            <w:tcBorders>
              <w:top w:val="nil"/>
              <w:bottom w:val="nil"/>
            </w:tcBorders>
            <w:shd w:val="clear" w:color="auto" w:fill="auto"/>
          </w:tcPr>
          <w:p w14:paraId="021B016C" w14:textId="77777777" w:rsidR="00DF61BC" w:rsidRPr="00C94C33" w:rsidRDefault="00DF61BC" w:rsidP="00751040">
            <w:pPr>
              <w:pStyle w:val="Tabletext"/>
            </w:pPr>
            <w:r w:rsidRPr="00C94C33">
              <w:t>50178 ± 11836 (34%)</w:t>
            </w:r>
          </w:p>
        </w:tc>
        <w:tc>
          <w:tcPr>
            <w:tcW w:w="1865" w:type="dxa"/>
            <w:tcBorders>
              <w:top w:val="nil"/>
              <w:bottom w:val="nil"/>
            </w:tcBorders>
            <w:shd w:val="clear" w:color="auto" w:fill="auto"/>
          </w:tcPr>
          <w:p w14:paraId="611246FA" w14:textId="77777777" w:rsidR="00DF61BC" w:rsidRPr="00C94C33" w:rsidRDefault="00DF61BC" w:rsidP="00751040">
            <w:pPr>
              <w:pStyle w:val="Tabletext"/>
            </w:pPr>
            <w:r w:rsidRPr="00C94C33">
              <w:t>826 ± 343 (42%)</w:t>
            </w:r>
          </w:p>
        </w:tc>
        <w:tc>
          <w:tcPr>
            <w:tcW w:w="1865" w:type="dxa"/>
            <w:tcBorders>
              <w:top w:val="nil"/>
              <w:bottom w:val="nil"/>
            </w:tcBorders>
            <w:shd w:val="clear" w:color="auto" w:fill="auto"/>
          </w:tcPr>
          <w:p w14:paraId="1539CE40" w14:textId="77777777" w:rsidR="00DF61BC" w:rsidRPr="00C94C33" w:rsidRDefault="00DF61BC" w:rsidP="00751040">
            <w:pPr>
              <w:pStyle w:val="Tabletext"/>
            </w:pPr>
            <w:r w:rsidRPr="00C94C33">
              <w:t>75 ± 10 (13.5%)</w:t>
            </w:r>
          </w:p>
        </w:tc>
      </w:tr>
      <w:tr w:rsidR="00DF61BC" w:rsidRPr="00C94C33" w14:paraId="65A1E7B1" w14:textId="77777777" w:rsidTr="00B5151B">
        <w:tc>
          <w:tcPr>
            <w:tcW w:w="2040" w:type="dxa"/>
            <w:tcBorders>
              <w:top w:val="nil"/>
              <w:right w:val="nil"/>
            </w:tcBorders>
            <w:shd w:val="clear" w:color="auto" w:fill="auto"/>
          </w:tcPr>
          <w:p w14:paraId="4BAD861F" w14:textId="77777777" w:rsidR="00DF61BC" w:rsidRPr="00C94C33" w:rsidRDefault="00DF61BC" w:rsidP="00751040">
            <w:pPr>
              <w:pStyle w:val="Tabletext"/>
            </w:pPr>
          </w:p>
        </w:tc>
        <w:tc>
          <w:tcPr>
            <w:tcW w:w="1865" w:type="dxa"/>
            <w:tcBorders>
              <w:top w:val="nil"/>
              <w:left w:val="nil"/>
            </w:tcBorders>
            <w:shd w:val="clear" w:color="auto" w:fill="auto"/>
          </w:tcPr>
          <w:p w14:paraId="5AFF2382" w14:textId="77777777" w:rsidR="00DF61BC" w:rsidRPr="00C94C33" w:rsidRDefault="00DF61BC" w:rsidP="00751040">
            <w:pPr>
              <w:pStyle w:val="Tabletext"/>
            </w:pPr>
            <w:r w:rsidRPr="00C94C33">
              <w:t>GM Ratio (95% CI)</w:t>
            </w:r>
          </w:p>
        </w:tc>
        <w:tc>
          <w:tcPr>
            <w:tcW w:w="2014" w:type="dxa"/>
            <w:tcBorders>
              <w:top w:val="nil"/>
            </w:tcBorders>
            <w:shd w:val="clear" w:color="auto" w:fill="auto"/>
          </w:tcPr>
          <w:p w14:paraId="090220AD" w14:textId="77777777" w:rsidR="00DF61BC" w:rsidRPr="00C94C33" w:rsidRDefault="00DF61BC" w:rsidP="00751040">
            <w:pPr>
              <w:pStyle w:val="Tabletext"/>
            </w:pPr>
            <w:r w:rsidRPr="00C94C33">
              <w:t>1.31 (1.17, 1.46)</w:t>
            </w:r>
          </w:p>
        </w:tc>
        <w:tc>
          <w:tcPr>
            <w:tcW w:w="1865" w:type="dxa"/>
            <w:tcBorders>
              <w:top w:val="nil"/>
            </w:tcBorders>
            <w:shd w:val="clear" w:color="auto" w:fill="auto"/>
          </w:tcPr>
          <w:p w14:paraId="31AC3649" w14:textId="77777777" w:rsidR="00DF61BC" w:rsidRPr="00C94C33" w:rsidRDefault="00DF61BC" w:rsidP="00751040">
            <w:pPr>
              <w:pStyle w:val="Tabletext"/>
            </w:pPr>
            <w:r w:rsidRPr="00C94C33">
              <w:t>1.34 (1.13, 1.59)</w:t>
            </w:r>
          </w:p>
        </w:tc>
        <w:tc>
          <w:tcPr>
            <w:tcW w:w="1865" w:type="dxa"/>
            <w:tcBorders>
              <w:top w:val="nil"/>
            </w:tcBorders>
            <w:shd w:val="clear" w:color="auto" w:fill="auto"/>
          </w:tcPr>
          <w:p w14:paraId="36AB5328" w14:textId="77777777" w:rsidR="00DF61BC" w:rsidRPr="00C94C33" w:rsidRDefault="00DF61BC" w:rsidP="00751040">
            <w:pPr>
              <w:pStyle w:val="Tabletext"/>
            </w:pPr>
            <w:r w:rsidRPr="00C94C33">
              <w:t>-</w:t>
            </w:r>
          </w:p>
        </w:tc>
      </w:tr>
      <w:tr w:rsidR="00DF61BC" w:rsidRPr="00C94C33" w14:paraId="2ADFF7B7" w14:textId="77777777" w:rsidTr="00B5151B">
        <w:tc>
          <w:tcPr>
            <w:tcW w:w="2040" w:type="dxa"/>
            <w:tcBorders>
              <w:bottom w:val="nil"/>
              <w:right w:val="nil"/>
            </w:tcBorders>
            <w:shd w:val="clear" w:color="auto" w:fill="auto"/>
          </w:tcPr>
          <w:p w14:paraId="0F425A0E" w14:textId="77777777" w:rsidR="00DF61BC" w:rsidRPr="00C94C33" w:rsidRDefault="00DF61BC" w:rsidP="00751040">
            <w:pPr>
              <w:pStyle w:val="Tabletext"/>
            </w:pPr>
            <w:r w:rsidRPr="00C94C33">
              <w:t>Moderate Impairment</w:t>
            </w:r>
          </w:p>
        </w:tc>
        <w:tc>
          <w:tcPr>
            <w:tcW w:w="1865" w:type="dxa"/>
            <w:tcBorders>
              <w:left w:val="nil"/>
              <w:bottom w:val="nil"/>
            </w:tcBorders>
            <w:shd w:val="clear" w:color="auto" w:fill="auto"/>
          </w:tcPr>
          <w:p w14:paraId="7F857C03" w14:textId="77777777" w:rsidR="00DF61BC" w:rsidRPr="00C94C33" w:rsidRDefault="00DF61BC" w:rsidP="00751040">
            <w:pPr>
              <w:pStyle w:val="Tabletext"/>
            </w:pPr>
            <w:r w:rsidRPr="00C94C33">
              <w:t>n</w:t>
            </w:r>
          </w:p>
        </w:tc>
        <w:tc>
          <w:tcPr>
            <w:tcW w:w="2014" w:type="dxa"/>
            <w:tcBorders>
              <w:bottom w:val="nil"/>
            </w:tcBorders>
            <w:shd w:val="clear" w:color="auto" w:fill="auto"/>
          </w:tcPr>
          <w:p w14:paraId="3EF37062" w14:textId="77777777" w:rsidR="00DF61BC" w:rsidRPr="00C94C33" w:rsidRDefault="00DF61BC" w:rsidP="00751040">
            <w:pPr>
              <w:pStyle w:val="Tabletext"/>
            </w:pPr>
            <w:r w:rsidRPr="00C94C33">
              <w:t>16</w:t>
            </w:r>
          </w:p>
        </w:tc>
        <w:tc>
          <w:tcPr>
            <w:tcW w:w="1865" w:type="dxa"/>
            <w:tcBorders>
              <w:bottom w:val="nil"/>
            </w:tcBorders>
            <w:shd w:val="clear" w:color="auto" w:fill="auto"/>
          </w:tcPr>
          <w:p w14:paraId="1C2B2BA8" w14:textId="77777777" w:rsidR="00DF61BC" w:rsidRPr="00C94C33" w:rsidRDefault="00DF61BC" w:rsidP="00751040">
            <w:pPr>
              <w:pStyle w:val="Tabletext"/>
            </w:pPr>
            <w:r w:rsidRPr="00C94C33">
              <w:t xml:space="preserve">16 </w:t>
            </w:r>
          </w:p>
        </w:tc>
        <w:tc>
          <w:tcPr>
            <w:tcW w:w="1865" w:type="dxa"/>
            <w:tcBorders>
              <w:bottom w:val="nil"/>
            </w:tcBorders>
            <w:shd w:val="clear" w:color="auto" w:fill="auto"/>
          </w:tcPr>
          <w:p w14:paraId="3F368D85" w14:textId="77777777" w:rsidR="00DF61BC" w:rsidRPr="00C94C33" w:rsidRDefault="00DF61BC" w:rsidP="00751040">
            <w:pPr>
              <w:pStyle w:val="Tabletext"/>
            </w:pPr>
            <w:r w:rsidRPr="00C94C33">
              <w:t xml:space="preserve">16 </w:t>
            </w:r>
          </w:p>
        </w:tc>
      </w:tr>
      <w:tr w:rsidR="00DF61BC" w:rsidRPr="00C94C33" w14:paraId="458161F8" w14:textId="77777777" w:rsidTr="00B5151B">
        <w:tc>
          <w:tcPr>
            <w:tcW w:w="2040" w:type="dxa"/>
            <w:tcBorders>
              <w:top w:val="nil"/>
              <w:bottom w:val="nil"/>
              <w:right w:val="nil"/>
            </w:tcBorders>
            <w:shd w:val="clear" w:color="auto" w:fill="auto"/>
          </w:tcPr>
          <w:p w14:paraId="6D2EFD7F" w14:textId="77777777" w:rsidR="00DF61BC" w:rsidRPr="00C94C33" w:rsidRDefault="00DF61BC" w:rsidP="00751040">
            <w:pPr>
              <w:pStyle w:val="Tabletext"/>
            </w:pPr>
            <w:r w:rsidRPr="00C94C33">
              <w:t xml:space="preserve">(CLcr 30-59 mL/minute) </w:t>
            </w:r>
          </w:p>
        </w:tc>
        <w:tc>
          <w:tcPr>
            <w:tcW w:w="1865" w:type="dxa"/>
            <w:tcBorders>
              <w:top w:val="nil"/>
              <w:left w:val="nil"/>
              <w:bottom w:val="nil"/>
            </w:tcBorders>
            <w:shd w:val="clear" w:color="auto" w:fill="auto"/>
          </w:tcPr>
          <w:p w14:paraId="3EBFDF0F" w14:textId="77777777" w:rsidR="00DF61BC" w:rsidRPr="00C94C33" w:rsidRDefault="00DF61BC" w:rsidP="00751040">
            <w:pPr>
              <w:pStyle w:val="Tabletext"/>
            </w:pPr>
            <w:r w:rsidRPr="00C94C33">
              <w:t>Mean ± SD (CV)</w:t>
            </w:r>
          </w:p>
        </w:tc>
        <w:tc>
          <w:tcPr>
            <w:tcW w:w="2014" w:type="dxa"/>
            <w:tcBorders>
              <w:top w:val="nil"/>
              <w:bottom w:val="nil"/>
            </w:tcBorders>
            <w:shd w:val="clear" w:color="auto" w:fill="auto"/>
          </w:tcPr>
          <w:p w14:paraId="61DD07E8" w14:textId="77777777" w:rsidR="00DF61BC" w:rsidRPr="00C94C33" w:rsidRDefault="00DF61BC" w:rsidP="00751040">
            <w:pPr>
              <w:pStyle w:val="Tabletext"/>
            </w:pPr>
            <w:r w:rsidRPr="00C94C33">
              <w:t>54898 ± 13676 (25%)</w:t>
            </w:r>
          </w:p>
        </w:tc>
        <w:tc>
          <w:tcPr>
            <w:tcW w:w="1865" w:type="dxa"/>
            <w:tcBorders>
              <w:top w:val="nil"/>
              <w:bottom w:val="nil"/>
            </w:tcBorders>
            <w:shd w:val="clear" w:color="auto" w:fill="auto"/>
          </w:tcPr>
          <w:p w14:paraId="778537BA" w14:textId="77777777" w:rsidR="00DF61BC" w:rsidRPr="00C94C33" w:rsidRDefault="00DF61BC" w:rsidP="00751040">
            <w:pPr>
              <w:pStyle w:val="Tabletext"/>
            </w:pPr>
            <w:r w:rsidRPr="00C94C33">
              <w:t>1061 ± 617 (58%)</w:t>
            </w:r>
          </w:p>
        </w:tc>
        <w:tc>
          <w:tcPr>
            <w:tcW w:w="1865" w:type="dxa"/>
            <w:tcBorders>
              <w:top w:val="nil"/>
              <w:bottom w:val="nil"/>
            </w:tcBorders>
            <w:shd w:val="clear" w:color="auto" w:fill="auto"/>
          </w:tcPr>
          <w:p w14:paraId="4CB7E2B7" w14:textId="77777777" w:rsidR="00DF61BC" w:rsidRPr="00C94C33" w:rsidRDefault="00DF61BC" w:rsidP="00751040">
            <w:pPr>
              <w:pStyle w:val="Tabletext"/>
            </w:pPr>
            <w:r w:rsidRPr="00C94C33">
              <w:t>52 ± 4.6 (8.9%)</w:t>
            </w:r>
          </w:p>
        </w:tc>
      </w:tr>
      <w:tr w:rsidR="00DF61BC" w:rsidRPr="00C94C33" w14:paraId="0A1A93A8" w14:textId="77777777" w:rsidTr="00B5151B">
        <w:tc>
          <w:tcPr>
            <w:tcW w:w="2040" w:type="dxa"/>
            <w:tcBorders>
              <w:top w:val="nil"/>
              <w:right w:val="nil"/>
            </w:tcBorders>
            <w:shd w:val="clear" w:color="auto" w:fill="auto"/>
          </w:tcPr>
          <w:p w14:paraId="0F98389E" w14:textId="77777777" w:rsidR="00DF61BC" w:rsidRPr="00C94C33" w:rsidRDefault="00DF61BC" w:rsidP="00751040">
            <w:pPr>
              <w:pStyle w:val="Tabletext"/>
            </w:pPr>
          </w:p>
        </w:tc>
        <w:tc>
          <w:tcPr>
            <w:tcW w:w="1865" w:type="dxa"/>
            <w:tcBorders>
              <w:top w:val="nil"/>
              <w:left w:val="nil"/>
            </w:tcBorders>
            <w:shd w:val="clear" w:color="auto" w:fill="auto"/>
          </w:tcPr>
          <w:p w14:paraId="5DC0D0DA" w14:textId="77777777" w:rsidR="00DF61BC" w:rsidRPr="00C94C33" w:rsidRDefault="00DF61BC" w:rsidP="00751040">
            <w:pPr>
              <w:pStyle w:val="Tabletext"/>
            </w:pPr>
            <w:r w:rsidRPr="00C94C33">
              <w:t>GM Ratio (95% CI)</w:t>
            </w:r>
          </w:p>
        </w:tc>
        <w:tc>
          <w:tcPr>
            <w:tcW w:w="2014" w:type="dxa"/>
            <w:tcBorders>
              <w:top w:val="nil"/>
            </w:tcBorders>
            <w:shd w:val="clear" w:color="auto" w:fill="auto"/>
          </w:tcPr>
          <w:p w14:paraId="491911AA" w14:textId="77777777" w:rsidR="00DF61BC" w:rsidRPr="00C94C33" w:rsidRDefault="00DF61BC" w:rsidP="00751040">
            <w:pPr>
              <w:pStyle w:val="Tabletext"/>
            </w:pPr>
            <w:r w:rsidRPr="00C94C33">
              <w:t xml:space="preserve">1.43 (1.22, 1.68) </w:t>
            </w:r>
          </w:p>
        </w:tc>
        <w:tc>
          <w:tcPr>
            <w:tcW w:w="1865" w:type="dxa"/>
            <w:tcBorders>
              <w:top w:val="nil"/>
            </w:tcBorders>
            <w:shd w:val="clear" w:color="auto" w:fill="auto"/>
          </w:tcPr>
          <w:p w14:paraId="61C771C2" w14:textId="77777777" w:rsidR="00DF61BC" w:rsidRPr="00C94C33" w:rsidRDefault="00DF61BC" w:rsidP="00751040">
            <w:pPr>
              <w:pStyle w:val="Tabletext"/>
            </w:pPr>
            <w:r w:rsidRPr="00C94C33">
              <w:t>1.65 (1.29, 2.11)</w:t>
            </w:r>
          </w:p>
        </w:tc>
        <w:tc>
          <w:tcPr>
            <w:tcW w:w="1865" w:type="dxa"/>
            <w:tcBorders>
              <w:top w:val="nil"/>
            </w:tcBorders>
            <w:shd w:val="clear" w:color="auto" w:fill="auto"/>
          </w:tcPr>
          <w:p w14:paraId="3B6418DC" w14:textId="77777777" w:rsidR="00DF61BC" w:rsidRPr="00C94C33" w:rsidRDefault="00DF61BC" w:rsidP="00751040">
            <w:pPr>
              <w:pStyle w:val="Tabletext"/>
            </w:pPr>
            <w:r w:rsidRPr="00C94C33">
              <w:t>-</w:t>
            </w:r>
          </w:p>
        </w:tc>
      </w:tr>
    </w:tbl>
    <w:p w14:paraId="4D340294" w14:textId="77777777" w:rsidR="00AA7141" w:rsidRDefault="00DF61BC" w:rsidP="00DF0358">
      <w:pPr>
        <w:pStyle w:val="TableDescription"/>
        <w:rPr>
          <w:sz w:val="18"/>
          <w:szCs w:val="18"/>
          <w:lang w:eastAsia="en-AU"/>
        </w:rPr>
      </w:pPr>
      <w:r w:rsidRPr="00F362E5">
        <w:rPr>
          <w:sz w:val="18"/>
          <w:szCs w:val="18"/>
          <w:lang w:eastAsia="en-AU"/>
        </w:rPr>
        <w:t>AUC = Area under the curve (ng•hr/mL). GM Ratio = ratio of AUC in normal group to the renal impairment group. CLCr = creatinine clearance mL/minute. FTD = trifluridine. TPI = Tipiracil.</w:t>
      </w:r>
    </w:p>
    <w:p w14:paraId="502B478C" w14:textId="203931B0" w:rsidR="00DF61BC" w:rsidRPr="00C94C33" w:rsidRDefault="00DF61BC" w:rsidP="00DF0358">
      <w:pPr>
        <w:autoSpaceDE w:val="0"/>
        <w:autoSpaceDN w:val="0"/>
        <w:adjustRightInd w:val="0"/>
        <w:spacing w:before="0" w:line="240" w:lineRule="auto"/>
        <w:rPr>
          <w:rFonts w:eastAsia="Times New Roman"/>
          <w:lang w:eastAsia="en-AU"/>
        </w:rPr>
      </w:pPr>
      <w:r w:rsidRPr="00C94C33">
        <w:rPr>
          <w:rFonts w:eastAsia="Times New Roman"/>
          <w:lang w:eastAsia="en-AU"/>
        </w:rPr>
        <w:t xml:space="preserve">The sponsor’s 120D Response also included non-compartmental PK data (Day 1 and Day 12) for patients with renal impairment from </w:t>
      </w:r>
      <w:r w:rsidR="00330EE4" w:rsidRPr="00C94C33">
        <w:rPr>
          <w:rFonts w:eastAsia="Times New Roman"/>
          <w:lang w:eastAsia="en-AU"/>
        </w:rPr>
        <w:t xml:space="preserve">2 </w:t>
      </w:r>
      <w:r w:rsidR="00842E8F" w:rsidRPr="00C94C33">
        <w:rPr>
          <w:rFonts w:eastAsia="Times New Roman"/>
          <w:lang w:eastAsia="en-AU"/>
        </w:rPr>
        <w:t>Phase I</w:t>
      </w:r>
      <w:r w:rsidRPr="00C94C33">
        <w:rPr>
          <w:rFonts w:eastAsia="Times New Roman"/>
          <w:lang w:eastAsia="en-AU"/>
        </w:rPr>
        <w:t xml:space="preserve"> studies (</w:t>
      </w:r>
      <w:r w:rsidR="00330EE4" w:rsidRPr="00C94C33">
        <w:rPr>
          <w:rFonts w:eastAsia="Times New Roman"/>
          <w:lang w:eastAsia="en-AU"/>
        </w:rPr>
        <w:t xml:space="preserve">Studies </w:t>
      </w:r>
      <w:r w:rsidRPr="00C94C33">
        <w:rPr>
          <w:rFonts w:eastAsia="Times New Roman"/>
          <w:lang w:eastAsia="en-AU"/>
        </w:rPr>
        <w:t>TPU-TAS-102-102; TPU-TAS102-103). Inspection of the data from this study showed that, in general, exposure (AUC</w:t>
      </w:r>
      <w:r w:rsidRPr="00C94C33">
        <w:rPr>
          <w:rFonts w:eastAsia="Times New Roman"/>
          <w:sz w:val="20"/>
          <w:szCs w:val="20"/>
          <w:lang w:eastAsia="en-AU"/>
        </w:rPr>
        <w:t>0-last</w:t>
      </w:r>
      <w:r w:rsidRPr="00C94C33">
        <w:rPr>
          <w:rFonts w:eastAsia="Times New Roman"/>
          <w:lang w:eastAsia="en-AU"/>
        </w:rPr>
        <w:t>) to FTD and TPI on Day 1 and Day 12 increased in patients with mild renal impairment (</w:t>
      </w:r>
      <w:r w:rsidR="009C0389" w:rsidRPr="00C94C33">
        <w:rPr>
          <w:rFonts w:eastAsia="Times New Roman"/>
          <w:lang w:eastAsia="en-AU"/>
        </w:rPr>
        <w:t xml:space="preserve">n = </w:t>
      </w:r>
      <w:r w:rsidRPr="00C94C33">
        <w:rPr>
          <w:rFonts w:eastAsia="Times New Roman"/>
          <w:lang w:eastAsia="en-AU"/>
        </w:rPr>
        <w:t xml:space="preserve"> 12 to 15), and moderate renal impairment (</w:t>
      </w:r>
      <w:r w:rsidR="009C0389" w:rsidRPr="00C94C33">
        <w:rPr>
          <w:rFonts w:eastAsia="Times New Roman"/>
          <w:lang w:eastAsia="en-AU"/>
        </w:rPr>
        <w:t xml:space="preserve">n = </w:t>
      </w:r>
      <w:r w:rsidRPr="00C94C33">
        <w:rPr>
          <w:rFonts w:eastAsia="Times New Roman"/>
          <w:lang w:eastAsia="en-AU"/>
        </w:rPr>
        <w:t xml:space="preserve"> 5 to 7).</w:t>
      </w:r>
    </w:p>
    <w:p w14:paraId="27649F2D" w14:textId="0F7A93E2" w:rsidR="00DF61BC" w:rsidRPr="00C94C33" w:rsidRDefault="00DF61BC" w:rsidP="005C2FCA">
      <w:pPr>
        <w:pStyle w:val="Comment"/>
      </w:pPr>
      <w:r w:rsidRPr="005C2FCA">
        <w:rPr>
          <w:b/>
        </w:rPr>
        <w:t>Comment:</w:t>
      </w:r>
      <w:r w:rsidR="00330EE4" w:rsidRPr="007709B8">
        <w:t xml:space="preserve"> </w:t>
      </w:r>
      <w:r w:rsidR="00B5151B" w:rsidRPr="00C94C33">
        <w:t xml:space="preserve"> </w:t>
      </w:r>
      <w:r w:rsidRPr="00C94C33">
        <w:t>The available data indicate that systemic exposure (AUC) to both FTD and TPI increases in patients with mild and moderate renal impairment, with the increases being more marked in patients with moderate renal impairment. TPI is a PK modulator that increases the systemic exposure to FTD by inhibiting its metabolism by TPase. In TPU-TAS-102-104, the mean urinary excretion of FTD after a single 60 mg dose of TAS-102 was 1.5% of the administered dose (mean CL of FTD 2.9 mL/min), which suggests that urinary excretion plays a minor role in the clearance of TPI. Therefore, increased systemic exposure to FTD in patients with renal impairment is likely to be a secondary effect mediated by increased inhibition of TPase due to increased exposure to TPI resulting from renal impairment. There are no data in patients with severe renal impairment (CLCR = 15 to 29 mL/min) or End Stage Renal Disease (ESRD). The sponsor indicated that a PK renal impairment study (</w:t>
      </w:r>
      <w:r w:rsidR="00330EE4" w:rsidRPr="00C94C33">
        <w:t xml:space="preserve">Study </w:t>
      </w:r>
      <w:r w:rsidRPr="00C94C33">
        <w:t>TPU-TAS-102-107) will be completed by September 2017 and the CSR will be submitted to the EMA by the end of 2017.</w:t>
      </w:r>
    </w:p>
    <w:p w14:paraId="5A3B489A" w14:textId="77777777" w:rsidR="00DF61BC" w:rsidRPr="00C94C33" w:rsidRDefault="00DF61BC" w:rsidP="00955252">
      <w:pPr>
        <w:pStyle w:val="Heading3"/>
      </w:pPr>
      <w:bookmarkStart w:id="131" w:name="_Toc272414629"/>
      <w:bookmarkStart w:id="132" w:name="_Toc290846252"/>
      <w:bookmarkStart w:id="133" w:name="_Toc470948483"/>
      <w:bookmarkStart w:id="134" w:name="_Toc510016876"/>
      <w:r w:rsidRPr="00C94C33">
        <w:lastRenderedPageBreak/>
        <w:t>Pharmacokinetics according to age</w:t>
      </w:r>
      <w:bookmarkEnd w:id="131"/>
      <w:bookmarkEnd w:id="132"/>
      <w:bookmarkEnd w:id="133"/>
      <w:bookmarkEnd w:id="134"/>
    </w:p>
    <w:p w14:paraId="2F5D322F" w14:textId="767F8DF9" w:rsidR="00DF61BC" w:rsidRPr="00C94C33" w:rsidRDefault="00DF61BC" w:rsidP="00D310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line="240" w:lineRule="auto"/>
        <w:rPr>
          <w:rFonts w:eastAsia="Times New Roman"/>
          <w:bCs/>
          <w:kern w:val="16"/>
          <w:szCs w:val="24"/>
          <w:lang w:eastAsia="en-AU"/>
        </w:rPr>
      </w:pPr>
      <w:r w:rsidRPr="00C94C33">
        <w:rPr>
          <w:rFonts w:eastAsia="Times New Roman"/>
          <w:bCs/>
          <w:kern w:val="16"/>
          <w:szCs w:val="24"/>
          <w:lang w:eastAsia="en-AU"/>
        </w:rPr>
        <w:t xml:space="preserve">In the population PK analysis </w:t>
      </w:r>
      <w:r w:rsidR="00A0007E" w:rsidRPr="00C94C33">
        <w:rPr>
          <w:rFonts w:eastAsia="Times New Roman"/>
          <w:bCs/>
          <w:kern w:val="16"/>
          <w:szCs w:val="24"/>
          <w:lang w:eastAsia="en-AU"/>
        </w:rPr>
        <w:t>(</w:t>
      </w:r>
      <w:r w:rsidRPr="00C94C33">
        <w:rPr>
          <w:rFonts w:eastAsia="Times New Roman"/>
          <w:bCs/>
          <w:kern w:val="16"/>
          <w:szCs w:val="24"/>
          <w:lang w:eastAsia="en-AU"/>
        </w:rPr>
        <w:t>12DA25</w:t>
      </w:r>
      <w:r w:rsidR="00A0007E" w:rsidRPr="00C94C33">
        <w:rPr>
          <w:rFonts w:eastAsia="Times New Roman"/>
          <w:bCs/>
          <w:kern w:val="16"/>
          <w:szCs w:val="24"/>
          <w:lang w:eastAsia="en-AU"/>
        </w:rPr>
        <w:t>)</w:t>
      </w:r>
      <w:r w:rsidRPr="00C94C33">
        <w:rPr>
          <w:rFonts w:eastAsia="Times New Roman"/>
          <w:bCs/>
          <w:kern w:val="16"/>
          <w:szCs w:val="24"/>
          <w:lang w:eastAsia="en-AU"/>
        </w:rPr>
        <w:t>, the age of the patients in the dataset (</w:t>
      </w:r>
      <w:r w:rsidR="009C0389" w:rsidRPr="00C94C33">
        <w:rPr>
          <w:rFonts w:eastAsia="Times New Roman"/>
          <w:bCs/>
          <w:kern w:val="16"/>
          <w:szCs w:val="24"/>
          <w:lang w:eastAsia="en-AU"/>
        </w:rPr>
        <w:t xml:space="preserve">n = </w:t>
      </w:r>
      <w:r w:rsidRPr="00C94C33">
        <w:rPr>
          <w:rFonts w:eastAsia="Times New Roman"/>
          <w:bCs/>
          <w:kern w:val="16"/>
          <w:szCs w:val="24"/>
          <w:lang w:eastAsia="en-AU"/>
        </w:rPr>
        <w:t>239) ranged from 33 to 82 years. The mean ± SD age of the total population was 60 ± 10 years, with a median of 61 years. Approximately 32% of the patient population were aged 65-74 years and 7% were aged 75-84 years, while there were no patients aged ≥ 85 years. Age was not a significant covariate for the PK parameters of Vd/F or CL/F for FTD or TPI. Therefore, the PK of FTD and TPI are not expected to be affected by age. The number of elderly patients aged ≥ 65 years in the TAS-102 PK studies is</w:t>
      </w:r>
      <w:r w:rsidR="00B5151B" w:rsidRPr="00C94C33">
        <w:rPr>
          <w:rFonts w:eastAsia="Times New Roman"/>
          <w:bCs/>
          <w:kern w:val="16"/>
          <w:szCs w:val="24"/>
          <w:lang w:eastAsia="en-AU"/>
        </w:rPr>
        <w:t xml:space="preserve"> summarised below in Table 20.</w:t>
      </w:r>
    </w:p>
    <w:p w14:paraId="255B00AE" w14:textId="16767608" w:rsidR="00DF61BC" w:rsidRPr="00C94C33" w:rsidRDefault="00DF61BC" w:rsidP="0058475B">
      <w:pPr>
        <w:pStyle w:val="Tabletitle"/>
        <w:rPr>
          <w:lang w:eastAsia="en-AU"/>
        </w:rPr>
      </w:pPr>
      <w:bookmarkStart w:id="135" w:name="_Toc470948669"/>
      <w:r w:rsidRPr="00C94C33">
        <w:rPr>
          <w:bCs/>
          <w:lang w:eastAsia="en-AU"/>
        </w:rPr>
        <w:t xml:space="preserve">Table </w:t>
      </w:r>
      <w:r w:rsidR="00D310E7" w:rsidRPr="00C94C33">
        <w:rPr>
          <w:bCs/>
          <w:lang w:eastAsia="en-AU"/>
        </w:rPr>
        <w:t xml:space="preserve">20: </w:t>
      </w:r>
      <w:r w:rsidRPr="00C94C33">
        <w:rPr>
          <w:lang w:eastAsia="en-AU"/>
        </w:rPr>
        <w:t>Number of elderly patients aged ≥ 65 years in the TAS-102 PK studies</w:t>
      </w:r>
      <w:bookmarkEnd w:id="135"/>
    </w:p>
    <w:tbl>
      <w:tblPr>
        <w:tblStyle w:val="TableGrid7"/>
        <w:tblW w:w="0" w:type="auto"/>
        <w:tblLook w:val="04A0" w:firstRow="1" w:lastRow="0" w:firstColumn="1" w:lastColumn="0" w:noHBand="0" w:noVBand="1"/>
        <w:tblDescription w:val="Table 20: Number of elderly patients aged ≥ 65 years in the TAS-102 PK studies"/>
      </w:tblPr>
      <w:tblGrid>
        <w:gridCol w:w="4644"/>
        <w:gridCol w:w="1843"/>
        <w:gridCol w:w="1701"/>
        <w:gridCol w:w="1360"/>
      </w:tblGrid>
      <w:tr w:rsidR="00DF61BC" w:rsidRPr="00C94C33" w14:paraId="22C2F36A" w14:textId="77777777" w:rsidTr="00751040">
        <w:trPr>
          <w:trHeight w:val="320"/>
          <w:tblHeader/>
        </w:trPr>
        <w:tc>
          <w:tcPr>
            <w:tcW w:w="4644" w:type="dxa"/>
            <w:shd w:val="clear" w:color="auto" w:fill="auto"/>
          </w:tcPr>
          <w:p w14:paraId="2F35D141" w14:textId="77777777" w:rsidR="00DF61BC" w:rsidRPr="00C94C33" w:rsidRDefault="00DF61BC" w:rsidP="00751040">
            <w:pPr>
              <w:pStyle w:val="TableHeading"/>
              <w:jc w:val="center"/>
            </w:pPr>
            <w:r w:rsidRPr="00C94C33">
              <w:t>PK Trials</w:t>
            </w:r>
          </w:p>
        </w:tc>
        <w:tc>
          <w:tcPr>
            <w:tcW w:w="1843" w:type="dxa"/>
            <w:shd w:val="clear" w:color="auto" w:fill="auto"/>
          </w:tcPr>
          <w:p w14:paraId="3EA96D60" w14:textId="77777777" w:rsidR="00DF61BC" w:rsidRPr="00C94C33" w:rsidRDefault="00DF61BC" w:rsidP="00751040">
            <w:pPr>
              <w:pStyle w:val="TableHeading"/>
              <w:jc w:val="center"/>
            </w:pPr>
            <w:r w:rsidRPr="00C94C33">
              <w:t>Age: 65-74</w:t>
            </w:r>
          </w:p>
        </w:tc>
        <w:tc>
          <w:tcPr>
            <w:tcW w:w="1701" w:type="dxa"/>
            <w:shd w:val="clear" w:color="auto" w:fill="auto"/>
          </w:tcPr>
          <w:p w14:paraId="04D5CFA6" w14:textId="77777777" w:rsidR="00DF61BC" w:rsidRPr="00C94C33" w:rsidRDefault="00DF61BC" w:rsidP="00751040">
            <w:pPr>
              <w:pStyle w:val="TableHeading"/>
              <w:jc w:val="center"/>
            </w:pPr>
            <w:r w:rsidRPr="00C94C33">
              <w:t>Age: 75-84</w:t>
            </w:r>
          </w:p>
        </w:tc>
        <w:tc>
          <w:tcPr>
            <w:tcW w:w="1360" w:type="dxa"/>
            <w:shd w:val="clear" w:color="auto" w:fill="auto"/>
          </w:tcPr>
          <w:p w14:paraId="198BC9A1" w14:textId="77777777" w:rsidR="00DF61BC" w:rsidRPr="00C94C33" w:rsidRDefault="00DF61BC" w:rsidP="00751040">
            <w:pPr>
              <w:pStyle w:val="TableHeading"/>
              <w:jc w:val="center"/>
            </w:pPr>
            <w:r w:rsidRPr="00C94C33">
              <w:t>Age: 85+</w:t>
            </w:r>
          </w:p>
        </w:tc>
      </w:tr>
      <w:tr w:rsidR="00DF61BC" w:rsidRPr="00C94C33" w14:paraId="26F877A6" w14:textId="77777777" w:rsidTr="00B5151B">
        <w:tc>
          <w:tcPr>
            <w:tcW w:w="4644" w:type="dxa"/>
            <w:shd w:val="clear" w:color="auto" w:fill="auto"/>
          </w:tcPr>
          <w:p w14:paraId="2C00FFC0" w14:textId="77777777" w:rsidR="00DF61BC" w:rsidRPr="00C94C33" w:rsidRDefault="00DF61BC" w:rsidP="00751040">
            <w:pPr>
              <w:pStyle w:val="Tabletext"/>
              <w:rPr>
                <w:bCs/>
                <w:kern w:val="16"/>
              </w:rPr>
            </w:pPr>
            <w:r w:rsidRPr="00C94C33">
              <w:t>J001-10040010</w:t>
            </w:r>
          </w:p>
        </w:tc>
        <w:tc>
          <w:tcPr>
            <w:tcW w:w="1843" w:type="dxa"/>
            <w:shd w:val="clear" w:color="auto" w:fill="auto"/>
          </w:tcPr>
          <w:p w14:paraId="3D604536" w14:textId="77777777" w:rsidR="00DF61BC" w:rsidRPr="00C94C33" w:rsidRDefault="00DF61BC" w:rsidP="00751040">
            <w:pPr>
              <w:pStyle w:val="Tabletext"/>
              <w:rPr>
                <w:bCs/>
                <w:kern w:val="16"/>
              </w:rPr>
            </w:pPr>
            <w:r w:rsidRPr="00C94C33">
              <w:t>3</w:t>
            </w:r>
            <w:r w:rsidRPr="00C94C33">
              <w:rPr>
                <w:spacing w:val="-5"/>
              </w:rPr>
              <w:t xml:space="preserve"> </w:t>
            </w:r>
            <w:r w:rsidRPr="00C94C33">
              <w:t>/21</w:t>
            </w:r>
            <w:r w:rsidRPr="00C94C33">
              <w:rPr>
                <w:spacing w:val="-4"/>
              </w:rPr>
              <w:t xml:space="preserve"> </w:t>
            </w:r>
            <w:r w:rsidRPr="00C94C33">
              <w:rPr>
                <w:spacing w:val="-1"/>
              </w:rPr>
              <w:t>(14.3%)</w:t>
            </w:r>
          </w:p>
        </w:tc>
        <w:tc>
          <w:tcPr>
            <w:tcW w:w="1701" w:type="dxa"/>
            <w:shd w:val="clear" w:color="auto" w:fill="auto"/>
          </w:tcPr>
          <w:p w14:paraId="314C0801" w14:textId="77777777" w:rsidR="00DF61BC" w:rsidRPr="00C94C33" w:rsidRDefault="00DF61BC" w:rsidP="00751040">
            <w:pPr>
              <w:pStyle w:val="Tabletext"/>
              <w:rPr>
                <w:bCs/>
                <w:kern w:val="16"/>
              </w:rPr>
            </w:pPr>
            <w:r w:rsidRPr="00C94C33">
              <w:t>0</w:t>
            </w:r>
            <w:r w:rsidRPr="00C94C33">
              <w:rPr>
                <w:spacing w:val="-4"/>
              </w:rPr>
              <w:t xml:space="preserve"> </w:t>
            </w:r>
            <w:r w:rsidRPr="00C94C33">
              <w:t>/21</w:t>
            </w:r>
            <w:r w:rsidRPr="00C94C33">
              <w:rPr>
                <w:spacing w:val="-4"/>
              </w:rPr>
              <w:t xml:space="preserve"> </w:t>
            </w:r>
            <w:r w:rsidRPr="00C94C33">
              <w:t>(0.0%)</w:t>
            </w:r>
          </w:p>
        </w:tc>
        <w:tc>
          <w:tcPr>
            <w:tcW w:w="1360" w:type="dxa"/>
            <w:shd w:val="clear" w:color="auto" w:fill="auto"/>
          </w:tcPr>
          <w:p w14:paraId="4CDBCA9B" w14:textId="77777777" w:rsidR="00DF61BC" w:rsidRPr="00C94C33" w:rsidRDefault="00DF61BC" w:rsidP="00751040">
            <w:pPr>
              <w:pStyle w:val="Tabletext"/>
              <w:rPr>
                <w:bCs/>
                <w:kern w:val="16"/>
              </w:rPr>
            </w:pPr>
            <w:r w:rsidRPr="00C94C33">
              <w:t>0</w:t>
            </w:r>
            <w:r w:rsidRPr="00C94C33">
              <w:rPr>
                <w:spacing w:val="-4"/>
              </w:rPr>
              <w:t xml:space="preserve"> </w:t>
            </w:r>
            <w:r w:rsidRPr="00C94C33">
              <w:t>/21</w:t>
            </w:r>
            <w:r w:rsidRPr="00C94C33">
              <w:rPr>
                <w:spacing w:val="-4"/>
              </w:rPr>
              <w:t xml:space="preserve"> </w:t>
            </w:r>
            <w:r w:rsidRPr="00C94C33">
              <w:t>(0.0%)</w:t>
            </w:r>
          </w:p>
        </w:tc>
      </w:tr>
      <w:tr w:rsidR="00DF61BC" w:rsidRPr="00C94C33" w14:paraId="03F67851" w14:textId="77777777" w:rsidTr="00B5151B">
        <w:tc>
          <w:tcPr>
            <w:tcW w:w="4644" w:type="dxa"/>
            <w:shd w:val="clear" w:color="auto" w:fill="auto"/>
          </w:tcPr>
          <w:p w14:paraId="2512DEE4" w14:textId="77777777" w:rsidR="00DF61BC" w:rsidRPr="00C94C33" w:rsidRDefault="00DF61BC" w:rsidP="00751040">
            <w:pPr>
              <w:pStyle w:val="Tabletext"/>
              <w:rPr>
                <w:bCs/>
                <w:kern w:val="16"/>
              </w:rPr>
            </w:pPr>
            <w:r w:rsidRPr="00C94C33">
              <w:t>J004-10040040</w:t>
            </w:r>
          </w:p>
        </w:tc>
        <w:tc>
          <w:tcPr>
            <w:tcW w:w="1843" w:type="dxa"/>
            <w:shd w:val="clear" w:color="auto" w:fill="auto"/>
          </w:tcPr>
          <w:p w14:paraId="5FFDA485" w14:textId="77777777" w:rsidR="00DF61BC" w:rsidRPr="00C94C33" w:rsidRDefault="00DF61BC" w:rsidP="00751040">
            <w:pPr>
              <w:pStyle w:val="Tabletext"/>
              <w:rPr>
                <w:bCs/>
                <w:kern w:val="16"/>
              </w:rPr>
            </w:pPr>
            <w:r w:rsidRPr="00C94C33">
              <w:t>6</w:t>
            </w:r>
            <w:r w:rsidRPr="00C94C33">
              <w:rPr>
                <w:spacing w:val="-5"/>
              </w:rPr>
              <w:t xml:space="preserve"> </w:t>
            </w:r>
            <w:r w:rsidRPr="00C94C33">
              <w:t>/16</w:t>
            </w:r>
            <w:r w:rsidRPr="00C94C33">
              <w:rPr>
                <w:spacing w:val="-4"/>
              </w:rPr>
              <w:t xml:space="preserve"> </w:t>
            </w:r>
            <w:r w:rsidRPr="00C94C33">
              <w:rPr>
                <w:spacing w:val="-1"/>
              </w:rPr>
              <w:t>(37.5%)</w:t>
            </w:r>
          </w:p>
        </w:tc>
        <w:tc>
          <w:tcPr>
            <w:tcW w:w="1701" w:type="dxa"/>
            <w:shd w:val="clear" w:color="auto" w:fill="auto"/>
          </w:tcPr>
          <w:p w14:paraId="209D7E66" w14:textId="77777777" w:rsidR="00DF61BC" w:rsidRPr="00C94C33" w:rsidRDefault="00DF61BC" w:rsidP="00751040">
            <w:pPr>
              <w:pStyle w:val="Tabletext"/>
              <w:rPr>
                <w:bCs/>
                <w:kern w:val="16"/>
              </w:rPr>
            </w:pPr>
            <w:r w:rsidRPr="00C94C33">
              <w:t>0</w:t>
            </w:r>
            <w:r w:rsidRPr="00C94C33">
              <w:rPr>
                <w:spacing w:val="-4"/>
              </w:rPr>
              <w:t xml:space="preserve"> </w:t>
            </w:r>
            <w:r w:rsidRPr="00C94C33">
              <w:t>/16</w:t>
            </w:r>
            <w:r w:rsidRPr="00C94C33">
              <w:rPr>
                <w:spacing w:val="-4"/>
              </w:rPr>
              <w:t xml:space="preserve"> </w:t>
            </w:r>
            <w:r w:rsidRPr="00C94C33">
              <w:t>(0.0%)</w:t>
            </w:r>
          </w:p>
        </w:tc>
        <w:tc>
          <w:tcPr>
            <w:tcW w:w="1360" w:type="dxa"/>
            <w:shd w:val="clear" w:color="auto" w:fill="auto"/>
          </w:tcPr>
          <w:p w14:paraId="5506E11A" w14:textId="77777777" w:rsidR="00DF61BC" w:rsidRPr="00C94C33" w:rsidRDefault="00DF61BC" w:rsidP="00751040">
            <w:pPr>
              <w:pStyle w:val="Tabletext"/>
              <w:rPr>
                <w:bCs/>
                <w:kern w:val="16"/>
              </w:rPr>
            </w:pPr>
            <w:r w:rsidRPr="00C94C33">
              <w:t>0</w:t>
            </w:r>
            <w:r w:rsidRPr="00C94C33">
              <w:rPr>
                <w:spacing w:val="-4"/>
              </w:rPr>
              <w:t xml:space="preserve"> </w:t>
            </w:r>
            <w:r w:rsidRPr="00C94C33">
              <w:t>/16</w:t>
            </w:r>
            <w:r w:rsidRPr="00C94C33">
              <w:rPr>
                <w:spacing w:val="-4"/>
              </w:rPr>
              <w:t xml:space="preserve"> </w:t>
            </w:r>
            <w:r w:rsidRPr="00C94C33">
              <w:t>(0.0%)</w:t>
            </w:r>
          </w:p>
        </w:tc>
      </w:tr>
      <w:tr w:rsidR="00DF61BC" w:rsidRPr="00C94C33" w14:paraId="1144C68C" w14:textId="77777777" w:rsidTr="00B5151B">
        <w:tc>
          <w:tcPr>
            <w:tcW w:w="4644" w:type="dxa"/>
            <w:shd w:val="clear" w:color="auto" w:fill="auto"/>
          </w:tcPr>
          <w:p w14:paraId="2172750C" w14:textId="77777777" w:rsidR="00DF61BC" w:rsidRPr="00C94C33" w:rsidRDefault="00DF61BC" w:rsidP="00751040">
            <w:pPr>
              <w:pStyle w:val="Tabletext"/>
            </w:pPr>
            <w:r w:rsidRPr="00C94C33">
              <w:t xml:space="preserve">TPU-TAS-102-102 </w:t>
            </w:r>
            <w:r w:rsidRPr="00C94C33">
              <w:rPr>
                <w:spacing w:val="-1"/>
              </w:rPr>
              <w:t>(Single-dose</w:t>
            </w:r>
            <w:r w:rsidRPr="00C94C33">
              <w:rPr>
                <w:spacing w:val="-18"/>
              </w:rPr>
              <w:t xml:space="preserve"> </w:t>
            </w:r>
            <w:r w:rsidRPr="00C94C33">
              <w:rPr>
                <w:spacing w:val="-1"/>
              </w:rPr>
              <w:t>Contribution</w:t>
            </w:r>
            <w:r w:rsidRPr="00C94C33">
              <w:rPr>
                <w:spacing w:val="41"/>
                <w:w w:val="99"/>
              </w:rPr>
              <w:t xml:space="preserve"> </w:t>
            </w:r>
            <w:r w:rsidRPr="00C94C33">
              <w:t>PK</w:t>
            </w:r>
            <w:r w:rsidRPr="00C94C33">
              <w:rPr>
                <w:spacing w:val="-10"/>
              </w:rPr>
              <w:t xml:space="preserve"> </w:t>
            </w:r>
            <w:r w:rsidRPr="00C94C33">
              <w:rPr>
                <w:spacing w:val="-1"/>
              </w:rPr>
              <w:t>population,</w:t>
            </w:r>
            <w:r w:rsidRPr="00C94C33">
              <w:rPr>
                <w:spacing w:val="-10"/>
              </w:rPr>
              <w:t xml:space="preserve"> </w:t>
            </w:r>
            <w:r w:rsidRPr="00C94C33">
              <w:t>TAS-102)</w:t>
            </w:r>
          </w:p>
        </w:tc>
        <w:tc>
          <w:tcPr>
            <w:tcW w:w="1843" w:type="dxa"/>
            <w:shd w:val="clear" w:color="auto" w:fill="auto"/>
          </w:tcPr>
          <w:p w14:paraId="3F011AFC" w14:textId="77777777" w:rsidR="00DF61BC" w:rsidRPr="00C94C33" w:rsidRDefault="00DF61BC" w:rsidP="00751040">
            <w:pPr>
              <w:pStyle w:val="Tabletext"/>
              <w:rPr>
                <w:bCs/>
                <w:kern w:val="16"/>
              </w:rPr>
            </w:pPr>
            <w:r w:rsidRPr="00C94C33">
              <w:t>8</w:t>
            </w:r>
            <w:r w:rsidRPr="00C94C33">
              <w:rPr>
                <w:spacing w:val="-5"/>
              </w:rPr>
              <w:t xml:space="preserve"> </w:t>
            </w:r>
            <w:r w:rsidRPr="00C94C33">
              <w:t>/19</w:t>
            </w:r>
            <w:r w:rsidRPr="00C94C33">
              <w:rPr>
                <w:spacing w:val="-4"/>
              </w:rPr>
              <w:t xml:space="preserve"> </w:t>
            </w:r>
            <w:r w:rsidRPr="00C94C33">
              <w:rPr>
                <w:spacing w:val="-1"/>
              </w:rPr>
              <w:t>(42.1%)</w:t>
            </w:r>
          </w:p>
        </w:tc>
        <w:tc>
          <w:tcPr>
            <w:tcW w:w="1701" w:type="dxa"/>
            <w:shd w:val="clear" w:color="auto" w:fill="auto"/>
          </w:tcPr>
          <w:p w14:paraId="28751648" w14:textId="77777777" w:rsidR="00DF61BC" w:rsidRPr="00C94C33" w:rsidRDefault="00DF61BC" w:rsidP="00751040">
            <w:pPr>
              <w:pStyle w:val="Tabletext"/>
              <w:rPr>
                <w:bCs/>
                <w:kern w:val="16"/>
              </w:rPr>
            </w:pPr>
            <w:r w:rsidRPr="00C94C33">
              <w:t>0</w:t>
            </w:r>
            <w:r w:rsidRPr="00C94C33">
              <w:rPr>
                <w:spacing w:val="-4"/>
              </w:rPr>
              <w:t xml:space="preserve"> </w:t>
            </w:r>
            <w:r w:rsidRPr="00C94C33">
              <w:t>/19</w:t>
            </w:r>
            <w:r w:rsidRPr="00C94C33">
              <w:rPr>
                <w:spacing w:val="-4"/>
              </w:rPr>
              <w:t xml:space="preserve"> </w:t>
            </w:r>
            <w:r w:rsidRPr="00C94C33">
              <w:t>(0.0%)</w:t>
            </w:r>
          </w:p>
        </w:tc>
        <w:tc>
          <w:tcPr>
            <w:tcW w:w="1360" w:type="dxa"/>
            <w:shd w:val="clear" w:color="auto" w:fill="auto"/>
          </w:tcPr>
          <w:p w14:paraId="2EE48EBD" w14:textId="77777777" w:rsidR="00DF61BC" w:rsidRPr="00C94C33" w:rsidRDefault="00DF61BC" w:rsidP="00751040">
            <w:pPr>
              <w:pStyle w:val="Tabletext"/>
              <w:rPr>
                <w:bCs/>
                <w:kern w:val="16"/>
              </w:rPr>
            </w:pPr>
            <w:r w:rsidRPr="00C94C33">
              <w:t>0</w:t>
            </w:r>
            <w:r w:rsidRPr="00C94C33">
              <w:rPr>
                <w:spacing w:val="-4"/>
              </w:rPr>
              <w:t xml:space="preserve"> </w:t>
            </w:r>
            <w:r w:rsidRPr="00C94C33">
              <w:t>/19</w:t>
            </w:r>
            <w:r w:rsidRPr="00C94C33">
              <w:rPr>
                <w:spacing w:val="-4"/>
              </w:rPr>
              <w:t xml:space="preserve"> </w:t>
            </w:r>
            <w:r w:rsidRPr="00C94C33">
              <w:t>(0.0%)</w:t>
            </w:r>
          </w:p>
        </w:tc>
      </w:tr>
      <w:tr w:rsidR="00DF61BC" w:rsidRPr="00C94C33" w14:paraId="516C2274" w14:textId="77777777" w:rsidTr="00B5151B">
        <w:tc>
          <w:tcPr>
            <w:tcW w:w="4644" w:type="dxa"/>
            <w:shd w:val="clear" w:color="auto" w:fill="auto"/>
          </w:tcPr>
          <w:p w14:paraId="1681B331" w14:textId="77777777" w:rsidR="00DF61BC" w:rsidRPr="00C94C33" w:rsidRDefault="00DF61BC" w:rsidP="00751040">
            <w:pPr>
              <w:pStyle w:val="Tabletext"/>
            </w:pPr>
            <w:r w:rsidRPr="00C94C33">
              <w:t>TPU-TAS-102-102 (Multiple-dose</w:t>
            </w:r>
            <w:r w:rsidRPr="00C94C33">
              <w:rPr>
                <w:spacing w:val="-15"/>
              </w:rPr>
              <w:t xml:space="preserve"> </w:t>
            </w:r>
            <w:r w:rsidRPr="00C94C33">
              <w:t>PK</w:t>
            </w:r>
            <w:r w:rsidRPr="00C94C33">
              <w:rPr>
                <w:spacing w:val="21"/>
                <w:w w:val="99"/>
              </w:rPr>
              <w:t xml:space="preserve"> </w:t>
            </w:r>
            <w:r w:rsidRPr="00C94C33">
              <w:rPr>
                <w:spacing w:val="-1"/>
              </w:rPr>
              <w:t>population)</w:t>
            </w:r>
          </w:p>
        </w:tc>
        <w:tc>
          <w:tcPr>
            <w:tcW w:w="1843" w:type="dxa"/>
            <w:shd w:val="clear" w:color="auto" w:fill="auto"/>
          </w:tcPr>
          <w:p w14:paraId="08C41979" w14:textId="77777777" w:rsidR="00DF61BC" w:rsidRPr="00C94C33" w:rsidRDefault="00DF61BC" w:rsidP="00751040">
            <w:pPr>
              <w:pStyle w:val="Tabletext"/>
              <w:rPr>
                <w:bCs/>
                <w:kern w:val="16"/>
              </w:rPr>
            </w:pPr>
            <w:r w:rsidRPr="00C94C33">
              <w:t>10</w:t>
            </w:r>
            <w:r w:rsidRPr="00C94C33">
              <w:rPr>
                <w:spacing w:val="-5"/>
              </w:rPr>
              <w:t xml:space="preserve"> </w:t>
            </w:r>
            <w:r w:rsidRPr="00C94C33">
              <w:t>/38</w:t>
            </w:r>
            <w:r w:rsidRPr="00C94C33">
              <w:rPr>
                <w:spacing w:val="-7"/>
              </w:rPr>
              <w:t xml:space="preserve"> </w:t>
            </w:r>
            <w:r w:rsidRPr="00C94C33">
              <w:t>(26.3%)</w:t>
            </w:r>
          </w:p>
        </w:tc>
        <w:tc>
          <w:tcPr>
            <w:tcW w:w="1701" w:type="dxa"/>
            <w:shd w:val="clear" w:color="auto" w:fill="auto"/>
          </w:tcPr>
          <w:p w14:paraId="6611F30C" w14:textId="77777777" w:rsidR="00DF61BC" w:rsidRPr="00C94C33" w:rsidRDefault="00DF61BC" w:rsidP="00751040">
            <w:pPr>
              <w:pStyle w:val="Tabletext"/>
              <w:rPr>
                <w:bCs/>
                <w:kern w:val="16"/>
              </w:rPr>
            </w:pPr>
            <w:r w:rsidRPr="00C94C33">
              <w:t>1</w:t>
            </w:r>
            <w:r w:rsidRPr="00C94C33">
              <w:rPr>
                <w:spacing w:val="-4"/>
              </w:rPr>
              <w:t xml:space="preserve"> </w:t>
            </w:r>
            <w:r w:rsidRPr="00C94C33">
              <w:t>/38</w:t>
            </w:r>
            <w:r w:rsidRPr="00C94C33">
              <w:rPr>
                <w:spacing w:val="-4"/>
              </w:rPr>
              <w:t xml:space="preserve"> </w:t>
            </w:r>
            <w:r w:rsidRPr="00C94C33">
              <w:t>(2.6%)</w:t>
            </w:r>
          </w:p>
        </w:tc>
        <w:tc>
          <w:tcPr>
            <w:tcW w:w="1360" w:type="dxa"/>
            <w:shd w:val="clear" w:color="auto" w:fill="auto"/>
          </w:tcPr>
          <w:p w14:paraId="59A6071F" w14:textId="77777777" w:rsidR="00DF61BC" w:rsidRPr="00C94C33" w:rsidRDefault="00DF61BC" w:rsidP="00751040">
            <w:pPr>
              <w:pStyle w:val="Tabletext"/>
              <w:rPr>
                <w:bCs/>
                <w:kern w:val="16"/>
              </w:rPr>
            </w:pPr>
            <w:r w:rsidRPr="00C94C33">
              <w:t>0</w:t>
            </w:r>
            <w:r w:rsidRPr="00C94C33">
              <w:rPr>
                <w:spacing w:val="-4"/>
              </w:rPr>
              <w:t xml:space="preserve"> </w:t>
            </w:r>
            <w:r w:rsidRPr="00C94C33">
              <w:t>/38</w:t>
            </w:r>
            <w:r w:rsidRPr="00C94C33">
              <w:rPr>
                <w:spacing w:val="-3"/>
              </w:rPr>
              <w:t xml:space="preserve"> </w:t>
            </w:r>
            <w:r w:rsidRPr="00C94C33">
              <w:t>(0.0%)</w:t>
            </w:r>
          </w:p>
        </w:tc>
      </w:tr>
      <w:tr w:rsidR="00DF61BC" w:rsidRPr="00C94C33" w14:paraId="774B57AA" w14:textId="77777777" w:rsidTr="00B5151B">
        <w:tc>
          <w:tcPr>
            <w:tcW w:w="4644" w:type="dxa"/>
            <w:shd w:val="clear" w:color="auto" w:fill="auto"/>
          </w:tcPr>
          <w:p w14:paraId="3C728F16" w14:textId="77777777" w:rsidR="00DF61BC" w:rsidRPr="00C94C33" w:rsidRDefault="00DF61BC" w:rsidP="00751040">
            <w:pPr>
              <w:pStyle w:val="Tabletext"/>
            </w:pPr>
            <w:r w:rsidRPr="00C94C33">
              <w:t>TPU-TAS-102-103 (PK</w:t>
            </w:r>
            <w:r w:rsidRPr="00C94C33">
              <w:rPr>
                <w:spacing w:val="-13"/>
              </w:rPr>
              <w:t xml:space="preserve"> </w:t>
            </w:r>
            <w:r w:rsidRPr="00C94C33">
              <w:rPr>
                <w:spacing w:val="-1"/>
              </w:rPr>
              <w:t>population)</w:t>
            </w:r>
          </w:p>
        </w:tc>
        <w:tc>
          <w:tcPr>
            <w:tcW w:w="1843" w:type="dxa"/>
            <w:shd w:val="clear" w:color="auto" w:fill="auto"/>
          </w:tcPr>
          <w:p w14:paraId="11E81BC2" w14:textId="77777777" w:rsidR="00DF61BC" w:rsidRPr="00C94C33" w:rsidRDefault="00DF61BC" w:rsidP="00751040">
            <w:pPr>
              <w:pStyle w:val="Tabletext"/>
              <w:rPr>
                <w:bCs/>
                <w:kern w:val="16"/>
              </w:rPr>
            </w:pPr>
            <w:r w:rsidRPr="00C94C33">
              <w:t>10</w:t>
            </w:r>
            <w:r w:rsidRPr="00C94C33">
              <w:rPr>
                <w:spacing w:val="-5"/>
              </w:rPr>
              <w:t xml:space="preserve"> </w:t>
            </w:r>
            <w:r w:rsidRPr="00C94C33">
              <w:t>/44</w:t>
            </w:r>
            <w:r w:rsidRPr="00C94C33">
              <w:rPr>
                <w:spacing w:val="-7"/>
              </w:rPr>
              <w:t xml:space="preserve"> </w:t>
            </w:r>
            <w:r w:rsidRPr="00C94C33">
              <w:t>(22.7%)</w:t>
            </w:r>
          </w:p>
        </w:tc>
        <w:tc>
          <w:tcPr>
            <w:tcW w:w="1701" w:type="dxa"/>
            <w:shd w:val="clear" w:color="auto" w:fill="auto"/>
          </w:tcPr>
          <w:p w14:paraId="107D9003" w14:textId="77777777" w:rsidR="00DF61BC" w:rsidRPr="00C94C33" w:rsidRDefault="00DF61BC" w:rsidP="00751040">
            <w:pPr>
              <w:pStyle w:val="Tabletext"/>
              <w:rPr>
                <w:bCs/>
                <w:kern w:val="16"/>
              </w:rPr>
            </w:pPr>
            <w:r w:rsidRPr="00C94C33">
              <w:t>2</w:t>
            </w:r>
            <w:r w:rsidRPr="00C94C33">
              <w:rPr>
                <w:spacing w:val="-4"/>
              </w:rPr>
              <w:t xml:space="preserve"> </w:t>
            </w:r>
            <w:r w:rsidRPr="00C94C33">
              <w:t>/44</w:t>
            </w:r>
            <w:r w:rsidRPr="00C94C33">
              <w:rPr>
                <w:spacing w:val="-4"/>
              </w:rPr>
              <w:t xml:space="preserve"> </w:t>
            </w:r>
            <w:r w:rsidRPr="00C94C33">
              <w:t>(4.5%)</w:t>
            </w:r>
          </w:p>
        </w:tc>
        <w:tc>
          <w:tcPr>
            <w:tcW w:w="1360" w:type="dxa"/>
            <w:shd w:val="clear" w:color="auto" w:fill="auto"/>
          </w:tcPr>
          <w:p w14:paraId="3C0A6ED9" w14:textId="77777777" w:rsidR="00DF61BC" w:rsidRPr="00C94C33" w:rsidRDefault="00DF61BC" w:rsidP="00751040">
            <w:pPr>
              <w:pStyle w:val="Tabletext"/>
              <w:rPr>
                <w:bCs/>
                <w:kern w:val="16"/>
              </w:rPr>
            </w:pPr>
            <w:r w:rsidRPr="00C94C33">
              <w:t>0</w:t>
            </w:r>
            <w:r w:rsidRPr="00C94C33">
              <w:rPr>
                <w:spacing w:val="-4"/>
              </w:rPr>
              <w:t xml:space="preserve"> </w:t>
            </w:r>
            <w:r w:rsidRPr="00C94C33">
              <w:t>/44</w:t>
            </w:r>
            <w:r w:rsidRPr="00C94C33">
              <w:rPr>
                <w:spacing w:val="-4"/>
              </w:rPr>
              <w:t xml:space="preserve"> </w:t>
            </w:r>
            <w:r w:rsidRPr="00C94C33">
              <w:t>(0.0%)</w:t>
            </w:r>
          </w:p>
        </w:tc>
      </w:tr>
      <w:tr w:rsidR="00DF61BC" w:rsidRPr="00C94C33" w14:paraId="2FC2BCE7" w14:textId="77777777" w:rsidTr="00B5151B">
        <w:tc>
          <w:tcPr>
            <w:tcW w:w="4644" w:type="dxa"/>
            <w:shd w:val="clear" w:color="auto" w:fill="auto"/>
          </w:tcPr>
          <w:p w14:paraId="206F16FC" w14:textId="77777777" w:rsidR="00DF61BC" w:rsidRPr="00C94C33" w:rsidRDefault="00DF61BC" w:rsidP="00751040">
            <w:pPr>
              <w:pStyle w:val="Tabletext"/>
            </w:pPr>
            <w:r w:rsidRPr="00C94C33">
              <w:t>TPU-TAS-102-104 (all</w:t>
            </w:r>
            <w:r w:rsidRPr="00C94C33">
              <w:rPr>
                <w:spacing w:val="-8"/>
              </w:rPr>
              <w:t xml:space="preserve"> </w:t>
            </w:r>
            <w:r w:rsidRPr="00C94C33">
              <w:t>PK</w:t>
            </w:r>
            <w:r w:rsidRPr="00C94C33">
              <w:rPr>
                <w:spacing w:val="-7"/>
              </w:rPr>
              <w:t xml:space="preserve"> </w:t>
            </w:r>
            <w:r w:rsidRPr="00C94C33">
              <w:rPr>
                <w:spacing w:val="-1"/>
              </w:rPr>
              <w:t>population)</w:t>
            </w:r>
          </w:p>
        </w:tc>
        <w:tc>
          <w:tcPr>
            <w:tcW w:w="1843" w:type="dxa"/>
            <w:shd w:val="clear" w:color="auto" w:fill="auto"/>
          </w:tcPr>
          <w:p w14:paraId="60D18FB2" w14:textId="77777777" w:rsidR="00DF61BC" w:rsidRPr="00C94C33" w:rsidRDefault="00DF61BC" w:rsidP="00751040">
            <w:pPr>
              <w:pStyle w:val="Tabletext"/>
            </w:pPr>
            <w:r w:rsidRPr="00C94C33">
              <w:t>15</w:t>
            </w:r>
            <w:r w:rsidRPr="00C94C33">
              <w:rPr>
                <w:spacing w:val="-5"/>
              </w:rPr>
              <w:t xml:space="preserve"> </w:t>
            </w:r>
            <w:r w:rsidRPr="00C94C33">
              <w:t>/45</w:t>
            </w:r>
            <w:r w:rsidRPr="00C94C33">
              <w:rPr>
                <w:spacing w:val="-7"/>
              </w:rPr>
              <w:t xml:space="preserve"> </w:t>
            </w:r>
            <w:r w:rsidRPr="00C94C33">
              <w:t>(33.3%)</w:t>
            </w:r>
          </w:p>
        </w:tc>
        <w:tc>
          <w:tcPr>
            <w:tcW w:w="1701" w:type="dxa"/>
            <w:shd w:val="clear" w:color="auto" w:fill="auto"/>
          </w:tcPr>
          <w:p w14:paraId="62828ACF" w14:textId="77777777" w:rsidR="00DF61BC" w:rsidRPr="00C94C33" w:rsidRDefault="00DF61BC" w:rsidP="00751040">
            <w:pPr>
              <w:pStyle w:val="Tabletext"/>
            </w:pPr>
            <w:r w:rsidRPr="00C94C33">
              <w:t>3</w:t>
            </w:r>
            <w:r w:rsidRPr="00C94C33">
              <w:rPr>
                <w:spacing w:val="-4"/>
              </w:rPr>
              <w:t xml:space="preserve"> </w:t>
            </w:r>
            <w:r w:rsidRPr="00C94C33">
              <w:t>/45</w:t>
            </w:r>
            <w:r w:rsidRPr="00C94C33">
              <w:rPr>
                <w:spacing w:val="-4"/>
              </w:rPr>
              <w:t xml:space="preserve"> </w:t>
            </w:r>
            <w:r w:rsidRPr="00C94C33">
              <w:t>(6.7%)</w:t>
            </w:r>
          </w:p>
        </w:tc>
        <w:tc>
          <w:tcPr>
            <w:tcW w:w="1360" w:type="dxa"/>
            <w:shd w:val="clear" w:color="auto" w:fill="auto"/>
          </w:tcPr>
          <w:p w14:paraId="45141DA9" w14:textId="77777777" w:rsidR="00DF61BC" w:rsidRPr="00C94C33" w:rsidRDefault="00DF61BC" w:rsidP="00751040">
            <w:pPr>
              <w:pStyle w:val="Tabletext"/>
            </w:pPr>
            <w:r w:rsidRPr="00C94C33">
              <w:t>0</w:t>
            </w:r>
            <w:r w:rsidRPr="00C94C33">
              <w:rPr>
                <w:spacing w:val="-4"/>
              </w:rPr>
              <w:t xml:space="preserve"> </w:t>
            </w:r>
            <w:r w:rsidRPr="00C94C33">
              <w:t>/46</w:t>
            </w:r>
            <w:r w:rsidRPr="00C94C33">
              <w:rPr>
                <w:spacing w:val="-4"/>
              </w:rPr>
              <w:t xml:space="preserve"> </w:t>
            </w:r>
            <w:r w:rsidRPr="00C94C33">
              <w:t>(0.0%)</w:t>
            </w:r>
          </w:p>
        </w:tc>
      </w:tr>
      <w:tr w:rsidR="00DF61BC" w:rsidRPr="00C94C33" w14:paraId="56C7FD39" w14:textId="77777777" w:rsidTr="00B5151B">
        <w:tc>
          <w:tcPr>
            <w:tcW w:w="4644" w:type="dxa"/>
            <w:shd w:val="clear" w:color="auto" w:fill="auto"/>
          </w:tcPr>
          <w:p w14:paraId="5CD5C1F5" w14:textId="77777777" w:rsidR="00DF61BC" w:rsidRPr="00C94C33" w:rsidRDefault="00DF61BC" w:rsidP="00751040">
            <w:pPr>
              <w:pStyle w:val="Tabletext"/>
            </w:pPr>
            <w:r w:rsidRPr="00C94C33">
              <w:t>TPU-TAS-102-301 (PK</w:t>
            </w:r>
            <w:r w:rsidRPr="00C94C33">
              <w:rPr>
                <w:spacing w:val="-6"/>
              </w:rPr>
              <w:t xml:space="preserve"> </w:t>
            </w:r>
            <w:r w:rsidRPr="00C94C33">
              <w:rPr>
                <w:spacing w:val="-1"/>
              </w:rPr>
              <w:t>population</w:t>
            </w:r>
            <w:r w:rsidRPr="00C94C33">
              <w:rPr>
                <w:spacing w:val="-5"/>
              </w:rPr>
              <w:t xml:space="preserve"> </w:t>
            </w:r>
            <w:r w:rsidRPr="00C94C33">
              <w:rPr>
                <w:spacing w:val="-2"/>
              </w:rPr>
              <w:t>who</w:t>
            </w:r>
            <w:r w:rsidRPr="00C94C33">
              <w:rPr>
                <w:spacing w:val="-5"/>
              </w:rPr>
              <w:t xml:space="preserve"> </w:t>
            </w:r>
            <w:r w:rsidRPr="00C94C33">
              <w:t>has</w:t>
            </w:r>
            <w:r w:rsidRPr="00C94C33">
              <w:rPr>
                <w:spacing w:val="21"/>
                <w:w w:val="99"/>
              </w:rPr>
              <w:t xml:space="preserve"> </w:t>
            </w:r>
            <w:r w:rsidRPr="00C94C33">
              <w:rPr>
                <w:spacing w:val="-1"/>
              </w:rPr>
              <w:t>estimated</w:t>
            </w:r>
            <w:r w:rsidRPr="00C94C33">
              <w:rPr>
                <w:spacing w:val="-9"/>
              </w:rPr>
              <w:t xml:space="preserve"> </w:t>
            </w:r>
            <w:r w:rsidRPr="00C94C33">
              <w:t>PK</w:t>
            </w:r>
            <w:r w:rsidRPr="00C94C33">
              <w:rPr>
                <w:spacing w:val="-10"/>
              </w:rPr>
              <w:t xml:space="preserve"> </w:t>
            </w:r>
            <w:r w:rsidRPr="00C94C33">
              <w:rPr>
                <w:spacing w:val="-1"/>
              </w:rPr>
              <w:t>parameters)</w:t>
            </w:r>
          </w:p>
        </w:tc>
        <w:tc>
          <w:tcPr>
            <w:tcW w:w="1843" w:type="dxa"/>
            <w:shd w:val="clear" w:color="auto" w:fill="auto"/>
          </w:tcPr>
          <w:p w14:paraId="0F7EBE41" w14:textId="77777777" w:rsidR="00DF61BC" w:rsidRPr="00C94C33" w:rsidRDefault="00DF61BC" w:rsidP="00751040">
            <w:pPr>
              <w:pStyle w:val="Tabletext"/>
            </w:pPr>
            <w:r w:rsidRPr="00C94C33">
              <w:t>45</w:t>
            </w:r>
            <w:r w:rsidRPr="00C94C33">
              <w:rPr>
                <w:spacing w:val="-6"/>
              </w:rPr>
              <w:t xml:space="preserve"> </w:t>
            </w:r>
            <w:r w:rsidRPr="00C94C33">
              <w:rPr>
                <w:spacing w:val="-1"/>
              </w:rPr>
              <w:t>/138</w:t>
            </w:r>
            <w:r w:rsidRPr="00C94C33">
              <w:rPr>
                <w:spacing w:val="-5"/>
              </w:rPr>
              <w:t xml:space="preserve"> </w:t>
            </w:r>
            <w:r w:rsidRPr="00C94C33">
              <w:t>(32.6%)</w:t>
            </w:r>
          </w:p>
        </w:tc>
        <w:tc>
          <w:tcPr>
            <w:tcW w:w="1701" w:type="dxa"/>
            <w:shd w:val="clear" w:color="auto" w:fill="auto"/>
          </w:tcPr>
          <w:p w14:paraId="0C558CD2" w14:textId="77777777" w:rsidR="00DF61BC" w:rsidRPr="00C94C33" w:rsidRDefault="00DF61BC" w:rsidP="00751040">
            <w:pPr>
              <w:pStyle w:val="Tabletext"/>
            </w:pPr>
            <w:r w:rsidRPr="00C94C33">
              <w:t>11</w:t>
            </w:r>
            <w:r w:rsidRPr="00C94C33">
              <w:rPr>
                <w:spacing w:val="-5"/>
              </w:rPr>
              <w:t xml:space="preserve"> </w:t>
            </w:r>
            <w:r w:rsidRPr="00C94C33">
              <w:rPr>
                <w:spacing w:val="-1"/>
              </w:rPr>
              <w:t>/138</w:t>
            </w:r>
            <w:r w:rsidRPr="00C94C33">
              <w:rPr>
                <w:spacing w:val="-5"/>
              </w:rPr>
              <w:t xml:space="preserve"> </w:t>
            </w:r>
            <w:r w:rsidRPr="00C94C33">
              <w:rPr>
                <w:spacing w:val="-1"/>
              </w:rPr>
              <w:t>(8.0%)</w:t>
            </w:r>
          </w:p>
        </w:tc>
        <w:tc>
          <w:tcPr>
            <w:tcW w:w="1360" w:type="dxa"/>
            <w:shd w:val="clear" w:color="auto" w:fill="auto"/>
          </w:tcPr>
          <w:p w14:paraId="49081986" w14:textId="77777777" w:rsidR="00DF61BC" w:rsidRPr="00C94C33" w:rsidRDefault="00DF61BC" w:rsidP="00751040">
            <w:pPr>
              <w:pStyle w:val="Tabletext"/>
            </w:pPr>
            <w:r w:rsidRPr="00C94C33">
              <w:t>0</w:t>
            </w:r>
            <w:r w:rsidRPr="00C94C33">
              <w:rPr>
                <w:spacing w:val="-5"/>
              </w:rPr>
              <w:t xml:space="preserve"> </w:t>
            </w:r>
            <w:r w:rsidRPr="00C94C33">
              <w:t>/138</w:t>
            </w:r>
            <w:r w:rsidRPr="00C94C33">
              <w:rPr>
                <w:spacing w:val="-6"/>
              </w:rPr>
              <w:t xml:space="preserve"> </w:t>
            </w:r>
            <w:r w:rsidRPr="00C94C33">
              <w:t>(0.0%)</w:t>
            </w:r>
          </w:p>
        </w:tc>
      </w:tr>
    </w:tbl>
    <w:p w14:paraId="2EC0A03F" w14:textId="77777777" w:rsidR="00AA7141" w:rsidRDefault="00DF61BC" w:rsidP="00B5151B">
      <w:pPr>
        <w:pStyle w:val="Heading4"/>
      </w:pPr>
      <w:bookmarkStart w:id="136" w:name="_Toc470948484"/>
      <w:r w:rsidRPr="00C94C33">
        <w:t>Pharmacokinetics according to gender</w:t>
      </w:r>
      <w:bookmarkEnd w:id="136"/>
    </w:p>
    <w:p w14:paraId="2D98C27C" w14:textId="5F53D935" w:rsidR="00DF61BC" w:rsidRPr="00C94C33" w:rsidRDefault="00DF61BC" w:rsidP="00D310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line="240" w:lineRule="auto"/>
        <w:rPr>
          <w:rFonts w:eastAsia="TimesNewRoman" w:cs="TimesNewRoman"/>
          <w:color w:val="000000"/>
          <w:lang w:eastAsia="en-AU"/>
        </w:rPr>
      </w:pPr>
      <w:r w:rsidRPr="00C94C33">
        <w:rPr>
          <w:rFonts w:eastAsia="Times New Roman"/>
          <w:bCs/>
          <w:kern w:val="16"/>
          <w:lang w:eastAsia="en-AU"/>
        </w:rPr>
        <w:t xml:space="preserve">In the population PK analysis </w:t>
      </w:r>
      <w:r w:rsidR="00A0007E" w:rsidRPr="00C94C33">
        <w:rPr>
          <w:rFonts w:eastAsia="Times New Roman"/>
          <w:bCs/>
          <w:kern w:val="16"/>
          <w:lang w:eastAsia="en-AU"/>
        </w:rPr>
        <w:t>(</w:t>
      </w:r>
      <w:r w:rsidRPr="00C94C33">
        <w:rPr>
          <w:rFonts w:eastAsia="Times New Roman"/>
          <w:bCs/>
          <w:kern w:val="16"/>
          <w:lang w:eastAsia="en-AU"/>
        </w:rPr>
        <w:t>12DA25</w:t>
      </w:r>
      <w:r w:rsidR="00A0007E" w:rsidRPr="00C94C33">
        <w:rPr>
          <w:rFonts w:eastAsia="Times New Roman"/>
          <w:bCs/>
          <w:kern w:val="16"/>
          <w:lang w:eastAsia="en-AU"/>
        </w:rPr>
        <w:t>)</w:t>
      </w:r>
      <w:r w:rsidRPr="00C94C33">
        <w:rPr>
          <w:rFonts w:eastAsia="Times New Roman"/>
          <w:bCs/>
          <w:kern w:val="16"/>
          <w:lang w:eastAsia="en-AU"/>
        </w:rPr>
        <w:t>, the dataset (</w:t>
      </w:r>
      <w:r w:rsidR="009C0389" w:rsidRPr="00C94C33">
        <w:rPr>
          <w:rFonts w:eastAsia="Times New Roman"/>
          <w:bCs/>
          <w:kern w:val="16"/>
          <w:lang w:eastAsia="en-AU"/>
        </w:rPr>
        <w:t xml:space="preserve">n = </w:t>
      </w:r>
      <w:r w:rsidRPr="00C94C33">
        <w:rPr>
          <w:rFonts w:eastAsia="Times New Roman"/>
          <w:bCs/>
          <w:kern w:val="16"/>
          <w:lang w:eastAsia="en-AU"/>
        </w:rPr>
        <w:t xml:space="preserve">329) included 41% female patients and 59% male patients. Initial modelling identified </w:t>
      </w:r>
      <w:r w:rsidRPr="00C94C33">
        <w:rPr>
          <w:rFonts w:eastAsia="TimesNewRoman" w:cs="TimesNewRoman"/>
          <w:color w:val="000000"/>
          <w:lang w:eastAsia="en-AU"/>
        </w:rPr>
        <w:t>gender as a significant</w:t>
      </w:r>
      <w:r w:rsidRPr="00C94C33">
        <w:rPr>
          <w:rFonts w:eastAsia="Times New Roman"/>
          <w:bCs/>
          <w:kern w:val="16"/>
          <w:lang w:eastAsia="en-AU"/>
        </w:rPr>
        <w:t xml:space="preserve"> </w:t>
      </w:r>
      <w:r w:rsidRPr="00C94C33">
        <w:rPr>
          <w:rFonts w:eastAsia="TimesNewRoman" w:cs="TimesNewRoman"/>
          <w:color w:val="000000"/>
          <w:lang w:eastAsia="en-AU"/>
        </w:rPr>
        <w:t>covariate for the Vd/F of FTD, but once BSA was incorporated into the model gender was no longer a significant covariate. Therefore, the apparent inter-individual</w:t>
      </w:r>
      <w:r w:rsidRPr="00C94C33">
        <w:rPr>
          <w:rFonts w:eastAsia="Times New Roman"/>
          <w:bCs/>
          <w:kern w:val="16"/>
          <w:lang w:eastAsia="en-AU"/>
        </w:rPr>
        <w:t xml:space="preserve"> </w:t>
      </w:r>
      <w:r w:rsidRPr="00C94C33">
        <w:rPr>
          <w:rFonts w:eastAsia="TimesNewRoman" w:cs="TimesNewRoman"/>
          <w:color w:val="000000"/>
          <w:lang w:eastAsia="en-AU"/>
        </w:rPr>
        <w:t>difference on Vd/F of FTD seen for gender is attributable to the difference in body size,</w:t>
      </w:r>
      <w:r w:rsidRPr="00C94C33">
        <w:rPr>
          <w:rFonts w:eastAsia="Times New Roman"/>
          <w:bCs/>
          <w:kern w:val="16"/>
          <w:lang w:eastAsia="en-AU"/>
        </w:rPr>
        <w:t xml:space="preserve"> </w:t>
      </w:r>
      <w:r w:rsidRPr="00C94C33">
        <w:rPr>
          <w:rFonts w:eastAsia="TimesNewRoman" w:cs="TimesNewRoman"/>
          <w:color w:val="000000"/>
          <w:lang w:eastAsia="en-AU"/>
        </w:rPr>
        <w:t>which is adjusted for by BSA dosing of TAS-102. Gender was not a significant covariate for any PK parameter of TPI.</w:t>
      </w:r>
      <w:bookmarkStart w:id="137" w:name="_Toc272414630"/>
      <w:bookmarkStart w:id="138" w:name="_Toc290846253"/>
    </w:p>
    <w:p w14:paraId="5869E42A" w14:textId="77777777" w:rsidR="00DF61BC" w:rsidRPr="00C94C33" w:rsidRDefault="00DF61BC" w:rsidP="00955252">
      <w:pPr>
        <w:pStyle w:val="Heading4"/>
      </w:pPr>
      <w:bookmarkStart w:id="139" w:name="_Toc470948485"/>
      <w:r w:rsidRPr="00C94C33">
        <w:t>Pharmacokinetics according to race</w:t>
      </w:r>
      <w:bookmarkEnd w:id="139"/>
    </w:p>
    <w:p w14:paraId="71630648" w14:textId="54AE6592" w:rsidR="00DF61BC" w:rsidRPr="00C94C33" w:rsidRDefault="00DF61BC" w:rsidP="00772CEB">
      <w:pPr>
        <w:autoSpaceDE w:val="0"/>
        <w:autoSpaceDN w:val="0"/>
        <w:adjustRightInd w:val="0"/>
        <w:spacing w:before="0" w:line="240" w:lineRule="auto"/>
        <w:rPr>
          <w:rFonts w:eastAsia="TimesNewRoman" w:cs="TimesNewRoman"/>
          <w:color w:val="000000"/>
          <w:lang w:eastAsia="en-AU"/>
        </w:rPr>
      </w:pPr>
      <w:r w:rsidRPr="00C94C33">
        <w:rPr>
          <w:rFonts w:eastAsia="TimesNewRoman" w:cs="TimesNewRoman"/>
          <w:color w:val="000000"/>
          <w:lang w:eastAsia="en-AU"/>
        </w:rPr>
        <w:t xml:space="preserve">In the population PK analysis </w:t>
      </w:r>
      <w:r w:rsidR="00A0007E" w:rsidRPr="00C94C33">
        <w:rPr>
          <w:rFonts w:eastAsia="TimesNewRoman" w:cs="TimesNewRoman"/>
          <w:color w:val="000000"/>
          <w:lang w:eastAsia="en-AU"/>
        </w:rPr>
        <w:t>(</w:t>
      </w:r>
      <w:r w:rsidRPr="00C94C33">
        <w:rPr>
          <w:rFonts w:eastAsia="TimesNewRoman" w:cs="TimesNewRoman"/>
          <w:color w:val="000000"/>
          <w:lang w:eastAsia="en-AU"/>
        </w:rPr>
        <w:t>12DA25</w:t>
      </w:r>
      <w:r w:rsidR="00A0007E" w:rsidRPr="00C94C33">
        <w:rPr>
          <w:rFonts w:eastAsia="TimesNewRoman" w:cs="TimesNewRoman"/>
          <w:color w:val="000000"/>
          <w:lang w:eastAsia="en-AU"/>
        </w:rPr>
        <w:t>)</w:t>
      </w:r>
      <w:r w:rsidRPr="00C94C33">
        <w:rPr>
          <w:rFonts w:eastAsia="TimesNewRoman" w:cs="TimesNewRoman"/>
          <w:color w:val="000000"/>
          <w:lang w:eastAsia="en-AU"/>
        </w:rPr>
        <w:t>, the dataset (</w:t>
      </w:r>
      <w:r w:rsidR="009C0389" w:rsidRPr="00C94C33">
        <w:rPr>
          <w:rFonts w:eastAsia="TimesNewRoman" w:cs="TimesNewRoman"/>
          <w:color w:val="000000"/>
          <w:lang w:eastAsia="en-AU"/>
        </w:rPr>
        <w:t xml:space="preserve">n = </w:t>
      </w:r>
      <w:r w:rsidRPr="00C94C33">
        <w:rPr>
          <w:rFonts w:eastAsia="TimesNewRoman" w:cs="TimesNewRoman"/>
          <w:color w:val="000000"/>
          <w:lang w:eastAsia="en-AU"/>
        </w:rPr>
        <w:t>239) consisted of 61% Caucasian and 26% Asian (mainly Japanese) patients. Race was not a significant covariate for PK parameters of either FTD or TPI. Therefore, the PK of FTD and TPI are not expected to be affected by race. The potential racial difference in body size is adjusted for by BSA dosing of TAS-102.</w:t>
      </w:r>
      <w:bookmarkEnd w:id="137"/>
      <w:bookmarkEnd w:id="138"/>
    </w:p>
    <w:p w14:paraId="7EF4EEFD" w14:textId="77777777" w:rsidR="00DF61BC" w:rsidRPr="00C94C33" w:rsidRDefault="00DF61BC" w:rsidP="00955252">
      <w:pPr>
        <w:pStyle w:val="Heading3"/>
      </w:pPr>
      <w:bookmarkStart w:id="140" w:name="_Toc241374294"/>
      <w:bookmarkStart w:id="141" w:name="_Toc272414632"/>
      <w:bookmarkStart w:id="142" w:name="_Toc290846255"/>
      <w:bookmarkStart w:id="143" w:name="_Toc470948486"/>
      <w:bookmarkStart w:id="144" w:name="_Toc510016877"/>
      <w:r w:rsidRPr="00C94C33">
        <w:t>Pharmacokinetic interactions</w:t>
      </w:r>
      <w:bookmarkEnd w:id="140"/>
      <w:bookmarkEnd w:id="141"/>
      <w:bookmarkEnd w:id="142"/>
      <w:bookmarkEnd w:id="143"/>
      <w:bookmarkEnd w:id="144"/>
    </w:p>
    <w:p w14:paraId="1581636A" w14:textId="77777777" w:rsidR="00DF61BC" w:rsidRPr="00C94C33" w:rsidRDefault="00DF61BC" w:rsidP="00955252">
      <w:pPr>
        <w:pStyle w:val="Heading4"/>
      </w:pPr>
      <w:bookmarkStart w:id="145" w:name="_Toc272414633"/>
      <w:bookmarkStart w:id="146" w:name="_Toc290846256"/>
      <w:bookmarkStart w:id="147" w:name="_Toc470948487"/>
      <w:r w:rsidRPr="00C94C33">
        <w:t>Pharmacokinetic interactions demonstrated in human studies</w:t>
      </w:r>
      <w:bookmarkEnd w:id="145"/>
      <w:bookmarkEnd w:id="146"/>
      <w:bookmarkEnd w:id="147"/>
    </w:p>
    <w:p w14:paraId="07B8CB81" w14:textId="77777777" w:rsidR="00AA7141" w:rsidRDefault="00DF61BC" w:rsidP="00772CEB">
      <w:pPr>
        <w:autoSpaceDE w:val="0"/>
        <w:autoSpaceDN w:val="0"/>
        <w:adjustRightInd w:val="0"/>
        <w:spacing w:before="0" w:line="240" w:lineRule="auto"/>
        <w:rPr>
          <w:rFonts w:eastAsia="Times New Roman"/>
          <w:kern w:val="16"/>
          <w:lang w:eastAsia="en-AU"/>
        </w:rPr>
      </w:pPr>
      <w:r w:rsidRPr="00C94C33">
        <w:rPr>
          <w:rFonts w:eastAsia="Times New Roman"/>
          <w:kern w:val="16"/>
          <w:lang w:eastAsia="en-AU"/>
        </w:rPr>
        <w:t xml:space="preserve">There were no dedicated PK drug-drug interaction clinical studies in humans. In the population PK analysis </w:t>
      </w:r>
      <w:r w:rsidR="00A0007E" w:rsidRPr="00C94C33">
        <w:rPr>
          <w:rFonts w:eastAsia="Times New Roman"/>
          <w:kern w:val="16"/>
          <w:lang w:eastAsia="en-AU"/>
        </w:rPr>
        <w:t>(</w:t>
      </w:r>
      <w:r w:rsidRPr="00C94C33">
        <w:rPr>
          <w:rFonts w:eastAsia="Times New Roman"/>
          <w:kern w:val="16"/>
          <w:lang w:eastAsia="en-AU"/>
        </w:rPr>
        <w:t>12DA25</w:t>
      </w:r>
      <w:r w:rsidR="00A0007E" w:rsidRPr="00C94C33">
        <w:rPr>
          <w:rFonts w:eastAsia="Times New Roman"/>
          <w:kern w:val="16"/>
          <w:lang w:eastAsia="en-AU"/>
        </w:rPr>
        <w:t>)</w:t>
      </w:r>
      <w:r w:rsidRPr="00C94C33">
        <w:rPr>
          <w:rFonts w:eastAsia="Times New Roman"/>
          <w:kern w:val="16"/>
          <w:lang w:eastAsia="en-AU"/>
        </w:rPr>
        <w:t>, OCT2 inhibitors did not demonstrate significant effects on TPI, despite the product undergoing renal tubular secretion. Concomitant administration of OCT2 inhibitors had no effect on the PK parameters of FTD. However, these data should be interpreted cautiously as only 10% of the 239 patients in the dataset were receiving OCT2 inhibitors</w:t>
      </w:r>
    </w:p>
    <w:p w14:paraId="771E7FB3" w14:textId="2ED04A22" w:rsidR="00DF61BC" w:rsidRPr="00C94C33" w:rsidRDefault="00DF61BC" w:rsidP="00955252">
      <w:pPr>
        <w:pStyle w:val="Heading3"/>
      </w:pPr>
      <w:bookmarkStart w:id="148" w:name="_Toc272414634"/>
      <w:bookmarkStart w:id="149" w:name="_Toc290846257"/>
      <w:bookmarkStart w:id="150" w:name="_Toc470948488"/>
      <w:bookmarkStart w:id="151" w:name="_Toc510016878"/>
      <w:r w:rsidRPr="00C94C33">
        <w:lastRenderedPageBreak/>
        <w:t xml:space="preserve">Clinical implications of </w:t>
      </w:r>
      <w:r w:rsidRPr="005C2FCA">
        <w:t>in vitro</w:t>
      </w:r>
      <w:r w:rsidRPr="007709B8">
        <w:t xml:space="preserve"> fi</w:t>
      </w:r>
      <w:r w:rsidRPr="00C94C33">
        <w:t>ndings</w:t>
      </w:r>
      <w:bookmarkEnd w:id="148"/>
      <w:bookmarkEnd w:id="149"/>
      <w:bookmarkEnd w:id="150"/>
      <w:bookmarkEnd w:id="151"/>
    </w:p>
    <w:p w14:paraId="28425908" w14:textId="77777777" w:rsidR="00AA7141" w:rsidRDefault="00DF61BC" w:rsidP="00955252">
      <w:pPr>
        <w:pStyle w:val="Heading4"/>
      </w:pPr>
      <w:r w:rsidRPr="00C94C33">
        <w:t>Brief review of the submitted in vitro human biomaterial studies</w:t>
      </w:r>
    </w:p>
    <w:p w14:paraId="2DB0C5E3" w14:textId="5763BC79" w:rsidR="00DF61BC" w:rsidRPr="007709B8" w:rsidRDefault="00DF61BC" w:rsidP="00772CE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szCs w:val="24"/>
          <w:lang w:eastAsia="en-AU"/>
        </w:rPr>
      </w:pPr>
      <w:r w:rsidRPr="00C94C33">
        <w:rPr>
          <w:rFonts w:eastAsia="Times New Roman"/>
          <w:kern w:val="16"/>
          <w:szCs w:val="24"/>
          <w:lang w:eastAsia="en-AU"/>
        </w:rPr>
        <w:t xml:space="preserve">The submission included a number of </w:t>
      </w:r>
      <w:r w:rsidRPr="005C2FCA">
        <w:rPr>
          <w:rFonts w:eastAsia="Times New Roman"/>
          <w:kern w:val="16"/>
          <w:szCs w:val="24"/>
          <w:lang w:eastAsia="en-AU"/>
        </w:rPr>
        <w:t>in vitro</w:t>
      </w:r>
      <w:r w:rsidRPr="007709B8">
        <w:rPr>
          <w:rFonts w:eastAsia="Times New Roman"/>
          <w:kern w:val="16"/>
          <w:szCs w:val="24"/>
          <w:lang w:eastAsia="en-AU"/>
        </w:rPr>
        <w:t xml:space="preserve"> human biomaterial studies. Based on the reported results of these studies, clinically meaningful drug-drug interactions between the propos</w:t>
      </w:r>
      <w:r w:rsidRPr="00C94C33">
        <w:rPr>
          <w:rFonts w:eastAsia="Times New Roman"/>
          <w:kern w:val="16"/>
          <w:szCs w:val="24"/>
          <w:lang w:eastAsia="en-AU"/>
        </w:rPr>
        <w:t xml:space="preserve">ed fixed-dose tablet and other drugs appear to be unlikely. The reported results of the </w:t>
      </w:r>
      <w:r w:rsidRPr="005C2FCA">
        <w:rPr>
          <w:rFonts w:eastAsia="Times New Roman"/>
          <w:kern w:val="16"/>
          <w:szCs w:val="24"/>
          <w:lang w:eastAsia="en-AU"/>
        </w:rPr>
        <w:t>in vitro</w:t>
      </w:r>
      <w:r w:rsidRPr="007709B8">
        <w:rPr>
          <w:rFonts w:eastAsia="Times New Roman"/>
          <w:kern w:val="16"/>
          <w:szCs w:val="24"/>
          <w:lang w:eastAsia="en-AU"/>
        </w:rPr>
        <w:t xml:space="preserve"> human biomaterial studies are summarised below.</w:t>
      </w:r>
    </w:p>
    <w:p w14:paraId="0157AAE7" w14:textId="77777777" w:rsidR="00AA7141" w:rsidRDefault="00DF61BC" w:rsidP="00955252">
      <w:pPr>
        <w:pStyle w:val="Heading5"/>
      </w:pPr>
      <w:r w:rsidRPr="00C94C33">
        <w:rPr>
          <w:rStyle w:val="Heading5Char"/>
          <w:b/>
          <w:bCs/>
          <w:i/>
        </w:rPr>
        <w:t>Inhibition of CYP enzyme activity</w:t>
      </w:r>
    </w:p>
    <w:p w14:paraId="1D557F1E" w14:textId="77777777" w:rsidR="00AA7141" w:rsidRDefault="00DF61BC" w:rsidP="00772CEB">
      <w:pPr>
        <w:autoSpaceDE w:val="0"/>
        <w:autoSpaceDN w:val="0"/>
        <w:adjustRightInd w:val="0"/>
        <w:spacing w:before="0" w:line="240" w:lineRule="auto"/>
        <w:rPr>
          <w:rFonts w:eastAsia="Times New Roman"/>
          <w:lang w:eastAsia="en-AU"/>
        </w:rPr>
      </w:pPr>
      <w:r w:rsidRPr="00C94C33">
        <w:rPr>
          <w:rFonts w:eastAsia="Times New Roman"/>
          <w:lang w:eastAsia="en-AU"/>
        </w:rPr>
        <w:t xml:space="preserve">Study XT115147 was undertaken to assess the inhibitory effects of FTD and TDI on CYP1A2, CYP2A6, CYP2B6, CYP2C8, CYP2C9, CYP2C19, CYP2D6, CYP2E1 and CYP3A4/5 in human liver microsomes. The concentrations of FTD and TPI in the reaction solution were set at 0.3 to 300 </w:t>
      </w:r>
      <w:r w:rsidR="009265E3" w:rsidRPr="00C94C33">
        <w:rPr>
          <w:rFonts w:eastAsia="Times New Roman"/>
          <w:lang w:eastAsia="en-AU"/>
        </w:rPr>
        <w:t>µ</w:t>
      </w:r>
      <w:r w:rsidRPr="00C94C33">
        <w:rPr>
          <w:rFonts w:eastAsia="Times New Roman"/>
          <w:lang w:eastAsia="en-AU"/>
        </w:rPr>
        <w:t xml:space="preserve">mol/L and 0.1 to 100 </w:t>
      </w:r>
      <w:r w:rsidR="009265E3" w:rsidRPr="00C94C33">
        <w:rPr>
          <w:rFonts w:eastAsia="Times New Roman"/>
          <w:lang w:eastAsia="en-AU"/>
        </w:rPr>
        <w:t>µ</w:t>
      </w:r>
      <w:r w:rsidRPr="00C94C33">
        <w:rPr>
          <w:rFonts w:eastAsia="Times New Roman"/>
          <w:lang w:eastAsia="en-AU"/>
        </w:rPr>
        <w:t>mol/L, respectively. The IC</w:t>
      </w:r>
      <w:r w:rsidRPr="00C94C33">
        <w:rPr>
          <w:rFonts w:eastAsia="Times New Roman"/>
          <w:vertAlign w:val="subscript"/>
          <w:lang w:eastAsia="en-AU"/>
        </w:rPr>
        <w:t>50</w:t>
      </w:r>
      <w:r w:rsidRPr="00C94C33">
        <w:rPr>
          <w:rFonts w:eastAsia="Times New Roman"/>
          <w:lang w:eastAsia="en-AU"/>
        </w:rPr>
        <w:t xml:space="preserve"> for CYP enzymes examined were reported at &gt; 300 </w:t>
      </w:r>
      <w:r w:rsidR="009265E3" w:rsidRPr="00C94C33">
        <w:rPr>
          <w:rFonts w:eastAsia="Times New Roman"/>
          <w:lang w:eastAsia="en-AU"/>
        </w:rPr>
        <w:t>µ</w:t>
      </w:r>
      <w:r w:rsidRPr="00C94C33">
        <w:rPr>
          <w:rFonts w:eastAsia="Times New Roman"/>
          <w:lang w:eastAsia="en-AU"/>
        </w:rPr>
        <w:t xml:space="preserve">mol/L for FTD and &gt;100 </w:t>
      </w:r>
      <w:r w:rsidR="009265E3" w:rsidRPr="00C94C33">
        <w:rPr>
          <w:rFonts w:eastAsia="Times New Roman"/>
          <w:lang w:eastAsia="en-AU"/>
        </w:rPr>
        <w:t>µ</w:t>
      </w:r>
      <w:r w:rsidRPr="00C94C33">
        <w:rPr>
          <w:rFonts w:eastAsia="Times New Roman"/>
          <w:lang w:eastAsia="en-AU"/>
        </w:rPr>
        <w:t xml:space="preserve">mol/L for TPI. The sponsor reported that there was little to no evidence of direct, time-dependent, or metabolism-dependent inhibition by FTD or TPI on any of the CYP enzymes examined. The sponsor concluded that, </w:t>
      </w:r>
      <w:r w:rsidRPr="005C2FCA">
        <w:rPr>
          <w:rFonts w:eastAsia="Times New Roman"/>
          <w:lang w:eastAsia="en-AU"/>
        </w:rPr>
        <w:t>in vitro</w:t>
      </w:r>
      <w:r w:rsidRPr="007709B8">
        <w:rPr>
          <w:rFonts w:eastAsia="Times New Roman"/>
          <w:lang w:eastAsia="en-AU"/>
        </w:rPr>
        <w:t>,</w:t>
      </w:r>
      <w:r w:rsidRPr="00C94C33">
        <w:rPr>
          <w:rFonts w:eastAsia="Times New Roman"/>
          <w:lang w:eastAsia="en-AU"/>
        </w:rPr>
        <w:t xml:space="preserve"> FTD and TDI did not inhibit the CYP enzymes examined.</w:t>
      </w:r>
    </w:p>
    <w:p w14:paraId="2B4765D6" w14:textId="77777777" w:rsidR="00AA7141" w:rsidRDefault="00DF61BC" w:rsidP="00772CEB">
      <w:pPr>
        <w:autoSpaceDE w:val="0"/>
        <w:autoSpaceDN w:val="0"/>
        <w:adjustRightInd w:val="0"/>
        <w:spacing w:before="0" w:line="240" w:lineRule="auto"/>
        <w:rPr>
          <w:rFonts w:eastAsia="Times New Roman"/>
          <w:lang w:eastAsia="en-AU"/>
        </w:rPr>
      </w:pPr>
      <w:r w:rsidRPr="00C94C33">
        <w:rPr>
          <w:rFonts w:eastAsia="Times New Roman"/>
          <w:kern w:val="16"/>
          <w:lang w:eastAsia="en-AU"/>
        </w:rPr>
        <w:t>Study XT133055 was undertaken to assess the effects of FTY (0.1 to 100 µmol/L)</w:t>
      </w:r>
      <w:r w:rsidRPr="00C94C33">
        <w:rPr>
          <w:rFonts w:eastAsia="Times New Roman"/>
          <w:lang w:eastAsia="en-AU"/>
        </w:rPr>
        <w:t xml:space="preserve"> on CYP1A2, CYP2A6, CYP2B6, CYP2C8, CYP2C9, CYP2C19, CYP2D6, CYP2E1 and CYP3A4/5) in human liver microsomes in order to determine direct, time-dependent, or metabolism dependent inhibition. The sponsor reported that there was little to no evidence of direct, time-dependent, or metabolism-dependent inhibition of any of the CYP enzymes by FTY (all IC</w:t>
      </w:r>
      <w:r w:rsidRPr="00C94C33">
        <w:rPr>
          <w:rFonts w:eastAsia="Times New Roman"/>
          <w:vertAlign w:val="subscript"/>
          <w:lang w:eastAsia="en-AU"/>
        </w:rPr>
        <w:t>50</w:t>
      </w:r>
      <w:r w:rsidRPr="00C94C33">
        <w:rPr>
          <w:rFonts w:eastAsia="Times New Roman"/>
          <w:lang w:eastAsia="en-AU"/>
        </w:rPr>
        <w:t xml:space="preserve"> values were &gt; 100 </w:t>
      </w:r>
      <w:r w:rsidR="009265E3" w:rsidRPr="00C94C33">
        <w:rPr>
          <w:rFonts w:eastAsia="Times New Roman" w:cs="TimesNewRomanPSMT"/>
          <w:lang w:eastAsia="en-AU"/>
        </w:rPr>
        <w:t>µ</w:t>
      </w:r>
      <w:r w:rsidRPr="00C94C33">
        <w:rPr>
          <w:rFonts w:eastAsia="Times New Roman"/>
          <w:lang w:eastAsia="en-AU"/>
        </w:rPr>
        <w:t>mol/L). The sponsor concluded that</w:t>
      </w:r>
      <w:r w:rsidRPr="00C94C33">
        <w:rPr>
          <w:rFonts w:eastAsia="Times New Roman"/>
          <w:i/>
          <w:lang w:eastAsia="en-AU"/>
        </w:rPr>
        <w:t xml:space="preserve">, </w:t>
      </w:r>
      <w:r w:rsidRPr="005C2FCA">
        <w:rPr>
          <w:rFonts w:eastAsia="Times New Roman"/>
          <w:lang w:eastAsia="en-AU"/>
        </w:rPr>
        <w:t>in vitro</w:t>
      </w:r>
      <w:r w:rsidRPr="007709B8">
        <w:rPr>
          <w:rFonts w:eastAsia="Times New Roman"/>
          <w:lang w:eastAsia="en-AU"/>
        </w:rPr>
        <w:t>,</w:t>
      </w:r>
      <w:r w:rsidRPr="00C94C33">
        <w:rPr>
          <w:rFonts w:eastAsia="Times New Roman"/>
          <w:lang w:eastAsia="en-AU"/>
        </w:rPr>
        <w:t xml:space="preserve"> FTY did not inhibit the CYP enzymes examined.</w:t>
      </w:r>
    </w:p>
    <w:p w14:paraId="0C4091EF" w14:textId="78067870" w:rsidR="00DF61BC" w:rsidRPr="00C94C33" w:rsidRDefault="00DF61BC" w:rsidP="005C2FCA">
      <w:pPr>
        <w:pStyle w:val="Comment"/>
        <w:rPr>
          <w:lang w:eastAsia="en-AU"/>
        </w:rPr>
      </w:pPr>
      <w:r w:rsidRPr="005C2FCA">
        <w:rPr>
          <w:b/>
          <w:lang w:eastAsia="en-AU"/>
        </w:rPr>
        <w:t xml:space="preserve">Comment: </w:t>
      </w:r>
      <w:r w:rsidR="00330EE4" w:rsidRPr="005C2FCA">
        <w:rPr>
          <w:b/>
          <w:lang w:eastAsia="en-AU"/>
        </w:rPr>
        <w:t xml:space="preserve"> </w:t>
      </w:r>
      <w:r w:rsidRPr="007709B8">
        <w:rPr>
          <w:lang w:eastAsia="en-AU"/>
        </w:rPr>
        <w:t xml:space="preserve">Neither FTD nor TPI are substrates of CYP. FTD, FTY, and TPI did not inhibit CYP enzymes in the </w:t>
      </w:r>
      <w:r w:rsidRPr="00C94C33">
        <w:rPr>
          <w:iCs/>
          <w:lang w:eastAsia="en-AU"/>
        </w:rPr>
        <w:t xml:space="preserve">in vitro human biomaterial </w:t>
      </w:r>
      <w:r w:rsidRPr="00C94C33">
        <w:rPr>
          <w:lang w:eastAsia="en-AU"/>
        </w:rPr>
        <w:t>studies.</w:t>
      </w:r>
    </w:p>
    <w:p w14:paraId="73F12869" w14:textId="77777777" w:rsidR="00AA7141" w:rsidRDefault="00DF61BC" w:rsidP="00955252">
      <w:pPr>
        <w:pStyle w:val="Heading5"/>
      </w:pPr>
      <w:r w:rsidRPr="00C94C33">
        <w:rPr>
          <w:rStyle w:val="Heading5Char"/>
          <w:b/>
          <w:bCs/>
          <w:i/>
        </w:rPr>
        <w:t>Induction of CYP enzyme activity</w:t>
      </w:r>
    </w:p>
    <w:p w14:paraId="283766D6" w14:textId="3CD5DFA2" w:rsidR="00DF61BC" w:rsidRPr="00C94C33" w:rsidRDefault="00DF61BC" w:rsidP="00772CEB">
      <w:pPr>
        <w:autoSpaceDE w:val="0"/>
        <w:autoSpaceDN w:val="0"/>
        <w:adjustRightInd w:val="0"/>
        <w:spacing w:before="0" w:line="240" w:lineRule="auto"/>
        <w:rPr>
          <w:rFonts w:eastAsia="Times New Roman"/>
          <w:lang w:eastAsia="en-AU"/>
        </w:rPr>
      </w:pPr>
      <w:r w:rsidRPr="00C94C33">
        <w:rPr>
          <w:rFonts w:eastAsia="Times New Roman"/>
          <w:kern w:val="16"/>
          <w:lang w:eastAsia="en-AU"/>
        </w:rPr>
        <w:t xml:space="preserve">Study XT133075 was undertaken to assess the </w:t>
      </w:r>
      <w:r w:rsidRPr="00C94C33">
        <w:rPr>
          <w:rFonts w:eastAsia="Times New Roman"/>
          <w:color w:val="000000"/>
          <w:lang w:eastAsia="en-AU"/>
        </w:rPr>
        <w:t>potential of FTD, FTY, and TPI to induce CYP1A2, CYP2B6, and CYP3A4/5 in human cryopreserved hepatocytes using both CYP catalytic activities and CYP mRNA levels. Primary cultures of human hepatocytes from 3 donors were incubated for 72 hours with FTD (0.5, 5, and 50</w:t>
      </w:r>
      <w:r w:rsidRPr="00C94C33">
        <w:rPr>
          <w:rFonts w:eastAsia="Times New Roman" w:cs="TimesNewRomanPSMT"/>
          <w:color w:val="000000"/>
          <w:lang w:eastAsia="en-AU"/>
        </w:rPr>
        <w:t xml:space="preserve"> </w:t>
      </w:r>
      <w:r w:rsidR="009265E3" w:rsidRPr="00C94C33">
        <w:rPr>
          <w:rFonts w:eastAsia="Times New Roman" w:cs="TimesNewRomanPSMT"/>
          <w:color w:val="000000"/>
          <w:lang w:eastAsia="en-AU"/>
        </w:rPr>
        <w:t>µg</w:t>
      </w:r>
      <w:r w:rsidRPr="00C94C33">
        <w:rPr>
          <w:rFonts w:eastAsia="Times New Roman" w:cs="TimesNewRomanPSMT"/>
          <w:color w:val="000000"/>
          <w:lang w:eastAsia="en-AU"/>
        </w:rPr>
        <w:t>/mL</w:t>
      </w:r>
      <w:r w:rsidRPr="00C94C33">
        <w:rPr>
          <w:rFonts w:eastAsia="Times New Roman"/>
          <w:color w:val="000000"/>
          <w:lang w:eastAsia="en-AU"/>
        </w:rPr>
        <w:t xml:space="preserve">), FTY (0.1, 1, and 10 </w:t>
      </w:r>
      <w:r w:rsidR="009265E3" w:rsidRPr="00C94C33">
        <w:rPr>
          <w:rFonts w:eastAsia="Times New Roman"/>
          <w:color w:val="000000"/>
          <w:lang w:eastAsia="en-AU"/>
        </w:rPr>
        <w:t>µg</w:t>
      </w:r>
      <w:r w:rsidRPr="00C94C33">
        <w:rPr>
          <w:rFonts w:eastAsia="Times New Roman"/>
          <w:color w:val="000000"/>
          <w:lang w:eastAsia="en-AU"/>
        </w:rPr>
        <w:t xml:space="preserve">/ML), TPI (0.01, 0.1 and 1 </w:t>
      </w:r>
      <w:r w:rsidR="009265E3" w:rsidRPr="00C94C33">
        <w:rPr>
          <w:rFonts w:eastAsia="Times New Roman"/>
          <w:color w:val="000000"/>
          <w:lang w:eastAsia="en-AU"/>
        </w:rPr>
        <w:t>µg</w:t>
      </w:r>
      <w:r w:rsidRPr="00C94C33">
        <w:rPr>
          <w:rFonts w:eastAsia="Times New Roman"/>
          <w:color w:val="000000"/>
          <w:lang w:eastAsia="en-AU"/>
        </w:rPr>
        <w:t xml:space="preserve">/mL), and the positive control compounds omeprazole (50 µM for CYP1A2), phenobarbital </w:t>
      </w:r>
      <w:r w:rsidRPr="00C94C33">
        <w:rPr>
          <w:rFonts w:eastAsia="Times New Roman"/>
          <w:lang w:eastAsia="en-AU"/>
        </w:rPr>
        <w:t>(750 µmol</w:t>
      </w:r>
      <w:r w:rsidRPr="00C94C33">
        <w:rPr>
          <w:rFonts w:eastAsia="Times New Roman" w:cs="TimesNewRomanPSMT"/>
          <w:lang w:eastAsia="en-AU"/>
        </w:rPr>
        <w:t xml:space="preserve">/L for CYP2B6), rifampin (20 µmol/L </w:t>
      </w:r>
      <w:r w:rsidRPr="00C94C33">
        <w:rPr>
          <w:rFonts w:eastAsia="Times New Roman"/>
          <w:lang w:eastAsia="en-AU"/>
        </w:rPr>
        <w:t>for CYP3A4/5), or vehicle only</w:t>
      </w:r>
      <w:r w:rsidRPr="00C94C33">
        <w:rPr>
          <w:rFonts w:eastAsia="Times New Roman"/>
          <w:color w:val="000000"/>
          <w:lang w:eastAsia="en-AU"/>
        </w:rPr>
        <w:t xml:space="preserve">. Fresh medium containing test compound was added every 24 hours. </w:t>
      </w:r>
      <w:r w:rsidRPr="00C94C33">
        <w:rPr>
          <w:rFonts w:eastAsia="Times New Roman"/>
          <w:lang w:eastAsia="en-AU"/>
        </w:rPr>
        <w:t>The sponsor reported that treatment of cultured human hepatocytes with FTY (</w:t>
      </w:r>
      <w:r w:rsidRPr="00C94C33">
        <w:rPr>
          <w:rFonts w:eastAsia="Times New Roman" w:cs="TimesNewRomanPSMT"/>
          <w:lang w:eastAsia="en-AU"/>
        </w:rPr>
        <w:t xml:space="preserve">up to 10 </w:t>
      </w:r>
      <w:r w:rsidR="009265E3" w:rsidRPr="00C94C33">
        <w:rPr>
          <w:rFonts w:eastAsia="Times New Roman" w:cs="TimesNewRomanPSMT"/>
          <w:lang w:eastAsia="en-AU"/>
        </w:rPr>
        <w:t>µg</w:t>
      </w:r>
      <w:r w:rsidRPr="00C94C33">
        <w:rPr>
          <w:rFonts w:eastAsia="Times New Roman" w:cs="TimesNewRomanPSMT"/>
          <w:lang w:eastAsia="en-AU"/>
        </w:rPr>
        <w:t>/mL)</w:t>
      </w:r>
      <w:r w:rsidRPr="00C94C33">
        <w:rPr>
          <w:rFonts w:eastAsia="Times New Roman"/>
          <w:lang w:eastAsia="en-AU"/>
        </w:rPr>
        <w:t>, FTD (</w:t>
      </w:r>
      <w:r w:rsidRPr="00C94C33">
        <w:rPr>
          <w:rFonts w:eastAsia="Times New Roman" w:cs="TimesNewRomanPSMT"/>
          <w:lang w:eastAsia="en-AU"/>
        </w:rPr>
        <w:t xml:space="preserve">up to 50 </w:t>
      </w:r>
      <w:r w:rsidR="009265E3" w:rsidRPr="00C94C33">
        <w:rPr>
          <w:rFonts w:eastAsia="Times New Roman" w:cs="TimesNewRomanPSMT"/>
          <w:lang w:eastAsia="en-AU"/>
        </w:rPr>
        <w:t>µg</w:t>
      </w:r>
      <w:r w:rsidRPr="00C94C33">
        <w:rPr>
          <w:rFonts w:eastAsia="Times New Roman" w:cs="TimesNewRomanPSMT"/>
          <w:lang w:eastAsia="en-AU"/>
        </w:rPr>
        <w:t>/mL</w:t>
      </w:r>
      <w:r w:rsidRPr="00C94C33">
        <w:rPr>
          <w:rFonts w:eastAsia="Times New Roman"/>
          <w:lang w:eastAsia="en-AU"/>
        </w:rPr>
        <w:t>) or TPI (</w:t>
      </w:r>
      <w:r w:rsidRPr="00C94C33">
        <w:rPr>
          <w:rFonts w:eastAsia="Times New Roman" w:cs="TimesNewRomanPSMT"/>
          <w:lang w:eastAsia="en-AU"/>
        </w:rPr>
        <w:t xml:space="preserve">up to 1 </w:t>
      </w:r>
      <w:r w:rsidR="009265E3" w:rsidRPr="00C94C33">
        <w:rPr>
          <w:rFonts w:eastAsia="Times New Roman" w:cs="TimesNewRomanPSMT"/>
          <w:lang w:eastAsia="en-AU"/>
        </w:rPr>
        <w:t>µg</w:t>
      </w:r>
      <w:r w:rsidRPr="00C94C33">
        <w:rPr>
          <w:rFonts w:eastAsia="Times New Roman" w:cs="TimesNewRomanPSMT"/>
          <w:lang w:eastAsia="en-AU"/>
        </w:rPr>
        <w:t xml:space="preserve">/mL) </w:t>
      </w:r>
      <w:r w:rsidRPr="00C94C33">
        <w:rPr>
          <w:rFonts w:eastAsia="Times New Roman"/>
          <w:lang w:eastAsia="en-AU"/>
        </w:rPr>
        <w:t>for 72 hours caused less than a 20% increase in the percent lactate dehydrogenase released compared to the positive control. The sponsor concluded that FTD, FTY, and TPI are unlikely to induce CYP1A2, CYP2B6, and CYP3A4/5 in humans after oral administration.</w:t>
      </w:r>
    </w:p>
    <w:p w14:paraId="7070E5CC" w14:textId="252F1574" w:rsidR="00DF61BC" w:rsidRPr="00C94C33" w:rsidRDefault="00DF61BC" w:rsidP="00772CEB">
      <w:pPr>
        <w:autoSpaceDE w:val="0"/>
        <w:autoSpaceDN w:val="0"/>
        <w:adjustRightInd w:val="0"/>
        <w:spacing w:before="0" w:line="240" w:lineRule="auto"/>
        <w:rPr>
          <w:rFonts w:eastAsia="Times New Roman"/>
          <w:color w:val="000000"/>
          <w:lang w:eastAsia="en-AU"/>
        </w:rPr>
      </w:pPr>
      <w:r w:rsidRPr="00C94C33">
        <w:rPr>
          <w:rFonts w:eastAsia="Times New Roman"/>
          <w:kern w:val="16"/>
          <w:lang w:eastAsia="en-AU"/>
        </w:rPr>
        <w:t xml:space="preserve">Study 11DA19 was undertaken to assess </w:t>
      </w:r>
      <w:r w:rsidRPr="00C94C33">
        <w:rPr>
          <w:rFonts w:eastAsia="Times New Roman"/>
          <w:color w:val="000000"/>
          <w:lang w:eastAsia="en-AU"/>
        </w:rPr>
        <w:t xml:space="preserve">the potential of FTD and TPI to induce CYP1A2 and CYP3A4 in human cryopreserved hepatocytes. Primary cultures of human hepatocytes from 3 donors were incubated for 72 hours with FTD (0.5, 5.0, and 50 </w:t>
      </w:r>
      <w:r w:rsidR="009265E3" w:rsidRPr="00C94C33">
        <w:rPr>
          <w:rFonts w:eastAsia="Times New Roman" w:cs="TimesNewRomanPSMT"/>
          <w:color w:val="000000"/>
          <w:lang w:eastAsia="en-AU"/>
        </w:rPr>
        <w:t>µ</w:t>
      </w:r>
      <w:r w:rsidRPr="00C94C33">
        <w:rPr>
          <w:rFonts w:eastAsia="Times New Roman" w:cs="TimesNewRomanPSMT"/>
          <w:color w:val="000000"/>
          <w:lang w:eastAsia="en-AU"/>
        </w:rPr>
        <w:t xml:space="preserve">g/mL), TPI </w:t>
      </w:r>
      <w:r w:rsidRPr="00C94C33">
        <w:rPr>
          <w:rFonts w:eastAsia="Times New Roman"/>
          <w:color w:val="000000"/>
          <w:lang w:eastAsia="en-AU"/>
        </w:rPr>
        <w:t xml:space="preserve">(0.01, 0.1 and 1 </w:t>
      </w:r>
      <w:r w:rsidR="009265E3" w:rsidRPr="00C94C33">
        <w:rPr>
          <w:rFonts w:eastAsia="Times New Roman" w:cs="TimesNewRomanPSMT"/>
          <w:color w:val="000000"/>
          <w:lang w:eastAsia="en-AU"/>
        </w:rPr>
        <w:t>µ</w:t>
      </w:r>
      <w:r w:rsidRPr="00C94C33">
        <w:rPr>
          <w:rFonts w:eastAsia="Times New Roman" w:cs="TimesNewRomanPSMT"/>
          <w:color w:val="000000"/>
          <w:lang w:eastAsia="en-AU"/>
        </w:rPr>
        <w:t>g/mL), and the positive c</w:t>
      </w:r>
      <w:r w:rsidRPr="00C94C33">
        <w:rPr>
          <w:rFonts w:eastAsia="Times New Roman"/>
          <w:color w:val="000000"/>
          <w:lang w:eastAsia="en-AU"/>
        </w:rPr>
        <w:t xml:space="preserve">ontrol compounds omeprazole (50 </w:t>
      </w:r>
      <w:r w:rsidR="009265E3" w:rsidRPr="00C94C33">
        <w:rPr>
          <w:rFonts w:eastAsia="Times New Roman" w:cs="TimesNewRomanPSMT"/>
          <w:color w:val="000000"/>
          <w:lang w:eastAsia="en-AU"/>
        </w:rPr>
        <w:t>µ</w:t>
      </w:r>
      <w:r w:rsidRPr="00C94C33">
        <w:rPr>
          <w:rFonts w:eastAsia="Times New Roman"/>
          <w:color w:val="000000"/>
          <w:lang w:eastAsia="en-AU"/>
        </w:rPr>
        <w:t>mol/L for</w:t>
      </w:r>
      <w:r w:rsidRPr="00C94C33">
        <w:rPr>
          <w:rFonts w:eastAsia="Times New Roman" w:cs="TimesNewRomanPSMT"/>
          <w:color w:val="000000"/>
          <w:lang w:eastAsia="en-AU"/>
        </w:rPr>
        <w:t xml:space="preserve"> CYP1A2), rifampin (20 </w:t>
      </w:r>
      <w:r w:rsidR="009265E3" w:rsidRPr="00C94C33">
        <w:rPr>
          <w:rFonts w:eastAsia="Times New Roman" w:cs="TimesNewRomanPSMT"/>
          <w:color w:val="000000"/>
          <w:lang w:eastAsia="en-AU"/>
        </w:rPr>
        <w:t>µ</w:t>
      </w:r>
      <w:r w:rsidRPr="00C94C33">
        <w:rPr>
          <w:rFonts w:eastAsia="Times New Roman"/>
          <w:color w:val="000000"/>
          <w:lang w:eastAsia="en-AU"/>
        </w:rPr>
        <w:t>mol/L for CYP3A4), or vehicle only. Fresh medium containing test</w:t>
      </w:r>
      <w:r w:rsidRPr="00C94C33">
        <w:rPr>
          <w:rFonts w:eastAsia="Times New Roman" w:cs="TimesNewRomanPSMT"/>
          <w:color w:val="000000"/>
          <w:lang w:eastAsia="en-AU"/>
        </w:rPr>
        <w:t xml:space="preserve"> </w:t>
      </w:r>
      <w:r w:rsidRPr="00C94C33">
        <w:rPr>
          <w:rFonts w:eastAsia="Times New Roman"/>
          <w:color w:val="000000"/>
          <w:lang w:eastAsia="en-AU"/>
        </w:rPr>
        <w:t>compound was added every 24 hours. The catalytic activities of CYP1A2 and CYP3A4 were</w:t>
      </w:r>
      <w:r w:rsidRPr="00C94C33">
        <w:rPr>
          <w:rFonts w:eastAsia="Times New Roman" w:cs="TimesNewRomanPSMT"/>
          <w:color w:val="000000"/>
          <w:lang w:eastAsia="en-AU"/>
        </w:rPr>
        <w:t xml:space="preserve"> </w:t>
      </w:r>
      <w:r w:rsidRPr="00C94C33">
        <w:rPr>
          <w:rFonts w:eastAsia="Times New Roman"/>
          <w:color w:val="000000"/>
          <w:lang w:eastAsia="en-AU"/>
        </w:rPr>
        <w:t xml:space="preserve">evaluated by phenacetin </w:t>
      </w:r>
      <w:r w:rsidRPr="00C94C33">
        <w:rPr>
          <w:rFonts w:eastAsia="Times New Roman"/>
          <w:i/>
          <w:iCs/>
          <w:color w:val="000000"/>
          <w:lang w:eastAsia="en-AU"/>
        </w:rPr>
        <w:t>O</w:t>
      </w:r>
      <w:r w:rsidRPr="00C94C33">
        <w:rPr>
          <w:rFonts w:eastAsia="Times New Roman"/>
          <w:color w:val="000000"/>
          <w:lang w:eastAsia="en-AU"/>
        </w:rPr>
        <w:t>-deethylase and midazolam 1'-hydroxylase, respectively. The sponsor reported that all positive controls induced appropriate increases in CYP activity. The effects of FTD and TPI on</w:t>
      </w:r>
      <w:r w:rsidRPr="00C94C33">
        <w:rPr>
          <w:rFonts w:eastAsia="Times New Roman" w:cs="TimesNewRomanPSMT"/>
          <w:color w:val="000000"/>
          <w:lang w:eastAsia="en-AU"/>
        </w:rPr>
        <w:t xml:space="preserve"> </w:t>
      </w:r>
      <w:r w:rsidRPr="00C94C33">
        <w:rPr>
          <w:rFonts w:eastAsia="Times New Roman"/>
          <w:color w:val="000000"/>
          <w:lang w:eastAsia="en-AU"/>
        </w:rPr>
        <w:t>hepatocytes from 3 donors were reported not to have reached the 40% positive control threshold considered to</w:t>
      </w:r>
      <w:r w:rsidRPr="00C94C33">
        <w:rPr>
          <w:rFonts w:eastAsia="Times New Roman" w:cs="TimesNewRomanPSMT"/>
          <w:color w:val="000000"/>
          <w:lang w:eastAsia="en-AU"/>
        </w:rPr>
        <w:t xml:space="preserve"> </w:t>
      </w:r>
      <w:r w:rsidRPr="00C94C33">
        <w:rPr>
          <w:rFonts w:eastAsia="Times New Roman"/>
          <w:color w:val="000000"/>
          <w:lang w:eastAsia="en-AU"/>
        </w:rPr>
        <w:t>indicate a positive inductive effect. The sponsor concluded that FTD and TPI are unlikely to induce CYP1A2 and CYP3A4 in humans.</w:t>
      </w:r>
    </w:p>
    <w:p w14:paraId="362CBCF2" w14:textId="7EE1E500" w:rsidR="00DF61BC" w:rsidRPr="00C94C33" w:rsidRDefault="00DF61BC" w:rsidP="005C2FCA">
      <w:pPr>
        <w:pStyle w:val="Comment"/>
        <w:rPr>
          <w:lang w:eastAsia="en-AU"/>
        </w:rPr>
      </w:pPr>
      <w:r w:rsidRPr="005C2FCA">
        <w:rPr>
          <w:b/>
          <w:lang w:eastAsia="en-AU"/>
        </w:rPr>
        <w:t>Comment:</w:t>
      </w:r>
      <w:r w:rsidR="00330EE4" w:rsidRPr="007709B8">
        <w:rPr>
          <w:lang w:eastAsia="en-AU"/>
        </w:rPr>
        <w:t xml:space="preserve"> </w:t>
      </w:r>
      <w:r w:rsidRPr="00C94C33">
        <w:rPr>
          <w:lang w:eastAsia="en-AU"/>
        </w:rPr>
        <w:t xml:space="preserve"> The human biomaterial studies suggest that FTD, TPI and FTY are unlikely to induce CYP1A2, CYP2B6, and CYP3A4/5 in humans.</w:t>
      </w:r>
    </w:p>
    <w:p w14:paraId="1EE64F09" w14:textId="77777777" w:rsidR="00AA7141" w:rsidRDefault="00DF61BC" w:rsidP="00955252">
      <w:pPr>
        <w:pStyle w:val="Heading5"/>
        <w:rPr>
          <w:lang w:eastAsia="en-AU"/>
        </w:rPr>
      </w:pPr>
      <w:r w:rsidRPr="00C94C33">
        <w:rPr>
          <w:lang w:eastAsia="en-AU"/>
        </w:rPr>
        <w:lastRenderedPageBreak/>
        <w:t>Displacement of protein binding</w:t>
      </w:r>
    </w:p>
    <w:p w14:paraId="16808DB9" w14:textId="05A826D4" w:rsidR="00DF61BC" w:rsidRPr="00C94C33" w:rsidRDefault="00DF61BC" w:rsidP="00772CEB">
      <w:pPr>
        <w:autoSpaceDE w:val="0"/>
        <w:autoSpaceDN w:val="0"/>
        <w:adjustRightInd w:val="0"/>
        <w:spacing w:before="0" w:line="240" w:lineRule="auto"/>
        <w:rPr>
          <w:rFonts w:eastAsia="Times New Roman"/>
          <w:lang w:eastAsia="en-AU"/>
        </w:rPr>
      </w:pPr>
      <w:r w:rsidRPr="00C94C33">
        <w:rPr>
          <w:rFonts w:eastAsia="Times New Roman"/>
          <w:lang w:eastAsia="en-AU"/>
        </w:rPr>
        <w:t xml:space="preserve">Protein binding of FTD in human serum was high, ranging from 96.7% to 97.3% (primarily to HSA) </w:t>
      </w:r>
      <w:r w:rsidR="00A0007E" w:rsidRPr="00C94C33">
        <w:rPr>
          <w:rFonts w:eastAsia="Times New Roman"/>
          <w:lang w:eastAsia="en-AU"/>
        </w:rPr>
        <w:t>(</w:t>
      </w:r>
      <w:r w:rsidR="00330EE4" w:rsidRPr="00C94C33">
        <w:rPr>
          <w:rFonts w:eastAsia="Times New Roman"/>
          <w:lang w:eastAsia="en-AU"/>
        </w:rPr>
        <w:t xml:space="preserve">Study </w:t>
      </w:r>
      <w:r w:rsidRPr="00C94C33">
        <w:rPr>
          <w:rFonts w:eastAsia="Times New Roman"/>
          <w:lang w:eastAsia="en-AU"/>
        </w:rPr>
        <w:t>AE-2350-3G</w:t>
      </w:r>
      <w:r w:rsidR="00A0007E" w:rsidRPr="00C94C33">
        <w:rPr>
          <w:rFonts w:eastAsia="Times New Roman"/>
          <w:lang w:eastAsia="en-AU"/>
        </w:rPr>
        <w:t>)</w:t>
      </w:r>
      <w:r w:rsidRPr="00C94C33">
        <w:rPr>
          <w:rFonts w:eastAsia="Times New Roman"/>
          <w:lang w:eastAsia="en-AU"/>
        </w:rPr>
        <w:t xml:space="preserve">. Study 12DA05 was undertaken to investigate the effect of FTD on the plasma protein binding of warfarin, a drug which also binds to albumin, and to examine the effect of FTD plasma protein binding on other drugs highly bound to HSA. The plasma protein binding ratio of warfarin was 99.0% in the absence of FTD, and 99.0%, 99.0% and 98.8% in the presence of 0.5, 5 and 50 </w:t>
      </w:r>
      <w:r w:rsidR="009265E3" w:rsidRPr="00C94C33">
        <w:rPr>
          <w:rFonts w:eastAsia="Times New Roman"/>
          <w:lang w:eastAsia="en-AU"/>
        </w:rPr>
        <w:t>µ</w:t>
      </w:r>
      <w:r w:rsidRPr="00C94C33">
        <w:rPr>
          <w:rFonts w:eastAsia="Times New Roman"/>
          <w:lang w:eastAsia="en-AU"/>
        </w:rPr>
        <w:t xml:space="preserve">g/mL of FTD, respectively. The effect of </w:t>
      </w:r>
      <w:r w:rsidRPr="00C94C33">
        <w:rPr>
          <w:rFonts w:eastAsia="Times New Roman" w:cs="TimesNewRomanPSMT"/>
          <w:lang w:eastAsia="en-AU"/>
        </w:rPr>
        <w:t xml:space="preserve">plasma protein binding of FTD (5 </w:t>
      </w:r>
      <w:r w:rsidR="009265E3" w:rsidRPr="00C94C33">
        <w:rPr>
          <w:rFonts w:eastAsia="Times New Roman" w:cs="TimesNewRomanPSMT"/>
          <w:lang w:eastAsia="en-AU"/>
        </w:rPr>
        <w:t>µ</w:t>
      </w:r>
      <w:r w:rsidRPr="00C94C33">
        <w:rPr>
          <w:rFonts w:eastAsia="Times New Roman" w:cs="TimesNewRomanPSMT"/>
          <w:lang w:eastAsia="en-AU"/>
        </w:rPr>
        <w:t>g/mL) in the presence or absence of o</w:t>
      </w:r>
      <w:r w:rsidRPr="00C94C33">
        <w:rPr>
          <w:rFonts w:eastAsia="Times New Roman"/>
          <w:lang w:eastAsia="en-AU"/>
        </w:rPr>
        <w:t xml:space="preserve">ther drugs highly bound to albumin was determined by ultrafiltration using </w:t>
      </w:r>
      <w:r w:rsidRPr="00C94C33">
        <w:rPr>
          <w:rFonts w:eastAsia="Times New Roman"/>
          <w:vertAlign w:val="superscript"/>
          <w:lang w:eastAsia="en-AU"/>
        </w:rPr>
        <w:t>14</w:t>
      </w:r>
      <w:r w:rsidRPr="00C94C33">
        <w:rPr>
          <w:rFonts w:eastAsia="Times New Roman"/>
          <w:lang w:eastAsia="en-AU"/>
        </w:rPr>
        <w:t xml:space="preserve">C-FTD. Warfarin, diazepam, and digitoxin bound to the three major drug binding sites of HSA. The HSA binding ratio of FTD was 93.1%, and 93.0%, 93.0%, 93.6%, 93.2%, 93.0%, and 93.9% when 1 </w:t>
      </w:r>
      <w:r w:rsidR="009265E3" w:rsidRPr="00C94C33">
        <w:rPr>
          <w:rFonts w:eastAsia="Times New Roman"/>
          <w:lang w:eastAsia="en-AU"/>
        </w:rPr>
        <w:t>µ</w:t>
      </w:r>
      <w:r w:rsidRPr="00C94C33">
        <w:rPr>
          <w:rFonts w:eastAsia="Times New Roman"/>
          <w:lang w:eastAsia="en-AU"/>
        </w:rPr>
        <w:t xml:space="preserve">g/mL of warfarin, 10 </w:t>
      </w:r>
      <w:r w:rsidR="009265E3" w:rsidRPr="00C94C33">
        <w:rPr>
          <w:rFonts w:eastAsia="Times New Roman"/>
          <w:lang w:eastAsia="en-AU"/>
        </w:rPr>
        <w:t>µ</w:t>
      </w:r>
      <w:r w:rsidRPr="00C94C33">
        <w:rPr>
          <w:rFonts w:eastAsia="Times New Roman"/>
          <w:lang w:eastAsia="en-AU"/>
        </w:rPr>
        <w:t xml:space="preserve">g/mL of warfarin, 0.2 </w:t>
      </w:r>
      <w:r w:rsidR="009265E3" w:rsidRPr="00C94C33">
        <w:rPr>
          <w:rFonts w:eastAsia="Times New Roman"/>
          <w:lang w:eastAsia="en-AU"/>
        </w:rPr>
        <w:t>µ</w:t>
      </w:r>
      <w:r w:rsidRPr="00C94C33">
        <w:rPr>
          <w:rFonts w:eastAsia="Times New Roman"/>
          <w:lang w:eastAsia="en-AU"/>
        </w:rPr>
        <w:t xml:space="preserve">g/mL of diazepam, 2 </w:t>
      </w:r>
      <w:r w:rsidR="009265E3" w:rsidRPr="00C94C33">
        <w:rPr>
          <w:rFonts w:eastAsia="Times New Roman"/>
          <w:lang w:eastAsia="en-AU"/>
        </w:rPr>
        <w:t>µ</w:t>
      </w:r>
      <w:r w:rsidRPr="00C94C33">
        <w:rPr>
          <w:rFonts w:eastAsia="Times New Roman"/>
          <w:lang w:eastAsia="en-AU"/>
        </w:rPr>
        <w:t xml:space="preserve">g/mL of diazepam, 0.1 </w:t>
      </w:r>
      <w:r w:rsidR="009265E3" w:rsidRPr="00C94C33">
        <w:rPr>
          <w:rFonts w:eastAsia="Times New Roman"/>
          <w:lang w:eastAsia="en-AU"/>
        </w:rPr>
        <w:t>µ</w:t>
      </w:r>
      <w:r w:rsidRPr="00C94C33">
        <w:rPr>
          <w:rFonts w:eastAsia="Times New Roman"/>
          <w:lang w:eastAsia="en-AU"/>
        </w:rPr>
        <w:t xml:space="preserve">g/mL of digitoxin, and 1 </w:t>
      </w:r>
      <w:r w:rsidR="009265E3" w:rsidRPr="00C94C33">
        <w:rPr>
          <w:rFonts w:eastAsia="Times New Roman"/>
          <w:lang w:eastAsia="en-AU"/>
        </w:rPr>
        <w:t>µ</w:t>
      </w:r>
      <w:r w:rsidRPr="00C94C33">
        <w:rPr>
          <w:rFonts w:eastAsia="Times New Roman"/>
          <w:lang w:eastAsia="en-AU"/>
        </w:rPr>
        <w:t>g/mL of digitoxin were added, respectively. Therefore, the extent of HSA binding of FTD was not affected by drugs that bind to albumin.</w:t>
      </w:r>
    </w:p>
    <w:p w14:paraId="0B8DA52C" w14:textId="77777777" w:rsidR="00AA7141" w:rsidRDefault="00DF61BC" w:rsidP="005C2FCA">
      <w:pPr>
        <w:pStyle w:val="Comment"/>
        <w:rPr>
          <w:lang w:eastAsia="en-AU"/>
        </w:rPr>
      </w:pPr>
      <w:r w:rsidRPr="005C2FCA">
        <w:rPr>
          <w:b/>
          <w:lang w:eastAsia="en-AU"/>
        </w:rPr>
        <w:t>Comment:</w:t>
      </w:r>
      <w:r w:rsidRPr="007709B8">
        <w:rPr>
          <w:lang w:eastAsia="en-AU"/>
        </w:rPr>
        <w:t xml:space="preserve"> </w:t>
      </w:r>
      <w:r w:rsidR="004F5C66" w:rsidRPr="00C94C33">
        <w:rPr>
          <w:lang w:eastAsia="en-AU"/>
        </w:rPr>
        <w:t xml:space="preserve"> </w:t>
      </w:r>
      <w:r w:rsidRPr="00C94C33">
        <w:rPr>
          <w:lang w:eastAsia="en-AU"/>
        </w:rPr>
        <w:t>Drug interactions between FTD and other medicines that bind to HSA are unlikely.</w:t>
      </w:r>
    </w:p>
    <w:p w14:paraId="531075A1" w14:textId="4775C183" w:rsidR="00AA7141" w:rsidRDefault="00DF61BC" w:rsidP="00955252">
      <w:pPr>
        <w:pStyle w:val="Heading5"/>
        <w:rPr>
          <w:lang w:eastAsia="en-AU"/>
        </w:rPr>
      </w:pPr>
      <w:r w:rsidRPr="00C94C33">
        <w:rPr>
          <w:lang w:eastAsia="en-AU"/>
        </w:rPr>
        <w:t>Interactions mediated by human organic cation transporter 2 (OCT2)</w:t>
      </w:r>
    </w:p>
    <w:p w14:paraId="5475D18A" w14:textId="5194C32D" w:rsidR="00DF61BC" w:rsidRPr="00C94C33" w:rsidRDefault="00DF61BC" w:rsidP="00772CEB">
      <w:pPr>
        <w:autoSpaceDE w:val="0"/>
        <w:autoSpaceDN w:val="0"/>
        <w:adjustRightInd w:val="0"/>
        <w:spacing w:before="0" w:line="240" w:lineRule="auto"/>
        <w:rPr>
          <w:rFonts w:eastAsia="Times New Roman"/>
          <w:lang w:eastAsia="en-AU"/>
        </w:rPr>
      </w:pPr>
      <w:r w:rsidRPr="00C94C33">
        <w:rPr>
          <w:rFonts w:eastAsia="Times New Roman"/>
          <w:kern w:val="16"/>
          <w:lang w:eastAsia="en-AU"/>
        </w:rPr>
        <w:t xml:space="preserve">Study 09B12 was </w:t>
      </w:r>
      <w:r w:rsidRPr="00C94C33">
        <w:rPr>
          <w:rFonts w:eastAsia="Times New Roman"/>
          <w:lang w:eastAsia="en-AU"/>
        </w:rPr>
        <w:t xml:space="preserve">undertaken to assess whether TPI is a substrate and/or inhibitor of human OCT2. The uptake of </w:t>
      </w:r>
      <w:r w:rsidRPr="00C94C33">
        <w:rPr>
          <w:rFonts w:eastAsia="Times New Roman"/>
          <w:vertAlign w:val="superscript"/>
          <w:lang w:eastAsia="en-AU"/>
        </w:rPr>
        <w:t>14</w:t>
      </w:r>
      <w:r w:rsidRPr="00C94C33">
        <w:rPr>
          <w:rFonts w:eastAsia="Times New Roman"/>
          <w:lang w:eastAsia="en-AU"/>
        </w:rPr>
        <w:t xml:space="preserve">C-TPI and the typical substrate of OCT2, </w:t>
      </w:r>
      <w:r w:rsidRPr="00C94C33">
        <w:rPr>
          <w:rFonts w:eastAsia="Times New Roman"/>
          <w:vertAlign w:val="superscript"/>
          <w:lang w:eastAsia="en-AU"/>
        </w:rPr>
        <w:t>3</w:t>
      </w:r>
      <w:r w:rsidRPr="00C94C33">
        <w:rPr>
          <w:rFonts w:eastAsia="Times New Roman"/>
          <w:lang w:eastAsia="en-AU"/>
        </w:rPr>
        <w:t xml:space="preserve">H-1-methyl-4-phenylpyridium (MPP+) were determined in cells stably expressing OCT2 and mock-transfected cells. The concentration-dependent uptake of </w:t>
      </w:r>
      <w:r w:rsidRPr="00C94C33">
        <w:rPr>
          <w:rFonts w:eastAsia="Times New Roman"/>
          <w:vertAlign w:val="superscript"/>
          <w:lang w:eastAsia="en-AU"/>
        </w:rPr>
        <w:t>14</w:t>
      </w:r>
      <w:r w:rsidRPr="00C94C33">
        <w:rPr>
          <w:rFonts w:eastAsia="Times New Roman"/>
          <w:lang w:eastAsia="en-AU"/>
        </w:rPr>
        <w:t xml:space="preserve">C-TPI at concentrations ranging from 0.000968 to 10 mmol/L indicated that TPI is a substrate for OCT2 </w:t>
      </w:r>
      <w:r w:rsidRPr="005C2FCA">
        <w:rPr>
          <w:rFonts w:eastAsia="Times New Roman"/>
          <w:iCs/>
          <w:lang w:eastAsia="en-AU"/>
        </w:rPr>
        <w:t>in vitro</w:t>
      </w:r>
      <w:r w:rsidRPr="007709B8">
        <w:rPr>
          <w:rFonts w:eastAsia="Times New Roman"/>
          <w:lang w:eastAsia="en-AU"/>
        </w:rPr>
        <w:t>. The IC</w:t>
      </w:r>
      <w:r w:rsidRPr="00C94C33">
        <w:rPr>
          <w:rFonts w:eastAsia="Times New Roman"/>
          <w:vertAlign w:val="subscript"/>
          <w:lang w:eastAsia="en-AU"/>
        </w:rPr>
        <w:t>50</w:t>
      </w:r>
      <w:r w:rsidRPr="00C94C33">
        <w:rPr>
          <w:rFonts w:eastAsia="Times New Roman"/>
          <w:lang w:eastAsia="en-AU"/>
        </w:rPr>
        <w:t xml:space="preserve"> for TPI as an inhibitor of OCT2 was 0.946 mmol/L (equivalent to 264 </w:t>
      </w:r>
      <w:r w:rsidR="009265E3" w:rsidRPr="00C94C33">
        <w:rPr>
          <w:rFonts w:eastAsia="Times New Roman"/>
          <w:lang w:eastAsia="en-AU"/>
        </w:rPr>
        <w:t>µ</w:t>
      </w:r>
      <w:r w:rsidRPr="00C94C33">
        <w:rPr>
          <w:rFonts w:eastAsia="Times New Roman"/>
          <w:lang w:eastAsia="en-AU"/>
        </w:rPr>
        <w:t>g/mL), a concentration that was substantially higher than plasma C</w:t>
      </w:r>
      <w:r w:rsidRPr="00C94C33">
        <w:rPr>
          <w:rFonts w:eastAsia="Times New Roman"/>
          <w:sz w:val="20"/>
          <w:szCs w:val="20"/>
          <w:lang w:eastAsia="en-AU"/>
        </w:rPr>
        <w:t>max</w:t>
      </w:r>
      <w:r w:rsidRPr="00C94C33">
        <w:rPr>
          <w:rFonts w:eastAsia="Times New Roman"/>
          <w:lang w:eastAsia="en-AU"/>
        </w:rPr>
        <w:t xml:space="preserve"> values of TPI when TAS-102 was administered in clinical </w:t>
      </w:r>
      <w:r w:rsidR="004F5C66" w:rsidRPr="00C94C33">
        <w:rPr>
          <w:rFonts w:eastAsia="Times New Roman"/>
          <w:lang w:eastAsia="en-AU"/>
        </w:rPr>
        <w:t xml:space="preserve">Study </w:t>
      </w:r>
      <w:r w:rsidRPr="00C94C33">
        <w:rPr>
          <w:rFonts w:eastAsia="Times New Roman"/>
          <w:lang w:eastAsia="en-AU"/>
        </w:rPr>
        <w:t>J001-10040010.</w:t>
      </w:r>
    </w:p>
    <w:p w14:paraId="46F47426" w14:textId="1E5C3F31" w:rsidR="00DF61BC" w:rsidRPr="00C94C33" w:rsidRDefault="00DF61BC" w:rsidP="005C2FCA">
      <w:pPr>
        <w:pStyle w:val="Comment"/>
        <w:rPr>
          <w:lang w:eastAsia="en-AU"/>
        </w:rPr>
      </w:pPr>
      <w:r w:rsidRPr="005C2FCA">
        <w:rPr>
          <w:b/>
          <w:kern w:val="16"/>
          <w:lang w:eastAsia="en-AU"/>
        </w:rPr>
        <w:t xml:space="preserve">Comment: </w:t>
      </w:r>
      <w:r w:rsidR="004F5C66" w:rsidRPr="005C2FCA">
        <w:rPr>
          <w:b/>
          <w:kern w:val="16"/>
          <w:lang w:eastAsia="en-AU"/>
        </w:rPr>
        <w:t xml:space="preserve"> </w:t>
      </w:r>
      <w:r w:rsidRPr="007709B8">
        <w:rPr>
          <w:kern w:val="16"/>
          <w:lang w:eastAsia="en-AU"/>
        </w:rPr>
        <w:t xml:space="preserve">The sponsor concluded that </w:t>
      </w:r>
      <w:r w:rsidRPr="00C94C33">
        <w:rPr>
          <w:lang w:eastAsia="en-AU"/>
        </w:rPr>
        <w:t>TAS-102 is unlikely to cause significant interactions with other drugs due to inhibition of OCT2 by TPI, but the transport of TPI by OCT2 might be affected when TAS-102 is administered concomitantly with drugs that inhibit the OCT2 transporter. Consequently, the urinary excretion of TPI may be inhibited when co-administered with drugs that inhibit the OCT2 transporter resulting in increased plasma concentrations of TPI and FTD (secondary effect relating to TPI increase).</w:t>
      </w:r>
    </w:p>
    <w:p w14:paraId="2B18A78E" w14:textId="77777777" w:rsidR="00DF61BC" w:rsidRPr="00C94C33" w:rsidRDefault="00DF61BC" w:rsidP="00955252">
      <w:pPr>
        <w:pStyle w:val="Heading5"/>
        <w:rPr>
          <w:lang w:eastAsia="en-AU"/>
        </w:rPr>
      </w:pPr>
      <w:r w:rsidRPr="00C94C33">
        <w:rPr>
          <w:lang w:eastAsia="en-AU"/>
        </w:rPr>
        <w:t>Interactions mediated by human organic anion transporters</w:t>
      </w:r>
    </w:p>
    <w:p w14:paraId="6BE0AC94" w14:textId="1602C526" w:rsidR="00DF61BC" w:rsidRPr="00C94C33" w:rsidRDefault="00DF61BC" w:rsidP="00772CEB">
      <w:pPr>
        <w:autoSpaceDE w:val="0"/>
        <w:autoSpaceDN w:val="0"/>
        <w:adjustRightInd w:val="0"/>
        <w:spacing w:before="0" w:line="240" w:lineRule="auto"/>
        <w:rPr>
          <w:rFonts w:eastAsia="Times New Roman"/>
          <w:color w:val="000000"/>
          <w:lang w:eastAsia="en-AU"/>
        </w:rPr>
      </w:pPr>
      <w:r w:rsidRPr="00C94C33">
        <w:rPr>
          <w:rFonts w:eastAsia="Times New Roman"/>
          <w:color w:val="000000"/>
          <w:lang w:eastAsia="en-AU"/>
        </w:rPr>
        <w:t xml:space="preserve">Study 11CB14 was undertaken to assess whether TPI is a substrate and/or inhibitor of human OAT3. The uptake of </w:t>
      </w:r>
      <w:r w:rsidRPr="00C94C33">
        <w:rPr>
          <w:rFonts w:eastAsia="Times New Roman"/>
          <w:color w:val="000000"/>
          <w:vertAlign w:val="superscript"/>
          <w:lang w:eastAsia="en-AU"/>
        </w:rPr>
        <w:t>14</w:t>
      </w:r>
      <w:r w:rsidRPr="00C94C33">
        <w:rPr>
          <w:rFonts w:eastAsia="Times New Roman"/>
          <w:color w:val="000000"/>
          <w:lang w:eastAsia="en-AU"/>
        </w:rPr>
        <w:t xml:space="preserve">C-TPI or the typical substrate of OAT3, </w:t>
      </w:r>
      <w:r w:rsidRPr="00C94C33">
        <w:rPr>
          <w:rFonts w:eastAsia="Times New Roman"/>
          <w:color w:val="000000"/>
          <w:vertAlign w:val="superscript"/>
          <w:lang w:eastAsia="en-AU"/>
        </w:rPr>
        <w:t>3</w:t>
      </w:r>
      <w:r w:rsidRPr="00C94C33">
        <w:rPr>
          <w:rFonts w:eastAsia="Times New Roman"/>
          <w:color w:val="000000"/>
          <w:lang w:eastAsia="en-AU"/>
        </w:rPr>
        <w:t xml:space="preserve">H-estrone </w:t>
      </w:r>
      <w:r w:rsidR="00CC49DA" w:rsidRPr="00C94C33">
        <w:rPr>
          <w:rFonts w:eastAsia="Times New Roman"/>
          <w:color w:val="000000"/>
          <w:lang w:eastAsia="en-AU"/>
        </w:rPr>
        <w:t>sulphate</w:t>
      </w:r>
      <w:r w:rsidRPr="00C94C33">
        <w:rPr>
          <w:rFonts w:eastAsia="Times New Roman"/>
          <w:color w:val="000000"/>
          <w:lang w:eastAsia="en-AU"/>
        </w:rPr>
        <w:t xml:space="preserve">, was determined in cells transfected and stably expressing OAT3 and in mock-transfected cells. The uptake of </w:t>
      </w:r>
      <w:r w:rsidRPr="00C94C33">
        <w:rPr>
          <w:rFonts w:eastAsia="Times New Roman"/>
          <w:color w:val="000000"/>
          <w:vertAlign w:val="superscript"/>
          <w:lang w:eastAsia="en-AU"/>
        </w:rPr>
        <w:t>14</w:t>
      </w:r>
      <w:r w:rsidRPr="00C94C33">
        <w:rPr>
          <w:rFonts w:eastAsia="Times New Roman"/>
          <w:color w:val="000000"/>
          <w:lang w:eastAsia="en-AU"/>
        </w:rPr>
        <w:t xml:space="preserve">C-TPI into OAT3-expressing cells was reported to be higher than that observed in mock-transfected cells. The uptake </w:t>
      </w:r>
      <w:r w:rsidRPr="00C94C33">
        <w:rPr>
          <w:rFonts w:eastAsia="Times New Roman"/>
          <w:color w:val="000000"/>
          <w:vertAlign w:val="superscript"/>
          <w:lang w:eastAsia="en-AU"/>
        </w:rPr>
        <w:t>14</w:t>
      </w:r>
      <w:r w:rsidRPr="00C94C33">
        <w:rPr>
          <w:rFonts w:eastAsia="Times New Roman"/>
          <w:color w:val="000000"/>
          <w:lang w:eastAsia="en-AU"/>
        </w:rPr>
        <w:t xml:space="preserve">C-TPI was reported to be not time-dependent and markedly lower than that of </w:t>
      </w:r>
      <w:r w:rsidRPr="00C94C33">
        <w:rPr>
          <w:rFonts w:eastAsia="Times New Roman"/>
          <w:color w:val="000000"/>
          <w:vertAlign w:val="superscript"/>
          <w:lang w:eastAsia="en-AU"/>
        </w:rPr>
        <w:t>3</w:t>
      </w:r>
      <w:r w:rsidRPr="00C94C33">
        <w:rPr>
          <w:rFonts w:eastAsia="Times New Roman"/>
          <w:color w:val="000000"/>
          <w:lang w:eastAsia="en-AU"/>
        </w:rPr>
        <w:t>H-estrone sulphate, indicating that TPI is not a substrate of OAT3. The inhibitory effect of TPI (0.1 to 1</w:t>
      </w:r>
      <w:r w:rsidR="00CC49DA" w:rsidRPr="00C94C33">
        <w:rPr>
          <w:rFonts w:eastAsia="Times New Roman"/>
          <w:color w:val="000000"/>
          <w:lang w:eastAsia="en-AU"/>
        </w:rPr>
        <w:t> </w:t>
      </w:r>
      <w:r w:rsidR="009265E3" w:rsidRPr="00C94C33">
        <w:rPr>
          <w:rFonts w:eastAsia="Times New Roman"/>
          <w:color w:val="000000"/>
          <w:lang w:eastAsia="en-AU"/>
        </w:rPr>
        <w:t>µ</w:t>
      </w:r>
      <w:r w:rsidRPr="00C94C33">
        <w:rPr>
          <w:rFonts w:eastAsia="Times New Roman"/>
          <w:color w:val="000000"/>
          <w:lang w:eastAsia="en-AU"/>
        </w:rPr>
        <w:t xml:space="preserve">mol/L) on the uptake of </w:t>
      </w:r>
      <w:r w:rsidRPr="00C94C33">
        <w:rPr>
          <w:rFonts w:eastAsia="Times New Roman"/>
          <w:color w:val="000000"/>
          <w:vertAlign w:val="superscript"/>
          <w:lang w:eastAsia="en-AU"/>
        </w:rPr>
        <w:t>3</w:t>
      </w:r>
      <w:r w:rsidRPr="00C94C33">
        <w:rPr>
          <w:rFonts w:eastAsia="Times New Roman"/>
          <w:color w:val="000000"/>
          <w:lang w:eastAsia="en-AU"/>
        </w:rPr>
        <w:t xml:space="preserve">H-estrone sulfate was also assessed, and showed that uptake was not inhibited by TPI at concentrations up to 1 </w:t>
      </w:r>
      <w:r w:rsidR="009265E3" w:rsidRPr="00C94C33">
        <w:rPr>
          <w:rFonts w:eastAsia="Times New Roman"/>
          <w:color w:val="000000"/>
          <w:lang w:eastAsia="en-AU"/>
        </w:rPr>
        <w:t>µ</w:t>
      </w:r>
      <w:r w:rsidRPr="00C94C33">
        <w:rPr>
          <w:rFonts w:eastAsia="Times New Roman"/>
          <w:color w:val="000000"/>
          <w:lang w:eastAsia="en-AU"/>
        </w:rPr>
        <w:t>mol/L, a concentration higher than TPI plasma concentrations achieved when TAS-102 was administered in clinical studies.</w:t>
      </w:r>
    </w:p>
    <w:p w14:paraId="25499A3C" w14:textId="792E67AA" w:rsidR="00DF61BC" w:rsidRPr="00C94C33" w:rsidRDefault="00DF61BC" w:rsidP="00772CEB">
      <w:pPr>
        <w:autoSpaceDE w:val="0"/>
        <w:autoSpaceDN w:val="0"/>
        <w:adjustRightInd w:val="0"/>
        <w:spacing w:before="0" w:line="240" w:lineRule="auto"/>
        <w:rPr>
          <w:rFonts w:eastAsia="Times New Roman"/>
          <w:color w:val="000000"/>
          <w:lang w:eastAsia="en-AU"/>
        </w:rPr>
      </w:pPr>
      <w:r w:rsidRPr="00C94C33">
        <w:rPr>
          <w:rFonts w:eastAsia="Times New Roman"/>
          <w:color w:val="000000"/>
          <w:lang w:eastAsia="en-AU"/>
        </w:rPr>
        <w:t xml:space="preserve">Study 13DB16 was undertaken to determine the effects of FTD on human hepatic uptake transporters OATP1B1 and OATP1B3. The effects of FTD (0.5, 5, and 50 </w:t>
      </w:r>
      <w:r w:rsidR="009265E3" w:rsidRPr="00C94C33">
        <w:rPr>
          <w:rFonts w:eastAsia="Times New Roman" w:cs="TimesNewRomanPSMT"/>
          <w:color w:val="000000"/>
          <w:lang w:eastAsia="en-AU"/>
        </w:rPr>
        <w:t>µ</w:t>
      </w:r>
      <w:r w:rsidRPr="00C94C33">
        <w:rPr>
          <w:rFonts w:eastAsia="Times New Roman"/>
          <w:color w:val="000000"/>
          <w:lang w:eastAsia="en-AU"/>
        </w:rPr>
        <w:t xml:space="preserve">g/mL) on the uptake of </w:t>
      </w:r>
      <w:r w:rsidRPr="00C94C33">
        <w:rPr>
          <w:rFonts w:eastAsia="Times New Roman"/>
          <w:color w:val="000000"/>
          <w:vertAlign w:val="superscript"/>
          <w:lang w:eastAsia="en-AU"/>
        </w:rPr>
        <w:t>3</w:t>
      </w:r>
      <w:r w:rsidRPr="00C94C33">
        <w:rPr>
          <w:rFonts w:eastAsia="Times New Roman"/>
          <w:color w:val="000000"/>
          <w:lang w:eastAsia="en-AU"/>
        </w:rPr>
        <w:t>H-estradiol-17</w:t>
      </w:r>
      <w:r w:rsidRPr="00C94C33">
        <w:rPr>
          <w:rFonts w:eastAsia="Times New Roman" w:cs="TimesNewRomanPSMT"/>
          <w:color w:val="000000"/>
          <w:lang w:eastAsia="en-AU"/>
        </w:rPr>
        <w:t>β</w:t>
      </w:r>
      <w:r w:rsidRPr="00C94C33">
        <w:rPr>
          <w:rFonts w:eastAsia="Times New Roman"/>
          <w:color w:val="000000"/>
          <w:lang w:eastAsia="en-AU"/>
        </w:rPr>
        <w:t>-glucuronide (E17</w:t>
      </w:r>
      <w:r w:rsidRPr="00C94C33">
        <w:rPr>
          <w:rFonts w:eastAsia="Times New Roman" w:cs="TimesNewRomanPSMT"/>
          <w:color w:val="000000"/>
          <w:lang w:eastAsia="en-AU"/>
        </w:rPr>
        <w:t>β</w:t>
      </w:r>
      <w:r w:rsidRPr="00C94C33">
        <w:rPr>
          <w:rFonts w:eastAsia="Times New Roman"/>
          <w:color w:val="000000"/>
          <w:lang w:eastAsia="en-AU"/>
        </w:rPr>
        <w:t xml:space="preserve">G) and </w:t>
      </w:r>
      <w:r w:rsidRPr="00C94C33">
        <w:rPr>
          <w:rFonts w:eastAsia="Times New Roman"/>
          <w:color w:val="000000"/>
          <w:vertAlign w:val="superscript"/>
          <w:lang w:eastAsia="en-AU"/>
        </w:rPr>
        <w:t>3</w:t>
      </w:r>
      <w:r w:rsidRPr="00C94C33">
        <w:rPr>
          <w:rFonts w:eastAsia="Times New Roman"/>
          <w:color w:val="000000"/>
          <w:lang w:eastAsia="en-AU"/>
        </w:rPr>
        <w:t xml:space="preserve">H-cholecystokinin-8 (CCK-8) into HEK293cells expressing OATP1B1 and OATP1B3, respectively, were evaluated. Cyclosporine A (positive control) was used as an inhibitor for both OATP1B1 and OATP1B3. The uptake of TPI by the human renal uptake transporter OAT1 was determined by the uptake of </w:t>
      </w:r>
      <w:r w:rsidRPr="00C94C33">
        <w:rPr>
          <w:rFonts w:eastAsia="Times New Roman"/>
          <w:color w:val="000000"/>
          <w:vertAlign w:val="superscript"/>
          <w:lang w:eastAsia="en-AU"/>
        </w:rPr>
        <w:t>14</w:t>
      </w:r>
      <w:r w:rsidRPr="00C94C33">
        <w:rPr>
          <w:rFonts w:eastAsia="Times New Roman"/>
          <w:color w:val="000000"/>
          <w:lang w:eastAsia="en-AU"/>
        </w:rPr>
        <w:t xml:space="preserve">C-TPI. The effects of TPI (0.01, 0.1, and 1 </w:t>
      </w:r>
      <w:r w:rsidR="009265E3" w:rsidRPr="00C94C33">
        <w:rPr>
          <w:rFonts w:eastAsia="Times New Roman" w:cs="TimesNewRomanPSMT"/>
          <w:color w:val="000000"/>
          <w:lang w:eastAsia="en-AU"/>
        </w:rPr>
        <w:t>µ</w:t>
      </w:r>
      <w:r w:rsidRPr="00C94C33">
        <w:rPr>
          <w:rFonts w:eastAsia="Times New Roman"/>
          <w:color w:val="000000"/>
          <w:lang w:eastAsia="en-AU"/>
        </w:rPr>
        <w:t xml:space="preserve">g/mL) on the uptake of the typical OAT1 model substrate of TPI, </w:t>
      </w:r>
      <w:r w:rsidRPr="00C94C33">
        <w:rPr>
          <w:rFonts w:eastAsia="Times New Roman"/>
          <w:color w:val="000000"/>
          <w:vertAlign w:val="superscript"/>
          <w:lang w:eastAsia="en-AU"/>
        </w:rPr>
        <w:t>14</w:t>
      </w:r>
      <w:r w:rsidRPr="00C94C33">
        <w:rPr>
          <w:rFonts w:eastAsia="Times New Roman"/>
          <w:color w:val="000000"/>
          <w:lang w:eastAsia="en-AU"/>
        </w:rPr>
        <w:t>C-</w:t>
      </w:r>
      <w:r w:rsidRPr="00C94C33">
        <w:rPr>
          <w:rFonts w:eastAsia="Times New Roman"/>
          <w:i/>
          <w:iCs/>
          <w:color w:val="000000"/>
          <w:lang w:eastAsia="en-AU"/>
        </w:rPr>
        <w:t>p-</w:t>
      </w:r>
      <w:r w:rsidRPr="00C94C33">
        <w:rPr>
          <w:rFonts w:eastAsia="Times New Roman"/>
          <w:color w:val="000000"/>
          <w:lang w:eastAsia="en-AU"/>
        </w:rPr>
        <w:t>aminohippuric acid (PAH) were also determined, with probenecid being used as a positive control inhibitor for OAT1. The uptake of test compounds or typical probe substrates into cells was determined after incubation for up to 10 minutes at 37</w:t>
      </w:r>
      <w:r w:rsidRPr="00C94C33">
        <w:rPr>
          <w:rFonts w:eastAsia="Times New Roman"/>
          <w:color w:val="000000"/>
          <w:vertAlign w:val="superscript"/>
          <w:lang w:eastAsia="en-AU"/>
        </w:rPr>
        <w:t>o</w:t>
      </w:r>
      <w:r w:rsidRPr="00C94C33">
        <w:rPr>
          <w:rFonts w:eastAsia="Times New Roman"/>
          <w:color w:val="000000"/>
          <w:lang w:eastAsia="en-AU"/>
        </w:rPr>
        <w:t>C.</w:t>
      </w:r>
    </w:p>
    <w:p w14:paraId="13AEBC01" w14:textId="77777777" w:rsidR="00DF61BC" w:rsidRPr="00C94C33" w:rsidRDefault="00DF61BC" w:rsidP="00772CEB">
      <w:pPr>
        <w:autoSpaceDE w:val="0"/>
        <w:autoSpaceDN w:val="0"/>
        <w:adjustRightInd w:val="0"/>
        <w:spacing w:before="0" w:line="240" w:lineRule="auto"/>
        <w:rPr>
          <w:rFonts w:eastAsia="Times New Roman"/>
          <w:lang w:eastAsia="en-AU"/>
        </w:rPr>
      </w:pPr>
      <w:r w:rsidRPr="00C94C33">
        <w:rPr>
          <w:rFonts w:eastAsia="Times New Roman"/>
          <w:lang w:eastAsia="en-AU"/>
        </w:rPr>
        <w:t xml:space="preserve">The uptake of </w:t>
      </w:r>
      <w:r w:rsidRPr="00C94C33">
        <w:rPr>
          <w:rFonts w:eastAsia="Times New Roman"/>
          <w:vertAlign w:val="superscript"/>
          <w:lang w:eastAsia="en-AU"/>
        </w:rPr>
        <w:t>14</w:t>
      </w:r>
      <w:r w:rsidRPr="00C94C33">
        <w:rPr>
          <w:rFonts w:eastAsia="Times New Roman"/>
          <w:lang w:eastAsia="en-AU"/>
        </w:rPr>
        <w:t xml:space="preserve">C-FTD into OATP1B1- and OATP1B3-expressing cells compared to that in mock-transfected cells was reported to be similar to each other, indicating that FTD is not a substrate of </w:t>
      </w:r>
      <w:r w:rsidRPr="00C94C33">
        <w:rPr>
          <w:rFonts w:eastAsia="Times New Roman"/>
          <w:lang w:eastAsia="en-AU"/>
        </w:rPr>
        <w:lastRenderedPageBreak/>
        <w:t xml:space="preserve">OATP1B1 or OATP1B3. The uptake of </w:t>
      </w:r>
      <w:r w:rsidRPr="00C94C33">
        <w:rPr>
          <w:rFonts w:eastAsia="Times New Roman"/>
          <w:vertAlign w:val="superscript"/>
          <w:lang w:eastAsia="en-AU"/>
        </w:rPr>
        <w:t>14</w:t>
      </w:r>
      <w:r w:rsidRPr="00C94C33">
        <w:rPr>
          <w:rFonts w:eastAsia="Times New Roman"/>
          <w:lang w:eastAsia="en-AU"/>
        </w:rPr>
        <w:t xml:space="preserve">C-TPI in OAT1 expressing cells compared with that of mock-transfected cells was reported to similar indicating that TPI is not a substrate of OAT1. The uptake of </w:t>
      </w:r>
      <w:r w:rsidRPr="00C94C33">
        <w:rPr>
          <w:rFonts w:eastAsia="Times New Roman"/>
          <w:color w:val="000000"/>
          <w:vertAlign w:val="superscript"/>
          <w:lang w:eastAsia="en-AU"/>
        </w:rPr>
        <w:t>3</w:t>
      </w:r>
      <w:r w:rsidRPr="00C94C33">
        <w:rPr>
          <w:rFonts w:eastAsia="Times New Roman"/>
          <w:color w:val="000000"/>
          <w:lang w:eastAsia="en-AU"/>
        </w:rPr>
        <w:t>H-E17</w:t>
      </w:r>
      <w:r w:rsidRPr="00C94C33">
        <w:rPr>
          <w:rFonts w:eastAsia="Times New Roman" w:cs="TimesNewRomanPSMT"/>
          <w:lang w:eastAsia="en-AU"/>
        </w:rPr>
        <w:t>β</w:t>
      </w:r>
      <w:r w:rsidRPr="00C94C33">
        <w:rPr>
          <w:rFonts w:eastAsia="Times New Roman"/>
          <w:lang w:eastAsia="en-AU"/>
        </w:rPr>
        <w:t>G</w:t>
      </w:r>
      <w:r w:rsidRPr="00C94C33">
        <w:rPr>
          <w:rFonts w:eastAsia="Times New Roman"/>
          <w:color w:val="000000"/>
          <w:lang w:eastAsia="en-AU"/>
        </w:rPr>
        <w:t xml:space="preserve"> </w:t>
      </w:r>
      <w:r w:rsidRPr="00C94C33">
        <w:rPr>
          <w:rFonts w:eastAsia="Times New Roman"/>
          <w:lang w:eastAsia="en-AU"/>
        </w:rPr>
        <w:t xml:space="preserve">into OATP1B1-expressing cells and the uptake of </w:t>
      </w:r>
      <w:r w:rsidRPr="00C94C33">
        <w:rPr>
          <w:rFonts w:eastAsia="Times New Roman"/>
          <w:color w:val="000000"/>
          <w:lang w:eastAsia="en-AU"/>
        </w:rPr>
        <w:t xml:space="preserve">3H-CCK-8 into OATB13-expressing cells were reported to be not inhibited by </w:t>
      </w:r>
      <w:r w:rsidRPr="00C94C33">
        <w:rPr>
          <w:rFonts w:eastAsia="Times New Roman"/>
          <w:lang w:eastAsia="en-AU"/>
        </w:rPr>
        <w:t xml:space="preserve">any concentration of FTD. Therefore, FTD is not an inhibitor of OATP1B1 or OATP1B3. The uptake of </w:t>
      </w:r>
      <w:r w:rsidRPr="00C94C33">
        <w:rPr>
          <w:rFonts w:eastAsia="Times New Roman"/>
          <w:vertAlign w:val="superscript"/>
          <w:lang w:eastAsia="en-AU"/>
        </w:rPr>
        <w:t>14</w:t>
      </w:r>
      <w:r w:rsidRPr="00C94C33">
        <w:rPr>
          <w:rFonts w:eastAsia="Times New Roman"/>
          <w:lang w:eastAsia="en-AU"/>
        </w:rPr>
        <w:t>C-PAH into OAT1-expressing cells was reported to be not inhibited by any concentration of TPI. Therefore, TPI is not an inhibitor of OAT1.</w:t>
      </w:r>
    </w:p>
    <w:p w14:paraId="316F1B6D" w14:textId="77777777" w:rsidR="00DF61BC" w:rsidRPr="00C94C33" w:rsidRDefault="00DF61BC" w:rsidP="005C2FCA">
      <w:pPr>
        <w:pStyle w:val="Comment"/>
        <w:rPr>
          <w:lang w:eastAsia="en-AU"/>
        </w:rPr>
      </w:pPr>
      <w:r w:rsidRPr="005C2FCA">
        <w:rPr>
          <w:b/>
          <w:lang w:eastAsia="en-AU"/>
        </w:rPr>
        <w:t>Comment:</w:t>
      </w:r>
      <w:r w:rsidRPr="007709B8">
        <w:rPr>
          <w:lang w:eastAsia="en-AU"/>
        </w:rPr>
        <w:t xml:space="preserve">  The in vitro</w:t>
      </w:r>
      <w:r w:rsidRPr="00C94C33">
        <w:rPr>
          <w:lang w:eastAsia="en-AU"/>
        </w:rPr>
        <w:t xml:space="preserve"> data indicate that TPI is not a substrate or inhibitor of the OAT3 transporter and that FTD and TPI are not substrates or inhibitors of the OAT1 transporters.</w:t>
      </w:r>
    </w:p>
    <w:p w14:paraId="0E7BECC2" w14:textId="77777777" w:rsidR="00DF61BC" w:rsidRPr="00C94C33" w:rsidRDefault="00DF61BC" w:rsidP="00955252">
      <w:pPr>
        <w:pStyle w:val="Heading5"/>
        <w:rPr>
          <w:lang w:eastAsia="en-AU"/>
        </w:rPr>
      </w:pPr>
      <w:r w:rsidRPr="00C94C33">
        <w:rPr>
          <w:lang w:eastAsia="en-AU"/>
        </w:rPr>
        <w:t>Interaction mediated by human P-glycoprotein (P-gp)</w:t>
      </w:r>
    </w:p>
    <w:p w14:paraId="43367EE1" w14:textId="6BA1DC3C" w:rsidR="00DF61BC" w:rsidRPr="00C94C33" w:rsidRDefault="00DF61BC" w:rsidP="00772CEB">
      <w:pPr>
        <w:autoSpaceDE w:val="0"/>
        <w:autoSpaceDN w:val="0"/>
        <w:adjustRightInd w:val="0"/>
        <w:spacing w:before="0" w:line="240" w:lineRule="auto"/>
        <w:rPr>
          <w:rFonts w:eastAsia="Times New Roman"/>
          <w:color w:val="000000"/>
          <w:lang w:eastAsia="en-AU"/>
        </w:rPr>
      </w:pPr>
      <w:r w:rsidRPr="00C94C33">
        <w:rPr>
          <w:rFonts w:eastAsia="Times New Roman"/>
          <w:color w:val="000000"/>
          <w:lang w:eastAsia="en-AU"/>
        </w:rPr>
        <w:t xml:space="preserve">Study 12DA17 was undertaken to assess the uptake of </w:t>
      </w:r>
      <w:r w:rsidRPr="00C94C33">
        <w:rPr>
          <w:rFonts w:eastAsia="Times New Roman"/>
          <w:color w:val="000000"/>
          <w:vertAlign w:val="superscript"/>
          <w:lang w:eastAsia="en-AU"/>
        </w:rPr>
        <w:t>14</w:t>
      </w:r>
      <w:r w:rsidRPr="00C94C33">
        <w:rPr>
          <w:rFonts w:eastAsia="Times New Roman"/>
          <w:color w:val="000000"/>
          <w:lang w:eastAsia="en-AU"/>
        </w:rPr>
        <w:t xml:space="preserve">C-FTD and </w:t>
      </w:r>
      <w:r w:rsidRPr="00C94C33">
        <w:rPr>
          <w:rFonts w:eastAsia="Times New Roman"/>
          <w:color w:val="000000"/>
          <w:vertAlign w:val="superscript"/>
          <w:lang w:eastAsia="en-AU"/>
        </w:rPr>
        <w:t>14</w:t>
      </w:r>
      <w:r w:rsidRPr="00C94C33">
        <w:rPr>
          <w:rFonts w:eastAsia="Times New Roman"/>
          <w:color w:val="000000"/>
          <w:lang w:eastAsia="en-AU"/>
        </w:rPr>
        <w:t xml:space="preserve">C-TPI using MDR1 membrane vesicles isolated from cultured Sf9 insect cells with forced expression of human P-gp.  It was reported that although ATP-dependent uptake of </w:t>
      </w:r>
      <w:r w:rsidRPr="00C94C33">
        <w:rPr>
          <w:rFonts w:eastAsia="Times New Roman"/>
          <w:i/>
          <w:iCs/>
          <w:color w:val="000000"/>
          <w:lang w:eastAsia="en-AU"/>
        </w:rPr>
        <w:t>N</w:t>
      </w:r>
      <w:r w:rsidRPr="00C94C33">
        <w:rPr>
          <w:rFonts w:eastAsia="Times New Roman"/>
          <w:color w:val="000000"/>
          <w:lang w:eastAsia="en-AU"/>
        </w:rPr>
        <w:t xml:space="preserve">-methylquinidine (positive control) was observed in human MDR1 membrane vesicles, there was almost no uptake of </w:t>
      </w:r>
      <w:r w:rsidRPr="00C94C33">
        <w:rPr>
          <w:rFonts w:eastAsia="Times New Roman"/>
          <w:color w:val="000000"/>
          <w:vertAlign w:val="superscript"/>
          <w:lang w:eastAsia="en-AU"/>
        </w:rPr>
        <w:t>14</w:t>
      </w:r>
      <w:r w:rsidRPr="00C94C33">
        <w:rPr>
          <w:rFonts w:eastAsia="Times New Roman"/>
          <w:color w:val="000000"/>
          <w:lang w:eastAsia="en-AU"/>
        </w:rPr>
        <w:t xml:space="preserve">C-FTD and </w:t>
      </w:r>
      <w:r w:rsidRPr="00C94C33">
        <w:rPr>
          <w:rFonts w:eastAsia="Times New Roman"/>
          <w:color w:val="000000"/>
          <w:vertAlign w:val="superscript"/>
          <w:lang w:eastAsia="en-AU"/>
        </w:rPr>
        <w:t>14</w:t>
      </w:r>
      <w:r w:rsidRPr="00C94C33">
        <w:rPr>
          <w:rFonts w:eastAsia="Times New Roman"/>
          <w:color w:val="000000"/>
          <w:lang w:eastAsia="en-AU"/>
        </w:rPr>
        <w:t xml:space="preserve">C-TPI. The inhibitory effects of FTD (5 to 500 </w:t>
      </w:r>
      <w:r w:rsidR="009265E3" w:rsidRPr="00C94C33">
        <w:rPr>
          <w:rFonts w:eastAsia="Times New Roman" w:cs="TimesNewRomanPSMT"/>
          <w:color w:val="000000"/>
          <w:lang w:eastAsia="en-AU"/>
        </w:rPr>
        <w:t>µ</w:t>
      </w:r>
      <w:r w:rsidRPr="00C94C33">
        <w:rPr>
          <w:rFonts w:eastAsia="Times New Roman"/>
          <w:color w:val="000000"/>
          <w:lang w:eastAsia="en-AU"/>
        </w:rPr>
        <w:t xml:space="preserve">mol/L) and TPI (2 to 200 </w:t>
      </w:r>
      <w:r w:rsidR="009265E3" w:rsidRPr="00C94C33">
        <w:rPr>
          <w:rFonts w:eastAsia="Times New Roman" w:cs="TimesNewRomanPSMT"/>
          <w:color w:val="000000"/>
          <w:lang w:eastAsia="en-AU"/>
        </w:rPr>
        <w:t>µ</w:t>
      </w:r>
      <w:r w:rsidRPr="00C94C33">
        <w:rPr>
          <w:rFonts w:eastAsia="Times New Roman"/>
          <w:color w:val="000000"/>
          <w:lang w:eastAsia="en-AU"/>
        </w:rPr>
        <w:t xml:space="preserve">mol/L) on the uptake of N-methylquinidine were also examined. It was reported that the addition of the positive control verapamil (an inhibitor of P-gp) inhibited the uptake of </w:t>
      </w:r>
      <w:r w:rsidRPr="00C94C33">
        <w:rPr>
          <w:rFonts w:eastAsia="Times New Roman"/>
          <w:i/>
          <w:iCs/>
          <w:color w:val="000000"/>
          <w:lang w:eastAsia="en-AU"/>
        </w:rPr>
        <w:t>N</w:t>
      </w:r>
      <w:r w:rsidRPr="00C94C33">
        <w:rPr>
          <w:rFonts w:eastAsia="Times New Roman"/>
          <w:color w:val="000000"/>
          <w:lang w:eastAsia="en-AU"/>
        </w:rPr>
        <w:t>-methylquinidine by 99%, but FTD and TPI exhibited no inhibitory activity.</w:t>
      </w:r>
    </w:p>
    <w:p w14:paraId="2049DC29" w14:textId="77777777" w:rsidR="00AA7141" w:rsidRDefault="00DF61BC" w:rsidP="005C2FCA">
      <w:pPr>
        <w:pStyle w:val="Comment"/>
        <w:rPr>
          <w:lang w:eastAsia="en-AU"/>
        </w:rPr>
      </w:pPr>
      <w:r w:rsidRPr="005C2FCA">
        <w:rPr>
          <w:b/>
          <w:lang w:eastAsia="en-AU"/>
        </w:rPr>
        <w:t>Comment:</w:t>
      </w:r>
      <w:r w:rsidR="00CC49DA" w:rsidRPr="005C2FCA">
        <w:rPr>
          <w:b/>
          <w:lang w:eastAsia="en-AU"/>
        </w:rPr>
        <w:t xml:space="preserve"> </w:t>
      </w:r>
      <w:r w:rsidRPr="005C2FCA">
        <w:rPr>
          <w:b/>
          <w:lang w:eastAsia="en-AU"/>
        </w:rPr>
        <w:t xml:space="preserve"> </w:t>
      </w:r>
      <w:r w:rsidRPr="007709B8">
        <w:rPr>
          <w:lang w:eastAsia="en-AU"/>
        </w:rPr>
        <w:t>Neither FTD nor TPI is a substrate or inhibitor of MDR1. Therefore, drug interactions with TAS-102 mediated by human P-gp are unlikely.</w:t>
      </w:r>
    </w:p>
    <w:p w14:paraId="6956C3EF" w14:textId="397D8AFD" w:rsidR="00DF61BC" w:rsidRPr="00C94C33" w:rsidRDefault="00DF61BC" w:rsidP="00955252">
      <w:pPr>
        <w:pStyle w:val="Heading5"/>
        <w:rPr>
          <w:lang w:eastAsia="en-AU"/>
        </w:rPr>
      </w:pPr>
      <w:r w:rsidRPr="00C94C33">
        <w:rPr>
          <w:lang w:eastAsia="en-AU"/>
        </w:rPr>
        <w:t>Interaction mediated by BCRP</w:t>
      </w:r>
    </w:p>
    <w:p w14:paraId="40A78D0D" w14:textId="5ED354B5" w:rsidR="00DF61BC" w:rsidRPr="00C94C33" w:rsidRDefault="00DF61BC" w:rsidP="00772CEB">
      <w:pPr>
        <w:autoSpaceDE w:val="0"/>
        <w:autoSpaceDN w:val="0"/>
        <w:adjustRightInd w:val="0"/>
        <w:spacing w:before="0" w:line="240" w:lineRule="auto"/>
        <w:rPr>
          <w:rFonts w:eastAsia="Times New Roman"/>
          <w:lang w:eastAsia="en-AU"/>
        </w:rPr>
      </w:pPr>
      <w:r w:rsidRPr="00C94C33">
        <w:rPr>
          <w:rFonts w:eastAsia="Times New Roman" w:cs="TimesNewRomanPSMT"/>
          <w:lang w:eastAsia="en-AU"/>
        </w:rPr>
        <w:t xml:space="preserve">Study 13DB18 was </w:t>
      </w:r>
      <w:r w:rsidRPr="00C94C33">
        <w:rPr>
          <w:rFonts w:eastAsia="Times New Roman"/>
          <w:lang w:eastAsia="en-AU"/>
        </w:rPr>
        <w:t xml:space="preserve">undertaken to assess the membrane vesicular transport of FTD and TPI mediated by BCRP and to assess the inhibitory effect of FTD or TPI on the transport of the typical BCRP substrate methotrexate. The effects of FTD and TPI on the uptake of methotrexate into plasma membrane vesicles expressing BCRP were evaluated. Sulfasalazine, which is a typical inhibitor of BCRP, was used as a positive control. FTD (5, 50 and 500 </w:t>
      </w:r>
      <w:r w:rsidR="009265E3" w:rsidRPr="00C94C33">
        <w:rPr>
          <w:rFonts w:eastAsia="Times New Roman"/>
          <w:lang w:eastAsia="en-AU"/>
        </w:rPr>
        <w:t>µ</w:t>
      </w:r>
      <w:r w:rsidRPr="00C94C33">
        <w:rPr>
          <w:rFonts w:eastAsia="Times New Roman"/>
          <w:lang w:eastAsia="en-AU"/>
        </w:rPr>
        <w:t xml:space="preserve">mol/L) and TPI (2, 20 and 200 </w:t>
      </w:r>
      <w:r w:rsidR="009265E3" w:rsidRPr="00C94C33">
        <w:rPr>
          <w:rFonts w:eastAsia="Times New Roman"/>
          <w:lang w:eastAsia="en-AU"/>
        </w:rPr>
        <w:t>µ</w:t>
      </w:r>
      <w:r w:rsidRPr="00C94C33">
        <w:rPr>
          <w:rFonts w:eastAsia="Times New Roman"/>
          <w:lang w:eastAsia="en-AU"/>
        </w:rPr>
        <w:t xml:space="preserve">mol/L) were incubated with </w:t>
      </w:r>
      <w:r w:rsidRPr="00C94C33">
        <w:rPr>
          <w:rFonts w:eastAsia="Times New Roman"/>
          <w:vertAlign w:val="superscript"/>
          <w:lang w:eastAsia="en-AU"/>
        </w:rPr>
        <w:t>3</w:t>
      </w:r>
      <w:r w:rsidRPr="00C94C33">
        <w:rPr>
          <w:rFonts w:eastAsia="Times New Roman"/>
          <w:lang w:eastAsia="en-AU"/>
        </w:rPr>
        <w:t xml:space="preserve">H-methotrexate (0.271 </w:t>
      </w:r>
      <w:r w:rsidR="009265E3" w:rsidRPr="00C94C33">
        <w:rPr>
          <w:rFonts w:eastAsia="Times New Roman"/>
          <w:lang w:eastAsia="en-AU"/>
        </w:rPr>
        <w:t>µ</w:t>
      </w:r>
      <w:r w:rsidRPr="00C94C33">
        <w:rPr>
          <w:rFonts w:eastAsia="Times New Roman"/>
          <w:lang w:eastAsia="en-AU"/>
        </w:rPr>
        <w:t xml:space="preserve">mol/L) in the presence of either 4 mmol/L magnesium-adenosine monophosphate (MgAMP) or 4 mmol/L magnesium-adenosine triphosphate (MgATP). It was reported that neither FTD (up to 500 </w:t>
      </w:r>
      <w:r w:rsidR="009265E3" w:rsidRPr="00C94C33">
        <w:rPr>
          <w:rFonts w:eastAsia="Times New Roman"/>
          <w:lang w:eastAsia="en-AU"/>
        </w:rPr>
        <w:t>µ</w:t>
      </w:r>
      <w:r w:rsidRPr="00C94C33">
        <w:rPr>
          <w:rFonts w:eastAsia="Times New Roman"/>
          <w:lang w:eastAsia="en-AU"/>
        </w:rPr>
        <w:t xml:space="preserve">mol/L) nor TPI (up to 200 </w:t>
      </w:r>
      <w:r w:rsidR="009265E3" w:rsidRPr="00C94C33">
        <w:rPr>
          <w:rFonts w:eastAsia="Times New Roman"/>
          <w:lang w:eastAsia="en-AU"/>
        </w:rPr>
        <w:t>µ</w:t>
      </w:r>
      <w:r w:rsidRPr="00C94C33">
        <w:rPr>
          <w:rFonts w:eastAsia="Times New Roman"/>
          <w:lang w:eastAsia="en-AU"/>
        </w:rPr>
        <w:t xml:space="preserve">mol/L) caused inhibition of BCRP-mediated uptake of </w:t>
      </w:r>
      <w:r w:rsidRPr="00C94C33">
        <w:rPr>
          <w:rFonts w:eastAsia="Times New Roman"/>
          <w:vertAlign w:val="superscript"/>
          <w:lang w:eastAsia="en-AU"/>
        </w:rPr>
        <w:t>3</w:t>
      </w:r>
      <w:r w:rsidRPr="00C94C33">
        <w:rPr>
          <w:rFonts w:eastAsia="Times New Roman"/>
          <w:lang w:eastAsia="en-AU"/>
        </w:rPr>
        <w:t xml:space="preserve">H-methotrexate. The amount of uptake of </w:t>
      </w:r>
      <w:r w:rsidRPr="00C94C33">
        <w:rPr>
          <w:rFonts w:eastAsia="Times New Roman"/>
          <w:vertAlign w:val="superscript"/>
          <w:lang w:eastAsia="en-AU"/>
        </w:rPr>
        <w:t>14</w:t>
      </w:r>
      <w:r w:rsidRPr="00C94C33">
        <w:rPr>
          <w:rFonts w:eastAsia="Times New Roman"/>
          <w:lang w:eastAsia="en-AU"/>
        </w:rPr>
        <w:t xml:space="preserve">C-FTD or </w:t>
      </w:r>
      <w:r w:rsidRPr="00C94C33">
        <w:rPr>
          <w:rFonts w:eastAsia="Times New Roman"/>
          <w:vertAlign w:val="superscript"/>
          <w:lang w:eastAsia="en-AU"/>
        </w:rPr>
        <w:t>14</w:t>
      </w:r>
      <w:r w:rsidRPr="00C94C33">
        <w:rPr>
          <w:rFonts w:eastAsia="Times New Roman"/>
          <w:lang w:eastAsia="en-AU"/>
        </w:rPr>
        <w:t>C-TPI into human BCRP-expressing vesicles and control vesicles was reported to be low in the presence of both adenosine monophosphate and adenosine triphosphate.</w:t>
      </w:r>
    </w:p>
    <w:p w14:paraId="76DB14C5" w14:textId="62C03DF2" w:rsidR="00DF61BC" w:rsidRPr="00C94C33" w:rsidRDefault="00DF61BC" w:rsidP="005C2FCA">
      <w:pPr>
        <w:pStyle w:val="Comment"/>
        <w:rPr>
          <w:lang w:eastAsia="en-AU"/>
        </w:rPr>
      </w:pPr>
      <w:r w:rsidRPr="005C2FCA">
        <w:rPr>
          <w:b/>
          <w:lang w:eastAsia="en-AU"/>
        </w:rPr>
        <w:t>Comment:</w:t>
      </w:r>
      <w:r w:rsidRPr="007709B8">
        <w:rPr>
          <w:lang w:eastAsia="en-AU"/>
        </w:rPr>
        <w:t xml:space="preserve"> </w:t>
      </w:r>
      <w:r w:rsidR="00CC49DA" w:rsidRPr="00C94C33">
        <w:rPr>
          <w:lang w:eastAsia="en-AU"/>
        </w:rPr>
        <w:t xml:space="preserve"> </w:t>
      </w:r>
      <w:r w:rsidRPr="00C94C33">
        <w:rPr>
          <w:lang w:eastAsia="en-AU"/>
        </w:rPr>
        <w:t>Neither FTD nor TPI is a substrate or inhibitor of BCRP.</w:t>
      </w:r>
    </w:p>
    <w:p w14:paraId="4DB8BCBB" w14:textId="77777777" w:rsidR="00DF61BC" w:rsidRPr="00C94C33" w:rsidRDefault="00DF61BC" w:rsidP="00955252">
      <w:pPr>
        <w:pStyle w:val="Heading4"/>
      </w:pPr>
      <w:r w:rsidRPr="00C94C33">
        <w:t>Additional information relating to the in vitro human biomaterial studies</w:t>
      </w:r>
    </w:p>
    <w:p w14:paraId="432D32D1" w14:textId="77777777" w:rsidR="00DF61BC" w:rsidRPr="00C94C33" w:rsidRDefault="00DF61BC" w:rsidP="00772CE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NewRoman"/>
          <w:kern w:val="16"/>
          <w:lang w:eastAsia="en-AU"/>
        </w:rPr>
      </w:pPr>
      <w:r w:rsidRPr="00C94C33">
        <w:rPr>
          <w:rFonts w:eastAsia="TimesNewRoman"/>
          <w:kern w:val="16"/>
          <w:lang w:eastAsia="en-AU"/>
        </w:rPr>
        <w:t xml:space="preserve">The CHMP provided a number of comments and questions relating to </w:t>
      </w:r>
      <w:r w:rsidRPr="005C2FCA">
        <w:rPr>
          <w:rFonts w:eastAsia="TimesNewRoman"/>
          <w:i/>
          <w:kern w:val="16"/>
          <w:lang w:eastAsia="en-AU"/>
        </w:rPr>
        <w:t xml:space="preserve">the </w:t>
      </w:r>
      <w:r w:rsidRPr="007709B8">
        <w:rPr>
          <w:rFonts w:eastAsia="TimesNewRoman"/>
          <w:i/>
          <w:kern w:val="16"/>
          <w:lang w:eastAsia="en-AU"/>
        </w:rPr>
        <w:t>in vitro</w:t>
      </w:r>
      <w:r w:rsidRPr="00C94C33">
        <w:rPr>
          <w:rFonts w:eastAsia="TimesNewRoman"/>
          <w:kern w:val="16"/>
          <w:lang w:eastAsia="en-AU"/>
        </w:rPr>
        <w:t xml:space="preserve"> human biomaterial studies and the sponsor provided 120D and 180D responses to the issues raised by the CHMP. The relevant additional information relating to the </w:t>
      </w:r>
      <w:r w:rsidRPr="005C2FCA">
        <w:rPr>
          <w:rFonts w:eastAsia="TimesNewRoman"/>
          <w:kern w:val="16"/>
          <w:lang w:eastAsia="en-AU"/>
        </w:rPr>
        <w:t>in vitro</w:t>
      </w:r>
      <w:r w:rsidRPr="007709B8">
        <w:rPr>
          <w:rFonts w:eastAsia="TimesNewRoman"/>
          <w:kern w:val="16"/>
          <w:lang w:eastAsia="en-AU"/>
        </w:rPr>
        <w:t xml:space="preserve"> human biomaterial studies is briefly summarised below. However, it is re</w:t>
      </w:r>
      <w:r w:rsidR="00FB45D2" w:rsidRPr="00C94C33">
        <w:rPr>
          <w:rFonts w:eastAsia="TimesNewRoman"/>
          <w:kern w:val="16"/>
          <w:lang w:eastAsia="en-AU"/>
        </w:rPr>
        <w:t xml:space="preserve">commended that the nonclinical </w:t>
      </w:r>
      <w:r w:rsidRPr="00C94C33">
        <w:rPr>
          <w:rFonts w:eastAsia="TimesNewRoman"/>
          <w:kern w:val="16"/>
          <w:lang w:eastAsia="en-AU"/>
        </w:rPr>
        <w:t>evaluator review the additional data located in the submission.</w:t>
      </w:r>
    </w:p>
    <w:p w14:paraId="38035072" w14:textId="77777777" w:rsidR="00DF61BC" w:rsidRPr="00C94C33" w:rsidRDefault="00DF61BC" w:rsidP="00772CE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NewRoman"/>
          <w:kern w:val="16"/>
          <w:lang w:eastAsia="en-AU"/>
        </w:rPr>
      </w:pPr>
      <w:r w:rsidRPr="00C94C33">
        <w:rPr>
          <w:rFonts w:eastAsia="TimesNewRoman"/>
          <w:kern w:val="16"/>
          <w:lang w:eastAsia="en-AU"/>
        </w:rPr>
        <w:t>The CHMP commented that it has been recently found that trifluridine (FTD) is taken up by cells mediated by nucleoside transporters. The sponsor provided data suggesting that the concentrative nucleoside transporter 1 (CTN1) and the equilibrative nucleoside transporter (ENT) may be involved in the absorption of FTD in the small intestine, and that CTN1, ENT1, and ENT2 may be involved in the tissue distribution of FTD.</w:t>
      </w:r>
    </w:p>
    <w:p w14:paraId="7231FB0E" w14:textId="77777777" w:rsidR="00DF61BC" w:rsidRPr="00C94C33" w:rsidRDefault="00DF61BC" w:rsidP="00772CEB">
      <w:pPr>
        <w:autoSpaceDE w:val="0"/>
        <w:autoSpaceDN w:val="0"/>
        <w:adjustRightInd w:val="0"/>
        <w:spacing w:before="0" w:line="240" w:lineRule="auto"/>
        <w:rPr>
          <w:rFonts w:eastAsia="Times New Roman"/>
          <w:lang w:eastAsia="en-AU"/>
        </w:rPr>
      </w:pPr>
      <w:r w:rsidRPr="00C94C33">
        <w:rPr>
          <w:rFonts w:eastAsia="TimesNewRoman"/>
          <w:kern w:val="16"/>
          <w:lang w:eastAsia="en-AU"/>
        </w:rPr>
        <w:t xml:space="preserve">The CHMP requested the sponsor to explore the </w:t>
      </w:r>
      <w:r w:rsidRPr="00C94C33">
        <w:rPr>
          <w:rFonts w:eastAsia="Times New Roman"/>
          <w:lang w:eastAsia="en-AU"/>
        </w:rPr>
        <w:t xml:space="preserve">potential relationship between thymidine exposure and trifluridine exposure following multiple dosing. Thymidine levels increased following TAS-102 treatment. High thymidine concentrations may compete with trifluridine for nucleoside transporters and thymidine kinase and affect the PK of trifluridine. The sponsor responded that, although endogenous thymidine levels increase after repeated administration of TAS-102, the </w:t>
      </w:r>
      <w:r w:rsidRPr="00C94C33">
        <w:rPr>
          <w:rFonts w:eastAsia="Times New Roman"/>
          <w:lang w:eastAsia="en-AU"/>
        </w:rPr>
        <w:lastRenderedPageBreak/>
        <w:t>inhibitory effect of thymidine on the PK of trifluridine is unlikely since intrinsic thymidine level is negligible (approximately 100 ng/mL after repeated administration of TAS-102), and much lower than FTD or the inhibitory concentration of thymidine.</w:t>
      </w:r>
    </w:p>
    <w:p w14:paraId="02793988" w14:textId="4B9D57E1" w:rsidR="00DF61BC" w:rsidRPr="00C94C33" w:rsidRDefault="00DF61BC" w:rsidP="00772CEB">
      <w:pPr>
        <w:autoSpaceDE w:val="0"/>
        <w:autoSpaceDN w:val="0"/>
        <w:adjustRightInd w:val="0"/>
        <w:spacing w:before="0" w:line="240" w:lineRule="auto"/>
        <w:rPr>
          <w:rFonts w:eastAsia="Times New Roman"/>
          <w:lang w:eastAsia="en-AU"/>
        </w:rPr>
      </w:pPr>
      <w:r w:rsidRPr="00C94C33">
        <w:rPr>
          <w:rFonts w:eastAsia="Times New Roman"/>
          <w:lang w:eastAsia="en-AU"/>
        </w:rPr>
        <w:t xml:space="preserve">The CHMP requested the sponsor to </w:t>
      </w:r>
      <w:r w:rsidR="00842E8F" w:rsidRPr="00C94C33">
        <w:rPr>
          <w:rFonts w:eastAsia="Times New Roman"/>
          <w:lang w:eastAsia="en-AU"/>
        </w:rPr>
        <w:t>‘</w:t>
      </w:r>
      <w:r w:rsidRPr="00C94C33">
        <w:rPr>
          <w:rFonts w:eastAsia="Times New Roman"/>
          <w:lang w:eastAsia="en-AU"/>
        </w:rPr>
        <w:t>provide convincing information to indicate whether inhibition of OCT2 is clinically relevant taking into account e.g. the relative contribution of secretion</w:t>
      </w:r>
      <w:r w:rsidR="00C11183">
        <w:rPr>
          <w:rFonts w:eastAsia="Times New Roman"/>
          <w:lang w:eastAsia="en-AU"/>
        </w:rPr>
        <w:t xml:space="preserve"> versus </w:t>
      </w:r>
      <w:r w:rsidRPr="00C94C33">
        <w:rPr>
          <w:rFonts w:eastAsia="Times New Roman"/>
          <w:lang w:eastAsia="en-AU"/>
        </w:rPr>
        <w:t>filtration to renal clearance, the known magnitude of effect of OCT2 inhibitors on sensitive substrates etc</w:t>
      </w:r>
      <w:r w:rsidR="00842E8F" w:rsidRPr="00C94C33">
        <w:rPr>
          <w:rFonts w:eastAsia="Times New Roman"/>
          <w:lang w:eastAsia="en-AU"/>
        </w:rPr>
        <w:t>’</w:t>
      </w:r>
      <w:r w:rsidRPr="00C94C33">
        <w:rPr>
          <w:rFonts w:eastAsia="Times New Roman"/>
          <w:lang w:eastAsia="en-AU"/>
        </w:rPr>
        <w:t>. The sponsor provided data suggesting that, with a conservative assumption of a 75% inhibition of renal tubular secretion, the expected increase in exposure to TPI should be a 2</w:t>
      </w:r>
      <w:r w:rsidR="00CC49DA" w:rsidRPr="00C94C33">
        <w:rPr>
          <w:rFonts w:eastAsia="Times New Roman"/>
          <w:lang w:eastAsia="en-AU"/>
        </w:rPr>
        <w:t> </w:t>
      </w:r>
      <w:r w:rsidRPr="00C94C33">
        <w:rPr>
          <w:rFonts w:eastAsia="Times New Roman"/>
          <w:lang w:eastAsia="en-AU"/>
        </w:rPr>
        <w:t>fold maximum. The sponsor also reported that data from the population PK model for patients who took TAS 35 mg/m</w:t>
      </w:r>
      <w:r w:rsidRPr="00C94C33">
        <w:rPr>
          <w:rFonts w:eastAsia="Times New Roman"/>
          <w:vertAlign w:val="superscript"/>
          <w:lang w:eastAsia="en-AU"/>
        </w:rPr>
        <w:t>2</w:t>
      </w:r>
      <w:r w:rsidRPr="00C94C33">
        <w:rPr>
          <w:rFonts w:eastAsia="Times New Roman"/>
          <w:lang w:eastAsia="en-AU"/>
        </w:rPr>
        <w:t xml:space="preserve"> BD predicts that when TPI AUC</w:t>
      </w:r>
      <w:r w:rsidRPr="00C94C33">
        <w:rPr>
          <w:rFonts w:eastAsia="Times New Roman"/>
          <w:sz w:val="20"/>
          <w:szCs w:val="20"/>
          <w:lang w:eastAsia="en-AU"/>
        </w:rPr>
        <w:t xml:space="preserve">0-τ </w:t>
      </w:r>
      <w:r w:rsidRPr="00C94C33">
        <w:rPr>
          <w:rFonts w:eastAsia="Times New Roman"/>
          <w:lang w:eastAsia="en-AU"/>
        </w:rPr>
        <w:t>increases 2</w:t>
      </w:r>
      <w:r w:rsidR="00CC49DA" w:rsidRPr="00C94C33">
        <w:rPr>
          <w:rFonts w:eastAsia="Times New Roman"/>
          <w:lang w:eastAsia="en-AU"/>
        </w:rPr>
        <w:t> </w:t>
      </w:r>
      <w:r w:rsidRPr="00C94C33">
        <w:rPr>
          <w:rFonts w:eastAsia="Times New Roman"/>
          <w:lang w:eastAsia="en-AU"/>
        </w:rPr>
        <w:t xml:space="preserve">fold the corresponding increase in FTD is 28%, which is in the range of the inter-individual variability of FTD AUC (typically CV of 30%). Overall, the sponsor suggests that the data indicate that </w:t>
      </w:r>
      <w:r w:rsidR="00842E8F" w:rsidRPr="00C94C33">
        <w:rPr>
          <w:rFonts w:eastAsia="Times New Roman"/>
          <w:lang w:eastAsia="en-AU"/>
        </w:rPr>
        <w:t>‘</w:t>
      </w:r>
      <w:r w:rsidRPr="00C94C33">
        <w:rPr>
          <w:rFonts w:eastAsia="Times New Roman"/>
          <w:lang w:eastAsia="en-AU"/>
        </w:rPr>
        <w:t>the inhibition of OCT2-mediated transport of TPI would not have a clinically significant effect on FTD exposure, and in turn the safety and efficacy of TAS-102</w:t>
      </w:r>
      <w:r w:rsidR="00842E8F" w:rsidRPr="00C94C33">
        <w:rPr>
          <w:rFonts w:eastAsia="Times New Roman"/>
          <w:lang w:eastAsia="en-AU"/>
        </w:rPr>
        <w:t>’</w:t>
      </w:r>
      <w:r w:rsidRPr="00C94C33">
        <w:rPr>
          <w:rFonts w:eastAsia="Times New Roman"/>
          <w:lang w:eastAsia="en-AU"/>
        </w:rPr>
        <w:t>.</w:t>
      </w:r>
    </w:p>
    <w:p w14:paraId="7FA0CA2E" w14:textId="65B49037" w:rsidR="00DF61BC" w:rsidRPr="00C94C33" w:rsidRDefault="00DF61BC" w:rsidP="00772CEB">
      <w:pPr>
        <w:autoSpaceDE w:val="0"/>
        <w:autoSpaceDN w:val="0"/>
        <w:adjustRightInd w:val="0"/>
        <w:spacing w:before="0" w:line="240" w:lineRule="auto"/>
        <w:rPr>
          <w:rFonts w:eastAsia="TimesNewRoman" w:cs="TimesNewRoman"/>
          <w:lang w:eastAsia="en-AU"/>
        </w:rPr>
      </w:pPr>
      <w:r w:rsidRPr="00C94C33">
        <w:rPr>
          <w:rFonts w:eastAsia="Times New Roman"/>
          <w:lang w:eastAsia="en-AU"/>
        </w:rPr>
        <w:t xml:space="preserve">The CHMP stated </w:t>
      </w:r>
      <w:r w:rsidR="00842E8F" w:rsidRPr="00C94C33">
        <w:rPr>
          <w:rFonts w:eastAsia="Times New Roman"/>
          <w:lang w:eastAsia="en-AU"/>
        </w:rPr>
        <w:t>‘</w:t>
      </w:r>
      <w:r w:rsidRPr="00C94C33">
        <w:rPr>
          <w:rFonts w:eastAsia="Times New Roman"/>
          <w:lang w:eastAsia="en-AU"/>
        </w:rPr>
        <w:t>that in most transport studies only 1 concentration of trifluridine and tipiracil was used to investigate if these compounds were a substrate for transporters. The concentration used was often higher than the C</w:t>
      </w:r>
      <w:r w:rsidRPr="00C94C33">
        <w:rPr>
          <w:rFonts w:eastAsia="Times New Roman"/>
          <w:sz w:val="20"/>
          <w:szCs w:val="20"/>
          <w:lang w:eastAsia="en-AU"/>
        </w:rPr>
        <w:t>max</w:t>
      </w:r>
      <w:r w:rsidRPr="00C94C33">
        <w:rPr>
          <w:rFonts w:eastAsia="Times New Roman"/>
          <w:lang w:eastAsia="en-AU"/>
        </w:rPr>
        <w:t xml:space="preserve"> observed </w:t>
      </w:r>
      <w:r w:rsidRPr="005C2FCA">
        <w:rPr>
          <w:rFonts w:eastAsia="Times New Roman"/>
          <w:lang w:eastAsia="en-AU"/>
        </w:rPr>
        <w:t>in vivo</w:t>
      </w:r>
      <w:r w:rsidRPr="007709B8">
        <w:rPr>
          <w:rFonts w:eastAsia="Times New Roman"/>
          <w:lang w:eastAsia="en-AU"/>
        </w:rPr>
        <w:t>. Therefore, it cannot be excluded that transport has been determined under conditions that the transporter was saturated. For that reason th</w:t>
      </w:r>
      <w:r w:rsidRPr="00C94C33">
        <w:rPr>
          <w:rFonts w:eastAsia="Times New Roman"/>
          <w:lang w:eastAsia="en-AU"/>
        </w:rPr>
        <w:t>e transport studies investigating if trifluridine is a substrate for OATP1B1, OATP1B3, P-glycoprotein, BCRP and tipiracil for OAT1, OAT3, P-glycoprotein, and BCRP are considered inconclusive. The studies should be repeated over a range of substrates using clinically relevant concentrations</w:t>
      </w:r>
      <w:r w:rsidR="00842E8F" w:rsidRPr="00C94C33">
        <w:rPr>
          <w:rFonts w:eastAsia="Times New Roman"/>
          <w:lang w:eastAsia="en-AU"/>
        </w:rPr>
        <w:t>’</w:t>
      </w:r>
      <w:r w:rsidRPr="00C94C33">
        <w:rPr>
          <w:rFonts w:eastAsia="Times New Roman"/>
          <w:lang w:eastAsia="en-AU"/>
        </w:rPr>
        <w:t xml:space="preserve">. The CHMP also requested the sponsor to </w:t>
      </w:r>
      <w:r w:rsidR="00842E8F" w:rsidRPr="00C94C33">
        <w:rPr>
          <w:rFonts w:eastAsia="Times New Roman"/>
          <w:lang w:eastAsia="en-AU"/>
        </w:rPr>
        <w:t>‘</w:t>
      </w:r>
      <w:r w:rsidRPr="00C94C33">
        <w:rPr>
          <w:rFonts w:eastAsia="Times New Roman"/>
          <w:lang w:eastAsia="en-AU"/>
        </w:rPr>
        <w:t xml:space="preserve">investigate if tipiracil is a substrate and inhibitor of MATE </w:t>
      </w:r>
      <w:r w:rsidR="00A0007E" w:rsidRPr="00C94C33">
        <w:rPr>
          <w:rFonts w:eastAsia="Times New Roman"/>
          <w:lang w:eastAsia="en-AU"/>
        </w:rPr>
        <w:t>(</w:t>
      </w:r>
      <w:r w:rsidRPr="00C94C33">
        <w:rPr>
          <w:rFonts w:eastAsia="TimesNewRoman" w:cs="TimesNewRoman"/>
          <w:lang w:eastAsia="en-AU"/>
        </w:rPr>
        <w:t>multidrug and toxin extrusion</w:t>
      </w:r>
      <w:r w:rsidR="00A0007E" w:rsidRPr="00C94C33">
        <w:rPr>
          <w:rFonts w:eastAsia="TimesNewRoman" w:cs="TimesNewRoman"/>
          <w:lang w:eastAsia="en-AU"/>
        </w:rPr>
        <w:t>)</w:t>
      </w:r>
      <w:r w:rsidRPr="00C94C33">
        <w:rPr>
          <w:rFonts w:eastAsia="TimesNewRoman" w:cs="TimesNewRoman"/>
          <w:lang w:eastAsia="en-AU"/>
        </w:rPr>
        <w:t xml:space="preserve"> </w:t>
      </w:r>
      <w:r w:rsidRPr="00C94C33">
        <w:rPr>
          <w:rFonts w:eastAsia="Times New Roman"/>
          <w:lang w:eastAsia="en-AU"/>
        </w:rPr>
        <w:t>transporters</w:t>
      </w:r>
      <w:r w:rsidR="00842E8F" w:rsidRPr="00C94C33">
        <w:rPr>
          <w:rFonts w:eastAsia="Times New Roman"/>
          <w:lang w:eastAsia="en-AU"/>
        </w:rPr>
        <w:t>’</w:t>
      </w:r>
      <w:r w:rsidRPr="00C94C33">
        <w:rPr>
          <w:rFonts w:eastAsia="Times New Roman"/>
          <w:lang w:eastAsia="en-AU"/>
        </w:rPr>
        <w:t>.</w:t>
      </w:r>
    </w:p>
    <w:p w14:paraId="56793442" w14:textId="6BE5E049" w:rsidR="00DF61BC" w:rsidRPr="00C94C33" w:rsidRDefault="00DF61BC" w:rsidP="00772CEB">
      <w:pPr>
        <w:autoSpaceDE w:val="0"/>
        <w:autoSpaceDN w:val="0"/>
        <w:adjustRightInd w:val="0"/>
        <w:spacing w:before="0" w:line="240" w:lineRule="auto"/>
        <w:rPr>
          <w:rFonts w:eastAsia="Times New Roman"/>
          <w:lang w:eastAsia="en-AU"/>
        </w:rPr>
      </w:pPr>
      <w:r w:rsidRPr="00C94C33">
        <w:rPr>
          <w:rFonts w:eastAsia="Times New Roman"/>
          <w:lang w:eastAsia="en-AU"/>
        </w:rPr>
        <w:t xml:space="preserve">The sponsor responded that it had investigated whether FTD and TPI are substrates of the transporters by comparing time-dependent uptakes of these compounds into transporter-expressing cells with those into vector-transfected (mock) cells, or by comparing time-dependent uptakes of these compounds into transporter-expressing vesicles in the presence or absence of cofactor (ATP). The sponsor conducted </w:t>
      </w:r>
      <w:r w:rsidR="00842E8F" w:rsidRPr="00C94C33">
        <w:rPr>
          <w:rFonts w:eastAsia="Times New Roman"/>
          <w:lang w:eastAsia="en-AU"/>
        </w:rPr>
        <w:t>‘</w:t>
      </w:r>
      <w:r w:rsidRPr="00C94C33">
        <w:rPr>
          <w:rFonts w:eastAsia="Times New Roman"/>
          <w:lang w:eastAsia="en-AU"/>
        </w:rPr>
        <w:t>additional and preliminary</w:t>
      </w:r>
      <w:r w:rsidR="00842E8F" w:rsidRPr="00C94C33">
        <w:rPr>
          <w:rFonts w:eastAsia="Times New Roman"/>
          <w:lang w:eastAsia="en-AU"/>
        </w:rPr>
        <w:t>’</w:t>
      </w:r>
      <w:r w:rsidRPr="00C94C33">
        <w:rPr>
          <w:rFonts w:eastAsia="Times New Roman"/>
          <w:lang w:eastAsia="en-AU"/>
        </w:rPr>
        <w:t xml:space="preserve"> uptake studies for both FTD and TPI at lower substrate concentrations and reported that the results of the </w:t>
      </w:r>
      <w:r w:rsidR="00842E8F" w:rsidRPr="00C94C33">
        <w:rPr>
          <w:rFonts w:eastAsia="Times New Roman"/>
          <w:lang w:eastAsia="en-AU"/>
        </w:rPr>
        <w:t>‘</w:t>
      </w:r>
      <w:r w:rsidRPr="00C94C33">
        <w:rPr>
          <w:rFonts w:eastAsia="Times New Roman"/>
          <w:lang w:eastAsia="en-AU"/>
        </w:rPr>
        <w:t xml:space="preserve">additional studies indicated that FTD is not a substrate for OATP1B1 or OATP1B3, and TPI is not a substrate for OAT1 or OAT3, which were consistent with </w:t>
      </w:r>
      <w:r w:rsidR="00A0007E" w:rsidRPr="00C94C33">
        <w:rPr>
          <w:rFonts w:eastAsia="Times New Roman"/>
          <w:lang w:eastAsia="en-AU"/>
        </w:rPr>
        <w:t>(</w:t>
      </w:r>
      <w:r w:rsidRPr="00C94C33">
        <w:rPr>
          <w:rFonts w:eastAsia="Times New Roman"/>
          <w:lang w:eastAsia="en-AU"/>
        </w:rPr>
        <w:t>the original</w:t>
      </w:r>
      <w:r w:rsidR="00A0007E" w:rsidRPr="00C94C33">
        <w:rPr>
          <w:rFonts w:eastAsia="Times New Roman"/>
          <w:lang w:eastAsia="en-AU"/>
        </w:rPr>
        <w:t>)</w:t>
      </w:r>
      <w:r w:rsidRPr="00C94C33">
        <w:rPr>
          <w:rFonts w:eastAsia="Times New Roman"/>
          <w:lang w:eastAsia="en-AU"/>
        </w:rPr>
        <w:t xml:space="preserve"> results from studies conducted at the saturating substrate concentrations</w:t>
      </w:r>
      <w:r w:rsidR="00842E8F" w:rsidRPr="00C94C33">
        <w:rPr>
          <w:rFonts w:eastAsia="Times New Roman"/>
          <w:lang w:eastAsia="en-AU"/>
        </w:rPr>
        <w:t>’</w:t>
      </w:r>
      <w:r w:rsidRPr="00C94C33">
        <w:rPr>
          <w:rFonts w:eastAsia="Times New Roman"/>
          <w:lang w:eastAsia="en-AU"/>
        </w:rPr>
        <w:t xml:space="preserve">. The sponsor provided additional data in its D180 Response to Outstanding Issues, and concluded that the functions of the transporter expressing cells were valid, and that FTD and TPI were not substrates for </w:t>
      </w:r>
      <w:r w:rsidR="00B5151B" w:rsidRPr="00C94C33">
        <w:rPr>
          <w:rFonts w:eastAsia="Times New Roman"/>
          <w:lang w:eastAsia="en-AU"/>
        </w:rPr>
        <w:t>OAT1</w:t>
      </w:r>
      <w:r w:rsidRPr="00C94C33">
        <w:rPr>
          <w:rFonts w:eastAsia="Times New Roman"/>
          <w:lang w:eastAsia="en-AU"/>
        </w:rPr>
        <w:t>, OAT3, or OATP1B3.</w:t>
      </w:r>
    </w:p>
    <w:p w14:paraId="4583BE9E" w14:textId="77777777" w:rsidR="00AA7141" w:rsidRDefault="00DF61BC" w:rsidP="00772CEB">
      <w:pPr>
        <w:autoSpaceDE w:val="0"/>
        <w:autoSpaceDN w:val="0"/>
        <w:adjustRightInd w:val="0"/>
        <w:spacing w:before="0" w:line="240" w:lineRule="auto"/>
        <w:rPr>
          <w:rFonts w:eastAsia="Times New Roman"/>
          <w:lang w:eastAsia="en-AU"/>
        </w:rPr>
      </w:pPr>
      <w:r w:rsidRPr="00C94C33">
        <w:rPr>
          <w:rFonts w:eastAsia="Times New Roman"/>
          <w:lang w:eastAsia="en-AU"/>
        </w:rPr>
        <w:t>The sponsor stated that uptake studies for FTD and TPI as substrates for efflux transporters (</w:t>
      </w:r>
      <w:r w:rsidR="00B2072D" w:rsidRPr="00C94C33">
        <w:rPr>
          <w:rFonts w:eastAsia="Times New Roman"/>
          <w:lang w:eastAsia="en-AU"/>
        </w:rPr>
        <w:t>that is,</w:t>
      </w:r>
      <w:r w:rsidRPr="00C94C33">
        <w:rPr>
          <w:rFonts w:eastAsia="Times New Roman"/>
          <w:lang w:eastAsia="en-AU"/>
        </w:rPr>
        <w:t xml:space="preserve"> MDR1 and BCRP) at lower concentrations than already studied were not feasible. Therefore, the sponsor reported that </w:t>
      </w:r>
      <w:r w:rsidR="00842E8F" w:rsidRPr="00C94C33">
        <w:rPr>
          <w:rFonts w:eastAsia="Times New Roman"/>
          <w:lang w:eastAsia="en-AU"/>
        </w:rPr>
        <w:t>‘</w:t>
      </w:r>
      <w:r w:rsidRPr="00C94C33">
        <w:rPr>
          <w:rFonts w:eastAsia="Times New Roman"/>
          <w:lang w:eastAsia="en-AU"/>
        </w:rPr>
        <w:t>it can be reasonably concluded that FTD and TPI are not substrates for either MDR1 or BCRP, based on the results of uptake studies using transporter-expressing vesicles at the lowest feasible concentrations for FTD and TPI</w:t>
      </w:r>
      <w:r w:rsidR="00842E8F" w:rsidRPr="00C94C33">
        <w:rPr>
          <w:rFonts w:eastAsia="Times New Roman"/>
          <w:lang w:eastAsia="en-AU"/>
        </w:rPr>
        <w:t>’</w:t>
      </w:r>
      <w:r w:rsidRPr="00C94C33">
        <w:rPr>
          <w:rFonts w:eastAsia="Times New Roman"/>
          <w:lang w:eastAsia="en-AU"/>
        </w:rPr>
        <w:t>.</w:t>
      </w:r>
    </w:p>
    <w:p w14:paraId="7FAD7136" w14:textId="77777777" w:rsidR="00AA7141" w:rsidRDefault="00DF61BC" w:rsidP="00772CEB">
      <w:pPr>
        <w:autoSpaceDE w:val="0"/>
        <w:autoSpaceDN w:val="0"/>
        <w:adjustRightInd w:val="0"/>
        <w:spacing w:before="0" w:line="240" w:lineRule="auto"/>
        <w:rPr>
          <w:rFonts w:eastAsia="TimesNewRoman" w:cs="TimesNewRoman"/>
          <w:lang w:eastAsia="en-AU"/>
        </w:rPr>
      </w:pPr>
      <w:r w:rsidRPr="00C94C33">
        <w:rPr>
          <w:rFonts w:eastAsia="Times New Roman"/>
          <w:lang w:eastAsia="en-AU"/>
        </w:rPr>
        <w:t xml:space="preserve">The sponsor submitted a study for the membrane transport of TPI mediated by OCT1 and MATE </w:t>
      </w:r>
      <w:r w:rsidR="00A0007E" w:rsidRPr="00C94C33">
        <w:rPr>
          <w:rFonts w:eastAsia="Times New Roman"/>
          <w:lang w:eastAsia="en-AU"/>
        </w:rPr>
        <w:t>(</w:t>
      </w:r>
      <w:r w:rsidR="00CC49DA" w:rsidRPr="00C94C33">
        <w:rPr>
          <w:rFonts w:eastAsia="Times New Roman"/>
          <w:lang w:eastAsia="en-AU"/>
        </w:rPr>
        <w:t xml:space="preserve">Study </w:t>
      </w:r>
      <w:r w:rsidRPr="00C94C33">
        <w:rPr>
          <w:rFonts w:eastAsia="Times New Roman"/>
          <w:lang w:eastAsia="en-AU"/>
        </w:rPr>
        <w:t>12DB11</w:t>
      </w:r>
      <w:r w:rsidR="00A0007E" w:rsidRPr="00C94C33">
        <w:rPr>
          <w:rFonts w:eastAsia="Times New Roman"/>
          <w:lang w:eastAsia="en-AU"/>
        </w:rPr>
        <w:t>)</w:t>
      </w:r>
      <w:r w:rsidRPr="00C94C33">
        <w:rPr>
          <w:rFonts w:eastAsia="Times New Roman"/>
          <w:lang w:eastAsia="en-AU"/>
        </w:rPr>
        <w:t xml:space="preserve">. The study was reported to show that </w:t>
      </w:r>
      <w:r w:rsidRPr="00C94C33">
        <w:rPr>
          <w:rFonts w:eastAsia="TimesNewRoman" w:cs="TimesNewRoman"/>
          <w:lang w:eastAsia="en-AU"/>
        </w:rPr>
        <w:t>TPI was a substrate for OCT2 and MATE1 renal transporters, but was not a good substrate for OCT1, OCT3, or OCTN2. TPI was reported to inhibit tetraethylammonium (TEA) uptake mediated by OCT2 and MATE1 in a concentration-dependent manner, but the IC</w:t>
      </w:r>
      <w:r w:rsidRPr="00C94C33">
        <w:rPr>
          <w:rFonts w:eastAsia="TimesNewRoman" w:cs="TimesNewRoman"/>
          <w:vertAlign w:val="subscript"/>
          <w:lang w:eastAsia="en-AU"/>
        </w:rPr>
        <w:t>50</w:t>
      </w:r>
      <w:r w:rsidRPr="00C94C33">
        <w:rPr>
          <w:rFonts w:eastAsia="TimesNewRoman" w:cs="TimesNewRoman"/>
          <w:lang w:eastAsia="en-AU"/>
        </w:rPr>
        <w:t xml:space="preserve"> values for TEA uptake mediated by both transporters was stated to be much higher than blood concentrations of TPI at steady state after the recommended dose of TAS-102. The report concluded that </w:t>
      </w:r>
      <w:r w:rsidR="00842E8F" w:rsidRPr="00C94C33">
        <w:rPr>
          <w:rFonts w:eastAsia="TimesNewRoman" w:cs="TimesNewRoman"/>
          <w:lang w:eastAsia="en-AU"/>
        </w:rPr>
        <w:t>‘</w:t>
      </w:r>
      <w:r w:rsidRPr="00C94C33">
        <w:rPr>
          <w:rFonts w:eastAsia="TimesNewRoman" w:cs="TimesNewRoman"/>
          <w:lang w:eastAsia="en-AU"/>
        </w:rPr>
        <w:t>TPI is secreted in urine by the renal transport systems for organic cation compounds, but does not inhibit their transport activities at clinical usage</w:t>
      </w:r>
      <w:r w:rsidR="00842E8F" w:rsidRPr="00C94C33">
        <w:rPr>
          <w:rFonts w:eastAsia="TimesNewRoman" w:cs="TimesNewRoman"/>
          <w:lang w:eastAsia="en-AU"/>
        </w:rPr>
        <w:t>’</w:t>
      </w:r>
      <w:r w:rsidRPr="00C94C33">
        <w:rPr>
          <w:rFonts w:eastAsia="TimesNewRoman" w:cs="TimesNewRoman"/>
          <w:lang w:eastAsia="en-AU"/>
        </w:rPr>
        <w:t>.</w:t>
      </w:r>
    </w:p>
    <w:p w14:paraId="284DD203" w14:textId="6A349E65" w:rsidR="00DF61BC" w:rsidRPr="00C94C33" w:rsidRDefault="00DF61BC" w:rsidP="00772CEB">
      <w:pPr>
        <w:autoSpaceDE w:val="0"/>
        <w:autoSpaceDN w:val="0"/>
        <w:adjustRightInd w:val="0"/>
        <w:spacing w:before="0" w:line="240" w:lineRule="auto"/>
        <w:rPr>
          <w:rFonts w:eastAsia="Times New Roman"/>
          <w:lang w:eastAsia="en-AU"/>
        </w:rPr>
      </w:pPr>
      <w:r w:rsidRPr="00C94C33">
        <w:rPr>
          <w:rFonts w:eastAsia="Times New Roman"/>
          <w:lang w:eastAsia="en-AU"/>
        </w:rPr>
        <w:t xml:space="preserve">The CHMP noted that </w:t>
      </w:r>
      <w:r w:rsidRPr="00C94C33">
        <w:rPr>
          <w:rFonts w:eastAsia="Times New Roman"/>
          <w:i/>
          <w:lang w:eastAsia="en-AU"/>
        </w:rPr>
        <w:t>in vitro</w:t>
      </w:r>
      <w:r w:rsidRPr="00C94C33">
        <w:rPr>
          <w:rFonts w:eastAsia="Times New Roman"/>
          <w:lang w:eastAsia="en-AU"/>
        </w:rPr>
        <w:t xml:space="preserve"> studies showed that it is unlikely that FTD or TPI will affect the metabolism of a drug metabolised by any of the CYP enzymes tested or will interact with a drug that is metabolised by these enzymes. However, protein binding of FTY is not known. Therefore, the CHMP commented that the potential of FTY to inhibit CYP enzymes and the potential of FTY and </w:t>
      </w:r>
      <w:r w:rsidRPr="00C94C33">
        <w:rPr>
          <w:rFonts w:eastAsia="Times New Roman"/>
          <w:lang w:eastAsia="en-AU"/>
        </w:rPr>
        <w:lastRenderedPageBreak/>
        <w:t xml:space="preserve">TPI to induce CYP enzymes cannot be predicted since the highest concentrations studied are lower than the maximum expected concentrations in the intestine, liver and kidney at clinical doses. The sponsor responded that the maximum concentrations of test drug to be used in the </w:t>
      </w:r>
      <w:r w:rsidRPr="005C2FCA">
        <w:rPr>
          <w:rFonts w:eastAsia="Times New Roman"/>
          <w:lang w:eastAsia="en-AU"/>
        </w:rPr>
        <w:t>in vitro</w:t>
      </w:r>
      <w:r w:rsidRPr="007709B8">
        <w:rPr>
          <w:rFonts w:eastAsia="Times New Roman"/>
          <w:lang w:eastAsia="en-AU"/>
        </w:rPr>
        <w:t xml:space="preserve"> CYP inhibition studies were based on the ICH Guideline on the Investigation of Drug Interactions. The sponsor commented that the ICH guideline suggests that the same concentration should be used for </w:t>
      </w:r>
      <w:r w:rsidRPr="00C94C33">
        <w:rPr>
          <w:rFonts w:eastAsia="Times New Roman"/>
          <w:lang w:eastAsia="en-AU"/>
        </w:rPr>
        <w:t xml:space="preserve">the </w:t>
      </w:r>
      <w:r w:rsidRPr="005C2FCA">
        <w:rPr>
          <w:rFonts w:eastAsia="Times New Roman"/>
          <w:lang w:eastAsia="en-AU"/>
        </w:rPr>
        <w:t>in vitro</w:t>
      </w:r>
      <w:r w:rsidRPr="007709B8">
        <w:rPr>
          <w:rFonts w:eastAsia="Times New Roman"/>
          <w:lang w:eastAsia="en-AU"/>
        </w:rPr>
        <w:t xml:space="preserve"> CYP induction and CYP inhibition stud</w:t>
      </w:r>
      <w:r w:rsidRPr="00C94C33">
        <w:rPr>
          <w:rFonts w:eastAsia="Times New Roman"/>
          <w:lang w:eastAsia="en-AU"/>
        </w:rPr>
        <w:t xml:space="preserve">ies. The sponsor provided data indicating that it had conducted the relevant </w:t>
      </w:r>
      <w:r w:rsidRPr="005C2FCA">
        <w:rPr>
          <w:rFonts w:eastAsia="Times New Roman"/>
          <w:lang w:eastAsia="en-AU"/>
        </w:rPr>
        <w:t>in vitr</w:t>
      </w:r>
      <w:r w:rsidRPr="007709B8">
        <w:rPr>
          <w:rFonts w:eastAsia="Times New Roman"/>
          <w:i/>
          <w:lang w:eastAsia="en-AU"/>
        </w:rPr>
        <w:t>o</w:t>
      </w:r>
      <w:r w:rsidRPr="00C94C33">
        <w:rPr>
          <w:rFonts w:eastAsia="Times New Roman"/>
          <w:lang w:eastAsia="en-AU"/>
        </w:rPr>
        <w:t xml:space="preserve"> studies at the appropriate concentrations of TPI and FTY. In the D180 Response to the List of Outstanding Issues, the sponsor indicated that the plasma protein binding ratio of </w:t>
      </w:r>
      <w:r w:rsidRPr="00C94C33">
        <w:rPr>
          <w:rFonts w:eastAsia="Times New Roman"/>
          <w:vertAlign w:val="superscript"/>
          <w:lang w:eastAsia="en-AU"/>
        </w:rPr>
        <w:t>14</w:t>
      </w:r>
      <w:r w:rsidRPr="00C94C33">
        <w:rPr>
          <w:rFonts w:eastAsia="Times New Roman"/>
          <w:lang w:eastAsia="en-AU"/>
        </w:rPr>
        <w:t>C-FTY was approximately 70%.</w:t>
      </w:r>
    </w:p>
    <w:p w14:paraId="4C7E7450" w14:textId="5C3D22D0" w:rsidR="00B5151B" w:rsidRPr="00C94C33" w:rsidRDefault="00DF61BC" w:rsidP="00772CEB">
      <w:pPr>
        <w:autoSpaceDE w:val="0"/>
        <w:autoSpaceDN w:val="0"/>
        <w:adjustRightInd w:val="0"/>
        <w:spacing w:before="0" w:line="240" w:lineRule="auto"/>
        <w:rPr>
          <w:rFonts w:eastAsia="Times New Roman"/>
          <w:lang w:eastAsia="en-AU"/>
        </w:rPr>
      </w:pPr>
      <w:r w:rsidRPr="00C94C33">
        <w:rPr>
          <w:rFonts w:eastAsia="Times New Roman"/>
          <w:lang w:eastAsia="en-AU"/>
        </w:rPr>
        <w:t xml:space="preserve">The CHMP noted that interactions for TPI with transporters OAT1 and OAT3 at clinically relevant concentrations cannot be predicted since the highest concentrations studied are lower than the maximum expected concentrations in the kidney at clinical doses. In response, the sponsor undertook additional studies investigating the inhibitory effects of TPI at concentrations up to 1 mM against OAT1- and OAT3-mediated transporters. The sponsor reported that the results of the additional investigations suggested that TPI had little potential to inhibit OAT1- and OAT3-mediated transporters even at 100 </w:t>
      </w:r>
      <w:r w:rsidR="009265E3" w:rsidRPr="00C94C33">
        <w:rPr>
          <w:rFonts w:eastAsia="Times New Roman"/>
          <w:lang w:eastAsia="en-AU"/>
        </w:rPr>
        <w:t>µ</w:t>
      </w:r>
      <w:r w:rsidRPr="00C94C33">
        <w:rPr>
          <w:rFonts w:eastAsia="Times New Roman"/>
          <w:lang w:eastAsia="en-AU"/>
        </w:rPr>
        <w:t>mol/L, which was well over 50-fold of the mean unbound TPI C</w:t>
      </w:r>
      <w:r w:rsidRPr="00C94C33">
        <w:rPr>
          <w:rFonts w:eastAsia="Times New Roman"/>
          <w:sz w:val="20"/>
          <w:szCs w:val="20"/>
          <w:lang w:eastAsia="en-AU"/>
        </w:rPr>
        <w:t>max</w:t>
      </w:r>
      <w:r w:rsidRPr="00C94C33">
        <w:rPr>
          <w:rFonts w:eastAsia="Times New Roman"/>
          <w:lang w:eastAsia="en-AU"/>
        </w:rPr>
        <w:t xml:space="preserve"> (</w:t>
      </w:r>
      <w:r w:rsidR="00B2072D" w:rsidRPr="00C94C33">
        <w:rPr>
          <w:rFonts w:eastAsia="Times New Roman"/>
          <w:lang w:eastAsia="en-AU"/>
        </w:rPr>
        <w:t>that is,</w:t>
      </w:r>
      <w:r w:rsidRPr="00C94C33">
        <w:rPr>
          <w:rFonts w:eastAsia="Times New Roman"/>
          <w:lang w:eastAsia="en-AU"/>
        </w:rPr>
        <w:t xml:space="preserve"> 11.5 </w:t>
      </w:r>
      <w:r w:rsidR="009265E3" w:rsidRPr="00C94C33">
        <w:rPr>
          <w:rFonts w:eastAsia="Times New Roman"/>
          <w:lang w:eastAsia="en-AU"/>
        </w:rPr>
        <w:t>µ</w:t>
      </w:r>
      <w:r w:rsidRPr="00C94C33">
        <w:rPr>
          <w:rFonts w:eastAsia="Times New Roman"/>
          <w:lang w:eastAsia="en-AU"/>
        </w:rPr>
        <w:t xml:space="preserve">mol/L). Therefore, the sponsor concluded that the </w:t>
      </w:r>
      <w:r w:rsidRPr="005C2FCA">
        <w:rPr>
          <w:rFonts w:eastAsia="Times New Roman"/>
          <w:lang w:eastAsia="en-AU"/>
        </w:rPr>
        <w:t>in vitro</w:t>
      </w:r>
      <w:r w:rsidRPr="007709B8">
        <w:rPr>
          <w:rFonts w:eastAsia="Times New Roman"/>
          <w:lang w:eastAsia="en-AU"/>
        </w:rPr>
        <w:t xml:space="preserve"> inhibition studies support that TPI has no or little potential to inhibit OAT1- and OAT3-mediated transports </w:t>
      </w:r>
      <w:r w:rsidRPr="00C94C33">
        <w:rPr>
          <w:rFonts w:eastAsia="Times New Roman"/>
          <w:lang w:eastAsia="en-AU"/>
        </w:rPr>
        <w:t>in a</w:t>
      </w:r>
      <w:r w:rsidR="00B5151B" w:rsidRPr="00C94C33">
        <w:rPr>
          <w:rFonts w:eastAsia="Times New Roman"/>
          <w:lang w:eastAsia="en-AU"/>
        </w:rPr>
        <w:t xml:space="preserve"> clinically relevant situation.</w:t>
      </w:r>
    </w:p>
    <w:p w14:paraId="2A40F5E2" w14:textId="77777777" w:rsidR="00DF61BC" w:rsidRPr="00C94C33" w:rsidRDefault="00DF61BC" w:rsidP="00772CEB">
      <w:pPr>
        <w:autoSpaceDE w:val="0"/>
        <w:autoSpaceDN w:val="0"/>
        <w:adjustRightInd w:val="0"/>
        <w:spacing w:before="0" w:line="240" w:lineRule="auto"/>
        <w:rPr>
          <w:rFonts w:eastAsia="Times New Roman"/>
          <w:lang w:eastAsia="en-AU"/>
        </w:rPr>
      </w:pPr>
      <w:r w:rsidRPr="00C94C33">
        <w:rPr>
          <w:rFonts w:eastAsia="Times New Roman"/>
          <w:lang w:eastAsia="en-AU"/>
        </w:rPr>
        <w:t>In the D180 List of Outstanding Issues, the CHMP stated that according to the EMA guideline the potential induction effect by TPI on the intestinal, renal and hepatic CYPs cannot be fully ruled out due to the low concentration used in these studies. The sponsor responded that it will conduct an additional CYP induction study of TPI using the appropriate concentrations of TPI and will submit the study report to the EM</w:t>
      </w:r>
      <w:r w:rsidR="00B5151B" w:rsidRPr="00C94C33">
        <w:rPr>
          <w:rFonts w:eastAsia="Times New Roman"/>
          <w:lang w:eastAsia="en-AU"/>
        </w:rPr>
        <w:t>A by the end of December, 2016.</w:t>
      </w:r>
    </w:p>
    <w:p w14:paraId="1925AA42" w14:textId="77777777" w:rsidR="00DF61BC" w:rsidRPr="00C94C33" w:rsidRDefault="00DF61BC" w:rsidP="00955252">
      <w:pPr>
        <w:pStyle w:val="Heading3"/>
      </w:pPr>
      <w:bookmarkStart w:id="152" w:name="_Toc241374296"/>
      <w:bookmarkStart w:id="153" w:name="_Ref269982040"/>
      <w:bookmarkStart w:id="154" w:name="_Ref271018704"/>
      <w:bookmarkStart w:id="155" w:name="_Ref271018755"/>
      <w:bookmarkStart w:id="156" w:name="_Toc272414635"/>
      <w:bookmarkStart w:id="157" w:name="_Toc290846258"/>
      <w:bookmarkStart w:id="158" w:name="_Toc470948489"/>
      <w:bookmarkStart w:id="159" w:name="_Toc510016879"/>
      <w:r w:rsidRPr="00C94C33">
        <w:t>Evaluator’s overall conclusions on pharmacokinetics</w:t>
      </w:r>
      <w:bookmarkEnd w:id="152"/>
      <w:bookmarkEnd w:id="153"/>
      <w:bookmarkEnd w:id="154"/>
      <w:bookmarkEnd w:id="155"/>
      <w:bookmarkEnd w:id="156"/>
      <w:bookmarkEnd w:id="157"/>
      <w:bookmarkEnd w:id="158"/>
      <w:bookmarkEnd w:id="159"/>
    </w:p>
    <w:p w14:paraId="55016092" w14:textId="378239D3" w:rsidR="00DF61BC" w:rsidRPr="00C94C33" w:rsidRDefault="00DF61BC" w:rsidP="00772CE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szCs w:val="24"/>
          <w:lang w:eastAsia="en-AU"/>
        </w:rPr>
      </w:pPr>
      <w:r w:rsidRPr="00C94C33">
        <w:rPr>
          <w:rFonts w:eastAsia="Times New Roman"/>
          <w:kern w:val="16"/>
          <w:szCs w:val="24"/>
          <w:lang w:eastAsia="en-AU"/>
        </w:rPr>
        <w:t>The submitted data are considered to have adequately characterised the PK of trifluridine (FTD) and tipiracil (TPI) when administered as a fixed-dose combination tablet (TAS-102) at the proposed dose of 20 to 35 mg/m</w:t>
      </w:r>
      <w:r w:rsidRPr="00C94C33">
        <w:rPr>
          <w:rFonts w:eastAsia="Times New Roman"/>
          <w:kern w:val="16"/>
          <w:szCs w:val="24"/>
          <w:vertAlign w:val="superscript"/>
          <w:lang w:eastAsia="en-AU"/>
        </w:rPr>
        <w:t>2</w:t>
      </w:r>
      <w:r w:rsidRPr="00C94C33">
        <w:rPr>
          <w:rFonts w:eastAsia="Times New Roman"/>
          <w:kern w:val="16"/>
          <w:szCs w:val="24"/>
          <w:lang w:eastAsia="en-AU"/>
        </w:rPr>
        <w:t xml:space="preserve"> BD (based on BSA) for the treatment of advanced mCRC. The PK data were based on studies in patients with advanced cancer (solid tumours). There were no PK data in healthy volunteers, but this is considered to be acceptable given that FTD is a cytotoxic agent. The PK results derived from non-compartmental analysis for the single-dose and multiple-dose studies contributing relevant PK data for FTD, TPI and relevant metabolites are summarised.</w:t>
      </w:r>
    </w:p>
    <w:p w14:paraId="30E29C87" w14:textId="19F125DA" w:rsidR="00DF61BC" w:rsidRPr="00C94C33" w:rsidRDefault="00DF61BC" w:rsidP="00772CE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szCs w:val="24"/>
          <w:lang w:eastAsia="en-AU"/>
        </w:rPr>
      </w:pPr>
      <w:r w:rsidRPr="00C94C33">
        <w:rPr>
          <w:rFonts w:eastAsia="Times New Roman"/>
          <w:kern w:val="16"/>
          <w:szCs w:val="24"/>
          <w:lang w:eastAsia="en-AU"/>
        </w:rPr>
        <w:t>The major limitations of the PK data relate to the absence of dedicated clinical studies assessing the effects of hepatic and renal impairment on the PK of TAS-102. However, the sponsor has indicated that such studies will be submitted to the EMA by the end of 2017.</w:t>
      </w:r>
    </w:p>
    <w:p w14:paraId="3016643A" w14:textId="77777777" w:rsidR="00AA7141" w:rsidRDefault="00DF61BC" w:rsidP="00772CE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szCs w:val="24"/>
          <w:lang w:eastAsia="en-AU"/>
        </w:rPr>
      </w:pPr>
      <w:r w:rsidRPr="00C94C33">
        <w:rPr>
          <w:rFonts w:eastAsia="Times New Roman"/>
          <w:kern w:val="16"/>
          <w:szCs w:val="24"/>
          <w:lang w:eastAsia="en-AU"/>
        </w:rPr>
        <w:t xml:space="preserve">The submission included a number of human biomaterial studies investigating the </w:t>
      </w:r>
      <w:r w:rsidRPr="005C2FCA">
        <w:rPr>
          <w:rFonts w:eastAsia="Times New Roman"/>
          <w:kern w:val="16"/>
          <w:szCs w:val="24"/>
          <w:lang w:eastAsia="en-AU"/>
        </w:rPr>
        <w:t>in vitro</w:t>
      </w:r>
      <w:r w:rsidRPr="007709B8">
        <w:rPr>
          <w:rFonts w:eastAsia="Times New Roman"/>
          <w:kern w:val="16"/>
          <w:szCs w:val="24"/>
          <w:lang w:eastAsia="en-AU"/>
        </w:rPr>
        <w:t xml:space="preserve"> effects of FTD and TPI on various enzyme systems relating to metabolism and potential drug-drug interactions. Data from </w:t>
      </w:r>
      <w:r w:rsidRPr="00C94C33">
        <w:rPr>
          <w:rFonts w:eastAsia="Times New Roman"/>
          <w:kern w:val="16"/>
          <w:szCs w:val="24"/>
          <w:lang w:eastAsia="en-AU"/>
        </w:rPr>
        <w:t xml:space="preserve">these </w:t>
      </w:r>
      <w:r w:rsidRPr="005C2FCA">
        <w:rPr>
          <w:rFonts w:eastAsia="Times New Roman"/>
          <w:kern w:val="16"/>
          <w:szCs w:val="24"/>
          <w:lang w:eastAsia="en-AU"/>
        </w:rPr>
        <w:t>in vitro</w:t>
      </w:r>
      <w:r w:rsidRPr="007709B8">
        <w:rPr>
          <w:rFonts w:eastAsia="Times New Roman"/>
          <w:kern w:val="16"/>
          <w:szCs w:val="24"/>
          <w:lang w:eastAsia="en-AU"/>
        </w:rPr>
        <w:t xml:space="preserve"> studies were presented in the submission. It is recommended that definitive e</w:t>
      </w:r>
      <w:r w:rsidRPr="00C94C33">
        <w:rPr>
          <w:rFonts w:eastAsia="Times New Roman"/>
          <w:kern w:val="16"/>
          <w:szCs w:val="24"/>
          <w:lang w:eastAsia="en-AU"/>
        </w:rPr>
        <w:t xml:space="preserve">valuation of this </w:t>
      </w:r>
      <w:r w:rsidRPr="005C2FCA">
        <w:rPr>
          <w:rFonts w:eastAsia="Times New Roman"/>
          <w:kern w:val="16"/>
          <w:szCs w:val="24"/>
          <w:lang w:eastAsia="en-AU"/>
        </w:rPr>
        <w:t>in vitro</w:t>
      </w:r>
      <w:r w:rsidRPr="007709B8">
        <w:rPr>
          <w:rFonts w:eastAsia="Times New Roman"/>
          <w:kern w:val="16"/>
          <w:szCs w:val="24"/>
          <w:lang w:eastAsia="en-AU"/>
        </w:rPr>
        <w:t xml:space="preserve"> data be undertaken by the nonclinical evaluator.</w:t>
      </w:r>
    </w:p>
    <w:p w14:paraId="71045E20" w14:textId="3BDD33BB" w:rsidR="00DF61BC" w:rsidRPr="00C94C33" w:rsidRDefault="00DF61BC" w:rsidP="00772CE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szCs w:val="24"/>
          <w:lang w:eastAsia="en-AU"/>
        </w:rPr>
      </w:pPr>
      <w:r w:rsidRPr="00C94C33">
        <w:rPr>
          <w:rFonts w:eastAsia="Times New Roman" w:cs="Calibri"/>
          <w:kern w:val="16"/>
          <w:szCs w:val="24"/>
          <w:lang w:eastAsia="en-AU"/>
        </w:rPr>
        <w:t xml:space="preserve">Two tablet formulations were used in the clinical studies (Early CTM and Late CTM formulations), and the TBM tablet formulation is stated by the sponsor to be identical to the Late CTM tablet formulation with the exception of ink imprinting. </w:t>
      </w:r>
      <w:r w:rsidRPr="00C94C33">
        <w:rPr>
          <w:rFonts w:eastAsia="Times New Roman"/>
          <w:kern w:val="16"/>
          <w:szCs w:val="24"/>
          <w:lang w:eastAsia="en-AU"/>
        </w:rPr>
        <w:t xml:space="preserve">There were no clinical bioequivalence studies comparing the three formulations. However, </w:t>
      </w:r>
      <w:r w:rsidRPr="005C2FCA">
        <w:rPr>
          <w:rFonts w:eastAsia="Times New Roman"/>
          <w:kern w:val="16"/>
          <w:szCs w:val="24"/>
          <w:lang w:eastAsia="en-AU"/>
        </w:rPr>
        <w:t>in vitro</w:t>
      </w:r>
      <w:r w:rsidRPr="007709B8">
        <w:rPr>
          <w:rFonts w:eastAsia="Times New Roman"/>
          <w:kern w:val="16"/>
          <w:szCs w:val="24"/>
          <w:lang w:eastAsia="en-AU"/>
        </w:rPr>
        <w:t xml:space="preserve"> dissolution data are reported to show similarity between the Early and Late CTM formulations. B</w:t>
      </w:r>
      <w:r w:rsidRPr="00C94C33">
        <w:rPr>
          <w:rFonts w:eastAsia="Times New Roman"/>
          <w:kern w:val="16"/>
          <w:szCs w:val="24"/>
          <w:lang w:eastAsia="en-AU"/>
        </w:rPr>
        <w:t xml:space="preserve">ased on the </w:t>
      </w:r>
      <w:r w:rsidRPr="005C2FCA">
        <w:rPr>
          <w:rFonts w:eastAsia="Times New Roman"/>
          <w:kern w:val="16"/>
          <w:szCs w:val="24"/>
          <w:lang w:eastAsia="en-AU"/>
        </w:rPr>
        <w:t>in vitro</w:t>
      </w:r>
      <w:r w:rsidRPr="007709B8">
        <w:rPr>
          <w:rFonts w:eastAsia="Times New Roman"/>
          <w:kern w:val="16"/>
          <w:szCs w:val="24"/>
          <w:lang w:eastAsia="en-AU"/>
        </w:rPr>
        <w:t xml:space="preserve"> dissolution data the sponsor predicts that the </w:t>
      </w:r>
      <w:r w:rsidRPr="005C2FCA">
        <w:rPr>
          <w:rFonts w:eastAsia="Times New Roman"/>
          <w:kern w:val="16"/>
          <w:szCs w:val="24"/>
          <w:lang w:eastAsia="en-AU"/>
        </w:rPr>
        <w:t>in vivo</w:t>
      </w:r>
      <w:r w:rsidRPr="007709B8">
        <w:rPr>
          <w:rFonts w:eastAsia="Times New Roman"/>
          <w:kern w:val="16"/>
          <w:szCs w:val="24"/>
          <w:lang w:eastAsia="en-AU"/>
        </w:rPr>
        <w:t xml:space="preserve"> performance of the Early and Late CTM formulations will be similar. In addition, the formulation similarities of the Late CTM and TBM formulations suggest that the </w:t>
      </w:r>
      <w:r w:rsidRPr="005C2FCA">
        <w:rPr>
          <w:rFonts w:eastAsia="Times New Roman"/>
          <w:kern w:val="16"/>
          <w:szCs w:val="24"/>
          <w:lang w:eastAsia="en-AU"/>
        </w:rPr>
        <w:t>in vivo</w:t>
      </w:r>
      <w:r w:rsidRPr="007709B8">
        <w:rPr>
          <w:rFonts w:eastAsia="Times New Roman"/>
          <w:kern w:val="16"/>
          <w:szCs w:val="24"/>
          <w:lang w:eastAsia="en-AU"/>
        </w:rPr>
        <w:t xml:space="preserve"> performa</w:t>
      </w:r>
      <w:r w:rsidRPr="00C94C33">
        <w:rPr>
          <w:rFonts w:eastAsia="Times New Roman"/>
          <w:kern w:val="16"/>
          <w:szCs w:val="24"/>
          <w:lang w:eastAsia="en-AU"/>
        </w:rPr>
        <w:t xml:space="preserve">nce of these two tablet formulations will also be similar. Overall, the </w:t>
      </w:r>
      <w:r w:rsidRPr="005C2FCA">
        <w:rPr>
          <w:rFonts w:eastAsia="Times New Roman"/>
          <w:kern w:val="16"/>
          <w:szCs w:val="24"/>
          <w:lang w:eastAsia="en-AU"/>
        </w:rPr>
        <w:t>in vitro</w:t>
      </w:r>
      <w:r w:rsidRPr="007709B8">
        <w:rPr>
          <w:rFonts w:eastAsia="Times New Roman"/>
          <w:kern w:val="16"/>
          <w:szCs w:val="24"/>
          <w:lang w:eastAsia="en-AU"/>
        </w:rPr>
        <w:t xml:space="preserve"> data are considered to support the sponsor’s decision not to submit dedicated clinical</w:t>
      </w:r>
      <w:r w:rsidRPr="00C94C33">
        <w:rPr>
          <w:rFonts w:eastAsia="Times New Roman"/>
          <w:kern w:val="16"/>
          <w:szCs w:val="24"/>
          <w:lang w:eastAsia="en-AU"/>
        </w:rPr>
        <w:t xml:space="preserve"> bioequivalence studies comparing the three tablet formulations. However, the definitive opinion about this matter rests wit</w:t>
      </w:r>
      <w:r w:rsidR="00FB45D2" w:rsidRPr="00C94C33">
        <w:rPr>
          <w:rFonts w:eastAsia="Times New Roman"/>
          <w:kern w:val="16"/>
          <w:szCs w:val="24"/>
          <w:lang w:eastAsia="en-AU"/>
        </w:rPr>
        <w:t xml:space="preserve">h the pharmaceutical chemistry </w:t>
      </w:r>
      <w:r w:rsidRPr="00C94C33">
        <w:rPr>
          <w:rFonts w:eastAsia="Times New Roman"/>
          <w:kern w:val="16"/>
          <w:szCs w:val="24"/>
          <w:lang w:eastAsia="en-AU"/>
        </w:rPr>
        <w:t>evaluator.</w:t>
      </w:r>
    </w:p>
    <w:p w14:paraId="4F9BEE75" w14:textId="59DF9A61" w:rsidR="00DF61BC" w:rsidRPr="00C94C33" w:rsidRDefault="00DF61BC" w:rsidP="00772CE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C94C33">
        <w:rPr>
          <w:rFonts w:eastAsia="Times New Roman"/>
          <w:kern w:val="16"/>
          <w:lang w:eastAsia="en-AU"/>
        </w:rPr>
        <w:lastRenderedPageBreak/>
        <w:t>Based on the submitted data relating to solubility and permeability of FTD and TPI, the two products are reported to be BSC Class III compounds (</w:t>
      </w:r>
      <w:r w:rsidR="00B2072D" w:rsidRPr="00C94C33">
        <w:rPr>
          <w:rFonts w:eastAsia="Times New Roman"/>
          <w:kern w:val="16"/>
          <w:lang w:eastAsia="en-AU"/>
        </w:rPr>
        <w:t>that is,</w:t>
      </w:r>
      <w:r w:rsidRPr="00C94C33">
        <w:rPr>
          <w:rFonts w:eastAsia="Times New Roman"/>
          <w:kern w:val="16"/>
          <w:lang w:eastAsia="en-AU"/>
        </w:rPr>
        <w:t xml:space="preserve"> low permeability, high solubility). Following oral administration, both FTD and TPI are rapidly absorbed with mean T</w:t>
      </w:r>
      <w:r w:rsidRPr="00C94C33">
        <w:rPr>
          <w:rFonts w:eastAsia="Times New Roman"/>
          <w:kern w:val="16"/>
          <w:sz w:val="20"/>
          <w:szCs w:val="20"/>
          <w:lang w:eastAsia="en-AU"/>
        </w:rPr>
        <w:t>max</w:t>
      </w:r>
      <w:r w:rsidRPr="00C94C33">
        <w:rPr>
          <w:rFonts w:eastAsia="Times New Roman"/>
          <w:kern w:val="16"/>
          <w:lang w:eastAsia="en-AU"/>
        </w:rPr>
        <w:t xml:space="preserve"> values of 1 to 2 hours for FTD and 2 to 3.5 hours for TPI. No absolute bioavailability study was submitted. The sponsor provided a justification for not submitting an absolute bioavailability study. The justification has been examined and is considered to be satisfactory. Based on urinary and faecal radiolabelled excretion data from the mass balance study it can be estimated that following an oral dose of TAS-102 absorption of FTD is ≥ 57% to almost complete,  and absorption of TPI is  ≥ 27% to &lt; 50% </w:t>
      </w:r>
      <w:r w:rsidR="00A0007E" w:rsidRPr="00C94C33">
        <w:rPr>
          <w:rFonts w:eastAsia="Times New Roman"/>
          <w:kern w:val="16"/>
          <w:lang w:eastAsia="en-AU"/>
        </w:rPr>
        <w:t>(</w:t>
      </w:r>
      <w:r w:rsidRPr="00C94C33">
        <w:rPr>
          <w:rFonts w:eastAsia="Times New Roman"/>
          <w:kern w:val="16"/>
          <w:lang w:eastAsia="en-AU"/>
        </w:rPr>
        <w:t>TPU-TAS-102-108</w:t>
      </w:r>
      <w:r w:rsidR="00A0007E" w:rsidRPr="00C94C33">
        <w:rPr>
          <w:rFonts w:eastAsia="Times New Roman"/>
          <w:kern w:val="16"/>
          <w:lang w:eastAsia="en-AU"/>
        </w:rPr>
        <w:t>)</w:t>
      </w:r>
      <w:r w:rsidRPr="00C94C33">
        <w:rPr>
          <w:rFonts w:eastAsia="Times New Roman"/>
          <w:kern w:val="16"/>
          <w:lang w:eastAsia="en-AU"/>
        </w:rPr>
        <w:t xml:space="preserve">. </w:t>
      </w:r>
      <w:r w:rsidRPr="00C94C33">
        <w:rPr>
          <w:rFonts w:eastAsia="Times New Roman" w:cs="Calibri"/>
          <w:color w:val="000000"/>
          <w:lang w:eastAsia="en-AU"/>
        </w:rPr>
        <w:t>Neither FTD nor TPI is a substrate or inhibitor of MDR1. Therefore, drug interactions with TAS-102 mediated by human P-gp are unlikely.</w:t>
      </w:r>
    </w:p>
    <w:p w14:paraId="07AB5C0E" w14:textId="77777777" w:rsidR="00AA7141" w:rsidRDefault="00DF61BC" w:rsidP="00772CE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szCs w:val="24"/>
          <w:lang w:eastAsia="en-AU"/>
        </w:rPr>
      </w:pPr>
      <w:r w:rsidRPr="00C94C33">
        <w:rPr>
          <w:rFonts w:eastAsia="Times New Roman"/>
          <w:kern w:val="16"/>
          <w:szCs w:val="24"/>
          <w:lang w:eastAsia="en-AU"/>
        </w:rPr>
        <w:t xml:space="preserve">In place of an absolute bioavailability study, the sponsor submitted a single-dose relative bioavailability crossover study comparing tablets (20 mg x 3) to an oral solution </w:t>
      </w:r>
      <w:r w:rsidR="00A0007E" w:rsidRPr="00C94C33">
        <w:rPr>
          <w:rFonts w:eastAsia="Times New Roman"/>
          <w:kern w:val="16"/>
          <w:szCs w:val="24"/>
          <w:lang w:eastAsia="en-AU"/>
        </w:rPr>
        <w:t>(</w:t>
      </w:r>
      <w:r w:rsidRPr="00C94C33">
        <w:rPr>
          <w:rFonts w:eastAsia="Times New Roman"/>
          <w:kern w:val="16"/>
          <w:szCs w:val="24"/>
          <w:lang w:eastAsia="en-AU"/>
        </w:rPr>
        <w:t>TPU-TAS-102-104</w:t>
      </w:r>
      <w:r w:rsidR="00A0007E" w:rsidRPr="00C94C33">
        <w:rPr>
          <w:rFonts w:eastAsia="Times New Roman"/>
          <w:kern w:val="16"/>
          <w:szCs w:val="24"/>
          <w:lang w:eastAsia="en-AU"/>
        </w:rPr>
        <w:t>)</w:t>
      </w:r>
      <w:r w:rsidRPr="00C94C33">
        <w:rPr>
          <w:rFonts w:eastAsia="Times New Roman"/>
          <w:kern w:val="16"/>
          <w:szCs w:val="24"/>
          <w:lang w:eastAsia="en-AU"/>
        </w:rPr>
        <w:t>. Based on the results for the AUC</w:t>
      </w:r>
      <w:r w:rsidRPr="00C94C33">
        <w:rPr>
          <w:rFonts w:eastAsia="Times New Roman"/>
          <w:kern w:val="16"/>
          <w:sz w:val="20"/>
          <w:szCs w:val="20"/>
          <w:lang w:eastAsia="en-AU"/>
        </w:rPr>
        <w:t xml:space="preserve">0-last, </w:t>
      </w:r>
      <w:r w:rsidRPr="00C94C33">
        <w:rPr>
          <w:rFonts w:eastAsia="Times New Roman"/>
          <w:kern w:val="16"/>
          <w:szCs w:val="24"/>
          <w:lang w:eastAsia="en-AU"/>
        </w:rPr>
        <w:t>the relative bioavailability (tablet/solution) was 100% (95% CI: 93%, 109%) for FTD and 96% (90% CI: 86%, 107%) for TPI. The 90% CI for the geometric mean ratio of the C</w:t>
      </w:r>
      <w:r w:rsidRPr="00C94C33">
        <w:rPr>
          <w:rFonts w:eastAsia="Times New Roman"/>
          <w:kern w:val="16"/>
          <w:sz w:val="20"/>
          <w:szCs w:val="20"/>
          <w:lang w:eastAsia="en-AU"/>
        </w:rPr>
        <w:t>max</w:t>
      </w:r>
      <w:r w:rsidRPr="00C94C33">
        <w:rPr>
          <w:rFonts w:eastAsia="Times New Roman"/>
          <w:kern w:val="16"/>
          <w:szCs w:val="24"/>
          <w:lang w:eastAsia="en-AU"/>
        </w:rPr>
        <w:t xml:space="preserve"> for TPI (90% CI: 89%, 116%) was completely enclosed within the standard bioequivalence interval of 80% to 125%, but marginally outside the bioequivalence interval for the 90% CI for the geometric mean ratio of the C</w:t>
      </w:r>
      <w:r w:rsidRPr="00C94C33">
        <w:rPr>
          <w:rFonts w:eastAsia="Times New Roman"/>
          <w:kern w:val="16"/>
          <w:sz w:val="20"/>
          <w:szCs w:val="20"/>
          <w:lang w:eastAsia="en-AU"/>
        </w:rPr>
        <w:t>max</w:t>
      </w:r>
      <w:r w:rsidRPr="00C94C33">
        <w:rPr>
          <w:rFonts w:eastAsia="Times New Roman"/>
          <w:kern w:val="16"/>
          <w:szCs w:val="24"/>
          <w:lang w:eastAsia="en-AU"/>
        </w:rPr>
        <w:t xml:space="preserve"> for FTD (90% CI: 79%, 95%). Based on the overall results of the relative bioavailability study, the TAS-102 tablets used in the study (Late CTM; 20 mg) are considered to optimally formulated.</w:t>
      </w:r>
    </w:p>
    <w:p w14:paraId="505B45CD" w14:textId="77777777" w:rsidR="00AA7141" w:rsidRDefault="00DF61BC" w:rsidP="00772CE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szCs w:val="24"/>
          <w:lang w:eastAsia="en-AU"/>
        </w:rPr>
      </w:pPr>
      <w:r w:rsidRPr="00C94C33">
        <w:rPr>
          <w:rFonts w:eastAsia="Times New Roman"/>
          <w:kern w:val="16"/>
          <w:szCs w:val="24"/>
          <w:lang w:eastAsia="en-AU"/>
        </w:rPr>
        <w:t>The effect of food on the PK of FTD and TPI was investigated in a single-dose (35 mg/m</w:t>
      </w:r>
      <w:r w:rsidRPr="00C94C33">
        <w:rPr>
          <w:rFonts w:eastAsia="Times New Roman"/>
          <w:kern w:val="16"/>
          <w:szCs w:val="24"/>
          <w:vertAlign w:val="superscript"/>
          <w:lang w:eastAsia="en-AU"/>
        </w:rPr>
        <w:t>2</w:t>
      </w:r>
      <w:r w:rsidRPr="00C94C33">
        <w:rPr>
          <w:rFonts w:eastAsia="Times New Roman"/>
          <w:kern w:val="16"/>
          <w:szCs w:val="24"/>
          <w:lang w:eastAsia="en-AU"/>
        </w:rPr>
        <w:t xml:space="preserve">) crossover study in Japanese patients </w:t>
      </w:r>
      <w:r w:rsidR="00A0007E" w:rsidRPr="00C94C33">
        <w:rPr>
          <w:rFonts w:eastAsia="Times New Roman"/>
          <w:kern w:val="16"/>
          <w:szCs w:val="24"/>
          <w:lang w:eastAsia="en-AU"/>
        </w:rPr>
        <w:t>(</w:t>
      </w:r>
      <w:r w:rsidR="00CC49DA" w:rsidRPr="00C94C33">
        <w:rPr>
          <w:rFonts w:eastAsia="Times New Roman"/>
          <w:kern w:val="16"/>
          <w:szCs w:val="24"/>
          <w:lang w:eastAsia="en-AU"/>
        </w:rPr>
        <w:t xml:space="preserve">Study </w:t>
      </w:r>
      <w:r w:rsidRPr="00C94C33">
        <w:rPr>
          <w:rFonts w:eastAsia="Times New Roman"/>
          <w:kern w:val="16"/>
          <w:szCs w:val="24"/>
          <w:lang w:eastAsia="en-AU"/>
        </w:rPr>
        <w:t>J004-10040040</w:t>
      </w:r>
      <w:r w:rsidR="00A0007E" w:rsidRPr="00C94C33">
        <w:rPr>
          <w:rFonts w:eastAsia="Times New Roman"/>
          <w:kern w:val="16"/>
          <w:szCs w:val="24"/>
          <w:lang w:eastAsia="en-AU"/>
        </w:rPr>
        <w:t>)</w:t>
      </w:r>
      <w:r w:rsidRPr="00C94C33">
        <w:rPr>
          <w:rFonts w:eastAsia="Times New Roman"/>
          <w:kern w:val="16"/>
          <w:szCs w:val="24"/>
          <w:lang w:eastAsia="en-AU"/>
        </w:rPr>
        <w:t>. The geometric mean ratios (Fed/Fasting) for FTD were 96% (90% CI: 86%, 107%) for the AUC</w:t>
      </w:r>
      <w:r w:rsidRPr="00C94C33">
        <w:rPr>
          <w:rFonts w:eastAsia="Times New Roman"/>
          <w:kern w:val="16"/>
          <w:sz w:val="20"/>
          <w:szCs w:val="20"/>
          <w:lang w:eastAsia="en-AU"/>
        </w:rPr>
        <w:t xml:space="preserve">0-inf </w:t>
      </w:r>
      <w:r w:rsidRPr="00C94C33">
        <w:rPr>
          <w:rFonts w:eastAsia="Times New Roman"/>
          <w:kern w:val="16"/>
          <w:szCs w:val="24"/>
          <w:lang w:eastAsia="en-AU"/>
        </w:rPr>
        <w:t>and 61% (90% CI: 50%, 73%) for the Cmax.  The geometric mean ratios (Fed/Fasting) for TPI were 56% (90% CI: 48%, 64%) for the AUC</w:t>
      </w:r>
      <w:r w:rsidRPr="00C94C33">
        <w:rPr>
          <w:rFonts w:eastAsia="Times New Roman"/>
          <w:kern w:val="16"/>
          <w:sz w:val="20"/>
          <w:szCs w:val="20"/>
          <w:lang w:eastAsia="en-AU"/>
        </w:rPr>
        <w:t xml:space="preserve">0-inf </w:t>
      </w:r>
      <w:r w:rsidRPr="00C94C33">
        <w:rPr>
          <w:rFonts w:eastAsia="Times New Roman"/>
          <w:kern w:val="16"/>
          <w:szCs w:val="24"/>
          <w:lang w:eastAsia="en-AU"/>
        </w:rPr>
        <w:t>and 58% (90% CI: 44%, 66%) for the C</w:t>
      </w:r>
      <w:r w:rsidRPr="00C94C33">
        <w:rPr>
          <w:rFonts w:eastAsia="Times New Roman"/>
          <w:kern w:val="16"/>
          <w:sz w:val="20"/>
          <w:szCs w:val="20"/>
          <w:lang w:eastAsia="en-AU"/>
        </w:rPr>
        <w:t>max</w:t>
      </w:r>
      <w:r w:rsidRPr="00C94C33">
        <w:rPr>
          <w:rFonts w:eastAsia="Times New Roman"/>
          <w:kern w:val="16"/>
          <w:szCs w:val="24"/>
          <w:lang w:eastAsia="en-AU"/>
        </w:rPr>
        <w:t>. The study showed that, compared to the fasting state, food significantly reduced the AUC</w:t>
      </w:r>
      <w:r w:rsidRPr="00C94C33">
        <w:rPr>
          <w:rFonts w:eastAsia="Times New Roman"/>
          <w:kern w:val="16"/>
          <w:sz w:val="20"/>
          <w:szCs w:val="20"/>
          <w:lang w:eastAsia="en-AU"/>
        </w:rPr>
        <w:t xml:space="preserve">0-inf </w:t>
      </w:r>
      <w:r w:rsidRPr="00C94C33">
        <w:rPr>
          <w:rFonts w:eastAsia="Times New Roman"/>
          <w:kern w:val="16"/>
          <w:szCs w:val="24"/>
          <w:lang w:eastAsia="en-AU"/>
        </w:rPr>
        <w:t>and C</w:t>
      </w:r>
      <w:r w:rsidRPr="00C94C33">
        <w:rPr>
          <w:rFonts w:eastAsia="Times New Roman"/>
          <w:kern w:val="16"/>
          <w:sz w:val="20"/>
          <w:szCs w:val="20"/>
          <w:lang w:eastAsia="en-AU"/>
        </w:rPr>
        <w:t>max</w:t>
      </w:r>
      <w:r w:rsidRPr="00C94C33">
        <w:rPr>
          <w:rFonts w:eastAsia="Times New Roman"/>
          <w:kern w:val="16"/>
          <w:szCs w:val="24"/>
          <w:lang w:eastAsia="en-AU"/>
        </w:rPr>
        <w:t xml:space="preserve"> values of TPI by 44% and 42%, respectively, and the C</w:t>
      </w:r>
      <w:r w:rsidRPr="00C94C33">
        <w:rPr>
          <w:rFonts w:eastAsia="Times New Roman"/>
          <w:kern w:val="16"/>
          <w:sz w:val="20"/>
          <w:szCs w:val="20"/>
          <w:lang w:eastAsia="en-AU"/>
        </w:rPr>
        <w:t>max</w:t>
      </w:r>
      <w:r w:rsidRPr="00C94C33">
        <w:rPr>
          <w:rFonts w:eastAsia="Times New Roman"/>
          <w:kern w:val="16"/>
          <w:szCs w:val="24"/>
          <w:lang w:eastAsia="en-AU"/>
        </w:rPr>
        <w:t xml:space="preserve"> value of FTD by 39%. The significantly lower C</w:t>
      </w:r>
      <w:r w:rsidRPr="00C94C33">
        <w:rPr>
          <w:rFonts w:eastAsia="Times New Roman"/>
          <w:kern w:val="16"/>
          <w:sz w:val="20"/>
          <w:szCs w:val="20"/>
          <w:lang w:eastAsia="en-AU"/>
        </w:rPr>
        <w:t>max</w:t>
      </w:r>
      <w:r w:rsidRPr="00C94C33">
        <w:rPr>
          <w:rFonts w:eastAsia="Times New Roman"/>
          <w:kern w:val="16"/>
          <w:szCs w:val="24"/>
          <w:lang w:eastAsia="en-AU"/>
        </w:rPr>
        <w:t xml:space="preserve"> values for FTD and TPI in the fed compared to the fasted state suggest that potential toxicities of TAS-102 might be reduced if the product is administered with food.</w:t>
      </w:r>
    </w:p>
    <w:p w14:paraId="3CD42EC7" w14:textId="53F74693" w:rsidR="00DF61BC" w:rsidRPr="00C94C33" w:rsidRDefault="00DF61BC" w:rsidP="00772CE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szCs w:val="24"/>
          <w:lang w:eastAsia="en-AU"/>
        </w:rPr>
      </w:pPr>
      <w:r w:rsidRPr="00C94C33">
        <w:rPr>
          <w:rFonts w:eastAsia="Times New Roman"/>
          <w:kern w:val="16"/>
          <w:szCs w:val="24"/>
          <w:lang w:eastAsia="en-AU"/>
        </w:rPr>
        <w:t>The effect of TPI on the bioavailability of FTD was investigated following a single-dose of TAS-102 containing FTD 35 mg/m</w:t>
      </w:r>
      <w:r w:rsidRPr="00C94C33">
        <w:rPr>
          <w:rFonts w:eastAsia="Times New Roman"/>
          <w:kern w:val="16"/>
          <w:szCs w:val="24"/>
          <w:vertAlign w:val="superscript"/>
          <w:lang w:eastAsia="en-AU"/>
        </w:rPr>
        <w:t>2</w:t>
      </w:r>
      <w:r w:rsidRPr="00C94C33">
        <w:rPr>
          <w:rFonts w:eastAsia="Times New Roman"/>
          <w:kern w:val="16"/>
          <w:szCs w:val="24"/>
          <w:lang w:eastAsia="en-AU"/>
        </w:rPr>
        <w:t xml:space="preserve"> and TPI versus a single-dose of FTD 35 mg/m</w:t>
      </w:r>
      <w:r w:rsidRPr="00C94C33">
        <w:rPr>
          <w:rFonts w:eastAsia="Times New Roman"/>
          <w:kern w:val="16"/>
          <w:szCs w:val="24"/>
          <w:vertAlign w:val="superscript"/>
          <w:lang w:eastAsia="en-AU"/>
        </w:rPr>
        <w:t>2</w:t>
      </w:r>
      <w:r w:rsidRPr="00C94C33">
        <w:rPr>
          <w:rFonts w:eastAsia="Times New Roman"/>
          <w:kern w:val="16"/>
          <w:szCs w:val="24"/>
          <w:lang w:eastAsia="en-AU"/>
        </w:rPr>
        <w:t xml:space="preserve"> alone </w:t>
      </w:r>
      <w:r w:rsidR="00A0007E" w:rsidRPr="00C94C33">
        <w:rPr>
          <w:rFonts w:eastAsia="Times New Roman"/>
          <w:kern w:val="16"/>
          <w:szCs w:val="24"/>
          <w:lang w:eastAsia="en-AU"/>
        </w:rPr>
        <w:t>(</w:t>
      </w:r>
      <w:r w:rsidR="00CC49DA" w:rsidRPr="00C94C33">
        <w:rPr>
          <w:rFonts w:eastAsia="Times New Roman"/>
          <w:kern w:val="16"/>
          <w:szCs w:val="24"/>
          <w:lang w:eastAsia="en-AU"/>
        </w:rPr>
        <w:t xml:space="preserve">Study </w:t>
      </w:r>
      <w:r w:rsidRPr="00C94C33">
        <w:rPr>
          <w:rFonts w:eastAsia="Times New Roman"/>
          <w:kern w:val="16"/>
          <w:szCs w:val="24"/>
          <w:lang w:eastAsia="en-AU"/>
        </w:rPr>
        <w:t>TPU-TAS-102-102</w:t>
      </w:r>
      <w:r w:rsidR="00A0007E" w:rsidRPr="00C94C33">
        <w:rPr>
          <w:rFonts w:eastAsia="Times New Roman"/>
          <w:kern w:val="16"/>
          <w:szCs w:val="24"/>
          <w:lang w:eastAsia="en-AU"/>
        </w:rPr>
        <w:t>)</w:t>
      </w:r>
      <w:r w:rsidRPr="00C94C33">
        <w:rPr>
          <w:rFonts w:eastAsia="Times New Roman"/>
          <w:kern w:val="16"/>
          <w:szCs w:val="24"/>
          <w:lang w:eastAsia="en-AU"/>
        </w:rPr>
        <w:t>. Based on the ratio of the geometric mean estimates (TAS-102/FTD), the FTD AUC</w:t>
      </w:r>
      <w:r w:rsidRPr="00C94C33">
        <w:rPr>
          <w:rFonts w:eastAsia="Times New Roman"/>
          <w:kern w:val="16"/>
          <w:sz w:val="20"/>
          <w:szCs w:val="20"/>
          <w:lang w:eastAsia="en-AU"/>
        </w:rPr>
        <w:t>0-last</w:t>
      </w:r>
      <w:r w:rsidRPr="00C94C33">
        <w:rPr>
          <w:rFonts w:eastAsia="Times New Roman"/>
          <w:kern w:val="16"/>
          <w:szCs w:val="24"/>
          <w:lang w:eastAsia="en-AU"/>
        </w:rPr>
        <w:t xml:space="preserve"> was approximately 37-fold higher following TAS-102 than FTD alone, and the FTD C</w:t>
      </w:r>
      <w:r w:rsidRPr="00C94C33">
        <w:rPr>
          <w:rFonts w:eastAsia="Times New Roman"/>
          <w:kern w:val="16"/>
          <w:sz w:val="20"/>
          <w:szCs w:val="20"/>
          <w:lang w:eastAsia="en-AU"/>
        </w:rPr>
        <w:t>max</w:t>
      </w:r>
      <w:r w:rsidRPr="00C94C33">
        <w:rPr>
          <w:rFonts w:eastAsia="Times New Roman"/>
          <w:kern w:val="16"/>
          <w:szCs w:val="24"/>
          <w:lang w:eastAsia="en-AU"/>
        </w:rPr>
        <w:t xml:space="preserve"> was approximately 22-fold higher following TAS-102 than FTD alone. The sponsor comments that simple extrapolation based on the AUC values indicates that the dose of FTD alone that would be necessary to achieve the FTD AUC observed after administration of TAS-102 is 1295 mg/m</w:t>
      </w:r>
      <w:r w:rsidRPr="00C94C33">
        <w:rPr>
          <w:rFonts w:eastAsia="Times New Roman"/>
          <w:kern w:val="16"/>
          <w:szCs w:val="24"/>
          <w:vertAlign w:val="superscript"/>
          <w:lang w:eastAsia="en-AU"/>
        </w:rPr>
        <w:t>2</w:t>
      </w:r>
      <w:r w:rsidRPr="00C94C33">
        <w:rPr>
          <w:rFonts w:eastAsia="Times New Roman"/>
          <w:kern w:val="16"/>
          <w:szCs w:val="24"/>
          <w:lang w:eastAsia="en-AU"/>
        </w:rPr>
        <w:t xml:space="preserve"> (</w:t>
      </w:r>
      <w:r w:rsidR="00B2072D" w:rsidRPr="00C94C33">
        <w:rPr>
          <w:rFonts w:eastAsia="Times New Roman"/>
          <w:kern w:val="16"/>
          <w:szCs w:val="24"/>
          <w:lang w:eastAsia="en-AU"/>
        </w:rPr>
        <w:t>that is,</w:t>
      </w:r>
      <w:r w:rsidRPr="00C94C33">
        <w:rPr>
          <w:rFonts w:eastAsia="Times New Roman"/>
          <w:kern w:val="16"/>
          <w:szCs w:val="24"/>
          <w:lang w:eastAsia="en-AU"/>
        </w:rPr>
        <w:t xml:space="preserve"> 35 mg/m</w:t>
      </w:r>
      <w:r w:rsidRPr="00C94C33">
        <w:rPr>
          <w:rFonts w:eastAsia="Times New Roman"/>
          <w:kern w:val="16"/>
          <w:szCs w:val="24"/>
          <w:vertAlign w:val="superscript"/>
          <w:lang w:eastAsia="en-AU"/>
        </w:rPr>
        <w:t>2</w:t>
      </w:r>
      <w:r w:rsidRPr="00C94C33">
        <w:rPr>
          <w:rFonts w:eastAsia="Times New Roman"/>
          <w:kern w:val="16"/>
          <w:szCs w:val="24"/>
          <w:lang w:eastAsia="en-AU"/>
        </w:rPr>
        <w:t xml:space="preserve"> x 37). The sponsor reported that this oral dose of FTD is predicted to exceed the projected lethal dose for humans of 1194 mg/m</w:t>
      </w:r>
      <w:r w:rsidRPr="00C94C33">
        <w:rPr>
          <w:rFonts w:eastAsia="Times New Roman"/>
          <w:kern w:val="16"/>
          <w:szCs w:val="24"/>
          <w:vertAlign w:val="superscript"/>
          <w:lang w:eastAsia="en-AU"/>
        </w:rPr>
        <w:t>2</w:t>
      </w:r>
      <w:r w:rsidRPr="00C94C33">
        <w:rPr>
          <w:rFonts w:eastAsia="Times New Roman"/>
          <w:kern w:val="16"/>
          <w:szCs w:val="24"/>
          <w:lang w:eastAsia="en-AU"/>
        </w:rPr>
        <w:t>, based on primate toxicology studies. The equivalent dose in monkeys was reported to be associated with severe gastrointestinal and haematologic toxicities. The study supports the rationale for a fixed-dose combination product (FTD plus TPI) rather than FTD alone.</w:t>
      </w:r>
    </w:p>
    <w:p w14:paraId="65A06C54" w14:textId="77777777" w:rsidR="00AA7141" w:rsidRDefault="00DF61BC" w:rsidP="00772CE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szCs w:val="24"/>
          <w:lang w:eastAsia="en-AU"/>
        </w:rPr>
      </w:pPr>
      <w:r w:rsidRPr="00C94C33">
        <w:rPr>
          <w:rFonts w:eastAsia="Times New Roman"/>
          <w:kern w:val="16"/>
          <w:szCs w:val="24"/>
          <w:lang w:eastAsia="en-AU"/>
        </w:rPr>
        <w:t>The AUC</w:t>
      </w:r>
      <w:r w:rsidRPr="00C94C33">
        <w:rPr>
          <w:rFonts w:eastAsia="Times New Roman"/>
          <w:kern w:val="16"/>
          <w:sz w:val="20"/>
          <w:szCs w:val="20"/>
          <w:lang w:eastAsia="en-AU"/>
        </w:rPr>
        <w:t xml:space="preserve">0-10h </w:t>
      </w:r>
      <w:r w:rsidRPr="00C94C33">
        <w:rPr>
          <w:rFonts w:eastAsia="Times New Roman"/>
          <w:kern w:val="16"/>
          <w:szCs w:val="24"/>
          <w:lang w:eastAsia="en-AU"/>
        </w:rPr>
        <w:t>of FTD increased more than dose proportionally over the dose range 15 to 35 mg/</w:t>
      </w:r>
      <w:r w:rsidRPr="00C94C33">
        <w:rPr>
          <w:rFonts w:eastAsia="Times New Roman"/>
          <w:kern w:val="16"/>
          <w:szCs w:val="24"/>
          <w:vertAlign w:val="superscript"/>
          <w:lang w:eastAsia="en-AU"/>
        </w:rPr>
        <w:t>2</w:t>
      </w:r>
      <w:r w:rsidRPr="00C94C33">
        <w:rPr>
          <w:rFonts w:eastAsia="Times New Roman"/>
          <w:kern w:val="16"/>
          <w:szCs w:val="24"/>
          <w:lang w:eastAsia="en-AU"/>
        </w:rPr>
        <w:t xml:space="preserve"> BD, </w:t>
      </w:r>
      <w:r w:rsidRPr="00C94C33">
        <w:rPr>
          <w:rFonts w:eastAsia="Times New Roman"/>
          <w:kern w:val="16"/>
          <w:lang w:eastAsia="en-AU"/>
        </w:rPr>
        <w:t>while the AUC</w:t>
      </w:r>
      <w:r w:rsidRPr="00C94C33">
        <w:rPr>
          <w:rFonts w:eastAsia="Times New Roman"/>
          <w:kern w:val="16"/>
          <w:sz w:val="20"/>
          <w:szCs w:val="20"/>
          <w:lang w:eastAsia="en-AU"/>
        </w:rPr>
        <w:t xml:space="preserve">0-10h </w:t>
      </w:r>
      <w:r w:rsidRPr="00C94C33">
        <w:rPr>
          <w:rFonts w:eastAsia="Times New Roman"/>
          <w:kern w:val="16"/>
          <w:lang w:eastAsia="en-AU"/>
        </w:rPr>
        <w:t>of TPI increased dose proportionally over the same dose range</w:t>
      </w:r>
      <w:r w:rsidRPr="00C94C33">
        <w:rPr>
          <w:rFonts w:eastAsia="Times New Roman"/>
          <w:kern w:val="16"/>
          <w:szCs w:val="24"/>
          <w:lang w:eastAsia="en-AU"/>
        </w:rPr>
        <w:t xml:space="preserve"> </w:t>
      </w:r>
      <w:r w:rsidR="00A0007E" w:rsidRPr="00C94C33">
        <w:rPr>
          <w:rFonts w:eastAsia="Times New Roman"/>
          <w:kern w:val="16"/>
          <w:szCs w:val="24"/>
          <w:lang w:eastAsia="en-AU"/>
        </w:rPr>
        <w:t>(</w:t>
      </w:r>
      <w:r w:rsidR="00CC49DA" w:rsidRPr="00C94C33">
        <w:rPr>
          <w:rFonts w:eastAsia="Times New Roman"/>
          <w:kern w:val="16"/>
          <w:szCs w:val="24"/>
          <w:lang w:eastAsia="en-AU"/>
        </w:rPr>
        <w:t>Study </w:t>
      </w:r>
      <w:r w:rsidRPr="00C94C33">
        <w:rPr>
          <w:rFonts w:eastAsia="Times New Roman"/>
          <w:kern w:val="16"/>
          <w:szCs w:val="24"/>
          <w:lang w:eastAsia="en-AU"/>
        </w:rPr>
        <w:t>J001-10040010</w:t>
      </w:r>
      <w:r w:rsidR="00A0007E" w:rsidRPr="00C94C33">
        <w:rPr>
          <w:rFonts w:eastAsia="Times New Roman"/>
          <w:kern w:val="16"/>
          <w:szCs w:val="24"/>
          <w:lang w:eastAsia="en-AU"/>
        </w:rPr>
        <w:t>)</w:t>
      </w:r>
      <w:r w:rsidRPr="00C94C33">
        <w:rPr>
          <w:rFonts w:eastAsia="Times New Roman"/>
          <w:kern w:val="16"/>
          <w:szCs w:val="24"/>
          <w:lang w:eastAsia="en-AU"/>
        </w:rPr>
        <w:t>. Following multiple doses of TAS-102 (35 mg/m</w:t>
      </w:r>
      <w:r w:rsidRPr="00C94C33">
        <w:rPr>
          <w:rFonts w:eastAsia="Times New Roman"/>
          <w:kern w:val="16"/>
          <w:szCs w:val="24"/>
          <w:vertAlign w:val="superscript"/>
          <w:lang w:eastAsia="en-AU"/>
        </w:rPr>
        <w:t>2</w:t>
      </w:r>
      <w:r w:rsidRPr="00C94C33">
        <w:rPr>
          <w:rFonts w:eastAsia="Times New Roman"/>
          <w:kern w:val="16"/>
          <w:szCs w:val="24"/>
          <w:lang w:eastAsia="en-AU"/>
        </w:rPr>
        <w:t xml:space="preserve"> BD), the AUC</w:t>
      </w:r>
      <w:r w:rsidRPr="00C94C33">
        <w:rPr>
          <w:rFonts w:eastAsia="Times New Roman"/>
          <w:kern w:val="16"/>
          <w:sz w:val="20"/>
          <w:szCs w:val="20"/>
          <w:lang w:eastAsia="en-AU"/>
        </w:rPr>
        <w:t>0-last</w:t>
      </w:r>
      <w:r w:rsidRPr="00C94C33">
        <w:rPr>
          <w:rFonts w:eastAsia="Times New Roman"/>
          <w:kern w:val="16"/>
          <w:szCs w:val="24"/>
          <w:lang w:eastAsia="en-AU"/>
        </w:rPr>
        <w:t xml:space="preserve"> of FTD accumulated approximately 3-fold on Day 12 compared to Day 1 and the C</w:t>
      </w:r>
      <w:r w:rsidRPr="00C94C33">
        <w:rPr>
          <w:rFonts w:eastAsia="Times New Roman"/>
          <w:kern w:val="16"/>
          <w:sz w:val="20"/>
          <w:szCs w:val="20"/>
          <w:lang w:eastAsia="en-AU"/>
        </w:rPr>
        <w:t>max</w:t>
      </w:r>
      <w:r w:rsidRPr="00C94C33">
        <w:rPr>
          <w:rFonts w:eastAsia="Times New Roman"/>
          <w:kern w:val="16"/>
          <w:szCs w:val="24"/>
          <w:lang w:eastAsia="en-AU"/>
        </w:rPr>
        <w:t xml:space="preserve"> accumulated approximately 2-fold </w:t>
      </w:r>
      <w:r w:rsidR="00A0007E" w:rsidRPr="00C94C33">
        <w:rPr>
          <w:rFonts w:eastAsia="Times New Roman"/>
          <w:kern w:val="16"/>
          <w:szCs w:val="24"/>
          <w:lang w:eastAsia="en-AU"/>
        </w:rPr>
        <w:t>(</w:t>
      </w:r>
      <w:r w:rsidR="00CC49DA" w:rsidRPr="00C94C33">
        <w:rPr>
          <w:rFonts w:eastAsia="Times New Roman"/>
          <w:kern w:val="16"/>
          <w:szCs w:val="24"/>
          <w:lang w:eastAsia="en-AU"/>
        </w:rPr>
        <w:t xml:space="preserve">Study </w:t>
      </w:r>
      <w:r w:rsidRPr="00C94C33">
        <w:rPr>
          <w:rFonts w:eastAsia="Times New Roman"/>
          <w:kern w:val="16"/>
          <w:szCs w:val="24"/>
          <w:lang w:eastAsia="en-AU"/>
        </w:rPr>
        <w:t>TPU-TAS-102-102</w:t>
      </w:r>
      <w:r w:rsidR="00A0007E" w:rsidRPr="00C94C33">
        <w:rPr>
          <w:rFonts w:eastAsia="Times New Roman"/>
          <w:kern w:val="16"/>
          <w:szCs w:val="24"/>
          <w:lang w:eastAsia="en-AU"/>
        </w:rPr>
        <w:t>)</w:t>
      </w:r>
      <w:r w:rsidRPr="00C94C33">
        <w:rPr>
          <w:rFonts w:eastAsia="Times New Roman"/>
          <w:kern w:val="16"/>
          <w:szCs w:val="24"/>
          <w:lang w:eastAsia="en-AU"/>
        </w:rPr>
        <w:t>. However, there was no further accumulation of FTD in subsequent cycles. There was no accumulation of TPI following multiple doses of TAS-102. The mechanism for accumulation of FTD following multiple daily dosing has not been identified.</w:t>
      </w:r>
    </w:p>
    <w:p w14:paraId="0B32524F" w14:textId="58919F7D" w:rsidR="00DF61BC" w:rsidRPr="00C94C33" w:rsidRDefault="00DF61BC" w:rsidP="00772CE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szCs w:val="24"/>
          <w:lang w:eastAsia="en-AU"/>
        </w:rPr>
      </w:pPr>
      <w:r w:rsidRPr="00C94C33">
        <w:rPr>
          <w:rFonts w:eastAsia="Times New Roman"/>
          <w:kern w:val="16"/>
          <w:szCs w:val="24"/>
          <w:lang w:eastAsia="en-AU"/>
        </w:rPr>
        <w:t xml:space="preserve">Both the inter-subject and intra-subject variability in the PK of TAS-102 were investigated in </w:t>
      </w:r>
      <w:r w:rsidR="00CC49DA" w:rsidRPr="00C94C33">
        <w:rPr>
          <w:rFonts w:eastAsia="Times New Roman"/>
          <w:kern w:val="16"/>
          <w:szCs w:val="24"/>
          <w:lang w:eastAsia="en-AU"/>
        </w:rPr>
        <w:t>Study </w:t>
      </w:r>
      <w:r w:rsidRPr="00C94C33">
        <w:rPr>
          <w:rFonts w:eastAsia="Times New Roman"/>
          <w:kern w:val="16"/>
          <w:szCs w:val="24"/>
          <w:lang w:eastAsia="en-AU"/>
        </w:rPr>
        <w:t>TPU-TAS-102-104. The inter-subject variability of both FTD and TPI was high, with CV% values for AUC</w:t>
      </w:r>
      <w:r w:rsidRPr="00C94C33">
        <w:rPr>
          <w:rFonts w:eastAsia="Times New Roman"/>
          <w:kern w:val="16"/>
          <w:sz w:val="20"/>
          <w:szCs w:val="20"/>
          <w:lang w:eastAsia="en-AU"/>
        </w:rPr>
        <w:t>0-las</w:t>
      </w:r>
      <w:r w:rsidRPr="00C94C33">
        <w:rPr>
          <w:rFonts w:eastAsia="Times New Roman"/>
          <w:kern w:val="16"/>
          <w:szCs w:val="24"/>
          <w:lang w:eastAsia="en-AU"/>
        </w:rPr>
        <w:t>t and C</w:t>
      </w:r>
      <w:r w:rsidRPr="00C94C33">
        <w:rPr>
          <w:rFonts w:eastAsia="Times New Roman"/>
          <w:kern w:val="16"/>
          <w:sz w:val="20"/>
          <w:szCs w:val="20"/>
          <w:lang w:eastAsia="en-AU"/>
        </w:rPr>
        <w:t>max</w:t>
      </w:r>
      <w:r w:rsidRPr="00C94C33">
        <w:rPr>
          <w:rFonts w:eastAsia="Times New Roman"/>
          <w:kern w:val="16"/>
          <w:szCs w:val="24"/>
          <w:lang w:eastAsia="en-AU"/>
        </w:rPr>
        <w:t xml:space="preserve"> being 60.9% and 64.3%, respectively, for FTD and 54.3% and 58.6%, respectively, for TPI. The intra-subject variability of both FTD and TPI was moderate to low, with </w:t>
      </w:r>
      <w:r w:rsidRPr="00C94C33">
        <w:rPr>
          <w:rFonts w:eastAsia="Times New Roman"/>
          <w:kern w:val="16"/>
          <w:szCs w:val="24"/>
          <w:lang w:eastAsia="en-AU"/>
        </w:rPr>
        <w:lastRenderedPageBreak/>
        <w:t>CV% values for AUC</w:t>
      </w:r>
      <w:r w:rsidRPr="00C94C33">
        <w:rPr>
          <w:rFonts w:eastAsia="Times New Roman"/>
          <w:kern w:val="16"/>
          <w:sz w:val="20"/>
          <w:szCs w:val="20"/>
          <w:lang w:eastAsia="en-AU"/>
        </w:rPr>
        <w:t xml:space="preserve">0-last </w:t>
      </w:r>
      <w:r w:rsidRPr="00C94C33">
        <w:rPr>
          <w:rFonts w:eastAsia="Times New Roman"/>
          <w:kern w:val="16"/>
          <w:szCs w:val="24"/>
          <w:lang w:eastAsia="en-AU"/>
        </w:rPr>
        <w:t>and C</w:t>
      </w:r>
      <w:r w:rsidRPr="00C94C33">
        <w:rPr>
          <w:rFonts w:eastAsia="Times New Roman"/>
          <w:kern w:val="16"/>
          <w:sz w:val="20"/>
          <w:szCs w:val="20"/>
          <w:lang w:eastAsia="en-AU"/>
        </w:rPr>
        <w:t>max</w:t>
      </w:r>
      <w:r w:rsidRPr="00C94C33">
        <w:rPr>
          <w:rFonts w:eastAsia="Times New Roman"/>
          <w:kern w:val="16"/>
          <w:szCs w:val="24"/>
          <w:lang w:eastAsia="en-AU"/>
        </w:rPr>
        <w:t xml:space="preserve"> being 16.4% and 25.4%, respectively for FTD, and 28.9% and 36.0%, respectively, for TPI.</w:t>
      </w:r>
    </w:p>
    <w:p w14:paraId="248C5E98" w14:textId="31A977AE" w:rsidR="00DF61BC" w:rsidRPr="00C94C33" w:rsidRDefault="00DF61BC" w:rsidP="00772CE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szCs w:val="24"/>
          <w:lang w:eastAsia="en-AU"/>
        </w:rPr>
      </w:pPr>
      <w:r w:rsidRPr="00C94C33">
        <w:rPr>
          <w:rFonts w:eastAsia="Times New Roman"/>
          <w:kern w:val="16"/>
          <w:szCs w:val="24"/>
          <w:lang w:eastAsia="en-AU"/>
        </w:rPr>
        <w:t>In study TPU-TAS-102-102, the apparent volume of distribution was 21 L for FTD and 333 L for TPI following a single-dose of TAS-102 (35 mg/m</w:t>
      </w:r>
      <w:r w:rsidRPr="00C94C33">
        <w:rPr>
          <w:rFonts w:eastAsia="Times New Roman"/>
          <w:kern w:val="16"/>
          <w:szCs w:val="24"/>
          <w:vertAlign w:val="superscript"/>
          <w:lang w:eastAsia="en-AU"/>
        </w:rPr>
        <w:t>2</w:t>
      </w:r>
      <w:r w:rsidRPr="00C94C33">
        <w:rPr>
          <w:rFonts w:eastAsia="Times New Roman"/>
          <w:kern w:val="16"/>
          <w:szCs w:val="24"/>
          <w:lang w:eastAsia="en-AU"/>
        </w:rPr>
        <w:t xml:space="preserve">). The population PK study estimated that the apparent volume of distribution (Vd/F) was 10 L (CV=25%) for FTD and 192 L (CV=63%) for TPI following multiple dosing with TAS-102 </w:t>
      </w:r>
      <w:r w:rsidR="00A0007E" w:rsidRPr="00C94C33">
        <w:rPr>
          <w:rFonts w:eastAsia="Times New Roman"/>
          <w:kern w:val="16"/>
          <w:szCs w:val="24"/>
          <w:lang w:eastAsia="en-AU"/>
        </w:rPr>
        <w:t>(</w:t>
      </w:r>
      <w:r w:rsidR="00CC49DA" w:rsidRPr="00C94C33">
        <w:rPr>
          <w:rFonts w:eastAsia="Times New Roman"/>
          <w:kern w:val="16"/>
          <w:szCs w:val="24"/>
          <w:lang w:eastAsia="en-AU"/>
        </w:rPr>
        <w:t xml:space="preserve">Study </w:t>
      </w:r>
      <w:r w:rsidRPr="00C94C33">
        <w:rPr>
          <w:rFonts w:eastAsia="Times New Roman"/>
          <w:kern w:val="16"/>
          <w:szCs w:val="24"/>
          <w:lang w:eastAsia="en-AU"/>
        </w:rPr>
        <w:t>12DA25</w:t>
      </w:r>
      <w:r w:rsidR="00A0007E" w:rsidRPr="00C94C33">
        <w:rPr>
          <w:rFonts w:eastAsia="Times New Roman"/>
          <w:kern w:val="16"/>
          <w:szCs w:val="24"/>
          <w:lang w:eastAsia="en-AU"/>
        </w:rPr>
        <w:t>)</w:t>
      </w:r>
      <w:r w:rsidRPr="00C94C33">
        <w:rPr>
          <w:rFonts w:eastAsia="Times New Roman"/>
          <w:kern w:val="16"/>
          <w:szCs w:val="24"/>
          <w:lang w:eastAsia="en-AU"/>
        </w:rPr>
        <w:t xml:space="preserve">. In the PPK model, body surface area (BSA) was identified as a significant covariate of Vd/F for both FTD and TPI. No other tested covariates in the population PK model had a clinically meaningful effect on the Vd/F of FTD or TPI. Protein binding of FTD </w:t>
      </w:r>
      <w:r w:rsidRPr="005C2FCA">
        <w:rPr>
          <w:rFonts w:eastAsia="Times New Roman"/>
          <w:kern w:val="16"/>
          <w:szCs w:val="24"/>
          <w:lang w:eastAsia="en-AU"/>
        </w:rPr>
        <w:t>in vitro</w:t>
      </w:r>
      <w:r w:rsidRPr="007709B8">
        <w:rPr>
          <w:rFonts w:eastAsia="Times New Roman"/>
          <w:kern w:val="16"/>
          <w:szCs w:val="24"/>
          <w:lang w:eastAsia="en-AU"/>
        </w:rPr>
        <w:t xml:space="preserve"> was greater than 96% and was independent of concentration, while protein binding of TPI did not exceed 8% in the presence or absence of FTD </w:t>
      </w:r>
      <w:r w:rsidR="00A0007E" w:rsidRPr="00C94C33">
        <w:rPr>
          <w:rFonts w:eastAsia="Times New Roman"/>
          <w:kern w:val="16"/>
          <w:szCs w:val="24"/>
          <w:lang w:eastAsia="en-AU"/>
        </w:rPr>
        <w:t>(</w:t>
      </w:r>
      <w:r w:rsidR="00CC49DA" w:rsidRPr="00C94C33">
        <w:rPr>
          <w:rFonts w:eastAsia="Times New Roman"/>
          <w:kern w:val="16"/>
          <w:szCs w:val="24"/>
          <w:lang w:eastAsia="en-AU"/>
        </w:rPr>
        <w:t xml:space="preserve">Study </w:t>
      </w:r>
      <w:r w:rsidRPr="00C94C33">
        <w:rPr>
          <w:rFonts w:eastAsia="Times New Roman"/>
          <w:kern w:val="16"/>
          <w:szCs w:val="24"/>
          <w:lang w:eastAsia="en-AU"/>
        </w:rPr>
        <w:t>AE-2350-25</w:t>
      </w:r>
      <w:r w:rsidR="00A0007E" w:rsidRPr="00C94C33">
        <w:rPr>
          <w:rFonts w:eastAsia="Times New Roman"/>
          <w:kern w:val="16"/>
          <w:szCs w:val="24"/>
          <w:lang w:eastAsia="en-AU"/>
        </w:rPr>
        <w:t>)</w:t>
      </w:r>
      <w:r w:rsidRPr="00C94C33">
        <w:rPr>
          <w:rFonts w:eastAsia="Times New Roman"/>
          <w:kern w:val="16"/>
          <w:szCs w:val="24"/>
          <w:lang w:eastAsia="en-AU"/>
        </w:rPr>
        <w:t xml:space="preserve">. FTD binds mainly to human serum albumin. Plasma protein binding of FTY (main metabolite of FTD) was approximately 70% </w:t>
      </w:r>
      <w:r w:rsidR="00A0007E" w:rsidRPr="00C94C33">
        <w:rPr>
          <w:rFonts w:eastAsia="Times New Roman"/>
          <w:kern w:val="16"/>
          <w:szCs w:val="24"/>
          <w:lang w:eastAsia="en-AU"/>
        </w:rPr>
        <w:t>(</w:t>
      </w:r>
      <w:r w:rsidR="00CC49DA" w:rsidRPr="00C94C33">
        <w:rPr>
          <w:rFonts w:eastAsia="Times New Roman"/>
          <w:kern w:val="16"/>
          <w:szCs w:val="24"/>
          <w:lang w:eastAsia="en-AU"/>
        </w:rPr>
        <w:t xml:space="preserve">Study </w:t>
      </w:r>
      <w:r w:rsidRPr="00C94C33">
        <w:rPr>
          <w:rFonts w:eastAsia="Times New Roman"/>
          <w:kern w:val="16"/>
          <w:szCs w:val="24"/>
          <w:lang w:eastAsia="en-AU"/>
        </w:rPr>
        <w:t>15DB01</w:t>
      </w:r>
      <w:r w:rsidR="00A0007E" w:rsidRPr="00C94C33">
        <w:rPr>
          <w:rFonts w:eastAsia="Times New Roman"/>
          <w:kern w:val="16"/>
          <w:szCs w:val="24"/>
          <w:lang w:eastAsia="en-AU"/>
        </w:rPr>
        <w:t>)</w:t>
      </w:r>
      <w:r w:rsidRPr="00C94C33">
        <w:rPr>
          <w:rFonts w:eastAsia="Times New Roman"/>
          <w:kern w:val="16"/>
          <w:szCs w:val="24"/>
          <w:lang w:eastAsia="en-AU"/>
        </w:rPr>
        <w:t>. The human blood/plasma concentration ratios of both FTD and TPI were approximately 0.6, and were independent of concentration. The results for the human blood/plasma concentration ratios indicate that both FTD and TPI are distributed mainly to the plasma fraction.</w:t>
      </w:r>
    </w:p>
    <w:p w14:paraId="0B57F1D3" w14:textId="77777777" w:rsidR="00AA7141" w:rsidRDefault="00DF61BC" w:rsidP="00772CE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szCs w:val="24"/>
          <w:lang w:eastAsia="en-AU"/>
        </w:rPr>
      </w:pPr>
      <w:r w:rsidRPr="005C2FCA">
        <w:rPr>
          <w:rFonts w:eastAsia="Times New Roman"/>
          <w:kern w:val="16"/>
          <w:szCs w:val="24"/>
          <w:lang w:eastAsia="en-AU"/>
        </w:rPr>
        <w:t>In vitro</w:t>
      </w:r>
      <w:r w:rsidRPr="007709B8">
        <w:rPr>
          <w:rFonts w:eastAsia="Times New Roman"/>
          <w:kern w:val="16"/>
          <w:szCs w:val="24"/>
          <w:lang w:eastAsia="en-AU"/>
        </w:rPr>
        <w:t xml:space="preserve"> human biomaterial studies showed that FTD and TPI are not metabolised by CYP enzymes. The </w:t>
      </w:r>
      <w:r w:rsidRPr="005C2FCA">
        <w:rPr>
          <w:rFonts w:eastAsia="Times New Roman"/>
          <w:kern w:val="16"/>
          <w:szCs w:val="24"/>
          <w:lang w:eastAsia="en-AU"/>
        </w:rPr>
        <w:t>in vitro</w:t>
      </w:r>
      <w:r w:rsidRPr="007709B8">
        <w:rPr>
          <w:rFonts w:eastAsia="Times New Roman"/>
          <w:kern w:val="16"/>
          <w:szCs w:val="24"/>
          <w:lang w:eastAsia="en-AU"/>
        </w:rPr>
        <w:t xml:space="preserve"> studies demonstrated that FTD is metabolised primarily to F</w:t>
      </w:r>
      <w:r w:rsidRPr="00C94C33">
        <w:rPr>
          <w:rFonts w:eastAsia="Times New Roman"/>
          <w:kern w:val="16"/>
          <w:szCs w:val="24"/>
          <w:lang w:eastAsia="en-AU"/>
        </w:rPr>
        <w:t xml:space="preserve">TY by thymidine phosphorylase (TPase), and that TPI is metabolised primarily to 6-hydroxymethyl uracil (6-HMU). The primary method of elimination of FTD is by metabolism to FTY in the intestinal tract and/or liver, while the primary method of elimination of TPI is by urinary excretion of unchanged TPI. In the mass balance study </w:t>
      </w:r>
      <w:r w:rsidR="00A0007E" w:rsidRPr="00C94C33">
        <w:rPr>
          <w:rFonts w:eastAsia="Times New Roman"/>
          <w:kern w:val="16"/>
          <w:szCs w:val="24"/>
          <w:lang w:eastAsia="en-AU"/>
        </w:rPr>
        <w:t>(</w:t>
      </w:r>
      <w:r w:rsidR="00CC49DA" w:rsidRPr="00C94C33">
        <w:rPr>
          <w:rFonts w:eastAsia="Times New Roman"/>
          <w:kern w:val="16"/>
          <w:szCs w:val="24"/>
          <w:lang w:eastAsia="en-AU"/>
        </w:rPr>
        <w:t xml:space="preserve">Study </w:t>
      </w:r>
      <w:r w:rsidRPr="00C94C33">
        <w:rPr>
          <w:rFonts w:eastAsia="Times New Roman"/>
          <w:kern w:val="16"/>
          <w:szCs w:val="24"/>
          <w:lang w:eastAsia="en-AU"/>
        </w:rPr>
        <w:t>TPU-TAS-102-108</w:t>
      </w:r>
      <w:r w:rsidR="00A0007E" w:rsidRPr="00C94C33">
        <w:rPr>
          <w:rFonts w:eastAsia="Times New Roman"/>
          <w:kern w:val="16"/>
          <w:szCs w:val="24"/>
          <w:lang w:eastAsia="en-AU"/>
        </w:rPr>
        <w:t>)</w:t>
      </w:r>
      <w:r w:rsidRPr="00C94C33">
        <w:rPr>
          <w:rFonts w:eastAsia="Times New Roman"/>
          <w:kern w:val="16"/>
          <w:szCs w:val="24"/>
          <w:lang w:eastAsia="en-AU"/>
        </w:rPr>
        <w:t xml:space="preserve">, the absorbed FTD was metabolised and then excreted in the urine as FTY and FTD glucuronide isomers. In the mass balance study </w:t>
      </w:r>
      <w:r w:rsidR="00A0007E" w:rsidRPr="00C94C33">
        <w:rPr>
          <w:rFonts w:eastAsia="Times New Roman"/>
          <w:kern w:val="16"/>
          <w:szCs w:val="24"/>
          <w:lang w:eastAsia="en-AU"/>
        </w:rPr>
        <w:t>(</w:t>
      </w:r>
      <w:r w:rsidR="00CC49DA" w:rsidRPr="00C94C33">
        <w:rPr>
          <w:rFonts w:eastAsia="Times New Roman"/>
          <w:kern w:val="16"/>
          <w:szCs w:val="24"/>
          <w:lang w:eastAsia="en-AU"/>
        </w:rPr>
        <w:t xml:space="preserve">Study </w:t>
      </w:r>
      <w:r w:rsidRPr="00C94C33">
        <w:rPr>
          <w:rFonts w:eastAsia="Times New Roman"/>
          <w:kern w:val="16"/>
          <w:szCs w:val="24"/>
          <w:lang w:eastAsia="en-AU"/>
        </w:rPr>
        <w:t>TPU-TAS-102-108</w:t>
      </w:r>
      <w:r w:rsidR="00A0007E" w:rsidRPr="00C94C33">
        <w:rPr>
          <w:rFonts w:eastAsia="Times New Roman"/>
          <w:kern w:val="16"/>
          <w:szCs w:val="24"/>
          <w:lang w:eastAsia="en-AU"/>
        </w:rPr>
        <w:t>)</w:t>
      </w:r>
      <w:r w:rsidRPr="00C94C33">
        <w:rPr>
          <w:rFonts w:eastAsia="Times New Roman"/>
          <w:kern w:val="16"/>
          <w:szCs w:val="24"/>
          <w:lang w:eastAsia="en-AU"/>
        </w:rPr>
        <w:t>, the absorbed TPI was excreted largely unchanged in the urine along with its major metabolite 6-HMU. The sponsor reports that the metabolites of FTD and TPI are pharmacologically inactive.</w:t>
      </w:r>
    </w:p>
    <w:p w14:paraId="341F91D7" w14:textId="77777777" w:rsidR="00AA7141" w:rsidRDefault="00DF61BC" w:rsidP="00772CE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szCs w:val="24"/>
          <w:lang w:eastAsia="en-AU"/>
        </w:rPr>
      </w:pPr>
      <w:r w:rsidRPr="00C94C33">
        <w:rPr>
          <w:rFonts w:eastAsia="Times New Roman"/>
          <w:kern w:val="16"/>
          <w:szCs w:val="24"/>
          <w:lang w:eastAsia="en-AU"/>
        </w:rPr>
        <w:t>In study TPU-TAS-102-102, following single-dose and multiple-dose administration of TAS-102 (35 mg/m</w:t>
      </w:r>
      <w:r w:rsidRPr="00C94C33">
        <w:rPr>
          <w:rFonts w:eastAsia="Times New Roman"/>
          <w:kern w:val="16"/>
          <w:szCs w:val="24"/>
          <w:vertAlign w:val="superscript"/>
          <w:lang w:eastAsia="en-AU"/>
        </w:rPr>
        <w:t>2</w:t>
      </w:r>
      <w:r w:rsidRPr="00C94C33">
        <w:rPr>
          <w:rFonts w:eastAsia="Times New Roman"/>
          <w:kern w:val="16"/>
          <w:szCs w:val="24"/>
          <w:lang w:eastAsia="en-AU"/>
        </w:rPr>
        <w:t xml:space="preserve">), the mean terminal half-lives on Day 1, Cycle 1 and Day 1, Cycle 12 were 1.4 and 2.1 hours, respectively, for FTD, and 2.1 and 2.4 hours, respectively, for TPI </w:t>
      </w:r>
      <w:r w:rsidR="00A0007E" w:rsidRPr="00C94C33">
        <w:rPr>
          <w:rFonts w:eastAsia="Times New Roman"/>
          <w:kern w:val="16"/>
          <w:szCs w:val="24"/>
          <w:lang w:eastAsia="en-AU"/>
        </w:rPr>
        <w:t>(</w:t>
      </w:r>
      <w:r w:rsidR="00CC49DA" w:rsidRPr="00C94C33">
        <w:rPr>
          <w:rFonts w:eastAsia="Times New Roman"/>
          <w:kern w:val="16"/>
          <w:szCs w:val="24"/>
          <w:lang w:eastAsia="en-AU"/>
        </w:rPr>
        <w:t xml:space="preserve">Study </w:t>
      </w:r>
      <w:r w:rsidRPr="00C94C33">
        <w:rPr>
          <w:rFonts w:eastAsia="Times New Roman"/>
          <w:kern w:val="16"/>
          <w:szCs w:val="24"/>
          <w:lang w:eastAsia="en-AU"/>
        </w:rPr>
        <w:t>TPU-TAS-102-102</w:t>
      </w:r>
      <w:r w:rsidR="00A0007E" w:rsidRPr="00C94C33">
        <w:rPr>
          <w:rFonts w:eastAsia="Times New Roman"/>
          <w:kern w:val="16"/>
          <w:szCs w:val="24"/>
          <w:lang w:eastAsia="en-AU"/>
        </w:rPr>
        <w:t>)</w:t>
      </w:r>
      <w:r w:rsidRPr="00C94C33">
        <w:rPr>
          <w:rFonts w:eastAsia="Times New Roman"/>
          <w:kern w:val="16"/>
          <w:szCs w:val="24"/>
          <w:lang w:eastAsia="en-AU"/>
        </w:rPr>
        <w:t xml:space="preserve">. In this study, the apparent oral clearance (CL/F) values were 10.5 L/h for FTD and 109.3 L/h for TPI. In the population PK study </w:t>
      </w:r>
      <w:r w:rsidR="00A0007E" w:rsidRPr="00C94C33">
        <w:rPr>
          <w:rFonts w:eastAsia="Times New Roman"/>
          <w:kern w:val="16"/>
          <w:szCs w:val="24"/>
          <w:lang w:eastAsia="en-AU"/>
        </w:rPr>
        <w:t>(</w:t>
      </w:r>
      <w:r w:rsidR="00CC49DA" w:rsidRPr="00C94C33">
        <w:rPr>
          <w:rFonts w:eastAsia="Times New Roman"/>
          <w:kern w:val="16"/>
          <w:szCs w:val="24"/>
          <w:lang w:eastAsia="en-AU"/>
        </w:rPr>
        <w:t xml:space="preserve">Study </w:t>
      </w:r>
      <w:r w:rsidRPr="00C94C33">
        <w:rPr>
          <w:rFonts w:eastAsia="Times New Roman"/>
          <w:kern w:val="16"/>
          <w:szCs w:val="24"/>
          <w:lang w:eastAsia="en-AU"/>
        </w:rPr>
        <w:t>12DA25</w:t>
      </w:r>
      <w:r w:rsidR="00A0007E" w:rsidRPr="00C94C33">
        <w:rPr>
          <w:rFonts w:eastAsia="Times New Roman"/>
          <w:kern w:val="16"/>
          <w:szCs w:val="24"/>
          <w:lang w:eastAsia="en-AU"/>
        </w:rPr>
        <w:t>)</w:t>
      </w:r>
      <w:r w:rsidRPr="00C94C33">
        <w:rPr>
          <w:rFonts w:eastAsia="Times New Roman"/>
          <w:kern w:val="16"/>
          <w:szCs w:val="24"/>
          <w:lang w:eastAsia="en-AU"/>
        </w:rPr>
        <w:t>, the CL/F values were 2.93 L/h (CV=32.2%) for FTD and 88.7 L/h (CV=44.3%) for TPI. In the population PK analysis, baseline creatinine clearance (CLCR) was identified as a significant covariate for CL/F of both FTD and TPI, while baseline serum albumin (ALB) was identified as a significant covariate for CL/F of FTD (negative correlation possibly due to high protein binding of FTD).</w:t>
      </w:r>
    </w:p>
    <w:p w14:paraId="1328CFE5" w14:textId="77777777" w:rsidR="00AA7141" w:rsidRDefault="00DF61BC" w:rsidP="00772CE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szCs w:val="24"/>
          <w:lang w:eastAsia="en-AU"/>
        </w:rPr>
      </w:pPr>
      <w:r w:rsidRPr="00C94C33">
        <w:rPr>
          <w:rFonts w:eastAsia="Times New Roman"/>
          <w:kern w:val="16"/>
          <w:szCs w:val="24"/>
          <w:lang w:eastAsia="en-AU"/>
        </w:rPr>
        <w:t>In study TPU-TAS-102-104, urinary excretion was 1.5% for unchanged FTD, 19.2% for FTY (main metabolite of FTD), and negligible for other metabolites of FTD, while urinary excretion of unchanged TPI was 29.3%. The renal clearance (CLr) was 2.29 mL/min for FTD, 40.85 mL/min for FTY (main metabolite of FTD) and 292.67 mL/min for TPI. The CLr for TPI (approximately 293 mL/min) was approximately 3-fold greater than the CLcr for TPI (approximately 105 ml/min), indicating that TPI undergoes renal tubular secretion.</w:t>
      </w:r>
    </w:p>
    <w:p w14:paraId="11D8D67F" w14:textId="77777777" w:rsidR="00AA7141" w:rsidRDefault="00DF61BC" w:rsidP="00772CE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NewRoman"/>
          <w:kern w:val="16"/>
          <w:szCs w:val="24"/>
          <w:lang w:eastAsia="en-AU"/>
        </w:rPr>
      </w:pPr>
      <w:r w:rsidRPr="00C94C33">
        <w:rPr>
          <w:rFonts w:eastAsia="Times New Roman"/>
          <w:kern w:val="16"/>
          <w:szCs w:val="24"/>
          <w:lang w:eastAsia="en-AU"/>
        </w:rPr>
        <w:t xml:space="preserve">In the mass balance study </w:t>
      </w:r>
      <w:r w:rsidR="00A0007E" w:rsidRPr="00C94C33">
        <w:rPr>
          <w:rFonts w:eastAsia="Times New Roman"/>
          <w:kern w:val="16"/>
          <w:szCs w:val="24"/>
          <w:lang w:eastAsia="en-AU"/>
        </w:rPr>
        <w:t>(</w:t>
      </w:r>
      <w:r w:rsidR="00CC49DA" w:rsidRPr="00C94C33">
        <w:rPr>
          <w:rFonts w:eastAsia="Times New Roman"/>
          <w:kern w:val="16"/>
          <w:szCs w:val="24"/>
          <w:lang w:eastAsia="en-AU"/>
        </w:rPr>
        <w:t xml:space="preserve">Study </w:t>
      </w:r>
      <w:r w:rsidRPr="00C94C33">
        <w:rPr>
          <w:rFonts w:eastAsia="Times New Roman"/>
          <w:kern w:val="16"/>
          <w:szCs w:val="24"/>
          <w:lang w:eastAsia="en-AU"/>
        </w:rPr>
        <w:t>TPU-TAS-102-108</w:t>
      </w:r>
      <w:r w:rsidR="00A0007E" w:rsidRPr="00C94C33">
        <w:rPr>
          <w:rFonts w:eastAsia="Times New Roman"/>
          <w:kern w:val="16"/>
          <w:szCs w:val="24"/>
          <w:lang w:eastAsia="en-AU"/>
        </w:rPr>
        <w:t>)</w:t>
      </w:r>
      <w:r w:rsidRPr="00C94C33">
        <w:rPr>
          <w:rFonts w:eastAsia="Times New Roman"/>
          <w:kern w:val="16"/>
          <w:szCs w:val="24"/>
          <w:lang w:eastAsia="en-AU"/>
        </w:rPr>
        <w:t xml:space="preserve">, </w:t>
      </w:r>
      <w:r w:rsidRPr="00C94C33">
        <w:rPr>
          <w:rFonts w:eastAsia="TimesNewRoman"/>
          <w:kern w:val="16"/>
          <w:szCs w:val="24"/>
          <w:lang w:eastAsia="en-AU"/>
        </w:rPr>
        <w:t xml:space="preserve">the total cumulative elimination of TRA derived from </w:t>
      </w:r>
      <w:r w:rsidR="00394543" w:rsidRPr="00C94C33">
        <w:rPr>
          <w:rFonts w:eastAsia="TimesNewRoman"/>
          <w:kern w:val="16"/>
          <w:szCs w:val="24"/>
          <w:lang w:eastAsia="en-AU"/>
        </w:rPr>
        <w:t>[14C]</w:t>
      </w:r>
      <w:r w:rsidRPr="00C94C33">
        <w:rPr>
          <w:rFonts w:eastAsia="TimesNewRoman"/>
          <w:kern w:val="16"/>
          <w:szCs w:val="24"/>
          <w:lang w:eastAsia="en-AU"/>
        </w:rPr>
        <w:t>-FTD was approximately 60% of the administered dose. The majority of recovered TRA was eliminated into urine within 24 hours after oral administration (approximately 55%), and excretion into f</w:t>
      </w:r>
      <w:r w:rsidR="00CC49DA" w:rsidRPr="00C94C33">
        <w:rPr>
          <w:rFonts w:eastAsia="TimesNewRoman"/>
          <w:kern w:val="16"/>
          <w:szCs w:val="24"/>
          <w:lang w:eastAsia="en-AU"/>
        </w:rPr>
        <w:t>a</w:t>
      </w:r>
      <w:r w:rsidRPr="00C94C33">
        <w:rPr>
          <w:rFonts w:eastAsia="TimesNewRoman"/>
          <w:kern w:val="16"/>
          <w:szCs w:val="24"/>
          <w:lang w:eastAsia="en-AU"/>
        </w:rPr>
        <w:t>eces and expired CO</w:t>
      </w:r>
      <w:r w:rsidRPr="00C94C33">
        <w:rPr>
          <w:rFonts w:eastAsia="TimesNewRoman"/>
          <w:kern w:val="16"/>
          <w:szCs w:val="24"/>
          <w:vertAlign w:val="subscript"/>
          <w:lang w:eastAsia="en-AU"/>
        </w:rPr>
        <w:t>2</w:t>
      </w:r>
      <w:r w:rsidRPr="00C94C33">
        <w:rPr>
          <w:rFonts w:eastAsia="TimesNewRoman"/>
          <w:kern w:val="16"/>
          <w:szCs w:val="24"/>
          <w:lang w:eastAsia="en-AU"/>
        </w:rPr>
        <w:t xml:space="preserve"> was approximately 2.6% and 2.4%, respectively. Approximately 90% of plasma TRA was bound to plasma protein, and extractable TRA (6.67%) consisted of 52.7% FTD and 33.2% of FTY. The PK data showed that FTD and FTY accounted for approximately 12% of the total AUC of TRA in plasma. In urine, excreted TRA consisted of 45.9% FTY, 2.41% FTD, and 33.3% FTD glucuronide isomers. In f</w:t>
      </w:r>
      <w:r w:rsidR="00CC49DA" w:rsidRPr="00C94C33">
        <w:rPr>
          <w:rFonts w:eastAsia="TimesNewRoman"/>
          <w:kern w:val="16"/>
          <w:szCs w:val="24"/>
          <w:lang w:eastAsia="en-AU"/>
        </w:rPr>
        <w:t>a</w:t>
      </w:r>
      <w:r w:rsidRPr="00C94C33">
        <w:rPr>
          <w:rFonts w:eastAsia="TimesNewRoman"/>
          <w:kern w:val="16"/>
          <w:szCs w:val="24"/>
          <w:lang w:eastAsia="en-AU"/>
        </w:rPr>
        <w:t xml:space="preserve">eces, multiple radioactive peaks were observed (trace levels). The major metabolite of FTD in the extractable fraction in plasma and urine was FTY. The overall recovery of radioactivity derived from </w:t>
      </w:r>
      <w:r w:rsidR="00394543" w:rsidRPr="00C94C33">
        <w:rPr>
          <w:rFonts w:eastAsia="TimesNewRoman"/>
          <w:kern w:val="16"/>
          <w:szCs w:val="24"/>
          <w:lang w:eastAsia="en-AU"/>
        </w:rPr>
        <w:t>[14C]</w:t>
      </w:r>
      <w:r w:rsidRPr="00C94C33">
        <w:rPr>
          <w:rFonts w:eastAsia="TimesNewRoman"/>
          <w:kern w:val="16"/>
          <w:szCs w:val="24"/>
          <w:lang w:eastAsia="en-AU"/>
        </w:rPr>
        <w:t>-FTD administered with TAS-102 was relatively poor (approximately 60%) and is probably due to covalent binding to proteins.</w:t>
      </w:r>
    </w:p>
    <w:p w14:paraId="6EED6ABB" w14:textId="77777777" w:rsidR="00AA7141" w:rsidRDefault="00DF61BC" w:rsidP="00772CE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NewRoman"/>
          <w:kern w:val="16"/>
          <w:szCs w:val="24"/>
          <w:lang w:eastAsia="en-AU"/>
        </w:rPr>
      </w:pPr>
      <w:r w:rsidRPr="00C94C33">
        <w:rPr>
          <w:rFonts w:eastAsia="Times New Roman"/>
          <w:kern w:val="16"/>
          <w:szCs w:val="24"/>
          <w:lang w:eastAsia="en-AU"/>
        </w:rPr>
        <w:lastRenderedPageBreak/>
        <w:t xml:space="preserve">In the mass balance study </w:t>
      </w:r>
      <w:r w:rsidR="00A0007E" w:rsidRPr="00C94C33">
        <w:rPr>
          <w:rFonts w:eastAsia="Times New Roman"/>
          <w:kern w:val="16"/>
          <w:szCs w:val="24"/>
          <w:lang w:eastAsia="en-AU"/>
        </w:rPr>
        <w:t>(</w:t>
      </w:r>
      <w:r w:rsidRPr="00C94C33">
        <w:rPr>
          <w:rFonts w:eastAsia="Times New Roman"/>
          <w:kern w:val="16"/>
          <w:szCs w:val="24"/>
          <w:lang w:eastAsia="en-AU"/>
        </w:rPr>
        <w:t>TPU-TAS-102-108</w:t>
      </w:r>
      <w:r w:rsidR="00A0007E" w:rsidRPr="00C94C33">
        <w:rPr>
          <w:rFonts w:eastAsia="Times New Roman"/>
          <w:kern w:val="16"/>
          <w:szCs w:val="24"/>
          <w:lang w:eastAsia="en-AU"/>
        </w:rPr>
        <w:t>)</w:t>
      </w:r>
      <w:r w:rsidRPr="00C94C33">
        <w:rPr>
          <w:rFonts w:eastAsia="Times New Roman"/>
          <w:kern w:val="16"/>
          <w:szCs w:val="24"/>
          <w:lang w:eastAsia="en-AU"/>
        </w:rPr>
        <w:t xml:space="preserve">, </w:t>
      </w:r>
      <w:r w:rsidRPr="00C94C33">
        <w:rPr>
          <w:rFonts w:eastAsia="TimesNewRoman"/>
          <w:kern w:val="16"/>
          <w:szCs w:val="24"/>
          <w:lang w:eastAsia="en-AU"/>
        </w:rPr>
        <w:t xml:space="preserve">recovered TRA of </w:t>
      </w:r>
      <w:r w:rsidR="00394543" w:rsidRPr="00C94C33">
        <w:rPr>
          <w:rFonts w:eastAsia="TimesNewRoman"/>
          <w:kern w:val="16"/>
          <w:szCs w:val="24"/>
          <w:lang w:eastAsia="en-AU"/>
        </w:rPr>
        <w:t>[14C]</w:t>
      </w:r>
      <w:r w:rsidRPr="00C94C33">
        <w:rPr>
          <w:rFonts w:eastAsia="TimesNewRoman"/>
          <w:kern w:val="16"/>
          <w:szCs w:val="24"/>
          <w:lang w:eastAsia="en-AU"/>
        </w:rPr>
        <w:t>-TPI was approximately 77% of the administered dose, and consisted of approximately 27% urinary excretion and 50% f</w:t>
      </w:r>
      <w:r w:rsidR="00CC49DA" w:rsidRPr="00C94C33">
        <w:rPr>
          <w:rFonts w:eastAsia="TimesNewRoman"/>
          <w:kern w:val="16"/>
          <w:szCs w:val="24"/>
          <w:lang w:eastAsia="en-AU"/>
        </w:rPr>
        <w:t>a</w:t>
      </w:r>
      <w:r w:rsidRPr="00C94C33">
        <w:rPr>
          <w:rFonts w:eastAsia="TimesNewRoman"/>
          <w:kern w:val="16"/>
          <w:szCs w:val="24"/>
          <w:lang w:eastAsia="en-AU"/>
        </w:rPr>
        <w:t>ecal excretion. The overall recoveries were &gt; 85% and reproducible for 3 of the 4 patients, whereas 1 patient exhibited extremely poor recovery at 36.3% of the dose. In plasma, extractable TRA consisted of 53.1% TPI and 30.9% 6-HMU, in urine, extractable TRA consisted of 79.1% TPI and 14.0% 6-HMU, and in feces, extractable TRA consisted of 48.2% TPI and 34.4% 6-HMU. It was noted that the 6-HMU metabolite appeared in plasma or in blood after disappearance of TPI, which according to the sponsor may suggest that 6-HMU was slowly produced via a metabolic pathway other than hepatic metabolism. Overall, TPI was the major moiety in plasma, urine, and f</w:t>
      </w:r>
      <w:r w:rsidR="00CC49DA" w:rsidRPr="00C94C33">
        <w:rPr>
          <w:rFonts w:eastAsia="TimesNewRoman"/>
          <w:kern w:val="16"/>
          <w:szCs w:val="24"/>
          <w:lang w:eastAsia="en-AU"/>
        </w:rPr>
        <w:t>a</w:t>
      </w:r>
      <w:r w:rsidRPr="00C94C33">
        <w:rPr>
          <w:rFonts w:eastAsia="TimesNewRoman"/>
          <w:kern w:val="16"/>
          <w:szCs w:val="24"/>
          <w:lang w:eastAsia="en-AU"/>
        </w:rPr>
        <w:t>eces and 6-HMU was the major metabolite of TPI in these three matrices. No metabolites of TPI other that 6-HMU were detected at concentrations of greater than 5% in the plasma, urine or f</w:t>
      </w:r>
      <w:r w:rsidR="00CC49DA" w:rsidRPr="00C94C33">
        <w:rPr>
          <w:rFonts w:eastAsia="TimesNewRoman"/>
          <w:kern w:val="16"/>
          <w:szCs w:val="24"/>
          <w:lang w:eastAsia="en-AU"/>
        </w:rPr>
        <w:t>a</w:t>
      </w:r>
      <w:r w:rsidRPr="00C94C33">
        <w:rPr>
          <w:rFonts w:eastAsia="TimesNewRoman"/>
          <w:kern w:val="16"/>
          <w:szCs w:val="24"/>
          <w:lang w:eastAsia="en-AU"/>
        </w:rPr>
        <w:t xml:space="preserve">eces.  Based on TRA derived </w:t>
      </w:r>
      <w:r w:rsidR="00394543" w:rsidRPr="00C94C33">
        <w:rPr>
          <w:rFonts w:eastAsia="TimesNewRoman"/>
          <w:kern w:val="16"/>
          <w:szCs w:val="24"/>
          <w:lang w:eastAsia="en-AU"/>
        </w:rPr>
        <w:t>[14C]</w:t>
      </w:r>
      <w:r w:rsidRPr="00C94C33">
        <w:rPr>
          <w:rFonts w:eastAsia="TimesNewRoman"/>
          <w:kern w:val="16"/>
          <w:szCs w:val="24"/>
          <w:lang w:eastAsia="en-AU"/>
        </w:rPr>
        <w:t>-TPI excreted into the feces and the urine, it can be estimated that the absorbed fraction of TPI was likely to be at least 27% but not greater than 50%. This suggests that the primary site of the inhibitory action of TPI on TPase might be in the intestinal tract rather than the liver.</w:t>
      </w:r>
    </w:p>
    <w:p w14:paraId="02C17856" w14:textId="77777777" w:rsidR="00AA7141" w:rsidRDefault="00DF61BC" w:rsidP="00772CE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NewRoman"/>
          <w:kern w:val="16"/>
          <w:szCs w:val="24"/>
          <w:lang w:eastAsia="en-AU"/>
        </w:rPr>
      </w:pPr>
      <w:r w:rsidRPr="00C94C33">
        <w:rPr>
          <w:rFonts w:eastAsia="TimesNewRoman"/>
          <w:kern w:val="16"/>
          <w:szCs w:val="24"/>
          <w:lang w:eastAsia="en-AU"/>
        </w:rPr>
        <w:t xml:space="preserve">The population PK study </w:t>
      </w:r>
      <w:r w:rsidR="00A0007E" w:rsidRPr="00C94C33">
        <w:rPr>
          <w:rFonts w:eastAsia="TimesNewRoman"/>
          <w:kern w:val="16"/>
          <w:szCs w:val="24"/>
          <w:lang w:eastAsia="en-AU"/>
        </w:rPr>
        <w:t>(</w:t>
      </w:r>
      <w:r w:rsidR="00CC49DA" w:rsidRPr="00C94C33">
        <w:rPr>
          <w:rFonts w:eastAsia="TimesNewRoman"/>
          <w:kern w:val="16"/>
          <w:szCs w:val="24"/>
          <w:lang w:eastAsia="en-AU"/>
        </w:rPr>
        <w:t xml:space="preserve">Study </w:t>
      </w:r>
      <w:r w:rsidRPr="00C94C33">
        <w:rPr>
          <w:rFonts w:eastAsia="TimesNewRoman"/>
          <w:kern w:val="16"/>
          <w:szCs w:val="24"/>
          <w:lang w:eastAsia="en-AU"/>
        </w:rPr>
        <w:t>12DA25</w:t>
      </w:r>
      <w:r w:rsidR="00A0007E" w:rsidRPr="00C94C33">
        <w:rPr>
          <w:rFonts w:eastAsia="TimesNewRoman"/>
          <w:kern w:val="16"/>
          <w:szCs w:val="24"/>
          <w:lang w:eastAsia="en-AU"/>
        </w:rPr>
        <w:t>)</w:t>
      </w:r>
      <w:r w:rsidRPr="00C94C33">
        <w:rPr>
          <w:rFonts w:eastAsia="TimesNewRoman"/>
          <w:kern w:val="16"/>
          <w:szCs w:val="24"/>
          <w:lang w:eastAsia="en-AU"/>
        </w:rPr>
        <w:t>, indicated that age, gender and race were not significant covariates fo</w:t>
      </w:r>
      <w:r w:rsidR="009A4A9B" w:rsidRPr="00C94C33">
        <w:rPr>
          <w:rFonts w:eastAsia="TimesNewRoman"/>
          <w:kern w:val="16"/>
          <w:szCs w:val="24"/>
          <w:lang w:eastAsia="en-AU"/>
        </w:rPr>
        <w:t>r either Vd/F or CL/F of both F</w:t>
      </w:r>
      <w:r w:rsidRPr="00C94C33">
        <w:rPr>
          <w:rFonts w:eastAsia="TimesNewRoman"/>
          <w:kern w:val="16"/>
          <w:szCs w:val="24"/>
          <w:lang w:eastAsia="en-AU"/>
        </w:rPr>
        <w:t>T</w:t>
      </w:r>
      <w:r w:rsidR="009A4A9B" w:rsidRPr="00C94C33">
        <w:rPr>
          <w:rFonts w:eastAsia="TimesNewRoman"/>
          <w:kern w:val="16"/>
          <w:szCs w:val="24"/>
          <w:lang w:eastAsia="en-AU"/>
        </w:rPr>
        <w:t>D</w:t>
      </w:r>
      <w:r w:rsidRPr="00C94C33">
        <w:rPr>
          <w:rFonts w:eastAsia="TimesNewRoman"/>
          <w:kern w:val="16"/>
          <w:szCs w:val="24"/>
          <w:lang w:eastAsia="en-AU"/>
        </w:rPr>
        <w:t xml:space="preserve"> or TPI. There was no dedicated clinical study investigating the effects of hepatic impairment on the PK of TAS-102. Data from RECOURSE suggests, the mild hepatic impairment is unlikely to s</w:t>
      </w:r>
      <w:r w:rsidR="009A4A9B" w:rsidRPr="00C94C33">
        <w:rPr>
          <w:rFonts w:eastAsia="TimesNewRoman"/>
          <w:kern w:val="16"/>
          <w:szCs w:val="24"/>
          <w:lang w:eastAsia="en-AU"/>
        </w:rPr>
        <w:t>ignificantly affect the PK of F</w:t>
      </w:r>
      <w:r w:rsidRPr="00C94C33">
        <w:rPr>
          <w:rFonts w:eastAsia="TimesNewRoman"/>
          <w:kern w:val="16"/>
          <w:szCs w:val="24"/>
          <w:lang w:eastAsia="en-AU"/>
        </w:rPr>
        <w:t>T</w:t>
      </w:r>
      <w:r w:rsidR="009A4A9B" w:rsidRPr="00C94C33">
        <w:rPr>
          <w:rFonts w:eastAsia="TimesNewRoman"/>
          <w:kern w:val="16"/>
          <w:szCs w:val="24"/>
          <w:lang w:eastAsia="en-AU"/>
        </w:rPr>
        <w:t>D</w:t>
      </w:r>
      <w:r w:rsidRPr="00C94C33">
        <w:rPr>
          <w:rFonts w:eastAsia="TimesNewRoman"/>
          <w:kern w:val="16"/>
          <w:szCs w:val="24"/>
          <w:lang w:eastAsia="en-AU"/>
        </w:rPr>
        <w:t xml:space="preserve"> or TPI. There were no data in patients with moderate or severe hepatic impairment. There was no dedicated clinical study investigating the effects of renal impairment on the PK of TAS-102. Data from RECOURSE suggests that both mild and moderate renal impairment can increase exposure. There were no data in patients with severe renal impairment or ESRD.</w:t>
      </w:r>
    </w:p>
    <w:p w14:paraId="4476DA34" w14:textId="77777777" w:rsidR="00AA7141" w:rsidRDefault="00DF61BC" w:rsidP="00772CE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C94C33">
        <w:rPr>
          <w:rFonts w:eastAsia="TimesNewRoman"/>
          <w:kern w:val="16"/>
          <w:lang w:eastAsia="en-AU"/>
        </w:rPr>
        <w:t xml:space="preserve">No dedicated clinical drug-drug interaction studies were conducted. </w:t>
      </w:r>
      <w:r w:rsidRPr="005C2FCA">
        <w:rPr>
          <w:rFonts w:eastAsia="Times New Roman"/>
          <w:kern w:val="16"/>
          <w:lang w:eastAsia="en-AU"/>
        </w:rPr>
        <w:t>In vitro</w:t>
      </w:r>
      <w:r w:rsidRPr="007709B8">
        <w:rPr>
          <w:rFonts w:eastAsia="Times New Roman"/>
          <w:kern w:val="16"/>
          <w:lang w:eastAsia="en-AU"/>
        </w:rPr>
        <w:t xml:space="preserve"> studies with human biomaterials were reported to show that neither FTD nor TPI are metabolised by the broad range of CYP enzymes tested. In addition, FTD and FTY were reported not t</w:t>
      </w:r>
      <w:r w:rsidRPr="00C94C33">
        <w:rPr>
          <w:rFonts w:eastAsia="Times New Roman"/>
          <w:kern w:val="16"/>
          <w:lang w:eastAsia="en-AU"/>
        </w:rPr>
        <w:t xml:space="preserve">o inhibit or induce the CYP enzymes tested. It was also reported that the </w:t>
      </w:r>
      <w:r w:rsidRPr="005C2FCA">
        <w:rPr>
          <w:rFonts w:eastAsia="Times New Roman"/>
          <w:kern w:val="16"/>
          <w:lang w:eastAsia="en-AU"/>
        </w:rPr>
        <w:t>in vitro</w:t>
      </w:r>
      <w:r w:rsidRPr="007709B8">
        <w:rPr>
          <w:rFonts w:eastAsia="Times New Roman"/>
          <w:kern w:val="16"/>
          <w:lang w:eastAsia="en-AU"/>
        </w:rPr>
        <w:t xml:space="preserve"> data showed that TPI did not inhibit or induce the CYP enzymes tested. However, in the CHMP expressed its concern that that the maximum concentration of TPI used in the CYP </w:t>
      </w:r>
      <w:r w:rsidRPr="00C94C33">
        <w:rPr>
          <w:rFonts w:eastAsia="Times New Roman"/>
          <w:kern w:val="16"/>
          <w:lang w:eastAsia="en-AU"/>
        </w:rPr>
        <w:t>induction studies was too low to definitively exclude TPI mediated induction of CYP enzymes. The sponsor has indicated that it will conduct an additional CYP study investigation induction at higher TPI concentrations.</w:t>
      </w:r>
    </w:p>
    <w:p w14:paraId="49001307" w14:textId="53321C5C" w:rsidR="0085068D" w:rsidRPr="00C94C33" w:rsidRDefault="00DF61BC" w:rsidP="00772CE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5C2FCA">
        <w:rPr>
          <w:rFonts w:eastAsia="Times New Roman"/>
          <w:iCs/>
          <w:kern w:val="16"/>
          <w:lang w:eastAsia="en-AU"/>
        </w:rPr>
        <w:t xml:space="preserve">In vitro, </w:t>
      </w:r>
      <w:r w:rsidRPr="007709B8">
        <w:rPr>
          <w:rFonts w:eastAsia="Times New Roman"/>
          <w:kern w:val="16"/>
          <w:lang w:eastAsia="en-AU"/>
        </w:rPr>
        <w:t xml:space="preserve">FTD was reported not to be a substrate for MDR1, OATP1B1, OATP1B3 and BCRP, or to be an inhibitor of these transporters. </w:t>
      </w:r>
      <w:r w:rsidRPr="005C2FCA">
        <w:rPr>
          <w:rFonts w:eastAsia="Times New Roman"/>
          <w:kern w:val="16"/>
          <w:lang w:eastAsia="en-AU"/>
        </w:rPr>
        <w:t>In vitro</w:t>
      </w:r>
      <w:r w:rsidRPr="007709B8">
        <w:rPr>
          <w:rFonts w:eastAsia="Times New Roman"/>
          <w:kern w:val="16"/>
          <w:lang w:eastAsia="en-AU"/>
        </w:rPr>
        <w:t xml:space="preserve">, TPI was reported not to be a substrate for OAT1, OAT3, MDR1, and BCRP, or to be an inhibitor of these transporters. However, TPI </w:t>
      </w:r>
      <w:r w:rsidRPr="005C2FCA">
        <w:rPr>
          <w:rFonts w:eastAsia="Times New Roman"/>
          <w:kern w:val="16"/>
          <w:lang w:eastAsia="en-AU"/>
        </w:rPr>
        <w:t>in vitro</w:t>
      </w:r>
      <w:r w:rsidRPr="007709B8">
        <w:rPr>
          <w:rFonts w:eastAsia="Times New Roman"/>
          <w:kern w:val="16"/>
          <w:lang w:eastAsia="en-AU"/>
        </w:rPr>
        <w:t xml:space="preserve"> was reported to be a substrate for, and an inhibitor of, the efflux transporters OCT2 and MATE1 at concentrations substantially higher than those anticipated in plasma in clinical practice. Therefore, TPI at recommended clinical doses is unlikely to cause drug-drug inte</w:t>
      </w:r>
      <w:r w:rsidRPr="00C94C33">
        <w:rPr>
          <w:rFonts w:eastAsia="Times New Roman"/>
          <w:kern w:val="16"/>
          <w:lang w:eastAsia="en-AU"/>
        </w:rPr>
        <w:t xml:space="preserve">ractions due to inhibition of OCT2 and MATE1. However, as TPI is reported to be a substrate for OCT2 and MATE1 it is possible that urinary excretion of TPI might be reduced when TAS-102 is administered with inhibitors of these transporters. </w:t>
      </w:r>
      <w:r w:rsidRPr="005C2FCA">
        <w:rPr>
          <w:rFonts w:eastAsia="Times New Roman"/>
          <w:kern w:val="16"/>
          <w:lang w:eastAsia="en-AU"/>
        </w:rPr>
        <w:t>In vitro</w:t>
      </w:r>
      <w:r w:rsidRPr="007709B8">
        <w:rPr>
          <w:rFonts w:eastAsia="Times New Roman"/>
          <w:kern w:val="16"/>
          <w:lang w:eastAsia="en-AU"/>
        </w:rPr>
        <w:t xml:space="preserve"> studies were reported to show that FTD is a substrate for the nucleoside tra</w:t>
      </w:r>
      <w:r w:rsidR="00B5151B" w:rsidRPr="007709B8">
        <w:rPr>
          <w:rFonts w:eastAsia="Times New Roman"/>
          <w:kern w:val="16"/>
          <w:lang w:eastAsia="en-AU"/>
        </w:rPr>
        <w:t>nsporters CNT1, ENT1 and ENT2.</w:t>
      </w:r>
    </w:p>
    <w:p w14:paraId="22E6DB78" w14:textId="77777777" w:rsidR="0085068D" w:rsidRPr="00C94C33" w:rsidRDefault="00586F98" w:rsidP="00955252">
      <w:pPr>
        <w:pStyle w:val="Heading2"/>
      </w:pPr>
      <w:bookmarkStart w:id="160" w:name="_Toc510016880"/>
      <w:r w:rsidRPr="00C94C33">
        <w:t>Pharmacodynamics</w:t>
      </w:r>
      <w:bookmarkEnd w:id="160"/>
    </w:p>
    <w:p w14:paraId="0D7E61F7" w14:textId="77777777" w:rsidR="00231BC7" w:rsidRPr="00C94C33" w:rsidRDefault="00231BC7" w:rsidP="00955252">
      <w:pPr>
        <w:pStyle w:val="Heading3"/>
      </w:pPr>
      <w:bookmarkStart w:id="161" w:name="_Toc272414637"/>
      <w:bookmarkStart w:id="162" w:name="_Toc290846260"/>
      <w:bookmarkStart w:id="163" w:name="_Toc470948491"/>
      <w:bookmarkStart w:id="164" w:name="_Toc510016881"/>
      <w:r w:rsidRPr="00C94C33">
        <w:t>Studies providing pharmacodynamic data</w:t>
      </w:r>
      <w:bookmarkEnd w:id="161"/>
      <w:bookmarkEnd w:id="162"/>
      <w:bookmarkEnd w:id="163"/>
      <w:bookmarkEnd w:id="164"/>
    </w:p>
    <w:p w14:paraId="4480EC44" w14:textId="77777777" w:rsidR="00231BC7" w:rsidRPr="00C94C33" w:rsidRDefault="00231BC7" w:rsidP="00231BC7">
      <w:r w:rsidRPr="00C94C33">
        <w:t>The submission included the following studies with pharmacodynamic data:</w:t>
      </w:r>
    </w:p>
    <w:p w14:paraId="27B99BD1" w14:textId="77777777" w:rsidR="00AA7141" w:rsidRDefault="00231BC7" w:rsidP="007535A8">
      <w:pPr>
        <w:pStyle w:val="ListBullet"/>
      </w:pPr>
      <w:r w:rsidRPr="00C94C33">
        <w:t xml:space="preserve">An exploratory </w:t>
      </w:r>
      <w:r w:rsidR="00986ED2">
        <w:t>PK/PD</w:t>
      </w:r>
      <w:r w:rsidRPr="00C94C33">
        <w:t xml:space="preserve"> report of data collected during the pivotal </w:t>
      </w:r>
      <w:r w:rsidR="00842E8F" w:rsidRPr="00C94C33">
        <w:t>Phase III</w:t>
      </w:r>
      <w:r w:rsidRPr="00C94C33">
        <w:t xml:space="preserve"> study </w:t>
      </w:r>
      <w:r w:rsidR="00A0007E" w:rsidRPr="00C94C33">
        <w:t>(</w:t>
      </w:r>
      <w:r w:rsidR="00551B29" w:rsidRPr="00C94C33">
        <w:t xml:space="preserve">the </w:t>
      </w:r>
      <w:r w:rsidRPr="00C94C33">
        <w:t>RECOURSE</w:t>
      </w:r>
      <w:r w:rsidR="00551B29" w:rsidRPr="00C94C33">
        <w:t xml:space="preserve"> trial</w:t>
      </w:r>
      <w:r w:rsidR="00A0007E" w:rsidRPr="00C94C33">
        <w:t>)</w:t>
      </w:r>
      <w:r w:rsidRPr="00C94C33">
        <w:t xml:space="preserve"> relating to exposure–efficacy outcomes</w:t>
      </w:r>
      <w:r w:rsidR="007535A8" w:rsidRPr="00C94C33">
        <w:t xml:space="preserve"> and exposure–safety outcomes</w:t>
      </w:r>
      <w:r w:rsidRPr="00C94C33">
        <w:t>.</w:t>
      </w:r>
    </w:p>
    <w:p w14:paraId="66C29313" w14:textId="1E9DD323" w:rsidR="00231BC7" w:rsidRPr="00C94C33" w:rsidRDefault="00231BC7" w:rsidP="007535A8">
      <w:pPr>
        <w:pStyle w:val="ListBullet"/>
      </w:pPr>
      <w:r w:rsidRPr="00C94C33">
        <w:lastRenderedPageBreak/>
        <w:t xml:space="preserve">An analysis of cardiac safety, including the effect of TAS-102 on the QTc interval, was presented in </w:t>
      </w:r>
      <w:r w:rsidR="00CC49DA" w:rsidRPr="00C94C33">
        <w:t xml:space="preserve">Study </w:t>
      </w:r>
      <w:r w:rsidRPr="00C94C33">
        <w:t>TPU-TAS-102-103.</w:t>
      </w:r>
    </w:p>
    <w:p w14:paraId="51913324" w14:textId="78BC0C34" w:rsidR="00231BC7" w:rsidRPr="00C94C33" w:rsidRDefault="00231BC7" w:rsidP="007535A8">
      <w:pPr>
        <w:pStyle w:val="ListBullet"/>
      </w:pPr>
      <w:r w:rsidRPr="00C94C33">
        <w:t xml:space="preserve">An analysis of the correlation between haematologic toxicity and both the dosage and the pharmacokinetics of TAS-102 was presented in </w:t>
      </w:r>
      <w:r w:rsidR="00551B29" w:rsidRPr="00C94C33">
        <w:t xml:space="preserve">Study </w:t>
      </w:r>
      <w:r w:rsidRPr="00C94C33">
        <w:t>J001-10040010.</w:t>
      </w:r>
    </w:p>
    <w:p w14:paraId="4A63D3DA" w14:textId="742959B0" w:rsidR="00231BC7" w:rsidRPr="00C94C33" w:rsidRDefault="00986ED2" w:rsidP="00955252">
      <w:pPr>
        <w:pStyle w:val="Heading3"/>
      </w:pPr>
      <w:bookmarkStart w:id="165" w:name="_Toc470948492"/>
      <w:bookmarkStart w:id="166" w:name="_Toc510016882"/>
      <w:r>
        <w:t>PK/PD</w:t>
      </w:r>
      <w:r w:rsidR="00231BC7" w:rsidRPr="00C94C33">
        <w:t xml:space="preserve"> analysis </w:t>
      </w:r>
      <w:r w:rsidR="00A0007E" w:rsidRPr="00C94C33">
        <w:t>(</w:t>
      </w:r>
      <w:r w:rsidR="00231BC7" w:rsidRPr="00C94C33">
        <w:t>RECOURSE</w:t>
      </w:r>
      <w:bookmarkEnd w:id="165"/>
      <w:bookmarkEnd w:id="166"/>
      <w:r w:rsidR="00A0007E" w:rsidRPr="00C94C33">
        <w:t>)</w:t>
      </w:r>
    </w:p>
    <w:p w14:paraId="72C341FC" w14:textId="4E45BA7E" w:rsidR="00231BC7" w:rsidRPr="00C94C33" w:rsidRDefault="00231BC7" w:rsidP="00231BC7">
      <w:r w:rsidRPr="00C94C33">
        <w:t xml:space="preserve">The pivotal </w:t>
      </w:r>
      <w:r w:rsidR="00842E8F" w:rsidRPr="00C94C33">
        <w:t>Phase III</w:t>
      </w:r>
      <w:r w:rsidRPr="00C94C33">
        <w:t xml:space="preserve"> efficacy and safety study </w:t>
      </w:r>
      <w:r w:rsidR="00A0007E" w:rsidRPr="00C94C33">
        <w:t>(</w:t>
      </w:r>
      <w:r w:rsidRPr="00C94C33">
        <w:t>RECOURSE</w:t>
      </w:r>
      <w:r w:rsidR="00A0007E" w:rsidRPr="00C94C33">
        <w:t>)</w:t>
      </w:r>
      <w:r w:rsidRPr="00C94C33">
        <w:t xml:space="preserve"> included an exploratory exposure-response analysis in patients in the TAS-102 treatment group who elected to participate in the optional PK assessment.</w:t>
      </w:r>
    </w:p>
    <w:p w14:paraId="47C7610C" w14:textId="2878D37C" w:rsidR="00231BC7" w:rsidRPr="00C94C33" w:rsidRDefault="00231BC7" w:rsidP="00231BC7">
      <w:r w:rsidRPr="00C94C33">
        <w:t xml:space="preserve">The study investigated the relationship between overall survival (OS), progression-free survival (PFS), and safety and exposure to FTD and TPI in the </w:t>
      </w:r>
      <w:r w:rsidR="00986ED2">
        <w:t>PK/PD</w:t>
      </w:r>
      <w:r w:rsidRPr="00C94C33">
        <w:t xml:space="preserve"> population. Patients in the TAS-102 group who participated in the optional PK assessment were categorised into two sub-groups, based on median AUC values of FTD (43.51 h•ng/mL) and TPI (0.65 h•</w:t>
      </w:r>
      <w:r w:rsidR="009265E3" w:rsidRPr="00C94C33">
        <w:t>µg</w:t>
      </w:r>
      <w:r w:rsidRPr="00C94C33">
        <w:t>/mL), consisting of a high</w:t>
      </w:r>
      <w:r w:rsidR="00C94C33">
        <w:t xml:space="preserve"> </w:t>
      </w:r>
      <w:r w:rsidRPr="00C94C33">
        <w:t>exposure group (&gt; median AUC) and a low-exposure group (≤ median AUC)</w:t>
      </w:r>
      <w:r w:rsidR="00C94C33">
        <w:t>.</w:t>
      </w:r>
    </w:p>
    <w:p w14:paraId="46E2F6FB" w14:textId="623B0408" w:rsidR="00231BC7" w:rsidRPr="005C2FCA" w:rsidRDefault="00231BC7" w:rsidP="00231BC7">
      <w:pPr>
        <w:widowControl w:val="0"/>
        <w:autoSpaceDE w:val="0"/>
        <w:autoSpaceDN w:val="0"/>
        <w:adjustRightInd w:val="0"/>
        <w:rPr>
          <w:rFonts w:cs="*åSˇ"/>
        </w:rPr>
      </w:pPr>
      <w:r w:rsidRPr="00C94C33">
        <w:t>Of the 800 randomised patients in the ITT analysis, 154 patients in the TAS-102 group and 80 patients in the placebo group consented to participate in the PK</w:t>
      </w:r>
      <w:r w:rsidR="00551B29" w:rsidRPr="00C94C33">
        <w:t>/</w:t>
      </w:r>
      <w:r w:rsidRPr="00C94C33">
        <w:t>PD study, and</w:t>
      </w:r>
      <w:r w:rsidRPr="005C2FCA">
        <w:rPr>
          <w:rFonts w:cs="*åSˇ"/>
        </w:rPr>
        <w:t xml:space="preserve"> 139 (26.0%) patients in the TAS-102 group and 72 (27.1%) patients in the placebo group had samples collected at 1 or more post-dose time points on Day 12 of Cycle 1. One (1) of the 139 patients in the TAS-102 group was excluded from the PK</w:t>
      </w:r>
      <w:r w:rsidR="00551B29" w:rsidRPr="005C2FCA">
        <w:rPr>
          <w:rFonts w:cs="*åSˇ"/>
        </w:rPr>
        <w:t>/</w:t>
      </w:r>
      <w:r w:rsidRPr="005C2FCA">
        <w:rPr>
          <w:rFonts w:cs="*åSˇ"/>
        </w:rPr>
        <w:t>PD analysis due to missing actual sampling times for all blood collections. Therefore, a total of 138/534 (25.8%) patients in the TAS-102 group had evaluable PK parameters (</w:t>
      </w:r>
      <w:r w:rsidR="00B2072D" w:rsidRPr="005C2FCA">
        <w:rPr>
          <w:rFonts w:cs="*åSˇ"/>
        </w:rPr>
        <w:t>that is,</w:t>
      </w:r>
      <w:r w:rsidRPr="005C2FCA">
        <w:rPr>
          <w:rFonts w:cs="*åSˇ"/>
        </w:rPr>
        <w:t xml:space="preserve"> estimated AUC values for FTD and TPI) and were included in the </w:t>
      </w:r>
      <w:r w:rsidR="00986ED2">
        <w:rPr>
          <w:rFonts w:cs="*åSˇ"/>
        </w:rPr>
        <w:t>PK/PD</w:t>
      </w:r>
      <w:r w:rsidRPr="005C2FCA">
        <w:rPr>
          <w:rFonts w:cs="*åSˇ"/>
        </w:rPr>
        <w:t xml:space="preserve"> analysis. The analysis population is summarised below in Table 21.</w:t>
      </w:r>
    </w:p>
    <w:p w14:paraId="0C29CB10" w14:textId="360AB1E4" w:rsidR="00231BC7" w:rsidRPr="00C94C33" w:rsidRDefault="005965D0" w:rsidP="0058475B">
      <w:pPr>
        <w:pStyle w:val="Tabletitle"/>
      </w:pPr>
      <w:bookmarkStart w:id="167" w:name="_Toc470948670"/>
      <w:r w:rsidRPr="007709B8">
        <w:t xml:space="preserve">Table 21: </w:t>
      </w:r>
      <w:r w:rsidR="00231BC7" w:rsidRPr="007709B8">
        <w:t>PK</w:t>
      </w:r>
      <w:r w:rsidR="00551B29" w:rsidRPr="007709B8">
        <w:t>/</w:t>
      </w:r>
      <w:r w:rsidR="00231BC7" w:rsidRPr="007709B8">
        <w:t>PD Study</w:t>
      </w:r>
      <w:r w:rsidR="00551B29" w:rsidRPr="007709B8">
        <w:t xml:space="preserve">; </w:t>
      </w:r>
      <w:r w:rsidR="00231BC7" w:rsidRPr="007709B8">
        <w:t>Study analysis population</w:t>
      </w:r>
      <w:bookmarkEnd w:id="167"/>
    </w:p>
    <w:p w14:paraId="3A5FCA0D" w14:textId="77777777" w:rsidR="00231BC7" w:rsidRPr="007709B8" w:rsidRDefault="00231BC7" w:rsidP="00231BC7">
      <w:pPr>
        <w:spacing w:after="0"/>
      </w:pPr>
      <w:r w:rsidRPr="00691F71">
        <w:rPr>
          <w:noProof/>
          <w:lang w:eastAsia="en-AU"/>
        </w:rPr>
        <w:drawing>
          <wp:inline distT="0" distB="0" distL="0" distR="0" wp14:anchorId="49B10926" wp14:editId="27B8C99A">
            <wp:extent cx="4958080" cy="2865120"/>
            <wp:effectExtent l="0" t="0" r="0" b="0"/>
            <wp:docPr id="2080" name="Picture 2080" descr="Table 21: PKPD Study – Study analysis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8080" cy="2865120"/>
                    </a:xfrm>
                    <a:prstGeom prst="rect">
                      <a:avLst/>
                    </a:prstGeom>
                    <a:noFill/>
                    <a:ln>
                      <a:noFill/>
                    </a:ln>
                  </pic:spPr>
                </pic:pic>
              </a:graphicData>
            </a:graphic>
          </wp:inline>
        </w:drawing>
      </w:r>
    </w:p>
    <w:p w14:paraId="07D73921" w14:textId="5357557D" w:rsidR="00231BC7" w:rsidRPr="007709B8" w:rsidRDefault="00257610" w:rsidP="00C665B0">
      <w:pPr>
        <w:pStyle w:val="TableDescription"/>
      </w:pPr>
      <w:r w:rsidRPr="007709B8">
        <w:t xml:space="preserve">a. </w:t>
      </w:r>
      <w:r w:rsidR="00231BC7" w:rsidRPr="007709B8">
        <w:t>Percentages base</w:t>
      </w:r>
      <w:r w:rsidR="00821AB0" w:rsidRPr="007709B8">
        <w:t xml:space="preserve">d </w:t>
      </w:r>
      <w:r w:rsidR="00231BC7" w:rsidRPr="007709B8">
        <w:t>on number of patients randomised.</w:t>
      </w:r>
    </w:p>
    <w:p w14:paraId="66B769BF" w14:textId="7A4B038E" w:rsidR="00231BC7" w:rsidRPr="005C2FCA" w:rsidRDefault="00231BC7" w:rsidP="00231BC7">
      <w:r w:rsidRPr="005C2FCA">
        <w:t xml:space="preserve">The baseline demographics and characteristics of the patient population are summarised. Patient demographics and baseline characteristics for most parameters were comparable for the 2 groups and within the patient subgroups defined according to median FTD or TPI AUC values. In the </w:t>
      </w:r>
      <w:r w:rsidR="00986ED2">
        <w:t>PK/PD</w:t>
      </w:r>
      <w:r w:rsidRPr="005C2FCA">
        <w:t xml:space="preserve"> population, 63% of all patients were male, 59% were White, 28% were Asian, 2% were Black, and data on race were not collected for 11% of patients. The median age of patients in the FTD high and low AUC groups was 65 years and 61 years, respectively, with 51% and 30% of patients, respectively, aged ≥ 65 years of age. The median age of patients in the TPI high and low AUC groups was 63 years and 61 years, respectively, with 46% and 35% of patients, respectively, </w:t>
      </w:r>
      <w:r w:rsidRPr="005C2FCA">
        <w:lastRenderedPageBreak/>
        <w:t>aged ≥ 65</w:t>
      </w:r>
      <w:r w:rsidR="00986ED2">
        <w:t> </w:t>
      </w:r>
      <w:r w:rsidRPr="005C2FCA">
        <w:t>years. There were about twice as many patients with mild to moderate renal impairment at baseline in the FTD and TPI high AUC groups compared to the FTD and TPI low AUC groups</w:t>
      </w:r>
      <w:r w:rsidR="00C11183">
        <w:t>.</w:t>
      </w:r>
    </w:p>
    <w:p w14:paraId="2560BE86" w14:textId="694E2636" w:rsidR="00231BC7" w:rsidRPr="005C2FCA" w:rsidRDefault="00231BC7" w:rsidP="00231BC7">
      <w:r w:rsidRPr="005C2FCA">
        <w:rPr>
          <w:rFonts w:cs="Times"/>
        </w:rPr>
        <w:t>The median duration of exposure (weeks) was greater in the FTD high AUC group compared to the FTD low AUC group (13.86 v</w:t>
      </w:r>
      <w:r w:rsidR="00986ED2">
        <w:rPr>
          <w:rFonts w:cs="Times"/>
        </w:rPr>
        <w:t>ersus</w:t>
      </w:r>
      <w:r w:rsidRPr="005C2FCA">
        <w:rPr>
          <w:rFonts w:cs="Times"/>
        </w:rPr>
        <w:t xml:space="preserve"> 6.14 weeks), and lower in the TPI high AUC group compared to the TPI low group (6.71</w:t>
      </w:r>
      <w:r w:rsidR="00C11183">
        <w:rPr>
          <w:rFonts w:cs="Times"/>
        </w:rPr>
        <w:t xml:space="preserve"> versus </w:t>
      </w:r>
      <w:r w:rsidRPr="005C2FCA">
        <w:rPr>
          <w:rFonts w:cs="Times"/>
        </w:rPr>
        <w:t>13.71 weeks).</w:t>
      </w:r>
      <w:r w:rsidRPr="005C2FCA">
        <w:t xml:space="preserve"> </w:t>
      </w:r>
      <w:r w:rsidRPr="005C2FCA">
        <w:rPr>
          <w:rFonts w:cs="Times"/>
        </w:rPr>
        <w:t>In the FTD group, the total number of cycles initiated and the median number of cycles per patient were higher in patients with high AUC values compared to patients with low AUC values (308 total cycles, median of 4.0 cycles v</w:t>
      </w:r>
      <w:r w:rsidR="00986ED2">
        <w:rPr>
          <w:rFonts w:cs="Times"/>
        </w:rPr>
        <w:t>ersus</w:t>
      </w:r>
      <w:r w:rsidRPr="005C2FCA">
        <w:rPr>
          <w:rFonts w:cs="Times"/>
        </w:rPr>
        <w:t xml:space="preserve"> 259 total cycles, median of 2.0 cycles). The corresponding mean </w:t>
      </w:r>
      <w:r w:rsidR="00C11183" w:rsidRPr="00C11183">
        <w:t>±</w:t>
      </w:r>
      <w:r w:rsidRPr="005C2FCA">
        <w:rPr>
          <w:rFonts w:cs="Times"/>
        </w:rPr>
        <w:t xml:space="preserve"> SD number of cycles for the FTD high and low AUC groups were 4.5 </w:t>
      </w:r>
      <w:r w:rsidR="00257610" w:rsidRPr="005C2FCA">
        <w:rPr>
          <w:rFonts w:cs="Times"/>
        </w:rPr>
        <w:t xml:space="preserve">± </w:t>
      </w:r>
      <w:r w:rsidRPr="005C2FCA">
        <w:rPr>
          <w:rFonts w:cs="Times"/>
        </w:rPr>
        <w:t xml:space="preserve">3.06 and 3.8 </w:t>
      </w:r>
      <w:r w:rsidR="00257610" w:rsidRPr="005C2FCA">
        <w:rPr>
          <w:rFonts w:cs="Times"/>
        </w:rPr>
        <w:t>±</w:t>
      </w:r>
      <w:r w:rsidRPr="005C2FCA">
        <w:rPr>
          <w:rFonts w:cs="Times"/>
        </w:rPr>
        <w:t xml:space="preserve"> 2.91, respectively.</w:t>
      </w:r>
      <w:r w:rsidRPr="005C2FCA">
        <w:t xml:space="preserve"> </w:t>
      </w:r>
      <w:r w:rsidRPr="007709B8">
        <w:t xml:space="preserve">In the TPI group, </w:t>
      </w:r>
      <w:r w:rsidRPr="005C2FCA">
        <w:rPr>
          <w:rFonts w:cs="Times"/>
        </w:rPr>
        <w:t>the total number of cycles initiated and the median number of cycles per patient were lower in patients with high AUC values compared to patients with low AUC values (292 total cycles, median of 2.0 cycles</w:t>
      </w:r>
      <w:r w:rsidR="00C11183">
        <w:rPr>
          <w:rFonts w:cs="Times"/>
        </w:rPr>
        <w:t xml:space="preserve"> versus </w:t>
      </w:r>
      <w:r w:rsidRPr="005C2FCA">
        <w:rPr>
          <w:rFonts w:cs="Times"/>
        </w:rPr>
        <w:t xml:space="preserve">275 total cycles, median of 4.0 cycles). The corresponding mean </w:t>
      </w:r>
      <w:r w:rsidR="00257610" w:rsidRPr="005C2FCA">
        <w:rPr>
          <w:rFonts w:cs="Times"/>
        </w:rPr>
        <w:t>±</w:t>
      </w:r>
      <w:r w:rsidRPr="005C2FCA">
        <w:rPr>
          <w:rFonts w:cs="Times"/>
        </w:rPr>
        <w:t xml:space="preserve"> SD number of cycles for the TPI high and low AUC groups, were 4.2 </w:t>
      </w:r>
      <w:r w:rsidR="00257610" w:rsidRPr="005C2FCA">
        <w:rPr>
          <w:rFonts w:cs="Times"/>
        </w:rPr>
        <w:t xml:space="preserve">± 3.59 and 4.0 ± </w:t>
      </w:r>
      <w:r w:rsidRPr="005C2FCA">
        <w:rPr>
          <w:rFonts w:cs="Times"/>
        </w:rPr>
        <w:t>2.27, respectively.</w:t>
      </w:r>
    </w:p>
    <w:p w14:paraId="0B79D102" w14:textId="761CE6B7" w:rsidR="00231BC7" w:rsidRPr="005C2FCA" w:rsidRDefault="00231BC7" w:rsidP="00955252">
      <w:pPr>
        <w:pStyle w:val="Heading4"/>
      </w:pPr>
      <w:r w:rsidRPr="005C2FCA">
        <w:t>Results</w:t>
      </w:r>
      <w:r w:rsidR="00575F1B">
        <w:t xml:space="preserve">; </w:t>
      </w:r>
      <w:r w:rsidRPr="005C2FCA">
        <w:t>Overall Survival (OS)</w:t>
      </w:r>
    </w:p>
    <w:p w14:paraId="5B53E14A" w14:textId="107D4312" w:rsidR="00257610" w:rsidRPr="005C2FCA" w:rsidRDefault="00231BC7" w:rsidP="00257610">
      <w:pPr>
        <w:widowControl w:val="0"/>
        <w:autoSpaceDE w:val="0"/>
        <w:autoSpaceDN w:val="0"/>
        <w:adjustRightInd w:val="0"/>
        <w:rPr>
          <w:rFonts w:cs="Times"/>
        </w:rPr>
      </w:pPr>
      <w:r w:rsidRPr="005C2FCA">
        <w:rPr>
          <w:rFonts w:cs="Times"/>
        </w:rPr>
        <w:t xml:space="preserve">The OS relationships for the </w:t>
      </w:r>
      <w:r w:rsidR="00A167ED">
        <w:rPr>
          <w:rFonts w:cs="Times"/>
        </w:rPr>
        <w:t>TAS-102</w:t>
      </w:r>
      <w:r w:rsidRPr="005C2FCA">
        <w:rPr>
          <w:rFonts w:cs="Times"/>
        </w:rPr>
        <w:t xml:space="preserve"> ITT population, the placebo population, and the </w:t>
      </w:r>
      <w:r w:rsidR="00A167ED">
        <w:rPr>
          <w:rFonts w:cs="Times"/>
        </w:rPr>
        <w:t>TAS-102</w:t>
      </w:r>
      <w:r w:rsidRPr="005C2FCA">
        <w:rPr>
          <w:rFonts w:cs="Times"/>
        </w:rPr>
        <w:t xml:space="preserve"> </w:t>
      </w:r>
      <w:r w:rsidR="00986ED2">
        <w:rPr>
          <w:rFonts w:cs="Times"/>
        </w:rPr>
        <w:t>PK/PD</w:t>
      </w:r>
      <w:r w:rsidRPr="005C2FCA">
        <w:rPr>
          <w:rFonts w:cs="Times"/>
        </w:rPr>
        <w:t xml:space="preserve"> population are shown below in Table 22.</w:t>
      </w:r>
      <w:r w:rsidRPr="005C2FCA">
        <w:rPr>
          <w:rFonts w:cs="Times"/>
          <w:color w:val="0000FF"/>
        </w:rPr>
        <w:t xml:space="preserve"> </w:t>
      </w:r>
      <w:r w:rsidRPr="005C2FCA">
        <w:rPr>
          <w:rFonts w:cs="Times"/>
        </w:rPr>
        <w:t xml:space="preserve">Overall, in the </w:t>
      </w:r>
      <w:r w:rsidR="00A167ED">
        <w:rPr>
          <w:rFonts w:cs="Times"/>
        </w:rPr>
        <w:t>TAS-102</w:t>
      </w:r>
      <w:r w:rsidRPr="005C2FCA">
        <w:rPr>
          <w:rFonts w:cs="Times"/>
        </w:rPr>
        <w:t xml:space="preserve"> </w:t>
      </w:r>
      <w:r w:rsidR="00986ED2">
        <w:rPr>
          <w:rFonts w:cs="Times"/>
        </w:rPr>
        <w:t>PK/PD</w:t>
      </w:r>
      <w:r w:rsidRPr="005C2FCA">
        <w:rPr>
          <w:rFonts w:cs="Times"/>
        </w:rPr>
        <w:t xml:space="preserve"> population the median OS was longer than the median OS in the both the </w:t>
      </w:r>
      <w:r w:rsidR="00A167ED">
        <w:rPr>
          <w:rFonts w:cs="Times"/>
        </w:rPr>
        <w:t>TAS-102</w:t>
      </w:r>
      <w:r w:rsidRPr="005C2FCA">
        <w:rPr>
          <w:rFonts w:cs="Times"/>
        </w:rPr>
        <w:t xml:space="preserve"> ITT and placebo populations (8.9</w:t>
      </w:r>
      <w:r w:rsidR="00C11183">
        <w:rPr>
          <w:rFonts w:cs="Times"/>
        </w:rPr>
        <w:t xml:space="preserve"> versus </w:t>
      </w:r>
      <w:r w:rsidRPr="005C2FCA">
        <w:rPr>
          <w:rFonts w:cs="Times"/>
        </w:rPr>
        <w:t>7.1</w:t>
      </w:r>
      <w:r w:rsidR="00C11183">
        <w:rPr>
          <w:rFonts w:cs="Times"/>
        </w:rPr>
        <w:t xml:space="preserve"> versus </w:t>
      </w:r>
      <w:r w:rsidRPr="005C2FCA">
        <w:rPr>
          <w:rFonts w:cs="Times"/>
        </w:rPr>
        <w:t>5.3 months, respectively).</w:t>
      </w:r>
      <w:bookmarkStart w:id="168" w:name="_Toc470948671"/>
    </w:p>
    <w:p w14:paraId="3BF6AA20" w14:textId="21136048" w:rsidR="00231BC7" w:rsidRPr="00C94C33" w:rsidRDefault="00231BC7" w:rsidP="00257610">
      <w:pPr>
        <w:pStyle w:val="Tabletitle"/>
      </w:pPr>
      <w:r w:rsidRPr="007709B8">
        <w:t xml:space="preserve">Table </w:t>
      </w:r>
      <w:r w:rsidR="00257610" w:rsidRPr="00C94C33">
        <w:t>22</w:t>
      </w:r>
      <w:r w:rsidRPr="00C94C33">
        <w:t xml:space="preserve">: </w:t>
      </w:r>
      <w:r w:rsidR="00986ED2">
        <w:t>PK/PD</w:t>
      </w:r>
      <w:r w:rsidRPr="00C94C33">
        <w:t xml:space="preserve"> analysis</w:t>
      </w:r>
      <w:r w:rsidR="00C11183">
        <w:t xml:space="preserve">; </w:t>
      </w:r>
      <w:r w:rsidRPr="00C94C33">
        <w:t xml:space="preserve">Overall survival in the </w:t>
      </w:r>
      <w:r w:rsidR="00A167ED">
        <w:t>TAS-102</w:t>
      </w:r>
      <w:r w:rsidRPr="00C94C33">
        <w:t xml:space="preserve"> ITT population</w:t>
      </w:r>
      <w:r w:rsidR="00C11183">
        <w:t xml:space="preserve"> versus </w:t>
      </w:r>
      <w:r w:rsidRPr="00C94C33">
        <w:t xml:space="preserve">the </w:t>
      </w:r>
      <w:r w:rsidR="00A167ED">
        <w:t>TAS-102</w:t>
      </w:r>
      <w:r w:rsidRPr="00C94C33">
        <w:t xml:space="preserve"> </w:t>
      </w:r>
      <w:r w:rsidR="00986ED2">
        <w:t>PK/PD</w:t>
      </w:r>
      <w:r w:rsidRPr="00C94C33">
        <w:t xml:space="preserve"> population</w:t>
      </w:r>
      <w:r w:rsidR="00C11183">
        <w:t xml:space="preserve"> versus </w:t>
      </w:r>
      <w:r w:rsidRPr="00C94C33">
        <w:t>the placebo population</w:t>
      </w:r>
      <w:bookmarkEnd w:id="168"/>
    </w:p>
    <w:tbl>
      <w:tblPr>
        <w:tblStyle w:val="TableGrid2"/>
        <w:tblW w:w="0" w:type="auto"/>
        <w:tblLayout w:type="fixed"/>
        <w:tblLook w:val="0000" w:firstRow="0" w:lastRow="0" w:firstColumn="0" w:lastColumn="0" w:noHBand="0" w:noVBand="0"/>
        <w:tblDescription w:val="Table 22: PK/PD analysis; Overall survival in the TAS-102 ITT population versus the TAS-102 PK/PD population versus the placebo population"/>
      </w:tblPr>
      <w:tblGrid>
        <w:gridCol w:w="3510"/>
        <w:gridCol w:w="1701"/>
        <w:gridCol w:w="1985"/>
        <w:gridCol w:w="2044"/>
      </w:tblGrid>
      <w:tr w:rsidR="00231BC7" w:rsidRPr="00F362E5" w14:paraId="2F03E53A" w14:textId="77777777" w:rsidTr="007B0D96">
        <w:trPr>
          <w:trHeight w:hRule="exact" w:val="1070"/>
          <w:tblHeader/>
        </w:trPr>
        <w:tc>
          <w:tcPr>
            <w:tcW w:w="3510" w:type="dxa"/>
          </w:tcPr>
          <w:p w14:paraId="1597AD61" w14:textId="77777777" w:rsidR="00231BC7" w:rsidRPr="00F362E5" w:rsidRDefault="00231BC7" w:rsidP="00751040">
            <w:pPr>
              <w:pStyle w:val="TableHeading"/>
            </w:pPr>
            <w:bookmarkStart w:id="169" w:name="Table_6:_Overall_Survival_in_TAS-102_Pat"/>
            <w:bookmarkStart w:id="170" w:name="bookmark2"/>
            <w:bookmarkEnd w:id="169"/>
            <w:bookmarkEnd w:id="170"/>
            <w:r w:rsidRPr="00F362E5">
              <w:t>Parameter</w:t>
            </w:r>
          </w:p>
        </w:tc>
        <w:tc>
          <w:tcPr>
            <w:tcW w:w="1701" w:type="dxa"/>
          </w:tcPr>
          <w:p w14:paraId="76E31E7B" w14:textId="7F617588" w:rsidR="00231BC7" w:rsidRPr="00F362E5" w:rsidRDefault="00231BC7" w:rsidP="00751040">
            <w:pPr>
              <w:pStyle w:val="TableHeading"/>
            </w:pPr>
            <w:bookmarkStart w:id="171" w:name="5.2._Relationship_of_FTD/TPI_Exposure_an"/>
            <w:bookmarkStart w:id="172" w:name="5.2.1._Overall_Survival_PK/PD_Population"/>
            <w:bookmarkEnd w:id="171"/>
            <w:bookmarkEnd w:id="172"/>
            <w:r w:rsidRPr="00F362E5">
              <w:t>TAS-102</w:t>
            </w:r>
            <w:r w:rsidRPr="00F362E5">
              <w:rPr>
                <w:spacing w:val="24"/>
              </w:rPr>
              <w:t xml:space="preserve"> </w:t>
            </w:r>
            <w:r w:rsidRPr="00F362E5">
              <w:t>(</w:t>
            </w:r>
            <w:r w:rsidR="009C0389" w:rsidRPr="00F362E5">
              <w:t xml:space="preserve">N = </w:t>
            </w:r>
            <w:r w:rsidRPr="00F362E5">
              <w:t>533)</w:t>
            </w:r>
          </w:p>
        </w:tc>
        <w:tc>
          <w:tcPr>
            <w:tcW w:w="1985" w:type="dxa"/>
          </w:tcPr>
          <w:p w14:paraId="02153B87" w14:textId="77777777" w:rsidR="00231BC7" w:rsidRPr="00F362E5" w:rsidRDefault="00231BC7" w:rsidP="00751040">
            <w:pPr>
              <w:pStyle w:val="TableHeading"/>
            </w:pPr>
            <w:r w:rsidRPr="00F362E5">
              <w:t>TAS-102</w:t>
            </w:r>
          </w:p>
          <w:p w14:paraId="03995608" w14:textId="58E6D844" w:rsidR="00231BC7" w:rsidRPr="00F362E5" w:rsidRDefault="00231BC7" w:rsidP="00751040">
            <w:pPr>
              <w:pStyle w:val="TableHeading"/>
            </w:pPr>
            <w:r w:rsidRPr="00F362E5">
              <w:t>PK/PD Population</w:t>
            </w:r>
            <w:r w:rsidRPr="00F362E5">
              <w:rPr>
                <w:spacing w:val="30"/>
              </w:rPr>
              <w:t xml:space="preserve"> </w:t>
            </w:r>
            <w:r w:rsidRPr="00F362E5">
              <w:t>(</w:t>
            </w:r>
            <w:r w:rsidR="009C0389" w:rsidRPr="00F362E5">
              <w:t xml:space="preserve">N = </w:t>
            </w:r>
            <w:r w:rsidRPr="00F362E5">
              <w:t>138)</w:t>
            </w:r>
          </w:p>
        </w:tc>
        <w:tc>
          <w:tcPr>
            <w:tcW w:w="2044" w:type="dxa"/>
          </w:tcPr>
          <w:p w14:paraId="2C8615ED" w14:textId="2B039E44" w:rsidR="00231BC7" w:rsidRPr="00F362E5" w:rsidRDefault="00231BC7" w:rsidP="00751040">
            <w:pPr>
              <w:pStyle w:val="TableHeading"/>
            </w:pPr>
            <w:r w:rsidRPr="00F362E5">
              <w:t>Placebo</w:t>
            </w:r>
            <w:r w:rsidRPr="00F362E5">
              <w:rPr>
                <w:spacing w:val="23"/>
              </w:rPr>
              <w:t xml:space="preserve"> </w:t>
            </w:r>
            <w:r w:rsidRPr="00F362E5">
              <w:t>(</w:t>
            </w:r>
            <w:r w:rsidR="009C0389" w:rsidRPr="00F362E5">
              <w:t xml:space="preserve">N = </w:t>
            </w:r>
            <w:r w:rsidRPr="00F362E5">
              <w:t>265)</w:t>
            </w:r>
          </w:p>
        </w:tc>
      </w:tr>
      <w:tr w:rsidR="00231BC7" w:rsidRPr="00F362E5" w14:paraId="784E1BC8" w14:textId="77777777" w:rsidTr="00F362E5">
        <w:trPr>
          <w:trHeight w:hRule="exact" w:val="306"/>
        </w:trPr>
        <w:tc>
          <w:tcPr>
            <w:tcW w:w="3510" w:type="dxa"/>
          </w:tcPr>
          <w:p w14:paraId="437DBF3E" w14:textId="77777777" w:rsidR="00231BC7" w:rsidRPr="00F362E5" w:rsidRDefault="00231BC7" w:rsidP="00751040">
            <w:pPr>
              <w:pStyle w:val="TableHeading"/>
            </w:pPr>
            <w:r w:rsidRPr="00F362E5">
              <w:t>Number</w:t>
            </w:r>
            <w:r w:rsidRPr="00F362E5">
              <w:rPr>
                <w:spacing w:val="-2"/>
              </w:rPr>
              <w:t xml:space="preserve"> (%)</w:t>
            </w:r>
            <w:r w:rsidRPr="00F362E5">
              <w:t xml:space="preserve"> of patients by censoring status</w:t>
            </w:r>
          </w:p>
        </w:tc>
        <w:tc>
          <w:tcPr>
            <w:tcW w:w="1701" w:type="dxa"/>
          </w:tcPr>
          <w:p w14:paraId="4A1E9590" w14:textId="77777777" w:rsidR="00231BC7" w:rsidRPr="00F362E5" w:rsidRDefault="00231BC7" w:rsidP="00751040">
            <w:pPr>
              <w:pStyle w:val="TableHeading"/>
            </w:pPr>
          </w:p>
        </w:tc>
        <w:tc>
          <w:tcPr>
            <w:tcW w:w="1985" w:type="dxa"/>
          </w:tcPr>
          <w:p w14:paraId="125C83FE" w14:textId="77777777" w:rsidR="00231BC7" w:rsidRPr="00F362E5" w:rsidRDefault="00231BC7" w:rsidP="00751040">
            <w:pPr>
              <w:pStyle w:val="TableHeading"/>
            </w:pPr>
          </w:p>
        </w:tc>
        <w:tc>
          <w:tcPr>
            <w:tcW w:w="2044" w:type="dxa"/>
          </w:tcPr>
          <w:p w14:paraId="0240501D" w14:textId="77777777" w:rsidR="00231BC7" w:rsidRPr="00F362E5" w:rsidRDefault="00231BC7" w:rsidP="00751040">
            <w:pPr>
              <w:pStyle w:val="TableHeading"/>
            </w:pPr>
          </w:p>
        </w:tc>
      </w:tr>
      <w:tr w:rsidR="00231BC7" w:rsidRPr="00F362E5" w14:paraId="02997D51" w14:textId="77777777" w:rsidTr="00F362E5">
        <w:trPr>
          <w:trHeight w:hRule="exact" w:val="561"/>
        </w:trPr>
        <w:tc>
          <w:tcPr>
            <w:tcW w:w="3510" w:type="dxa"/>
          </w:tcPr>
          <w:p w14:paraId="678CD126" w14:textId="77777777" w:rsidR="00231BC7" w:rsidRPr="00F362E5" w:rsidRDefault="00231BC7" w:rsidP="00751040">
            <w:pPr>
              <w:pStyle w:val="Tabletext"/>
            </w:pPr>
            <w:r w:rsidRPr="00F362E5">
              <w:t>Total</w:t>
            </w:r>
          </w:p>
        </w:tc>
        <w:tc>
          <w:tcPr>
            <w:tcW w:w="1701" w:type="dxa"/>
          </w:tcPr>
          <w:p w14:paraId="20409B90" w14:textId="77777777" w:rsidR="00231BC7" w:rsidRPr="00F362E5" w:rsidRDefault="00231BC7" w:rsidP="00751040">
            <w:pPr>
              <w:pStyle w:val="Tabletext"/>
            </w:pPr>
            <w:r w:rsidRPr="00F362E5">
              <w:t>533 (100.0)</w:t>
            </w:r>
          </w:p>
        </w:tc>
        <w:tc>
          <w:tcPr>
            <w:tcW w:w="1985" w:type="dxa"/>
          </w:tcPr>
          <w:p w14:paraId="699CA758" w14:textId="77777777" w:rsidR="00231BC7" w:rsidRPr="00F362E5" w:rsidRDefault="00231BC7" w:rsidP="00751040">
            <w:pPr>
              <w:pStyle w:val="Tabletext"/>
            </w:pPr>
            <w:r w:rsidRPr="00F362E5">
              <w:t>138 (100.0)</w:t>
            </w:r>
          </w:p>
        </w:tc>
        <w:tc>
          <w:tcPr>
            <w:tcW w:w="2044" w:type="dxa"/>
          </w:tcPr>
          <w:p w14:paraId="39CCD879" w14:textId="77777777" w:rsidR="00231BC7" w:rsidRPr="00F362E5" w:rsidRDefault="00231BC7" w:rsidP="00751040">
            <w:pPr>
              <w:pStyle w:val="Tabletext"/>
            </w:pPr>
            <w:r w:rsidRPr="00F362E5">
              <w:t>265 (100.0)</w:t>
            </w:r>
          </w:p>
        </w:tc>
      </w:tr>
      <w:tr w:rsidR="00231BC7" w:rsidRPr="00F362E5" w14:paraId="204A266B" w14:textId="77777777" w:rsidTr="00F362E5">
        <w:trPr>
          <w:trHeight w:hRule="exact" w:val="536"/>
        </w:trPr>
        <w:tc>
          <w:tcPr>
            <w:tcW w:w="3510" w:type="dxa"/>
          </w:tcPr>
          <w:p w14:paraId="55693A5B" w14:textId="77777777" w:rsidR="00231BC7" w:rsidRPr="00F362E5" w:rsidRDefault="00231BC7" w:rsidP="00751040">
            <w:pPr>
              <w:pStyle w:val="Tabletext"/>
            </w:pPr>
            <w:r w:rsidRPr="00F362E5">
              <w:t>Not censored (dead)</w:t>
            </w:r>
          </w:p>
        </w:tc>
        <w:tc>
          <w:tcPr>
            <w:tcW w:w="1701" w:type="dxa"/>
          </w:tcPr>
          <w:p w14:paraId="40F09C2A" w14:textId="77777777" w:rsidR="00231BC7" w:rsidRPr="00F362E5" w:rsidRDefault="00231BC7" w:rsidP="00751040">
            <w:pPr>
              <w:pStyle w:val="Tabletext"/>
            </w:pPr>
            <w:r w:rsidRPr="00F362E5">
              <w:t>363 (68.2)</w:t>
            </w:r>
          </w:p>
        </w:tc>
        <w:tc>
          <w:tcPr>
            <w:tcW w:w="1985" w:type="dxa"/>
          </w:tcPr>
          <w:p w14:paraId="69A3BF56" w14:textId="77777777" w:rsidR="00231BC7" w:rsidRPr="00F362E5" w:rsidRDefault="00231BC7" w:rsidP="00751040">
            <w:pPr>
              <w:pStyle w:val="Tabletext"/>
            </w:pPr>
            <w:r w:rsidRPr="00F362E5">
              <w:t>81 (58.7)</w:t>
            </w:r>
          </w:p>
        </w:tc>
        <w:tc>
          <w:tcPr>
            <w:tcW w:w="2044" w:type="dxa"/>
          </w:tcPr>
          <w:p w14:paraId="49F03C67" w14:textId="77777777" w:rsidR="00231BC7" w:rsidRPr="00F362E5" w:rsidRDefault="00231BC7" w:rsidP="00751040">
            <w:pPr>
              <w:pStyle w:val="Tabletext"/>
            </w:pPr>
            <w:r w:rsidRPr="00F362E5">
              <w:t>209 (78.9)</w:t>
            </w:r>
          </w:p>
        </w:tc>
      </w:tr>
      <w:tr w:rsidR="00231BC7" w:rsidRPr="00F362E5" w14:paraId="21E3F4AF" w14:textId="77777777" w:rsidTr="00F362E5">
        <w:trPr>
          <w:trHeight w:hRule="exact" w:val="371"/>
        </w:trPr>
        <w:tc>
          <w:tcPr>
            <w:tcW w:w="3510" w:type="dxa"/>
          </w:tcPr>
          <w:p w14:paraId="57B09908" w14:textId="77777777" w:rsidR="00231BC7" w:rsidRPr="00F362E5" w:rsidRDefault="00231BC7" w:rsidP="00751040">
            <w:pPr>
              <w:pStyle w:val="Tabletext"/>
            </w:pPr>
            <w:r w:rsidRPr="00F362E5">
              <w:t>Censored</w:t>
            </w:r>
          </w:p>
        </w:tc>
        <w:tc>
          <w:tcPr>
            <w:tcW w:w="1701" w:type="dxa"/>
          </w:tcPr>
          <w:p w14:paraId="2CEBB0A8" w14:textId="77777777" w:rsidR="00231BC7" w:rsidRPr="00F362E5" w:rsidRDefault="00231BC7" w:rsidP="00751040">
            <w:pPr>
              <w:pStyle w:val="Tabletext"/>
            </w:pPr>
            <w:r w:rsidRPr="00F362E5">
              <w:t>170 (31.8)</w:t>
            </w:r>
          </w:p>
        </w:tc>
        <w:tc>
          <w:tcPr>
            <w:tcW w:w="1985" w:type="dxa"/>
          </w:tcPr>
          <w:p w14:paraId="68E4F452" w14:textId="77777777" w:rsidR="00231BC7" w:rsidRPr="00F362E5" w:rsidRDefault="00231BC7" w:rsidP="00751040">
            <w:pPr>
              <w:pStyle w:val="Tabletext"/>
            </w:pPr>
            <w:r w:rsidRPr="00F362E5">
              <w:t>57 (41.3)</w:t>
            </w:r>
          </w:p>
        </w:tc>
        <w:tc>
          <w:tcPr>
            <w:tcW w:w="2044" w:type="dxa"/>
          </w:tcPr>
          <w:p w14:paraId="327DDF15" w14:textId="77777777" w:rsidR="00231BC7" w:rsidRPr="00F362E5" w:rsidRDefault="00231BC7" w:rsidP="00751040">
            <w:pPr>
              <w:pStyle w:val="Tabletext"/>
            </w:pPr>
            <w:r w:rsidRPr="00F362E5">
              <w:t>56 (21.1)</w:t>
            </w:r>
          </w:p>
        </w:tc>
      </w:tr>
      <w:tr w:rsidR="00231BC7" w:rsidRPr="00F362E5" w14:paraId="4B524763" w14:textId="77777777" w:rsidTr="00F362E5">
        <w:trPr>
          <w:trHeight w:hRule="exact" w:val="630"/>
        </w:trPr>
        <w:tc>
          <w:tcPr>
            <w:tcW w:w="3510" w:type="dxa"/>
          </w:tcPr>
          <w:p w14:paraId="412E9F10" w14:textId="3170B68F" w:rsidR="00231BC7" w:rsidRPr="00413213" w:rsidRDefault="00231BC7" w:rsidP="00413213">
            <w:pPr>
              <w:pStyle w:val="Tabletext"/>
              <w:rPr>
                <w:b/>
              </w:rPr>
            </w:pPr>
            <w:r w:rsidRPr="00413213">
              <w:rPr>
                <w:b/>
              </w:rPr>
              <w:t>Median Survival</w:t>
            </w:r>
            <w:r w:rsidRPr="00413213">
              <w:rPr>
                <w:b/>
                <w:spacing w:val="-2"/>
              </w:rPr>
              <w:t xml:space="preserve"> </w:t>
            </w:r>
            <w:r w:rsidRPr="00413213">
              <w:rPr>
                <w:b/>
              </w:rPr>
              <w:t>(months)</w:t>
            </w:r>
            <w:r w:rsidRPr="00413213">
              <w:rPr>
                <w:b/>
                <w:vertAlign w:val="superscript"/>
              </w:rPr>
              <w:t>a</w:t>
            </w:r>
            <w:r w:rsidRPr="00413213">
              <w:rPr>
                <w:b/>
              </w:rPr>
              <w:t xml:space="preserve"> </w:t>
            </w:r>
            <w:r w:rsidR="00A0007E" w:rsidRPr="00413213">
              <w:rPr>
                <w:b/>
              </w:rPr>
              <w:t>(</w:t>
            </w:r>
            <w:r w:rsidRPr="00413213">
              <w:rPr>
                <w:b/>
              </w:rPr>
              <w:t>95%</w:t>
            </w:r>
            <w:r w:rsidRPr="00413213">
              <w:rPr>
                <w:b/>
                <w:spacing w:val="-4"/>
              </w:rPr>
              <w:t xml:space="preserve"> </w:t>
            </w:r>
            <w:r w:rsidRPr="00413213">
              <w:rPr>
                <w:b/>
              </w:rPr>
              <w:t>CI</w:t>
            </w:r>
            <w:r w:rsidR="00A0007E" w:rsidRPr="00413213">
              <w:rPr>
                <w:b/>
              </w:rPr>
              <w:t>)</w:t>
            </w:r>
            <w:r w:rsidRPr="00413213">
              <w:rPr>
                <w:b/>
                <w:vertAlign w:val="superscript"/>
              </w:rPr>
              <w:t>b</w:t>
            </w:r>
          </w:p>
        </w:tc>
        <w:tc>
          <w:tcPr>
            <w:tcW w:w="1701" w:type="dxa"/>
          </w:tcPr>
          <w:p w14:paraId="3498F936" w14:textId="5B0F15B5" w:rsidR="00231BC7" w:rsidRPr="00F362E5" w:rsidRDefault="00231BC7" w:rsidP="00413213">
            <w:pPr>
              <w:pStyle w:val="Tabletext"/>
            </w:pPr>
            <w:r w:rsidRPr="00F362E5">
              <w:t xml:space="preserve">7.1 </w:t>
            </w:r>
            <w:r w:rsidR="00A0007E" w:rsidRPr="00F362E5">
              <w:t>(</w:t>
            </w:r>
            <w:r w:rsidRPr="00F362E5">
              <w:t>6.5, 7.8</w:t>
            </w:r>
            <w:r w:rsidR="00A0007E" w:rsidRPr="00F362E5">
              <w:t>)</w:t>
            </w:r>
          </w:p>
        </w:tc>
        <w:tc>
          <w:tcPr>
            <w:tcW w:w="1985" w:type="dxa"/>
          </w:tcPr>
          <w:p w14:paraId="6B9D62A2" w14:textId="337070F8" w:rsidR="00231BC7" w:rsidRPr="00F362E5" w:rsidRDefault="00231BC7" w:rsidP="00413213">
            <w:pPr>
              <w:pStyle w:val="Tabletext"/>
            </w:pPr>
            <w:r w:rsidRPr="00F362E5">
              <w:t xml:space="preserve">8.9 </w:t>
            </w:r>
            <w:r w:rsidR="00A0007E" w:rsidRPr="00F362E5">
              <w:t>(</w:t>
            </w:r>
            <w:r w:rsidRPr="00F362E5">
              <w:t>7.2, 10.2</w:t>
            </w:r>
            <w:r w:rsidR="00A0007E" w:rsidRPr="00F362E5">
              <w:t>)</w:t>
            </w:r>
          </w:p>
        </w:tc>
        <w:tc>
          <w:tcPr>
            <w:tcW w:w="2044" w:type="dxa"/>
          </w:tcPr>
          <w:p w14:paraId="0FDDCEC6" w14:textId="5EFF26E8" w:rsidR="00231BC7" w:rsidRPr="00F362E5" w:rsidRDefault="00231BC7" w:rsidP="00413213">
            <w:pPr>
              <w:pStyle w:val="Tabletext"/>
            </w:pPr>
            <w:r w:rsidRPr="00F362E5">
              <w:t xml:space="preserve">5.3 </w:t>
            </w:r>
            <w:r w:rsidR="00A0007E" w:rsidRPr="00F362E5">
              <w:t>(</w:t>
            </w:r>
            <w:r w:rsidRPr="00F362E5">
              <w:t>4.6, 6.0</w:t>
            </w:r>
            <w:r w:rsidR="00A0007E" w:rsidRPr="00F362E5">
              <w:t>)</w:t>
            </w:r>
          </w:p>
        </w:tc>
      </w:tr>
      <w:tr w:rsidR="00231BC7" w:rsidRPr="00F362E5" w14:paraId="0C3E7FD6" w14:textId="77777777" w:rsidTr="00413213">
        <w:trPr>
          <w:trHeight w:hRule="exact" w:val="624"/>
        </w:trPr>
        <w:tc>
          <w:tcPr>
            <w:tcW w:w="3510" w:type="dxa"/>
          </w:tcPr>
          <w:p w14:paraId="2E89896B" w14:textId="6108BB52" w:rsidR="00231BC7" w:rsidRPr="00F362E5" w:rsidRDefault="00231BC7" w:rsidP="00413213">
            <w:pPr>
              <w:pStyle w:val="Tabletext"/>
            </w:pPr>
            <w:r w:rsidRPr="00413213">
              <w:rPr>
                <w:b/>
              </w:rPr>
              <w:t>Hazard Ratio</w:t>
            </w:r>
            <w:r w:rsidRPr="00413213">
              <w:rPr>
                <w:b/>
                <w:spacing w:val="1"/>
              </w:rPr>
              <w:t xml:space="preserve"> </w:t>
            </w:r>
            <w:r w:rsidRPr="00413213">
              <w:rPr>
                <w:b/>
              </w:rPr>
              <w:t>(TAS-102:placebo)</w:t>
            </w:r>
            <w:r w:rsidRPr="00F362E5">
              <w:t xml:space="preserve"> </w:t>
            </w:r>
            <w:r w:rsidR="00A0007E" w:rsidRPr="00F362E5">
              <w:t>(</w:t>
            </w:r>
            <w:r w:rsidRPr="00F362E5">
              <w:t>95%</w:t>
            </w:r>
            <w:r w:rsidRPr="00F362E5">
              <w:rPr>
                <w:spacing w:val="-4"/>
              </w:rPr>
              <w:t xml:space="preserve"> </w:t>
            </w:r>
            <w:r w:rsidRPr="00F362E5">
              <w:t>CI</w:t>
            </w:r>
            <w:r w:rsidR="00A0007E" w:rsidRPr="00F362E5">
              <w:t>)</w:t>
            </w:r>
          </w:p>
        </w:tc>
        <w:tc>
          <w:tcPr>
            <w:tcW w:w="1701" w:type="dxa"/>
          </w:tcPr>
          <w:p w14:paraId="6D698949" w14:textId="59F74765" w:rsidR="00231BC7" w:rsidRPr="00F362E5" w:rsidRDefault="00231BC7" w:rsidP="00413213">
            <w:pPr>
              <w:pStyle w:val="Tabletext"/>
            </w:pPr>
            <w:r w:rsidRPr="00F362E5">
              <w:t xml:space="preserve">0.68 </w:t>
            </w:r>
            <w:r w:rsidR="00A0007E" w:rsidRPr="00F362E5">
              <w:t>(</w:t>
            </w:r>
            <w:r w:rsidRPr="00F362E5">
              <w:t>0.58, 0.81</w:t>
            </w:r>
            <w:r w:rsidR="00A0007E" w:rsidRPr="00F362E5">
              <w:t>)</w:t>
            </w:r>
          </w:p>
        </w:tc>
        <w:tc>
          <w:tcPr>
            <w:tcW w:w="1985" w:type="dxa"/>
          </w:tcPr>
          <w:p w14:paraId="04C4B74D" w14:textId="48313379" w:rsidR="00231BC7" w:rsidRPr="00F362E5" w:rsidRDefault="00231BC7" w:rsidP="00413213">
            <w:pPr>
              <w:pStyle w:val="Tabletext"/>
            </w:pPr>
            <w:r w:rsidRPr="00F362E5">
              <w:t xml:space="preserve">0.53 </w:t>
            </w:r>
            <w:r w:rsidR="00A0007E" w:rsidRPr="00F362E5">
              <w:t>(</w:t>
            </w:r>
            <w:r w:rsidRPr="00F362E5">
              <w:t>0.41, 0.69</w:t>
            </w:r>
            <w:r w:rsidR="00A0007E" w:rsidRPr="00F362E5">
              <w:t>)</w:t>
            </w:r>
          </w:p>
        </w:tc>
        <w:tc>
          <w:tcPr>
            <w:tcW w:w="2044" w:type="dxa"/>
          </w:tcPr>
          <w:p w14:paraId="09B8A92B" w14:textId="77777777" w:rsidR="00231BC7" w:rsidRPr="00F362E5" w:rsidRDefault="00231BC7" w:rsidP="00413213">
            <w:pPr>
              <w:pStyle w:val="Tabletext"/>
            </w:pPr>
          </w:p>
        </w:tc>
      </w:tr>
    </w:tbl>
    <w:p w14:paraId="20DBC47C" w14:textId="229089B1" w:rsidR="00231BC7" w:rsidRPr="00F362E5" w:rsidRDefault="00231BC7" w:rsidP="00257610">
      <w:pPr>
        <w:pStyle w:val="TableDescription"/>
        <w:rPr>
          <w:sz w:val="18"/>
          <w:szCs w:val="18"/>
        </w:rPr>
      </w:pPr>
      <w:r w:rsidRPr="00F362E5">
        <w:rPr>
          <w:sz w:val="18"/>
          <w:szCs w:val="18"/>
        </w:rPr>
        <w:t>a.</w:t>
      </w:r>
      <w:r w:rsidR="00257610" w:rsidRPr="00F362E5">
        <w:rPr>
          <w:sz w:val="18"/>
          <w:szCs w:val="18"/>
        </w:rPr>
        <w:t xml:space="preserve"> </w:t>
      </w:r>
      <w:r w:rsidRPr="00F362E5">
        <w:rPr>
          <w:sz w:val="18"/>
          <w:szCs w:val="18"/>
        </w:rPr>
        <w:t>Kaplan-Meier estimates. b.</w:t>
      </w:r>
      <w:r w:rsidR="00257610" w:rsidRPr="00F362E5">
        <w:rPr>
          <w:sz w:val="18"/>
          <w:szCs w:val="18"/>
        </w:rPr>
        <w:t xml:space="preserve"> </w:t>
      </w:r>
      <w:r w:rsidRPr="00F362E5">
        <w:rPr>
          <w:sz w:val="18"/>
          <w:szCs w:val="18"/>
        </w:rPr>
        <w:t>Methodology of Brookmeyer and Crowley.</w:t>
      </w:r>
    </w:p>
    <w:p w14:paraId="647FDA8E" w14:textId="7C674A1C" w:rsidR="00516FBF" w:rsidRPr="00C94C33" w:rsidRDefault="00231BC7" w:rsidP="005C2FCA">
      <w:pPr>
        <w:rPr>
          <w:rFonts w:cstheme="minorBidi"/>
          <w:b/>
        </w:rPr>
      </w:pPr>
      <w:r w:rsidRPr="00C94C33">
        <w:t xml:space="preserve">The results for OS by FTD AUC or by TPI AUC in the </w:t>
      </w:r>
      <w:r w:rsidR="00986ED2">
        <w:t>PK/PD</w:t>
      </w:r>
      <w:r w:rsidRPr="00C94C33">
        <w:t xml:space="preserve"> population are summarised below in Table 23. Median OS in the high FTD AUC group was </w:t>
      </w:r>
      <w:r w:rsidRPr="005C2FCA">
        <w:t>longer</w:t>
      </w:r>
      <w:r w:rsidRPr="00C94C33">
        <w:t xml:space="preserve"> than in the low FTD AUC group (9.2</w:t>
      </w:r>
      <w:r w:rsidR="00C11183">
        <w:t xml:space="preserve"> versus </w:t>
      </w:r>
      <w:r w:rsidRPr="00C94C33">
        <w:t xml:space="preserve">8.1 months), but the HR was not statistically significant (HR </w:t>
      </w:r>
      <w:r w:rsidR="00A0007E" w:rsidRPr="00C94C33">
        <w:t>(</w:t>
      </w:r>
      <w:r w:rsidRPr="00C94C33">
        <w:t>high:low</w:t>
      </w:r>
      <w:r w:rsidR="00A0007E" w:rsidRPr="00C94C33">
        <w:t>)</w:t>
      </w:r>
      <w:r w:rsidRPr="00C94C33">
        <w:t xml:space="preserve">= 0.72 </w:t>
      </w:r>
      <w:r w:rsidR="00A0007E" w:rsidRPr="00C94C33">
        <w:t>(</w:t>
      </w:r>
      <w:r w:rsidRPr="00C94C33">
        <w:t>95% CI: 0.46, 1.11</w:t>
      </w:r>
      <w:r w:rsidR="00A0007E" w:rsidRPr="00C94C33">
        <w:t>)</w:t>
      </w:r>
      <w:r w:rsidRPr="00C94C33">
        <w:t xml:space="preserve">). The median OS in the high TPI AUC group was </w:t>
      </w:r>
      <w:r w:rsidRPr="005C2FCA">
        <w:t>shorter</w:t>
      </w:r>
      <w:r w:rsidRPr="00C94C33">
        <w:t xml:space="preserve"> than in the low TPI AUC group (7.8</w:t>
      </w:r>
      <w:r w:rsidR="00C11183">
        <w:t xml:space="preserve"> versus </w:t>
      </w:r>
      <w:r w:rsidRPr="00C94C33">
        <w:t xml:space="preserve">9.2 months), but the HR was not statistically significant (HR </w:t>
      </w:r>
      <w:r w:rsidR="00A0007E" w:rsidRPr="00C94C33">
        <w:t>(</w:t>
      </w:r>
      <w:r w:rsidRPr="00C94C33">
        <w:t>high:low</w:t>
      </w:r>
      <w:r w:rsidR="00A0007E" w:rsidRPr="00C94C33">
        <w:t>)</w:t>
      </w:r>
      <w:r w:rsidRPr="00C94C33">
        <w:t xml:space="preserve">= 1.09 </w:t>
      </w:r>
      <w:r w:rsidR="00A0007E" w:rsidRPr="00C94C33">
        <w:t>(</w:t>
      </w:r>
      <w:r w:rsidRPr="00C94C33">
        <w:t>95% CI: 0.70, 1.69</w:t>
      </w:r>
      <w:r w:rsidR="00A0007E" w:rsidRPr="00C94C33">
        <w:t>)</w:t>
      </w:r>
      <w:r w:rsidRPr="00C94C33">
        <w:t>).</w:t>
      </w:r>
      <w:bookmarkStart w:id="173" w:name="_Toc470948672"/>
    </w:p>
    <w:p w14:paraId="17F05BF8" w14:textId="2ABE11F6" w:rsidR="00231BC7" w:rsidRPr="00C94C33" w:rsidRDefault="00231BC7" w:rsidP="0058475B">
      <w:pPr>
        <w:pStyle w:val="Tabletitle"/>
      </w:pPr>
      <w:r w:rsidRPr="00C94C33">
        <w:t>Table</w:t>
      </w:r>
      <w:r w:rsidR="00257610" w:rsidRPr="00C94C33">
        <w:t xml:space="preserve"> 23</w:t>
      </w:r>
      <w:r w:rsidRPr="00C94C33">
        <w:t xml:space="preserve">: </w:t>
      </w:r>
      <w:r w:rsidR="00986ED2">
        <w:t>PK/PD</w:t>
      </w:r>
      <w:r w:rsidRPr="00C94C33">
        <w:t xml:space="preserve"> Report</w:t>
      </w:r>
      <w:r w:rsidR="00575F1B">
        <w:t xml:space="preserve">; </w:t>
      </w:r>
      <w:r w:rsidRPr="00C94C33">
        <w:t xml:space="preserve">Overall survival by FTD AUC or TPI AUC in the </w:t>
      </w:r>
      <w:r w:rsidR="00986ED2">
        <w:t>PK/PD</w:t>
      </w:r>
      <w:r w:rsidRPr="00C94C33">
        <w:t xml:space="preserve"> population</w:t>
      </w:r>
      <w:bookmarkEnd w:id="173"/>
    </w:p>
    <w:tbl>
      <w:tblPr>
        <w:tblStyle w:val="TableGrid2"/>
        <w:tblW w:w="9576" w:type="dxa"/>
        <w:tblLayout w:type="fixed"/>
        <w:tblLook w:val="0000" w:firstRow="0" w:lastRow="0" w:firstColumn="0" w:lastColumn="0" w:noHBand="0" w:noVBand="0"/>
        <w:tblDescription w:val="Table 23: PK/PD Report; Overall survival by FTD AUC or TPI AUC in the PK/PD population"/>
      </w:tblPr>
      <w:tblGrid>
        <w:gridCol w:w="4219"/>
        <w:gridCol w:w="2729"/>
        <w:gridCol w:w="2628"/>
      </w:tblGrid>
      <w:tr w:rsidR="00231BC7" w:rsidRPr="00F362E5" w14:paraId="11037225" w14:textId="77777777" w:rsidTr="00694369">
        <w:trPr>
          <w:trHeight w:hRule="exact" w:val="905"/>
          <w:tblHeader/>
        </w:trPr>
        <w:tc>
          <w:tcPr>
            <w:tcW w:w="4219" w:type="dxa"/>
          </w:tcPr>
          <w:p w14:paraId="09CBADFF" w14:textId="77777777" w:rsidR="00231BC7" w:rsidRPr="00F362E5" w:rsidRDefault="00231BC7" w:rsidP="00413213">
            <w:pPr>
              <w:pStyle w:val="TableHeading"/>
            </w:pPr>
            <w:bookmarkStart w:id="174" w:name="Figure_2:_Overall_Survival_by_FTD_AUC_in"/>
            <w:bookmarkStart w:id="175" w:name="Table_7:_Overall_Survival_by_FTD_AUC_or_"/>
            <w:bookmarkEnd w:id="174"/>
            <w:bookmarkEnd w:id="175"/>
            <w:r w:rsidRPr="00F362E5">
              <w:t>Parameter</w:t>
            </w:r>
          </w:p>
        </w:tc>
        <w:tc>
          <w:tcPr>
            <w:tcW w:w="2729" w:type="dxa"/>
          </w:tcPr>
          <w:p w14:paraId="65DEBBEB" w14:textId="17DECDE6" w:rsidR="00231BC7" w:rsidRPr="00F362E5" w:rsidRDefault="00231BC7" w:rsidP="00413213">
            <w:pPr>
              <w:pStyle w:val="TableHeading"/>
            </w:pPr>
            <w:r w:rsidRPr="00F362E5">
              <w:t>High AUC</w:t>
            </w:r>
            <w:r w:rsidRPr="00F362E5">
              <w:rPr>
                <w:spacing w:val="24"/>
              </w:rPr>
              <w:t xml:space="preserve"> </w:t>
            </w:r>
            <w:r w:rsidRPr="00F362E5">
              <w:t>(</w:t>
            </w:r>
            <w:r w:rsidR="009C0389" w:rsidRPr="00F362E5">
              <w:t xml:space="preserve">N = </w:t>
            </w:r>
            <w:r w:rsidRPr="00F362E5">
              <w:t>69)</w:t>
            </w:r>
          </w:p>
        </w:tc>
        <w:tc>
          <w:tcPr>
            <w:tcW w:w="2628" w:type="dxa"/>
          </w:tcPr>
          <w:p w14:paraId="2CDC0DA0" w14:textId="598DB1F7" w:rsidR="00231BC7" w:rsidRPr="00F362E5" w:rsidRDefault="00231BC7" w:rsidP="00413213">
            <w:pPr>
              <w:pStyle w:val="TableHeading"/>
            </w:pPr>
            <w:r w:rsidRPr="00F362E5">
              <w:t>Low AUC</w:t>
            </w:r>
            <w:r w:rsidRPr="00F362E5">
              <w:rPr>
                <w:spacing w:val="24"/>
              </w:rPr>
              <w:t xml:space="preserve"> </w:t>
            </w:r>
            <w:r w:rsidRPr="00F362E5">
              <w:t>(</w:t>
            </w:r>
            <w:r w:rsidR="009C0389" w:rsidRPr="00F362E5">
              <w:t xml:space="preserve">N = </w:t>
            </w:r>
            <w:r w:rsidRPr="00F362E5">
              <w:t>69)</w:t>
            </w:r>
          </w:p>
        </w:tc>
      </w:tr>
      <w:tr w:rsidR="00231BC7" w:rsidRPr="00F362E5" w14:paraId="198180F4" w14:textId="77777777" w:rsidTr="00F362E5">
        <w:trPr>
          <w:trHeight w:hRule="exact" w:val="306"/>
        </w:trPr>
        <w:tc>
          <w:tcPr>
            <w:tcW w:w="9576" w:type="dxa"/>
            <w:gridSpan w:val="3"/>
          </w:tcPr>
          <w:p w14:paraId="4C3E9FB3" w14:textId="77777777" w:rsidR="00231BC7" w:rsidRPr="00F362E5" w:rsidRDefault="00231BC7" w:rsidP="00413213">
            <w:pPr>
              <w:pStyle w:val="TableHeading"/>
            </w:pPr>
            <w:r w:rsidRPr="00F362E5">
              <w:t>FTD</w:t>
            </w:r>
          </w:p>
        </w:tc>
      </w:tr>
      <w:tr w:rsidR="00231BC7" w:rsidRPr="00F362E5" w14:paraId="2902C513" w14:textId="77777777" w:rsidTr="00F362E5">
        <w:trPr>
          <w:trHeight w:hRule="exact" w:val="305"/>
        </w:trPr>
        <w:tc>
          <w:tcPr>
            <w:tcW w:w="4219" w:type="dxa"/>
          </w:tcPr>
          <w:p w14:paraId="183CCBD6" w14:textId="77777777" w:rsidR="00231BC7" w:rsidRPr="00F362E5" w:rsidRDefault="00231BC7" w:rsidP="00413213">
            <w:pPr>
              <w:pStyle w:val="TableHeading"/>
            </w:pPr>
            <w:r w:rsidRPr="00F362E5">
              <w:lastRenderedPageBreak/>
              <w:t>Number</w:t>
            </w:r>
            <w:r w:rsidRPr="00F362E5">
              <w:rPr>
                <w:spacing w:val="-2"/>
              </w:rPr>
              <w:t xml:space="preserve"> (%)</w:t>
            </w:r>
            <w:r w:rsidRPr="00F362E5">
              <w:t xml:space="preserve"> of patients by censoring status</w:t>
            </w:r>
          </w:p>
        </w:tc>
        <w:tc>
          <w:tcPr>
            <w:tcW w:w="2729" w:type="dxa"/>
          </w:tcPr>
          <w:p w14:paraId="6F64973F" w14:textId="77777777" w:rsidR="00231BC7" w:rsidRPr="00F362E5" w:rsidRDefault="00231BC7" w:rsidP="00413213">
            <w:pPr>
              <w:pStyle w:val="TableHeading"/>
            </w:pPr>
          </w:p>
        </w:tc>
        <w:tc>
          <w:tcPr>
            <w:tcW w:w="2628" w:type="dxa"/>
          </w:tcPr>
          <w:p w14:paraId="010B492C" w14:textId="77777777" w:rsidR="00231BC7" w:rsidRPr="00F362E5" w:rsidRDefault="00231BC7" w:rsidP="00413213">
            <w:pPr>
              <w:pStyle w:val="TableHeading"/>
            </w:pPr>
          </w:p>
        </w:tc>
      </w:tr>
      <w:tr w:rsidR="00231BC7" w:rsidRPr="00F362E5" w14:paraId="46FA0719" w14:textId="77777777" w:rsidTr="00F362E5">
        <w:trPr>
          <w:trHeight w:hRule="exact" w:val="305"/>
        </w:trPr>
        <w:tc>
          <w:tcPr>
            <w:tcW w:w="4219" w:type="dxa"/>
          </w:tcPr>
          <w:p w14:paraId="6A4F2432" w14:textId="77777777" w:rsidR="00231BC7" w:rsidRPr="00F362E5" w:rsidRDefault="00231BC7" w:rsidP="00413213">
            <w:pPr>
              <w:pStyle w:val="Tabletext"/>
            </w:pPr>
            <w:r w:rsidRPr="00F362E5">
              <w:t>Total</w:t>
            </w:r>
          </w:p>
        </w:tc>
        <w:tc>
          <w:tcPr>
            <w:tcW w:w="2729" w:type="dxa"/>
          </w:tcPr>
          <w:p w14:paraId="792C83A4" w14:textId="77777777" w:rsidR="00231BC7" w:rsidRPr="00F362E5" w:rsidRDefault="00231BC7" w:rsidP="00413213">
            <w:pPr>
              <w:pStyle w:val="Tabletext"/>
            </w:pPr>
            <w:r w:rsidRPr="00F362E5">
              <w:t>69 (100.0)</w:t>
            </w:r>
          </w:p>
        </w:tc>
        <w:tc>
          <w:tcPr>
            <w:tcW w:w="2628" w:type="dxa"/>
          </w:tcPr>
          <w:p w14:paraId="3BC31B45" w14:textId="77777777" w:rsidR="00231BC7" w:rsidRPr="00F362E5" w:rsidRDefault="00231BC7" w:rsidP="00413213">
            <w:pPr>
              <w:pStyle w:val="Tabletext"/>
            </w:pPr>
            <w:r w:rsidRPr="00F362E5">
              <w:t>69 (100.0)</w:t>
            </w:r>
          </w:p>
        </w:tc>
      </w:tr>
      <w:tr w:rsidR="00231BC7" w:rsidRPr="00F362E5" w14:paraId="55B56211" w14:textId="77777777" w:rsidTr="00F362E5">
        <w:trPr>
          <w:trHeight w:hRule="exact" w:val="305"/>
        </w:trPr>
        <w:tc>
          <w:tcPr>
            <w:tcW w:w="4219" w:type="dxa"/>
          </w:tcPr>
          <w:p w14:paraId="00EF2C8B" w14:textId="77777777" w:rsidR="00231BC7" w:rsidRPr="00F362E5" w:rsidRDefault="00231BC7" w:rsidP="00413213">
            <w:pPr>
              <w:pStyle w:val="Tabletext"/>
            </w:pPr>
            <w:r w:rsidRPr="00F362E5">
              <w:t>Not censored (dead)</w:t>
            </w:r>
          </w:p>
        </w:tc>
        <w:tc>
          <w:tcPr>
            <w:tcW w:w="2729" w:type="dxa"/>
          </w:tcPr>
          <w:p w14:paraId="728C7788" w14:textId="77777777" w:rsidR="00231BC7" w:rsidRPr="00F362E5" w:rsidRDefault="00231BC7" w:rsidP="00413213">
            <w:pPr>
              <w:pStyle w:val="Tabletext"/>
            </w:pPr>
            <w:r w:rsidRPr="00F362E5">
              <w:t>39 (56.5)</w:t>
            </w:r>
          </w:p>
        </w:tc>
        <w:tc>
          <w:tcPr>
            <w:tcW w:w="2628" w:type="dxa"/>
          </w:tcPr>
          <w:p w14:paraId="11D28E9A" w14:textId="77777777" w:rsidR="00231BC7" w:rsidRPr="00F362E5" w:rsidRDefault="00231BC7" w:rsidP="00413213">
            <w:pPr>
              <w:pStyle w:val="Tabletext"/>
            </w:pPr>
            <w:r w:rsidRPr="00F362E5">
              <w:t>42 (60.9)</w:t>
            </w:r>
          </w:p>
        </w:tc>
      </w:tr>
      <w:tr w:rsidR="00231BC7" w:rsidRPr="00F362E5" w14:paraId="307030C0" w14:textId="77777777" w:rsidTr="00F362E5">
        <w:trPr>
          <w:trHeight w:hRule="exact" w:val="305"/>
        </w:trPr>
        <w:tc>
          <w:tcPr>
            <w:tcW w:w="4219" w:type="dxa"/>
          </w:tcPr>
          <w:p w14:paraId="2A8001E4" w14:textId="77777777" w:rsidR="00231BC7" w:rsidRPr="00F362E5" w:rsidRDefault="00231BC7" w:rsidP="00413213">
            <w:pPr>
              <w:pStyle w:val="Tabletext"/>
            </w:pPr>
            <w:r w:rsidRPr="00F362E5">
              <w:t>Censored</w:t>
            </w:r>
          </w:p>
        </w:tc>
        <w:tc>
          <w:tcPr>
            <w:tcW w:w="2729" w:type="dxa"/>
          </w:tcPr>
          <w:p w14:paraId="0BD547E5" w14:textId="77777777" w:rsidR="00231BC7" w:rsidRPr="00F362E5" w:rsidRDefault="00231BC7" w:rsidP="00413213">
            <w:pPr>
              <w:pStyle w:val="Tabletext"/>
            </w:pPr>
            <w:r w:rsidRPr="00F362E5">
              <w:t>30 (43.5)</w:t>
            </w:r>
          </w:p>
        </w:tc>
        <w:tc>
          <w:tcPr>
            <w:tcW w:w="2628" w:type="dxa"/>
          </w:tcPr>
          <w:p w14:paraId="1033DB49" w14:textId="77777777" w:rsidR="00231BC7" w:rsidRPr="00F362E5" w:rsidRDefault="00231BC7" w:rsidP="00413213">
            <w:pPr>
              <w:pStyle w:val="Tabletext"/>
            </w:pPr>
            <w:r w:rsidRPr="00F362E5">
              <w:t>27 (39.1)</w:t>
            </w:r>
          </w:p>
        </w:tc>
      </w:tr>
      <w:tr w:rsidR="00231BC7" w:rsidRPr="00F362E5" w14:paraId="50F94CD0" w14:textId="77777777" w:rsidTr="00F362E5">
        <w:trPr>
          <w:trHeight w:hRule="exact" w:val="584"/>
        </w:trPr>
        <w:tc>
          <w:tcPr>
            <w:tcW w:w="4219" w:type="dxa"/>
          </w:tcPr>
          <w:p w14:paraId="5B0AF630" w14:textId="61452ED1" w:rsidR="00231BC7" w:rsidRPr="00F362E5" w:rsidRDefault="00231BC7" w:rsidP="00413213">
            <w:pPr>
              <w:pStyle w:val="Tabletext"/>
            </w:pPr>
            <w:r w:rsidRPr="00F362E5">
              <w:rPr>
                <w:b/>
                <w:bCs/>
              </w:rPr>
              <w:t>Median Survival (months)</w:t>
            </w:r>
            <w:r w:rsidRPr="00F362E5">
              <w:rPr>
                <w:b/>
                <w:bCs/>
                <w:vertAlign w:val="superscript"/>
              </w:rPr>
              <w:t>a</w:t>
            </w:r>
            <w:r w:rsidRPr="00F362E5">
              <w:rPr>
                <w:b/>
                <w:bCs/>
              </w:rPr>
              <w:t xml:space="preserve"> </w:t>
            </w:r>
            <w:r w:rsidR="00A0007E" w:rsidRPr="00F362E5">
              <w:rPr>
                <w:b/>
                <w:bCs/>
              </w:rPr>
              <w:t>(</w:t>
            </w:r>
            <w:r w:rsidRPr="00F362E5">
              <w:rPr>
                <w:b/>
                <w:bCs/>
              </w:rPr>
              <w:t>95%</w:t>
            </w:r>
            <w:r w:rsidRPr="00F362E5">
              <w:rPr>
                <w:b/>
                <w:bCs/>
                <w:spacing w:val="-4"/>
              </w:rPr>
              <w:t xml:space="preserve"> </w:t>
            </w:r>
            <w:r w:rsidRPr="00F362E5">
              <w:rPr>
                <w:b/>
                <w:bCs/>
              </w:rPr>
              <w:t>CI</w:t>
            </w:r>
            <w:r w:rsidR="00A0007E" w:rsidRPr="00F362E5">
              <w:rPr>
                <w:b/>
                <w:bCs/>
              </w:rPr>
              <w:t>)</w:t>
            </w:r>
            <w:r w:rsidRPr="00F362E5">
              <w:rPr>
                <w:b/>
                <w:bCs/>
                <w:vertAlign w:val="superscript"/>
              </w:rPr>
              <w:t>c</w:t>
            </w:r>
            <w:r w:rsidRPr="00F362E5">
              <w:rPr>
                <w:b/>
                <w:bCs/>
              </w:rPr>
              <w:t xml:space="preserve"> </w:t>
            </w:r>
          </w:p>
        </w:tc>
        <w:tc>
          <w:tcPr>
            <w:tcW w:w="2729" w:type="dxa"/>
          </w:tcPr>
          <w:p w14:paraId="4E93715E" w14:textId="4FD2EBDD" w:rsidR="00231BC7" w:rsidRPr="00F362E5" w:rsidRDefault="00231BC7" w:rsidP="00413213">
            <w:pPr>
              <w:pStyle w:val="Tabletext"/>
            </w:pPr>
            <w:r w:rsidRPr="00F362E5">
              <w:t xml:space="preserve">9.2 </w:t>
            </w:r>
            <w:r w:rsidR="00A0007E" w:rsidRPr="00F362E5">
              <w:t>(</w:t>
            </w:r>
            <w:r w:rsidRPr="00F362E5">
              <w:t>7.8, 11.1</w:t>
            </w:r>
            <w:r w:rsidR="00A0007E" w:rsidRPr="00F362E5">
              <w:t>)</w:t>
            </w:r>
          </w:p>
        </w:tc>
        <w:tc>
          <w:tcPr>
            <w:tcW w:w="2628" w:type="dxa"/>
          </w:tcPr>
          <w:p w14:paraId="09710C80" w14:textId="052A29C2" w:rsidR="00231BC7" w:rsidRPr="00F362E5" w:rsidRDefault="00231BC7" w:rsidP="00413213">
            <w:pPr>
              <w:pStyle w:val="Tabletext"/>
            </w:pPr>
            <w:r w:rsidRPr="00F362E5">
              <w:t xml:space="preserve">8.1 </w:t>
            </w:r>
            <w:r w:rsidR="00A0007E" w:rsidRPr="00F362E5">
              <w:t>(</w:t>
            </w:r>
            <w:r w:rsidRPr="00F362E5">
              <w:t>5.3, 12.2</w:t>
            </w:r>
            <w:r w:rsidR="00A0007E" w:rsidRPr="00F362E5">
              <w:t>)</w:t>
            </w:r>
          </w:p>
        </w:tc>
      </w:tr>
      <w:tr w:rsidR="00231BC7" w:rsidRPr="00F362E5" w14:paraId="7D8AC9A1" w14:textId="77777777" w:rsidTr="00F362E5">
        <w:trPr>
          <w:trHeight w:hRule="exact" w:val="305"/>
        </w:trPr>
        <w:tc>
          <w:tcPr>
            <w:tcW w:w="4219" w:type="dxa"/>
          </w:tcPr>
          <w:p w14:paraId="070497E4" w14:textId="74CCA3D9" w:rsidR="00231BC7" w:rsidRPr="00413213" w:rsidRDefault="00231BC7" w:rsidP="00413213">
            <w:pPr>
              <w:pStyle w:val="Tabletext"/>
              <w:rPr>
                <w:b/>
              </w:rPr>
            </w:pPr>
            <w:r w:rsidRPr="00413213">
              <w:rPr>
                <w:b/>
              </w:rPr>
              <w:t xml:space="preserve">Hazard Ratio (High AUC:Low AUC) </w:t>
            </w:r>
            <w:r w:rsidR="00A0007E" w:rsidRPr="00413213">
              <w:rPr>
                <w:b/>
              </w:rPr>
              <w:t>(</w:t>
            </w:r>
            <w:r w:rsidRPr="00413213">
              <w:rPr>
                <w:b/>
              </w:rPr>
              <w:t>95%</w:t>
            </w:r>
            <w:r w:rsidRPr="00413213">
              <w:rPr>
                <w:b/>
                <w:spacing w:val="-3"/>
              </w:rPr>
              <w:t xml:space="preserve"> </w:t>
            </w:r>
            <w:r w:rsidRPr="00413213">
              <w:rPr>
                <w:b/>
              </w:rPr>
              <w:t>CI</w:t>
            </w:r>
            <w:r w:rsidR="00A0007E" w:rsidRPr="00413213">
              <w:rPr>
                <w:b/>
              </w:rPr>
              <w:t>)</w:t>
            </w:r>
          </w:p>
        </w:tc>
        <w:tc>
          <w:tcPr>
            <w:tcW w:w="5357" w:type="dxa"/>
            <w:gridSpan w:val="2"/>
          </w:tcPr>
          <w:p w14:paraId="5643AE83" w14:textId="227DD543" w:rsidR="00231BC7" w:rsidRPr="00F362E5" w:rsidRDefault="00231BC7" w:rsidP="00413213">
            <w:pPr>
              <w:pStyle w:val="Tabletext"/>
            </w:pPr>
            <w:r w:rsidRPr="00F362E5">
              <w:t xml:space="preserve">0.72 </w:t>
            </w:r>
            <w:r w:rsidR="00A0007E" w:rsidRPr="00F362E5">
              <w:t>(</w:t>
            </w:r>
            <w:r w:rsidRPr="00F362E5">
              <w:t>0.46, 1.11</w:t>
            </w:r>
            <w:r w:rsidR="00A0007E" w:rsidRPr="00F362E5">
              <w:t>)</w:t>
            </w:r>
          </w:p>
        </w:tc>
      </w:tr>
      <w:tr w:rsidR="00231BC7" w:rsidRPr="00F362E5" w14:paraId="76A1ACFF" w14:textId="77777777" w:rsidTr="00F362E5">
        <w:trPr>
          <w:trHeight w:hRule="exact" w:val="306"/>
        </w:trPr>
        <w:tc>
          <w:tcPr>
            <w:tcW w:w="9576" w:type="dxa"/>
            <w:gridSpan w:val="3"/>
          </w:tcPr>
          <w:p w14:paraId="506610DC" w14:textId="77777777" w:rsidR="00231BC7" w:rsidRPr="00F362E5" w:rsidRDefault="00231BC7" w:rsidP="00413213">
            <w:pPr>
              <w:pStyle w:val="TableHeading"/>
            </w:pPr>
            <w:r w:rsidRPr="00F362E5">
              <w:t>TPI</w:t>
            </w:r>
          </w:p>
        </w:tc>
      </w:tr>
      <w:tr w:rsidR="00231BC7" w:rsidRPr="00F362E5" w14:paraId="467D0565" w14:textId="77777777" w:rsidTr="00F362E5">
        <w:trPr>
          <w:trHeight w:hRule="exact" w:val="305"/>
        </w:trPr>
        <w:tc>
          <w:tcPr>
            <w:tcW w:w="4219" w:type="dxa"/>
          </w:tcPr>
          <w:p w14:paraId="3376B41D" w14:textId="77777777" w:rsidR="00231BC7" w:rsidRPr="00F362E5" w:rsidRDefault="00231BC7" w:rsidP="00413213">
            <w:pPr>
              <w:pStyle w:val="TableHeading"/>
            </w:pPr>
            <w:r w:rsidRPr="00F362E5">
              <w:t>Number</w:t>
            </w:r>
            <w:r w:rsidRPr="00F362E5">
              <w:rPr>
                <w:spacing w:val="-2"/>
              </w:rPr>
              <w:t xml:space="preserve"> (%)</w:t>
            </w:r>
            <w:r w:rsidRPr="00F362E5">
              <w:t xml:space="preserve"> of patients by censoring status</w:t>
            </w:r>
          </w:p>
        </w:tc>
        <w:tc>
          <w:tcPr>
            <w:tcW w:w="2729" w:type="dxa"/>
          </w:tcPr>
          <w:p w14:paraId="6BE89194" w14:textId="77777777" w:rsidR="00231BC7" w:rsidRPr="00F362E5" w:rsidRDefault="00231BC7" w:rsidP="00413213">
            <w:pPr>
              <w:pStyle w:val="TableHeading"/>
            </w:pPr>
          </w:p>
        </w:tc>
        <w:tc>
          <w:tcPr>
            <w:tcW w:w="2628" w:type="dxa"/>
          </w:tcPr>
          <w:p w14:paraId="5425BAD3" w14:textId="77777777" w:rsidR="00231BC7" w:rsidRPr="00F362E5" w:rsidRDefault="00231BC7" w:rsidP="00413213">
            <w:pPr>
              <w:pStyle w:val="TableHeading"/>
            </w:pPr>
          </w:p>
        </w:tc>
      </w:tr>
      <w:tr w:rsidR="00231BC7" w:rsidRPr="00F362E5" w14:paraId="17A95C7A" w14:textId="77777777" w:rsidTr="00F362E5">
        <w:trPr>
          <w:trHeight w:hRule="exact" w:val="305"/>
        </w:trPr>
        <w:tc>
          <w:tcPr>
            <w:tcW w:w="4219" w:type="dxa"/>
          </w:tcPr>
          <w:p w14:paraId="4544DE3D" w14:textId="77777777" w:rsidR="00231BC7" w:rsidRPr="00F362E5" w:rsidRDefault="00231BC7" w:rsidP="00413213">
            <w:pPr>
              <w:pStyle w:val="Tabletext"/>
            </w:pPr>
            <w:r w:rsidRPr="00F362E5">
              <w:t>Total</w:t>
            </w:r>
          </w:p>
        </w:tc>
        <w:tc>
          <w:tcPr>
            <w:tcW w:w="2729" w:type="dxa"/>
          </w:tcPr>
          <w:p w14:paraId="7E0EAF3C" w14:textId="77777777" w:rsidR="00231BC7" w:rsidRPr="00F362E5" w:rsidRDefault="00231BC7" w:rsidP="00413213">
            <w:pPr>
              <w:pStyle w:val="Tabletext"/>
            </w:pPr>
            <w:r w:rsidRPr="00F362E5">
              <w:t>69 (100.0)</w:t>
            </w:r>
          </w:p>
        </w:tc>
        <w:tc>
          <w:tcPr>
            <w:tcW w:w="2628" w:type="dxa"/>
          </w:tcPr>
          <w:p w14:paraId="14659247" w14:textId="77777777" w:rsidR="00231BC7" w:rsidRPr="00F362E5" w:rsidRDefault="00231BC7" w:rsidP="00413213">
            <w:pPr>
              <w:pStyle w:val="Tabletext"/>
            </w:pPr>
            <w:r w:rsidRPr="00F362E5">
              <w:t>69 (100.0)</w:t>
            </w:r>
          </w:p>
        </w:tc>
      </w:tr>
      <w:tr w:rsidR="00231BC7" w:rsidRPr="00F362E5" w14:paraId="32A9A36A" w14:textId="77777777" w:rsidTr="00F362E5">
        <w:trPr>
          <w:trHeight w:hRule="exact" w:val="305"/>
        </w:trPr>
        <w:tc>
          <w:tcPr>
            <w:tcW w:w="4219" w:type="dxa"/>
          </w:tcPr>
          <w:p w14:paraId="574D6E04" w14:textId="77777777" w:rsidR="00231BC7" w:rsidRPr="00F362E5" w:rsidRDefault="00231BC7" w:rsidP="00413213">
            <w:pPr>
              <w:pStyle w:val="Tabletext"/>
            </w:pPr>
            <w:r w:rsidRPr="00F362E5">
              <w:t>Not censored (dead)</w:t>
            </w:r>
          </w:p>
        </w:tc>
        <w:tc>
          <w:tcPr>
            <w:tcW w:w="2729" w:type="dxa"/>
          </w:tcPr>
          <w:p w14:paraId="5082640C" w14:textId="77777777" w:rsidR="00231BC7" w:rsidRPr="00F362E5" w:rsidRDefault="00231BC7" w:rsidP="00413213">
            <w:pPr>
              <w:pStyle w:val="Tabletext"/>
            </w:pPr>
            <w:r w:rsidRPr="00F362E5">
              <w:t>42 (60.9)</w:t>
            </w:r>
          </w:p>
        </w:tc>
        <w:tc>
          <w:tcPr>
            <w:tcW w:w="2628" w:type="dxa"/>
          </w:tcPr>
          <w:p w14:paraId="3544FCF9" w14:textId="77777777" w:rsidR="00231BC7" w:rsidRPr="00F362E5" w:rsidRDefault="00231BC7" w:rsidP="00413213">
            <w:pPr>
              <w:pStyle w:val="Tabletext"/>
            </w:pPr>
            <w:r w:rsidRPr="00F362E5">
              <w:t>39 (56.5)</w:t>
            </w:r>
          </w:p>
        </w:tc>
      </w:tr>
      <w:tr w:rsidR="00231BC7" w:rsidRPr="00F362E5" w14:paraId="4E66B5C2" w14:textId="77777777" w:rsidTr="00F362E5">
        <w:trPr>
          <w:trHeight w:hRule="exact" w:val="305"/>
        </w:trPr>
        <w:tc>
          <w:tcPr>
            <w:tcW w:w="4219" w:type="dxa"/>
          </w:tcPr>
          <w:p w14:paraId="30EEF3DF" w14:textId="77777777" w:rsidR="00231BC7" w:rsidRPr="00F362E5" w:rsidRDefault="00231BC7" w:rsidP="00413213">
            <w:pPr>
              <w:pStyle w:val="Tabletext"/>
            </w:pPr>
            <w:r w:rsidRPr="00F362E5">
              <w:t>Censored</w:t>
            </w:r>
          </w:p>
        </w:tc>
        <w:tc>
          <w:tcPr>
            <w:tcW w:w="2729" w:type="dxa"/>
          </w:tcPr>
          <w:p w14:paraId="5A0E8E19" w14:textId="77777777" w:rsidR="00231BC7" w:rsidRPr="00F362E5" w:rsidRDefault="00231BC7" w:rsidP="00413213">
            <w:pPr>
              <w:pStyle w:val="Tabletext"/>
            </w:pPr>
            <w:r w:rsidRPr="00F362E5">
              <w:t>27 (39.1)</w:t>
            </w:r>
          </w:p>
        </w:tc>
        <w:tc>
          <w:tcPr>
            <w:tcW w:w="2628" w:type="dxa"/>
          </w:tcPr>
          <w:p w14:paraId="7B6E37FC" w14:textId="77777777" w:rsidR="00231BC7" w:rsidRPr="00F362E5" w:rsidRDefault="00231BC7" w:rsidP="00413213">
            <w:pPr>
              <w:pStyle w:val="Tabletext"/>
            </w:pPr>
            <w:r w:rsidRPr="00F362E5">
              <w:t>30 (43.5)</w:t>
            </w:r>
          </w:p>
        </w:tc>
      </w:tr>
      <w:tr w:rsidR="00231BC7" w:rsidRPr="00F362E5" w14:paraId="18DCA560" w14:textId="77777777" w:rsidTr="00F362E5">
        <w:trPr>
          <w:trHeight w:hRule="exact" w:val="548"/>
        </w:trPr>
        <w:tc>
          <w:tcPr>
            <w:tcW w:w="4219" w:type="dxa"/>
          </w:tcPr>
          <w:p w14:paraId="5557AD04" w14:textId="3BF1026A" w:rsidR="00231BC7" w:rsidRPr="00413213" w:rsidRDefault="00231BC7" w:rsidP="00413213">
            <w:pPr>
              <w:pStyle w:val="Tabletext"/>
              <w:rPr>
                <w:b/>
              </w:rPr>
            </w:pPr>
            <w:r w:rsidRPr="00413213">
              <w:rPr>
                <w:b/>
              </w:rPr>
              <w:t>Median Survival</w:t>
            </w:r>
            <w:r w:rsidRPr="00413213">
              <w:rPr>
                <w:b/>
                <w:spacing w:val="-2"/>
              </w:rPr>
              <w:t xml:space="preserve"> </w:t>
            </w:r>
            <w:r w:rsidRPr="00413213">
              <w:rPr>
                <w:b/>
              </w:rPr>
              <w:t>(months)</w:t>
            </w:r>
            <w:r w:rsidRPr="00413213">
              <w:rPr>
                <w:b/>
                <w:vertAlign w:val="superscript"/>
              </w:rPr>
              <w:t>a</w:t>
            </w:r>
            <w:r w:rsidRPr="00413213">
              <w:rPr>
                <w:b/>
              </w:rPr>
              <w:t xml:space="preserve"> </w:t>
            </w:r>
            <w:r w:rsidR="00A0007E" w:rsidRPr="00413213">
              <w:rPr>
                <w:b/>
              </w:rPr>
              <w:t>(</w:t>
            </w:r>
            <w:r w:rsidRPr="00413213">
              <w:rPr>
                <w:b/>
              </w:rPr>
              <w:t>95%</w:t>
            </w:r>
            <w:r w:rsidRPr="00413213">
              <w:rPr>
                <w:b/>
                <w:spacing w:val="-4"/>
              </w:rPr>
              <w:t xml:space="preserve"> </w:t>
            </w:r>
            <w:r w:rsidRPr="00413213">
              <w:rPr>
                <w:b/>
              </w:rPr>
              <w:t>CI</w:t>
            </w:r>
            <w:r w:rsidR="00A0007E" w:rsidRPr="00413213">
              <w:rPr>
                <w:b/>
              </w:rPr>
              <w:t>)</w:t>
            </w:r>
            <w:r w:rsidRPr="00413213">
              <w:rPr>
                <w:b/>
                <w:vertAlign w:val="superscript"/>
              </w:rPr>
              <w:t>b</w:t>
            </w:r>
          </w:p>
        </w:tc>
        <w:tc>
          <w:tcPr>
            <w:tcW w:w="2729" w:type="dxa"/>
          </w:tcPr>
          <w:p w14:paraId="1F954E9E" w14:textId="31EE0B1F" w:rsidR="00231BC7" w:rsidRPr="00F362E5" w:rsidRDefault="00231BC7" w:rsidP="00413213">
            <w:pPr>
              <w:pStyle w:val="Tabletext"/>
            </w:pPr>
            <w:r w:rsidRPr="00F362E5">
              <w:t xml:space="preserve">7.8 </w:t>
            </w:r>
            <w:r w:rsidR="00A0007E" w:rsidRPr="00F362E5">
              <w:t>(</w:t>
            </w:r>
            <w:r w:rsidRPr="00F362E5">
              <w:t>6.1, 10.4</w:t>
            </w:r>
            <w:r w:rsidR="00A0007E" w:rsidRPr="00F362E5">
              <w:t>)</w:t>
            </w:r>
          </w:p>
        </w:tc>
        <w:tc>
          <w:tcPr>
            <w:tcW w:w="2628" w:type="dxa"/>
          </w:tcPr>
          <w:p w14:paraId="3DF5C6E9" w14:textId="2F402925" w:rsidR="00231BC7" w:rsidRPr="00F362E5" w:rsidRDefault="00231BC7" w:rsidP="00413213">
            <w:pPr>
              <w:pStyle w:val="Tabletext"/>
            </w:pPr>
            <w:r w:rsidRPr="00F362E5">
              <w:t xml:space="preserve">9.2 </w:t>
            </w:r>
            <w:r w:rsidR="00A0007E" w:rsidRPr="00F362E5">
              <w:t>(</w:t>
            </w:r>
            <w:r w:rsidRPr="00F362E5">
              <w:t>7.8, 12.2</w:t>
            </w:r>
            <w:r w:rsidR="00A0007E" w:rsidRPr="00F362E5">
              <w:t>)</w:t>
            </w:r>
          </w:p>
        </w:tc>
      </w:tr>
      <w:tr w:rsidR="00231BC7" w:rsidRPr="00F362E5" w14:paraId="68F6C489" w14:textId="77777777" w:rsidTr="00F362E5">
        <w:trPr>
          <w:trHeight w:hRule="exact" w:val="305"/>
        </w:trPr>
        <w:tc>
          <w:tcPr>
            <w:tcW w:w="4219" w:type="dxa"/>
          </w:tcPr>
          <w:p w14:paraId="63C10759" w14:textId="3A49DF40" w:rsidR="00231BC7" w:rsidRPr="00413213" w:rsidRDefault="00231BC7" w:rsidP="00413213">
            <w:pPr>
              <w:pStyle w:val="Tabletext"/>
              <w:rPr>
                <w:b/>
              </w:rPr>
            </w:pPr>
            <w:r w:rsidRPr="00413213">
              <w:rPr>
                <w:b/>
              </w:rPr>
              <w:t xml:space="preserve">Hazard Ratio (High AUC:Low AUC) </w:t>
            </w:r>
            <w:r w:rsidR="00A0007E" w:rsidRPr="00413213">
              <w:rPr>
                <w:b/>
              </w:rPr>
              <w:t>(</w:t>
            </w:r>
            <w:r w:rsidRPr="00413213">
              <w:rPr>
                <w:b/>
              </w:rPr>
              <w:t>95%</w:t>
            </w:r>
            <w:r w:rsidRPr="00413213">
              <w:rPr>
                <w:b/>
                <w:spacing w:val="-3"/>
              </w:rPr>
              <w:t xml:space="preserve"> </w:t>
            </w:r>
            <w:r w:rsidRPr="00413213">
              <w:rPr>
                <w:b/>
              </w:rPr>
              <w:t>CI</w:t>
            </w:r>
            <w:r w:rsidR="00A0007E" w:rsidRPr="00413213">
              <w:rPr>
                <w:b/>
              </w:rPr>
              <w:t>)</w:t>
            </w:r>
          </w:p>
        </w:tc>
        <w:tc>
          <w:tcPr>
            <w:tcW w:w="5357" w:type="dxa"/>
            <w:gridSpan w:val="2"/>
          </w:tcPr>
          <w:p w14:paraId="7F43D95D" w14:textId="769A7CC6" w:rsidR="00231BC7" w:rsidRPr="00F362E5" w:rsidRDefault="00231BC7" w:rsidP="00413213">
            <w:pPr>
              <w:pStyle w:val="Tabletext"/>
            </w:pPr>
            <w:r w:rsidRPr="00F362E5">
              <w:t xml:space="preserve">1.09 </w:t>
            </w:r>
            <w:r w:rsidR="00A0007E" w:rsidRPr="00F362E5">
              <w:t>(</w:t>
            </w:r>
            <w:r w:rsidRPr="00F362E5">
              <w:t>0.70, 1.69</w:t>
            </w:r>
            <w:r w:rsidR="00A0007E" w:rsidRPr="00F362E5">
              <w:t>)</w:t>
            </w:r>
          </w:p>
        </w:tc>
      </w:tr>
    </w:tbl>
    <w:p w14:paraId="60D67B85" w14:textId="77777777" w:rsidR="00AA7141" w:rsidRDefault="00231BC7" w:rsidP="005C2FCA">
      <w:pPr>
        <w:pStyle w:val="TableDescription"/>
        <w:rPr>
          <w:sz w:val="18"/>
          <w:szCs w:val="18"/>
          <w:vertAlign w:val="superscript"/>
        </w:rPr>
      </w:pPr>
      <w:r w:rsidRPr="00F362E5">
        <w:rPr>
          <w:sz w:val="18"/>
          <w:szCs w:val="18"/>
        </w:rPr>
        <w:t>a.</w:t>
      </w:r>
      <w:r w:rsidR="00257610" w:rsidRPr="00F362E5">
        <w:rPr>
          <w:sz w:val="18"/>
          <w:szCs w:val="18"/>
        </w:rPr>
        <w:t xml:space="preserve"> </w:t>
      </w:r>
      <w:r w:rsidRPr="00F362E5">
        <w:rPr>
          <w:sz w:val="18"/>
          <w:szCs w:val="18"/>
        </w:rPr>
        <w:t>Kaplan-Meier estimates. b.</w:t>
      </w:r>
      <w:r w:rsidR="00257610" w:rsidRPr="00F362E5">
        <w:rPr>
          <w:sz w:val="18"/>
          <w:szCs w:val="18"/>
        </w:rPr>
        <w:t xml:space="preserve"> </w:t>
      </w:r>
      <w:r w:rsidRPr="00F362E5">
        <w:rPr>
          <w:sz w:val="18"/>
          <w:szCs w:val="18"/>
        </w:rPr>
        <w:t>Methodology of Brookmeyer and Crowley.</w:t>
      </w:r>
    </w:p>
    <w:p w14:paraId="7A1A889D" w14:textId="77777777" w:rsidR="00AA7141" w:rsidRDefault="00231BC7" w:rsidP="00955252">
      <w:pPr>
        <w:pStyle w:val="Heading4"/>
      </w:pPr>
      <w:r w:rsidRPr="00C94C33">
        <w:t>Results – Radiologic Progression-Free Survival (PFS)</w:t>
      </w:r>
    </w:p>
    <w:p w14:paraId="37AB6529" w14:textId="1F4D78A8" w:rsidR="00516FBF" w:rsidRPr="00C94C33" w:rsidRDefault="00231BC7" w:rsidP="005C2FCA">
      <w:pPr>
        <w:widowControl w:val="0"/>
        <w:autoSpaceDE w:val="0"/>
        <w:autoSpaceDN w:val="0"/>
        <w:adjustRightInd w:val="0"/>
        <w:rPr>
          <w:rFonts w:cstheme="minorBidi"/>
          <w:b/>
        </w:rPr>
      </w:pPr>
      <w:r w:rsidRPr="005C2FCA">
        <w:rPr>
          <w:rFonts w:cs="Times"/>
        </w:rPr>
        <w:t>Radiological PFS for the</w:t>
      </w:r>
      <w:r w:rsidR="00C11183">
        <w:rPr>
          <w:rFonts w:cs="Times"/>
        </w:rPr>
        <w:t xml:space="preserve"> </w:t>
      </w:r>
      <w:r w:rsidR="00A167ED">
        <w:rPr>
          <w:rFonts w:cs="Times"/>
        </w:rPr>
        <w:t>TAS-102</w:t>
      </w:r>
      <w:r w:rsidRPr="005C2FCA">
        <w:rPr>
          <w:rFonts w:cs="Times"/>
        </w:rPr>
        <w:t xml:space="preserve"> ITT, the </w:t>
      </w:r>
      <w:r w:rsidR="00A167ED">
        <w:rPr>
          <w:rFonts w:cs="Times"/>
        </w:rPr>
        <w:t>TAS-102</w:t>
      </w:r>
      <w:r w:rsidRPr="005C2FCA">
        <w:rPr>
          <w:rFonts w:cs="Times"/>
        </w:rPr>
        <w:t xml:space="preserve"> </w:t>
      </w:r>
      <w:r w:rsidR="00986ED2">
        <w:rPr>
          <w:rFonts w:cs="Times"/>
        </w:rPr>
        <w:t>PK/PD</w:t>
      </w:r>
      <w:r w:rsidRPr="005C2FCA">
        <w:rPr>
          <w:rFonts w:cs="Times"/>
        </w:rPr>
        <w:t xml:space="preserve"> and the placebo populations are summarised below in Table 24. In the </w:t>
      </w:r>
      <w:r w:rsidR="00A167ED">
        <w:rPr>
          <w:rFonts w:cs="Times"/>
        </w:rPr>
        <w:t>TAS-102</w:t>
      </w:r>
      <w:r w:rsidRPr="005C2FCA">
        <w:rPr>
          <w:rFonts w:cs="Times"/>
        </w:rPr>
        <w:t xml:space="preserve"> </w:t>
      </w:r>
      <w:r w:rsidR="00986ED2">
        <w:rPr>
          <w:rFonts w:cs="Times"/>
        </w:rPr>
        <w:t>PK/PD</w:t>
      </w:r>
      <w:r w:rsidRPr="005C2FCA">
        <w:rPr>
          <w:rFonts w:cs="Times"/>
        </w:rPr>
        <w:t xml:space="preserve"> population, the median PFS was longer than in both the TAS-102 and placebo populations (3.3</w:t>
      </w:r>
      <w:r w:rsidR="00C11183">
        <w:rPr>
          <w:rFonts w:cs="Times"/>
        </w:rPr>
        <w:t xml:space="preserve"> versus </w:t>
      </w:r>
      <w:r w:rsidRPr="005C2FCA">
        <w:rPr>
          <w:rFonts w:cs="Times"/>
        </w:rPr>
        <w:t>2.0</w:t>
      </w:r>
      <w:r w:rsidR="00C11183">
        <w:rPr>
          <w:rFonts w:cs="Times"/>
        </w:rPr>
        <w:t xml:space="preserve"> versus </w:t>
      </w:r>
      <w:r w:rsidRPr="005C2FCA">
        <w:rPr>
          <w:rFonts w:cs="Times"/>
        </w:rPr>
        <w:t>1.7 months, respectively).</w:t>
      </w:r>
      <w:bookmarkStart w:id="176" w:name="_Toc470948673"/>
    </w:p>
    <w:p w14:paraId="455496EF" w14:textId="1DD5051D" w:rsidR="00231BC7" w:rsidRPr="00C94C33" w:rsidRDefault="00231BC7" w:rsidP="00257610">
      <w:pPr>
        <w:pStyle w:val="Tabletitle"/>
      </w:pPr>
      <w:r w:rsidRPr="00C94C33">
        <w:t>Table</w:t>
      </w:r>
      <w:r w:rsidR="00257610" w:rsidRPr="00C94C33">
        <w:t xml:space="preserve"> 24</w:t>
      </w:r>
      <w:r w:rsidRPr="00C94C33">
        <w:t xml:space="preserve">: </w:t>
      </w:r>
      <w:r w:rsidR="00986ED2">
        <w:t>PK/PD</w:t>
      </w:r>
      <w:r w:rsidRPr="00C94C33">
        <w:t xml:space="preserve"> Report</w:t>
      </w:r>
      <w:r w:rsidR="00575F1B">
        <w:t xml:space="preserve">; </w:t>
      </w:r>
      <w:r w:rsidRPr="00C94C33">
        <w:t xml:space="preserve">Radiologic Progression-Free Survival (PFS) in the </w:t>
      </w:r>
      <w:r w:rsidR="00A167ED">
        <w:t>TAS-102</w:t>
      </w:r>
      <w:r w:rsidRPr="00C94C33">
        <w:t xml:space="preserve"> ITT</w:t>
      </w:r>
      <w:r w:rsidR="00C11183">
        <w:t xml:space="preserve"> versus </w:t>
      </w:r>
      <w:r w:rsidRPr="00C94C33">
        <w:t xml:space="preserve">the </w:t>
      </w:r>
      <w:r w:rsidR="00A167ED">
        <w:t>TAS-102</w:t>
      </w:r>
      <w:r w:rsidRPr="00C94C33">
        <w:t xml:space="preserve"> </w:t>
      </w:r>
      <w:r w:rsidR="00986ED2">
        <w:t>PK/PD</w:t>
      </w:r>
      <w:r w:rsidRPr="00C94C33">
        <w:t xml:space="preserve"> and</w:t>
      </w:r>
      <w:r w:rsidR="00C11183">
        <w:t xml:space="preserve"> versus </w:t>
      </w:r>
      <w:r w:rsidRPr="00C94C33">
        <w:t>the placebo populations.</w:t>
      </w:r>
      <w:bookmarkEnd w:id="176"/>
    </w:p>
    <w:tbl>
      <w:tblPr>
        <w:tblStyle w:val="TableGrid2"/>
        <w:tblW w:w="9312" w:type="dxa"/>
        <w:tblLayout w:type="fixed"/>
        <w:tblLook w:val="0000" w:firstRow="0" w:lastRow="0" w:firstColumn="0" w:lastColumn="0" w:noHBand="0" w:noVBand="0"/>
        <w:tblDescription w:val="Table 24: PK/PD Report; Radiologic Progression-Free Survival (PFS) in the TAS-102 ITT versus the TAS-102 PK/PD and versus the placebo populations."/>
      </w:tblPr>
      <w:tblGrid>
        <w:gridCol w:w="4077"/>
        <w:gridCol w:w="1843"/>
        <w:gridCol w:w="1701"/>
        <w:gridCol w:w="1691"/>
      </w:tblGrid>
      <w:tr w:rsidR="00231BC7" w:rsidRPr="00F362E5" w14:paraId="7218A504" w14:textId="77777777" w:rsidTr="00694369">
        <w:trPr>
          <w:trHeight w:hRule="exact" w:val="1341"/>
          <w:tblHeader/>
        </w:trPr>
        <w:tc>
          <w:tcPr>
            <w:tcW w:w="4077" w:type="dxa"/>
          </w:tcPr>
          <w:p w14:paraId="7F4969AC" w14:textId="77777777" w:rsidR="00231BC7" w:rsidRPr="00F362E5" w:rsidRDefault="00231BC7" w:rsidP="00413213">
            <w:pPr>
              <w:pStyle w:val="TableHeading"/>
            </w:pPr>
            <w:bookmarkStart w:id="177" w:name="5.2.4._Radiologic_Progression-Free_Survi"/>
            <w:bookmarkStart w:id="178" w:name="Table_8:_Radiologic_Progression-Free_Sur"/>
            <w:bookmarkEnd w:id="177"/>
            <w:bookmarkEnd w:id="178"/>
            <w:r w:rsidRPr="00F362E5">
              <w:t>Parameter</w:t>
            </w:r>
          </w:p>
        </w:tc>
        <w:tc>
          <w:tcPr>
            <w:tcW w:w="1843" w:type="dxa"/>
          </w:tcPr>
          <w:p w14:paraId="3E67D728" w14:textId="77777777" w:rsidR="00231BC7" w:rsidRPr="00F362E5" w:rsidRDefault="00231BC7" w:rsidP="00413213">
            <w:pPr>
              <w:pStyle w:val="TableHeading"/>
            </w:pPr>
            <w:r w:rsidRPr="00F362E5">
              <w:t>TAS-102</w:t>
            </w:r>
            <w:r w:rsidRPr="00F362E5">
              <w:rPr>
                <w:spacing w:val="24"/>
              </w:rPr>
              <w:t xml:space="preserve"> </w:t>
            </w:r>
            <w:r w:rsidRPr="00F362E5">
              <w:t>ITT</w:t>
            </w:r>
          </w:p>
          <w:p w14:paraId="30B5F41F" w14:textId="533CCFB5" w:rsidR="00231BC7" w:rsidRPr="00F362E5" w:rsidRDefault="00E46074" w:rsidP="00413213">
            <w:pPr>
              <w:pStyle w:val="TableHeading"/>
            </w:pPr>
            <w:r>
              <w:t>Pop’</w:t>
            </w:r>
            <w:r w:rsidR="00231BC7" w:rsidRPr="00F362E5">
              <w:t>n</w:t>
            </w:r>
            <w:r w:rsidR="00231BC7" w:rsidRPr="00F362E5">
              <w:rPr>
                <w:spacing w:val="26"/>
              </w:rPr>
              <w:t xml:space="preserve"> </w:t>
            </w:r>
            <w:r w:rsidR="00231BC7" w:rsidRPr="00F362E5">
              <w:t>(</w:t>
            </w:r>
            <w:r w:rsidR="009C0389" w:rsidRPr="00F362E5">
              <w:t xml:space="preserve">N = </w:t>
            </w:r>
            <w:r w:rsidR="00231BC7" w:rsidRPr="00F362E5">
              <w:t>534)</w:t>
            </w:r>
          </w:p>
        </w:tc>
        <w:tc>
          <w:tcPr>
            <w:tcW w:w="1701" w:type="dxa"/>
          </w:tcPr>
          <w:p w14:paraId="4F6313E4" w14:textId="77777777" w:rsidR="00231BC7" w:rsidRPr="00F362E5" w:rsidRDefault="00231BC7" w:rsidP="00413213">
            <w:pPr>
              <w:pStyle w:val="TableHeading"/>
            </w:pPr>
            <w:r w:rsidRPr="00F362E5">
              <w:t>TAS-102</w:t>
            </w:r>
            <w:r w:rsidRPr="00F362E5">
              <w:rPr>
                <w:spacing w:val="24"/>
              </w:rPr>
              <w:t xml:space="preserve"> </w:t>
            </w:r>
            <w:r w:rsidRPr="00F362E5">
              <w:t>PK/PD</w:t>
            </w:r>
          </w:p>
          <w:p w14:paraId="26FEE85F" w14:textId="6F26F02A" w:rsidR="00231BC7" w:rsidRPr="00F362E5" w:rsidRDefault="00F362E5" w:rsidP="00413213">
            <w:pPr>
              <w:pStyle w:val="TableHeading"/>
            </w:pPr>
            <w:r>
              <w:t>Pop’</w:t>
            </w:r>
            <w:r w:rsidR="00231BC7" w:rsidRPr="00F362E5">
              <w:t>n</w:t>
            </w:r>
            <w:r w:rsidR="00231BC7" w:rsidRPr="00F362E5">
              <w:rPr>
                <w:spacing w:val="26"/>
              </w:rPr>
              <w:t xml:space="preserve"> </w:t>
            </w:r>
            <w:r w:rsidR="00231BC7" w:rsidRPr="00F362E5">
              <w:t>(</w:t>
            </w:r>
            <w:r w:rsidR="009C0389" w:rsidRPr="00F362E5">
              <w:t xml:space="preserve">N = </w:t>
            </w:r>
            <w:r w:rsidR="00231BC7" w:rsidRPr="00F362E5">
              <w:t>138)</w:t>
            </w:r>
          </w:p>
        </w:tc>
        <w:tc>
          <w:tcPr>
            <w:tcW w:w="1691" w:type="dxa"/>
          </w:tcPr>
          <w:p w14:paraId="5F73A1F2" w14:textId="634AF548" w:rsidR="00231BC7" w:rsidRPr="00F362E5" w:rsidRDefault="00231BC7" w:rsidP="00413213">
            <w:pPr>
              <w:pStyle w:val="TableHeading"/>
            </w:pPr>
            <w:r w:rsidRPr="00F362E5">
              <w:t>Placebo</w:t>
            </w:r>
            <w:r w:rsidRPr="00F362E5">
              <w:rPr>
                <w:spacing w:val="23"/>
              </w:rPr>
              <w:t xml:space="preserve"> </w:t>
            </w:r>
            <w:r w:rsidRPr="00F362E5">
              <w:t>(</w:t>
            </w:r>
            <w:r w:rsidR="009C0389" w:rsidRPr="00F362E5">
              <w:t xml:space="preserve">N = </w:t>
            </w:r>
            <w:r w:rsidRPr="00F362E5">
              <w:t>265)</w:t>
            </w:r>
          </w:p>
        </w:tc>
      </w:tr>
      <w:tr w:rsidR="00231BC7" w:rsidRPr="00F362E5" w14:paraId="01FD1412" w14:textId="77777777" w:rsidTr="00F362E5">
        <w:trPr>
          <w:trHeight w:hRule="exact" w:val="306"/>
        </w:trPr>
        <w:tc>
          <w:tcPr>
            <w:tcW w:w="4077" w:type="dxa"/>
          </w:tcPr>
          <w:p w14:paraId="367F7E12" w14:textId="77777777" w:rsidR="00231BC7" w:rsidRPr="00F362E5" w:rsidRDefault="00231BC7" w:rsidP="00413213">
            <w:pPr>
              <w:pStyle w:val="TableHeading"/>
            </w:pPr>
            <w:r w:rsidRPr="00F362E5">
              <w:t>Number</w:t>
            </w:r>
            <w:r w:rsidRPr="00F362E5">
              <w:rPr>
                <w:spacing w:val="-2"/>
              </w:rPr>
              <w:t xml:space="preserve"> (%)</w:t>
            </w:r>
            <w:r w:rsidRPr="00F362E5">
              <w:t xml:space="preserve"> of patients by censoring status</w:t>
            </w:r>
          </w:p>
        </w:tc>
        <w:tc>
          <w:tcPr>
            <w:tcW w:w="1843" w:type="dxa"/>
          </w:tcPr>
          <w:p w14:paraId="54143681" w14:textId="77777777" w:rsidR="00231BC7" w:rsidRPr="00F362E5" w:rsidRDefault="00231BC7" w:rsidP="00413213">
            <w:pPr>
              <w:pStyle w:val="TableHeading"/>
            </w:pPr>
          </w:p>
        </w:tc>
        <w:tc>
          <w:tcPr>
            <w:tcW w:w="1701" w:type="dxa"/>
          </w:tcPr>
          <w:p w14:paraId="267BD505" w14:textId="77777777" w:rsidR="00231BC7" w:rsidRPr="00F362E5" w:rsidRDefault="00231BC7" w:rsidP="00413213">
            <w:pPr>
              <w:pStyle w:val="TableHeading"/>
            </w:pPr>
          </w:p>
        </w:tc>
        <w:tc>
          <w:tcPr>
            <w:tcW w:w="1691" w:type="dxa"/>
          </w:tcPr>
          <w:p w14:paraId="77A7F8B4" w14:textId="77777777" w:rsidR="00231BC7" w:rsidRPr="00F362E5" w:rsidRDefault="00231BC7" w:rsidP="00413213">
            <w:pPr>
              <w:pStyle w:val="TableHeading"/>
            </w:pPr>
          </w:p>
        </w:tc>
      </w:tr>
      <w:tr w:rsidR="00231BC7" w:rsidRPr="00F362E5" w14:paraId="2E807B12" w14:textId="77777777" w:rsidTr="00F362E5">
        <w:trPr>
          <w:trHeight w:hRule="exact" w:val="443"/>
        </w:trPr>
        <w:tc>
          <w:tcPr>
            <w:tcW w:w="4077" w:type="dxa"/>
          </w:tcPr>
          <w:p w14:paraId="64F7A19F" w14:textId="77777777" w:rsidR="00231BC7" w:rsidRPr="00F362E5" w:rsidRDefault="00231BC7" w:rsidP="00413213">
            <w:pPr>
              <w:pStyle w:val="Tabletext"/>
            </w:pPr>
            <w:r w:rsidRPr="00F362E5">
              <w:t>Total</w:t>
            </w:r>
          </w:p>
        </w:tc>
        <w:tc>
          <w:tcPr>
            <w:tcW w:w="1843" w:type="dxa"/>
          </w:tcPr>
          <w:p w14:paraId="0B003B9E" w14:textId="77777777" w:rsidR="00231BC7" w:rsidRPr="00F362E5" w:rsidRDefault="00231BC7" w:rsidP="00413213">
            <w:pPr>
              <w:pStyle w:val="Tabletext"/>
            </w:pPr>
            <w:r w:rsidRPr="00F362E5">
              <w:t>534 (100.0)</w:t>
            </w:r>
          </w:p>
        </w:tc>
        <w:tc>
          <w:tcPr>
            <w:tcW w:w="1701" w:type="dxa"/>
          </w:tcPr>
          <w:p w14:paraId="22FBC144" w14:textId="77777777" w:rsidR="00231BC7" w:rsidRPr="00F362E5" w:rsidRDefault="00231BC7" w:rsidP="00413213">
            <w:pPr>
              <w:pStyle w:val="Tabletext"/>
            </w:pPr>
            <w:r w:rsidRPr="00F362E5">
              <w:t>138 (100.0)</w:t>
            </w:r>
          </w:p>
        </w:tc>
        <w:tc>
          <w:tcPr>
            <w:tcW w:w="1691" w:type="dxa"/>
          </w:tcPr>
          <w:p w14:paraId="2F320F44" w14:textId="77777777" w:rsidR="00231BC7" w:rsidRPr="00F362E5" w:rsidRDefault="00231BC7" w:rsidP="00413213">
            <w:pPr>
              <w:pStyle w:val="Tabletext"/>
            </w:pPr>
            <w:r w:rsidRPr="00F362E5">
              <w:t>265 (100.0)</w:t>
            </w:r>
          </w:p>
        </w:tc>
      </w:tr>
      <w:tr w:rsidR="00231BC7" w:rsidRPr="00F362E5" w14:paraId="10CDA2C7" w14:textId="77777777" w:rsidTr="00F362E5">
        <w:trPr>
          <w:trHeight w:hRule="exact" w:val="305"/>
        </w:trPr>
        <w:tc>
          <w:tcPr>
            <w:tcW w:w="4077" w:type="dxa"/>
          </w:tcPr>
          <w:p w14:paraId="11FE3370" w14:textId="77777777" w:rsidR="00231BC7" w:rsidRPr="00F362E5" w:rsidRDefault="00231BC7" w:rsidP="00413213">
            <w:pPr>
              <w:pStyle w:val="Tabletext"/>
            </w:pPr>
            <w:r w:rsidRPr="00F362E5">
              <w:t>Not censored (PFS event)</w:t>
            </w:r>
          </w:p>
        </w:tc>
        <w:tc>
          <w:tcPr>
            <w:tcW w:w="1843" w:type="dxa"/>
          </w:tcPr>
          <w:p w14:paraId="6008179E" w14:textId="77777777" w:rsidR="00231BC7" w:rsidRPr="00F362E5" w:rsidRDefault="00231BC7" w:rsidP="00413213">
            <w:pPr>
              <w:pStyle w:val="Tabletext"/>
            </w:pPr>
            <w:r w:rsidRPr="00F362E5">
              <w:t>472 (88.4)</w:t>
            </w:r>
          </w:p>
        </w:tc>
        <w:tc>
          <w:tcPr>
            <w:tcW w:w="1701" w:type="dxa"/>
          </w:tcPr>
          <w:p w14:paraId="317EF0A0" w14:textId="77777777" w:rsidR="00231BC7" w:rsidRPr="00F362E5" w:rsidRDefault="00231BC7" w:rsidP="00413213">
            <w:pPr>
              <w:pStyle w:val="Tabletext"/>
            </w:pPr>
            <w:r w:rsidRPr="00F362E5">
              <w:t>118 (85.5)</w:t>
            </w:r>
          </w:p>
        </w:tc>
        <w:tc>
          <w:tcPr>
            <w:tcW w:w="1691" w:type="dxa"/>
          </w:tcPr>
          <w:p w14:paraId="6DE1F700" w14:textId="77777777" w:rsidR="00231BC7" w:rsidRPr="00F362E5" w:rsidRDefault="00231BC7" w:rsidP="00413213">
            <w:pPr>
              <w:pStyle w:val="Tabletext"/>
            </w:pPr>
            <w:r w:rsidRPr="00F362E5">
              <w:t>250 (94.3)</w:t>
            </w:r>
          </w:p>
        </w:tc>
      </w:tr>
      <w:tr w:rsidR="00231BC7" w:rsidRPr="00F362E5" w14:paraId="470C1804" w14:textId="77777777" w:rsidTr="00F362E5">
        <w:trPr>
          <w:trHeight w:hRule="exact" w:val="305"/>
        </w:trPr>
        <w:tc>
          <w:tcPr>
            <w:tcW w:w="4077" w:type="dxa"/>
          </w:tcPr>
          <w:p w14:paraId="3BEA75CC" w14:textId="77777777" w:rsidR="00231BC7" w:rsidRPr="00F362E5" w:rsidRDefault="00231BC7" w:rsidP="00413213">
            <w:pPr>
              <w:pStyle w:val="Tabletext"/>
            </w:pPr>
            <w:r w:rsidRPr="00F362E5">
              <w:t>Progressed</w:t>
            </w:r>
          </w:p>
        </w:tc>
        <w:tc>
          <w:tcPr>
            <w:tcW w:w="1843" w:type="dxa"/>
          </w:tcPr>
          <w:p w14:paraId="2CB5F438" w14:textId="77777777" w:rsidR="00231BC7" w:rsidRPr="00F362E5" w:rsidRDefault="00231BC7" w:rsidP="00413213">
            <w:pPr>
              <w:pStyle w:val="Tabletext"/>
            </w:pPr>
            <w:r w:rsidRPr="00F362E5">
              <w:t>432 (80.9)</w:t>
            </w:r>
          </w:p>
        </w:tc>
        <w:tc>
          <w:tcPr>
            <w:tcW w:w="1701" w:type="dxa"/>
          </w:tcPr>
          <w:p w14:paraId="5B66CB67" w14:textId="77777777" w:rsidR="00231BC7" w:rsidRPr="00F362E5" w:rsidRDefault="00231BC7" w:rsidP="00413213">
            <w:pPr>
              <w:pStyle w:val="Tabletext"/>
            </w:pPr>
            <w:r w:rsidRPr="00F362E5">
              <w:t>113 (81.9)</w:t>
            </w:r>
          </w:p>
        </w:tc>
        <w:tc>
          <w:tcPr>
            <w:tcW w:w="1691" w:type="dxa"/>
          </w:tcPr>
          <w:p w14:paraId="11961E10" w14:textId="77777777" w:rsidR="00231BC7" w:rsidRPr="00F362E5" w:rsidRDefault="00231BC7" w:rsidP="00413213">
            <w:pPr>
              <w:pStyle w:val="Tabletext"/>
            </w:pPr>
            <w:r w:rsidRPr="00F362E5">
              <w:t>226 (85.3)</w:t>
            </w:r>
          </w:p>
        </w:tc>
      </w:tr>
      <w:tr w:rsidR="00231BC7" w:rsidRPr="00F362E5" w14:paraId="150FE3A4" w14:textId="77777777" w:rsidTr="00F362E5">
        <w:trPr>
          <w:trHeight w:hRule="exact" w:val="305"/>
        </w:trPr>
        <w:tc>
          <w:tcPr>
            <w:tcW w:w="4077" w:type="dxa"/>
          </w:tcPr>
          <w:p w14:paraId="360220E1" w14:textId="77777777" w:rsidR="00231BC7" w:rsidRPr="00F362E5" w:rsidRDefault="00231BC7" w:rsidP="00413213">
            <w:pPr>
              <w:pStyle w:val="Tabletext"/>
            </w:pPr>
            <w:r w:rsidRPr="00F362E5">
              <w:t>Death</w:t>
            </w:r>
          </w:p>
        </w:tc>
        <w:tc>
          <w:tcPr>
            <w:tcW w:w="1843" w:type="dxa"/>
          </w:tcPr>
          <w:p w14:paraId="0AB41FE6" w14:textId="77777777" w:rsidR="00231BC7" w:rsidRPr="00F362E5" w:rsidRDefault="00231BC7" w:rsidP="00413213">
            <w:pPr>
              <w:pStyle w:val="Tabletext"/>
            </w:pPr>
            <w:r w:rsidRPr="00F362E5">
              <w:t>40 (7.5)</w:t>
            </w:r>
          </w:p>
        </w:tc>
        <w:tc>
          <w:tcPr>
            <w:tcW w:w="1701" w:type="dxa"/>
          </w:tcPr>
          <w:p w14:paraId="3B386AF6" w14:textId="77777777" w:rsidR="00231BC7" w:rsidRPr="00F362E5" w:rsidRDefault="00231BC7" w:rsidP="00413213">
            <w:pPr>
              <w:pStyle w:val="Tabletext"/>
            </w:pPr>
            <w:r w:rsidRPr="00F362E5">
              <w:t>5 (3.6)</w:t>
            </w:r>
          </w:p>
        </w:tc>
        <w:tc>
          <w:tcPr>
            <w:tcW w:w="1691" w:type="dxa"/>
          </w:tcPr>
          <w:p w14:paraId="7E6C1FE1" w14:textId="77777777" w:rsidR="00231BC7" w:rsidRPr="00F362E5" w:rsidRDefault="00231BC7" w:rsidP="00413213">
            <w:pPr>
              <w:pStyle w:val="Tabletext"/>
            </w:pPr>
            <w:r w:rsidRPr="00F362E5">
              <w:t>24 (9.1)</w:t>
            </w:r>
          </w:p>
        </w:tc>
      </w:tr>
      <w:tr w:rsidR="00231BC7" w:rsidRPr="00F362E5" w14:paraId="6602FA36" w14:textId="77777777" w:rsidTr="00F362E5">
        <w:trPr>
          <w:trHeight w:hRule="exact" w:val="432"/>
        </w:trPr>
        <w:tc>
          <w:tcPr>
            <w:tcW w:w="4077" w:type="dxa"/>
          </w:tcPr>
          <w:p w14:paraId="1D9CC972" w14:textId="77777777" w:rsidR="00231BC7" w:rsidRPr="00F362E5" w:rsidRDefault="00231BC7" w:rsidP="00413213">
            <w:pPr>
              <w:pStyle w:val="Tabletext"/>
            </w:pPr>
            <w:r w:rsidRPr="00F362E5">
              <w:t>Censored</w:t>
            </w:r>
          </w:p>
        </w:tc>
        <w:tc>
          <w:tcPr>
            <w:tcW w:w="1843" w:type="dxa"/>
          </w:tcPr>
          <w:p w14:paraId="22E8DD1A" w14:textId="77777777" w:rsidR="00231BC7" w:rsidRPr="00F362E5" w:rsidRDefault="00231BC7" w:rsidP="00413213">
            <w:pPr>
              <w:pStyle w:val="Tabletext"/>
            </w:pPr>
            <w:r w:rsidRPr="00F362E5">
              <w:t>62 (11.6)</w:t>
            </w:r>
          </w:p>
        </w:tc>
        <w:tc>
          <w:tcPr>
            <w:tcW w:w="1701" w:type="dxa"/>
          </w:tcPr>
          <w:p w14:paraId="5A76FB3F" w14:textId="77777777" w:rsidR="00231BC7" w:rsidRPr="00F362E5" w:rsidRDefault="00231BC7" w:rsidP="00413213">
            <w:pPr>
              <w:pStyle w:val="Tabletext"/>
            </w:pPr>
            <w:r w:rsidRPr="00F362E5">
              <w:t>20 (14.5)</w:t>
            </w:r>
          </w:p>
        </w:tc>
        <w:tc>
          <w:tcPr>
            <w:tcW w:w="1691" w:type="dxa"/>
          </w:tcPr>
          <w:p w14:paraId="219180B2" w14:textId="77777777" w:rsidR="00231BC7" w:rsidRPr="00F362E5" w:rsidRDefault="00231BC7" w:rsidP="00413213">
            <w:pPr>
              <w:pStyle w:val="Tabletext"/>
            </w:pPr>
            <w:r w:rsidRPr="00F362E5">
              <w:t>15 (5.7)</w:t>
            </w:r>
          </w:p>
        </w:tc>
      </w:tr>
      <w:tr w:rsidR="00231BC7" w:rsidRPr="00F362E5" w14:paraId="521AD9D9" w14:textId="77777777" w:rsidTr="00F362E5">
        <w:trPr>
          <w:trHeight w:hRule="exact" w:val="751"/>
        </w:trPr>
        <w:tc>
          <w:tcPr>
            <w:tcW w:w="4077" w:type="dxa"/>
          </w:tcPr>
          <w:p w14:paraId="1B45E9BF" w14:textId="0FB619C8" w:rsidR="00231BC7" w:rsidRPr="00413213" w:rsidRDefault="00231BC7" w:rsidP="00413213">
            <w:pPr>
              <w:pStyle w:val="Tabletext"/>
              <w:rPr>
                <w:b/>
              </w:rPr>
            </w:pPr>
            <w:r w:rsidRPr="00413213">
              <w:rPr>
                <w:b/>
              </w:rPr>
              <w:t>Median Progression-free</w:t>
            </w:r>
            <w:r w:rsidRPr="00413213">
              <w:rPr>
                <w:b/>
                <w:spacing w:val="-2"/>
              </w:rPr>
              <w:t xml:space="preserve"> </w:t>
            </w:r>
            <w:r w:rsidRPr="00413213">
              <w:rPr>
                <w:b/>
              </w:rPr>
              <w:t>survival (months)</w:t>
            </w:r>
            <w:r w:rsidRPr="00413213">
              <w:rPr>
                <w:b/>
                <w:vertAlign w:val="superscript"/>
              </w:rPr>
              <w:t>a</w:t>
            </w:r>
            <w:r w:rsidRPr="00413213">
              <w:rPr>
                <w:b/>
                <w:spacing w:val="17"/>
                <w:position w:val="9"/>
              </w:rPr>
              <w:t xml:space="preserve"> </w:t>
            </w:r>
            <w:r w:rsidR="00A0007E" w:rsidRPr="00413213">
              <w:rPr>
                <w:b/>
              </w:rPr>
              <w:t>(</w:t>
            </w:r>
            <w:r w:rsidRPr="00413213">
              <w:rPr>
                <w:b/>
              </w:rPr>
              <w:t>95%</w:t>
            </w:r>
            <w:r w:rsidRPr="00413213">
              <w:rPr>
                <w:b/>
                <w:spacing w:val="-4"/>
              </w:rPr>
              <w:t xml:space="preserve"> </w:t>
            </w:r>
            <w:r w:rsidRPr="00413213">
              <w:rPr>
                <w:b/>
              </w:rPr>
              <w:t>CI</w:t>
            </w:r>
            <w:r w:rsidR="00A0007E" w:rsidRPr="00413213">
              <w:rPr>
                <w:b/>
              </w:rPr>
              <w:t>)</w:t>
            </w:r>
            <w:r w:rsidRPr="00413213">
              <w:rPr>
                <w:b/>
                <w:vertAlign w:val="superscript"/>
              </w:rPr>
              <w:t>b</w:t>
            </w:r>
          </w:p>
        </w:tc>
        <w:tc>
          <w:tcPr>
            <w:tcW w:w="1843" w:type="dxa"/>
          </w:tcPr>
          <w:p w14:paraId="64250F17" w14:textId="3E4C52B8" w:rsidR="00231BC7" w:rsidRPr="00F362E5" w:rsidRDefault="00231BC7" w:rsidP="00413213">
            <w:pPr>
              <w:pStyle w:val="Tabletext"/>
            </w:pPr>
            <w:r w:rsidRPr="00F362E5">
              <w:t xml:space="preserve">2.0 </w:t>
            </w:r>
            <w:r w:rsidR="00A0007E" w:rsidRPr="00F362E5">
              <w:t>(</w:t>
            </w:r>
            <w:r w:rsidRPr="00F362E5">
              <w:t>1.9, 2.1</w:t>
            </w:r>
            <w:r w:rsidR="00A0007E" w:rsidRPr="00F362E5">
              <w:t>)</w:t>
            </w:r>
          </w:p>
        </w:tc>
        <w:tc>
          <w:tcPr>
            <w:tcW w:w="1701" w:type="dxa"/>
          </w:tcPr>
          <w:p w14:paraId="7CC0C2DD" w14:textId="6A09C119" w:rsidR="00231BC7" w:rsidRPr="00F362E5" w:rsidRDefault="00231BC7" w:rsidP="00413213">
            <w:pPr>
              <w:pStyle w:val="Tabletext"/>
            </w:pPr>
            <w:r w:rsidRPr="00F362E5">
              <w:t xml:space="preserve">3.3 </w:t>
            </w:r>
            <w:r w:rsidR="00A0007E" w:rsidRPr="00F362E5">
              <w:t>(</w:t>
            </w:r>
            <w:r w:rsidRPr="00F362E5">
              <w:t>1.9, 3.8</w:t>
            </w:r>
            <w:r w:rsidR="00A0007E" w:rsidRPr="00F362E5">
              <w:t>)</w:t>
            </w:r>
          </w:p>
        </w:tc>
        <w:tc>
          <w:tcPr>
            <w:tcW w:w="1691" w:type="dxa"/>
          </w:tcPr>
          <w:p w14:paraId="0A008C81" w14:textId="5C31C1CA" w:rsidR="00231BC7" w:rsidRPr="00F362E5" w:rsidRDefault="00231BC7" w:rsidP="00413213">
            <w:pPr>
              <w:pStyle w:val="Tabletext"/>
            </w:pPr>
            <w:r w:rsidRPr="00F362E5">
              <w:t xml:space="preserve">1.7 </w:t>
            </w:r>
            <w:r w:rsidR="00A0007E" w:rsidRPr="00F362E5">
              <w:t>(</w:t>
            </w:r>
            <w:r w:rsidRPr="00F362E5">
              <w:t>1.7, 1.8</w:t>
            </w:r>
            <w:r w:rsidR="00A0007E" w:rsidRPr="00F362E5">
              <w:t>)</w:t>
            </w:r>
          </w:p>
        </w:tc>
      </w:tr>
      <w:tr w:rsidR="00231BC7" w:rsidRPr="00F362E5" w14:paraId="406D1089" w14:textId="77777777" w:rsidTr="00F362E5">
        <w:trPr>
          <w:trHeight w:hRule="exact" w:val="574"/>
        </w:trPr>
        <w:tc>
          <w:tcPr>
            <w:tcW w:w="4077" w:type="dxa"/>
          </w:tcPr>
          <w:p w14:paraId="6B244161" w14:textId="02C99020" w:rsidR="00231BC7" w:rsidRPr="00413213" w:rsidRDefault="00231BC7" w:rsidP="00413213">
            <w:pPr>
              <w:pStyle w:val="Tabletext"/>
              <w:rPr>
                <w:b/>
              </w:rPr>
            </w:pPr>
            <w:r w:rsidRPr="00413213">
              <w:rPr>
                <w:b/>
              </w:rPr>
              <w:t xml:space="preserve">Hazard ratio (TAS-102:placebo) </w:t>
            </w:r>
            <w:r w:rsidR="00A0007E" w:rsidRPr="00413213">
              <w:rPr>
                <w:b/>
              </w:rPr>
              <w:t>(</w:t>
            </w:r>
            <w:r w:rsidRPr="00413213">
              <w:rPr>
                <w:b/>
              </w:rPr>
              <w:t>95%</w:t>
            </w:r>
            <w:r w:rsidRPr="00413213">
              <w:rPr>
                <w:b/>
                <w:spacing w:val="-4"/>
              </w:rPr>
              <w:t xml:space="preserve"> </w:t>
            </w:r>
            <w:r w:rsidRPr="00413213">
              <w:rPr>
                <w:b/>
              </w:rPr>
              <w:t>CI</w:t>
            </w:r>
            <w:r w:rsidR="00A0007E" w:rsidRPr="00413213">
              <w:rPr>
                <w:b/>
              </w:rPr>
              <w:t>)</w:t>
            </w:r>
            <w:r w:rsidRPr="00413213">
              <w:rPr>
                <w:b/>
                <w:vertAlign w:val="superscript"/>
              </w:rPr>
              <w:t xml:space="preserve">b </w:t>
            </w:r>
          </w:p>
        </w:tc>
        <w:tc>
          <w:tcPr>
            <w:tcW w:w="1843" w:type="dxa"/>
          </w:tcPr>
          <w:p w14:paraId="68ED277D" w14:textId="7A5918C9" w:rsidR="00231BC7" w:rsidRPr="00F362E5" w:rsidRDefault="00231BC7" w:rsidP="00413213">
            <w:pPr>
              <w:pStyle w:val="Tabletext"/>
            </w:pPr>
            <w:r w:rsidRPr="00F362E5">
              <w:t xml:space="preserve">0.48 </w:t>
            </w:r>
            <w:r w:rsidR="00A0007E" w:rsidRPr="00F362E5">
              <w:t>(</w:t>
            </w:r>
            <w:r w:rsidRPr="00F362E5">
              <w:t>0.41, 0.57</w:t>
            </w:r>
            <w:r w:rsidR="00A0007E" w:rsidRPr="00F362E5">
              <w:t>)</w:t>
            </w:r>
          </w:p>
        </w:tc>
        <w:tc>
          <w:tcPr>
            <w:tcW w:w="1701" w:type="dxa"/>
          </w:tcPr>
          <w:p w14:paraId="6D10CCFC" w14:textId="2021AE91" w:rsidR="00231BC7" w:rsidRPr="00F362E5" w:rsidRDefault="00231BC7" w:rsidP="00413213">
            <w:pPr>
              <w:pStyle w:val="Tabletext"/>
            </w:pPr>
            <w:r w:rsidRPr="00F362E5">
              <w:t xml:space="preserve">0.36 </w:t>
            </w:r>
            <w:r w:rsidR="00A0007E" w:rsidRPr="00F362E5">
              <w:t>(</w:t>
            </w:r>
            <w:r w:rsidRPr="00F362E5">
              <w:t>0.29, 0.46</w:t>
            </w:r>
            <w:r w:rsidR="00A0007E" w:rsidRPr="00F362E5">
              <w:t>)</w:t>
            </w:r>
          </w:p>
        </w:tc>
        <w:tc>
          <w:tcPr>
            <w:tcW w:w="1691" w:type="dxa"/>
          </w:tcPr>
          <w:p w14:paraId="3894D2F0" w14:textId="77777777" w:rsidR="00231BC7" w:rsidRPr="00F362E5" w:rsidRDefault="00231BC7" w:rsidP="00413213">
            <w:pPr>
              <w:pStyle w:val="Tabletext"/>
            </w:pPr>
          </w:p>
        </w:tc>
      </w:tr>
    </w:tbl>
    <w:p w14:paraId="4FB61383" w14:textId="77777777" w:rsidR="00AA7141" w:rsidRDefault="00231BC7" w:rsidP="005C2FCA">
      <w:pPr>
        <w:pStyle w:val="TableDescription"/>
        <w:rPr>
          <w:sz w:val="18"/>
          <w:szCs w:val="18"/>
        </w:rPr>
      </w:pPr>
      <w:r w:rsidRPr="00F362E5">
        <w:rPr>
          <w:sz w:val="18"/>
          <w:szCs w:val="18"/>
        </w:rPr>
        <w:t>a.</w:t>
      </w:r>
      <w:r w:rsidR="00516FBF" w:rsidRPr="00F362E5">
        <w:rPr>
          <w:sz w:val="18"/>
          <w:szCs w:val="18"/>
        </w:rPr>
        <w:t xml:space="preserve"> </w:t>
      </w:r>
      <w:r w:rsidRPr="00F362E5">
        <w:rPr>
          <w:sz w:val="18"/>
          <w:szCs w:val="18"/>
        </w:rPr>
        <w:t>Kaplan-Meier estimates. b.</w:t>
      </w:r>
      <w:r w:rsidR="00516FBF" w:rsidRPr="00F362E5">
        <w:rPr>
          <w:sz w:val="18"/>
          <w:szCs w:val="18"/>
        </w:rPr>
        <w:t xml:space="preserve"> </w:t>
      </w:r>
      <w:r w:rsidRPr="00F362E5">
        <w:rPr>
          <w:sz w:val="18"/>
          <w:szCs w:val="18"/>
        </w:rPr>
        <w:t>Methodology of Brookmeyer and Crowley.</w:t>
      </w:r>
    </w:p>
    <w:p w14:paraId="0BB168C2" w14:textId="66F7E917" w:rsidR="00CA6016" w:rsidRPr="00C94C33" w:rsidRDefault="00231BC7" w:rsidP="005C2FCA">
      <w:pPr>
        <w:rPr>
          <w:rFonts w:cstheme="minorBidi"/>
          <w:b/>
        </w:rPr>
      </w:pPr>
      <w:r w:rsidRPr="00C94C33">
        <w:t xml:space="preserve">The results for radiologic PFS by FTD AUC and by TPI AUC in the </w:t>
      </w:r>
      <w:r w:rsidR="00986ED2">
        <w:t>PK/PD</w:t>
      </w:r>
      <w:r w:rsidRPr="00C94C33">
        <w:t xml:space="preserve"> population are summarised below in Table 25. Median radiologic PFS in the high FTD AUC group was </w:t>
      </w:r>
      <w:r w:rsidRPr="00C94C33">
        <w:rPr>
          <w:u w:val="single"/>
        </w:rPr>
        <w:t>longer</w:t>
      </w:r>
      <w:r w:rsidRPr="00C94C33">
        <w:t xml:space="preserve"> than </w:t>
      </w:r>
      <w:r w:rsidRPr="00C94C33">
        <w:lastRenderedPageBreak/>
        <w:t>in the low FTD group (3.7</w:t>
      </w:r>
      <w:r w:rsidR="00C11183">
        <w:t xml:space="preserve"> versus </w:t>
      </w:r>
      <w:r w:rsidRPr="00C94C33">
        <w:t xml:space="preserve">2.0 months), but the HR was not statistically significant (HR </w:t>
      </w:r>
      <w:r w:rsidR="00A0007E" w:rsidRPr="00C94C33">
        <w:t>(</w:t>
      </w:r>
      <w:r w:rsidRPr="00C94C33">
        <w:t>high:low</w:t>
      </w:r>
      <w:r w:rsidR="00A0007E" w:rsidRPr="00C94C33">
        <w:t>)</w:t>
      </w:r>
      <w:r w:rsidRPr="00C94C33">
        <w:t xml:space="preserve"> = 0.82 </w:t>
      </w:r>
      <w:r w:rsidR="00A0007E" w:rsidRPr="00C94C33">
        <w:t>(</w:t>
      </w:r>
      <w:r w:rsidRPr="00C94C33">
        <w:t>95% CI: 0.57, 1.18</w:t>
      </w:r>
      <w:r w:rsidR="00A0007E" w:rsidRPr="00C94C33">
        <w:t>)</w:t>
      </w:r>
      <w:r w:rsidRPr="00C94C33">
        <w:t xml:space="preserve">). The median radiologic PFS in the high TPI AUC group was </w:t>
      </w:r>
      <w:r w:rsidRPr="005C2FCA">
        <w:t>shorter</w:t>
      </w:r>
      <w:r w:rsidRPr="00C94C33">
        <w:t xml:space="preserve"> than in the low TPI AUC group (2.0</w:t>
      </w:r>
      <w:r w:rsidR="00C11183">
        <w:t xml:space="preserve"> versus </w:t>
      </w:r>
      <w:r w:rsidRPr="00C94C33">
        <w:t xml:space="preserve">3.7 months), but the HR was not statistically significant (HR </w:t>
      </w:r>
      <w:r w:rsidR="00A0007E" w:rsidRPr="00C94C33">
        <w:t>(</w:t>
      </w:r>
      <w:r w:rsidRPr="00C94C33">
        <w:t>high:low</w:t>
      </w:r>
      <w:r w:rsidR="00A0007E" w:rsidRPr="00C94C33">
        <w:t>)</w:t>
      </w:r>
      <w:r w:rsidRPr="00C94C33">
        <w:t xml:space="preserve"> = 0.97 </w:t>
      </w:r>
      <w:r w:rsidR="00A0007E" w:rsidRPr="00C94C33">
        <w:t>(</w:t>
      </w:r>
      <w:r w:rsidRPr="00C94C33">
        <w:t>95% CI: 0.67, 1.41</w:t>
      </w:r>
      <w:r w:rsidR="00A0007E" w:rsidRPr="00C94C33">
        <w:t>)</w:t>
      </w:r>
      <w:r w:rsidRPr="00C94C33">
        <w:t>).</w:t>
      </w:r>
      <w:bookmarkStart w:id="179" w:name="_Toc470948674"/>
    </w:p>
    <w:p w14:paraId="300C8796" w14:textId="4379EB2B" w:rsidR="00231BC7" w:rsidRPr="00C94C33" w:rsidRDefault="00231BC7" w:rsidP="00516FBF">
      <w:pPr>
        <w:pStyle w:val="Tabletitle"/>
      </w:pPr>
      <w:r w:rsidRPr="00C94C33">
        <w:t>Table</w:t>
      </w:r>
      <w:r w:rsidR="00516FBF" w:rsidRPr="00C94C33">
        <w:t xml:space="preserve"> 25</w:t>
      </w:r>
      <w:r w:rsidRPr="00C94C33">
        <w:t xml:space="preserve">: </w:t>
      </w:r>
      <w:r w:rsidR="00986ED2">
        <w:t>PK/PD</w:t>
      </w:r>
      <w:r w:rsidRPr="00C94C33">
        <w:t xml:space="preserve"> Report</w:t>
      </w:r>
      <w:r w:rsidR="00575F1B">
        <w:t xml:space="preserve">; </w:t>
      </w:r>
      <w:r w:rsidRPr="00C94C33">
        <w:t xml:space="preserve">Radiologic progression free survival (PFS) by FTD AUC or TPI AUC in the </w:t>
      </w:r>
      <w:r w:rsidR="00986ED2">
        <w:t>PK/PD</w:t>
      </w:r>
      <w:r w:rsidRPr="00C94C33">
        <w:t xml:space="preserve"> population</w:t>
      </w:r>
      <w:bookmarkEnd w:id="179"/>
    </w:p>
    <w:tbl>
      <w:tblPr>
        <w:tblStyle w:val="TableGrid2"/>
        <w:tblW w:w="9576" w:type="dxa"/>
        <w:tblLayout w:type="fixed"/>
        <w:tblLook w:val="0000" w:firstRow="0" w:lastRow="0" w:firstColumn="0" w:lastColumn="0" w:noHBand="0" w:noVBand="0"/>
        <w:tblDescription w:val="Table 25: PK/PD Report; Radiologic progression free survival (PFS) by FTD AUC or TPI AUC in the PK/PD population"/>
      </w:tblPr>
      <w:tblGrid>
        <w:gridCol w:w="4428"/>
        <w:gridCol w:w="2079"/>
        <w:gridCol w:w="3069"/>
      </w:tblGrid>
      <w:tr w:rsidR="00231BC7" w:rsidRPr="00E46074" w14:paraId="771E58FF" w14:textId="77777777" w:rsidTr="00694369">
        <w:trPr>
          <w:trHeight w:hRule="exact" w:val="1250"/>
          <w:tblHeader/>
        </w:trPr>
        <w:tc>
          <w:tcPr>
            <w:tcW w:w="4428" w:type="dxa"/>
          </w:tcPr>
          <w:p w14:paraId="6427FCBE" w14:textId="77777777" w:rsidR="00231BC7" w:rsidRPr="00E46074" w:rsidRDefault="00231BC7" w:rsidP="00413213">
            <w:pPr>
              <w:pStyle w:val="TableHeading"/>
            </w:pPr>
            <w:bookmarkStart w:id="180" w:name="Table_9:_Radiologic_Progression-Free_Sur"/>
            <w:bookmarkEnd w:id="180"/>
            <w:r w:rsidRPr="00E46074">
              <w:t>Parameter</w:t>
            </w:r>
          </w:p>
        </w:tc>
        <w:tc>
          <w:tcPr>
            <w:tcW w:w="2079" w:type="dxa"/>
          </w:tcPr>
          <w:p w14:paraId="6D180021" w14:textId="373FAD62" w:rsidR="00231BC7" w:rsidRPr="00E46074" w:rsidRDefault="00231BC7" w:rsidP="00413213">
            <w:pPr>
              <w:pStyle w:val="TableHeading"/>
            </w:pPr>
            <w:r w:rsidRPr="00E46074">
              <w:t>High AUC</w:t>
            </w:r>
            <w:r w:rsidRPr="00E46074">
              <w:rPr>
                <w:spacing w:val="24"/>
              </w:rPr>
              <w:t xml:space="preserve"> </w:t>
            </w:r>
            <w:r w:rsidRPr="00E46074">
              <w:t>(</w:t>
            </w:r>
            <w:r w:rsidR="009C0389" w:rsidRPr="00E46074">
              <w:t xml:space="preserve">N = </w:t>
            </w:r>
            <w:r w:rsidRPr="00E46074">
              <w:t>69)</w:t>
            </w:r>
          </w:p>
        </w:tc>
        <w:tc>
          <w:tcPr>
            <w:tcW w:w="3069" w:type="dxa"/>
          </w:tcPr>
          <w:p w14:paraId="4CC9DC89" w14:textId="20EB5D7F" w:rsidR="00231BC7" w:rsidRPr="00E46074" w:rsidRDefault="00231BC7" w:rsidP="00413213">
            <w:pPr>
              <w:pStyle w:val="TableHeading"/>
            </w:pPr>
            <w:r w:rsidRPr="00E46074">
              <w:t>Low AUC</w:t>
            </w:r>
            <w:r w:rsidRPr="00E46074">
              <w:rPr>
                <w:spacing w:val="24"/>
              </w:rPr>
              <w:t xml:space="preserve"> </w:t>
            </w:r>
            <w:r w:rsidRPr="00E46074">
              <w:t>(</w:t>
            </w:r>
            <w:r w:rsidR="009C0389" w:rsidRPr="00E46074">
              <w:t xml:space="preserve">N = </w:t>
            </w:r>
            <w:r w:rsidRPr="00E46074">
              <w:t>69)</w:t>
            </w:r>
          </w:p>
        </w:tc>
      </w:tr>
      <w:tr w:rsidR="00231BC7" w:rsidRPr="00E46074" w14:paraId="291E87E4" w14:textId="77777777" w:rsidTr="00E46074">
        <w:trPr>
          <w:trHeight w:hRule="exact" w:val="305"/>
        </w:trPr>
        <w:tc>
          <w:tcPr>
            <w:tcW w:w="9576" w:type="dxa"/>
            <w:gridSpan w:val="3"/>
          </w:tcPr>
          <w:p w14:paraId="624917AF" w14:textId="77777777" w:rsidR="00231BC7" w:rsidRPr="00E46074" w:rsidRDefault="00231BC7" w:rsidP="00413213">
            <w:pPr>
              <w:pStyle w:val="TableHeading"/>
            </w:pPr>
            <w:r w:rsidRPr="00E46074">
              <w:t>FTD</w:t>
            </w:r>
          </w:p>
        </w:tc>
      </w:tr>
      <w:tr w:rsidR="00231BC7" w:rsidRPr="00E46074" w14:paraId="307722B2" w14:textId="77777777" w:rsidTr="00E46074">
        <w:trPr>
          <w:trHeight w:hRule="exact" w:val="305"/>
        </w:trPr>
        <w:tc>
          <w:tcPr>
            <w:tcW w:w="4428" w:type="dxa"/>
          </w:tcPr>
          <w:p w14:paraId="134FFE36" w14:textId="77777777" w:rsidR="00231BC7" w:rsidRPr="00E46074" w:rsidRDefault="00231BC7" w:rsidP="00413213">
            <w:pPr>
              <w:pStyle w:val="TableHeading"/>
            </w:pPr>
            <w:r w:rsidRPr="00E46074">
              <w:t>Number</w:t>
            </w:r>
            <w:r w:rsidRPr="00E46074">
              <w:rPr>
                <w:spacing w:val="-2"/>
              </w:rPr>
              <w:t xml:space="preserve"> (%)</w:t>
            </w:r>
            <w:r w:rsidRPr="00E46074">
              <w:t xml:space="preserve"> of patients by censoring status</w:t>
            </w:r>
          </w:p>
        </w:tc>
        <w:tc>
          <w:tcPr>
            <w:tcW w:w="2079" w:type="dxa"/>
          </w:tcPr>
          <w:p w14:paraId="7ED822EC" w14:textId="77777777" w:rsidR="00231BC7" w:rsidRPr="00E46074" w:rsidRDefault="00231BC7" w:rsidP="00413213">
            <w:pPr>
              <w:pStyle w:val="TableHeading"/>
            </w:pPr>
          </w:p>
        </w:tc>
        <w:tc>
          <w:tcPr>
            <w:tcW w:w="3069" w:type="dxa"/>
          </w:tcPr>
          <w:p w14:paraId="44C0B89C" w14:textId="77777777" w:rsidR="00231BC7" w:rsidRPr="00E46074" w:rsidRDefault="00231BC7" w:rsidP="00413213">
            <w:pPr>
              <w:pStyle w:val="TableHeading"/>
            </w:pPr>
          </w:p>
        </w:tc>
      </w:tr>
      <w:tr w:rsidR="00231BC7" w:rsidRPr="00E46074" w14:paraId="0B92D85B" w14:textId="77777777" w:rsidTr="00E46074">
        <w:trPr>
          <w:trHeight w:hRule="exact" w:val="305"/>
        </w:trPr>
        <w:tc>
          <w:tcPr>
            <w:tcW w:w="4428" w:type="dxa"/>
          </w:tcPr>
          <w:p w14:paraId="657AE153" w14:textId="77777777" w:rsidR="00231BC7" w:rsidRPr="00E46074" w:rsidRDefault="00231BC7" w:rsidP="00413213">
            <w:pPr>
              <w:pStyle w:val="Tabletext"/>
            </w:pPr>
            <w:r w:rsidRPr="00E46074">
              <w:t>Total</w:t>
            </w:r>
          </w:p>
        </w:tc>
        <w:tc>
          <w:tcPr>
            <w:tcW w:w="2079" w:type="dxa"/>
          </w:tcPr>
          <w:p w14:paraId="3623251D" w14:textId="77777777" w:rsidR="00231BC7" w:rsidRPr="00E46074" w:rsidRDefault="00231BC7" w:rsidP="00413213">
            <w:pPr>
              <w:pStyle w:val="Tabletext"/>
            </w:pPr>
            <w:r w:rsidRPr="00E46074">
              <w:t>69 (100.0)</w:t>
            </w:r>
          </w:p>
        </w:tc>
        <w:tc>
          <w:tcPr>
            <w:tcW w:w="3069" w:type="dxa"/>
          </w:tcPr>
          <w:p w14:paraId="7D539BF4" w14:textId="77777777" w:rsidR="00231BC7" w:rsidRPr="00E46074" w:rsidRDefault="00231BC7" w:rsidP="00413213">
            <w:pPr>
              <w:pStyle w:val="Tabletext"/>
            </w:pPr>
            <w:r w:rsidRPr="00E46074">
              <w:t>69 (100.0)</w:t>
            </w:r>
          </w:p>
        </w:tc>
      </w:tr>
      <w:tr w:rsidR="00231BC7" w:rsidRPr="00E46074" w14:paraId="3EC52559" w14:textId="77777777" w:rsidTr="00E46074">
        <w:trPr>
          <w:trHeight w:hRule="exact" w:val="305"/>
        </w:trPr>
        <w:tc>
          <w:tcPr>
            <w:tcW w:w="4428" w:type="dxa"/>
          </w:tcPr>
          <w:p w14:paraId="1B82C027" w14:textId="77777777" w:rsidR="00231BC7" w:rsidRPr="00E46074" w:rsidRDefault="00231BC7" w:rsidP="00413213">
            <w:pPr>
              <w:pStyle w:val="Tabletext"/>
            </w:pPr>
            <w:r w:rsidRPr="00E46074">
              <w:t>Not censored (PFS event)</w:t>
            </w:r>
          </w:p>
        </w:tc>
        <w:tc>
          <w:tcPr>
            <w:tcW w:w="2079" w:type="dxa"/>
          </w:tcPr>
          <w:p w14:paraId="02124847" w14:textId="77777777" w:rsidR="00231BC7" w:rsidRPr="00E46074" w:rsidRDefault="00231BC7" w:rsidP="00413213">
            <w:pPr>
              <w:pStyle w:val="Tabletext"/>
            </w:pPr>
            <w:r w:rsidRPr="00E46074">
              <w:t>59 (85.5)</w:t>
            </w:r>
          </w:p>
        </w:tc>
        <w:tc>
          <w:tcPr>
            <w:tcW w:w="3069" w:type="dxa"/>
          </w:tcPr>
          <w:p w14:paraId="126B7070" w14:textId="77777777" w:rsidR="00231BC7" w:rsidRPr="00E46074" w:rsidRDefault="00231BC7" w:rsidP="00413213">
            <w:pPr>
              <w:pStyle w:val="Tabletext"/>
            </w:pPr>
            <w:r w:rsidRPr="00E46074">
              <w:t>59 (85.5)</w:t>
            </w:r>
          </w:p>
        </w:tc>
      </w:tr>
      <w:tr w:rsidR="00231BC7" w:rsidRPr="00E46074" w14:paraId="57A9E2A8" w14:textId="77777777" w:rsidTr="00E46074">
        <w:trPr>
          <w:trHeight w:hRule="exact" w:val="306"/>
        </w:trPr>
        <w:tc>
          <w:tcPr>
            <w:tcW w:w="4428" w:type="dxa"/>
          </w:tcPr>
          <w:p w14:paraId="2C369BB4" w14:textId="77777777" w:rsidR="00231BC7" w:rsidRPr="00E46074" w:rsidRDefault="00231BC7" w:rsidP="00413213">
            <w:pPr>
              <w:pStyle w:val="Tabletext"/>
            </w:pPr>
            <w:r w:rsidRPr="00E46074">
              <w:t>Progressed</w:t>
            </w:r>
          </w:p>
        </w:tc>
        <w:tc>
          <w:tcPr>
            <w:tcW w:w="2079" w:type="dxa"/>
          </w:tcPr>
          <w:p w14:paraId="46001019" w14:textId="77777777" w:rsidR="00231BC7" w:rsidRPr="00E46074" w:rsidRDefault="00231BC7" w:rsidP="00413213">
            <w:pPr>
              <w:pStyle w:val="Tabletext"/>
            </w:pPr>
            <w:r w:rsidRPr="00E46074">
              <w:t>58 (84.1)</w:t>
            </w:r>
          </w:p>
        </w:tc>
        <w:tc>
          <w:tcPr>
            <w:tcW w:w="3069" w:type="dxa"/>
          </w:tcPr>
          <w:p w14:paraId="0B766268" w14:textId="77777777" w:rsidR="00231BC7" w:rsidRPr="00E46074" w:rsidRDefault="00231BC7" w:rsidP="00413213">
            <w:pPr>
              <w:pStyle w:val="Tabletext"/>
            </w:pPr>
            <w:r w:rsidRPr="00E46074">
              <w:t>55 (79.7)</w:t>
            </w:r>
          </w:p>
        </w:tc>
      </w:tr>
      <w:tr w:rsidR="00231BC7" w:rsidRPr="00E46074" w14:paraId="10AFAAA2" w14:textId="77777777" w:rsidTr="00E46074">
        <w:trPr>
          <w:trHeight w:hRule="exact" w:val="305"/>
        </w:trPr>
        <w:tc>
          <w:tcPr>
            <w:tcW w:w="4428" w:type="dxa"/>
          </w:tcPr>
          <w:p w14:paraId="2B692DAF" w14:textId="77777777" w:rsidR="00231BC7" w:rsidRPr="00E46074" w:rsidRDefault="00231BC7" w:rsidP="00413213">
            <w:pPr>
              <w:pStyle w:val="Tabletext"/>
            </w:pPr>
            <w:r w:rsidRPr="00E46074">
              <w:t>Death</w:t>
            </w:r>
          </w:p>
        </w:tc>
        <w:tc>
          <w:tcPr>
            <w:tcW w:w="2079" w:type="dxa"/>
          </w:tcPr>
          <w:p w14:paraId="7D0A6691" w14:textId="77777777" w:rsidR="00231BC7" w:rsidRPr="00E46074" w:rsidRDefault="00231BC7" w:rsidP="00413213">
            <w:pPr>
              <w:pStyle w:val="Tabletext"/>
            </w:pPr>
            <w:r w:rsidRPr="00E46074">
              <w:t>1 (1.4)</w:t>
            </w:r>
          </w:p>
        </w:tc>
        <w:tc>
          <w:tcPr>
            <w:tcW w:w="3069" w:type="dxa"/>
          </w:tcPr>
          <w:p w14:paraId="130DBA45" w14:textId="77777777" w:rsidR="00231BC7" w:rsidRPr="00E46074" w:rsidRDefault="00231BC7" w:rsidP="00413213">
            <w:pPr>
              <w:pStyle w:val="Tabletext"/>
            </w:pPr>
            <w:r w:rsidRPr="00E46074">
              <w:t>4 (5.8)</w:t>
            </w:r>
          </w:p>
        </w:tc>
      </w:tr>
      <w:tr w:rsidR="00231BC7" w:rsidRPr="00E46074" w14:paraId="24AD328D" w14:textId="77777777" w:rsidTr="00E46074">
        <w:trPr>
          <w:trHeight w:hRule="exact" w:val="305"/>
        </w:trPr>
        <w:tc>
          <w:tcPr>
            <w:tcW w:w="4428" w:type="dxa"/>
          </w:tcPr>
          <w:p w14:paraId="3E31B9DB" w14:textId="77777777" w:rsidR="00231BC7" w:rsidRPr="00E46074" w:rsidRDefault="00231BC7" w:rsidP="00413213">
            <w:pPr>
              <w:pStyle w:val="Tabletext"/>
            </w:pPr>
            <w:r w:rsidRPr="00E46074">
              <w:t>Censored</w:t>
            </w:r>
          </w:p>
        </w:tc>
        <w:tc>
          <w:tcPr>
            <w:tcW w:w="2079" w:type="dxa"/>
          </w:tcPr>
          <w:p w14:paraId="14B3D875" w14:textId="77777777" w:rsidR="00231BC7" w:rsidRPr="00E46074" w:rsidRDefault="00231BC7" w:rsidP="00413213">
            <w:pPr>
              <w:pStyle w:val="Tabletext"/>
            </w:pPr>
            <w:r w:rsidRPr="00E46074">
              <w:t>10 (14.5)</w:t>
            </w:r>
          </w:p>
        </w:tc>
        <w:tc>
          <w:tcPr>
            <w:tcW w:w="3069" w:type="dxa"/>
          </w:tcPr>
          <w:p w14:paraId="5283C86F" w14:textId="77777777" w:rsidR="00231BC7" w:rsidRPr="00E46074" w:rsidRDefault="00231BC7" w:rsidP="00413213">
            <w:pPr>
              <w:pStyle w:val="Tabletext"/>
            </w:pPr>
            <w:r w:rsidRPr="00E46074">
              <w:t>10 (14.5)</w:t>
            </w:r>
          </w:p>
        </w:tc>
      </w:tr>
      <w:tr w:rsidR="00231BC7" w:rsidRPr="00E46074" w14:paraId="3E1D41D6" w14:textId="77777777" w:rsidTr="00E46074">
        <w:trPr>
          <w:trHeight w:hRule="exact" w:val="468"/>
        </w:trPr>
        <w:tc>
          <w:tcPr>
            <w:tcW w:w="4428" w:type="dxa"/>
          </w:tcPr>
          <w:p w14:paraId="2379181A" w14:textId="2F79F7D0" w:rsidR="00231BC7" w:rsidRPr="00E46074" w:rsidRDefault="00231BC7" w:rsidP="00413213">
            <w:pPr>
              <w:pStyle w:val="Tabletext"/>
            </w:pPr>
            <w:r w:rsidRPr="00E46074">
              <w:rPr>
                <w:b/>
                <w:bCs/>
              </w:rPr>
              <w:t>Median Survival (months)</w:t>
            </w:r>
            <w:r w:rsidRPr="00E46074">
              <w:rPr>
                <w:b/>
                <w:bCs/>
                <w:vertAlign w:val="superscript"/>
              </w:rPr>
              <w:t>a</w:t>
            </w:r>
            <w:r w:rsidRPr="00E46074">
              <w:rPr>
                <w:b/>
                <w:bCs/>
              </w:rPr>
              <w:t xml:space="preserve"> </w:t>
            </w:r>
            <w:r w:rsidRPr="00E46074">
              <w:rPr>
                <w:spacing w:val="17"/>
                <w:position w:val="9"/>
              </w:rPr>
              <w:t xml:space="preserve"> </w:t>
            </w:r>
            <w:r w:rsidR="00A0007E" w:rsidRPr="00E46074">
              <w:rPr>
                <w:b/>
                <w:bCs/>
              </w:rPr>
              <w:t>(</w:t>
            </w:r>
            <w:r w:rsidRPr="00E46074">
              <w:rPr>
                <w:b/>
                <w:bCs/>
              </w:rPr>
              <w:t>95%</w:t>
            </w:r>
            <w:r w:rsidRPr="00E46074">
              <w:rPr>
                <w:b/>
                <w:bCs/>
                <w:spacing w:val="-4"/>
              </w:rPr>
              <w:t xml:space="preserve"> </w:t>
            </w:r>
            <w:r w:rsidRPr="00E46074">
              <w:rPr>
                <w:b/>
                <w:bCs/>
              </w:rPr>
              <w:t>CI</w:t>
            </w:r>
            <w:r w:rsidR="00A0007E" w:rsidRPr="00E46074">
              <w:rPr>
                <w:b/>
                <w:bCs/>
              </w:rPr>
              <w:t>)</w:t>
            </w:r>
            <w:r w:rsidRPr="00E46074">
              <w:rPr>
                <w:b/>
                <w:bCs/>
                <w:vertAlign w:val="superscript"/>
              </w:rPr>
              <w:t xml:space="preserve">b </w:t>
            </w:r>
          </w:p>
        </w:tc>
        <w:tc>
          <w:tcPr>
            <w:tcW w:w="2079" w:type="dxa"/>
          </w:tcPr>
          <w:p w14:paraId="779E5EDB" w14:textId="1E43A91A" w:rsidR="00231BC7" w:rsidRPr="00E46074" w:rsidRDefault="00231BC7" w:rsidP="00413213">
            <w:pPr>
              <w:pStyle w:val="Tabletext"/>
            </w:pPr>
            <w:r w:rsidRPr="00E46074">
              <w:t xml:space="preserve">3.7 </w:t>
            </w:r>
            <w:r w:rsidR="00A0007E" w:rsidRPr="00E46074">
              <w:t>(</w:t>
            </w:r>
            <w:r w:rsidRPr="00E46074">
              <w:t>2.1, 3.9</w:t>
            </w:r>
            <w:r w:rsidR="00A0007E" w:rsidRPr="00E46074">
              <w:t>)</w:t>
            </w:r>
          </w:p>
        </w:tc>
        <w:tc>
          <w:tcPr>
            <w:tcW w:w="3069" w:type="dxa"/>
          </w:tcPr>
          <w:p w14:paraId="11A9E75B" w14:textId="375DF95E" w:rsidR="00231BC7" w:rsidRPr="00E46074" w:rsidRDefault="00231BC7" w:rsidP="00413213">
            <w:pPr>
              <w:pStyle w:val="Tabletext"/>
            </w:pPr>
            <w:r w:rsidRPr="00E46074">
              <w:t xml:space="preserve">2.0 </w:t>
            </w:r>
            <w:r w:rsidR="00A0007E" w:rsidRPr="00E46074">
              <w:t>(</w:t>
            </w:r>
            <w:r w:rsidRPr="00E46074">
              <w:t>1.9, 3.9</w:t>
            </w:r>
            <w:r w:rsidR="00A0007E" w:rsidRPr="00E46074">
              <w:t>)</w:t>
            </w:r>
          </w:p>
        </w:tc>
      </w:tr>
      <w:tr w:rsidR="00231BC7" w:rsidRPr="00E46074" w14:paraId="650ECC16" w14:textId="77777777" w:rsidTr="00E46074">
        <w:trPr>
          <w:trHeight w:hRule="exact" w:val="305"/>
        </w:trPr>
        <w:tc>
          <w:tcPr>
            <w:tcW w:w="4428" w:type="dxa"/>
          </w:tcPr>
          <w:p w14:paraId="037375EE" w14:textId="1543C1E0" w:rsidR="00231BC7" w:rsidRPr="00E46074" w:rsidRDefault="00231BC7" w:rsidP="00413213">
            <w:pPr>
              <w:pStyle w:val="Tabletext"/>
            </w:pPr>
            <w:r w:rsidRPr="00E46074">
              <w:rPr>
                <w:b/>
                <w:bCs/>
              </w:rPr>
              <w:t xml:space="preserve">Hazard ratio (High AUC:Low AUC </w:t>
            </w:r>
            <w:r w:rsidR="00A0007E" w:rsidRPr="00E46074">
              <w:rPr>
                <w:b/>
                <w:bCs/>
              </w:rPr>
              <w:t>(</w:t>
            </w:r>
            <w:r w:rsidRPr="00E46074">
              <w:rPr>
                <w:b/>
                <w:bCs/>
              </w:rPr>
              <w:t>95%</w:t>
            </w:r>
            <w:r w:rsidRPr="00E46074">
              <w:rPr>
                <w:b/>
                <w:bCs/>
                <w:spacing w:val="-4"/>
              </w:rPr>
              <w:t xml:space="preserve"> </w:t>
            </w:r>
            <w:r w:rsidRPr="00E46074">
              <w:rPr>
                <w:b/>
                <w:bCs/>
              </w:rPr>
              <w:t>CI</w:t>
            </w:r>
            <w:r w:rsidR="00A0007E" w:rsidRPr="00E46074">
              <w:rPr>
                <w:b/>
                <w:bCs/>
              </w:rPr>
              <w:t>)</w:t>
            </w:r>
            <w:r w:rsidR="00CA6016" w:rsidRPr="00E46074">
              <w:rPr>
                <w:b/>
                <w:bCs/>
              </w:rPr>
              <w:t>)</w:t>
            </w:r>
          </w:p>
        </w:tc>
        <w:tc>
          <w:tcPr>
            <w:tcW w:w="5148" w:type="dxa"/>
            <w:gridSpan w:val="2"/>
          </w:tcPr>
          <w:p w14:paraId="7F7FCE00" w14:textId="1339120A" w:rsidR="00231BC7" w:rsidRPr="00E46074" w:rsidRDefault="00231BC7" w:rsidP="00413213">
            <w:pPr>
              <w:pStyle w:val="Tabletext"/>
            </w:pPr>
            <w:r w:rsidRPr="00E46074">
              <w:t xml:space="preserve">0.82 </w:t>
            </w:r>
            <w:r w:rsidR="00A0007E" w:rsidRPr="00E46074">
              <w:t>(</w:t>
            </w:r>
            <w:r w:rsidRPr="00E46074">
              <w:t>0.57, 1.18</w:t>
            </w:r>
            <w:r w:rsidR="00A0007E" w:rsidRPr="00E46074">
              <w:t>)</w:t>
            </w:r>
          </w:p>
        </w:tc>
      </w:tr>
      <w:tr w:rsidR="00231BC7" w:rsidRPr="00E46074" w14:paraId="50494876" w14:textId="77777777" w:rsidTr="00E46074">
        <w:trPr>
          <w:trHeight w:hRule="exact" w:val="305"/>
        </w:trPr>
        <w:tc>
          <w:tcPr>
            <w:tcW w:w="9576" w:type="dxa"/>
            <w:gridSpan w:val="3"/>
          </w:tcPr>
          <w:p w14:paraId="03B84C07" w14:textId="77777777" w:rsidR="00231BC7" w:rsidRPr="00E46074" w:rsidRDefault="00231BC7" w:rsidP="00413213">
            <w:pPr>
              <w:pStyle w:val="TableHeading"/>
            </w:pPr>
            <w:r w:rsidRPr="00E46074">
              <w:t>TPI</w:t>
            </w:r>
          </w:p>
        </w:tc>
      </w:tr>
      <w:tr w:rsidR="00231BC7" w:rsidRPr="00E46074" w14:paraId="6962DE78" w14:textId="77777777" w:rsidTr="00E46074">
        <w:trPr>
          <w:trHeight w:hRule="exact" w:val="305"/>
        </w:trPr>
        <w:tc>
          <w:tcPr>
            <w:tcW w:w="4428" w:type="dxa"/>
          </w:tcPr>
          <w:p w14:paraId="266DBF3F" w14:textId="77777777" w:rsidR="00231BC7" w:rsidRPr="00E46074" w:rsidRDefault="00231BC7" w:rsidP="00413213">
            <w:pPr>
              <w:pStyle w:val="TableHeading"/>
            </w:pPr>
            <w:r w:rsidRPr="00E46074">
              <w:t>Number</w:t>
            </w:r>
            <w:r w:rsidRPr="00E46074">
              <w:rPr>
                <w:spacing w:val="-2"/>
              </w:rPr>
              <w:t xml:space="preserve"> (%)</w:t>
            </w:r>
            <w:r w:rsidRPr="00E46074">
              <w:t xml:space="preserve"> of patients by censoring status</w:t>
            </w:r>
          </w:p>
        </w:tc>
        <w:tc>
          <w:tcPr>
            <w:tcW w:w="2079" w:type="dxa"/>
          </w:tcPr>
          <w:p w14:paraId="5B4E8856" w14:textId="77777777" w:rsidR="00231BC7" w:rsidRPr="00E46074" w:rsidRDefault="00231BC7" w:rsidP="00413213">
            <w:pPr>
              <w:pStyle w:val="TableHeading"/>
            </w:pPr>
          </w:p>
        </w:tc>
        <w:tc>
          <w:tcPr>
            <w:tcW w:w="3069" w:type="dxa"/>
          </w:tcPr>
          <w:p w14:paraId="6ED12AC6" w14:textId="77777777" w:rsidR="00231BC7" w:rsidRPr="00E46074" w:rsidRDefault="00231BC7" w:rsidP="00413213">
            <w:pPr>
              <w:pStyle w:val="TableHeading"/>
            </w:pPr>
          </w:p>
        </w:tc>
      </w:tr>
      <w:tr w:rsidR="00231BC7" w:rsidRPr="00E46074" w14:paraId="1A7132D2" w14:textId="77777777" w:rsidTr="00E46074">
        <w:trPr>
          <w:trHeight w:hRule="exact" w:val="306"/>
        </w:trPr>
        <w:tc>
          <w:tcPr>
            <w:tcW w:w="4428" w:type="dxa"/>
          </w:tcPr>
          <w:p w14:paraId="10FD9B35" w14:textId="77777777" w:rsidR="00231BC7" w:rsidRPr="00E46074" w:rsidRDefault="00231BC7" w:rsidP="00413213">
            <w:pPr>
              <w:pStyle w:val="Tabletext"/>
            </w:pPr>
            <w:r w:rsidRPr="00E46074">
              <w:t>Total</w:t>
            </w:r>
          </w:p>
        </w:tc>
        <w:tc>
          <w:tcPr>
            <w:tcW w:w="2079" w:type="dxa"/>
          </w:tcPr>
          <w:p w14:paraId="6C37EC29" w14:textId="77777777" w:rsidR="00231BC7" w:rsidRPr="00E46074" w:rsidRDefault="00231BC7" w:rsidP="00413213">
            <w:pPr>
              <w:pStyle w:val="Tabletext"/>
            </w:pPr>
            <w:r w:rsidRPr="00E46074">
              <w:t>69 (100.0)</w:t>
            </w:r>
          </w:p>
        </w:tc>
        <w:tc>
          <w:tcPr>
            <w:tcW w:w="3069" w:type="dxa"/>
          </w:tcPr>
          <w:p w14:paraId="386BCBAB" w14:textId="77777777" w:rsidR="00231BC7" w:rsidRPr="00E46074" w:rsidRDefault="00231BC7" w:rsidP="00413213">
            <w:pPr>
              <w:pStyle w:val="Tabletext"/>
            </w:pPr>
            <w:r w:rsidRPr="00E46074">
              <w:t>69 (100.0)</w:t>
            </w:r>
          </w:p>
        </w:tc>
      </w:tr>
      <w:tr w:rsidR="00231BC7" w:rsidRPr="00E46074" w14:paraId="4EE9CD47" w14:textId="77777777" w:rsidTr="00E46074">
        <w:trPr>
          <w:trHeight w:hRule="exact" w:val="305"/>
        </w:trPr>
        <w:tc>
          <w:tcPr>
            <w:tcW w:w="4428" w:type="dxa"/>
          </w:tcPr>
          <w:p w14:paraId="03B751A6" w14:textId="77777777" w:rsidR="00231BC7" w:rsidRPr="00E46074" w:rsidRDefault="00231BC7" w:rsidP="00413213">
            <w:pPr>
              <w:pStyle w:val="Tabletext"/>
            </w:pPr>
            <w:r w:rsidRPr="00E46074">
              <w:t>Not censored (PFS event)</w:t>
            </w:r>
          </w:p>
        </w:tc>
        <w:tc>
          <w:tcPr>
            <w:tcW w:w="2079" w:type="dxa"/>
          </w:tcPr>
          <w:p w14:paraId="2AC3F8FD" w14:textId="77777777" w:rsidR="00231BC7" w:rsidRPr="00E46074" w:rsidRDefault="00231BC7" w:rsidP="00413213">
            <w:pPr>
              <w:pStyle w:val="Tabletext"/>
            </w:pPr>
            <w:r w:rsidRPr="00E46074">
              <w:t>57 (82.6)</w:t>
            </w:r>
          </w:p>
        </w:tc>
        <w:tc>
          <w:tcPr>
            <w:tcW w:w="3069" w:type="dxa"/>
          </w:tcPr>
          <w:p w14:paraId="3B33D7C7" w14:textId="77777777" w:rsidR="00231BC7" w:rsidRPr="00E46074" w:rsidRDefault="00231BC7" w:rsidP="00413213">
            <w:pPr>
              <w:pStyle w:val="Tabletext"/>
            </w:pPr>
            <w:r w:rsidRPr="00E46074">
              <w:t>61 (88.4)</w:t>
            </w:r>
          </w:p>
        </w:tc>
      </w:tr>
      <w:tr w:rsidR="00231BC7" w:rsidRPr="00E46074" w14:paraId="61166BA8" w14:textId="77777777" w:rsidTr="00E46074">
        <w:trPr>
          <w:trHeight w:hRule="exact" w:val="305"/>
        </w:trPr>
        <w:tc>
          <w:tcPr>
            <w:tcW w:w="4428" w:type="dxa"/>
          </w:tcPr>
          <w:p w14:paraId="7A74EA6A" w14:textId="77777777" w:rsidR="00231BC7" w:rsidRPr="00E46074" w:rsidRDefault="00231BC7" w:rsidP="00413213">
            <w:pPr>
              <w:pStyle w:val="Tabletext"/>
            </w:pPr>
            <w:r w:rsidRPr="00E46074">
              <w:t>Progressed</w:t>
            </w:r>
          </w:p>
        </w:tc>
        <w:tc>
          <w:tcPr>
            <w:tcW w:w="2079" w:type="dxa"/>
          </w:tcPr>
          <w:p w14:paraId="7251EB9A" w14:textId="77777777" w:rsidR="00231BC7" w:rsidRPr="00E46074" w:rsidRDefault="00231BC7" w:rsidP="00413213">
            <w:pPr>
              <w:pStyle w:val="Tabletext"/>
            </w:pPr>
            <w:r w:rsidRPr="00E46074">
              <w:t>55 (79.7)</w:t>
            </w:r>
          </w:p>
        </w:tc>
        <w:tc>
          <w:tcPr>
            <w:tcW w:w="3069" w:type="dxa"/>
          </w:tcPr>
          <w:p w14:paraId="4BC85FF7" w14:textId="77777777" w:rsidR="00231BC7" w:rsidRPr="00E46074" w:rsidRDefault="00231BC7" w:rsidP="00413213">
            <w:pPr>
              <w:pStyle w:val="Tabletext"/>
            </w:pPr>
            <w:r w:rsidRPr="00E46074">
              <w:t>58 (84.1)</w:t>
            </w:r>
          </w:p>
        </w:tc>
      </w:tr>
      <w:tr w:rsidR="00231BC7" w:rsidRPr="00E46074" w14:paraId="44B06681" w14:textId="77777777" w:rsidTr="00E46074">
        <w:trPr>
          <w:trHeight w:hRule="exact" w:val="305"/>
        </w:trPr>
        <w:tc>
          <w:tcPr>
            <w:tcW w:w="4428" w:type="dxa"/>
          </w:tcPr>
          <w:p w14:paraId="342CFF92" w14:textId="77777777" w:rsidR="00231BC7" w:rsidRPr="00E46074" w:rsidRDefault="00231BC7" w:rsidP="00413213">
            <w:pPr>
              <w:pStyle w:val="Tabletext"/>
            </w:pPr>
            <w:r w:rsidRPr="00E46074">
              <w:t>Death</w:t>
            </w:r>
          </w:p>
        </w:tc>
        <w:tc>
          <w:tcPr>
            <w:tcW w:w="2079" w:type="dxa"/>
          </w:tcPr>
          <w:p w14:paraId="3D556153" w14:textId="77777777" w:rsidR="00231BC7" w:rsidRPr="00E46074" w:rsidRDefault="00231BC7" w:rsidP="00413213">
            <w:pPr>
              <w:pStyle w:val="Tabletext"/>
            </w:pPr>
            <w:r w:rsidRPr="00E46074">
              <w:t>2 (2.9)</w:t>
            </w:r>
          </w:p>
        </w:tc>
        <w:tc>
          <w:tcPr>
            <w:tcW w:w="3069" w:type="dxa"/>
          </w:tcPr>
          <w:p w14:paraId="0F838C77" w14:textId="77777777" w:rsidR="00231BC7" w:rsidRPr="00E46074" w:rsidRDefault="00231BC7" w:rsidP="00413213">
            <w:pPr>
              <w:pStyle w:val="Tabletext"/>
            </w:pPr>
            <w:r w:rsidRPr="00E46074">
              <w:t>3 (4.3)</w:t>
            </w:r>
          </w:p>
        </w:tc>
      </w:tr>
      <w:tr w:rsidR="00231BC7" w:rsidRPr="00E46074" w14:paraId="350F8A53" w14:textId="77777777" w:rsidTr="00E46074">
        <w:trPr>
          <w:trHeight w:hRule="exact" w:val="305"/>
        </w:trPr>
        <w:tc>
          <w:tcPr>
            <w:tcW w:w="4428" w:type="dxa"/>
          </w:tcPr>
          <w:p w14:paraId="3E594253" w14:textId="77777777" w:rsidR="00231BC7" w:rsidRPr="00E46074" w:rsidRDefault="00231BC7" w:rsidP="00413213">
            <w:pPr>
              <w:pStyle w:val="Tabletext"/>
            </w:pPr>
            <w:r w:rsidRPr="00E46074">
              <w:t>Censored</w:t>
            </w:r>
          </w:p>
        </w:tc>
        <w:tc>
          <w:tcPr>
            <w:tcW w:w="2079" w:type="dxa"/>
          </w:tcPr>
          <w:p w14:paraId="01522D5E" w14:textId="77777777" w:rsidR="00231BC7" w:rsidRPr="00E46074" w:rsidRDefault="00231BC7" w:rsidP="00413213">
            <w:pPr>
              <w:pStyle w:val="Tabletext"/>
            </w:pPr>
            <w:r w:rsidRPr="00E46074">
              <w:t>12 (17.4)</w:t>
            </w:r>
          </w:p>
        </w:tc>
        <w:tc>
          <w:tcPr>
            <w:tcW w:w="3069" w:type="dxa"/>
          </w:tcPr>
          <w:p w14:paraId="48A32000" w14:textId="77777777" w:rsidR="00231BC7" w:rsidRPr="00E46074" w:rsidRDefault="00231BC7" w:rsidP="00413213">
            <w:pPr>
              <w:pStyle w:val="Tabletext"/>
            </w:pPr>
            <w:r w:rsidRPr="00E46074">
              <w:t>8 (11.6)</w:t>
            </w:r>
          </w:p>
        </w:tc>
      </w:tr>
      <w:tr w:rsidR="00231BC7" w:rsidRPr="00E46074" w14:paraId="25314C6E" w14:textId="77777777" w:rsidTr="00E46074">
        <w:trPr>
          <w:trHeight w:hRule="exact" w:val="496"/>
        </w:trPr>
        <w:tc>
          <w:tcPr>
            <w:tcW w:w="4428" w:type="dxa"/>
          </w:tcPr>
          <w:p w14:paraId="303A6DCA" w14:textId="3254F350" w:rsidR="00231BC7" w:rsidRPr="00E46074" w:rsidRDefault="00231BC7" w:rsidP="00413213">
            <w:pPr>
              <w:pStyle w:val="Tabletext"/>
            </w:pPr>
            <w:r w:rsidRPr="00E46074">
              <w:rPr>
                <w:b/>
                <w:bCs/>
              </w:rPr>
              <w:t>Median Survival (months)</w:t>
            </w:r>
            <w:r w:rsidRPr="00E46074">
              <w:rPr>
                <w:b/>
                <w:bCs/>
                <w:vertAlign w:val="superscript"/>
              </w:rPr>
              <w:t xml:space="preserve">a </w:t>
            </w:r>
            <w:r w:rsidR="00A0007E" w:rsidRPr="00E46074">
              <w:rPr>
                <w:b/>
                <w:bCs/>
              </w:rPr>
              <w:t>(</w:t>
            </w:r>
            <w:r w:rsidRPr="00E46074">
              <w:rPr>
                <w:b/>
                <w:bCs/>
              </w:rPr>
              <w:t>95%</w:t>
            </w:r>
            <w:r w:rsidRPr="00E46074">
              <w:rPr>
                <w:b/>
                <w:bCs/>
                <w:spacing w:val="-4"/>
              </w:rPr>
              <w:t xml:space="preserve"> </w:t>
            </w:r>
            <w:r w:rsidRPr="00E46074">
              <w:rPr>
                <w:b/>
                <w:bCs/>
              </w:rPr>
              <w:t>CI</w:t>
            </w:r>
            <w:r w:rsidR="00A0007E" w:rsidRPr="00E46074">
              <w:rPr>
                <w:b/>
                <w:bCs/>
              </w:rPr>
              <w:t>)</w:t>
            </w:r>
            <w:r w:rsidRPr="00E46074">
              <w:rPr>
                <w:b/>
                <w:bCs/>
                <w:vertAlign w:val="superscript"/>
              </w:rPr>
              <w:t>b</w:t>
            </w:r>
            <w:r w:rsidRPr="00E46074">
              <w:rPr>
                <w:b/>
                <w:bCs/>
              </w:rPr>
              <w:t xml:space="preserve"> </w:t>
            </w:r>
          </w:p>
        </w:tc>
        <w:tc>
          <w:tcPr>
            <w:tcW w:w="2079" w:type="dxa"/>
          </w:tcPr>
          <w:p w14:paraId="4C92BDD7" w14:textId="28642303" w:rsidR="00231BC7" w:rsidRPr="00E46074" w:rsidRDefault="00231BC7" w:rsidP="00413213">
            <w:pPr>
              <w:pStyle w:val="Tabletext"/>
            </w:pPr>
            <w:r w:rsidRPr="00E46074">
              <w:t xml:space="preserve">2.0 </w:t>
            </w:r>
            <w:r w:rsidR="00A0007E" w:rsidRPr="00E46074">
              <w:t>(</w:t>
            </w:r>
            <w:r w:rsidRPr="00E46074">
              <w:t>1.9, 3.7</w:t>
            </w:r>
            <w:r w:rsidR="00A0007E" w:rsidRPr="00E46074">
              <w:t>)</w:t>
            </w:r>
          </w:p>
        </w:tc>
        <w:tc>
          <w:tcPr>
            <w:tcW w:w="3069" w:type="dxa"/>
          </w:tcPr>
          <w:p w14:paraId="3489CAAE" w14:textId="254B943E" w:rsidR="00231BC7" w:rsidRPr="00E46074" w:rsidRDefault="00231BC7" w:rsidP="00413213">
            <w:pPr>
              <w:pStyle w:val="Tabletext"/>
            </w:pPr>
            <w:r w:rsidRPr="00E46074">
              <w:t xml:space="preserve">3.7 </w:t>
            </w:r>
            <w:r w:rsidR="00A0007E" w:rsidRPr="00E46074">
              <w:t>(</w:t>
            </w:r>
            <w:r w:rsidRPr="00E46074">
              <w:t>2.1, 4.3</w:t>
            </w:r>
            <w:r w:rsidR="00A0007E" w:rsidRPr="00E46074">
              <w:t>)</w:t>
            </w:r>
          </w:p>
        </w:tc>
      </w:tr>
      <w:tr w:rsidR="00231BC7" w:rsidRPr="00E46074" w14:paraId="662DF7E8" w14:textId="77777777" w:rsidTr="00E46074">
        <w:trPr>
          <w:trHeight w:hRule="exact" w:val="305"/>
        </w:trPr>
        <w:tc>
          <w:tcPr>
            <w:tcW w:w="4428" w:type="dxa"/>
          </w:tcPr>
          <w:p w14:paraId="6F4DDBEB" w14:textId="3AF3D6A6" w:rsidR="00231BC7" w:rsidRPr="00E46074" w:rsidRDefault="00231BC7" w:rsidP="00413213">
            <w:pPr>
              <w:pStyle w:val="Tabletext"/>
            </w:pPr>
            <w:r w:rsidRPr="00E46074">
              <w:rPr>
                <w:b/>
                <w:bCs/>
              </w:rPr>
              <w:t xml:space="preserve">Hazard ratio (High AUC:Low AUC </w:t>
            </w:r>
            <w:r w:rsidR="00A0007E" w:rsidRPr="00E46074">
              <w:rPr>
                <w:b/>
                <w:bCs/>
              </w:rPr>
              <w:t>(</w:t>
            </w:r>
            <w:r w:rsidRPr="00E46074">
              <w:rPr>
                <w:b/>
                <w:bCs/>
              </w:rPr>
              <w:t>95%</w:t>
            </w:r>
            <w:r w:rsidRPr="00E46074">
              <w:rPr>
                <w:b/>
                <w:bCs/>
                <w:spacing w:val="-4"/>
              </w:rPr>
              <w:t xml:space="preserve"> </w:t>
            </w:r>
            <w:r w:rsidRPr="00E46074">
              <w:rPr>
                <w:b/>
                <w:bCs/>
              </w:rPr>
              <w:t>CI</w:t>
            </w:r>
            <w:r w:rsidR="00A0007E" w:rsidRPr="00E46074">
              <w:rPr>
                <w:b/>
                <w:bCs/>
              </w:rPr>
              <w:t>)</w:t>
            </w:r>
          </w:p>
        </w:tc>
        <w:tc>
          <w:tcPr>
            <w:tcW w:w="5148" w:type="dxa"/>
            <w:gridSpan w:val="2"/>
          </w:tcPr>
          <w:p w14:paraId="18FABCE9" w14:textId="098378BD" w:rsidR="00231BC7" w:rsidRPr="00E46074" w:rsidRDefault="00231BC7" w:rsidP="00413213">
            <w:pPr>
              <w:pStyle w:val="Tabletext"/>
            </w:pPr>
            <w:r w:rsidRPr="00E46074">
              <w:t xml:space="preserve">0.97 </w:t>
            </w:r>
            <w:r w:rsidR="00A0007E" w:rsidRPr="00E46074">
              <w:t>(</w:t>
            </w:r>
            <w:r w:rsidRPr="00E46074">
              <w:t>0.67, 1.41</w:t>
            </w:r>
            <w:r w:rsidR="00A0007E" w:rsidRPr="00E46074">
              <w:t>)</w:t>
            </w:r>
          </w:p>
        </w:tc>
      </w:tr>
    </w:tbl>
    <w:p w14:paraId="7708490D" w14:textId="77777777" w:rsidR="00AA7141" w:rsidRDefault="00231BC7" w:rsidP="00CA6016">
      <w:pPr>
        <w:pStyle w:val="TableDescription"/>
        <w:rPr>
          <w:sz w:val="18"/>
          <w:szCs w:val="18"/>
          <w:vertAlign w:val="superscript"/>
        </w:rPr>
      </w:pPr>
      <w:r w:rsidRPr="00E46074">
        <w:rPr>
          <w:sz w:val="18"/>
          <w:szCs w:val="18"/>
        </w:rPr>
        <w:t>a.</w:t>
      </w:r>
      <w:r w:rsidR="00CA6016" w:rsidRPr="00E46074">
        <w:rPr>
          <w:sz w:val="18"/>
          <w:szCs w:val="18"/>
        </w:rPr>
        <w:t xml:space="preserve"> </w:t>
      </w:r>
      <w:r w:rsidRPr="00E46074">
        <w:rPr>
          <w:sz w:val="18"/>
          <w:szCs w:val="18"/>
        </w:rPr>
        <w:t>Kaplan-Meier estimates</w:t>
      </w:r>
      <w:r w:rsidR="00C11183" w:rsidRPr="00E46074">
        <w:rPr>
          <w:sz w:val="18"/>
          <w:szCs w:val="18"/>
        </w:rPr>
        <w:t xml:space="preserve">; </w:t>
      </w:r>
      <w:r w:rsidRPr="00E46074">
        <w:rPr>
          <w:sz w:val="18"/>
          <w:szCs w:val="18"/>
        </w:rPr>
        <w:t>b.</w:t>
      </w:r>
      <w:r w:rsidR="00CA6016" w:rsidRPr="00E46074">
        <w:rPr>
          <w:sz w:val="18"/>
          <w:szCs w:val="18"/>
        </w:rPr>
        <w:t xml:space="preserve"> </w:t>
      </w:r>
      <w:r w:rsidRPr="00E46074">
        <w:rPr>
          <w:sz w:val="18"/>
          <w:szCs w:val="18"/>
        </w:rPr>
        <w:t>Methodology of Brookmeyer and Crowley.</w:t>
      </w:r>
    </w:p>
    <w:p w14:paraId="32EAA585" w14:textId="77777777" w:rsidR="00AA7141" w:rsidRDefault="00231BC7" w:rsidP="00955252">
      <w:pPr>
        <w:pStyle w:val="Heading4"/>
      </w:pPr>
      <w:r w:rsidRPr="00C94C33">
        <w:t>Results – Relationship between FTD/TPI exposure and safety endpoints</w:t>
      </w:r>
    </w:p>
    <w:p w14:paraId="03FDB6E8" w14:textId="13E77E72" w:rsidR="00231BC7" w:rsidRPr="005C2FCA" w:rsidRDefault="00231BC7" w:rsidP="00231BC7">
      <w:pPr>
        <w:widowControl w:val="0"/>
        <w:autoSpaceDE w:val="0"/>
        <w:autoSpaceDN w:val="0"/>
        <w:adjustRightInd w:val="0"/>
        <w:rPr>
          <w:rFonts w:cs="Times"/>
        </w:rPr>
      </w:pPr>
      <w:r w:rsidRPr="005C2FCA">
        <w:rPr>
          <w:rFonts w:cs="Times"/>
        </w:rPr>
        <w:t xml:space="preserve">Grade ≥ 3 adverse events (AEs) for the FTD AUC and the TPI AUC in the </w:t>
      </w:r>
      <w:r w:rsidR="00986ED2">
        <w:rPr>
          <w:rFonts w:cs="Times"/>
        </w:rPr>
        <w:t>PK/PD</w:t>
      </w:r>
      <w:r w:rsidRPr="005C2FCA">
        <w:rPr>
          <w:rFonts w:cs="Times"/>
        </w:rPr>
        <w:t xml:space="preserve"> population are summarised below in Table 26. The incidence of both Grade ≥ 3 neutrop</w:t>
      </w:r>
      <w:r w:rsidR="00575F1B">
        <w:rPr>
          <w:rFonts w:cs="Times"/>
        </w:rPr>
        <w:t>a</w:t>
      </w:r>
      <w:r w:rsidRPr="005C2FCA">
        <w:rPr>
          <w:rFonts w:cs="Times"/>
        </w:rPr>
        <w:t>enia and any Grade ≥ 3 drug related AE was higher (&gt; 10%) in the FTD high AUC group compared to the FTD low AUC group. Dose reductions (any) were higher in the FTD high AUC group (23%) than in the FTD low AUC group (9%). No specific pattern emerged between the TPI high AUC group and the low AUC group for safety events.</w:t>
      </w:r>
    </w:p>
    <w:p w14:paraId="375E9A1B" w14:textId="7481996E" w:rsidR="00231BC7" w:rsidRPr="005C2FCA" w:rsidRDefault="00231BC7" w:rsidP="0058475B">
      <w:pPr>
        <w:pStyle w:val="Tabletitle"/>
      </w:pPr>
      <w:bookmarkStart w:id="181" w:name="_Toc470948675"/>
      <w:r w:rsidRPr="007709B8">
        <w:lastRenderedPageBreak/>
        <w:t>Table</w:t>
      </w:r>
      <w:r w:rsidR="00CA6016" w:rsidRPr="00C94C33">
        <w:t xml:space="preserve"> 26</w:t>
      </w:r>
      <w:r w:rsidRPr="00C94C33">
        <w:t xml:space="preserve">: </w:t>
      </w:r>
      <w:r w:rsidR="00986ED2">
        <w:t>PK/PD</w:t>
      </w:r>
      <w:r w:rsidRPr="005C2FCA">
        <w:t xml:space="preserve"> Report</w:t>
      </w:r>
      <w:r w:rsidR="00575F1B">
        <w:t xml:space="preserve">; </w:t>
      </w:r>
      <w:r w:rsidRPr="005C2FCA">
        <w:t xml:space="preserve">Safety event summary by FTD AUC or TPI AUC, </w:t>
      </w:r>
      <w:r w:rsidR="00986ED2">
        <w:t>PK/PD</w:t>
      </w:r>
      <w:r w:rsidRPr="005C2FCA">
        <w:t xml:space="preserve"> population</w:t>
      </w:r>
      <w:bookmarkEnd w:id="181"/>
    </w:p>
    <w:p w14:paraId="434ABDA6" w14:textId="33E7BD8B" w:rsidR="00231BC7" w:rsidRPr="007709B8" w:rsidRDefault="005D5DE3" w:rsidP="00231BC7">
      <w:pPr>
        <w:spacing w:after="0"/>
        <w:rPr>
          <w:sz w:val="18"/>
          <w:szCs w:val="18"/>
        </w:rPr>
      </w:pPr>
      <w:r>
        <w:rPr>
          <w:noProof/>
          <w:lang w:eastAsia="en-AU"/>
        </w:rPr>
        <w:drawing>
          <wp:inline distT="0" distB="0" distL="0" distR="0" wp14:anchorId="1B3BF39E" wp14:editId="65FDC432">
            <wp:extent cx="4744703" cy="3834351"/>
            <wp:effectExtent l="0" t="0" r="0" b="0"/>
            <wp:docPr id="7" name="Picture 9" descr="Table 26: PK/PD Report; Safety event summary by FTD AUC or TPI AUC, PK/P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Table 26: PK/PD Report; Safety event summary by FTD AUC or TPI AUC, PK/PD population"/>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4703" cy="3834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635E427" w14:textId="27545EAB" w:rsidR="00231BC7" w:rsidRPr="00C94C33" w:rsidRDefault="00231BC7" w:rsidP="00CA6016">
      <w:pPr>
        <w:pStyle w:val="TableDescription"/>
      </w:pPr>
      <w:r w:rsidRPr="00C94C33">
        <w:t xml:space="preserve">a. </w:t>
      </w:r>
      <w:r w:rsidRPr="005D5DE3">
        <w:rPr>
          <w:b/>
        </w:rPr>
        <w:t>Grade</w:t>
      </w:r>
      <w:r w:rsidRPr="00C94C33">
        <w:t xml:space="preserve"> 3 or higher based on laboratory data</w:t>
      </w:r>
      <w:r w:rsidR="00575F1B">
        <w:t xml:space="preserve">; </w:t>
      </w:r>
      <w:r w:rsidRPr="00C94C33">
        <w:t>b</w:t>
      </w:r>
      <w:r w:rsidR="00CA6016" w:rsidRPr="00C94C33">
        <w:t xml:space="preserve">. </w:t>
      </w:r>
      <w:r w:rsidRPr="00C94C33">
        <w:t xml:space="preserve">Dose reductions based on exposure data. </w:t>
      </w:r>
      <w:r w:rsidR="009C0389" w:rsidRPr="00C94C33">
        <w:t xml:space="preserve">n = </w:t>
      </w:r>
      <w:r w:rsidRPr="00C94C33">
        <w:t>number of patients with an event.</w:t>
      </w:r>
    </w:p>
    <w:p w14:paraId="2C7E6B7C" w14:textId="17F75D2F" w:rsidR="00231BC7" w:rsidRPr="007709B8" w:rsidRDefault="00231BC7" w:rsidP="00231BC7">
      <w:pPr>
        <w:rPr>
          <w:sz w:val="18"/>
          <w:szCs w:val="18"/>
        </w:rPr>
      </w:pPr>
      <w:r w:rsidRPr="00C94C33">
        <w:t xml:space="preserve">The </w:t>
      </w:r>
      <w:r w:rsidR="00986ED2">
        <w:t>PK/PD</w:t>
      </w:r>
      <w:r w:rsidRPr="00C94C33">
        <w:t xml:space="preserve"> report also included a descriptive analysis of the relationship between the neutrophil count (10</w:t>
      </w:r>
      <w:r w:rsidRPr="00C94C33">
        <w:rPr>
          <w:vertAlign w:val="superscript"/>
        </w:rPr>
        <w:t>9</w:t>
      </w:r>
      <w:r w:rsidRPr="00C94C33">
        <w:t xml:space="preserve">/L) and both the FTD AUC and the TPI AUC during Cycle 1 by Week. The </w:t>
      </w:r>
      <w:r w:rsidRPr="005C2FCA">
        <w:rPr>
          <w:rFonts w:cs="Times"/>
        </w:rPr>
        <w:t>mean change in the neutrophil count (10</w:t>
      </w:r>
      <w:r w:rsidRPr="005C2FCA">
        <w:rPr>
          <w:rFonts w:cs="Times"/>
          <w:vertAlign w:val="superscript"/>
        </w:rPr>
        <w:t>9</w:t>
      </w:r>
      <w:r w:rsidRPr="005C2FCA">
        <w:rPr>
          <w:rFonts w:cs="Times"/>
        </w:rPr>
        <w:t>/L) from Baseline at Cycle 1 at the Last Assessment was similar in the FTD</w:t>
      </w:r>
      <w:r w:rsidR="0043046F">
        <w:rPr>
          <w:rFonts w:cs="Times"/>
        </w:rPr>
        <w:t xml:space="preserve"> </w:t>
      </w:r>
      <w:r w:rsidRPr="005C2FCA">
        <w:rPr>
          <w:rFonts w:cs="Times"/>
        </w:rPr>
        <w:t xml:space="preserve">low and high AUC groups (low: -2.225; high: -2.260) and in the TPI low and high AUC groups (low: </w:t>
      </w:r>
      <w:r w:rsidR="0043046F">
        <w:rPr>
          <w:rFonts w:cs="Times"/>
        </w:rPr>
        <w:noBreakHyphen/>
      </w:r>
      <w:r w:rsidRPr="005C2FCA">
        <w:rPr>
          <w:rFonts w:cs="Times"/>
        </w:rPr>
        <w:t>2.168; high: -2.316). The mean change in neutrophil count (10</w:t>
      </w:r>
      <w:r w:rsidRPr="005C2FCA">
        <w:rPr>
          <w:rFonts w:cs="Times"/>
          <w:vertAlign w:val="superscript"/>
        </w:rPr>
        <w:t>9</w:t>
      </w:r>
      <w:r w:rsidRPr="005C2FCA">
        <w:rPr>
          <w:rFonts w:cs="Times"/>
        </w:rPr>
        <w:t>/L) from Baseline at the Cycle</w:t>
      </w:r>
      <w:r w:rsidR="0043046F">
        <w:rPr>
          <w:rFonts w:cs="Times"/>
        </w:rPr>
        <w:t> </w:t>
      </w:r>
      <w:r w:rsidRPr="005C2FCA">
        <w:rPr>
          <w:rFonts w:cs="Times"/>
        </w:rPr>
        <w:t>1 Nadir was similar in the FTD low and high AUC groups (low: -3.105; high: -3.331) and lower in the TPI low compared to high AUC group (low: -2.952; high: -3.483).</w:t>
      </w:r>
    </w:p>
    <w:p w14:paraId="22A9FCDF" w14:textId="77777777" w:rsidR="00AA7141" w:rsidRDefault="00231BC7" w:rsidP="00955252">
      <w:pPr>
        <w:pStyle w:val="Heading3"/>
      </w:pPr>
      <w:bookmarkStart w:id="182" w:name="_Toc470948493"/>
      <w:bookmarkStart w:id="183" w:name="_Toc510016883"/>
      <w:r w:rsidRPr="005C2FCA">
        <w:t>Cardiac safety</w:t>
      </w:r>
      <w:r w:rsidR="0043046F">
        <w:t>;</w:t>
      </w:r>
      <w:r w:rsidRPr="005C2FCA">
        <w:t xml:space="preserve"> Study TPU-TAS-102-103</w:t>
      </w:r>
      <w:bookmarkEnd w:id="182"/>
      <w:bookmarkEnd w:id="183"/>
    </w:p>
    <w:p w14:paraId="1191A426" w14:textId="77777777" w:rsidR="00AA7141" w:rsidRDefault="00231BC7" w:rsidP="00955252">
      <w:pPr>
        <w:pStyle w:val="Heading4"/>
      </w:pPr>
      <w:r w:rsidRPr="007709B8">
        <w:t>Background</w:t>
      </w:r>
    </w:p>
    <w:p w14:paraId="097681DD" w14:textId="6E56C35C" w:rsidR="00231BC7" w:rsidRPr="00C94C33" w:rsidRDefault="00231BC7" w:rsidP="00231BC7">
      <w:r w:rsidRPr="00C94C33">
        <w:t xml:space="preserve">The submission included one </w:t>
      </w:r>
      <w:r w:rsidR="00842E8F" w:rsidRPr="00C94C33">
        <w:t>Phase I</w:t>
      </w:r>
      <w:r w:rsidRPr="00C94C33">
        <w:t xml:space="preserve"> study designed to evaluate the cardiac safety of </w:t>
      </w:r>
      <w:r w:rsidR="00A167ED">
        <w:t>TAS-102</w:t>
      </w:r>
      <w:r w:rsidRPr="00C94C33">
        <w:t xml:space="preserve"> in patients with advanced solid tumours </w:t>
      </w:r>
      <w:r w:rsidR="00A0007E" w:rsidRPr="00C94C33">
        <w:t>(</w:t>
      </w:r>
      <w:r w:rsidR="0043046F">
        <w:t xml:space="preserve">Study </w:t>
      </w:r>
      <w:r w:rsidRPr="00C94C33">
        <w:t>TPU-TAS-102-103</w:t>
      </w:r>
      <w:r w:rsidR="00A0007E" w:rsidRPr="00C94C33">
        <w:t>)</w:t>
      </w:r>
      <w:r w:rsidRPr="00C94C33">
        <w:t>. The study was undertaken in the USA (3 centres) and the UK (1 centre). The first patient was dosed on 30 May 2013, the last patient was dosed on 11 December 2013, and the cut-off date for the safety evaluation (completion of Cycle 1) was 9 January 2013. The final study report was dated 23 June 2014. The study was sponsored by Taiho Oncology, USA, and was conducted in accordance with ICH GCP Guidelines.</w:t>
      </w:r>
    </w:p>
    <w:p w14:paraId="5B0F3B5C" w14:textId="77777777" w:rsidR="00AA7141" w:rsidRDefault="00231BC7" w:rsidP="00955252">
      <w:pPr>
        <w:pStyle w:val="Heading4"/>
      </w:pPr>
      <w:r w:rsidRPr="00C94C33">
        <w:t>Objectives</w:t>
      </w:r>
    </w:p>
    <w:p w14:paraId="72DAF7F9" w14:textId="1B5305B9" w:rsidR="00231BC7" w:rsidRPr="00C94C33" w:rsidRDefault="00231BC7" w:rsidP="00231BC7">
      <w:r w:rsidRPr="00C94C33">
        <w:t xml:space="preserve">The objectives of the cardiac safety evaluation (Cycle 1) were: (1) to investigate the effect of </w:t>
      </w:r>
      <w:r w:rsidR="00A167ED">
        <w:t>TAS-102</w:t>
      </w:r>
      <w:r w:rsidRPr="00C94C33">
        <w:t xml:space="preserve"> on cardiac repolarisation after single-dose and multiple-dose administration; (2) to evaluate the cardiac safety profile of </w:t>
      </w:r>
      <w:r w:rsidR="00A167ED">
        <w:t>TAS-102</w:t>
      </w:r>
      <w:r w:rsidRPr="00C94C33">
        <w:t xml:space="preserve">; and (3) to evaluate the relationship between the PK of </w:t>
      </w:r>
      <w:r w:rsidR="00A167ED">
        <w:t>TAS-102</w:t>
      </w:r>
      <w:r w:rsidRPr="00C94C33">
        <w:t xml:space="preserve"> and cardiac repolarisation (</w:t>
      </w:r>
      <w:r w:rsidR="00986ED2">
        <w:t>PK/PD</w:t>
      </w:r>
      <w:r w:rsidRPr="00C94C33">
        <w:t xml:space="preserve"> analysis). The study also included an extension period (Cycles ≥ 2) in which the objectives were to assess the safety and the anti-tumour activity of </w:t>
      </w:r>
      <w:r w:rsidR="00A167ED">
        <w:t>TAS-102</w:t>
      </w:r>
      <w:r w:rsidRPr="00C94C33">
        <w:t>. Only the results of the cardiac safety evaluation will be discussed in this section of the CER.</w:t>
      </w:r>
    </w:p>
    <w:p w14:paraId="556807C3" w14:textId="422347AA" w:rsidR="00231BC7" w:rsidRPr="005C2FCA" w:rsidRDefault="00231BC7" w:rsidP="00955252">
      <w:pPr>
        <w:pStyle w:val="Heading4"/>
      </w:pPr>
      <w:r w:rsidRPr="005C2FCA">
        <w:lastRenderedPageBreak/>
        <w:t>Design</w:t>
      </w:r>
    </w:p>
    <w:p w14:paraId="12FEAADF" w14:textId="1829C028" w:rsidR="00231BC7" w:rsidRPr="005C2FCA" w:rsidRDefault="00231BC7" w:rsidP="00231BC7">
      <w:pPr>
        <w:widowControl w:val="0"/>
        <w:autoSpaceDE w:val="0"/>
        <w:autoSpaceDN w:val="0"/>
        <w:adjustRightInd w:val="0"/>
      </w:pPr>
      <w:r w:rsidRPr="005C2FCA">
        <w:t xml:space="preserve">On the day prior to the start of TAS-102 dosing (Day -1, AM), all patients received a single-dose of placebo administered single-blind (patient-blinded). On Day 1 of Cycle 1, all patients received a single-dose of </w:t>
      </w:r>
      <w:r w:rsidR="00A167ED">
        <w:t>TAS-102</w:t>
      </w:r>
      <w:r w:rsidRPr="005C2FCA">
        <w:t xml:space="preserve"> 35 mg/m</w:t>
      </w:r>
      <w:r w:rsidRPr="005C2FCA">
        <w:rPr>
          <w:vertAlign w:val="superscript"/>
        </w:rPr>
        <w:t xml:space="preserve">2 </w:t>
      </w:r>
      <w:r w:rsidRPr="005C2FCA">
        <w:t>in the morning and another single-dose of TAS-102 35 mg/m</w:t>
      </w:r>
      <w:r w:rsidRPr="005C2FCA">
        <w:rPr>
          <w:vertAlign w:val="superscript"/>
        </w:rPr>
        <w:t>2</w:t>
      </w:r>
      <w:r w:rsidRPr="005C2FCA">
        <w:t xml:space="preserve"> administered 12 hours later (after collection of 12-hour PK sample). TAS-102 was then administered at a dose of 35 mg/m</w:t>
      </w:r>
      <w:r w:rsidRPr="005C2FCA">
        <w:rPr>
          <w:vertAlign w:val="superscript"/>
        </w:rPr>
        <w:t>2</w:t>
      </w:r>
      <w:r w:rsidRPr="005C2FCA">
        <w:t xml:space="preserve"> BD on Days 2 through 5. This was followed by a recovery period from Day 6 through Day 7. TAS-102 35 mg/m</w:t>
      </w:r>
      <w:r w:rsidRPr="005C2FCA">
        <w:rPr>
          <w:vertAlign w:val="superscript"/>
        </w:rPr>
        <w:t>2</w:t>
      </w:r>
      <w:r w:rsidRPr="005C2FCA">
        <w:t xml:space="preserve"> was again administered BD on Days 8 through 12. On Day 12 of Cycle 1, patients received the evening dose of TAS-102 after collection of the 12-hour PK sample. This was followed by a recovery period from Day 13 through Day 28. All doses of TAS-102 or placebo were administered within 1 hour after completing a meal. The dosing regimen in Cycle 1 was consistent with the dosing regimen proposed for registration for the proposed indication.</w:t>
      </w:r>
    </w:p>
    <w:p w14:paraId="4EEDD71F" w14:textId="43BC6707" w:rsidR="00231BC7" w:rsidRPr="005C2FCA" w:rsidRDefault="00231BC7" w:rsidP="00231BC7">
      <w:pPr>
        <w:widowControl w:val="0"/>
        <w:autoSpaceDE w:val="0"/>
        <w:autoSpaceDN w:val="0"/>
        <w:adjustRightInd w:val="0"/>
        <w:rPr>
          <w:rFonts w:cs="Times"/>
        </w:rPr>
      </w:pPr>
      <w:r w:rsidRPr="005C2FCA">
        <w:t>All patients had 12</w:t>
      </w:r>
      <w:r w:rsidR="002658D4">
        <w:t xml:space="preserve"> </w:t>
      </w:r>
      <w:r w:rsidRPr="005C2FCA">
        <w:t xml:space="preserve">hour Holter ECG recordings obtained within 48 hours prior to the first active TAS-102 dose (pre-dose baseline </w:t>
      </w:r>
      <w:r w:rsidR="00A0007E" w:rsidRPr="005C2FCA">
        <w:t>(</w:t>
      </w:r>
      <w:r w:rsidRPr="005C2FCA">
        <w:t>Day -2</w:t>
      </w:r>
      <w:r w:rsidR="00A0007E" w:rsidRPr="005C2FCA">
        <w:t>)</w:t>
      </w:r>
      <w:r w:rsidRPr="005C2FCA">
        <w:t xml:space="preserve">), after administration of placebo (single-blind </w:t>
      </w:r>
      <w:r w:rsidR="00A0007E" w:rsidRPr="005C2FCA">
        <w:t>(</w:t>
      </w:r>
      <w:r w:rsidRPr="005C2FCA">
        <w:t>Day -1</w:t>
      </w:r>
      <w:r w:rsidR="00A0007E" w:rsidRPr="005C2FCA">
        <w:t>)</w:t>
      </w:r>
      <w:r w:rsidRPr="005C2FCA">
        <w:t>), after administration of the first morning dose of TAS-102 on Day 1 of Cycle 1, and after the morning dose on Day 12 of Cycle 1. For each 12-hour recording, digital ECG data were extracted for analysis pre-dose (0) and then post-dose at 15, 30 min (minutes), 1, 2, 4, 6, 8, 10 and 12 hours (h).</w:t>
      </w:r>
    </w:p>
    <w:p w14:paraId="15629D40" w14:textId="63101184" w:rsidR="00231BC7" w:rsidRPr="005C2FCA" w:rsidRDefault="00231BC7" w:rsidP="00231BC7">
      <w:pPr>
        <w:widowControl w:val="0"/>
        <w:autoSpaceDE w:val="0"/>
        <w:autoSpaceDN w:val="0"/>
        <w:adjustRightInd w:val="0"/>
        <w:rPr>
          <w:rFonts w:cs="Times"/>
        </w:rPr>
      </w:pPr>
      <w:r w:rsidRPr="005C2FCA">
        <w:t xml:space="preserve">Blood samples were collected for measurement of plasma concentrations of </w:t>
      </w:r>
      <w:r w:rsidR="00A167ED">
        <w:t>TAS-102</w:t>
      </w:r>
      <w:r w:rsidRPr="005C2FCA">
        <w:t xml:space="preserve"> components (FTD and TPI) and the primary metabolite of FTD (FTY) after the morning doses of </w:t>
      </w:r>
      <w:r w:rsidR="00A167ED">
        <w:t>TAS-102</w:t>
      </w:r>
      <w:r w:rsidRPr="005C2FCA">
        <w:t xml:space="preserve"> on Day 1 and Day 12 of Cycle 1. Blood samples were collected pre-dose (0) and then post-dose at 20 min, 35 min, 1 h 5 min, 2 h 5 min, 4 h 5 min, 6 h 5 min, 8 h 5 min, 10 h 5 min, and 12 h 5 min. The blood samples were taken 5 minutes after the digital ECG data extraction time points.</w:t>
      </w:r>
    </w:p>
    <w:p w14:paraId="2B605BAB" w14:textId="77777777" w:rsidR="00AA7141" w:rsidRDefault="00231BC7" w:rsidP="00231BC7">
      <w:pPr>
        <w:widowControl w:val="0"/>
        <w:autoSpaceDE w:val="0"/>
        <w:autoSpaceDN w:val="0"/>
        <w:adjustRightInd w:val="0"/>
      </w:pPr>
      <w:r w:rsidRPr="005C2FCA">
        <w:t>In addition to the Holter ECG recordings, standard 12-lead ECGs were obtained at screening (within 28 days prior to study drug administration), prior to administration of the morning dose of TAS-102 on Day 1 of Cycle 1, prior to administration of the morning dose of TAS-102 on Day 12 of Cycle 1, at the end of study treatment (or discontinuation of TAS-102), and at the 30</w:t>
      </w:r>
      <w:r w:rsidR="009C0389" w:rsidRPr="005C2FCA">
        <w:t xml:space="preserve"> day</w:t>
      </w:r>
      <w:r w:rsidRPr="005C2FCA">
        <w:t xml:space="preserve"> Safety Follow-up Visit.</w:t>
      </w:r>
    </w:p>
    <w:p w14:paraId="7EF81CB1" w14:textId="72651841" w:rsidR="00231BC7" w:rsidRPr="007709B8" w:rsidRDefault="00231BC7" w:rsidP="00955252">
      <w:pPr>
        <w:pStyle w:val="Heading4"/>
      </w:pPr>
      <w:r w:rsidRPr="007709B8">
        <w:t>Patient population</w:t>
      </w:r>
    </w:p>
    <w:p w14:paraId="0F71B6A1" w14:textId="6ECD93BA" w:rsidR="00231BC7" w:rsidRPr="00C94C33" w:rsidRDefault="00231BC7" w:rsidP="00231BC7">
      <w:r w:rsidRPr="00C94C33">
        <w:t>The study population included patients over the age of 18 years with confirmed advanced solid tumours (excluding breast cancer) for which no standard therapy existed. There were 44 enrolled and treated patients. Four (4) patients discontinuations during the cardiac safety evaluation (Cycle</w:t>
      </w:r>
      <w:r w:rsidR="00126510">
        <w:t> </w:t>
      </w:r>
      <w:r w:rsidRPr="00C94C33">
        <w:t>1), 2 for radiologic progression of the disease, 1 for clinical disease progression, and 1 for withdrawn consent. Of the 44 treated patients, 30 (68.2%) were evaluable for cardiac safety. The 14 (31.8%) treated patients not evaluable for cardiac safety included 9 with missing and/or inadequate ECG data, 3 who had taken prohibited medication, 2 for other reasons (low magnesium level 1 patient, low potassium level 1 patient), and 1 patient who was non-complaint with treatment.</w:t>
      </w:r>
    </w:p>
    <w:p w14:paraId="18780081" w14:textId="77777777" w:rsidR="00231BC7" w:rsidRDefault="00231BC7" w:rsidP="00231BC7">
      <w:r w:rsidRPr="00C94C33">
        <w:t xml:space="preserve">Of the 30 patients evaluable for cardiac safety, the mean </w:t>
      </w:r>
      <w:r w:rsidRPr="007709B8">
        <w:sym w:font="Symbol" w:char="F0B1"/>
      </w:r>
      <w:r w:rsidRPr="007709B8">
        <w:t xml:space="preserve"> SD age was 58.9 </w:t>
      </w:r>
      <w:r w:rsidRPr="007709B8">
        <w:sym w:font="Symbol" w:char="F0B1"/>
      </w:r>
      <w:r w:rsidRPr="007709B8">
        <w:t xml:space="preserve"> 8.1 years (range: 41, 77 years), 50% were male and 50% were female, 86.7% were White, 6.7% were </w:t>
      </w:r>
      <w:r w:rsidRPr="00C94C33">
        <w:t>of Black/African heritage, and 6.7% were Asian. The ECOG PS was 0 in 70% of patients and 1 in 30% of patients. The majority of patients had colon cancer (76.7</w:t>
      </w:r>
      <w:r w:rsidR="00184C38" w:rsidRPr="00C94C33">
        <w:t>%), and 3.3% had rectal cancer.</w:t>
      </w:r>
    </w:p>
    <w:p w14:paraId="3F35A225" w14:textId="77777777" w:rsidR="00231BC7" w:rsidRPr="00126510" w:rsidRDefault="00231BC7" w:rsidP="005C2FCA">
      <w:pPr>
        <w:pStyle w:val="Heading4"/>
      </w:pPr>
      <w:r w:rsidRPr="00126510">
        <w:t>Derivation of corrected QTc</w:t>
      </w:r>
    </w:p>
    <w:p w14:paraId="417CFF21" w14:textId="77777777" w:rsidR="00AA7141" w:rsidRDefault="00231BC7" w:rsidP="00231BC7">
      <w:r w:rsidRPr="00C94C33">
        <w:t>For each scheduled time point for the cardiac safety evaluation, the average of the 3 ECG intervals from the triplicate were calculated and treated as a single observation. If fewer than 3 records were available, then the remaining records were averaged and used.  Corrected QT intervals (QTc) were determined as follows:</w:t>
      </w:r>
    </w:p>
    <w:p w14:paraId="07F7B4C4" w14:textId="2AA971BC" w:rsidR="00231BC7" w:rsidRPr="00C94C33" w:rsidRDefault="00231BC7" w:rsidP="00CA6016">
      <w:pPr>
        <w:pStyle w:val="ListBullet"/>
      </w:pPr>
      <w:r w:rsidRPr="00C94C33">
        <w:t xml:space="preserve">QT interval corrected for heart rate using a patient specific correction, QTcI: QTcI = QT/RRβi where βi is the patient-specific correction factor computed from a log linear model </w:t>
      </w:r>
      <w:r w:rsidRPr="00C94C33">
        <w:lastRenderedPageBreak/>
        <w:t>log(QT)</w:t>
      </w:r>
      <w:r w:rsidR="00126510">
        <w:t> </w:t>
      </w:r>
      <w:r w:rsidRPr="00C94C33">
        <w:t>=</w:t>
      </w:r>
      <w:r w:rsidR="00126510">
        <w:t> </w:t>
      </w:r>
      <w:r w:rsidRPr="00C94C33">
        <w:t>αi</w:t>
      </w:r>
      <w:r w:rsidR="00126510">
        <w:t> </w:t>
      </w:r>
      <w:r w:rsidRPr="00C94C33">
        <w:t>+</w:t>
      </w:r>
      <w:r w:rsidR="00126510">
        <w:t xml:space="preserve"> </w:t>
      </w:r>
      <w:r w:rsidRPr="00C94C33">
        <w:t>βi</w:t>
      </w:r>
      <w:r w:rsidR="00126510">
        <w:t xml:space="preserve"> x </w:t>
      </w:r>
      <w:r w:rsidRPr="00C94C33">
        <w:t>log(RR) using information obtained at baseline (Day -2) from each individual patient i. The QTcI was considered the primary ECG parameter of interest.</w:t>
      </w:r>
    </w:p>
    <w:p w14:paraId="44DE6FEF" w14:textId="1CDE90F5" w:rsidR="00231BC7" w:rsidRPr="00C94C33" w:rsidRDefault="00231BC7" w:rsidP="00CA6016">
      <w:pPr>
        <w:pStyle w:val="ListBullet"/>
      </w:pPr>
      <w:r w:rsidRPr="00C94C33">
        <w:t>QT interval corrected for heart rate using Fridericia’s correction, QTcF: QTcF = QT/ RR1/3</w:t>
      </w:r>
      <w:r w:rsidR="00126510">
        <w:t>.</w:t>
      </w:r>
    </w:p>
    <w:p w14:paraId="24790E86" w14:textId="45CC7D11" w:rsidR="00231BC7" w:rsidRPr="00C94C33" w:rsidRDefault="00231BC7" w:rsidP="00CA6016">
      <w:pPr>
        <w:pStyle w:val="ListBullet"/>
      </w:pPr>
      <w:r w:rsidRPr="00C94C33">
        <w:t>QT interval corrected for heart rate using Bazett’s correction, QTcB: QTcB = QT/ RR1/2</w:t>
      </w:r>
      <w:r w:rsidR="00126510">
        <w:rPr>
          <w:rFonts w:ascii="MS Mincho" w:eastAsia="MS Mincho" w:hAnsi="MS Mincho" w:cs="MS Mincho"/>
          <w:lang w:val="en-GB"/>
        </w:rPr>
        <w:t>.</w:t>
      </w:r>
    </w:p>
    <w:p w14:paraId="532EF755" w14:textId="77777777" w:rsidR="00231BC7" w:rsidRPr="00C94C33" w:rsidRDefault="00231BC7" w:rsidP="00955252">
      <w:pPr>
        <w:pStyle w:val="Heading4"/>
      </w:pPr>
      <w:r w:rsidRPr="00C94C33">
        <w:t>Derivation of derivation for ΔQTc and ΔΔQTc</w:t>
      </w:r>
    </w:p>
    <w:p w14:paraId="4BD34AC0" w14:textId="6D654B6D" w:rsidR="00231BC7" w:rsidRPr="005C2FCA" w:rsidRDefault="00231BC7" w:rsidP="00231BC7">
      <w:pPr>
        <w:widowControl w:val="0"/>
        <w:autoSpaceDE w:val="0"/>
        <w:autoSpaceDN w:val="0"/>
        <w:adjustRightInd w:val="0"/>
        <w:rPr>
          <w:rFonts w:ascii="Times New Roman" w:hAnsi="Times New Roman"/>
          <w:sz w:val="32"/>
          <w:szCs w:val="32"/>
        </w:rPr>
      </w:pPr>
      <w:r w:rsidRPr="00C94C33">
        <w:t xml:space="preserve">For each patient, the corrected QT intervals collected at time t for baseline </w:t>
      </w:r>
      <w:r w:rsidR="006118D3">
        <w:t>(</w:t>
      </w:r>
      <w:r w:rsidRPr="00C94C33">
        <w:t>Day -2), placebo (Day</w:t>
      </w:r>
      <w:r w:rsidR="006118D3">
        <w:t> </w:t>
      </w:r>
      <w:r w:rsidR="006118D3">
        <w:noBreakHyphen/>
      </w:r>
      <w:r w:rsidRPr="00C94C33">
        <w:t xml:space="preserve">1), single-dose and multiple-doses (Day 12) of TAS-102 were denoted as QTc(B)t, QTc(P)t, QTc(SD)t, QTc(MD)t, respectively, where time t = 0 hour, 15 min, 30 min, 1, 2, 4, 6, 8, 10, and 12 hours. The time-matched change from baseline (Day -2) to placebo (Day -1) or from baseline (Day </w:t>
      </w:r>
      <w:r w:rsidR="006118D3">
        <w:noBreakHyphen/>
      </w:r>
      <w:r w:rsidRPr="00C94C33">
        <w:t>2) to TAS-102 dosing period (Day 1 and Day 12) in QTc interval at time t, denoted as ΔQTc, was defined as:</w:t>
      </w:r>
    </w:p>
    <w:p w14:paraId="03E77D8C" w14:textId="620B73C1" w:rsidR="00231BC7" w:rsidRPr="007709B8" w:rsidRDefault="00231BC7" w:rsidP="00CA6016">
      <w:pPr>
        <w:pStyle w:val="ListBullet"/>
      </w:pPr>
      <w:r w:rsidRPr="007709B8">
        <w:t>ΔQTc(P)t = QTc(P)t - QTc(B)t</w:t>
      </w:r>
    </w:p>
    <w:p w14:paraId="62C81682" w14:textId="6C64A72D" w:rsidR="00231BC7" w:rsidRPr="00C94C33" w:rsidRDefault="00231BC7" w:rsidP="00CA6016">
      <w:pPr>
        <w:pStyle w:val="ListBullet"/>
      </w:pPr>
      <w:r w:rsidRPr="00C94C33">
        <w:t>ΔQTc(SD)t = QTc(SD)t - QTc(B)t</w:t>
      </w:r>
    </w:p>
    <w:p w14:paraId="31147156" w14:textId="6C6E510C" w:rsidR="00231BC7" w:rsidRPr="00C94C33" w:rsidRDefault="00231BC7" w:rsidP="00CA6016">
      <w:pPr>
        <w:pStyle w:val="ListBullet"/>
      </w:pPr>
      <w:r w:rsidRPr="00C94C33">
        <w:t>ΔQTc(MD)t = QTc(MD)t - QTc(B)t</w:t>
      </w:r>
    </w:p>
    <w:p w14:paraId="784CD099" w14:textId="5F28222F" w:rsidR="00231BC7" w:rsidRPr="005C2FCA" w:rsidRDefault="00231BC7" w:rsidP="00231BC7">
      <w:pPr>
        <w:widowControl w:val="0"/>
        <w:autoSpaceDE w:val="0"/>
        <w:autoSpaceDN w:val="0"/>
        <w:adjustRightInd w:val="0"/>
        <w:rPr>
          <w:rFonts w:cs="Times"/>
        </w:rPr>
      </w:pPr>
      <w:r w:rsidRPr="005C2FCA">
        <w:t>After calculation of ΔQTc, the placebo-adjusted baseline-subtracted QTc (ΔΔQTc) was determined. The ΔΔQTc was the time-matched difference between TAS-102 and placebo. ΔΔQTc was used as a response variable in a regression analysis over the plasma TAS-102 concentration.</w:t>
      </w:r>
    </w:p>
    <w:p w14:paraId="0AD5F98D" w14:textId="77777777" w:rsidR="00AA7141" w:rsidRDefault="00231BC7" w:rsidP="00CA6016">
      <w:pPr>
        <w:pStyle w:val="ListBullet"/>
      </w:pPr>
      <w:r w:rsidRPr="007709B8">
        <w:t>ΔΔQTc(SD)t = ΔQTc(SD)t - ΔQTc(P)t</w:t>
      </w:r>
    </w:p>
    <w:p w14:paraId="3E4363C0" w14:textId="77777777" w:rsidR="00AA7141" w:rsidRDefault="00231BC7" w:rsidP="00CA6016">
      <w:pPr>
        <w:pStyle w:val="ListBullet"/>
      </w:pPr>
      <w:r w:rsidRPr="00C94C33">
        <w:t>ΔΔQTc(MD)t = ΔQTc(MD)t - ΔQTc(P)t</w:t>
      </w:r>
    </w:p>
    <w:p w14:paraId="57CEB785" w14:textId="4DD34D25" w:rsidR="00231BC7" w:rsidRPr="005C2FCA" w:rsidRDefault="00231BC7" w:rsidP="00231BC7">
      <w:pPr>
        <w:widowControl w:val="0"/>
        <w:autoSpaceDE w:val="0"/>
        <w:autoSpaceDN w:val="0"/>
        <w:adjustRightInd w:val="0"/>
        <w:rPr>
          <w:rFonts w:cs="Times"/>
        </w:rPr>
      </w:pPr>
      <w:r w:rsidRPr="005C2FCA">
        <w:t>For QT intervals with all corrections (QTcI, QTcF, and QTcB), ΔQTc and ΔΔQTc were calculated and summarised at each matching time point.</w:t>
      </w:r>
    </w:p>
    <w:p w14:paraId="306357D6" w14:textId="1B8AE0EC" w:rsidR="00231BC7" w:rsidRPr="005C2FCA" w:rsidRDefault="00231BC7" w:rsidP="00955252">
      <w:pPr>
        <w:pStyle w:val="Heading4"/>
      </w:pPr>
      <w:r w:rsidRPr="005C2FCA">
        <w:t>Primary endpoint analysis</w:t>
      </w:r>
    </w:p>
    <w:p w14:paraId="6E2D8382" w14:textId="39E3860A" w:rsidR="00231BC7" w:rsidRPr="005C2FCA" w:rsidRDefault="00231BC7" w:rsidP="00231BC7">
      <w:pPr>
        <w:widowControl w:val="0"/>
        <w:autoSpaceDE w:val="0"/>
        <w:autoSpaceDN w:val="0"/>
        <w:adjustRightInd w:val="0"/>
        <w:rPr>
          <w:rFonts w:cs="Times"/>
        </w:rPr>
      </w:pPr>
      <w:r w:rsidRPr="005C2FCA">
        <w:t>The main objective of the QTc analysis was to determine whether TAS-102 had an effect on QT/QTc prolongation compared to placebo. The study specified that if the upper bound of the 1-sided 95% CI for the least-squares (LS) mean of the placebo-corrected, time-matched difference in QTc did not meet or exceed 20 ms at Day 1 and Day 12 of Cycle 1, it was to be concluded that TAS-102 had no clinically relevant QTc prolonging effect.</w:t>
      </w:r>
    </w:p>
    <w:p w14:paraId="631AF91A" w14:textId="689A1256" w:rsidR="00231BC7" w:rsidRPr="005C2FCA" w:rsidRDefault="00231BC7" w:rsidP="00231BC7">
      <w:pPr>
        <w:widowControl w:val="0"/>
        <w:autoSpaceDE w:val="0"/>
        <w:autoSpaceDN w:val="0"/>
        <w:adjustRightInd w:val="0"/>
        <w:rPr>
          <w:rFonts w:cs="Times"/>
        </w:rPr>
      </w:pPr>
      <w:r w:rsidRPr="005C2FCA">
        <w:t>The primary endpoint in this study was the time-matched difference in the QTcI interval between TAS-102 and placebo. For each scheduled time point of ECG collection, the baseline-subtracted QTcI interval (ΔQTcI) was analysed using a repeated measure analysis of variance (ANOVA) for ECGs assessed during Day 1 (single dose) and Day 12 (multiple doses) of TAS-102 dosing to compare with placebo. The model included the factors of treatment (placebo, single-dose and multiple-doses of TAS-102), time, and treatment by time interaction. The measurements within each patient’s treatment were treated as repeated measures. QTcF and QTcB intervals were analysed with the same ANOVA model used for QTcI to provide supportive data. The point estimate and the upper bound of the 1-sided 95% CI were provided between TAS-102 (single dose and multiple doses) and placebo for each time point. The point estimates and upper bound of the 1-sided 95% CI were plotted for QTcI, QTcF, and QTcB.</w:t>
      </w:r>
    </w:p>
    <w:p w14:paraId="2720ED6D" w14:textId="77777777" w:rsidR="00AA7141" w:rsidRDefault="00231BC7" w:rsidP="00231BC7">
      <w:pPr>
        <w:widowControl w:val="0"/>
        <w:autoSpaceDE w:val="0"/>
        <w:autoSpaceDN w:val="0"/>
        <w:adjustRightInd w:val="0"/>
      </w:pPr>
      <w:r w:rsidRPr="005C2FCA">
        <w:t>For the purpose of sample size determination, hypothesis testing was based on non-inferiority methods using the non-inferiority margin of 20 ms for the largest time matched QTcI difference between TAS-102 and placebo. Non-inferiority was to be concluded if the upper bound of the two-sided 90% CI (</w:t>
      </w:r>
      <w:r w:rsidR="00B2072D" w:rsidRPr="005C2FCA">
        <w:t>that is,</w:t>
      </w:r>
      <w:r w:rsidRPr="005C2FCA">
        <w:t xml:space="preserve"> upper bound of the 1-sided 95% CI) did not exceed 20 ms at any time point after dosing based on an Intersection-Union Test procedure. Based on the assumptions used to calculate the sample size, if the true difference in the QTcI between TAS-102 and placebo was ≤ 5 ms at all measurement time points, 30 evaluable patients would ensure at least 90% power.</w:t>
      </w:r>
    </w:p>
    <w:p w14:paraId="14800787" w14:textId="3A569863" w:rsidR="005A6C22" w:rsidRDefault="00231BC7" w:rsidP="005C2FCA">
      <w:pPr>
        <w:pStyle w:val="Comment"/>
      </w:pPr>
      <w:r w:rsidRPr="005C2FCA">
        <w:rPr>
          <w:b/>
        </w:rPr>
        <w:lastRenderedPageBreak/>
        <w:t>Comment:</w:t>
      </w:r>
      <w:r w:rsidR="00CA6016" w:rsidRPr="00C94C33">
        <w:t xml:space="preserve"> </w:t>
      </w:r>
      <w:r w:rsidR="005A6C22">
        <w:t xml:space="preserve"> </w:t>
      </w:r>
      <w:r w:rsidRPr="00C94C33">
        <w:t xml:space="preserve">In this study, it was pre-specified that TAS-102 would be considered not to have a clinically relevant effect on QT prolongation compared to placebo if the upper bound of the 1-sided 95% CI for the LS mean of the placebo-corrected, time-matched difference in QTc did not meet or exceed 20 ms at Day 1 and Day 12 of Cycle 1. This difference is greater than that specified in the TGA adopted EU guidelines relating to </w:t>
      </w:r>
      <w:r w:rsidR="00842E8F" w:rsidRPr="00C94C33">
        <w:t>‘</w:t>
      </w:r>
      <w:r w:rsidRPr="00C94C33">
        <w:t>thorough QT/QTc studies</w:t>
      </w:r>
      <w:r w:rsidR="00842E8F" w:rsidRPr="00C94C33">
        <w:t>’</w:t>
      </w:r>
      <w:r w:rsidRPr="00C94C33">
        <w:t xml:space="preserve"> to evaluate QT/QTc interval prolongation for non-arrhythmic drugs (CHMP/ICH/2/204). In a TGA specific annotation to the guidelines it is stated that, </w:t>
      </w:r>
      <w:r w:rsidR="00842E8F" w:rsidRPr="00C94C33">
        <w:t>‘</w:t>
      </w:r>
      <w:r w:rsidRPr="00C94C33">
        <w:t>QT prolongation would be of regulatory concern if either the estimated QT prolongation was &gt; 5 ms or the upper bound of the 95% confidence interval was &gt; 10 ms</w:t>
      </w:r>
      <w:r w:rsidR="00842E8F" w:rsidRPr="00C94C33">
        <w:t>’</w:t>
      </w:r>
      <w:r w:rsidRPr="00C94C33">
        <w:t xml:space="preserve">. The sponsor stated that, because TAS-102 is a cytotoxic agent, it was not possible for ethical reasons to conduct a </w:t>
      </w:r>
      <w:r w:rsidR="00842E8F" w:rsidRPr="00C94C33">
        <w:t>‘</w:t>
      </w:r>
      <w:r w:rsidRPr="00C94C33">
        <w:t>thorough QT/QTc study</w:t>
      </w:r>
      <w:r w:rsidR="00842E8F" w:rsidRPr="00C94C33">
        <w:t>’</w:t>
      </w:r>
      <w:r w:rsidRPr="00C94C33">
        <w:t xml:space="preserve"> in compliance with the guidelines.</w:t>
      </w:r>
    </w:p>
    <w:p w14:paraId="58490D1A" w14:textId="47285DC2" w:rsidR="00231BC7" w:rsidRPr="00C94C33" w:rsidRDefault="005A6C22" w:rsidP="005C2FCA">
      <w:pPr>
        <w:pStyle w:val="Comment"/>
      </w:pPr>
      <w:r>
        <w:rPr>
          <w:b/>
        </w:rPr>
        <w:tab/>
      </w:r>
      <w:r w:rsidR="00231BC7" w:rsidRPr="00C94C33">
        <w:t xml:space="preserve">In response to the 120D question raised by the CHMP about the use of the 20 ms non-inferiority margin, the sponsor stated that it </w:t>
      </w:r>
      <w:r w:rsidR="00842E8F" w:rsidRPr="00C94C33">
        <w:t>‘</w:t>
      </w:r>
      <w:r w:rsidR="00231BC7" w:rsidRPr="00C94C33">
        <w:t xml:space="preserve">is not uncommon in oncologic drug assessment to utilize a wider margin for the upper bound of the 95% CI based on risk versus benefit assessment </w:t>
      </w:r>
      <w:r w:rsidR="00A0007E" w:rsidRPr="00C94C33">
        <w:t>(</w:t>
      </w:r>
      <w:r w:rsidR="00231BC7" w:rsidRPr="00C94C33">
        <w:t>Sarapa, 2008</w:t>
      </w:r>
      <w:r w:rsidR="00A0007E" w:rsidRPr="00C94C33">
        <w:t>)</w:t>
      </w:r>
      <w:r w:rsidR="00842E8F" w:rsidRPr="00C94C33">
        <w:t>’</w:t>
      </w:r>
      <w:r w:rsidR="00231BC7" w:rsidRPr="00C94C33">
        <w:t xml:space="preserve">. The sponsor noted that the upper bound of the 95% CI for </w:t>
      </w:r>
      <w:r w:rsidR="00231BC7" w:rsidRPr="00C94C33">
        <w:sym w:font="Symbol" w:char="F044"/>
      </w:r>
      <w:r w:rsidR="00231BC7" w:rsidRPr="00C94C33">
        <w:sym w:font="Symbol" w:char="F044"/>
      </w:r>
      <w:r w:rsidR="00231BC7" w:rsidRPr="00C94C33">
        <w:t xml:space="preserve">QTcI at 12-hours post-dose on Day 12 of the Cycle 1 was 10.3 ms, with the mean difference from placebo being 3.9 ms at that time point. In addition, all mean </w:t>
      </w:r>
      <w:r w:rsidR="00231BC7" w:rsidRPr="00C94C33">
        <w:sym w:font="Symbol" w:char="F044"/>
      </w:r>
      <w:r w:rsidR="00231BC7" w:rsidRPr="00C94C33">
        <w:sym w:font="Symbol" w:char="F044"/>
      </w:r>
      <w:r w:rsidR="00231BC7" w:rsidRPr="00C94C33">
        <w:t xml:space="preserve">QTcI values were within </w:t>
      </w:r>
      <w:r w:rsidR="00231BC7" w:rsidRPr="00C94C33">
        <w:sym w:font="Symbol" w:char="F0B1"/>
      </w:r>
      <w:r w:rsidR="00231BC7" w:rsidRPr="00C94C33">
        <w:t xml:space="preserve"> 5 ms. The sponsor concluded that, based on the primary analysis of the QTcI, </w:t>
      </w:r>
      <w:r w:rsidR="00842E8F" w:rsidRPr="00C94C33">
        <w:t>‘</w:t>
      </w:r>
      <w:r w:rsidR="00231BC7" w:rsidRPr="00C94C33">
        <w:t>TAS-102 is classified to the drugs that prolong the mean QT/QTc interval by around 5 ms or less and does not appear to cause Torsades de Pointe</w:t>
      </w:r>
      <w:r w:rsidR="00842E8F" w:rsidRPr="00C94C33">
        <w:t>’</w:t>
      </w:r>
      <w:r w:rsidR="00231BC7" w:rsidRPr="00C94C33">
        <w:t>.</w:t>
      </w:r>
    </w:p>
    <w:p w14:paraId="05889210" w14:textId="72A1C4E6" w:rsidR="00231BC7" w:rsidRPr="005C2FCA" w:rsidRDefault="00231BC7" w:rsidP="00955252">
      <w:pPr>
        <w:pStyle w:val="Heading4"/>
      </w:pPr>
      <w:r w:rsidRPr="005C2FCA">
        <w:t>Results</w:t>
      </w:r>
    </w:p>
    <w:p w14:paraId="63582DB4" w14:textId="430B9B33" w:rsidR="00231BC7" w:rsidRPr="005C2FCA" w:rsidRDefault="00231BC7" w:rsidP="00231BC7">
      <w:pPr>
        <w:widowControl w:val="0"/>
        <w:autoSpaceDE w:val="0"/>
        <w:autoSpaceDN w:val="0"/>
        <w:adjustRightInd w:val="0"/>
        <w:rPr>
          <w:rFonts w:cs="Times"/>
        </w:rPr>
      </w:pPr>
      <w:r w:rsidRPr="005C2FCA">
        <w:rPr>
          <w:rFonts w:cs="Times"/>
        </w:rPr>
        <w:t>The results for the relevant QTcI LS mean placebo-adjusted change from baseline in 12-lead Holter Monitor (ms) for TAS-102 at Cycle 1, Day 1 and Cycle 1, Day 12 have been reviewed. At no time from 0.25 hours through to 12 hours post-dose on either of the two days did the upper bound of the 1-sided 95% CI for the difference between TAS-102 and placebo exceed 20 ms. Furthermore, the upper bound of the 1-sided 95% CI for the difference exceeded 10 ms at only one time-point (</w:t>
      </w:r>
      <w:r w:rsidR="00B2072D" w:rsidRPr="005C2FCA">
        <w:rPr>
          <w:rFonts w:cs="Times"/>
        </w:rPr>
        <w:t>that is,</w:t>
      </w:r>
      <w:r w:rsidRPr="005C2FCA">
        <w:rPr>
          <w:rFonts w:cs="Times"/>
        </w:rPr>
        <w:t xml:space="preserve"> 10.3 ms in Cycle 1, Day 12, at post-dose 12 hours). The mean difference between TAS-102 and placebo did not exceed 5 ms at any of post-dose time-points tested on eit</w:t>
      </w:r>
      <w:r w:rsidR="00CF7CF4" w:rsidRPr="005C2FCA">
        <w:rPr>
          <w:rFonts w:cs="Times"/>
        </w:rPr>
        <w:t>her of the two evaluation days.</w:t>
      </w:r>
    </w:p>
    <w:p w14:paraId="48DE2D94" w14:textId="2F4DBFBB" w:rsidR="00231BC7" w:rsidRPr="005C2FCA" w:rsidRDefault="00231BC7" w:rsidP="00231BC7">
      <w:pPr>
        <w:widowControl w:val="0"/>
        <w:autoSpaceDE w:val="0"/>
        <w:autoSpaceDN w:val="0"/>
        <w:adjustRightInd w:val="0"/>
        <w:rPr>
          <w:rFonts w:cs="Times"/>
        </w:rPr>
      </w:pPr>
      <w:r w:rsidRPr="005C2FCA">
        <w:rPr>
          <w:rFonts w:cs="Times"/>
        </w:rPr>
        <w:t>The results for the QTcF LS mean placebo-adjusted change from baseline in 12-lead Holter Monitor (ms) for TAS-102 at Cycle 1, Day 1 and Cycle 1, Day 12 have been reviewed. At no time from 0.25 hours through to 12 hours post-dose on either Day 1 or Day 12 of Cycle 1 did the upper bound of the 1-side 95% CI for difference between TAS-102 and placebo exceed 20 ms. However, the upper bound of the 1-sided 95% CI for the difference between TAS-102 and placebo exceeded 10 ms in Cycle 1, Day 1 at 12 hours post-dose (11.6 ms) and in Cycle 1, Day 1 at 12 hours post-dose (10.5 ms). The mean difference between TAS-102 and placebo exceeded 5 ms in Cycle 1, Day 1 at 12 hours post-dose (6.2 ms).</w:t>
      </w:r>
    </w:p>
    <w:p w14:paraId="0E8762C8" w14:textId="46648C0E" w:rsidR="00231BC7" w:rsidRPr="005C2FCA" w:rsidRDefault="00231BC7" w:rsidP="00231BC7">
      <w:pPr>
        <w:widowControl w:val="0"/>
        <w:autoSpaceDE w:val="0"/>
        <w:autoSpaceDN w:val="0"/>
        <w:adjustRightInd w:val="0"/>
      </w:pPr>
      <w:r w:rsidRPr="005C2FCA">
        <w:t>During placebo administration (Cycle 1 Day -1), there were 2 patients with a QTcI interval &gt;</w:t>
      </w:r>
      <w:r w:rsidR="005A6C22">
        <w:t> </w:t>
      </w:r>
      <w:r w:rsidRPr="005C2FCA">
        <w:t>480</w:t>
      </w:r>
      <w:r w:rsidR="005A6C22">
        <w:t> </w:t>
      </w:r>
      <w:r w:rsidRPr="005C2FCA">
        <w:t>ms and ≤ 500 ms, and 4 patients with a QTcI interval &gt; 450 ms and ≤ 480 ms. Following single-dose TAS-102 administration on Day 1, there was 1 patient with a QTcI interval &gt; 480 ms and ≤ 500 ms, and 5 patients with a QTcI interval &gt; 450 ms and ≤ 480 ms. Following multiple-dose TAS-102 administration on Day 12, there was 1 patient with a QTcI interval &gt; 500 ms, 2 patients with a QTcI interval &gt; 480 ms and ≤ 500 ms, and 4 patients with a QTcI interval &gt; 450 ms and ≤</w:t>
      </w:r>
      <w:r w:rsidR="005A6C22">
        <w:t> </w:t>
      </w:r>
      <w:r w:rsidRPr="005C2FCA">
        <w:t>480</w:t>
      </w:r>
      <w:r w:rsidR="005A6C22">
        <w:t> </w:t>
      </w:r>
      <w:r w:rsidRPr="005C2FCA">
        <w:t>ms. The results for the categorical increases in the QTcI interval are summarised.</w:t>
      </w:r>
    </w:p>
    <w:p w14:paraId="7AE5483A" w14:textId="1A5DDA51" w:rsidR="00231BC7" w:rsidRPr="005C2FCA" w:rsidRDefault="00231BC7" w:rsidP="00231BC7">
      <w:pPr>
        <w:widowControl w:val="0"/>
        <w:autoSpaceDE w:val="0"/>
        <w:autoSpaceDN w:val="0"/>
        <w:adjustRightInd w:val="0"/>
        <w:rPr>
          <w:rFonts w:cs="Times"/>
        </w:rPr>
      </w:pPr>
      <w:r w:rsidRPr="005C2FCA">
        <w:t>No morphological changes were reported at any time point following placebo administration or single-dose or multiple-dose TAS-102 administration. Overall, no difference in ECG waveform results was reported with TAS-102 administration compared with placebo administration. All T waves and U waves were reported to be normal for all patients</w:t>
      </w:r>
      <w:r w:rsidR="005A6C22">
        <w:t>.</w:t>
      </w:r>
    </w:p>
    <w:p w14:paraId="4910D467" w14:textId="1D8D2394" w:rsidR="00231BC7" w:rsidRPr="005C2FCA" w:rsidRDefault="00231BC7" w:rsidP="00231BC7">
      <w:pPr>
        <w:widowControl w:val="0"/>
        <w:autoSpaceDE w:val="0"/>
        <w:autoSpaceDN w:val="0"/>
        <w:adjustRightInd w:val="0"/>
      </w:pPr>
      <w:r w:rsidRPr="005C2FCA">
        <w:t xml:space="preserve">The relationship between the placebo-adjusted change from baseline in QTc interval versus plasma TAS-102 (FTD) concentration was assessed by a linear mixed effect model, with the individual QTc </w:t>
      </w:r>
      <w:r w:rsidRPr="005C2FCA">
        <w:lastRenderedPageBreak/>
        <w:t>change from time-matched placebo (ΔΔQTc) as the response variable and with treatment group and time-point as factors, corresponding log plasma concentration as a covariate, and patient as a random variable. From the linear mixed effect model results for QTcI, none of the upper bound of the 1-sided 95% prediction intervals exceeded the 20 ms non-inferiority margin for FTD, TPI or FTY plasma concentrations (C</w:t>
      </w:r>
      <w:r w:rsidRPr="005C2FCA">
        <w:rPr>
          <w:sz w:val="20"/>
          <w:szCs w:val="20"/>
        </w:rPr>
        <w:t>max</w:t>
      </w:r>
      <w:r w:rsidRPr="005C2FCA">
        <w:t>). However, at the observed C</w:t>
      </w:r>
      <w:r w:rsidRPr="005C2FCA">
        <w:rPr>
          <w:sz w:val="20"/>
          <w:szCs w:val="20"/>
        </w:rPr>
        <w:t>max</w:t>
      </w:r>
      <w:r w:rsidRPr="005C2FCA">
        <w:t xml:space="preserve"> for FTD at 0.5 hours the upper bound of the 1-sided 95% CI exceeded 10 ms</w:t>
      </w:r>
      <w:r w:rsidR="00CF7CF4" w:rsidRPr="005C2FCA">
        <w:t xml:space="preserve"> (</w:t>
      </w:r>
      <w:r w:rsidR="00B2072D" w:rsidRPr="005C2FCA">
        <w:t>that is,</w:t>
      </w:r>
      <w:r w:rsidR="00CF7CF4" w:rsidRPr="005C2FCA">
        <w:t xml:space="preserve"> 11.7 msec)</w:t>
      </w:r>
      <w:r w:rsidRPr="005C2FCA">
        <w:t>.</w:t>
      </w:r>
    </w:p>
    <w:p w14:paraId="25B14CA9" w14:textId="4A9AA98D" w:rsidR="00231BC7" w:rsidRPr="005C2FCA" w:rsidRDefault="00231BC7" w:rsidP="00231BC7">
      <w:pPr>
        <w:widowControl w:val="0"/>
        <w:autoSpaceDE w:val="0"/>
        <w:autoSpaceDN w:val="0"/>
        <w:adjustRightInd w:val="0"/>
        <w:rPr>
          <w:rFonts w:cs="Times"/>
        </w:rPr>
      </w:pPr>
      <w:r w:rsidRPr="005C2FCA">
        <w:t>The results of the linear mixed effect model for the placebo-adjusted change from baseline in QTcF, QTcB, and uncorrected QT intervals were consistent with those for QTcI interval. None of the upper bound of the 1-sided 95% prediction intervals exceeded the 20 ms non-inferiority margin for the QTcF, QTcB, and uncorrected QT intervals</w:t>
      </w:r>
      <w:r w:rsidR="005A6C22">
        <w:t>.</w:t>
      </w:r>
    </w:p>
    <w:p w14:paraId="1DD6AFAF" w14:textId="5967684C" w:rsidR="00231BC7" w:rsidRPr="005C2FCA" w:rsidRDefault="00231BC7" w:rsidP="00231BC7">
      <w:pPr>
        <w:widowControl w:val="0"/>
        <w:autoSpaceDE w:val="0"/>
        <w:autoSpaceDN w:val="0"/>
        <w:adjustRightInd w:val="0"/>
      </w:pPr>
      <w:r w:rsidRPr="005C2FCA">
        <w:t>No patient in the cardiac safety population (</w:t>
      </w:r>
      <w:r w:rsidR="009C0389" w:rsidRPr="005C2FCA">
        <w:t xml:space="preserve">n = </w:t>
      </w:r>
      <w:r w:rsidRPr="005C2FCA">
        <w:t>30) experienced an AE of ventricular tachycardia, ventricular fibrillation, syncope, or seizure.</w:t>
      </w:r>
    </w:p>
    <w:p w14:paraId="501EA091" w14:textId="6F1903A6" w:rsidR="00231BC7" w:rsidRPr="005C2FCA" w:rsidRDefault="00231BC7" w:rsidP="00955252">
      <w:pPr>
        <w:pStyle w:val="Heading3"/>
      </w:pPr>
      <w:bookmarkStart w:id="184" w:name="_Toc470948494"/>
      <w:bookmarkStart w:id="185" w:name="_Toc510016884"/>
      <w:r w:rsidRPr="007709B8">
        <w:t>Relationship between haematologic toxicities and PK</w:t>
      </w:r>
      <w:bookmarkEnd w:id="184"/>
      <w:bookmarkEnd w:id="185"/>
    </w:p>
    <w:p w14:paraId="4202CC44" w14:textId="208DA9FB" w:rsidR="00231BC7" w:rsidRPr="00C94C33" w:rsidRDefault="00231BC7" w:rsidP="00CA6016">
      <w:r w:rsidRPr="007709B8">
        <w:t xml:space="preserve">In </w:t>
      </w:r>
      <w:r w:rsidR="005A6C22">
        <w:t>S</w:t>
      </w:r>
      <w:r w:rsidR="005A6C22" w:rsidRPr="007709B8">
        <w:t xml:space="preserve">tudy </w:t>
      </w:r>
      <w:r w:rsidRPr="007709B8">
        <w:t>J100-10040010, the relationship between haematologi</w:t>
      </w:r>
      <w:r w:rsidRPr="00C94C33">
        <w:t>c toxicity and both the dosage and PK of TAS-102 was examined in Japanese patients (</w:t>
      </w:r>
      <w:r w:rsidR="009C0389" w:rsidRPr="00C94C33">
        <w:t xml:space="preserve">n = </w:t>
      </w:r>
      <w:r w:rsidRPr="00C94C33">
        <w:t>21). Linear regression analyses were conducted to evaluate the correlation between the percent decrease in white blood cell count, neutrophil count, platelet count and haemoglobin concentration and both the dosage and PK exposure parameters of TAS-102. There were significant correlations between percent decreases in the white blood cell count and the neutrophil count and dosage in all cycles tested, while no correlations were seen between dosage and percent changes in platelet counts and haemoglobin (see Figure 7, below).</w:t>
      </w:r>
    </w:p>
    <w:p w14:paraId="2120A96B" w14:textId="77777777" w:rsidR="00AA7141" w:rsidRDefault="00231BC7" w:rsidP="00CA6016">
      <w:pPr>
        <w:pStyle w:val="FigureTitle"/>
      </w:pPr>
      <w:bookmarkStart w:id="186" w:name="_Toc470948802"/>
      <w:r w:rsidRPr="00C94C33">
        <w:t>Figure</w:t>
      </w:r>
      <w:r w:rsidR="00CA6016" w:rsidRPr="00C94C33">
        <w:t xml:space="preserve"> 7</w:t>
      </w:r>
      <w:r w:rsidRPr="00C94C33">
        <w:t xml:space="preserve">: </w:t>
      </w:r>
      <w:r w:rsidR="004F54A0">
        <w:t xml:space="preserve">Study </w:t>
      </w:r>
      <w:r w:rsidRPr="005C2FCA">
        <w:t>J100-0040010</w:t>
      </w:r>
      <w:r w:rsidR="00DF1CA6">
        <w:t>;</w:t>
      </w:r>
      <w:r w:rsidRPr="005C2FCA">
        <w:t xml:space="preserve"> Correlation between the percent change in haematologic parameters in all courses and Tas-102 dosages</w:t>
      </w:r>
      <w:bookmarkEnd w:id="186"/>
    </w:p>
    <w:p w14:paraId="78E6DBDA" w14:textId="354131CF" w:rsidR="00231BC7" w:rsidRPr="005C2FCA" w:rsidRDefault="00231BC7" w:rsidP="00231BC7">
      <w:pPr>
        <w:widowControl w:val="0"/>
        <w:autoSpaceDE w:val="0"/>
        <w:autoSpaceDN w:val="0"/>
        <w:adjustRightInd w:val="0"/>
        <w:spacing w:after="240" w:line="320" w:lineRule="atLeast"/>
        <w:rPr>
          <w:rFonts w:ascii="Times New Roman" w:hAnsi="Times New Roman"/>
          <w:sz w:val="26"/>
          <w:szCs w:val="26"/>
        </w:rPr>
      </w:pPr>
      <w:r w:rsidRPr="00691F71">
        <w:rPr>
          <w:rFonts w:ascii="Times New Roman" w:hAnsi="Times New Roman"/>
          <w:noProof/>
          <w:sz w:val="26"/>
          <w:szCs w:val="26"/>
          <w:lang w:eastAsia="en-AU"/>
        </w:rPr>
        <w:drawing>
          <wp:inline distT="0" distB="0" distL="0" distR="0" wp14:anchorId="7DC3C3D6" wp14:editId="5A3CD397">
            <wp:extent cx="3830320" cy="3322320"/>
            <wp:effectExtent l="0" t="0" r="0" b="0"/>
            <wp:docPr id="2110" name="Picture 1" descr="Figure 7: J100-0040010 – Correlation between the percent change in haematologic parameters in all courses and Tas-102 dos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0320" cy="3322320"/>
                    </a:xfrm>
                    <a:prstGeom prst="rect">
                      <a:avLst/>
                    </a:prstGeom>
                    <a:noFill/>
                    <a:ln>
                      <a:noFill/>
                    </a:ln>
                  </pic:spPr>
                </pic:pic>
              </a:graphicData>
            </a:graphic>
          </wp:inline>
        </w:drawing>
      </w:r>
    </w:p>
    <w:p w14:paraId="4B8D3275" w14:textId="77777777" w:rsidR="00231BC7" w:rsidRPr="005C2FCA" w:rsidRDefault="00231BC7" w:rsidP="00231BC7">
      <w:pPr>
        <w:widowControl w:val="0"/>
        <w:autoSpaceDE w:val="0"/>
        <w:autoSpaceDN w:val="0"/>
        <w:adjustRightInd w:val="0"/>
      </w:pPr>
      <w:r w:rsidRPr="005C2FCA">
        <w:t>There were significant correlations between decreased white blood cell count and neutrophil count and the C</w:t>
      </w:r>
      <w:r w:rsidRPr="005C2FCA">
        <w:rPr>
          <w:sz w:val="20"/>
          <w:szCs w:val="20"/>
        </w:rPr>
        <w:t>max</w:t>
      </w:r>
      <w:r w:rsidRPr="005C2FCA">
        <w:rPr>
          <w:position w:val="-3"/>
        </w:rPr>
        <w:t xml:space="preserve"> </w:t>
      </w:r>
      <w:r w:rsidRPr="005C2FCA">
        <w:t>and AUC</w:t>
      </w:r>
      <w:r w:rsidRPr="005C2FCA">
        <w:rPr>
          <w:sz w:val="20"/>
          <w:szCs w:val="20"/>
        </w:rPr>
        <w:t>0-10h</w:t>
      </w:r>
      <w:r w:rsidRPr="005C2FCA">
        <w:rPr>
          <w:position w:val="-3"/>
          <w:sz w:val="20"/>
          <w:szCs w:val="20"/>
        </w:rPr>
        <w:t xml:space="preserve"> </w:t>
      </w:r>
      <w:r w:rsidRPr="005C2FCA">
        <w:t>of FTD, FTY and TPI in Cycle 1 (Day 12), with similar results being found for all other cycles tested. There were significant correlations between decreased platelet count and the C</w:t>
      </w:r>
      <w:r w:rsidRPr="005C2FCA">
        <w:rPr>
          <w:sz w:val="20"/>
          <w:szCs w:val="20"/>
        </w:rPr>
        <w:t>max</w:t>
      </w:r>
      <w:r w:rsidRPr="005C2FCA">
        <w:rPr>
          <w:position w:val="-3"/>
        </w:rPr>
        <w:t xml:space="preserve"> </w:t>
      </w:r>
      <w:r w:rsidRPr="005C2FCA">
        <w:t>and AUC</w:t>
      </w:r>
      <w:r w:rsidRPr="005C2FCA">
        <w:rPr>
          <w:sz w:val="20"/>
          <w:szCs w:val="20"/>
        </w:rPr>
        <w:t>0-10h</w:t>
      </w:r>
      <w:r w:rsidRPr="005C2FCA">
        <w:rPr>
          <w:position w:val="-3"/>
          <w:sz w:val="20"/>
          <w:szCs w:val="20"/>
        </w:rPr>
        <w:t xml:space="preserve"> </w:t>
      </w:r>
      <w:r w:rsidRPr="005C2FCA">
        <w:t>of TPI in Cycle 1 (Day 12) and all other cycles tested, while the AUC</w:t>
      </w:r>
      <w:r w:rsidRPr="005C2FCA">
        <w:rPr>
          <w:sz w:val="20"/>
          <w:szCs w:val="20"/>
        </w:rPr>
        <w:t>0-10h</w:t>
      </w:r>
      <w:r w:rsidRPr="005C2FCA">
        <w:rPr>
          <w:position w:val="-3"/>
          <w:sz w:val="20"/>
          <w:szCs w:val="20"/>
        </w:rPr>
        <w:t xml:space="preserve"> </w:t>
      </w:r>
      <w:r w:rsidRPr="005C2FCA">
        <w:t>of FTD showed a significant correlation with decreased platelet in all cycles tested. There was a significant correlation between decrease in haemoglobin (%) and the AUC</w:t>
      </w:r>
      <w:r w:rsidRPr="005C2FCA">
        <w:rPr>
          <w:sz w:val="20"/>
          <w:szCs w:val="20"/>
        </w:rPr>
        <w:t>0-10h</w:t>
      </w:r>
      <w:r w:rsidRPr="005C2FCA">
        <w:rPr>
          <w:position w:val="-3"/>
          <w:sz w:val="20"/>
          <w:szCs w:val="20"/>
        </w:rPr>
        <w:t xml:space="preserve"> </w:t>
      </w:r>
      <w:r w:rsidRPr="005C2FCA">
        <w:t xml:space="preserve">of TPI in </w:t>
      </w:r>
      <w:r w:rsidRPr="005C2FCA">
        <w:lastRenderedPageBreak/>
        <w:t>Cycle 1.</w:t>
      </w:r>
    </w:p>
    <w:p w14:paraId="02D588E6" w14:textId="77777777" w:rsidR="00231BC7" w:rsidRPr="007709B8" w:rsidRDefault="00231BC7" w:rsidP="00955252">
      <w:pPr>
        <w:pStyle w:val="Heading3"/>
      </w:pPr>
      <w:bookmarkStart w:id="187" w:name="_Ref269983272"/>
      <w:bookmarkStart w:id="188" w:name="_Toc272414648"/>
      <w:bookmarkStart w:id="189" w:name="_Toc290846270"/>
      <w:bookmarkStart w:id="190" w:name="_Toc470948495"/>
      <w:bookmarkStart w:id="191" w:name="_Toc510016885"/>
      <w:r w:rsidRPr="007709B8">
        <w:t>Evaluator’s overall conclusions on pharmacodynamics</w:t>
      </w:r>
      <w:bookmarkEnd w:id="187"/>
      <w:bookmarkEnd w:id="188"/>
      <w:bookmarkEnd w:id="189"/>
      <w:bookmarkEnd w:id="190"/>
      <w:bookmarkEnd w:id="191"/>
    </w:p>
    <w:p w14:paraId="54F1A397" w14:textId="557046BD" w:rsidR="00231BC7" w:rsidRPr="00C94C33" w:rsidRDefault="00986ED2" w:rsidP="00955252">
      <w:pPr>
        <w:pStyle w:val="Heading4"/>
      </w:pPr>
      <w:bookmarkStart w:id="192" w:name="_Toc470948496"/>
      <w:r>
        <w:t>PK/PD</w:t>
      </w:r>
      <w:r w:rsidR="00231BC7" w:rsidRPr="00C94C33">
        <w:t xml:space="preserve"> efficacy analyses</w:t>
      </w:r>
      <w:r w:rsidR="004F54A0">
        <w:t xml:space="preserve">; </w:t>
      </w:r>
      <w:r w:rsidR="00231BC7" w:rsidRPr="00C94C33">
        <w:t>OS and PFS</w:t>
      </w:r>
      <w:bookmarkEnd w:id="192"/>
    </w:p>
    <w:p w14:paraId="551DAF00" w14:textId="49A02E2E" w:rsidR="00231BC7" w:rsidRPr="00C94C33" w:rsidRDefault="00231BC7" w:rsidP="00CA6016">
      <w:pPr>
        <w:pStyle w:val="ListBullet"/>
      </w:pPr>
      <w:r w:rsidRPr="00C94C33">
        <w:t xml:space="preserve">In the </w:t>
      </w:r>
      <w:r w:rsidR="00986ED2">
        <w:t>PK/PD</w:t>
      </w:r>
      <w:r w:rsidRPr="00C94C33">
        <w:t xml:space="preserve"> analysis </w:t>
      </w:r>
      <w:r w:rsidR="00A0007E" w:rsidRPr="00C94C33">
        <w:t>(</w:t>
      </w:r>
      <w:r w:rsidRPr="00C94C33">
        <w:t>RECOURSE</w:t>
      </w:r>
      <w:r w:rsidR="00A0007E" w:rsidRPr="00C94C33">
        <w:t>)</w:t>
      </w:r>
      <w:r w:rsidRPr="00C94C33">
        <w:t xml:space="preserve">, median </w:t>
      </w:r>
      <w:r w:rsidRPr="005C2FCA">
        <w:rPr>
          <w:rFonts w:cs="Times"/>
        </w:rPr>
        <w:t xml:space="preserve">OS was </w:t>
      </w:r>
      <w:r w:rsidRPr="005C2FCA">
        <w:rPr>
          <w:rFonts w:cs="Times"/>
          <w:u w:val="single"/>
        </w:rPr>
        <w:t>longer</w:t>
      </w:r>
      <w:r w:rsidRPr="005C2FCA">
        <w:rPr>
          <w:rFonts w:cs="Times"/>
        </w:rPr>
        <w:t xml:space="preserve"> in the FTD high AUC group than in the FTD low AUC group </w:t>
      </w:r>
      <w:r w:rsidRPr="007709B8">
        <w:t>(9.2</w:t>
      </w:r>
      <w:r w:rsidR="00C11183">
        <w:t xml:space="preserve"> versus </w:t>
      </w:r>
      <w:r w:rsidRPr="007709B8">
        <w:t xml:space="preserve">8.1 months), but the HR was not statistically significant (HR </w:t>
      </w:r>
      <w:r w:rsidR="00A0007E" w:rsidRPr="00C94C33">
        <w:t>(</w:t>
      </w:r>
      <w:r w:rsidRPr="00C94C33">
        <w:t>high:low</w:t>
      </w:r>
      <w:r w:rsidR="00A0007E" w:rsidRPr="00C94C33">
        <w:t>)</w:t>
      </w:r>
      <w:r w:rsidRPr="00C94C33">
        <w:t xml:space="preserve">= 0.72 </w:t>
      </w:r>
      <w:r w:rsidR="00A0007E" w:rsidRPr="00C94C33">
        <w:t>(</w:t>
      </w:r>
      <w:r w:rsidRPr="00C94C33">
        <w:t>95% CI: 0.46, 1.11</w:t>
      </w:r>
      <w:r w:rsidR="00A0007E" w:rsidRPr="00C94C33">
        <w:t>)</w:t>
      </w:r>
      <w:r w:rsidRPr="00C94C33">
        <w:t xml:space="preserve">). The median radiologic PFS in the FTD high AUC group was also </w:t>
      </w:r>
      <w:r w:rsidRPr="00E46074">
        <w:rPr>
          <w:b/>
        </w:rPr>
        <w:t>longer</w:t>
      </w:r>
      <w:r w:rsidRPr="00C94C33">
        <w:t xml:space="preserve"> than in the FTD low group (3.7</w:t>
      </w:r>
      <w:r w:rsidR="00C11183">
        <w:t xml:space="preserve"> versus </w:t>
      </w:r>
      <w:r w:rsidRPr="00C94C33">
        <w:t xml:space="preserve">2.0 months), but the HR was not statistically significant (HR </w:t>
      </w:r>
      <w:r w:rsidR="00A0007E" w:rsidRPr="00C94C33">
        <w:t>(</w:t>
      </w:r>
      <w:r w:rsidRPr="00C94C33">
        <w:t>high:low</w:t>
      </w:r>
      <w:r w:rsidR="00A0007E" w:rsidRPr="00C94C33">
        <w:t>)</w:t>
      </w:r>
      <w:r w:rsidRPr="00C94C33">
        <w:t xml:space="preserve"> = 0.82 </w:t>
      </w:r>
      <w:r w:rsidR="00A0007E" w:rsidRPr="00C94C33">
        <w:t>(</w:t>
      </w:r>
      <w:r w:rsidRPr="00C94C33">
        <w:t>95% CI: 0.57, 1.18</w:t>
      </w:r>
      <w:r w:rsidR="00A0007E" w:rsidRPr="00C94C33">
        <w:t>)</w:t>
      </w:r>
      <w:r w:rsidRPr="00C94C33">
        <w:t>).</w:t>
      </w:r>
    </w:p>
    <w:p w14:paraId="6ECF66FE" w14:textId="52296B8E" w:rsidR="00231BC7" w:rsidRPr="00C94C33" w:rsidRDefault="00231BC7" w:rsidP="00CA6016">
      <w:pPr>
        <w:pStyle w:val="ListBullet"/>
      </w:pPr>
      <w:r w:rsidRPr="00C94C33">
        <w:t xml:space="preserve">In the </w:t>
      </w:r>
      <w:r w:rsidR="00986ED2">
        <w:t>PK/PD</w:t>
      </w:r>
      <w:r w:rsidRPr="00C94C33">
        <w:t xml:space="preserve"> analysis </w:t>
      </w:r>
      <w:r w:rsidR="00A0007E" w:rsidRPr="00C94C33">
        <w:t>(</w:t>
      </w:r>
      <w:r w:rsidRPr="00C94C33">
        <w:t>RECOUSE</w:t>
      </w:r>
      <w:r w:rsidR="00A0007E" w:rsidRPr="00C94C33">
        <w:t>)</w:t>
      </w:r>
      <w:r w:rsidRPr="00C94C33">
        <w:t xml:space="preserve">, the median OS in the TPI high AUC group was </w:t>
      </w:r>
      <w:r w:rsidRPr="005C2FCA">
        <w:t>shorter</w:t>
      </w:r>
      <w:r w:rsidRPr="00C94C33">
        <w:t xml:space="preserve"> than in the low TPI AUC group (7.8</w:t>
      </w:r>
      <w:r w:rsidR="00C11183">
        <w:t xml:space="preserve"> versus </w:t>
      </w:r>
      <w:r w:rsidRPr="00C94C33">
        <w:t xml:space="preserve">9.2 months), but the HR was not statistically significant (HR </w:t>
      </w:r>
      <w:r w:rsidR="00A0007E" w:rsidRPr="00C94C33">
        <w:t>(</w:t>
      </w:r>
      <w:r w:rsidRPr="00C94C33">
        <w:t>high:low</w:t>
      </w:r>
      <w:r w:rsidR="00A0007E" w:rsidRPr="00C94C33">
        <w:t>)</w:t>
      </w:r>
      <w:r w:rsidRPr="00C94C33">
        <w:t xml:space="preserve">= 1.09 </w:t>
      </w:r>
      <w:r w:rsidR="00A0007E" w:rsidRPr="00C94C33">
        <w:t>(</w:t>
      </w:r>
      <w:r w:rsidRPr="00C94C33">
        <w:t>95% CI: 0.70, 1.69</w:t>
      </w:r>
      <w:r w:rsidR="00A0007E" w:rsidRPr="00C94C33">
        <w:t>)</w:t>
      </w:r>
      <w:r w:rsidRPr="00C94C33">
        <w:t xml:space="preserve">). The median radiologic PFS in the TPI high AUC group was also </w:t>
      </w:r>
      <w:r w:rsidRPr="005C2FCA">
        <w:t>shorter</w:t>
      </w:r>
      <w:r w:rsidRPr="00C94C33">
        <w:t xml:space="preserve"> than in the TPI low AUC group (2.0</w:t>
      </w:r>
      <w:r w:rsidR="00C11183">
        <w:t xml:space="preserve"> versus </w:t>
      </w:r>
      <w:r w:rsidRPr="00C94C33">
        <w:t xml:space="preserve">3.7 months), but the HR was not statistically significant (HR </w:t>
      </w:r>
      <w:r w:rsidR="00A0007E" w:rsidRPr="00C94C33">
        <w:t>(</w:t>
      </w:r>
      <w:r w:rsidRPr="00C94C33">
        <w:t>high:low</w:t>
      </w:r>
      <w:r w:rsidR="00A0007E" w:rsidRPr="00C94C33">
        <w:t>)</w:t>
      </w:r>
      <w:r w:rsidRPr="00C94C33">
        <w:t xml:space="preserve"> = 0.97 </w:t>
      </w:r>
      <w:r w:rsidR="00A0007E" w:rsidRPr="00C94C33">
        <w:t>(</w:t>
      </w:r>
      <w:r w:rsidRPr="00C94C33">
        <w:t>95% CI: 0.67, 1.41</w:t>
      </w:r>
      <w:r w:rsidR="00A0007E" w:rsidRPr="00C94C33">
        <w:t>)</w:t>
      </w:r>
      <w:r w:rsidRPr="00C94C33">
        <w:t>).</w:t>
      </w:r>
    </w:p>
    <w:p w14:paraId="25AF0FDE" w14:textId="4ABCDDB1" w:rsidR="00231BC7" w:rsidRPr="00C94C33" w:rsidRDefault="00231BC7" w:rsidP="00CA6016">
      <w:pPr>
        <w:pStyle w:val="ListBullet"/>
      </w:pPr>
      <w:r w:rsidRPr="00C94C33">
        <w:t xml:space="preserve">Overall, in the </w:t>
      </w:r>
      <w:r w:rsidR="00986ED2">
        <w:t>PK/PD</w:t>
      </w:r>
      <w:r w:rsidRPr="00C94C33">
        <w:t xml:space="preserve"> analysis </w:t>
      </w:r>
      <w:r w:rsidR="00A0007E" w:rsidRPr="00C94C33">
        <w:t>(</w:t>
      </w:r>
      <w:r w:rsidRPr="00C94C33">
        <w:t>RECOURSE</w:t>
      </w:r>
      <w:r w:rsidR="00A0007E" w:rsidRPr="00C94C33">
        <w:t>)</w:t>
      </w:r>
      <w:r w:rsidRPr="00C94C33">
        <w:t>, OS and PFS appeared more favourable in the FTD high AUC group compared to the FTD low group, and in the TPI low AUC group compared to the TPI high AUC group. However, none of the pairwise comparisons were statistically significant, based on the 95% CIs for the HR analyses.</w:t>
      </w:r>
    </w:p>
    <w:p w14:paraId="7154888D" w14:textId="77777777" w:rsidR="00AA7141" w:rsidRDefault="00986ED2" w:rsidP="00955252">
      <w:pPr>
        <w:pStyle w:val="Heading4"/>
      </w:pPr>
      <w:bookmarkStart w:id="193" w:name="_Toc470948497"/>
      <w:r>
        <w:t>PK/PD</w:t>
      </w:r>
      <w:r w:rsidR="00231BC7" w:rsidRPr="00C94C33">
        <w:t xml:space="preserve"> safety analyses</w:t>
      </w:r>
      <w:bookmarkEnd w:id="193"/>
    </w:p>
    <w:p w14:paraId="5536E3FC" w14:textId="7D1031D4" w:rsidR="00231BC7" w:rsidRPr="005C2FCA" w:rsidRDefault="00231BC7" w:rsidP="00CA6016">
      <w:pPr>
        <w:pStyle w:val="ListBullet"/>
      </w:pPr>
      <w:r w:rsidRPr="00C94C33">
        <w:t xml:space="preserve">In RECOURSE, </w:t>
      </w:r>
      <w:r w:rsidRPr="005C2FCA">
        <w:t>the incidence of both Grade ≥ 3 neutrop</w:t>
      </w:r>
      <w:r w:rsidR="00DF1CA6">
        <w:t>a</w:t>
      </w:r>
      <w:r w:rsidRPr="005C2FCA">
        <w:t>enia and any Grade ≥ 3 drug related AE was higher (&gt; 10%) in the FTD high AUC group compared to the FTD low AUC group, and any dose reduction due to safety events was also higher in the FTD high compared to the low AUC group (23%</w:t>
      </w:r>
      <w:r w:rsidR="00C11183">
        <w:t xml:space="preserve"> versus </w:t>
      </w:r>
      <w:r w:rsidRPr="005C2FCA">
        <w:t>9%, respectively). However, no marked differences in Grade ≥ 3 neutro</w:t>
      </w:r>
      <w:r w:rsidR="00B50F67">
        <w:t>paenia</w:t>
      </w:r>
      <w:r w:rsidRPr="005C2FCA">
        <w:t>, any Grade ≥ 3 drug related AEs or dose reduction due to safety events were observed between the TPI high and low AUC groups.</w:t>
      </w:r>
    </w:p>
    <w:p w14:paraId="5F7B5705" w14:textId="77777777" w:rsidR="00AA7141" w:rsidRDefault="00231BC7" w:rsidP="00CA6016">
      <w:pPr>
        <w:pStyle w:val="ListBullet"/>
      </w:pPr>
      <w:r w:rsidRPr="005C2FCA">
        <w:t>In RECOURSE, mean changes in neutrophil count (10</w:t>
      </w:r>
      <w:r w:rsidRPr="005C2FCA">
        <w:rPr>
          <w:vertAlign w:val="superscript"/>
        </w:rPr>
        <w:t>9</w:t>
      </w:r>
      <w:r w:rsidRPr="005C2FCA">
        <w:t>/L) from Baseline at Cycle 1 Last Assessment were similar in the FTD low and high AUC groups (-2.225</w:t>
      </w:r>
      <w:r w:rsidR="00C11183">
        <w:t xml:space="preserve"> versus </w:t>
      </w:r>
      <w:r w:rsidRPr="005C2FCA">
        <w:t>-2.260, respectively) and in the TPI low and high AUC groups (-2.168</w:t>
      </w:r>
      <w:r w:rsidR="00C11183">
        <w:t xml:space="preserve"> versus </w:t>
      </w:r>
      <w:r w:rsidRPr="005C2FCA">
        <w:t>-2.316, respectively). Mean changes in neutrophil count (10</w:t>
      </w:r>
      <w:r w:rsidRPr="005C2FCA">
        <w:rPr>
          <w:vertAlign w:val="superscript"/>
        </w:rPr>
        <w:t>9</w:t>
      </w:r>
      <w:r w:rsidRPr="005C2FCA">
        <w:t>/L) from Baseline at the Cycle 1 Nadir were similar in the FTD low and high AUC groups (-3.105</w:t>
      </w:r>
      <w:r w:rsidR="00C11183">
        <w:t xml:space="preserve"> versus </w:t>
      </w:r>
      <w:r w:rsidRPr="005C2FCA">
        <w:t>-3.331, respectively), and marginally lower in the TPI low AUC group compared to the TPI high AUC group (-2.952</w:t>
      </w:r>
      <w:r w:rsidR="00C11183">
        <w:t xml:space="preserve"> versus </w:t>
      </w:r>
      <w:r w:rsidRPr="005C2FCA">
        <w:t>-3.483, respectively).</w:t>
      </w:r>
    </w:p>
    <w:p w14:paraId="494B3958" w14:textId="530770B3" w:rsidR="00231BC7" w:rsidRPr="005C2FCA" w:rsidRDefault="00231BC7" w:rsidP="00CA6016">
      <w:pPr>
        <w:pStyle w:val="ListBullet"/>
      </w:pPr>
      <w:r w:rsidRPr="005C2FCA">
        <w:t xml:space="preserve">In </w:t>
      </w:r>
      <w:r w:rsidR="00DF1CA6">
        <w:t>S</w:t>
      </w:r>
      <w:r w:rsidR="00DF1CA6" w:rsidRPr="005C2FCA">
        <w:t xml:space="preserve">tudy </w:t>
      </w:r>
      <w:r w:rsidRPr="005C2FCA">
        <w:t>J100-10040010, there were significant correlations between percent decreases in both the white blood cell count and the neutrophil count and dosage in all cycles tested, while no correlations were seen between dosage and percent changes in platelet counts and haemoglobin. There were significant correlations between decreased white blood cell count and neutrophil count and the C</w:t>
      </w:r>
      <w:r w:rsidRPr="005C2FCA">
        <w:rPr>
          <w:sz w:val="20"/>
          <w:szCs w:val="20"/>
        </w:rPr>
        <w:t>max</w:t>
      </w:r>
      <w:r w:rsidRPr="005C2FCA">
        <w:rPr>
          <w:position w:val="-3"/>
        </w:rPr>
        <w:t xml:space="preserve"> </w:t>
      </w:r>
      <w:r w:rsidRPr="005C2FCA">
        <w:t>and AUC</w:t>
      </w:r>
      <w:r w:rsidRPr="005C2FCA">
        <w:rPr>
          <w:sz w:val="20"/>
          <w:szCs w:val="20"/>
        </w:rPr>
        <w:t>0-10h</w:t>
      </w:r>
      <w:r w:rsidRPr="005C2FCA">
        <w:rPr>
          <w:position w:val="-3"/>
        </w:rPr>
        <w:t xml:space="preserve"> </w:t>
      </w:r>
      <w:r w:rsidRPr="005C2FCA">
        <w:t>of FTD, FTY and TPI in Cycle 1 (Day 12), with similar results being found in all other cycles tested. There were significant correlations between decreased platelet count and the C</w:t>
      </w:r>
      <w:r w:rsidRPr="005C2FCA">
        <w:rPr>
          <w:sz w:val="20"/>
          <w:szCs w:val="20"/>
        </w:rPr>
        <w:t>max</w:t>
      </w:r>
      <w:r w:rsidRPr="005C2FCA">
        <w:rPr>
          <w:position w:val="-3"/>
        </w:rPr>
        <w:t xml:space="preserve"> </w:t>
      </w:r>
      <w:r w:rsidRPr="005C2FCA">
        <w:t>and AUC</w:t>
      </w:r>
      <w:r w:rsidRPr="005C2FCA">
        <w:rPr>
          <w:sz w:val="20"/>
          <w:szCs w:val="20"/>
        </w:rPr>
        <w:t>0-10h</w:t>
      </w:r>
      <w:r w:rsidRPr="005C2FCA">
        <w:rPr>
          <w:position w:val="-3"/>
          <w:sz w:val="20"/>
          <w:szCs w:val="20"/>
        </w:rPr>
        <w:t xml:space="preserve"> </w:t>
      </w:r>
      <w:r w:rsidRPr="005C2FCA">
        <w:t>of TPI in Cycle 1 (Day 12) and all other cycles tested, while the AUC</w:t>
      </w:r>
      <w:r w:rsidRPr="005C2FCA">
        <w:rPr>
          <w:sz w:val="20"/>
          <w:szCs w:val="20"/>
        </w:rPr>
        <w:t>0-10h</w:t>
      </w:r>
      <w:r w:rsidRPr="005C2FCA">
        <w:rPr>
          <w:position w:val="-3"/>
          <w:sz w:val="20"/>
          <w:szCs w:val="20"/>
        </w:rPr>
        <w:t xml:space="preserve"> </w:t>
      </w:r>
      <w:r w:rsidRPr="005C2FCA">
        <w:t>of FTD showed a significant correlation with decreased platelet in all cycles tested. There was a significant correlation between percent decrease in haemoglobin and the AUC</w:t>
      </w:r>
      <w:r w:rsidRPr="005C2FCA">
        <w:rPr>
          <w:sz w:val="20"/>
          <w:szCs w:val="20"/>
        </w:rPr>
        <w:t>0-10h</w:t>
      </w:r>
      <w:r w:rsidRPr="005C2FCA">
        <w:rPr>
          <w:position w:val="-3"/>
        </w:rPr>
        <w:t xml:space="preserve"> </w:t>
      </w:r>
      <w:r w:rsidRPr="005C2FCA">
        <w:t>of TPI in Cycle 1.</w:t>
      </w:r>
    </w:p>
    <w:p w14:paraId="676E19B4" w14:textId="77777777" w:rsidR="00AA7141" w:rsidRDefault="00231BC7" w:rsidP="00955252">
      <w:pPr>
        <w:pStyle w:val="Heading4"/>
      </w:pPr>
      <w:bookmarkStart w:id="194" w:name="_Toc470948498"/>
      <w:r w:rsidRPr="005C2FCA">
        <w:t>Cardiac safety – QTc prolongation and arrhythmogenic AEs</w:t>
      </w:r>
      <w:bookmarkEnd w:id="194"/>
    </w:p>
    <w:p w14:paraId="6F43C40A" w14:textId="19C64C69" w:rsidR="00231BC7" w:rsidRPr="005C2FCA" w:rsidRDefault="00231BC7" w:rsidP="00CA6016">
      <w:pPr>
        <w:pStyle w:val="ListBullet"/>
      </w:pPr>
      <w:r w:rsidRPr="005C2FCA">
        <w:t xml:space="preserve">The data from the Phase I study </w:t>
      </w:r>
      <w:r w:rsidR="00A0007E" w:rsidRPr="005C2FCA">
        <w:t>(</w:t>
      </w:r>
      <w:r w:rsidRPr="005C2FCA">
        <w:t>TPU-TAS-102-103</w:t>
      </w:r>
      <w:r w:rsidR="00A0007E" w:rsidRPr="005C2FCA">
        <w:t>)</w:t>
      </w:r>
      <w:r w:rsidRPr="005C2FCA">
        <w:t xml:space="preserve"> undertaken in the USA and the UK showed that clinically significant effects of TAS-102 on QTc prolongation are unlikely to occur in patients treated with the medicine at the proposed dosed for the proposed indication. Overall, the cardiac safety data from </w:t>
      </w:r>
      <w:r w:rsidR="00DF1CA6">
        <w:t>S</w:t>
      </w:r>
      <w:r w:rsidR="00DF1CA6" w:rsidRPr="005C2FCA">
        <w:t xml:space="preserve">tudy </w:t>
      </w:r>
      <w:r w:rsidRPr="005C2FCA">
        <w:t xml:space="preserve">TPU-TAS-102-103 showed that TAS-102 does not appear to </w:t>
      </w:r>
      <w:r w:rsidRPr="005C2FCA">
        <w:lastRenderedPageBreak/>
        <w:t>be arrhythmogenic, based on both the absence of clinically significant QTc prolongation and no reported AEs of ventricular tachycardia, ventricular fibrillation, syncope, or seizure.</w:t>
      </w:r>
    </w:p>
    <w:p w14:paraId="15C49B69" w14:textId="77777777" w:rsidR="000142FD" w:rsidRPr="00C94C33" w:rsidRDefault="00C22678" w:rsidP="00955252">
      <w:pPr>
        <w:pStyle w:val="Heading2"/>
      </w:pPr>
      <w:bookmarkStart w:id="195" w:name="_Toc510016886"/>
      <w:r w:rsidRPr="007709B8">
        <w:t>Dosage selection for the pivotal studies</w:t>
      </w:r>
      <w:bookmarkEnd w:id="195"/>
    </w:p>
    <w:p w14:paraId="328AD4A6" w14:textId="07B442E0" w:rsidR="00C17F3F" w:rsidRPr="00C94C33" w:rsidRDefault="00C17F3F" w:rsidP="00C17F3F">
      <w:r w:rsidRPr="00C94C33">
        <w:t xml:space="preserve">The sponsor states that between 1999 and 2006, </w:t>
      </w:r>
      <w:r w:rsidR="00DF1CA6">
        <w:t>5</w:t>
      </w:r>
      <w:r w:rsidR="00DF1CA6" w:rsidRPr="00C94C33">
        <w:t xml:space="preserve"> </w:t>
      </w:r>
      <w:r w:rsidR="00842E8F" w:rsidRPr="00C94C33">
        <w:t>Phase I</w:t>
      </w:r>
      <w:r w:rsidRPr="00C94C33">
        <w:t xml:space="preserve"> dose-finding studies (legacy studies) involving 111 enrolled and treated patients were conducted in the USA, with each study having a different TAS-102 dosing schedule and none of the studies having the TAS-102 dosing schedule proposed for registration (see Table 27, below). Based on reported preclinical findings </w:t>
      </w:r>
      <w:r w:rsidR="00A0007E" w:rsidRPr="00C94C33">
        <w:t>(</w:t>
      </w:r>
      <w:r w:rsidR="00DF1CA6">
        <w:t>S</w:t>
      </w:r>
      <w:r w:rsidR="00DF1CA6" w:rsidRPr="00C94C33">
        <w:t>tudy</w:t>
      </w:r>
      <w:r w:rsidR="00B50F67">
        <w:t> </w:t>
      </w:r>
      <w:r w:rsidRPr="00C94C33">
        <w:t>M96</w:t>
      </w:r>
      <w:r w:rsidR="00B50F67">
        <w:noBreakHyphen/>
      </w:r>
      <w:r w:rsidRPr="00C94C33">
        <w:t>029</w:t>
      </w:r>
      <w:r w:rsidR="00A0007E" w:rsidRPr="00C94C33">
        <w:t>)</w:t>
      </w:r>
      <w:r w:rsidRPr="00C94C33">
        <w:t xml:space="preserve">, the initial legacy studies employed daily dosing of TAS-102 in order to facilitate trifluridine (FTD) incorporation into tumour cells. In the first 3 legacy studies </w:t>
      </w:r>
      <w:r w:rsidR="00A0007E" w:rsidRPr="00C94C33">
        <w:t>(</w:t>
      </w:r>
      <w:r w:rsidR="00B50F67">
        <w:t xml:space="preserve">Study </w:t>
      </w:r>
      <w:r w:rsidRPr="00C94C33">
        <w:t xml:space="preserve">TAS102-9801 </w:t>
      </w:r>
      <w:r w:rsidR="00A0007E" w:rsidRPr="00C94C33">
        <w:t>(</w:t>
      </w:r>
      <w:r w:rsidRPr="00C94C33">
        <w:t>the first-in-human study</w:t>
      </w:r>
      <w:r w:rsidR="00A0007E" w:rsidRPr="00C94C33">
        <w:t>)</w:t>
      </w:r>
      <w:r w:rsidRPr="00C94C33">
        <w:t xml:space="preserve">, </w:t>
      </w:r>
      <w:r w:rsidR="00B50F67">
        <w:t xml:space="preserve">Study </w:t>
      </w:r>
      <w:r w:rsidRPr="00C94C33">
        <w:t xml:space="preserve">TAS102-9802, and </w:t>
      </w:r>
      <w:r w:rsidR="00B50F67">
        <w:t xml:space="preserve">Study </w:t>
      </w:r>
      <w:r w:rsidRPr="00C94C33">
        <w:t>TAS102-9803</w:t>
      </w:r>
      <w:r w:rsidR="00A0007E" w:rsidRPr="00C94C33">
        <w:t>)</w:t>
      </w:r>
      <w:r w:rsidRPr="00C94C33">
        <w:t>, the initial starting dose was 100 mg/m2 QD, which was reported to be 1/3 the toxic low dose in a 4-week toxicity study in monkeys. The results of these initial clinical studies indicated that TAS-102 was better tolerated when administered for 5 consecutive days rather than for 14 consecutive days, and the dose regimen of 5 days a week with 2 days rest for 2 weeks, repeated every 4 weeks was determined to be the optimal dose regimen.</w:t>
      </w:r>
    </w:p>
    <w:p w14:paraId="6BFE3691" w14:textId="54A7E29C" w:rsidR="00C17F3F" w:rsidRPr="00C94C33" w:rsidRDefault="00C17F3F" w:rsidP="005C2FCA">
      <w:pPr>
        <w:rPr>
          <w:rFonts w:cstheme="minorBidi"/>
          <w:b/>
        </w:rPr>
      </w:pPr>
      <w:r w:rsidRPr="00C94C33">
        <w:t xml:space="preserve">The sponsor reported that, while these initial 3 studies were ongoing, results of nonclinical studies became available demonstrating significantly greater tumour reduction in mice following divided daily dosing compared with QD dosing </w:t>
      </w:r>
      <w:r w:rsidR="00A0007E" w:rsidRPr="00C94C33">
        <w:t>(</w:t>
      </w:r>
      <w:r w:rsidR="00B50F67">
        <w:t>S</w:t>
      </w:r>
      <w:r w:rsidR="00B50F67" w:rsidRPr="00C94C33">
        <w:t xml:space="preserve">tudy </w:t>
      </w:r>
      <w:r w:rsidRPr="00C94C33">
        <w:t xml:space="preserve">11TA04). Therefore, 2 additional dose-finding studies were initiated to evaluate BD dosing </w:t>
      </w:r>
      <w:r w:rsidR="00A0007E" w:rsidRPr="00C94C33">
        <w:t>(</w:t>
      </w:r>
      <w:r w:rsidR="00B50F67">
        <w:t xml:space="preserve">Study </w:t>
      </w:r>
      <w:r w:rsidRPr="00C94C33">
        <w:t>TAS102-9804</w:t>
      </w:r>
      <w:r w:rsidR="00A0007E" w:rsidRPr="00C94C33">
        <w:t>)</w:t>
      </w:r>
      <w:r w:rsidRPr="00C94C33">
        <w:t xml:space="preserve"> and TDS dosing </w:t>
      </w:r>
      <w:r w:rsidR="00A0007E" w:rsidRPr="00C94C33">
        <w:t>(</w:t>
      </w:r>
      <w:r w:rsidR="00B50F67">
        <w:t>Study </w:t>
      </w:r>
      <w:r w:rsidRPr="00C94C33">
        <w:t>TAS102</w:t>
      </w:r>
      <w:r w:rsidR="00B50F67">
        <w:noBreakHyphen/>
      </w:r>
      <w:r w:rsidRPr="00C94C33">
        <w:t>9805</w:t>
      </w:r>
      <w:r w:rsidR="00A0007E" w:rsidRPr="00C94C33">
        <w:t>)</w:t>
      </w:r>
      <w:r w:rsidRPr="00C94C33">
        <w:t xml:space="preserve">, using the regimen of 5 days a week with 2 days rest for 2 weeks, repeated every 4 weeks. In </w:t>
      </w:r>
      <w:r w:rsidR="00B50F67">
        <w:t>S</w:t>
      </w:r>
      <w:r w:rsidR="00B50F67" w:rsidRPr="00C94C33">
        <w:t xml:space="preserve">tudy </w:t>
      </w:r>
      <w:r w:rsidRPr="00C94C33">
        <w:t>TAS102-9804, which was conducted in heavily pre-treated breast cancer patients, the MTD was determined to be 50 mg/m</w:t>
      </w:r>
      <w:r w:rsidRPr="005C2FCA">
        <w:rPr>
          <w:vertAlign w:val="superscript"/>
        </w:rPr>
        <w:t>2</w:t>
      </w:r>
      <w:r w:rsidRPr="00C94C33">
        <w:t xml:space="preserve">/day, while in </w:t>
      </w:r>
      <w:r w:rsidR="00B50F67">
        <w:t>S</w:t>
      </w:r>
      <w:r w:rsidR="00B50F67" w:rsidRPr="00C94C33">
        <w:t xml:space="preserve">tudy </w:t>
      </w:r>
      <w:r w:rsidRPr="00C94C33">
        <w:t>TAS102-9805, which was conducted in a patient population of primarily mCRC patients, the MTD was determined to be 70</w:t>
      </w:r>
      <w:r w:rsidR="00B50F67">
        <w:t> </w:t>
      </w:r>
      <w:r w:rsidRPr="00C94C33">
        <w:t>mg/m2/day.</w:t>
      </w:r>
      <w:bookmarkStart w:id="196" w:name="_Toc470948676"/>
    </w:p>
    <w:p w14:paraId="12804852" w14:textId="5C9D6DB4" w:rsidR="00C17F3F" w:rsidRPr="00C94C33" w:rsidRDefault="00C17F3F" w:rsidP="0058475B">
      <w:pPr>
        <w:pStyle w:val="Tabletitle"/>
      </w:pPr>
      <w:r w:rsidRPr="00C94C33">
        <w:t xml:space="preserve">Table 27: Initial </w:t>
      </w:r>
      <w:r w:rsidR="00842E8F" w:rsidRPr="00C94C33">
        <w:t>Phase I</w:t>
      </w:r>
      <w:r w:rsidRPr="00C94C33">
        <w:t xml:space="preserve"> dose-finding studies conducted in the US, legacy studies</w:t>
      </w:r>
      <w:bookmarkEnd w:id="196"/>
    </w:p>
    <w:tbl>
      <w:tblPr>
        <w:tblStyle w:val="TableGrid"/>
        <w:tblW w:w="9784" w:type="dxa"/>
        <w:tblLook w:val="04A0" w:firstRow="1" w:lastRow="0" w:firstColumn="1" w:lastColumn="0" w:noHBand="0" w:noVBand="1"/>
        <w:tblDescription w:val="Table 27: Initial Phase I dose-finding studies conducted in the US, legacy studies"/>
      </w:tblPr>
      <w:tblGrid>
        <w:gridCol w:w="1071"/>
        <w:gridCol w:w="551"/>
        <w:gridCol w:w="1282"/>
        <w:gridCol w:w="1151"/>
        <w:gridCol w:w="1092"/>
        <w:gridCol w:w="1097"/>
        <w:gridCol w:w="1280"/>
        <w:gridCol w:w="1282"/>
        <w:gridCol w:w="1264"/>
      </w:tblGrid>
      <w:tr w:rsidR="00B50F67" w:rsidRPr="00E46074" w14:paraId="54A114B7" w14:textId="77777777" w:rsidTr="007B0D96">
        <w:trPr>
          <w:tblHeader/>
        </w:trPr>
        <w:tc>
          <w:tcPr>
            <w:tcW w:w="1089" w:type="dxa"/>
            <w:shd w:val="clear" w:color="auto" w:fill="A7DDFF" w:themeFill="text2" w:themeFillTint="33"/>
          </w:tcPr>
          <w:p w14:paraId="5E633E24" w14:textId="77777777" w:rsidR="00C17F3F" w:rsidRPr="00E46074" w:rsidRDefault="00C17F3F" w:rsidP="00EF7F6D">
            <w:pPr>
              <w:pStyle w:val="TableHeading"/>
            </w:pPr>
            <w:r w:rsidRPr="00E46074">
              <w:t>Study</w:t>
            </w:r>
          </w:p>
        </w:tc>
        <w:tc>
          <w:tcPr>
            <w:tcW w:w="453" w:type="dxa"/>
            <w:shd w:val="clear" w:color="auto" w:fill="A7DDFF" w:themeFill="text2" w:themeFillTint="33"/>
          </w:tcPr>
          <w:p w14:paraId="2053C871" w14:textId="77777777" w:rsidR="00C17F3F" w:rsidRPr="00E46074" w:rsidRDefault="00C17F3F" w:rsidP="00EF7F6D">
            <w:pPr>
              <w:pStyle w:val="TableHeading"/>
            </w:pPr>
            <w:r w:rsidRPr="00E46074">
              <w:t>N</w:t>
            </w:r>
          </w:p>
        </w:tc>
        <w:tc>
          <w:tcPr>
            <w:tcW w:w="1022" w:type="dxa"/>
            <w:shd w:val="clear" w:color="auto" w:fill="A7DDFF" w:themeFill="text2" w:themeFillTint="33"/>
          </w:tcPr>
          <w:p w14:paraId="493D56F7" w14:textId="77777777" w:rsidR="00C17F3F" w:rsidRPr="00E46074" w:rsidRDefault="00C17F3F" w:rsidP="00EF7F6D">
            <w:pPr>
              <w:pStyle w:val="TableHeading"/>
            </w:pPr>
            <w:r w:rsidRPr="00E46074">
              <w:t>Daily dose mg/m</w:t>
            </w:r>
            <w:r w:rsidRPr="00E46074">
              <w:rPr>
                <w:vertAlign w:val="superscript"/>
              </w:rPr>
              <w:t>2</w:t>
            </w:r>
            <w:r w:rsidRPr="00E46074">
              <w:t>/day</w:t>
            </w:r>
          </w:p>
        </w:tc>
        <w:tc>
          <w:tcPr>
            <w:tcW w:w="904" w:type="dxa"/>
            <w:shd w:val="clear" w:color="auto" w:fill="A7DDFF" w:themeFill="text2" w:themeFillTint="33"/>
          </w:tcPr>
          <w:p w14:paraId="513E193F" w14:textId="77777777" w:rsidR="00C17F3F" w:rsidRPr="00E46074" w:rsidRDefault="00C17F3F" w:rsidP="00EF7F6D">
            <w:pPr>
              <w:pStyle w:val="TableHeading"/>
            </w:pPr>
            <w:r w:rsidRPr="00E46074">
              <w:t>Dosing frequency</w:t>
            </w:r>
          </w:p>
        </w:tc>
        <w:tc>
          <w:tcPr>
            <w:tcW w:w="1850" w:type="dxa"/>
            <w:shd w:val="clear" w:color="auto" w:fill="A7DDFF" w:themeFill="text2" w:themeFillTint="33"/>
          </w:tcPr>
          <w:p w14:paraId="565B65B8" w14:textId="77777777" w:rsidR="00C17F3F" w:rsidRPr="00E46074" w:rsidRDefault="00C17F3F" w:rsidP="00EF7F6D">
            <w:pPr>
              <w:pStyle w:val="TableHeading"/>
            </w:pPr>
            <w:r w:rsidRPr="00E46074">
              <w:t>Regimen</w:t>
            </w:r>
          </w:p>
        </w:tc>
        <w:tc>
          <w:tcPr>
            <w:tcW w:w="991" w:type="dxa"/>
            <w:shd w:val="clear" w:color="auto" w:fill="A7DDFF" w:themeFill="text2" w:themeFillTint="33"/>
          </w:tcPr>
          <w:p w14:paraId="0B5A29E6" w14:textId="77777777" w:rsidR="00C17F3F" w:rsidRPr="00E46074" w:rsidRDefault="00C17F3F" w:rsidP="00EF7F6D">
            <w:pPr>
              <w:pStyle w:val="TableHeading"/>
            </w:pPr>
            <w:r w:rsidRPr="00E46074">
              <w:t>Prior therapies (median)</w:t>
            </w:r>
          </w:p>
        </w:tc>
        <w:tc>
          <w:tcPr>
            <w:tcW w:w="1000" w:type="dxa"/>
            <w:shd w:val="clear" w:color="auto" w:fill="A7DDFF" w:themeFill="text2" w:themeFillTint="33"/>
          </w:tcPr>
          <w:p w14:paraId="1D061F2B" w14:textId="77777777" w:rsidR="00C17F3F" w:rsidRPr="00E46074" w:rsidRDefault="00C17F3F" w:rsidP="00EF7F6D">
            <w:pPr>
              <w:pStyle w:val="TableHeading"/>
            </w:pPr>
            <w:r w:rsidRPr="00E46074">
              <w:t>Malignancy % patients</w:t>
            </w:r>
          </w:p>
        </w:tc>
        <w:tc>
          <w:tcPr>
            <w:tcW w:w="1132" w:type="dxa"/>
            <w:shd w:val="clear" w:color="auto" w:fill="A7DDFF" w:themeFill="text2" w:themeFillTint="33"/>
          </w:tcPr>
          <w:p w14:paraId="0EE67A75" w14:textId="77777777" w:rsidR="00C17F3F" w:rsidRPr="00E46074" w:rsidRDefault="00C17F3F" w:rsidP="00EF7F6D">
            <w:pPr>
              <w:pStyle w:val="TableHeading"/>
            </w:pPr>
            <w:r w:rsidRPr="00E46074">
              <w:t>MTD mg/m</w:t>
            </w:r>
            <w:r w:rsidRPr="00E46074">
              <w:rPr>
                <w:vertAlign w:val="superscript"/>
              </w:rPr>
              <w:t>2</w:t>
            </w:r>
            <w:r w:rsidRPr="00E46074">
              <w:t>/day</w:t>
            </w:r>
          </w:p>
        </w:tc>
        <w:tc>
          <w:tcPr>
            <w:tcW w:w="1343" w:type="dxa"/>
            <w:shd w:val="clear" w:color="auto" w:fill="A7DDFF" w:themeFill="text2" w:themeFillTint="33"/>
          </w:tcPr>
          <w:p w14:paraId="3AF49912" w14:textId="77777777" w:rsidR="00C17F3F" w:rsidRPr="00E46074" w:rsidRDefault="00C17F3F" w:rsidP="00EF7F6D">
            <w:pPr>
              <w:pStyle w:val="TableHeading"/>
            </w:pPr>
            <w:r w:rsidRPr="00E46074">
              <w:t>DLT</w:t>
            </w:r>
          </w:p>
        </w:tc>
      </w:tr>
      <w:tr w:rsidR="00B50F67" w:rsidRPr="00E46074" w14:paraId="4D1B4C95" w14:textId="77777777" w:rsidTr="007B0D96">
        <w:tc>
          <w:tcPr>
            <w:tcW w:w="1089" w:type="dxa"/>
          </w:tcPr>
          <w:p w14:paraId="42A48DC4" w14:textId="77777777" w:rsidR="00C17F3F" w:rsidRPr="00E46074" w:rsidRDefault="00C17F3F" w:rsidP="00EF7F6D">
            <w:pPr>
              <w:pStyle w:val="Tabletext"/>
            </w:pPr>
            <w:r w:rsidRPr="00E46074">
              <w:t>TAS102-9801</w:t>
            </w:r>
          </w:p>
        </w:tc>
        <w:tc>
          <w:tcPr>
            <w:tcW w:w="453" w:type="dxa"/>
          </w:tcPr>
          <w:p w14:paraId="3DDF7783" w14:textId="77777777" w:rsidR="00C17F3F" w:rsidRPr="00E46074" w:rsidRDefault="00C17F3F" w:rsidP="00EF7F6D">
            <w:pPr>
              <w:pStyle w:val="Tabletext"/>
            </w:pPr>
            <w:r w:rsidRPr="00E46074">
              <w:t>14</w:t>
            </w:r>
          </w:p>
        </w:tc>
        <w:tc>
          <w:tcPr>
            <w:tcW w:w="1022" w:type="dxa"/>
          </w:tcPr>
          <w:p w14:paraId="40F8B83A" w14:textId="77777777" w:rsidR="00C17F3F" w:rsidRPr="00E46074" w:rsidRDefault="00C17F3F" w:rsidP="00EF7F6D">
            <w:pPr>
              <w:pStyle w:val="Tabletext"/>
            </w:pPr>
            <w:r w:rsidRPr="00E46074">
              <w:t>50, 60, 100</w:t>
            </w:r>
          </w:p>
        </w:tc>
        <w:tc>
          <w:tcPr>
            <w:tcW w:w="904" w:type="dxa"/>
          </w:tcPr>
          <w:p w14:paraId="20C06888" w14:textId="77777777" w:rsidR="00C17F3F" w:rsidRPr="00E46074" w:rsidRDefault="00C17F3F" w:rsidP="00EF7F6D">
            <w:pPr>
              <w:pStyle w:val="Tabletext"/>
            </w:pPr>
            <w:r w:rsidRPr="00E46074">
              <w:t>QD</w:t>
            </w:r>
          </w:p>
        </w:tc>
        <w:tc>
          <w:tcPr>
            <w:tcW w:w="1850" w:type="dxa"/>
          </w:tcPr>
          <w:p w14:paraId="1076EC9F" w14:textId="77777777" w:rsidR="00C17F3F" w:rsidRPr="00E46074" w:rsidRDefault="00C17F3F" w:rsidP="00EF7F6D">
            <w:pPr>
              <w:pStyle w:val="Tabletext"/>
            </w:pPr>
            <w:r w:rsidRPr="00E46074">
              <w:t>2</w:t>
            </w:r>
            <w:r w:rsidRPr="00E46074">
              <w:rPr>
                <w:spacing w:val="2"/>
              </w:rPr>
              <w:t xml:space="preserve"> </w:t>
            </w:r>
            <w:r w:rsidRPr="00E46074">
              <w:rPr>
                <w:spacing w:val="-3"/>
              </w:rPr>
              <w:t>weeks</w:t>
            </w:r>
            <w:r w:rsidRPr="00E46074">
              <w:rPr>
                <w:spacing w:val="6"/>
              </w:rPr>
              <w:t xml:space="preserve"> </w:t>
            </w:r>
            <w:r w:rsidRPr="00E46074">
              <w:rPr>
                <w:spacing w:val="-2"/>
              </w:rPr>
              <w:t>with</w:t>
            </w:r>
            <w:r w:rsidRPr="00E46074">
              <w:rPr>
                <w:spacing w:val="2"/>
              </w:rPr>
              <w:t xml:space="preserve"> </w:t>
            </w:r>
            <w:r w:rsidRPr="00E46074">
              <w:t>1</w:t>
            </w:r>
            <w:r w:rsidRPr="00E46074">
              <w:rPr>
                <w:spacing w:val="24"/>
              </w:rPr>
              <w:t xml:space="preserve"> </w:t>
            </w:r>
            <w:r w:rsidRPr="00E46074">
              <w:rPr>
                <w:spacing w:val="-3"/>
              </w:rPr>
              <w:t>week</w:t>
            </w:r>
            <w:r w:rsidRPr="00E46074">
              <w:rPr>
                <w:spacing w:val="2"/>
              </w:rPr>
              <w:t xml:space="preserve"> </w:t>
            </w:r>
            <w:r w:rsidRPr="00E46074">
              <w:rPr>
                <w:spacing w:val="-1"/>
              </w:rPr>
              <w:t>rest,</w:t>
            </w:r>
            <w:r w:rsidRPr="00E46074">
              <w:rPr>
                <w:spacing w:val="-5"/>
              </w:rPr>
              <w:t xml:space="preserve"> </w:t>
            </w:r>
            <w:r w:rsidRPr="00E46074">
              <w:rPr>
                <w:spacing w:val="-1"/>
              </w:rPr>
              <w:t>repeated</w:t>
            </w:r>
            <w:r w:rsidRPr="00E46074">
              <w:rPr>
                <w:spacing w:val="29"/>
              </w:rPr>
              <w:t xml:space="preserve"> </w:t>
            </w:r>
            <w:r w:rsidRPr="00E46074">
              <w:t>every</w:t>
            </w:r>
            <w:r w:rsidRPr="00E46074">
              <w:rPr>
                <w:spacing w:val="-8"/>
              </w:rPr>
              <w:t xml:space="preserve"> </w:t>
            </w:r>
            <w:r w:rsidRPr="00E46074">
              <w:t>3</w:t>
            </w:r>
            <w:r w:rsidRPr="00E46074">
              <w:rPr>
                <w:spacing w:val="3"/>
              </w:rPr>
              <w:t xml:space="preserve"> </w:t>
            </w:r>
            <w:r w:rsidRPr="00E46074">
              <w:rPr>
                <w:spacing w:val="-3"/>
              </w:rPr>
              <w:t xml:space="preserve">weeks. </w:t>
            </w:r>
          </w:p>
        </w:tc>
        <w:tc>
          <w:tcPr>
            <w:tcW w:w="991" w:type="dxa"/>
          </w:tcPr>
          <w:p w14:paraId="3D60409E" w14:textId="77777777" w:rsidR="00C17F3F" w:rsidRPr="00E46074" w:rsidRDefault="00C17F3F" w:rsidP="00EF7F6D">
            <w:pPr>
              <w:pStyle w:val="Tabletext"/>
            </w:pPr>
            <w:r w:rsidRPr="00E46074">
              <w:t xml:space="preserve">4 </w:t>
            </w:r>
          </w:p>
        </w:tc>
        <w:tc>
          <w:tcPr>
            <w:tcW w:w="1000" w:type="dxa"/>
          </w:tcPr>
          <w:p w14:paraId="309BB15C" w14:textId="77777777" w:rsidR="00C17F3F" w:rsidRPr="00E46074" w:rsidRDefault="00C17F3F" w:rsidP="00EF7F6D">
            <w:pPr>
              <w:pStyle w:val="Tabletext"/>
            </w:pPr>
            <w:r w:rsidRPr="00E46074">
              <w:t>CRC 100%</w:t>
            </w:r>
          </w:p>
        </w:tc>
        <w:tc>
          <w:tcPr>
            <w:tcW w:w="1132" w:type="dxa"/>
          </w:tcPr>
          <w:p w14:paraId="5FEFE698" w14:textId="77777777" w:rsidR="00C17F3F" w:rsidRPr="00E46074" w:rsidRDefault="00C17F3F" w:rsidP="00EF7F6D">
            <w:pPr>
              <w:pStyle w:val="Tabletext"/>
            </w:pPr>
            <w:r w:rsidRPr="00E46074">
              <w:t xml:space="preserve">50 </w:t>
            </w:r>
          </w:p>
        </w:tc>
        <w:tc>
          <w:tcPr>
            <w:tcW w:w="1343" w:type="dxa"/>
          </w:tcPr>
          <w:p w14:paraId="116E3CB3" w14:textId="2340EDDB" w:rsidR="00C17F3F" w:rsidRPr="00E46074" w:rsidRDefault="00C17F3F" w:rsidP="00EF7F6D">
            <w:pPr>
              <w:pStyle w:val="Tabletext"/>
            </w:pPr>
            <w:r w:rsidRPr="00E46074">
              <w:t>Granulo-cyto</w:t>
            </w:r>
            <w:r w:rsidR="00B50F67" w:rsidRPr="00E46074">
              <w:t>paenia</w:t>
            </w:r>
          </w:p>
        </w:tc>
      </w:tr>
      <w:tr w:rsidR="00B50F67" w:rsidRPr="00E46074" w14:paraId="06E81D44" w14:textId="77777777" w:rsidTr="007B0D96">
        <w:tc>
          <w:tcPr>
            <w:tcW w:w="1089" w:type="dxa"/>
          </w:tcPr>
          <w:p w14:paraId="2B55DAC1" w14:textId="77777777" w:rsidR="00C17F3F" w:rsidRPr="00E46074" w:rsidRDefault="00C17F3F" w:rsidP="00EF7F6D">
            <w:pPr>
              <w:pStyle w:val="Tabletext"/>
            </w:pPr>
            <w:r w:rsidRPr="00E46074">
              <w:t>TAS102-9802</w:t>
            </w:r>
          </w:p>
        </w:tc>
        <w:tc>
          <w:tcPr>
            <w:tcW w:w="453" w:type="dxa"/>
          </w:tcPr>
          <w:p w14:paraId="17B5E3CD" w14:textId="77777777" w:rsidR="00C17F3F" w:rsidRPr="00E46074" w:rsidRDefault="00C17F3F" w:rsidP="00EF7F6D">
            <w:pPr>
              <w:pStyle w:val="Tabletext"/>
            </w:pPr>
            <w:r w:rsidRPr="00E46074">
              <w:t>24</w:t>
            </w:r>
          </w:p>
        </w:tc>
        <w:tc>
          <w:tcPr>
            <w:tcW w:w="1022" w:type="dxa"/>
          </w:tcPr>
          <w:p w14:paraId="37F0E01A" w14:textId="77777777" w:rsidR="00C17F3F" w:rsidRPr="00E46074" w:rsidRDefault="00C17F3F" w:rsidP="00EF7F6D">
            <w:pPr>
              <w:pStyle w:val="Tabletext"/>
            </w:pPr>
            <w:r w:rsidRPr="00E46074">
              <w:t>50, 70, 80, 110</w:t>
            </w:r>
          </w:p>
        </w:tc>
        <w:tc>
          <w:tcPr>
            <w:tcW w:w="904" w:type="dxa"/>
          </w:tcPr>
          <w:p w14:paraId="2ED21ADD" w14:textId="77777777" w:rsidR="00C17F3F" w:rsidRPr="00E46074" w:rsidRDefault="00C17F3F" w:rsidP="00EF7F6D">
            <w:pPr>
              <w:pStyle w:val="Tabletext"/>
            </w:pPr>
            <w:r w:rsidRPr="00E46074">
              <w:t>QD</w:t>
            </w:r>
          </w:p>
        </w:tc>
        <w:tc>
          <w:tcPr>
            <w:tcW w:w="1850" w:type="dxa"/>
          </w:tcPr>
          <w:p w14:paraId="4D5D6CD2" w14:textId="77777777" w:rsidR="00C17F3F" w:rsidRPr="00E46074" w:rsidRDefault="00C17F3F" w:rsidP="00EF7F6D">
            <w:pPr>
              <w:pStyle w:val="Tabletext"/>
            </w:pPr>
            <w:r w:rsidRPr="00E46074">
              <w:t>5 days</w:t>
            </w:r>
            <w:r w:rsidRPr="00E46074">
              <w:rPr>
                <w:spacing w:val="6"/>
              </w:rPr>
              <w:t xml:space="preserve"> </w:t>
            </w:r>
            <w:r w:rsidRPr="00E46074">
              <w:rPr>
                <w:spacing w:val="-2"/>
              </w:rPr>
              <w:t>with</w:t>
            </w:r>
            <w:r w:rsidRPr="00E46074">
              <w:rPr>
                <w:spacing w:val="2"/>
              </w:rPr>
              <w:t xml:space="preserve"> </w:t>
            </w:r>
            <w:r w:rsidRPr="00E46074">
              <w:t>2 days rest for 2 weeks, repeated every 4 weeks</w:t>
            </w:r>
          </w:p>
        </w:tc>
        <w:tc>
          <w:tcPr>
            <w:tcW w:w="991" w:type="dxa"/>
          </w:tcPr>
          <w:p w14:paraId="14249AA5" w14:textId="77777777" w:rsidR="00C17F3F" w:rsidRPr="00E46074" w:rsidRDefault="00C17F3F" w:rsidP="00EF7F6D">
            <w:pPr>
              <w:pStyle w:val="Tabletext"/>
            </w:pPr>
            <w:r w:rsidRPr="00E46074">
              <w:t>2.5</w:t>
            </w:r>
          </w:p>
        </w:tc>
        <w:tc>
          <w:tcPr>
            <w:tcW w:w="1000" w:type="dxa"/>
          </w:tcPr>
          <w:p w14:paraId="5B4D6410" w14:textId="77777777" w:rsidR="00C17F3F" w:rsidRPr="00E46074" w:rsidRDefault="00C17F3F" w:rsidP="00EF7F6D">
            <w:pPr>
              <w:pStyle w:val="Tabletext"/>
            </w:pPr>
            <w:r w:rsidRPr="00E46074">
              <w:t>CRC 83.3%</w:t>
            </w:r>
          </w:p>
        </w:tc>
        <w:tc>
          <w:tcPr>
            <w:tcW w:w="1132" w:type="dxa"/>
          </w:tcPr>
          <w:p w14:paraId="43049586" w14:textId="77777777" w:rsidR="00C17F3F" w:rsidRPr="00E46074" w:rsidRDefault="00C17F3F" w:rsidP="00EF7F6D">
            <w:pPr>
              <w:pStyle w:val="Tabletext"/>
            </w:pPr>
            <w:r w:rsidRPr="00E46074">
              <w:t>100</w:t>
            </w:r>
          </w:p>
        </w:tc>
        <w:tc>
          <w:tcPr>
            <w:tcW w:w="1343" w:type="dxa"/>
          </w:tcPr>
          <w:p w14:paraId="21E91C1C" w14:textId="0CF1BBC9" w:rsidR="00C17F3F" w:rsidRPr="00E46074" w:rsidRDefault="00C17F3F" w:rsidP="00EF7F6D">
            <w:pPr>
              <w:pStyle w:val="Tabletext"/>
            </w:pPr>
            <w:r w:rsidRPr="00E46074">
              <w:t>Granulo-cyto</w:t>
            </w:r>
            <w:r w:rsidR="00B50F67" w:rsidRPr="00E46074">
              <w:t>paenia</w:t>
            </w:r>
          </w:p>
        </w:tc>
      </w:tr>
      <w:tr w:rsidR="00B50F67" w:rsidRPr="00E46074" w14:paraId="5B39FDE0" w14:textId="77777777" w:rsidTr="007B0D96">
        <w:tc>
          <w:tcPr>
            <w:tcW w:w="1089" w:type="dxa"/>
          </w:tcPr>
          <w:p w14:paraId="11B76AEF" w14:textId="77777777" w:rsidR="00C17F3F" w:rsidRPr="00E46074" w:rsidRDefault="00C17F3F" w:rsidP="00EF7F6D">
            <w:pPr>
              <w:pStyle w:val="Tabletext"/>
            </w:pPr>
            <w:r w:rsidRPr="00E46074">
              <w:t>TAS102-9803</w:t>
            </w:r>
          </w:p>
        </w:tc>
        <w:tc>
          <w:tcPr>
            <w:tcW w:w="453" w:type="dxa"/>
          </w:tcPr>
          <w:p w14:paraId="448E1343" w14:textId="77777777" w:rsidR="00C17F3F" w:rsidRPr="00E46074" w:rsidRDefault="00C17F3F" w:rsidP="00EF7F6D">
            <w:pPr>
              <w:pStyle w:val="Tabletext"/>
            </w:pPr>
            <w:r w:rsidRPr="00E46074">
              <w:t>39</w:t>
            </w:r>
          </w:p>
        </w:tc>
        <w:tc>
          <w:tcPr>
            <w:tcW w:w="1022" w:type="dxa"/>
          </w:tcPr>
          <w:p w14:paraId="1985D346" w14:textId="77777777" w:rsidR="00C17F3F" w:rsidRPr="00E46074" w:rsidRDefault="00C17F3F" w:rsidP="00EF7F6D">
            <w:pPr>
              <w:pStyle w:val="Tabletext"/>
            </w:pPr>
            <w:r w:rsidRPr="00E46074">
              <w:t xml:space="preserve">100, 110, 120, 130. 140, 150, 160, 170, 180. </w:t>
            </w:r>
          </w:p>
        </w:tc>
        <w:tc>
          <w:tcPr>
            <w:tcW w:w="904" w:type="dxa"/>
          </w:tcPr>
          <w:p w14:paraId="3E06E76B" w14:textId="77777777" w:rsidR="00C17F3F" w:rsidRPr="00E46074" w:rsidRDefault="00C17F3F" w:rsidP="00EF7F6D">
            <w:pPr>
              <w:pStyle w:val="Tabletext"/>
            </w:pPr>
            <w:r w:rsidRPr="00E46074">
              <w:t>QD</w:t>
            </w:r>
          </w:p>
        </w:tc>
        <w:tc>
          <w:tcPr>
            <w:tcW w:w="1850" w:type="dxa"/>
          </w:tcPr>
          <w:p w14:paraId="29E8B62F" w14:textId="77777777" w:rsidR="00C17F3F" w:rsidRPr="00E46074" w:rsidRDefault="00C17F3F" w:rsidP="00EF7F6D">
            <w:pPr>
              <w:pStyle w:val="Tabletext"/>
            </w:pPr>
            <w:r w:rsidRPr="00E46074">
              <w:t xml:space="preserve">5 days every 3 weeks. </w:t>
            </w:r>
          </w:p>
        </w:tc>
        <w:tc>
          <w:tcPr>
            <w:tcW w:w="991" w:type="dxa"/>
          </w:tcPr>
          <w:p w14:paraId="5FA1F965" w14:textId="77777777" w:rsidR="00C17F3F" w:rsidRPr="00E46074" w:rsidRDefault="00C17F3F" w:rsidP="00EF7F6D">
            <w:pPr>
              <w:pStyle w:val="Tabletext"/>
            </w:pPr>
            <w:r w:rsidRPr="00E46074">
              <w:t>4</w:t>
            </w:r>
          </w:p>
        </w:tc>
        <w:tc>
          <w:tcPr>
            <w:tcW w:w="1000" w:type="dxa"/>
          </w:tcPr>
          <w:p w14:paraId="63E98D1A" w14:textId="30BDBD9A" w:rsidR="00C17F3F" w:rsidRPr="00E46074" w:rsidRDefault="00C17F3F" w:rsidP="00EF7F6D">
            <w:pPr>
              <w:pStyle w:val="Tabletext"/>
            </w:pPr>
            <w:r w:rsidRPr="00E46074">
              <w:t>CRC 82.1%</w:t>
            </w:r>
          </w:p>
        </w:tc>
        <w:tc>
          <w:tcPr>
            <w:tcW w:w="1132" w:type="dxa"/>
          </w:tcPr>
          <w:p w14:paraId="11D7107D" w14:textId="77777777" w:rsidR="00C17F3F" w:rsidRPr="00E46074" w:rsidRDefault="00C17F3F" w:rsidP="00EF7F6D">
            <w:pPr>
              <w:pStyle w:val="Tabletext"/>
            </w:pPr>
            <w:r w:rsidRPr="00E46074">
              <w:t>160</w:t>
            </w:r>
          </w:p>
        </w:tc>
        <w:tc>
          <w:tcPr>
            <w:tcW w:w="1343" w:type="dxa"/>
          </w:tcPr>
          <w:p w14:paraId="02A0506C" w14:textId="7A1F7D88" w:rsidR="00C17F3F" w:rsidRPr="00E46074" w:rsidRDefault="00C17F3F" w:rsidP="00EF7F6D">
            <w:pPr>
              <w:pStyle w:val="Tabletext"/>
            </w:pPr>
            <w:r w:rsidRPr="00E46074">
              <w:t>Granulo-cyto</w:t>
            </w:r>
            <w:r w:rsidR="00B50F67" w:rsidRPr="00E46074">
              <w:t>paenia</w:t>
            </w:r>
            <w:r w:rsidRPr="00E46074">
              <w:t xml:space="preserve"> and others </w:t>
            </w:r>
            <w:r w:rsidRPr="00E46074">
              <w:rPr>
                <w:vertAlign w:val="superscript"/>
              </w:rPr>
              <w:t xml:space="preserve">a </w:t>
            </w:r>
          </w:p>
        </w:tc>
      </w:tr>
      <w:tr w:rsidR="00B50F67" w:rsidRPr="00E46074" w14:paraId="0724FB56" w14:textId="77777777" w:rsidTr="007B0D96">
        <w:tc>
          <w:tcPr>
            <w:tcW w:w="1089" w:type="dxa"/>
          </w:tcPr>
          <w:p w14:paraId="5ACD4E85" w14:textId="77777777" w:rsidR="00C17F3F" w:rsidRPr="00E46074" w:rsidRDefault="00C17F3F" w:rsidP="00EF7F6D">
            <w:pPr>
              <w:pStyle w:val="Tabletext"/>
            </w:pPr>
            <w:r w:rsidRPr="00E46074">
              <w:t>TAS102-9804</w:t>
            </w:r>
          </w:p>
        </w:tc>
        <w:tc>
          <w:tcPr>
            <w:tcW w:w="453" w:type="dxa"/>
          </w:tcPr>
          <w:p w14:paraId="114A347D" w14:textId="77777777" w:rsidR="00C17F3F" w:rsidRPr="00E46074" w:rsidRDefault="00C17F3F" w:rsidP="00EF7F6D">
            <w:pPr>
              <w:pStyle w:val="Tabletext"/>
            </w:pPr>
            <w:r w:rsidRPr="00E46074">
              <w:t>19</w:t>
            </w:r>
          </w:p>
        </w:tc>
        <w:tc>
          <w:tcPr>
            <w:tcW w:w="1022" w:type="dxa"/>
          </w:tcPr>
          <w:p w14:paraId="66CC4FA9" w14:textId="77777777" w:rsidR="00C17F3F" w:rsidRPr="00E46074" w:rsidRDefault="00C17F3F" w:rsidP="00EF7F6D">
            <w:pPr>
              <w:pStyle w:val="Tabletext"/>
            </w:pPr>
            <w:r w:rsidRPr="00E46074">
              <w:t>50, 60, 80</w:t>
            </w:r>
          </w:p>
        </w:tc>
        <w:tc>
          <w:tcPr>
            <w:tcW w:w="904" w:type="dxa"/>
          </w:tcPr>
          <w:p w14:paraId="471905B3" w14:textId="77777777" w:rsidR="00C17F3F" w:rsidRPr="00E46074" w:rsidRDefault="00C17F3F" w:rsidP="00EF7F6D">
            <w:pPr>
              <w:pStyle w:val="Tabletext"/>
            </w:pPr>
            <w:r w:rsidRPr="00E46074">
              <w:t>BD</w:t>
            </w:r>
          </w:p>
        </w:tc>
        <w:tc>
          <w:tcPr>
            <w:tcW w:w="1850" w:type="dxa"/>
          </w:tcPr>
          <w:p w14:paraId="25FC6ECF" w14:textId="77777777" w:rsidR="00C17F3F" w:rsidRPr="00E46074" w:rsidRDefault="00C17F3F" w:rsidP="00EF7F6D">
            <w:pPr>
              <w:pStyle w:val="Tabletext"/>
            </w:pPr>
            <w:r w:rsidRPr="00E46074">
              <w:t>5 days</w:t>
            </w:r>
            <w:r w:rsidRPr="00E46074">
              <w:rPr>
                <w:spacing w:val="6"/>
              </w:rPr>
              <w:t xml:space="preserve"> </w:t>
            </w:r>
            <w:r w:rsidRPr="00E46074">
              <w:rPr>
                <w:spacing w:val="-2"/>
              </w:rPr>
              <w:t>with</w:t>
            </w:r>
            <w:r w:rsidRPr="00E46074">
              <w:rPr>
                <w:spacing w:val="2"/>
              </w:rPr>
              <w:t xml:space="preserve"> </w:t>
            </w:r>
            <w:r w:rsidRPr="00E46074">
              <w:t xml:space="preserve">2 </w:t>
            </w:r>
            <w:r w:rsidRPr="00E46074">
              <w:lastRenderedPageBreak/>
              <w:t>days rest for 2 weeks, repeated every 4 weeks</w:t>
            </w:r>
          </w:p>
        </w:tc>
        <w:tc>
          <w:tcPr>
            <w:tcW w:w="991" w:type="dxa"/>
          </w:tcPr>
          <w:p w14:paraId="6033B950" w14:textId="77777777" w:rsidR="00C17F3F" w:rsidRPr="00E46074" w:rsidRDefault="00C17F3F" w:rsidP="00EF7F6D">
            <w:pPr>
              <w:pStyle w:val="Tabletext"/>
            </w:pPr>
            <w:r w:rsidRPr="00E46074">
              <w:lastRenderedPageBreak/>
              <w:t>5</w:t>
            </w:r>
          </w:p>
        </w:tc>
        <w:tc>
          <w:tcPr>
            <w:tcW w:w="1000" w:type="dxa"/>
          </w:tcPr>
          <w:p w14:paraId="3B592228" w14:textId="77777777" w:rsidR="00C17F3F" w:rsidRPr="00E46074" w:rsidRDefault="00C17F3F" w:rsidP="00EF7F6D">
            <w:pPr>
              <w:pStyle w:val="Tabletext"/>
            </w:pPr>
            <w:r w:rsidRPr="00E46074">
              <w:t>BC 100%</w:t>
            </w:r>
          </w:p>
        </w:tc>
        <w:tc>
          <w:tcPr>
            <w:tcW w:w="1132" w:type="dxa"/>
          </w:tcPr>
          <w:p w14:paraId="6580282E" w14:textId="77777777" w:rsidR="00C17F3F" w:rsidRPr="00E46074" w:rsidRDefault="00C17F3F" w:rsidP="00EF7F6D">
            <w:pPr>
              <w:pStyle w:val="Tabletext"/>
            </w:pPr>
            <w:r w:rsidRPr="00E46074">
              <w:t>50</w:t>
            </w:r>
          </w:p>
        </w:tc>
        <w:tc>
          <w:tcPr>
            <w:tcW w:w="1343" w:type="dxa"/>
          </w:tcPr>
          <w:p w14:paraId="009249C7" w14:textId="251FBA47" w:rsidR="00C17F3F" w:rsidRPr="00E46074" w:rsidRDefault="00C17F3F" w:rsidP="00EF7F6D">
            <w:pPr>
              <w:pStyle w:val="Tabletext"/>
            </w:pPr>
            <w:r w:rsidRPr="00E46074">
              <w:t>Granulo-cyto</w:t>
            </w:r>
            <w:r w:rsidR="00B50F67" w:rsidRPr="00E46074">
              <w:t>paenia</w:t>
            </w:r>
            <w:r w:rsidRPr="00E46074">
              <w:t xml:space="preserve"> </w:t>
            </w:r>
            <w:r w:rsidRPr="00E46074">
              <w:lastRenderedPageBreak/>
              <w:t xml:space="preserve">and others </w:t>
            </w:r>
            <w:r w:rsidRPr="00E46074">
              <w:rPr>
                <w:vertAlign w:val="superscript"/>
              </w:rPr>
              <w:t>b</w:t>
            </w:r>
          </w:p>
        </w:tc>
      </w:tr>
      <w:tr w:rsidR="00B50F67" w:rsidRPr="00E46074" w14:paraId="7D3E8FB1" w14:textId="77777777" w:rsidTr="007B0D96">
        <w:tc>
          <w:tcPr>
            <w:tcW w:w="1089" w:type="dxa"/>
          </w:tcPr>
          <w:p w14:paraId="30CAD3E2" w14:textId="77777777" w:rsidR="00C17F3F" w:rsidRPr="00E46074" w:rsidRDefault="00C17F3F" w:rsidP="00EF7F6D">
            <w:pPr>
              <w:pStyle w:val="Tabletext"/>
            </w:pPr>
            <w:r w:rsidRPr="00E46074">
              <w:lastRenderedPageBreak/>
              <w:t>TAS102-9805</w:t>
            </w:r>
          </w:p>
        </w:tc>
        <w:tc>
          <w:tcPr>
            <w:tcW w:w="453" w:type="dxa"/>
          </w:tcPr>
          <w:p w14:paraId="702F4892" w14:textId="77777777" w:rsidR="00C17F3F" w:rsidRPr="00E46074" w:rsidRDefault="00C17F3F" w:rsidP="00EF7F6D">
            <w:pPr>
              <w:pStyle w:val="Tabletext"/>
            </w:pPr>
            <w:r w:rsidRPr="00E46074">
              <w:t>15</w:t>
            </w:r>
          </w:p>
        </w:tc>
        <w:tc>
          <w:tcPr>
            <w:tcW w:w="1022" w:type="dxa"/>
          </w:tcPr>
          <w:p w14:paraId="61000BD3" w14:textId="77777777" w:rsidR="00C17F3F" w:rsidRPr="00E46074" w:rsidRDefault="00C17F3F" w:rsidP="00EF7F6D">
            <w:pPr>
              <w:pStyle w:val="Tabletext"/>
            </w:pPr>
            <w:r w:rsidRPr="00E46074">
              <w:t>60, 70, 80</w:t>
            </w:r>
          </w:p>
        </w:tc>
        <w:tc>
          <w:tcPr>
            <w:tcW w:w="904" w:type="dxa"/>
          </w:tcPr>
          <w:p w14:paraId="59D28CC5" w14:textId="77777777" w:rsidR="00C17F3F" w:rsidRPr="00E46074" w:rsidRDefault="00C17F3F" w:rsidP="00EF7F6D">
            <w:pPr>
              <w:pStyle w:val="Tabletext"/>
            </w:pPr>
            <w:r w:rsidRPr="00E46074">
              <w:t>TDS</w:t>
            </w:r>
          </w:p>
        </w:tc>
        <w:tc>
          <w:tcPr>
            <w:tcW w:w="1850" w:type="dxa"/>
          </w:tcPr>
          <w:p w14:paraId="7D6F49B7" w14:textId="77777777" w:rsidR="00C17F3F" w:rsidRPr="00E46074" w:rsidRDefault="00C17F3F" w:rsidP="00EF7F6D">
            <w:pPr>
              <w:pStyle w:val="Tabletext"/>
            </w:pPr>
            <w:r w:rsidRPr="00E46074">
              <w:t>5 days</w:t>
            </w:r>
            <w:r w:rsidRPr="00E46074">
              <w:rPr>
                <w:spacing w:val="6"/>
              </w:rPr>
              <w:t xml:space="preserve"> </w:t>
            </w:r>
            <w:r w:rsidRPr="00E46074">
              <w:rPr>
                <w:spacing w:val="-2"/>
              </w:rPr>
              <w:t>with</w:t>
            </w:r>
            <w:r w:rsidRPr="00E46074">
              <w:rPr>
                <w:spacing w:val="2"/>
              </w:rPr>
              <w:t xml:space="preserve"> </w:t>
            </w:r>
            <w:r w:rsidRPr="00E46074">
              <w:t>2 days rest for 2 weeks, repeated every 4 weeks</w:t>
            </w:r>
          </w:p>
        </w:tc>
        <w:tc>
          <w:tcPr>
            <w:tcW w:w="991" w:type="dxa"/>
          </w:tcPr>
          <w:p w14:paraId="316BDDC1" w14:textId="77777777" w:rsidR="00C17F3F" w:rsidRPr="00E46074" w:rsidRDefault="00C17F3F" w:rsidP="00EF7F6D">
            <w:pPr>
              <w:pStyle w:val="Tabletext"/>
            </w:pPr>
            <w:r w:rsidRPr="00E46074">
              <w:t>3</w:t>
            </w:r>
          </w:p>
        </w:tc>
        <w:tc>
          <w:tcPr>
            <w:tcW w:w="1000" w:type="dxa"/>
          </w:tcPr>
          <w:p w14:paraId="1226FABA" w14:textId="77777777" w:rsidR="00C17F3F" w:rsidRPr="00E46074" w:rsidRDefault="00C17F3F" w:rsidP="00EF7F6D">
            <w:pPr>
              <w:pStyle w:val="Tabletext"/>
            </w:pPr>
            <w:r w:rsidRPr="00E46074">
              <w:t>CRC 100%</w:t>
            </w:r>
          </w:p>
        </w:tc>
        <w:tc>
          <w:tcPr>
            <w:tcW w:w="1132" w:type="dxa"/>
          </w:tcPr>
          <w:p w14:paraId="7C6D5B3A" w14:textId="77777777" w:rsidR="00C17F3F" w:rsidRPr="00E46074" w:rsidRDefault="00C17F3F" w:rsidP="00EF7F6D">
            <w:pPr>
              <w:pStyle w:val="Tabletext"/>
            </w:pPr>
            <w:r w:rsidRPr="00E46074">
              <w:t>70</w:t>
            </w:r>
          </w:p>
        </w:tc>
        <w:tc>
          <w:tcPr>
            <w:tcW w:w="1343" w:type="dxa"/>
          </w:tcPr>
          <w:p w14:paraId="0A51BFFA" w14:textId="4D39F09C" w:rsidR="00C17F3F" w:rsidRPr="00E46074" w:rsidRDefault="00C17F3F" w:rsidP="00EF7F6D">
            <w:pPr>
              <w:pStyle w:val="Tabletext"/>
            </w:pPr>
            <w:r w:rsidRPr="00E46074">
              <w:rPr>
                <w:spacing w:val="-2"/>
              </w:rPr>
              <w:t>Granulo-cyto</w:t>
            </w:r>
            <w:r w:rsidR="00B50F67" w:rsidRPr="00E46074">
              <w:rPr>
                <w:spacing w:val="-2"/>
              </w:rPr>
              <w:t>paenia</w:t>
            </w:r>
            <w:r w:rsidRPr="00E46074">
              <w:rPr>
                <w:spacing w:val="-2"/>
              </w:rPr>
              <w:t xml:space="preserve"> </w:t>
            </w:r>
            <w:r w:rsidRPr="00E46074">
              <w:t xml:space="preserve">and </w:t>
            </w:r>
            <w:r w:rsidRPr="00E46074">
              <w:rPr>
                <w:spacing w:val="-2"/>
              </w:rPr>
              <w:t xml:space="preserve">others </w:t>
            </w:r>
            <w:r w:rsidRPr="00E46074">
              <w:rPr>
                <w:spacing w:val="-2"/>
                <w:vertAlign w:val="superscript"/>
              </w:rPr>
              <w:t>c</w:t>
            </w:r>
            <w:r w:rsidRPr="00E46074">
              <w:rPr>
                <w:spacing w:val="-2"/>
              </w:rPr>
              <w:t xml:space="preserve"> </w:t>
            </w:r>
          </w:p>
        </w:tc>
      </w:tr>
    </w:tbl>
    <w:p w14:paraId="2B66FD56" w14:textId="7A2CCD87" w:rsidR="00C17F3F" w:rsidRPr="00E46074" w:rsidRDefault="00C17F3F" w:rsidP="00C17F3F">
      <w:pPr>
        <w:pStyle w:val="TableDescription"/>
        <w:rPr>
          <w:sz w:val="18"/>
          <w:szCs w:val="18"/>
        </w:rPr>
      </w:pPr>
      <w:r w:rsidRPr="00E46074">
        <w:rPr>
          <w:sz w:val="18"/>
          <w:szCs w:val="18"/>
        </w:rPr>
        <w:t>QD</w:t>
      </w:r>
      <w:r w:rsidR="006C300A" w:rsidRPr="00E46074">
        <w:rPr>
          <w:sz w:val="18"/>
          <w:szCs w:val="18"/>
        </w:rPr>
        <w:t xml:space="preserve"> </w:t>
      </w:r>
      <w:r w:rsidRPr="00E46074">
        <w:rPr>
          <w:sz w:val="18"/>
          <w:szCs w:val="18"/>
        </w:rPr>
        <w:t>=</w:t>
      </w:r>
      <w:r w:rsidR="006C300A" w:rsidRPr="00E46074">
        <w:rPr>
          <w:sz w:val="18"/>
          <w:szCs w:val="18"/>
        </w:rPr>
        <w:t xml:space="preserve"> </w:t>
      </w:r>
      <w:r w:rsidRPr="00E46074">
        <w:rPr>
          <w:sz w:val="18"/>
          <w:szCs w:val="18"/>
        </w:rPr>
        <w:t>Once daily; BD=twice daily; TDS</w:t>
      </w:r>
      <w:r w:rsidR="006C300A" w:rsidRPr="00E46074">
        <w:rPr>
          <w:sz w:val="18"/>
          <w:szCs w:val="18"/>
        </w:rPr>
        <w:t xml:space="preserve"> </w:t>
      </w:r>
      <w:r w:rsidRPr="00E46074">
        <w:rPr>
          <w:sz w:val="18"/>
          <w:szCs w:val="18"/>
        </w:rPr>
        <w:t>=</w:t>
      </w:r>
      <w:r w:rsidR="006C300A" w:rsidRPr="00E46074">
        <w:rPr>
          <w:sz w:val="18"/>
          <w:szCs w:val="18"/>
        </w:rPr>
        <w:t xml:space="preserve"> </w:t>
      </w:r>
      <w:r w:rsidRPr="00E46074">
        <w:rPr>
          <w:sz w:val="18"/>
          <w:szCs w:val="18"/>
        </w:rPr>
        <w:t>three times daily; CRC</w:t>
      </w:r>
      <w:r w:rsidR="006C300A" w:rsidRPr="00E46074">
        <w:rPr>
          <w:sz w:val="18"/>
          <w:szCs w:val="18"/>
        </w:rPr>
        <w:t xml:space="preserve"> </w:t>
      </w:r>
      <w:r w:rsidRPr="00E46074">
        <w:rPr>
          <w:sz w:val="18"/>
          <w:szCs w:val="18"/>
        </w:rPr>
        <w:t>=</w:t>
      </w:r>
      <w:r w:rsidR="006C300A" w:rsidRPr="00E46074">
        <w:rPr>
          <w:sz w:val="18"/>
          <w:szCs w:val="18"/>
        </w:rPr>
        <w:t xml:space="preserve"> </w:t>
      </w:r>
      <w:r w:rsidRPr="00E46074">
        <w:rPr>
          <w:sz w:val="18"/>
          <w:szCs w:val="18"/>
        </w:rPr>
        <w:t>Colorectal cancer; BC</w:t>
      </w:r>
      <w:r w:rsidR="006C300A" w:rsidRPr="00E46074">
        <w:rPr>
          <w:sz w:val="18"/>
          <w:szCs w:val="18"/>
        </w:rPr>
        <w:t xml:space="preserve"> </w:t>
      </w:r>
      <w:r w:rsidRPr="00E46074">
        <w:rPr>
          <w:sz w:val="18"/>
          <w:szCs w:val="18"/>
        </w:rPr>
        <w:t>=</w:t>
      </w:r>
      <w:r w:rsidR="006C300A" w:rsidRPr="00E46074">
        <w:rPr>
          <w:sz w:val="18"/>
          <w:szCs w:val="18"/>
        </w:rPr>
        <w:t xml:space="preserve"> </w:t>
      </w:r>
      <w:r w:rsidRPr="00E46074">
        <w:rPr>
          <w:sz w:val="18"/>
          <w:szCs w:val="18"/>
        </w:rPr>
        <w:t>Breast cancer; MTD</w:t>
      </w:r>
      <w:r w:rsidR="006C300A" w:rsidRPr="00E46074">
        <w:rPr>
          <w:sz w:val="18"/>
          <w:szCs w:val="18"/>
        </w:rPr>
        <w:t> </w:t>
      </w:r>
      <w:r w:rsidRPr="00E46074">
        <w:rPr>
          <w:sz w:val="18"/>
          <w:szCs w:val="18"/>
        </w:rPr>
        <w:t>=</w:t>
      </w:r>
      <w:r w:rsidR="006C300A" w:rsidRPr="00E46074">
        <w:rPr>
          <w:sz w:val="18"/>
          <w:szCs w:val="18"/>
        </w:rPr>
        <w:t> </w:t>
      </w:r>
      <w:r w:rsidRPr="00E46074">
        <w:rPr>
          <w:sz w:val="18"/>
          <w:szCs w:val="18"/>
        </w:rPr>
        <w:t>maximum tolerated dose; DLT=dose limiting toxicity</w:t>
      </w:r>
      <w:r w:rsidR="00B50F67" w:rsidRPr="00E46074">
        <w:rPr>
          <w:sz w:val="18"/>
          <w:szCs w:val="18"/>
        </w:rPr>
        <w:t xml:space="preserve">. </w:t>
      </w:r>
      <w:r w:rsidRPr="00E46074">
        <w:rPr>
          <w:sz w:val="18"/>
          <w:szCs w:val="18"/>
        </w:rPr>
        <w:t>a. Others: Grade 3 nausea, Grade 3 syncope, and Grade 3 dehydration</w:t>
      </w:r>
      <w:r w:rsidR="00B50F67" w:rsidRPr="00E46074">
        <w:rPr>
          <w:sz w:val="18"/>
          <w:szCs w:val="18"/>
        </w:rPr>
        <w:t xml:space="preserve">; </w:t>
      </w:r>
      <w:r w:rsidRPr="00E46074">
        <w:rPr>
          <w:sz w:val="18"/>
          <w:szCs w:val="18"/>
        </w:rPr>
        <w:t>b. Others: Grade 3 diarrhoea, Grade 3 fatigue (2 patients), Grade 3 constipation, Grade 4 thrombocyto</w:t>
      </w:r>
      <w:r w:rsidR="00B50F67" w:rsidRPr="00E46074">
        <w:rPr>
          <w:sz w:val="18"/>
          <w:szCs w:val="18"/>
        </w:rPr>
        <w:t xml:space="preserve">paenia; </w:t>
      </w:r>
      <w:r w:rsidRPr="00E46074">
        <w:rPr>
          <w:sz w:val="18"/>
          <w:szCs w:val="18"/>
        </w:rPr>
        <w:t>c.</w:t>
      </w:r>
      <w:r w:rsidR="00B50F67" w:rsidRPr="00E46074">
        <w:rPr>
          <w:sz w:val="18"/>
          <w:szCs w:val="18"/>
        </w:rPr>
        <w:t> </w:t>
      </w:r>
      <w:r w:rsidRPr="00E46074">
        <w:rPr>
          <w:sz w:val="18"/>
          <w:szCs w:val="18"/>
        </w:rPr>
        <w:t>Others: Grade 3 fatigue.</w:t>
      </w:r>
    </w:p>
    <w:p w14:paraId="291191C7" w14:textId="54240351" w:rsidR="00C17F3F" w:rsidRPr="00C94C33" w:rsidRDefault="00C17F3F" w:rsidP="00C17F3F">
      <w:r w:rsidRPr="00C94C33">
        <w:t>Subsequent to the 5 initial US dose-finding studies, a study in Japanese patients (</w:t>
      </w:r>
      <w:r w:rsidR="009C0389" w:rsidRPr="00C94C33">
        <w:t xml:space="preserve">n = </w:t>
      </w:r>
      <w:r w:rsidRPr="00C94C33">
        <w:t>21) with advanced solid tumours conducted in 2006 showed that TAS-102 was well tolerated in doses up to 70 mg/m</w:t>
      </w:r>
      <w:r w:rsidRPr="005C2FCA">
        <w:rPr>
          <w:vertAlign w:val="superscript"/>
        </w:rPr>
        <w:t>2</w:t>
      </w:r>
      <w:r w:rsidRPr="00C94C33">
        <w:t>/day (</w:t>
      </w:r>
      <w:r w:rsidR="00B2072D" w:rsidRPr="00C94C33">
        <w:t>that is,</w:t>
      </w:r>
      <w:r w:rsidRPr="00C94C33">
        <w:t xml:space="preserve"> 35 mg/m</w:t>
      </w:r>
      <w:r w:rsidRPr="005C2FCA">
        <w:rPr>
          <w:vertAlign w:val="superscript"/>
        </w:rPr>
        <w:t>2</w:t>
      </w:r>
      <w:r w:rsidRPr="00C94C33">
        <w:t xml:space="preserve"> BD) administered for 5 consecutive days rather than for 14</w:t>
      </w:r>
      <w:r w:rsidR="006C300A">
        <w:t> </w:t>
      </w:r>
      <w:r w:rsidRPr="00C94C33">
        <w:t xml:space="preserve">consecutive days, and the dose regimen of 5 days a week with 2 days rest for 2 weeks, repeated every 4 weeks </w:t>
      </w:r>
      <w:r w:rsidR="00A0007E" w:rsidRPr="00C94C33">
        <w:t>(</w:t>
      </w:r>
      <w:r w:rsidR="006C300A">
        <w:t xml:space="preserve">Study </w:t>
      </w:r>
      <w:r w:rsidRPr="00C94C33">
        <w:t>J001-10040010</w:t>
      </w:r>
      <w:r w:rsidR="00A0007E" w:rsidRPr="00C94C33">
        <w:t>)</w:t>
      </w:r>
      <w:r w:rsidRPr="00C94C33">
        <w:t>. In this study, significant correlations between FTD Cmax and the development of leuko</w:t>
      </w:r>
      <w:r w:rsidR="00B50F67">
        <w:t>paenia</w:t>
      </w:r>
      <w:r w:rsidRPr="00C94C33">
        <w:t xml:space="preserve"> and neutro</w:t>
      </w:r>
      <w:r w:rsidR="00B50F67">
        <w:t>paenia</w:t>
      </w:r>
      <w:r w:rsidRPr="00C94C33">
        <w:t xml:space="preserve"> were observed. Although the MTD was not established in </w:t>
      </w:r>
      <w:r w:rsidR="006C300A">
        <w:t>S</w:t>
      </w:r>
      <w:r w:rsidR="006C300A" w:rsidRPr="00C94C33">
        <w:t xml:space="preserve">tudy </w:t>
      </w:r>
      <w:r w:rsidRPr="00C94C33">
        <w:t xml:space="preserve">J001-1004010, the recommended </w:t>
      </w:r>
      <w:r w:rsidR="00842E8F" w:rsidRPr="00C94C33">
        <w:t>Phase II</w:t>
      </w:r>
      <w:r w:rsidRPr="00C94C33">
        <w:t xml:space="preserve"> dose was determined to be 35 mg/m2 BD for 5 days a week with 2 days rest for 2 weeks, followed by a 14</w:t>
      </w:r>
      <w:r w:rsidR="009C0389" w:rsidRPr="00C94C33">
        <w:t xml:space="preserve"> day</w:t>
      </w:r>
      <w:r w:rsidRPr="00C94C33">
        <w:t xml:space="preserve"> rest (1 treatment cycle) repeated every 4 weeks.</w:t>
      </w:r>
    </w:p>
    <w:p w14:paraId="2212485A" w14:textId="42B1AF35" w:rsidR="00C17F3F" w:rsidRPr="00C94C33" w:rsidRDefault="00C17F3F" w:rsidP="00C17F3F">
      <w:r w:rsidRPr="00C94C33">
        <w:t xml:space="preserve">Subsequently, the recommended dose regimen identified in Japanese patients in </w:t>
      </w:r>
      <w:r w:rsidR="006C300A">
        <w:t>S</w:t>
      </w:r>
      <w:r w:rsidRPr="00C94C33">
        <w:t>tudy</w:t>
      </w:r>
      <w:r w:rsidR="006C300A">
        <w:t> </w:t>
      </w:r>
      <w:r w:rsidRPr="00C94C33">
        <w:t>J100</w:t>
      </w:r>
      <w:r w:rsidR="006C300A">
        <w:noBreakHyphen/>
      </w:r>
      <w:r w:rsidRPr="00C94C33">
        <w:t xml:space="preserve">10040010 was confirmed to be tolerable in a study in a western (US) population </w:t>
      </w:r>
      <w:r w:rsidR="00A0007E" w:rsidRPr="00C94C33">
        <w:t>(</w:t>
      </w:r>
      <w:r w:rsidR="006C300A">
        <w:t>Study </w:t>
      </w:r>
      <w:r w:rsidRPr="00C94C33">
        <w:t>TPU</w:t>
      </w:r>
      <w:r w:rsidR="006C300A">
        <w:noBreakHyphen/>
      </w:r>
      <w:r w:rsidRPr="00C94C33">
        <w:t>TAS-102-101</w:t>
      </w:r>
      <w:r w:rsidR="00A0007E" w:rsidRPr="00C94C33">
        <w:t>)</w:t>
      </w:r>
      <w:r w:rsidRPr="00C94C33">
        <w:t xml:space="preserve">. In this US </w:t>
      </w:r>
      <w:r w:rsidR="00842E8F" w:rsidRPr="00C94C33">
        <w:t>Phase I</w:t>
      </w:r>
      <w:r w:rsidRPr="00C94C33">
        <w:t>, open</w:t>
      </w:r>
      <w:r w:rsidR="006C300A">
        <w:t xml:space="preserve"> </w:t>
      </w:r>
      <w:r w:rsidRPr="00C94C33">
        <w:t>label, non-randomised, dose</w:t>
      </w:r>
      <w:r w:rsidR="006C300A">
        <w:t xml:space="preserve"> </w:t>
      </w:r>
      <w:r w:rsidRPr="00C94C33">
        <w:t>finding tolerability study, patients (</w:t>
      </w:r>
      <w:r w:rsidR="009C0389" w:rsidRPr="00C94C33">
        <w:t xml:space="preserve">n = </w:t>
      </w:r>
      <w:r w:rsidRPr="00C94C33">
        <w:t>27) with refractory mCRC who had received at least 2 prior lines of conventional chemotherapy for mCRC, (including a fluoropyrimidine, oxaliplatin, and irinotecan) no DLTs were observed in the 30 mg/m2 BD cohort (</w:t>
      </w:r>
      <w:r w:rsidR="009C0389" w:rsidRPr="00C94C33">
        <w:t xml:space="preserve">n = </w:t>
      </w:r>
      <w:r w:rsidRPr="00C94C33">
        <w:t>3). Therefore, a total of 9 patients were enrolled in the higher dose 35 mg/m2 BD cohort, and 1 DLT was observed in this cohort (Grade 3 febrile neutro</w:t>
      </w:r>
      <w:r w:rsidR="00B50F67">
        <w:t>paenia</w:t>
      </w:r>
      <w:r w:rsidRPr="00C94C33">
        <w:t>). The DLT of febrile neutro</w:t>
      </w:r>
      <w:r w:rsidR="00B50F67">
        <w:t>paenia</w:t>
      </w:r>
      <w:r w:rsidRPr="00C94C33">
        <w:t xml:space="preserve"> was considered to be related to the study drug. As only 1 of 9 patients in the 35 mg/m2 BD dose cohort experienced a DLT, this dose regimen was deemed to be tolerable and the MTD was established at 35 mg/m2 BD. Additional patients were enrolled in an expansion cohort at 35 mg/m2 BD. There were no complete or partial responses observed in the US study </w:t>
      </w:r>
      <w:r w:rsidR="00A0007E" w:rsidRPr="00C94C33">
        <w:t>(</w:t>
      </w:r>
      <w:r w:rsidR="006C300A">
        <w:t xml:space="preserve">Study </w:t>
      </w:r>
      <w:r w:rsidRPr="00C94C33">
        <w:t>TPU-TAS-102-101</w:t>
      </w:r>
      <w:r w:rsidR="00A0007E" w:rsidRPr="00C94C33">
        <w:t>)</w:t>
      </w:r>
      <w:r w:rsidRPr="00C94C33">
        <w:t>. However, in those patients who received the 35 mg/m2 BD dose, approximately 70% had a best overall response of stable disease.</w:t>
      </w:r>
    </w:p>
    <w:p w14:paraId="326E5BFE" w14:textId="78B9FFDE" w:rsidR="00C17F3F" w:rsidRPr="00C94C33" w:rsidRDefault="00C17F3F" w:rsidP="00C17F3F">
      <w:r w:rsidRPr="00C94C33">
        <w:t xml:space="preserve">The safety profile observed with TAS-102 in the Western (US) study </w:t>
      </w:r>
      <w:r w:rsidR="00A0007E" w:rsidRPr="00C94C33">
        <w:t>(</w:t>
      </w:r>
      <w:r w:rsidR="006C300A">
        <w:t xml:space="preserve">Study </w:t>
      </w:r>
      <w:r w:rsidRPr="00C94C33">
        <w:t>TPU-TAS-102-102</w:t>
      </w:r>
      <w:r w:rsidR="00A0007E" w:rsidRPr="00C94C33">
        <w:t>)</w:t>
      </w:r>
      <w:r w:rsidRPr="00C94C33">
        <w:t xml:space="preserve"> was consistent with that observed using the same TAS-102 dose regimen (35 mg/m2 BD) in a </w:t>
      </w:r>
      <w:r w:rsidR="00842E8F" w:rsidRPr="00C94C33">
        <w:t>Phase II</w:t>
      </w:r>
      <w:r w:rsidRPr="00C94C33">
        <w:t xml:space="preserve"> study in Japanese patients (</w:t>
      </w:r>
      <w:r w:rsidR="009C0389" w:rsidRPr="00C94C33">
        <w:t xml:space="preserve">n = </w:t>
      </w:r>
      <w:r w:rsidRPr="00C94C33">
        <w:t xml:space="preserve">172) with mCRC </w:t>
      </w:r>
      <w:r w:rsidR="00A0007E" w:rsidRPr="00C94C33">
        <w:t>(</w:t>
      </w:r>
      <w:r w:rsidR="006C300A">
        <w:t xml:space="preserve">Study </w:t>
      </w:r>
      <w:r w:rsidRPr="00C94C33">
        <w:t>J003-10040030</w:t>
      </w:r>
      <w:r w:rsidR="00A0007E" w:rsidRPr="00C94C33">
        <w:t>)</w:t>
      </w:r>
      <w:r w:rsidRPr="00C94C33">
        <w:t xml:space="preserve">. In the FAS population in the Japanese </w:t>
      </w:r>
      <w:r w:rsidR="00842E8F" w:rsidRPr="00C94C33">
        <w:t>Phase II</w:t>
      </w:r>
      <w:r w:rsidRPr="00C94C33">
        <w:t xml:space="preserve"> study, median overall survival (OS) was 9.0 months in the TAS-102 group and 6.6 months in the placebo group (hazard ratio </w:t>
      </w:r>
      <w:r w:rsidR="00A0007E" w:rsidRPr="00C94C33">
        <w:t>(</w:t>
      </w:r>
      <w:r w:rsidRPr="00C94C33">
        <w:t>HR</w:t>
      </w:r>
      <w:r w:rsidR="00A0007E" w:rsidRPr="00C94C33">
        <w:t>)</w:t>
      </w:r>
      <w:r w:rsidRPr="00C94C33">
        <w:t xml:space="preserve">=0.56 </w:t>
      </w:r>
      <w:r w:rsidR="00A0007E" w:rsidRPr="00C94C33">
        <w:t>(</w:t>
      </w:r>
      <w:r w:rsidRPr="00C94C33">
        <w:t>95% CI: 0.39, 0.81</w:t>
      </w:r>
      <w:r w:rsidR="00A0007E" w:rsidRPr="00C94C33">
        <w:t>)</w:t>
      </w:r>
      <w:r w:rsidRPr="00C94C33">
        <w:t>, p</w:t>
      </w:r>
      <w:r w:rsidR="006C300A">
        <w:t> </w:t>
      </w:r>
      <w:r w:rsidRPr="00C94C33">
        <w:t>=</w:t>
      </w:r>
      <w:r w:rsidR="006C300A">
        <w:t> </w:t>
      </w:r>
      <w:r w:rsidRPr="00C94C33">
        <w:t xml:space="preserve">0.0011). Progression free survival (PFS) based on Independent Reader assessments was 2.0 months in the TAS-102 group and 1.0 month in the placebo group (HR=0.41 </w:t>
      </w:r>
      <w:r w:rsidR="00A0007E" w:rsidRPr="00C94C33">
        <w:t>(</w:t>
      </w:r>
      <w:r w:rsidRPr="00C94C33">
        <w:t>95% CI: 0.28, 0.59</w:t>
      </w:r>
      <w:r w:rsidR="00A0007E" w:rsidRPr="00C94C33">
        <w:t>)</w:t>
      </w:r>
      <w:r w:rsidRPr="00C94C33">
        <w:t>, p</w:t>
      </w:r>
      <w:r w:rsidR="006C300A">
        <w:t> </w:t>
      </w:r>
      <w:r w:rsidRPr="00C94C33">
        <w:t>&lt;</w:t>
      </w:r>
      <w:r w:rsidR="006C300A">
        <w:t> </w:t>
      </w:r>
      <w:r w:rsidRPr="00C94C33">
        <w:t xml:space="preserve">0.0001). The disease control rate (DCR; partial response </w:t>
      </w:r>
      <w:r w:rsidR="00A0007E" w:rsidRPr="00C94C33">
        <w:t>(</w:t>
      </w:r>
      <w:r w:rsidRPr="00C94C33">
        <w:t>PR</w:t>
      </w:r>
      <w:r w:rsidR="00A0007E" w:rsidRPr="00C94C33">
        <w:t>)</w:t>
      </w:r>
      <w:r w:rsidRPr="00C94C33">
        <w:t xml:space="preserve"> + stable disease </w:t>
      </w:r>
      <w:r w:rsidR="00A0007E" w:rsidRPr="00C94C33">
        <w:t>(</w:t>
      </w:r>
      <w:r w:rsidRPr="00C94C33">
        <w:t>SD</w:t>
      </w:r>
      <w:r w:rsidR="00A0007E" w:rsidRPr="00C94C33">
        <w:t>)</w:t>
      </w:r>
      <w:r w:rsidRPr="00C94C33">
        <w:t>) in the TAS-102 group was 43.8% compared to 10.5% in the placebo group (p</w:t>
      </w:r>
      <w:r w:rsidR="006C300A">
        <w:t> </w:t>
      </w:r>
      <w:r w:rsidRPr="00C94C33">
        <w:t>&lt;</w:t>
      </w:r>
      <w:r w:rsidR="006C300A">
        <w:t> </w:t>
      </w:r>
      <w:r w:rsidRPr="00C94C33">
        <w:t xml:space="preserve">0.0001). The most commonly reported side-effects in the Japanese </w:t>
      </w:r>
      <w:r w:rsidR="00842E8F" w:rsidRPr="00C94C33">
        <w:t>Phase II</w:t>
      </w:r>
      <w:r w:rsidRPr="00C94C33">
        <w:t xml:space="preserve"> study were bone marrow suppression and gastrointestinal-related </w:t>
      </w:r>
      <w:r w:rsidRPr="00C94C33">
        <w:lastRenderedPageBreak/>
        <w:t xml:space="preserve">events. The toxicity profile seen in Japanese patients was qualitatively similar to that observed in the US </w:t>
      </w:r>
      <w:r w:rsidR="00842E8F" w:rsidRPr="00C94C33">
        <w:t>Phase I</w:t>
      </w:r>
      <w:r w:rsidRPr="00C94C33">
        <w:t xml:space="preserve"> study </w:t>
      </w:r>
      <w:r w:rsidR="00A0007E" w:rsidRPr="00C94C33">
        <w:t>(</w:t>
      </w:r>
      <w:r w:rsidR="006C300A">
        <w:t xml:space="preserve">Study </w:t>
      </w:r>
      <w:r w:rsidR="00A167ED">
        <w:t>TAS-102</w:t>
      </w:r>
      <w:r w:rsidRPr="00C94C33">
        <w:t>-101</w:t>
      </w:r>
      <w:r w:rsidR="00A0007E" w:rsidRPr="00C94C33">
        <w:t>)</w:t>
      </w:r>
      <w:r w:rsidRPr="00C94C33">
        <w:t>. The most frequent Grade 3 or 4 AE in both studies was neutro</w:t>
      </w:r>
      <w:r w:rsidR="00B50F67">
        <w:t>paenia</w:t>
      </w:r>
      <w:r w:rsidRPr="00C94C33">
        <w:t>. In the Japanese study, Grade 3 and 4 neutro</w:t>
      </w:r>
      <w:r w:rsidR="00B50F67">
        <w:t>paenia</w:t>
      </w:r>
      <w:r w:rsidRPr="00C94C33">
        <w:t xml:space="preserve"> occurred in 31.9% and 18.6% of patients, respectively, and in the Western (US) study Grade 3 and 4 neutro</w:t>
      </w:r>
      <w:r w:rsidR="00B50F67">
        <w:t>paenia</w:t>
      </w:r>
      <w:r w:rsidRPr="00C94C33">
        <w:t xml:space="preserve"> occurred in 40.9% and 13.6% of patients, respectively.</w:t>
      </w:r>
    </w:p>
    <w:p w14:paraId="4ECBFB0F" w14:textId="4D5B41B9" w:rsidR="00C17F3F" w:rsidRPr="00C94C33" w:rsidRDefault="00C17F3F" w:rsidP="00C17F3F">
      <w:r w:rsidRPr="00C94C33">
        <w:t xml:space="preserve">Based on the results obtained in the Japanese </w:t>
      </w:r>
      <w:r w:rsidR="00842E8F" w:rsidRPr="00C94C33">
        <w:t>Phase II</w:t>
      </w:r>
      <w:r w:rsidRPr="00C94C33">
        <w:t xml:space="preserve"> study in mCRC </w:t>
      </w:r>
      <w:r w:rsidR="00A0007E" w:rsidRPr="00C94C33">
        <w:t>(</w:t>
      </w:r>
      <w:r w:rsidR="006C300A">
        <w:t xml:space="preserve">Study </w:t>
      </w:r>
      <w:r w:rsidRPr="00C94C33">
        <w:t>J003-10040030</w:t>
      </w:r>
      <w:r w:rsidR="00A0007E" w:rsidRPr="00C94C33">
        <w:t>)</w:t>
      </w:r>
      <w:r w:rsidRPr="00C94C33">
        <w:t xml:space="preserve">, and the tolerability of the 35 mg/m2 BD regimen demonstrated in the US </w:t>
      </w:r>
      <w:r w:rsidR="00842E8F" w:rsidRPr="00C94C33">
        <w:t>Phase I</w:t>
      </w:r>
      <w:r w:rsidRPr="00C94C33">
        <w:t xml:space="preserve"> study in patients with CRC </w:t>
      </w:r>
      <w:r w:rsidR="00A0007E" w:rsidRPr="00C94C33">
        <w:t>(</w:t>
      </w:r>
      <w:r w:rsidR="006C300A">
        <w:t xml:space="preserve">Study </w:t>
      </w:r>
      <w:r w:rsidRPr="00C94C33">
        <w:t>TPU-TAS-102-101</w:t>
      </w:r>
      <w:r w:rsidR="00A0007E" w:rsidRPr="00C94C33">
        <w:t>)</w:t>
      </w:r>
      <w:r w:rsidRPr="00C94C33">
        <w:t xml:space="preserve">, a </w:t>
      </w:r>
      <w:r w:rsidR="00842E8F" w:rsidRPr="00C94C33">
        <w:t>Phase III</w:t>
      </w:r>
      <w:r w:rsidRPr="00C94C33">
        <w:t xml:space="preserve"> global study of TAS-102 (35 mg/m2 BD) in refractory mCRC colorectal cancer  was initiated </w:t>
      </w:r>
      <w:r w:rsidR="00A0007E" w:rsidRPr="00C94C33">
        <w:t>(</w:t>
      </w:r>
      <w:r w:rsidRPr="00C94C33">
        <w:t>TPU-TAS-102-103 = RECOURSE</w:t>
      </w:r>
      <w:r w:rsidR="00A0007E" w:rsidRPr="00C94C33">
        <w:t>)</w:t>
      </w:r>
    </w:p>
    <w:p w14:paraId="026B5BD9" w14:textId="5EC50085" w:rsidR="00C17F3F" w:rsidRPr="00C94C33" w:rsidRDefault="00C17F3F" w:rsidP="005C2FCA">
      <w:pPr>
        <w:pStyle w:val="Comment"/>
      </w:pPr>
      <w:r w:rsidRPr="005C2FCA">
        <w:rPr>
          <w:b/>
        </w:rPr>
        <w:t>Comment:</w:t>
      </w:r>
      <w:r w:rsidRPr="00C94C33">
        <w:t xml:space="preserve"> </w:t>
      </w:r>
      <w:r w:rsidR="006C300A">
        <w:t xml:space="preserve"> </w:t>
      </w:r>
      <w:r w:rsidRPr="00C94C33">
        <w:t xml:space="preserve">The dose regimen selected for the pivotal </w:t>
      </w:r>
      <w:r w:rsidR="00842E8F" w:rsidRPr="00C94C33">
        <w:t>Phase III</w:t>
      </w:r>
      <w:r w:rsidRPr="00C94C33">
        <w:t xml:space="preserve"> study </w:t>
      </w:r>
      <w:r w:rsidR="00A0007E" w:rsidRPr="00C94C33">
        <w:t>(</w:t>
      </w:r>
      <w:r w:rsidRPr="00C94C33">
        <w:t>RECOURSE</w:t>
      </w:r>
      <w:r w:rsidR="00A0007E" w:rsidRPr="00C94C33">
        <w:t>)</w:t>
      </w:r>
      <w:r w:rsidRPr="00C94C33">
        <w:t xml:space="preserve"> was 35 mg/m</w:t>
      </w:r>
      <w:r w:rsidRPr="005C2FCA">
        <w:rPr>
          <w:vertAlign w:val="superscript"/>
        </w:rPr>
        <w:t>2</w:t>
      </w:r>
      <w:r w:rsidRPr="00C94C33">
        <w:t xml:space="preserve"> BD for 5 days a week with 2 days rest for 2 weeks, followed by a 14</w:t>
      </w:r>
      <w:r w:rsidR="009C0389" w:rsidRPr="00C94C33">
        <w:t xml:space="preserve"> day</w:t>
      </w:r>
      <w:r w:rsidRPr="00C94C33">
        <w:t xml:space="preserve"> rest period (</w:t>
      </w:r>
      <w:r w:rsidR="00B2072D" w:rsidRPr="00C94C33">
        <w:t>that is,</w:t>
      </w:r>
      <w:r w:rsidRPr="00C94C33">
        <w:t xml:space="preserve"> 28</w:t>
      </w:r>
      <w:r w:rsidR="009C0389" w:rsidRPr="00C94C33">
        <w:t xml:space="preserve"> day</w:t>
      </w:r>
      <w:r w:rsidRPr="00C94C33">
        <w:t xml:space="preserve"> cycle). The dose regimen is considered to be acceptable, based on the dose selection studies.</w:t>
      </w:r>
    </w:p>
    <w:p w14:paraId="6BAF4ECC" w14:textId="77777777" w:rsidR="00C22678" w:rsidRPr="00C94C33" w:rsidRDefault="00C22678" w:rsidP="00955252">
      <w:pPr>
        <w:pStyle w:val="Heading2"/>
      </w:pPr>
      <w:bookmarkStart w:id="197" w:name="_Toc510016887"/>
      <w:r w:rsidRPr="00C94C33">
        <w:t>Clinical efficacy</w:t>
      </w:r>
      <w:bookmarkEnd w:id="197"/>
    </w:p>
    <w:p w14:paraId="3F6EE671" w14:textId="31A566AC" w:rsidR="00DF61BC" w:rsidRPr="00C94C33" w:rsidRDefault="00DF61BC" w:rsidP="00955252">
      <w:pPr>
        <w:pStyle w:val="Heading3"/>
      </w:pPr>
      <w:bookmarkStart w:id="198" w:name="_Toc470948501"/>
      <w:bookmarkStart w:id="199" w:name="_Toc510016888"/>
      <w:r w:rsidRPr="00C94C33">
        <w:t xml:space="preserve">Pivotal efficacy </w:t>
      </w:r>
      <w:r w:rsidR="006C300A">
        <w:t>S</w:t>
      </w:r>
      <w:r w:rsidR="006C300A" w:rsidRPr="00C94C33">
        <w:t xml:space="preserve">tudy </w:t>
      </w:r>
      <w:r w:rsidRPr="00C94C33">
        <w:t>TPU-TAS-102-301 (RECOURSE)</w:t>
      </w:r>
      <w:bookmarkEnd w:id="198"/>
      <w:bookmarkEnd w:id="199"/>
    </w:p>
    <w:p w14:paraId="1C8B510C" w14:textId="77777777" w:rsidR="00DF61BC" w:rsidRPr="00C94C33" w:rsidRDefault="00DF61BC" w:rsidP="00955252">
      <w:pPr>
        <w:pStyle w:val="Heading4"/>
      </w:pPr>
      <w:bookmarkStart w:id="200" w:name="_Toc470948502"/>
      <w:r w:rsidRPr="00C94C33">
        <w:t>Study design, objectives, locations and dates</w:t>
      </w:r>
      <w:bookmarkEnd w:id="200"/>
    </w:p>
    <w:p w14:paraId="27B10497" w14:textId="77777777" w:rsidR="00DF61BC" w:rsidRPr="00C94C33" w:rsidRDefault="00DF61BC" w:rsidP="00B5151B">
      <w:pPr>
        <w:pStyle w:val="Heading5"/>
      </w:pPr>
      <w:bookmarkStart w:id="201" w:name="_Toc470948503"/>
      <w:r w:rsidRPr="00C94C33">
        <w:t>Title</w:t>
      </w:r>
      <w:bookmarkEnd w:id="201"/>
    </w:p>
    <w:p w14:paraId="4D09D66B" w14:textId="459F3226" w:rsidR="00DF61BC" w:rsidRPr="00C94C33" w:rsidRDefault="006C300A" w:rsidP="00DF61BC">
      <w:pPr>
        <w:autoSpaceDE w:val="0"/>
        <w:autoSpaceDN w:val="0"/>
        <w:adjustRightInd w:val="0"/>
      </w:pPr>
      <w:r>
        <w:t xml:space="preserve">A </w:t>
      </w:r>
      <w:r w:rsidRPr="00C94C33">
        <w:t>randomi</w:t>
      </w:r>
      <w:r>
        <w:t>s</w:t>
      </w:r>
      <w:r w:rsidRPr="00C94C33">
        <w:t>ed, double</w:t>
      </w:r>
      <w:r>
        <w:t xml:space="preserve"> </w:t>
      </w:r>
      <w:r w:rsidRPr="00C94C33">
        <w:t xml:space="preserve">blind, </w:t>
      </w:r>
      <w:r w:rsidR="00842E8F" w:rsidRPr="00C94C33">
        <w:t>Phase III</w:t>
      </w:r>
      <w:r w:rsidR="00DF61BC" w:rsidRPr="00C94C33">
        <w:t xml:space="preserve"> </w:t>
      </w:r>
      <w:r>
        <w:t>s</w:t>
      </w:r>
      <w:r w:rsidR="00DF61BC" w:rsidRPr="00C94C33">
        <w:t xml:space="preserve">tudy of TAS-102 </w:t>
      </w:r>
      <w:r w:rsidRPr="00C94C33">
        <w:t xml:space="preserve">plus best supportive care </w:t>
      </w:r>
      <w:r w:rsidR="00DF61BC" w:rsidRPr="00C94C33">
        <w:t xml:space="preserve">(BSC) </w:t>
      </w:r>
      <w:r>
        <w:t>v</w:t>
      </w:r>
      <w:r w:rsidRPr="00C94C33">
        <w:t xml:space="preserve">ersus </w:t>
      </w:r>
      <w:r w:rsidR="00DF61BC" w:rsidRPr="00C94C33">
        <w:t xml:space="preserve">Placebo </w:t>
      </w:r>
      <w:r>
        <w:t>p</w:t>
      </w:r>
      <w:r w:rsidRPr="00C94C33">
        <w:t xml:space="preserve">lus </w:t>
      </w:r>
      <w:r w:rsidR="00DF61BC" w:rsidRPr="00C94C33">
        <w:t xml:space="preserve">BSC in </w:t>
      </w:r>
      <w:r w:rsidRPr="00C94C33">
        <w:t>patients with metastatic colorectal cancer refractory to standard chemotherapies</w:t>
      </w:r>
      <w:r w:rsidR="00DF61BC" w:rsidRPr="00C94C33">
        <w:t>. The study is also referred to as RECOURSE.</w:t>
      </w:r>
    </w:p>
    <w:p w14:paraId="0C26D329" w14:textId="77777777" w:rsidR="00AA7141" w:rsidRDefault="00DF61BC" w:rsidP="00B5151B">
      <w:pPr>
        <w:pStyle w:val="Heading5"/>
      </w:pPr>
      <w:bookmarkStart w:id="202" w:name="_Toc470948504"/>
      <w:r w:rsidRPr="00C94C33">
        <w:t>Locations and Dates</w:t>
      </w:r>
      <w:bookmarkEnd w:id="202"/>
    </w:p>
    <w:p w14:paraId="278A5C0F" w14:textId="05DD0C20" w:rsidR="00DF61BC" w:rsidRPr="00C94C33" w:rsidRDefault="00DF61BC" w:rsidP="00DF61BC">
      <w:r w:rsidRPr="00C94C33">
        <w:t xml:space="preserve">The patients in this study were randomised at a total of 101 study centres in 13 countries: United States (21), Japan (20), Spain (11), Italy (9), Germany (8), Belgium (6), France (6), Australia (5), United Kingdom (5), Austria (4), Ireland (3), Sweden (2), and Czech Republic (1). The first patient was randomised on 17 June 2012 and the last patient was randomised on 8 October 2013. The data cut-off dates were 24 January 2014 (overall survival data, observation of 571st death in the study) and 31 January 2014 (all clinical data except overall survival). The final report was dated 26 August 2014 and the revised report was dated 20 November 2014. The study was sponsored by Taiho Pharmaceutical Co., Ltd. (TPC) for sites in Region 1 (Asia </w:t>
      </w:r>
      <w:r w:rsidR="00A0007E" w:rsidRPr="00C94C33">
        <w:t>(</w:t>
      </w:r>
      <w:r w:rsidRPr="00C94C33">
        <w:t>Japan</w:t>
      </w:r>
      <w:r w:rsidR="00A0007E" w:rsidRPr="00C94C33">
        <w:t>)</w:t>
      </w:r>
      <w:r w:rsidRPr="00C94C33">
        <w:t xml:space="preserve">) and Taiho Oncology, Inc. (TOI) for sites in Region 2 (Western </w:t>
      </w:r>
      <w:r w:rsidR="00A0007E" w:rsidRPr="00C94C33">
        <w:t>(</w:t>
      </w:r>
      <w:r w:rsidRPr="00C94C33">
        <w:t>Australia, Europe, US</w:t>
      </w:r>
      <w:r w:rsidR="00A0007E" w:rsidRPr="00C94C33">
        <w:t>)</w:t>
      </w:r>
      <w:r w:rsidRPr="00C94C33">
        <w:t>). The clinical study was conducted in accordance with International Conference on Harmonisation (ICH) Good Clinical Practice (GCP) Guidelines. The study was published in the New England Journal of Medicine, 14 May 2014.</w:t>
      </w:r>
    </w:p>
    <w:p w14:paraId="01FA7362" w14:textId="77777777" w:rsidR="00DF61BC" w:rsidRPr="00C94C33" w:rsidRDefault="00DF61BC" w:rsidP="00B5151B">
      <w:pPr>
        <w:pStyle w:val="Heading5"/>
      </w:pPr>
      <w:bookmarkStart w:id="203" w:name="_Toc470948505"/>
      <w:r w:rsidRPr="00C94C33">
        <w:t>Objectives</w:t>
      </w:r>
      <w:bookmarkEnd w:id="203"/>
    </w:p>
    <w:p w14:paraId="0C5EC2A8" w14:textId="77777777" w:rsidR="00AA7141" w:rsidRDefault="00DF61BC" w:rsidP="00B5151B">
      <w:pPr>
        <w:pStyle w:val="Style1"/>
      </w:pPr>
      <w:r w:rsidRPr="00C94C33">
        <w:t>The primary objective was to compare overall survival (OS) in the TAS-102 + best supportive care (BSC) arm (experimental arm) with the placebo + BSC arm (control arm).</w:t>
      </w:r>
    </w:p>
    <w:p w14:paraId="4FDB77CF" w14:textId="54062FA5" w:rsidR="00AA7141" w:rsidRDefault="00DF61BC" w:rsidP="00B5151B">
      <w:pPr>
        <w:pStyle w:val="Style1"/>
      </w:pPr>
      <w:r w:rsidRPr="00C94C33">
        <w:t>The key secondary objectives were comparison of progression free survival (PFS), and safety and tolerability in the two treatment arms.</w:t>
      </w:r>
    </w:p>
    <w:p w14:paraId="57F2DC95" w14:textId="5EF09D9D" w:rsidR="00DF61BC" w:rsidRPr="00C94C33" w:rsidRDefault="00DF61BC" w:rsidP="00B5151B">
      <w:pPr>
        <w:pStyle w:val="Style1"/>
      </w:pPr>
      <w:r w:rsidRPr="00C94C33">
        <w:t>The</w:t>
      </w:r>
      <w:r w:rsidRPr="00C94C33">
        <w:rPr>
          <w:b/>
        </w:rPr>
        <w:t xml:space="preserve"> </w:t>
      </w:r>
      <w:r w:rsidRPr="00C94C33">
        <w:t>other secondary objectives were time to treatment failure (TTF), overall response rate (ORR), disease control rate (DCR), duration of response (DR), and subgroup analysis by KRAS status on OS and PFS.</w:t>
      </w:r>
    </w:p>
    <w:p w14:paraId="1B051699" w14:textId="63D52648" w:rsidR="00DF61BC" w:rsidRPr="00C94C33" w:rsidRDefault="00DF61BC" w:rsidP="00B5151B">
      <w:pPr>
        <w:pStyle w:val="Style1"/>
      </w:pPr>
      <w:r w:rsidRPr="00C94C33">
        <w:t>The exploratory objectives included the effects of intrinsic and extrinsic factors on the PK of TAS-102, and the relationship between plasma concentrations of TAS-103 and safety and efficacy parameters.</w:t>
      </w:r>
    </w:p>
    <w:p w14:paraId="038DFD6B" w14:textId="77777777" w:rsidR="00AA7141" w:rsidRDefault="00DF61BC" w:rsidP="00B5151B">
      <w:pPr>
        <w:pStyle w:val="Heading5"/>
      </w:pPr>
      <w:bookmarkStart w:id="204" w:name="_Toc470948506"/>
      <w:r w:rsidRPr="00C94C33">
        <w:lastRenderedPageBreak/>
        <w:t>Design</w:t>
      </w:r>
      <w:bookmarkEnd w:id="204"/>
    </w:p>
    <w:p w14:paraId="26A96B84" w14:textId="31902FFE"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 xml:space="preserve">RECOURSE was a </w:t>
      </w:r>
      <w:r w:rsidR="00842E8F" w:rsidRPr="00C94C33">
        <w:rPr>
          <w:rFonts w:asciiTheme="minorHAnsi" w:hAnsiTheme="minorHAnsi"/>
        </w:rPr>
        <w:t>Phase III</w:t>
      </w:r>
      <w:r w:rsidRPr="00C94C33">
        <w:rPr>
          <w:rFonts w:asciiTheme="minorHAnsi" w:hAnsiTheme="minorHAnsi"/>
        </w:rPr>
        <w:t>, multinational, multicentre, randomised, double-blind, two-arm, parallel-group study designed to compare the efficacy and safety of TAS-102 plus BSC to placebo plus BSC in patients with chemotherapy-refractory metastatic colorectal cancer (mCRC). Patients (</w:t>
      </w:r>
      <w:r w:rsidR="009C0389" w:rsidRPr="00C94C33">
        <w:rPr>
          <w:rFonts w:asciiTheme="minorHAnsi" w:hAnsiTheme="minorHAnsi"/>
        </w:rPr>
        <w:t xml:space="preserve">n = </w:t>
      </w:r>
      <w:r w:rsidRPr="00C94C33">
        <w:rPr>
          <w:rFonts w:asciiTheme="minorHAnsi" w:hAnsiTheme="minorHAnsi"/>
        </w:rPr>
        <w:t>800) were randomly assigned (2:1) to TAS-102 (experimental arm) or placebo (control arm).</w:t>
      </w:r>
    </w:p>
    <w:p w14:paraId="4C8E6452" w14:textId="6F5CFC03"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Patients were to start study medication within 3 days after the date of randomisation and to continue treatment until a study treatment discontinuation criterion was met. The study medications were administered in 28</w:t>
      </w:r>
      <w:r w:rsidR="009C0389" w:rsidRPr="00C94C33">
        <w:rPr>
          <w:rFonts w:asciiTheme="minorHAnsi" w:hAnsiTheme="minorHAnsi"/>
        </w:rPr>
        <w:t xml:space="preserve"> day</w:t>
      </w:r>
      <w:r w:rsidRPr="00C94C33">
        <w:rPr>
          <w:rFonts w:asciiTheme="minorHAnsi" w:hAnsiTheme="minorHAnsi"/>
        </w:rPr>
        <w:t xml:space="preserve"> cycles. Patients were evaluated for efficacy, including OS, PFS, TTF, ORR, DCR, and DR. Tumour assessments were performed throughout the study using contrast enhanced computed tomography (CT) scans based on Response Evaluation Criteria in Solid Tumours (RECIST, version 1.1, 2009</w:t>
      </w:r>
      <w:r w:rsidR="00631B12" w:rsidRPr="00C94C33">
        <w:rPr>
          <w:rFonts w:asciiTheme="minorHAnsi" w:hAnsiTheme="minorHAnsi"/>
        </w:rPr>
        <w:t>)</w:t>
      </w:r>
      <w:r w:rsidRPr="00C94C33">
        <w:rPr>
          <w:rFonts w:asciiTheme="minorHAnsi" w:hAnsiTheme="minorHAnsi"/>
        </w:rPr>
        <w:t>, with the best overall response as per the criteria being the best response from the start of study treatment until the end of treatment.</w:t>
      </w:r>
    </w:p>
    <w:p w14:paraId="0DAB6E91" w14:textId="5D3CF553" w:rsidR="00DF61BC" w:rsidRPr="00C94C33" w:rsidRDefault="00DF61BC" w:rsidP="00DF61BC">
      <w:pPr>
        <w:autoSpaceDE w:val="0"/>
        <w:autoSpaceDN w:val="0"/>
        <w:adjustRightInd w:val="0"/>
        <w:rPr>
          <w:rFonts w:asciiTheme="minorHAnsi" w:hAnsiTheme="minorHAnsi"/>
          <w:color w:val="000000"/>
        </w:rPr>
      </w:pPr>
      <w:r w:rsidRPr="00C94C33">
        <w:rPr>
          <w:rFonts w:asciiTheme="minorHAnsi" w:hAnsiTheme="minorHAnsi"/>
        </w:rPr>
        <w:t>Safety monitoring began at the time the informed consent form (ICF) was signed and continued for 30 days after the last dose of study medication or until the initiation of another cancer therapy, whichever came first. Safety was assessed by AEs and laboratory evaluations. At selected sites, blood samples for PK analysis were collected from approximately 170 patients on Day 12 of Cycle 1 for exploratory analyses of population PK and exposure-response relationships. After the end of treatment, all patients were followed for survival at scheduled 8-week time intervals until death. Patients were to be followed for survival status until 12 months after the first dose of study medication for the last patient randomised.</w:t>
      </w:r>
      <w:r w:rsidRPr="00C94C33">
        <w:rPr>
          <w:rFonts w:asciiTheme="minorHAnsi" w:hAnsiTheme="minorHAnsi"/>
          <w:color w:val="000000"/>
        </w:rPr>
        <w:t xml:space="preserve"> </w:t>
      </w:r>
      <w:r w:rsidRPr="00C94C33">
        <w:rPr>
          <w:rFonts w:asciiTheme="minorHAnsi" w:hAnsiTheme="minorHAnsi"/>
        </w:rPr>
        <w:t>No patients were to be replaced at any time in the study. The study design is provided.</w:t>
      </w:r>
    </w:p>
    <w:p w14:paraId="04BD5CD0" w14:textId="38935A4E" w:rsidR="00DF61BC" w:rsidRPr="00C94C33" w:rsidRDefault="00DF61BC" w:rsidP="0058475B">
      <w:pPr>
        <w:pStyle w:val="Tabletitle"/>
      </w:pPr>
      <w:bookmarkStart w:id="205" w:name="_Toc470948803"/>
      <w:r w:rsidRPr="00C94C33">
        <w:t>Figure</w:t>
      </w:r>
      <w:r w:rsidR="00A76294" w:rsidRPr="00C94C33">
        <w:t xml:space="preserve"> 8</w:t>
      </w:r>
      <w:r w:rsidRPr="00C94C33">
        <w:t>: TAS-102</w:t>
      </w:r>
      <w:r w:rsidR="000662F4">
        <w:t xml:space="preserve">; </w:t>
      </w:r>
      <w:r w:rsidRPr="00C94C33">
        <w:t>Study design</w:t>
      </w:r>
      <w:bookmarkEnd w:id="205"/>
    </w:p>
    <w:p w14:paraId="269D7136" w14:textId="5BA8A512" w:rsidR="00B5151B" w:rsidRPr="00EF7F6D" w:rsidRDefault="00EF7F6D" w:rsidP="00EF7F6D">
      <w:pPr>
        <w:autoSpaceDE w:val="0"/>
        <w:autoSpaceDN w:val="0"/>
        <w:adjustRightInd w:val="0"/>
        <w:rPr>
          <w:b/>
          <w:sz w:val="18"/>
          <w:szCs w:val="18"/>
        </w:rPr>
      </w:pPr>
      <w:r>
        <w:rPr>
          <w:noProof/>
          <w:lang w:eastAsia="en-AU"/>
        </w:rPr>
        <w:drawing>
          <wp:inline distT="0" distB="0" distL="0" distR="0" wp14:anchorId="1BB19444" wp14:editId="0691B05A">
            <wp:extent cx="5930265" cy="2495550"/>
            <wp:effectExtent l="0" t="0" r="0" b="0"/>
            <wp:docPr id="2105" name="Picture 13" descr="Figure 8: TAS-102 –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 name="Picture 13" descr="Figure 8: TAS-102 – Study desig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0265"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DF61BC" w:rsidRPr="00C94C33">
        <w:rPr>
          <w:rFonts w:asciiTheme="minorHAnsi" w:hAnsiTheme="minorHAnsi"/>
        </w:rPr>
        <w:t>A patient was considered discontinued from study treatment when the decision to permanently stop study medication (TAS-102 or placebo) was made, including decisions made during study medication interruptions and recovery periods. Patients could be withdrawn from treatment for the following reasons:</w:t>
      </w:r>
    </w:p>
    <w:p w14:paraId="010CF492" w14:textId="6F2803D9" w:rsidR="00B5151B" w:rsidRPr="00C94C33" w:rsidRDefault="00766E0D" w:rsidP="00631B12">
      <w:pPr>
        <w:pStyle w:val="ListBullet"/>
      </w:pPr>
      <w:r w:rsidRPr="00C94C33">
        <w:t>P</w:t>
      </w:r>
      <w:r w:rsidR="00DF61BC" w:rsidRPr="00C94C33">
        <w:t>atient request at any time irrespective of the reason;</w:t>
      </w:r>
    </w:p>
    <w:p w14:paraId="690F313F" w14:textId="6D289EE1" w:rsidR="00B5151B" w:rsidRPr="00C94C33" w:rsidRDefault="00DF61BC" w:rsidP="00631B12">
      <w:pPr>
        <w:pStyle w:val="ListBullet"/>
      </w:pPr>
      <w:r w:rsidRPr="00C94C33">
        <w:t>RECIST-defined disease progression;</w:t>
      </w:r>
    </w:p>
    <w:p w14:paraId="06E11E2D" w14:textId="4A64121A" w:rsidR="00B5151B" w:rsidRPr="00C94C33" w:rsidRDefault="00766E0D" w:rsidP="00631B12">
      <w:pPr>
        <w:pStyle w:val="ListBullet"/>
      </w:pPr>
      <w:r w:rsidRPr="00C94C33">
        <w:t>C</w:t>
      </w:r>
      <w:r w:rsidR="00DF61BC" w:rsidRPr="00C94C33">
        <w:t>linical progression;</w:t>
      </w:r>
    </w:p>
    <w:p w14:paraId="054F4C97" w14:textId="7C174CBA" w:rsidR="00B5151B" w:rsidRPr="00C94C33" w:rsidRDefault="00766E0D" w:rsidP="00631B12">
      <w:pPr>
        <w:pStyle w:val="ListBullet"/>
      </w:pPr>
      <w:r w:rsidRPr="00C94C33">
        <w:t>P</w:t>
      </w:r>
      <w:r w:rsidR="00DF61BC" w:rsidRPr="00C94C33">
        <w:t>atient experienced an irreversible, treatment-related, Grade 4, clinically relevant, non-haematologic event;</w:t>
      </w:r>
    </w:p>
    <w:p w14:paraId="4E39DEB9" w14:textId="24E7813F" w:rsidR="00B5151B" w:rsidRPr="00C94C33" w:rsidRDefault="00766E0D" w:rsidP="00631B12">
      <w:pPr>
        <w:pStyle w:val="ListBullet"/>
      </w:pPr>
      <w:r w:rsidRPr="00C94C33">
        <w:t>U</w:t>
      </w:r>
      <w:r w:rsidR="00DF61BC" w:rsidRPr="00C94C33">
        <w:t>nacceptable adverse events, or change in underlying condition such that the patient could no longer tolerate therapy, including, a maximum dose delay &gt; 28 days from the schedule start of the next cycle, and need for more than 3 dose reductions of study mediation;</w:t>
      </w:r>
    </w:p>
    <w:p w14:paraId="1D223CF2" w14:textId="60560329" w:rsidR="00B5151B" w:rsidRPr="00C94C33" w:rsidRDefault="00766E0D" w:rsidP="00631B12">
      <w:pPr>
        <w:pStyle w:val="ListBullet"/>
        <w:rPr>
          <w:rFonts w:eastAsia="SymbolMT"/>
        </w:rPr>
      </w:pPr>
      <w:r w:rsidRPr="00C94C33">
        <w:rPr>
          <w:rFonts w:eastAsia="SymbolMT"/>
        </w:rPr>
        <w:lastRenderedPageBreak/>
        <w:t>P</w:t>
      </w:r>
      <w:r w:rsidR="00DF61BC" w:rsidRPr="00C94C33">
        <w:rPr>
          <w:rFonts w:eastAsia="SymbolMT"/>
        </w:rPr>
        <w:t>hysician’s decision; and</w:t>
      </w:r>
    </w:p>
    <w:p w14:paraId="4588CC4E" w14:textId="5EC41B5A" w:rsidR="00DF61BC" w:rsidRPr="00C94C33" w:rsidRDefault="00766E0D" w:rsidP="00631B12">
      <w:pPr>
        <w:pStyle w:val="ListBullet"/>
      </w:pPr>
      <w:r w:rsidRPr="00C94C33">
        <w:rPr>
          <w:rFonts w:eastAsia="SymbolMT"/>
        </w:rPr>
        <w:t>P</w:t>
      </w:r>
      <w:r w:rsidR="00DF61BC" w:rsidRPr="00C94C33">
        <w:rPr>
          <w:rFonts w:eastAsia="SymbolMT"/>
        </w:rPr>
        <w:t>regnancy.</w:t>
      </w:r>
    </w:p>
    <w:p w14:paraId="2C12B59D" w14:textId="124C077C" w:rsidR="00766E0D" w:rsidRPr="00C94C33" w:rsidRDefault="00DF61BC" w:rsidP="00DF61BC">
      <w:pPr>
        <w:autoSpaceDE w:val="0"/>
        <w:autoSpaceDN w:val="0"/>
        <w:adjustRightInd w:val="0"/>
        <w:rPr>
          <w:rFonts w:asciiTheme="minorHAnsi" w:hAnsiTheme="minorHAnsi"/>
        </w:rPr>
      </w:pPr>
      <w:r w:rsidRPr="00C94C33">
        <w:rPr>
          <w:rFonts w:asciiTheme="minorHAnsi" w:hAnsiTheme="minorHAnsi"/>
        </w:rPr>
        <w:t xml:space="preserve">A patient was considered </w:t>
      </w:r>
      <w:r w:rsidR="00842E8F" w:rsidRPr="00C94C33">
        <w:rPr>
          <w:rFonts w:asciiTheme="minorHAnsi" w:hAnsiTheme="minorHAnsi"/>
        </w:rPr>
        <w:t>‘</w:t>
      </w:r>
      <w:r w:rsidRPr="00C94C33">
        <w:rPr>
          <w:rFonts w:asciiTheme="minorHAnsi" w:hAnsiTheme="minorHAnsi"/>
        </w:rPr>
        <w:t>Discontinued from Study Follow-up</w:t>
      </w:r>
      <w:r w:rsidR="00842E8F" w:rsidRPr="00C94C33">
        <w:rPr>
          <w:rFonts w:asciiTheme="minorHAnsi" w:hAnsiTheme="minorHAnsi"/>
        </w:rPr>
        <w:t>’</w:t>
      </w:r>
      <w:r w:rsidRPr="00C94C33">
        <w:rPr>
          <w:rFonts w:asciiTheme="minorHAnsi" w:hAnsiTheme="minorHAnsi"/>
        </w:rPr>
        <w:t xml:space="preserve"> only if one of the following occurred:</w:t>
      </w:r>
    </w:p>
    <w:p w14:paraId="64CE0360" w14:textId="09C7C9DC" w:rsidR="00766E0D" w:rsidRPr="00C94C33" w:rsidRDefault="00766E0D" w:rsidP="00631B12">
      <w:pPr>
        <w:pStyle w:val="ListBullet"/>
      </w:pPr>
      <w:r w:rsidRPr="00C94C33">
        <w:t>D</w:t>
      </w:r>
      <w:r w:rsidR="00DF61BC" w:rsidRPr="00C94C33">
        <w:t>eath;</w:t>
      </w:r>
    </w:p>
    <w:p w14:paraId="4E6474AF" w14:textId="5097BE09" w:rsidR="00766E0D" w:rsidRPr="00C94C33" w:rsidRDefault="00766E0D" w:rsidP="00631B12">
      <w:pPr>
        <w:pStyle w:val="ListBullet"/>
      </w:pPr>
      <w:r w:rsidRPr="00C94C33">
        <w:t>S</w:t>
      </w:r>
      <w:r w:rsidR="00DF61BC" w:rsidRPr="00C94C33">
        <w:t>urvival follow-up period completed; or</w:t>
      </w:r>
    </w:p>
    <w:p w14:paraId="7EDD2C3F" w14:textId="77777777" w:rsidR="00DF61BC" w:rsidRPr="00C94C33" w:rsidRDefault="00766E0D" w:rsidP="00631B12">
      <w:pPr>
        <w:pStyle w:val="ListBullet"/>
      </w:pPr>
      <w:r w:rsidRPr="00C94C33">
        <w:rPr>
          <w:rFonts w:eastAsia="SymbolMT"/>
        </w:rPr>
        <w:t>T</w:t>
      </w:r>
      <w:r w:rsidR="00DF61BC" w:rsidRPr="00C94C33">
        <w:rPr>
          <w:rFonts w:eastAsia="SymbolMT"/>
        </w:rPr>
        <w:t>he s</w:t>
      </w:r>
      <w:r w:rsidR="00DF61BC" w:rsidRPr="00C94C33">
        <w:t>tudy was completed or terminated by the sponsor or Regulatory Agencies. Patients who did not complete the study and for whom no survival data were available were considered to be lost to follow-up.</w:t>
      </w:r>
    </w:p>
    <w:p w14:paraId="05F76274" w14:textId="0B5ADDE0" w:rsidR="00DF61BC" w:rsidRPr="00C94C33" w:rsidRDefault="00DF61BC" w:rsidP="005C2FCA">
      <w:pPr>
        <w:pStyle w:val="Comment"/>
      </w:pPr>
      <w:r w:rsidRPr="005C2FCA">
        <w:rPr>
          <w:b/>
        </w:rPr>
        <w:t>Comment:</w:t>
      </w:r>
      <w:r w:rsidR="000662F4">
        <w:rPr>
          <w:b/>
        </w:rPr>
        <w:t xml:space="preserve"> </w:t>
      </w:r>
      <w:r w:rsidRPr="00C94C33">
        <w:t xml:space="preserve"> The sponsor stated that a placebo-controlled design was selected since, at the time the study was initiated, there were no standard therapies for patients with mCRC who had been previously treated with fluoropyrimidines, oxaliplatin, irinotecan, monoclonal anti-VEGF or anti-EGFR antibodies, and had become refractory or intolerant to those chemotherapies. Regorafenib was authorised for the treatment of patients with mCRC in all participating RECOURSE countries (Australia, EU, Japan and the US) only after enrollment was nearly complete (&gt; 80%). Patients in both the TAS-102 and placebo treatment arms received BSC in addition to study medication. The sponsor stated that in order to ensure comparability of the treatment groups, patients were stratified by KRAS status (wild-type</w:t>
      </w:r>
      <w:r w:rsidR="00C11183">
        <w:t xml:space="preserve"> versus </w:t>
      </w:r>
      <w:r w:rsidRPr="00C94C33">
        <w:t>mutant), time since diagnosis of metastasis (&lt;18 months</w:t>
      </w:r>
      <w:r w:rsidR="00C11183">
        <w:t xml:space="preserve"> versus </w:t>
      </w:r>
      <w:r w:rsidRPr="00C94C33">
        <w:t xml:space="preserve">≥18 months), and geographic region (Region 1: Asia </w:t>
      </w:r>
      <w:r w:rsidR="00A0007E" w:rsidRPr="00C94C33">
        <w:t>(</w:t>
      </w:r>
      <w:r w:rsidRPr="00C94C33">
        <w:t>Japan</w:t>
      </w:r>
      <w:r w:rsidR="00A0007E" w:rsidRPr="00C94C33">
        <w:t>)</w:t>
      </w:r>
      <w:r w:rsidR="00C11183">
        <w:t xml:space="preserve"> versus </w:t>
      </w:r>
      <w:r w:rsidRPr="00C94C33">
        <w:t xml:space="preserve">Region 2: Western </w:t>
      </w:r>
      <w:r w:rsidR="00A0007E" w:rsidRPr="00C94C33">
        <w:t>(</w:t>
      </w:r>
      <w:r w:rsidRPr="00C94C33">
        <w:t>Australia, Europe, US</w:t>
      </w:r>
      <w:r w:rsidR="00A0007E" w:rsidRPr="00C94C33">
        <w:t>)</w:t>
      </w:r>
      <w:r w:rsidRPr="00C94C33">
        <w:t>). The study design is considered to satisfactory.</w:t>
      </w:r>
    </w:p>
    <w:p w14:paraId="7E88AF77" w14:textId="77777777" w:rsidR="00DF61BC" w:rsidRPr="00C94C33" w:rsidRDefault="00DF61BC" w:rsidP="00955252">
      <w:pPr>
        <w:pStyle w:val="Heading4"/>
      </w:pPr>
      <w:bookmarkStart w:id="206" w:name="_Toc470948507"/>
      <w:r w:rsidRPr="00C94C33">
        <w:t>Inclusion and exclusion criteria</w:t>
      </w:r>
      <w:bookmarkEnd w:id="206"/>
    </w:p>
    <w:p w14:paraId="5CC05254" w14:textId="77777777"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The study aimed to include approximately 800 adult and female patients with refractory mCRC. The inclusion criteria included male and female patients aged ≥ 18 years with definitive histologically or cytologically confirmed adenocarcinoma of the colon or rectum, with KRAS status determined (mutant or wild) and an Eastern Cooperative Group (ECOG) performance status (PS) of 0 or 1, who have received at least 2 prior regimens of standard chemotherapies for mCRC and are refractory to or failing those chemotherapies. Standard chemotherapies must have included all of the following agents approved in each country: fluoropyrimidines, irinotecan and oxaliplatin; an anti-vascular endothelial growth factor (VEGF) monoclonal antibody (bevacizumab); and  at least one of the anti-epidermal growth factor receptor (EGFR) monoclonal antibodies (cetuximab or panitumumab) for KRAS wild-type patients. The exclusion criteria included a number of medical conditions, recent major surgery, recent radiotherapy, an</w:t>
      </w:r>
      <w:r w:rsidR="00B95240" w:rsidRPr="00C94C33">
        <w:rPr>
          <w:rFonts w:asciiTheme="minorHAnsi" w:hAnsiTheme="minorHAnsi"/>
        </w:rPr>
        <w:t>d recent anticancer treatments.</w:t>
      </w:r>
    </w:p>
    <w:p w14:paraId="59234225" w14:textId="56830D6B" w:rsidR="00DF61BC" w:rsidRPr="00C94C33" w:rsidRDefault="00DF61BC" w:rsidP="005C2FCA">
      <w:pPr>
        <w:pStyle w:val="Comment"/>
      </w:pPr>
      <w:r w:rsidRPr="005C2FCA">
        <w:rPr>
          <w:b/>
        </w:rPr>
        <w:t xml:space="preserve">Comment: </w:t>
      </w:r>
      <w:r w:rsidR="000662F4" w:rsidRPr="005C2FCA">
        <w:rPr>
          <w:b/>
        </w:rPr>
        <w:t xml:space="preserve"> </w:t>
      </w:r>
      <w:r w:rsidRPr="00C94C33">
        <w:t xml:space="preserve">The inclusion and exclusion criteria are considered to be satisfactory. Treatments to which patients with mCRC must have been refractory include chemotherapies used in Australia for the condition. The inclusion criteria did not include patients who were refractory to regorafenib, since this medicine was not registered in any participating countries at the start of the study. In Australia, regorafenib is approved for the treatment of patients with mCRC who have been previously treated with fluoropyrimidine-, oxaliplatin- and irinotecan-based chemotherapy, an anti-VEGF therapy, and, if KRAS wild type, an anti-EGFR therapy; </w:t>
      </w:r>
      <w:r w:rsidR="000662F4" w:rsidRPr="00C94C33">
        <w:t>and</w:t>
      </w:r>
      <w:r w:rsidRPr="00C94C33">
        <w:t xml:space="preserve"> patients with unresectable or metastatic gastrointestinal stromal tumours (GIST) who progressed on or are intolerant to prior treatment with imatinib and sunitinib.</w:t>
      </w:r>
    </w:p>
    <w:p w14:paraId="38AD7948" w14:textId="77777777" w:rsidR="00DF61BC" w:rsidRPr="00C94C33" w:rsidRDefault="00DF61BC" w:rsidP="00955252">
      <w:pPr>
        <w:pStyle w:val="Heading4"/>
      </w:pPr>
      <w:bookmarkStart w:id="207" w:name="_Toc470948508"/>
      <w:r w:rsidRPr="00C94C33">
        <w:t>Study treatments</w:t>
      </w:r>
      <w:bookmarkEnd w:id="207"/>
    </w:p>
    <w:p w14:paraId="721291F3" w14:textId="3A84EC65" w:rsidR="00DF61BC" w:rsidRPr="00C94C33" w:rsidRDefault="00DF61BC" w:rsidP="00955252">
      <w:pPr>
        <w:pStyle w:val="Heading5"/>
      </w:pPr>
      <w:bookmarkStart w:id="208" w:name="_Toc470948509"/>
      <w:r w:rsidRPr="00C94C33">
        <w:t>Study treatments</w:t>
      </w:r>
      <w:bookmarkEnd w:id="208"/>
    </w:p>
    <w:p w14:paraId="4D760C77" w14:textId="77777777" w:rsidR="00DF61BC" w:rsidRPr="00C94C33" w:rsidRDefault="00DF61BC" w:rsidP="00DF61BC">
      <w:pPr>
        <w:rPr>
          <w:rFonts w:asciiTheme="minorHAnsi" w:hAnsiTheme="minorHAnsi"/>
        </w:rPr>
      </w:pPr>
      <w:r w:rsidRPr="00C94C33">
        <w:rPr>
          <w:rFonts w:asciiTheme="minorHAnsi" w:hAnsiTheme="minorHAnsi"/>
        </w:rPr>
        <w:t>Each treatment cycle was 28 days in duration. The starting regimen was:</w:t>
      </w:r>
    </w:p>
    <w:p w14:paraId="44C90E5E" w14:textId="77777777" w:rsidR="00DF61BC" w:rsidRPr="00C94C33" w:rsidRDefault="00DF61BC" w:rsidP="00766E0D">
      <w:pPr>
        <w:pStyle w:val="Style1"/>
      </w:pPr>
      <w:r w:rsidRPr="00C94C33">
        <w:lastRenderedPageBreak/>
        <w:t>Days 1 through 5: TAS-102 (35 mg/m</w:t>
      </w:r>
      <w:r w:rsidRPr="00C94C33">
        <w:rPr>
          <w:i/>
          <w:vertAlign w:val="superscript"/>
        </w:rPr>
        <w:t>2</w:t>
      </w:r>
      <w:r w:rsidRPr="00C94C33">
        <w:t>/dose) or placebo orally BD times with the first dose administered in the morning of Day 1 of each cycle and the last dose administered in the evening of Day 5.</w:t>
      </w:r>
    </w:p>
    <w:p w14:paraId="7038FD85" w14:textId="37FE8C94" w:rsidR="00DF61BC" w:rsidRPr="00C94C33" w:rsidRDefault="00DF61BC" w:rsidP="00766E0D">
      <w:pPr>
        <w:pStyle w:val="Style1"/>
      </w:pPr>
      <w:r w:rsidRPr="00C94C33">
        <w:t>Days 6 through 7: Rest.</w:t>
      </w:r>
    </w:p>
    <w:p w14:paraId="5562BB32" w14:textId="77777777" w:rsidR="00DF61BC" w:rsidRPr="00C94C33" w:rsidRDefault="00DF61BC" w:rsidP="00766E0D">
      <w:pPr>
        <w:pStyle w:val="Style1"/>
      </w:pPr>
      <w:r w:rsidRPr="00C94C33">
        <w:t>Days 8 through 12: TAS-102 (35 mg/m</w:t>
      </w:r>
      <w:r w:rsidRPr="00C94C33">
        <w:rPr>
          <w:i/>
          <w:vertAlign w:val="superscript"/>
        </w:rPr>
        <w:t>2</w:t>
      </w:r>
      <w:r w:rsidRPr="00C94C33">
        <w:t>/dose) or placebo orally BD times with the first dose administered in the morning of Day 8 of each cycle and the last dose administered in the evening of Day 12.</w:t>
      </w:r>
    </w:p>
    <w:p w14:paraId="47B44BF3" w14:textId="77777777" w:rsidR="00DF61BC" w:rsidRPr="00C94C33" w:rsidRDefault="00DF61BC" w:rsidP="00766E0D">
      <w:pPr>
        <w:pStyle w:val="Style1"/>
      </w:pPr>
      <w:r w:rsidRPr="00C94C33">
        <w:t>Days 13 through 28: Rest.</w:t>
      </w:r>
    </w:p>
    <w:p w14:paraId="6AD27A7F" w14:textId="3794FD69"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 xml:space="preserve">The study drugs were to be taken with a glass of water within 1 hour after the completion of morning and evening meals. The study drugs were administered based on BSA. If at the beginning of the next treatment cycle a patient’s body weight decreases by ≥ 10% from </w:t>
      </w:r>
      <w:r w:rsidR="000662F4">
        <w:rPr>
          <w:rFonts w:asciiTheme="minorHAnsi" w:hAnsiTheme="minorHAnsi"/>
        </w:rPr>
        <w:t>B</w:t>
      </w:r>
      <w:r w:rsidR="000662F4" w:rsidRPr="00C94C33">
        <w:rPr>
          <w:rFonts w:asciiTheme="minorHAnsi" w:hAnsiTheme="minorHAnsi"/>
        </w:rPr>
        <w:t>aseline</w:t>
      </w:r>
      <w:r w:rsidRPr="00C94C33">
        <w:rPr>
          <w:rFonts w:asciiTheme="minorHAnsi" w:hAnsiTheme="minorHAnsi"/>
        </w:rPr>
        <w:t xml:space="preserve">, the dose was adjusted downwards based on the recalculated BSA. No increases in dose were permitted in cases where the body weight increased from </w:t>
      </w:r>
      <w:r w:rsidR="000662F4">
        <w:rPr>
          <w:rFonts w:asciiTheme="minorHAnsi" w:hAnsiTheme="minorHAnsi"/>
        </w:rPr>
        <w:t>B</w:t>
      </w:r>
      <w:r w:rsidR="000662F4" w:rsidRPr="00C94C33">
        <w:rPr>
          <w:rFonts w:asciiTheme="minorHAnsi" w:hAnsiTheme="minorHAnsi"/>
        </w:rPr>
        <w:t>aseline</w:t>
      </w:r>
      <w:r w:rsidRPr="00C94C33">
        <w:rPr>
          <w:rFonts w:asciiTheme="minorHAnsi" w:hAnsiTheme="minorHAnsi"/>
        </w:rPr>
        <w:t>.</w:t>
      </w:r>
    </w:p>
    <w:p w14:paraId="27B25672" w14:textId="1992FCCE" w:rsidR="00DF61BC" w:rsidRPr="00C94C33" w:rsidRDefault="00DF61BC" w:rsidP="00955252">
      <w:pPr>
        <w:pStyle w:val="Heading5"/>
      </w:pPr>
      <w:bookmarkStart w:id="209" w:name="_Toc470948510"/>
      <w:r w:rsidRPr="00C94C33">
        <w:t>Dose modifications</w:t>
      </w:r>
      <w:r w:rsidR="000662F4">
        <w:t xml:space="preserve">; </w:t>
      </w:r>
      <w:r w:rsidRPr="00C94C33">
        <w:t>reductions and holds</w:t>
      </w:r>
      <w:bookmarkEnd w:id="209"/>
    </w:p>
    <w:p w14:paraId="7FAB1413" w14:textId="7EACCEE4"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Dose reductions were permitted in the case of toxicity. The protocol specified dose reductions were Level 1 from 35 mg/m</w:t>
      </w:r>
      <w:r w:rsidRPr="00C94C33">
        <w:rPr>
          <w:rFonts w:asciiTheme="minorHAnsi" w:hAnsiTheme="minorHAnsi"/>
          <w:vertAlign w:val="superscript"/>
        </w:rPr>
        <w:t>2</w:t>
      </w:r>
      <w:r w:rsidRPr="00C94C33">
        <w:rPr>
          <w:rFonts w:asciiTheme="minorHAnsi" w:hAnsiTheme="minorHAnsi"/>
        </w:rPr>
        <w:t xml:space="preserve"> to 30 mg/m</w:t>
      </w:r>
      <w:r w:rsidRPr="00C94C33">
        <w:rPr>
          <w:rFonts w:asciiTheme="minorHAnsi" w:hAnsiTheme="minorHAnsi"/>
          <w:vertAlign w:val="superscript"/>
        </w:rPr>
        <w:t>2</w:t>
      </w:r>
      <w:r w:rsidRPr="00C94C33">
        <w:rPr>
          <w:rFonts w:asciiTheme="minorHAnsi" w:hAnsiTheme="minorHAnsi"/>
        </w:rPr>
        <w:t>, Level 2 from 30 mg/m</w:t>
      </w:r>
      <w:r w:rsidRPr="00C94C33">
        <w:rPr>
          <w:rFonts w:asciiTheme="minorHAnsi" w:hAnsiTheme="minorHAnsi"/>
          <w:vertAlign w:val="superscript"/>
        </w:rPr>
        <w:t>2</w:t>
      </w:r>
      <w:r w:rsidRPr="00C94C33">
        <w:rPr>
          <w:rFonts w:asciiTheme="minorHAnsi" w:hAnsiTheme="minorHAnsi"/>
        </w:rPr>
        <w:t xml:space="preserve"> to 25 mg/m</w:t>
      </w:r>
      <w:r w:rsidRPr="00C94C33">
        <w:rPr>
          <w:rFonts w:asciiTheme="minorHAnsi" w:hAnsiTheme="minorHAnsi"/>
          <w:vertAlign w:val="superscript"/>
        </w:rPr>
        <w:t>2</w:t>
      </w:r>
      <w:r w:rsidRPr="00C94C33">
        <w:rPr>
          <w:rFonts w:asciiTheme="minorHAnsi" w:hAnsiTheme="minorHAnsi"/>
        </w:rPr>
        <w:t>, and Level 3 from 25</w:t>
      </w:r>
      <w:r w:rsidR="000662F4">
        <w:rPr>
          <w:rFonts w:asciiTheme="minorHAnsi" w:hAnsiTheme="minorHAnsi"/>
        </w:rPr>
        <w:t> </w:t>
      </w:r>
      <w:r w:rsidRPr="00C94C33">
        <w:rPr>
          <w:rFonts w:asciiTheme="minorHAnsi" w:hAnsiTheme="minorHAnsi"/>
        </w:rPr>
        <w:t>mg/m</w:t>
      </w:r>
      <w:r w:rsidRPr="00C94C33">
        <w:rPr>
          <w:rFonts w:asciiTheme="minorHAnsi" w:hAnsiTheme="minorHAnsi"/>
          <w:vertAlign w:val="superscript"/>
        </w:rPr>
        <w:t>2</w:t>
      </w:r>
      <w:r w:rsidRPr="00C94C33">
        <w:rPr>
          <w:rFonts w:asciiTheme="minorHAnsi" w:hAnsiTheme="minorHAnsi"/>
        </w:rPr>
        <w:t xml:space="preserve"> to 20 mg/m</w:t>
      </w:r>
      <w:r w:rsidRPr="00C94C33">
        <w:rPr>
          <w:rFonts w:asciiTheme="minorHAnsi" w:hAnsiTheme="minorHAnsi"/>
          <w:vertAlign w:val="superscript"/>
        </w:rPr>
        <w:t>2</w:t>
      </w:r>
      <w:r w:rsidRPr="00C94C33">
        <w:rPr>
          <w:rFonts w:asciiTheme="minorHAnsi" w:hAnsiTheme="minorHAnsi"/>
        </w:rPr>
        <w:t>. If dose modification failed to result in minimal criteria to resume treatment, study medication was discontinued. If the toxicities recurred after dose reduction to 20</w:t>
      </w:r>
      <w:r w:rsidR="000662F4">
        <w:rPr>
          <w:rFonts w:asciiTheme="minorHAnsi" w:hAnsiTheme="minorHAnsi"/>
        </w:rPr>
        <w:t> </w:t>
      </w:r>
      <w:r w:rsidRPr="00C94C33">
        <w:rPr>
          <w:rFonts w:asciiTheme="minorHAnsi" w:hAnsiTheme="minorHAnsi"/>
        </w:rPr>
        <w:t>mg/m</w:t>
      </w:r>
      <w:r w:rsidRPr="00C94C33">
        <w:rPr>
          <w:rFonts w:asciiTheme="minorHAnsi" w:hAnsiTheme="minorHAnsi"/>
          <w:vertAlign w:val="superscript"/>
        </w:rPr>
        <w:t>2</w:t>
      </w:r>
      <w:r w:rsidRPr="00C94C33">
        <w:rPr>
          <w:rFonts w:asciiTheme="minorHAnsi" w:hAnsiTheme="minorHAnsi"/>
        </w:rPr>
        <w:t>, study medication was discontinued.</w:t>
      </w:r>
    </w:p>
    <w:p w14:paraId="612E13BD" w14:textId="0630B22E"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color w:val="000000"/>
        </w:rPr>
        <w:t xml:space="preserve">For all patients with decreased neutrophil and/or platelet counts, the next cycle of study treatment was not to be started until the resumption criteria were met. </w:t>
      </w:r>
      <w:r w:rsidRPr="00C94C33">
        <w:rPr>
          <w:rFonts w:asciiTheme="minorHAnsi" w:hAnsiTheme="minorHAnsi"/>
        </w:rPr>
        <w:t>Patients who required more than a 28</w:t>
      </w:r>
      <w:r w:rsidR="000662F4">
        <w:rPr>
          <w:rFonts w:asciiTheme="minorHAnsi" w:hAnsiTheme="minorHAnsi"/>
        </w:rPr>
        <w:t> </w:t>
      </w:r>
      <w:r w:rsidR="009C0389" w:rsidRPr="00C94C33">
        <w:rPr>
          <w:rFonts w:asciiTheme="minorHAnsi" w:hAnsiTheme="minorHAnsi"/>
        </w:rPr>
        <w:t>day</w:t>
      </w:r>
      <w:r w:rsidRPr="00C94C33">
        <w:rPr>
          <w:rFonts w:asciiTheme="minorHAnsi" w:hAnsiTheme="minorHAnsi"/>
        </w:rPr>
        <w:t xml:space="preserve"> delay in the scheduled start of the next cycle were to have study medication discontinued. </w:t>
      </w:r>
      <w:r w:rsidRPr="00C94C33">
        <w:rPr>
          <w:rFonts w:asciiTheme="minorHAnsi" w:hAnsiTheme="minorHAnsi" w:cs="TimesNewRomanPSMT"/>
          <w:color w:val="000000"/>
        </w:rPr>
        <w:t>Uncomplicated neutro</w:t>
      </w:r>
      <w:r w:rsidR="00B50F67">
        <w:rPr>
          <w:rFonts w:asciiTheme="minorHAnsi" w:hAnsiTheme="minorHAnsi" w:cs="TimesNewRomanPSMT"/>
          <w:color w:val="000000"/>
        </w:rPr>
        <w:t>paenia</w:t>
      </w:r>
      <w:r w:rsidRPr="00C94C33">
        <w:rPr>
          <w:rFonts w:asciiTheme="minorHAnsi" w:hAnsiTheme="minorHAnsi" w:cs="TimesNewRomanPSMT"/>
          <w:color w:val="000000"/>
        </w:rPr>
        <w:t xml:space="preserve"> or thrombocyto</w:t>
      </w:r>
      <w:r w:rsidR="00B50F67">
        <w:rPr>
          <w:rFonts w:asciiTheme="minorHAnsi" w:hAnsiTheme="minorHAnsi" w:cs="TimesNewRomanPSMT"/>
          <w:color w:val="000000"/>
        </w:rPr>
        <w:t>paenia</w:t>
      </w:r>
      <w:r w:rsidRPr="00C94C33">
        <w:rPr>
          <w:rFonts w:asciiTheme="minorHAnsi" w:hAnsiTheme="minorHAnsi" w:cs="TimesNewRomanPSMT"/>
          <w:color w:val="000000"/>
        </w:rPr>
        <w:t xml:space="preserve"> ≤ Grade 3 did not require a dose reduction</w:t>
      </w:r>
      <w:r w:rsidRPr="00C94C33">
        <w:rPr>
          <w:rFonts w:asciiTheme="minorHAnsi" w:hAnsiTheme="minorHAnsi"/>
          <w:color w:val="000000"/>
        </w:rPr>
        <w:t>. Patients who experienced uncomplicated Grade 4 neutro</w:t>
      </w:r>
      <w:r w:rsidR="00B50F67">
        <w:rPr>
          <w:rFonts w:asciiTheme="minorHAnsi" w:hAnsiTheme="minorHAnsi"/>
          <w:color w:val="000000"/>
        </w:rPr>
        <w:t>paenia</w:t>
      </w:r>
      <w:r w:rsidRPr="00C94C33">
        <w:rPr>
          <w:rFonts w:asciiTheme="minorHAnsi" w:hAnsiTheme="minorHAnsi"/>
          <w:color w:val="000000"/>
        </w:rPr>
        <w:t xml:space="preserve"> or thrombocyto</w:t>
      </w:r>
      <w:r w:rsidR="00B50F67">
        <w:rPr>
          <w:rFonts w:asciiTheme="minorHAnsi" w:hAnsiTheme="minorHAnsi"/>
          <w:color w:val="000000"/>
        </w:rPr>
        <w:t>paenia</w:t>
      </w:r>
      <w:r w:rsidRPr="00C94C33">
        <w:rPr>
          <w:rFonts w:asciiTheme="minorHAnsi" w:hAnsiTheme="minorHAnsi"/>
          <w:color w:val="000000"/>
        </w:rPr>
        <w:t xml:space="preserve"> resulting in a &gt; 1 week delay of the start of the next cycle were to start the next cycle at one reduced dose level. </w:t>
      </w:r>
      <w:r w:rsidRPr="00C94C33">
        <w:rPr>
          <w:rFonts w:asciiTheme="minorHAnsi" w:hAnsiTheme="minorHAnsi" w:cs="TimesNewRomanPSMT"/>
          <w:color w:val="000000"/>
        </w:rPr>
        <w:t>If the delay was ≤ 1 week, the patient was to start the next cycle at</w:t>
      </w:r>
      <w:r w:rsidRPr="00C94C33">
        <w:rPr>
          <w:rFonts w:asciiTheme="minorHAnsi" w:hAnsiTheme="minorHAnsi"/>
          <w:color w:val="000000"/>
        </w:rPr>
        <w:t xml:space="preserve"> the same dose level.</w:t>
      </w:r>
    </w:p>
    <w:p w14:paraId="3FB816CC" w14:textId="77777777" w:rsidR="00DF61BC" w:rsidRPr="00C94C33" w:rsidRDefault="00DF61BC" w:rsidP="00DF61BC">
      <w:pPr>
        <w:autoSpaceDE w:val="0"/>
        <w:autoSpaceDN w:val="0"/>
        <w:adjustRightInd w:val="0"/>
        <w:rPr>
          <w:rFonts w:asciiTheme="minorHAnsi" w:hAnsiTheme="minorHAnsi"/>
          <w:color w:val="000000"/>
        </w:rPr>
      </w:pPr>
      <w:r w:rsidRPr="00C94C33">
        <w:rPr>
          <w:rFonts w:asciiTheme="minorHAnsi" w:hAnsiTheme="minorHAnsi"/>
          <w:color w:val="000000"/>
        </w:rPr>
        <w:t>If the patient recovered from the haematologic and non-haematologic toxicities and met the resumption criteria during the 2-week treatment period, and no dose reduction was required, study medication could be resumed during that cycle. If a dose reduction was required, the study drug was resumed at the start of the next cycle at the appropriate protocol specified dose level. If the study drug dose was reduced, it was not to be increased for subsequent cycles.</w:t>
      </w:r>
    </w:p>
    <w:p w14:paraId="144F617C" w14:textId="750C5844" w:rsidR="00DF61BC" w:rsidRPr="00C94C33" w:rsidRDefault="00DF61BC" w:rsidP="00DF61BC">
      <w:pPr>
        <w:autoSpaceDE w:val="0"/>
        <w:autoSpaceDN w:val="0"/>
        <w:adjustRightInd w:val="0"/>
        <w:rPr>
          <w:rFonts w:asciiTheme="minorHAnsi" w:hAnsiTheme="minorHAnsi"/>
          <w:color w:val="000000"/>
        </w:rPr>
      </w:pPr>
      <w:r w:rsidRPr="00C94C33">
        <w:rPr>
          <w:rFonts w:asciiTheme="minorHAnsi" w:hAnsiTheme="minorHAnsi"/>
          <w:color w:val="000000"/>
        </w:rPr>
        <w:t>If the patient recovered from the haematologic and non-haematologic toxicities during the 2-week recovery period, the next cycle was to be started on schedule at the appropriate dose level specified in the protocol.  If the toxicities did not recover during the treatment or rest period, the start of the next cycle could be delayed for a maximum of 28 days from the scheduled start date of the next cycle. If resumption criteria were met by this maximum 28</w:t>
      </w:r>
      <w:r w:rsidR="009C0389" w:rsidRPr="00C94C33">
        <w:rPr>
          <w:rFonts w:asciiTheme="minorHAnsi" w:hAnsiTheme="minorHAnsi"/>
          <w:color w:val="000000"/>
        </w:rPr>
        <w:t xml:space="preserve"> day</w:t>
      </w:r>
      <w:r w:rsidRPr="00C94C33">
        <w:rPr>
          <w:rFonts w:asciiTheme="minorHAnsi" w:hAnsiTheme="minorHAnsi"/>
          <w:color w:val="000000"/>
        </w:rPr>
        <w:t xml:space="preserve"> delay, the next cycle could be started at the appropriate dose level specified in the protocol. Patients who required more than a 28</w:t>
      </w:r>
      <w:r w:rsidR="009C0389" w:rsidRPr="00C94C33">
        <w:rPr>
          <w:rFonts w:asciiTheme="minorHAnsi" w:hAnsiTheme="minorHAnsi"/>
          <w:color w:val="000000"/>
        </w:rPr>
        <w:t xml:space="preserve"> day</w:t>
      </w:r>
      <w:r w:rsidRPr="00C94C33">
        <w:rPr>
          <w:rFonts w:asciiTheme="minorHAnsi" w:hAnsiTheme="minorHAnsi"/>
          <w:color w:val="000000"/>
        </w:rPr>
        <w:t xml:space="preserve"> delay in the scheduled start date of the next cycle had study medication discontinued.</w:t>
      </w:r>
    </w:p>
    <w:p w14:paraId="445B8F90" w14:textId="0CCA3C09" w:rsidR="00DF61BC" w:rsidRPr="00C94C33" w:rsidRDefault="00DF61BC" w:rsidP="00955252">
      <w:pPr>
        <w:pStyle w:val="Heading5"/>
      </w:pPr>
      <w:bookmarkStart w:id="210" w:name="_Toc470948511"/>
      <w:r w:rsidRPr="00C94C33">
        <w:t>Open</w:t>
      </w:r>
      <w:r w:rsidR="000662F4">
        <w:t xml:space="preserve"> </w:t>
      </w:r>
      <w:r w:rsidRPr="00C94C33">
        <w:t>label TAS 102</w:t>
      </w:r>
      <w:bookmarkEnd w:id="210"/>
    </w:p>
    <w:p w14:paraId="079F6607" w14:textId="456DDC58"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Subsequent to the database lock and completion of the primary analysis, there were 2 global amendments to the protocol that specified procedures to be followed for patients currently receiving placebo or who had previously received placebo to be offered treatment with open-label TAS-102. After completion of the primary analysis, if the primary endpoint of the study had been met and both efficacy and safety supported a favourable benefit/risk ratio for TAS-102, patients currently being treated with placebo and those previously treated with placebo were offered the option of open-label treatment with TAS-102.</w:t>
      </w:r>
    </w:p>
    <w:p w14:paraId="16EB5935" w14:textId="77777777" w:rsidR="00AA7141" w:rsidRDefault="00DF61BC" w:rsidP="00955252">
      <w:pPr>
        <w:pStyle w:val="Heading5"/>
      </w:pPr>
      <w:bookmarkStart w:id="211" w:name="_Toc470948512"/>
      <w:r w:rsidRPr="00C94C33">
        <w:lastRenderedPageBreak/>
        <w:t>Prohibited medications and therapies</w:t>
      </w:r>
      <w:bookmarkEnd w:id="211"/>
    </w:p>
    <w:p w14:paraId="3BAB8263" w14:textId="793F92B0" w:rsidR="00DF61BC" w:rsidRPr="00C94C33" w:rsidRDefault="00DF61BC" w:rsidP="00DF61BC">
      <w:r w:rsidRPr="00C94C33">
        <w:t>Other than study medication, BSC, and permitted concomitant medications and therapies, patients were not permitted to receive any other medications and therapies, including other anticancer therapies. Palliative radiotherapy was not permitted while the patient was receiving study treatment.</w:t>
      </w:r>
    </w:p>
    <w:p w14:paraId="2CBCDBB9" w14:textId="77777777" w:rsidR="00AA7141" w:rsidRDefault="00DF61BC" w:rsidP="00955252">
      <w:pPr>
        <w:pStyle w:val="Heading5"/>
      </w:pPr>
      <w:bookmarkStart w:id="212" w:name="_Toc470948513"/>
      <w:r w:rsidRPr="00C94C33">
        <w:t>Concomitant medication and therapies</w:t>
      </w:r>
      <w:bookmarkEnd w:id="212"/>
    </w:p>
    <w:p w14:paraId="6E08A0E5" w14:textId="77777777" w:rsidR="00AA7141" w:rsidRDefault="00DF61BC" w:rsidP="00DF61BC">
      <w:r w:rsidRPr="00C94C33">
        <w:t>If used concomitantly with TAS-102, antiviral drugs that are human thymidine kinase substrates (e.g., stavudine, zidovudine, telbivudine) were to be used with caution, because such drugs may theoretically compete with trifluridine for activation via thymidine kinases. The protocol recommended monitoring for decreased efficacy of such antiviral agents, with consideration being given to switching to alternative antiviral agents not known to be human thymidine kinase substrates (</w:t>
      </w:r>
      <w:r w:rsidR="000662F4">
        <w:t>for example,</w:t>
      </w:r>
      <w:r w:rsidRPr="00C94C33">
        <w:t xml:space="preserve"> lamivudine, zalcitabine, didanosine, abacavir).</w:t>
      </w:r>
    </w:p>
    <w:p w14:paraId="48BA8707" w14:textId="64460A5E" w:rsidR="00DF61BC" w:rsidRPr="00C94C33" w:rsidRDefault="00DF61BC" w:rsidP="00DF61BC">
      <w:r w:rsidRPr="00C94C33">
        <w:t xml:space="preserve">Haematologic support could be administered as medically indicated (e.g., blood transfusions, granulocyte colony stimulating factor </w:t>
      </w:r>
      <w:r w:rsidR="00A0007E" w:rsidRPr="00C94C33">
        <w:t>(</w:t>
      </w:r>
      <w:r w:rsidRPr="00C94C33">
        <w:t>G-CSF</w:t>
      </w:r>
      <w:r w:rsidR="00A0007E" w:rsidRPr="00C94C33">
        <w:t>)</w:t>
      </w:r>
      <w:r w:rsidRPr="00C94C33">
        <w:t>, erythropoietin) according to institutional standards. Standard procedures were also permitted for the management of diarrhoea, nausea and vomiting.</w:t>
      </w:r>
    </w:p>
    <w:p w14:paraId="23D645D6" w14:textId="77777777" w:rsidR="00AA7141" w:rsidRDefault="00DF61BC" w:rsidP="00955252">
      <w:pPr>
        <w:pStyle w:val="Heading4"/>
      </w:pPr>
      <w:bookmarkStart w:id="213" w:name="_Toc470948514"/>
      <w:r w:rsidRPr="00C94C33">
        <w:t>Efficacy variables and outcomes</w:t>
      </w:r>
      <w:bookmarkEnd w:id="213"/>
    </w:p>
    <w:p w14:paraId="737E1D91" w14:textId="77777777" w:rsidR="00AA7141" w:rsidRDefault="00DF61BC" w:rsidP="00766E0D">
      <w:pPr>
        <w:pStyle w:val="Heading5"/>
      </w:pPr>
      <w:bookmarkStart w:id="214" w:name="_Toc470948515"/>
      <w:r w:rsidRPr="00C94C33">
        <w:t>Efficacy endpoints</w:t>
      </w:r>
      <w:bookmarkEnd w:id="214"/>
    </w:p>
    <w:p w14:paraId="097CF002" w14:textId="77777777" w:rsidR="00AA7141" w:rsidRDefault="00DF61BC" w:rsidP="00955252">
      <w:pPr>
        <w:pStyle w:val="Heading6"/>
      </w:pPr>
      <w:r w:rsidRPr="00C94C33">
        <w:t>Primary efficacy endpoint</w:t>
      </w:r>
      <w:r w:rsidR="000662F4">
        <w:t xml:space="preserve">; </w:t>
      </w:r>
      <w:r w:rsidRPr="00C94C33">
        <w:t>Overall Survival (OS)</w:t>
      </w:r>
    </w:p>
    <w:p w14:paraId="5C5BD79E" w14:textId="48413AE3" w:rsidR="00DF61BC" w:rsidRPr="00C94C33" w:rsidRDefault="00DF61BC" w:rsidP="00DF61BC">
      <w:r w:rsidRPr="00C94C33">
        <w:t>Overall survival (OS) was the primary endpoint. It was defined as the time (in months) from the date of randomisation to the date of death from any cause in the intention-to-treat (ITT) population. The primary analysis of OS included follow-up data (including death events) obtained through the date of the 571st death observed in the study. Patients having a documented survival status (alive or dead) after this date were censored at the cut-off date</w:t>
      </w:r>
    </w:p>
    <w:p w14:paraId="4A6BC23B" w14:textId="4175CBCC" w:rsidR="00DF61BC" w:rsidRPr="00C94C33" w:rsidRDefault="00DF61BC" w:rsidP="00955252">
      <w:pPr>
        <w:pStyle w:val="Heading6"/>
      </w:pPr>
      <w:r w:rsidRPr="00C94C33">
        <w:t>Key secondary efficacy endpoint</w:t>
      </w:r>
      <w:r w:rsidR="000662F4">
        <w:t xml:space="preserve">; </w:t>
      </w:r>
      <w:r w:rsidR="00EF7F6D">
        <w:t>Progression Free Survival (PFS)</w:t>
      </w:r>
    </w:p>
    <w:p w14:paraId="2307389D" w14:textId="77777777"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Progression free survival (PFS) was defined as the time (in months) from the date of randomisation until the date of the investigator-assessed radiological disease progression or death due to any cause. Patients who were alive with no radiological disease progression as of the analysis cut-off date were censored at the date of the last tumour assessment. Patients who received non-study cancer treatment before disease progression, or patients with clinical but not radiologic evidence of progression were censored at the date of the last radiologic evaluable tumour assessment before non-study cancer treatment was initiated.</w:t>
      </w:r>
    </w:p>
    <w:p w14:paraId="67139714" w14:textId="3E28D2F5" w:rsidR="00DF61BC" w:rsidRPr="00C94C33" w:rsidRDefault="00DF61BC" w:rsidP="005C2FCA">
      <w:pPr>
        <w:pStyle w:val="Comment"/>
      </w:pPr>
      <w:r w:rsidRPr="005C2FCA">
        <w:rPr>
          <w:b/>
        </w:rPr>
        <w:t>Comment:</w:t>
      </w:r>
      <w:r w:rsidR="000662F4">
        <w:t xml:space="preserve"> </w:t>
      </w:r>
      <w:r w:rsidRPr="00C94C33">
        <w:t xml:space="preserve"> In this study, progression was assessed by investigators rather than centralised assessors. This raises the possibility that the study was subject to bias due to potential subjective differences among investigators in the ass</w:t>
      </w:r>
      <w:r w:rsidR="00EF7F6D">
        <w:t>essment of disease progression.</w:t>
      </w:r>
    </w:p>
    <w:p w14:paraId="7597D55F" w14:textId="77777777" w:rsidR="00DF61BC" w:rsidRPr="00C94C33" w:rsidRDefault="00DF61BC" w:rsidP="00955252">
      <w:pPr>
        <w:pStyle w:val="Heading6"/>
      </w:pPr>
      <w:r w:rsidRPr="00C94C33">
        <w:t>Other secondary efficacy endpoints</w:t>
      </w:r>
    </w:p>
    <w:p w14:paraId="5CE1880F" w14:textId="77777777" w:rsidR="00DF61BC" w:rsidRPr="00C94C33" w:rsidRDefault="00DF61BC" w:rsidP="00DF61BC">
      <w:pPr>
        <w:rPr>
          <w:rFonts w:asciiTheme="minorHAnsi" w:hAnsiTheme="minorHAnsi"/>
        </w:rPr>
      </w:pPr>
      <w:r w:rsidRPr="00C94C33">
        <w:rPr>
          <w:rFonts w:asciiTheme="minorHAnsi" w:hAnsiTheme="minorHAnsi"/>
        </w:rPr>
        <w:t>The time to treatment failure (TTF) was defined as the time (in months) from the date of randomisation until the date of radiologic disease progression, permanent discontinuation of study treatment, or death due to any cause. Patients who were still on study treatment at the cut-off date for the analysis were censored at the last date the patient was known to be on treatment. Censoring for TTF was also applied for those patients who were given non-study cancer treatment, with censoring at the time the patient began the non-study cancer treatment.</w:t>
      </w:r>
    </w:p>
    <w:p w14:paraId="532D8CAD" w14:textId="77777777"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 xml:space="preserve">The overall response rate (ORR) was defined as the proportion of patients with objective evidence of complete response (CR) or partial response (PR). The assessment of ORR was based on investigator assessment of radiologic images using RECIST criteria (version 1.1, 2009). The primary assessment of ORR was for the ITT population, and restricted to patients with measurable disease (at least 1 target lesion) at Baseline. At the analysis stage, the best overall response was assigned for each patient as the best response recorded from the start of treatment through the treatment period (excludes assessments during follow-up). If applicable, responses recorded after </w:t>
      </w:r>
      <w:r w:rsidRPr="00C94C33">
        <w:rPr>
          <w:rFonts w:asciiTheme="minorHAnsi" w:hAnsiTheme="minorHAnsi"/>
        </w:rPr>
        <w:lastRenderedPageBreak/>
        <w:t>radiologic disease progression or after initiation of non-study anti-tumour therapy were excluded. A best response assignment of stable disease (SD) required that SD be maintained for at least 6 weeks from the start of treatment.</w:t>
      </w:r>
    </w:p>
    <w:p w14:paraId="157AB1E6" w14:textId="7B465261"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The disease control rate (DCR) was defined as the proportion of patients with best overall response of CR, PR, or SD.</w:t>
      </w:r>
    </w:p>
    <w:p w14:paraId="1F07915C" w14:textId="77777777"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The duration of response (DR), derived for patients with a best overall response of PR or CR, was defined as the time from the first documentation of response (CR or PR) to the first documentation of objective tumour progression or to death due to any cause. Patients who were alive and progression free as of the analysis cut-off date were censored at their last evaluable tumour response assessment prior to initiation of any non-study cancer treatment.</w:t>
      </w:r>
    </w:p>
    <w:p w14:paraId="1D6F288E" w14:textId="77777777" w:rsidR="00AA7141" w:rsidRDefault="00DF61BC" w:rsidP="00955252">
      <w:pPr>
        <w:pStyle w:val="Heading4"/>
      </w:pPr>
      <w:bookmarkStart w:id="215" w:name="_Toc470948516"/>
      <w:r w:rsidRPr="00C94C33">
        <w:t>Tumour assessment</w:t>
      </w:r>
      <w:bookmarkEnd w:id="215"/>
    </w:p>
    <w:p w14:paraId="053F8234" w14:textId="19103287" w:rsidR="00DF61BC" w:rsidRPr="00C94C33" w:rsidRDefault="00DF61BC" w:rsidP="00DF61BC">
      <w:pPr>
        <w:rPr>
          <w:rFonts w:asciiTheme="minorHAnsi" w:hAnsiTheme="minorHAnsi"/>
        </w:rPr>
      </w:pPr>
      <w:r w:rsidRPr="00C94C33">
        <w:rPr>
          <w:rFonts w:asciiTheme="minorHAnsi" w:hAnsiTheme="minorHAnsi"/>
        </w:rPr>
        <w:t>Tumour assessments/imaging studies of the chest, abdomen, and pelvis (as clinically indicated) were obtained at each time point listed below for all patients:</w:t>
      </w:r>
    </w:p>
    <w:p w14:paraId="7072B84A" w14:textId="77777777" w:rsidR="00DF61BC" w:rsidRPr="00C94C33" w:rsidRDefault="00DF61BC" w:rsidP="009C6797">
      <w:pPr>
        <w:pStyle w:val="ListBullet"/>
      </w:pPr>
      <w:r w:rsidRPr="00C94C33">
        <w:t>Baseline within 28 days prior to Day 1 Cycle 1.</w:t>
      </w:r>
    </w:p>
    <w:p w14:paraId="7C14EE52" w14:textId="77777777" w:rsidR="00DF61BC" w:rsidRPr="00C94C33" w:rsidRDefault="00DF61BC" w:rsidP="009C6797">
      <w:pPr>
        <w:pStyle w:val="ListBullet"/>
      </w:pPr>
      <w:r w:rsidRPr="00C94C33">
        <w:t>Every 8 weeks from the start of treatment.</w:t>
      </w:r>
    </w:p>
    <w:p w14:paraId="4A07A804" w14:textId="77777777" w:rsidR="00DF61BC" w:rsidRPr="00C94C33" w:rsidRDefault="00DF61BC" w:rsidP="009C6797">
      <w:pPr>
        <w:pStyle w:val="ListBullet"/>
      </w:pPr>
      <w:r w:rsidRPr="00C94C33">
        <w:t>Within 2 weeks of the End of Treatment Visit if the patient</w:t>
      </w:r>
      <w:r w:rsidR="00766E0D" w:rsidRPr="00C94C33">
        <w:t xml:space="preserve"> had discontinued treatment for </w:t>
      </w:r>
      <w:r w:rsidRPr="00C94C33">
        <w:t>reasons other than radiologic disease progression. If an End of Treatment visit was not performed, tumour measurements were obtained at the time the patient was discontinued from treatment.</w:t>
      </w:r>
    </w:p>
    <w:p w14:paraId="22C56E68" w14:textId="53D352D7" w:rsidR="00DF61BC" w:rsidRPr="00C94C33" w:rsidRDefault="00DF61BC" w:rsidP="009C6797">
      <w:pPr>
        <w:pStyle w:val="ListBullet"/>
      </w:pPr>
      <w:r w:rsidRPr="00C94C33">
        <w:t>For patients discontinuing treatment for reasons other than radiologic progression, every 8</w:t>
      </w:r>
      <w:r w:rsidR="000662F4">
        <w:t> </w:t>
      </w:r>
      <w:r w:rsidRPr="00C94C33">
        <w:t>weeks during the follow up period until the patient developed radiologic progression or the start of new anticancer treatment.</w:t>
      </w:r>
    </w:p>
    <w:p w14:paraId="0B29542A" w14:textId="75D38B94"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color w:val="000000"/>
        </w:rPr>
        <w:t>On</w:t>
      </w:r>
      <w:r w:rsidR="000662F4">
        <w:rPr>
          <w:rFonts w:asciiTheme="minorHAnsi" w:hAnsiTheme="minorHAnsi"/>
          <w:color w:val="000000"/>
        </w:rPr>
        <w:t xml:space="preserve"> </w:t>
      </w:r>
      <w:r w:rsidRPr="00C94C33">
        <w:rPr>
          <w:rFonts w:asciiTheme="minorHAnsi" w:hAnsiTheme="minorHAnsi"/>
          <w:color w:val="000000"/>
        </w:rPr>
        <w:t xml:space="preserve">site tumour assessments were made by the investigator according to the revised RECIST criteria (version 1.1, 2009). </w:t>
      </w:r>
      <w:r w:rsidRPr="00C94C33">
        <w:rPr>
          <w:rFonts w:asciiTheme="minorHAnsi" w:hAnsiTheme="minorHAnsi"/>
        </w:rPr>
        <w:t>Results of these assessments, including response for target and non-target lesions and appearance of new lesions, were the basis for the continuation or discontinuation of study medication. The same method of assessment and the same technique was to be used to characterise each</w:t>
      </w:r>
      <w:r w:rsidRPr="00C94C33">
        <w:rPr>
          <w:rFonts w:asciiTheme="minorHAnsi" w:hAnsiTheme="minorHAnsi"/>
          <w:color w:val="000000"/>
        </w:rPr>
        <w:t xml:space="preserve"> </w:t>
      </w:r>
      <w:r w:rsidRPr="00C94C33">
        <w:rPr>
          <w:rFonts w:asciiTheme="minorHAnsi" w:hAnsiTheme="minorHAnsi"/>
        </w:rPr>
        <w:t>identified and reported lesion at Baseline, throughout the study and during follow</w:t>
      </w:r>
      <w:r w:rsidR="000662F4">
        <w:rPr>
          <w:rFonts w:asciiTheme="minorHAnsi" w:hAnsiTheme="minorHAnsi"/>
        </w:rPr>
        <w:t xml:space="preserve"> </w:t>
      </w:r>
      <w:r w:rsidRPr="00C94C33">
        <w:rPr>
          <w:rFonts w:asciiTheme="minorHAnsi" w:hAnsiTheme="minorHAnsi"/>
        </w:rPr>
        <w:t xml:space="preserve">up. The protocol specified that imaging-based evaluation was preferred to evaluation by clinical examination when both methods were used to assess the anti-tumour effect of treatment. Contrast enhanced CT was specified as the preferred method for tumour assessments. If contrast agent was contraindicated, then non-contrast chest CT and enhanced magnetic resonance imaging (MRI) of the abdomen (and pelvis if clinically indicated) was to be used. Images of the chest and abdomen (and pelvis if clinically indicated or obtained at Baseline) were required at each time point. Only CT and MRI were to </w:t>
      </w:r>
      <w:r w:rsidR="00EF7F6D">
        <w:rPr>
          <w:rFonts w:asciiTheme="minorHAnsi" w:hAnsiTheme="minorHAnsi"/>
        </w:rPr>
        <w:t>be used for tumour measurement.</w:t>
      </w:r>
    </w:p>
    <w:p w14:paraId="4B8E9491" w14:textId="78850D13"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Clinical lesions were only considered measurable when they were superficial (</w:t>
      </w:r>
      <w:r w:rsidR="00344F75">
        <w:rPr>
          <w:rFonts w:asciiTheme="minorHAnsi" w:hAnsiTheme="minorHAnsi"/>
        </w:rPr>
        <w:t>for example,</w:t>
      </w:r>
      <w:r w:rsidRPr="00C94C33">
        <w:rPr>
          <w:rFonts w:asciiTheme="minorHAnsi" w:hAnsiTheme="minorHAnsi"/>
        </w:rPr>
        <w:t xml:space="preserve"> skin nodules, palpable lymph nodes). In the case of skin lesions, documentation by colour photography, including a ruler to estimate the size of the lesion, was recommended. Ultrasound was not to be used to measure tumour lesions that were clinically not easily accessible for objective response evaluation (e.g., visceral lesions). Ultrasound was a possible alternative to clinical measurements of superficial palpable nodes, subcutaneous lesions, and thyroid nodules. Non-mandatory fluorodeoxyglucose positron emission tomography (FDG-PET) scans could be used to confirm diagnoses of suspicious lymph nodes. FDG-PET scan alone could not replace</w:t>
      </w:r>
      <w:r w:rsidR="00A127F0" w:rsidRPr="00C94C33">
        <w:rPr>
          <w:rFonts w:asciiTheme="minorHAnsi" w:hAnsiTheme="minorHAnsi"/>
        </w:rPr>
        <w:t xml:space="preserve"> a MRI or contrast-enhanced CT.</w:t>
      </w:r>
    </w:p>
    <w:p w14:paraId="37E65931" w14:textId="23537A34"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On</w:t>
      </w:r>
      <w:r w:rsidR="00344F75">
        <w:rPr>
          <w:rFonts w:asciiTheme="minorHAnsi" w:hAnsiTheme="minorHAnsi"/>
        </w:rPr>
        <w:t xml:space="preserve"> </w:t>
      </w:r>
      <w:r w:rsidRPr="00C94C33">
        <w:rPr>
          <w:rFonts w:asciiTheme="minorHAnsi" w:hAnsiTheme="minorHAnsi"/>
        </w:rPr>
        <w:t>site assessments included the assessment of target and n</w:t>
      </w:r>
      <w:r w:rsidR="00766E0D" w:rsidRPr="00C94C33">
        <w:rPr>
          <w:rFonts w:asciiTheme="minorHAnsi" w:hAnsiTheme="minorHAnsi"/>
        </w:rPr>
        <w:t xml:space="preserve">on-target tumour responses, and </w:t>
      </w:r>
      <w:r w:rsidRPr="00C94C33">
        <w:rPr>
          <w:rFonts w:asciiTheme="minorHAnsi" w:hAnsiTheme="minorHAnsi"/>
        </w:rPr>
        <w:t>overall response. The assessments were made at the protocol specified time-points listed above. The response criteria for target and non-target lesions are summarised below.</w:t>
      </w:r>
    </w:p>
    <w:p w14:paraId="1AF87077" w14:textId="64B73FF3" w:rsidR="00DF61BC" w:rsidRPr="00C94C33" w:rsidRDefault="00A127F0" w:rsidP="007E369E">
      <w:pPr>
        <w:pStyle w:val="Tabletitle"/>
        <w:spacing w:after="120" w:line="240" w:lineRule="auto"/>
      </w:pPr>
      <w:bookmarkStart w:id="216" w:name="_Toc470948677"/>
      <w:r w:rsidRPr="00C94C33">
        <w:t>Table 28</w:t>
      </w:r>
      <w:r w:rsidR="00DF61BC" w:rsidRPr="00C94C33">
        <w:t>: RE</w:t>
      </w:r>
      <w:r w:rsidR="00636DFB" w:rsidRPr="00C94C33">
        <w:t>C</w:t>
      </w:r>
      <w:r w:rsidR="00DF61BC" w:rsidRPr="00C94C33">
        <w:t>OUR</w:t>
      </w:r>
      <w:r w:rsidR="00636DFB" w:rsidRPr="00C94C33">
        <w:t>S</w:t>
      </w:r>
      <w:r w:rsidR="00DF61BC" w:rsidRPr="00C94C33">
        <w:t>E</w:t>
      </w:r>
      <w:r w:rsidR="00344F75">
        <w:t xml:space="preserve">; </w:t>
      </w:r>
      <w:r w:rsidR="00DF61BC" w:rsidRPr="00C94C33">
        <w:t>Response criteria for target and non-target lesions</w:t>
      </w:r>
      <w:bookmarkEnd w:id="216"/>
    </w:p>
    <w:tbl>
      <w:tblPr>
        <w:tblStyle w:val="TableGrid"/>
        <w:tblW w:w="0" w:type="auto"/>
        <w:tblLook w:val="04A0" w:firstRow="1" w:lastRow="0" w:firstColumn="1" w:lastColumn="0" w:noHBand="0" w:noVBand="1"/>
        <w:tblDescription w:val="Table 28: RECOURSE; Response criteria for target and non-target lesions"/>
      </w:tblPr>
      <w:tblGrid>
        <w:gridCol w:w="2093"/>
        <w:gridCol w:w="7455"/>
      </w:tblGrid>
      <w:tr w:rsidR="00DF61BC" w:rsidRPr="00C94C33" w14:paraId="254EE801" w14:textId="77777777" w:rsidTr="00EF7F6D">
        <w:trPr>
          <w:trHeight w:val="169"/>
          <w:tblHeader/>
        </w:trPr>
        <w:tc>
          <w:tcPr>
            <w:tcW w:w="9548" w:type="dxa"/>
            <w:gridSpan w:val="2"/>
            <w:tcBorders>
              <w:left w:val="single" w:sz="4" w:space="0" w:color="auto"/>
              <w:bottom w:val="nil"/>
              <w:right w:val="single" w:sz="4" w:space="0" w:color="auto"/>
            </w:tcBorders>
            <w:shd w:val="clear" w:color="auto" w:fill="auto"/>
          </w:tcPr>
          <w:p w14:paraId="47FF3988" w14:textId="77777777" w:rsidR="00DF61BC" w:rsidRPr="00C94C33" w:rsidRDefault="00DF61BC" w:rsidP="00EF7F6D">
            <w:pPr>
              <w:pStyle w:val="TableHeading"/>
              <w:jc w:val="center"/>
            </w:pPr>
            <w:r w:rsidRPr="00C94C33">
              <w:t>Target Lesions</w:t>
            </w:r>
          </w:p>
        </w:tc>
      </w:tr>
      <w:tr w:rsidR="00DF61BC" w:rsidRPr="00C94C33" w14:paraId="498BAE87" w14:textId="77777777" w:rsidTr="00EF7F6D">
        <w:tc>
          <w:tcPr>
            <w:tcW w:w="2093" w:type="dxa"/>
            <w:tcBorders>
              <w:top w:val="nil"/>
              <w:left w:val="single" w:sz="4" w:space="0" w:color="auto"/>
              <w:right w:val="nil"/>
            </w:tcBorders>
            <w:shd w:val="clear" w:color="auto" w:fill="auto"/>
          </w:tcPr>
          <w:p w14:paraId="5F2740C8" w14:textId="77777777" w:rsidR="00DF61BC" w:rsidRPr="00C94C33" w:rsidRDefault="00DF61BC" w:rsidP="00EF7F6D">
            <w:pPr>
              <w:pStyle w:val="TableHeading"/>
              <w:jc w:val="center"/>
            </w:pPr>
            <w:r w:rsidRPr="00C94C33">
              <w:lastRenderedPageBreak/>
              <w:t>Lesion Response</w:t>
            </w:r>
          </w:p>
        </w:tc>
        <w:tc>
          <w:tcPr>
            <w:tcW w:w="7455" w:type="dxa"/>
            <w:tcBorders>
              <w:top w:val="nil"/>
              <w:left w:val="nil"/>
              <w:right w:val="single" w:sz="4" w:space="0" w:color="auto"/>
            </w:tcBorders>
            <w:shd w:val="clear" w:color="auto" w:fill="auto"/>
          </w:tcPr>
          <w:p w14:paraId="7FED315D" w14:textId="4F9EA673" w:rsidR="00DF61BC" w:rsidRPr="00C94C33" w:rsidRDefault="00DF61BC" w:rsidP="00EF7F6D">
            <w:pPr>
              <w:pStyle w:val="TableHeading"/>
              <w:jc w:val="center"/>
            </w:pPr>
            <w:r w:rsidRPr="00C94C33">
              <w:t>Definition</w:t>
            </w:r>
          </w:p>
        </w:tc>
      </w:tr>
      <w:tr w:rsidR="00DF61BC" w:rsidRPr="00C94C33" w14:paraId="41E9A670" w14:textId="77777777" w:rsidTr="00766E0D">
        <w:tc>
          <w:tcPr>
            <w:tcW w:w="2093" w:type="dxa"/>
            <w:tcBorders>
              <w:left w:val="single" w:sz="4" w:space="0" w:color="auto"/>
              <w:bottom w:val="nil"/>
              <w:right w:val="nil"/>
            </w:tcBorders>
            <w:shd w:val="clear" w:color="auto" w:fill="auto"/>
          </w:tcPr>
          <w:p w14:paraId="0DC5A35D" w14:textId="701788A5" w:rsidR="00DF61BC" w:rsidRPr="00C94C33" w:rsidRDefault="00EF7F6D" w:rsidP="00EF7F6D">
            <w:pPr>
              <w:pStyle w:val="Tabletext"/>
            </w:pPr>
            <w:r>
              <w:t>Complete Response (CR)</w:t>
            </w:r>
          </w:p>
        </w:tc>
        <w:tc>
          <w:tcPr>
            <w:tcW w:w="7455" w:type="dxa"/>
            <w:tcBorders>
              <w:left w:val="nil"/>
              <w:bottom w:val="nil"/>
              <w:right w:val="single" w:sz="4" w:space="0" w:color="auto"/>
            </w:tcBorders>
            <w:shd w:val="clear" w:color="auto" w:fill="auto"/>
          </w:tcPr>
          <w:p w14:paraId="7218F130" w14:textId="77777777" w:rsidR="00DF61BC" w:rsidRPr="00C94C33" w:rsidRDefault="00DF61BC" w:rsidP="00EF7F6D">
            <w:pPr>
              <w:pStyle w:val="Tabletext"/>
            </w:pPr>
            <w:r w:rsidRPr="00C94C33">
              <w:t>The disappearance of all target lesions. Any pathological lymph nodes must have reduction in short axis to &lt;10 mm.</w:t>
            </w:r>
          </w:p>
        </w:tc>
      </w:tr>
      <w:tr w:rsidR="00DF61BC" w:rsidRPr="00C94C33" w14:paraId="256D327B" w14:textId="77777777" w:rsidTr="00766E0D">
        <w:tc>
          <w:tcPr>
            <w:tcW w:w="2093" w:type="dxa"/>
            <w:tcBorders>
              <w:top w:val="nil"/>
              <w:left w:val="single" w:sz="4" w:space="0" w:color="auto"/>
              <w:bottom w:val="nil"/>
              <w:right w:val="nil"/>
            </w:tcBorders>
            <w:shd w:val="clear" w:color="auto" w:fill="auto"/>
          </w:tcPr>
          <w:p w14:paraId="759EB4F4" w14:textId="4BB46505" w:rsidR="00DF61BC" w:rsidRPr="00C94C33" w:rsidRDefault="00EF7F6D" w:rsidP="00EF7F6D">
            <w:pPr>
              <w:pStyle w:val="Tabletext"/>
            </w:pPr>
            <w:r>
              <w:t>Partial Response (PR)</w:t>
            </w:r>
          </w:p>
        </w:tc>
        <w:tc>
          <w:tcPr>
            <w:tcW w:w="7455" w:type="dxa"/>
            <w:tcBorders>
              <w:top w:val="nil"/>
              <w:left w:val="nil"/>
              <w:bottom w:val="nil"/>
              <w:right w:val="single" w:sz="4" w:space="0" w:color="auto"/>
            </w:tcBorders>
            <w:shd w:val="clear" w:color="auto" w:fill="auto"/>
          </w:tcPr>
          <w:p w14:paraId="6490E34F" w14:textId="77777777" w:rsidR="00DF61BC" w:rsidRPr="00C94C33" w:rsidRDefault="00DF61BC" w:rsidP="00EF7F6D">
            <w:pPr>
              <w:pStyle w:val="Tabletext"/>
            </w:pPr>
            <w:r w:rsidRPr="00C94C33">
              <w:t>At least a 30% decrease in the sum of diameters of the target lesions, taking as a reference the baseline sum diameters.</w:t>
            </w:r>
          </w:p>
        </w:tc>
      </w:tr>
      <w:tr w:rsidR="00DF61BC" w:rsidRPr="00C94C33" w14:paraId="0754F03D" w14:textId="77777777" w:rsidTr="00766E0D">
        <w:tc>
          <w:tcPr>
            <w:tcW w:w="2093" w:type="dxa"/>
            <w:tcBorders>
              <w:top w:val="nil"/>
              <w:left w:val="single" w:sz="4" w:space="0" w:color="auto"/>
              <w:bottom w:val="nil"/>
              <w:right w:val="nil"/>
            </w:tcBorders>
            <w:shd w:val="clear" w:color="auto" w:fill="auto"/>
          </w:tcPr>
          <w:p w14:paraId="64D7DE43" w14:textId="456CB3FB" w:rsidR="00DF61BC" w:rsidRPr="00C94C33" w:rsidRDefault="00EF7F6D" w:rsidP="00EF7F6D">
            <w:pPr>
              <w:pStyle w:val="Tabletext"/>
            </w:pPr>
            <w:r>
              <w:t>Progressive Disease (PD)</w:t>
            </w:r>
          </w:p>
        </w:tc>
        <w:tc>
          <w:tcPr>
            <w:tcW w:w="7455" w:type="dxa"/>
            <w:tcBorders>
              <w:top w:val="nil"/>
              <w:left w:val="nil"/>
              <w:bottom w:val="nil"/>
              <w:right w:val="single" w:sz="4" w:space="0" w:color="auto"/>
            </w:tcBorders>
            <w:shd w:val="clear" w:color="auto" w:fill="auto"/>
          </w:tcPr>
          <w:p w14:paraId="48768EE6" w14:textId="77777777" w:rsidR="00DF61BC" w:rsidRPr="00C94C33" w:rsidRDefault="00DF61BC" w:rsidP="00EF7F6D">
            <w:pPr>
              <w:pStyle w:val="Tabletext"/>
            </w:pPr>
            <w:r w:rsidRPr="00C94C33">
              <w:t>At least a 20% increase in the sum of diameters of the target lesions, taking as a reference the smallest sum on study, including the baseline sum. In addition to the relative increase of 20%, the sum must also demonstrate an absolute increase of at least 5 mm. Definitive new lesion presence also indicates progression.</w:t>
            </w:r>
          </w:p>
        </w:tc>
      </w:tr>
      <w:tr w:rsidR="00DF61BC" w:rsidRPr="00C94C33" w14:paraId="6B0220B2" w14:textId="77777777" w:rsidTr="00766E0D">
        <w:tc>
          <w:tcPr>
            <w:tcW w:w="2093" w:type="dxa"/>
            <w:tcBorders>
              <w:top w:val="nil"/>
              <w:left w:val="single" w:sz="4" w:space="0" w:color="auto"/>
              <w:right w:val="nil"/>
            </w:tcBorders>
            <w:shd w:val="clear" w:color="auto" w:fill="auto"/>
          </w:tcPr>
          <w:p w14:paraId="38239B46" w14:textId="07A61F08" w:rsidR="00DF61BC" w:rsidRPr="00C94C33" w:rsidRDefault="00EF7F6D" w:rsidP="00EF7F6D">
            <w:pPr>
              <w:pStyle w:val="Tabletext"/>
            </w:pPr>
            <w:r>
              <w:t>Stable Disease (SD)</w:t>
            </w:r>
          </w:p>
        </w:tc>
        <w:tc>
          <w:tcPr>
            <w:tcW w:w="7455" w:type="dxa"/>
            <w:tcBorders>
              <w:top w:val="nil"/>
              <w:left w:val="nil"/>
              <w:right w:val="single" w:sz="4" w:space="0" w:color="auto"/>
            </w:tcBorders>
            <w:shd w:val="clear" w:color="auto" w:fill="auto"/>
          </w:tcPr>
          <w:p w14:paraId="4908A080" w14:textId="77777777" w:rsidR="00DF61BC" w:rsidRPr="00C94C33" w:rsidRDefault="00DF61BC" w:rsidP="00EF7F6D">
            <w:pPr>
              <w:pStyle w:val="Tabletext"/>
            </w:pPr>
            <w:r w:rsidRPr="00C94C33">
              <w:t>Neither sufficient shrinkage to qualify for PR nor sufficient increase to qualify for PD, taking as a reference the smallest sum diameters while on study.</w:t>
            </w:r>
          </w:p>
        </w:tc>
      </w:tr>
      <w:tr w:rsidR="00DF61BC" w:rsidRPr="00C94C33" w14:paraId="4E294356" w14:textId="77777777" w:rsidTr="007E369E">
        <w:trPr>
          <w:trHeight w:val="113"/>
        </w:trPr>
        <w:tc>
          <w:tcPr>
            <w:tcW w:w="9548" w:type="dxa"/>
            <w:gridSpan w:val="2"/>
            <w:tcBorders>
              <w:left w:val="single" w:sz="4" w:space="0" w:color="auto"/>
              <w:bottom w:val="nil"/>
              <w:right w:val="single" w:sz="4" w:space="0" w:color="auto"/>
            </w:tcBorders>
            <w:shd w:val="clear" w:color="auto" w:fill="auto"/>
          </w:tcPr>
          <w:p w14:paraId="4BAD3078" w14:textId="77777777" w:rsidR="00DF61BC" w:rsidRPr="00C94C33" w:rsidRDefault="00DF61BC" w:rsidP="00EF7F6D">
            <w:pPr>
              <w:pStyle w:val="TableHeading"/>
              <w:jc w:val="center"/>
            </w:pPr>
            <w:r w:rsidRPr="00C94C33">
              <w:t>Non-Target Lesions</w:t>
            </w:r>
          </w:p>
        </w:tc>
      </w:tr>
      <w:tr w:rsidR="00DF61BC" w:rsidRPr="00C94C33" w14:paraId="2D5E8918" w14:textId="77777777" w:rsidTr="007E369E">
        <w:trPr>
          <w:trHeight w:val="57"/>
        </w:trPr>
        <w:tc>
          <w:tcPr>
            <w:tcW w:w="2093" w:type="dxa"/>
            <w:tcBorders>
              <w:top w:val="nil"/>
              <w:left w:val="single" w:sz="4" w:space="0" w:color="auto"/>
              <w:bottom w:val="single" w:sz="4" w:space="0" w:color="auto"/>
              <w:right w:val="nil"/>
            </w:tcBorders>
            <w:shd w:val="clear" w:color="auto" w:fill="auto"/>
          </w:tcPr>
          <w:p w14:paraId="2009089F" w14:textId="77777777" w:rsidR="00DF61BC" w:rsidRPr="007E369E" w:rsidRDefault="00DF61BC" w:rsidP="00EF7F6D">
            <w:pPr>
              <w:pStyle w:val="TableHeading"/>
              <w:jc w:val="center"/>
              <w:rPr>
                <w:b w:val="0"/>
                <w:sz w:val="20"/>
                <w:szCs w:val="20"/>
              </w:rPr>
            </w:pPr>
            <w:r w:rsidRPr="007E369E">
              <w:rPr>
                <w:b w:val="0"/>
                <w:sz w:val="20"/>
                <w:szCs w:val="20"/>
              </w:rPr>
              <w:t>Lesion Response</w:t>
            </w:r>
          </w:p>
        </w:tc>
        <w:tc>
          <w:tcPr>
            <w:tcW w:w="7455" w:type="dxa"/>
            <w:tcBorders>
              <w:top w:val="nil"/>
              <w:left w:val="nil"/>
              <w:bottom w:val="single" w:sz="4" w:space="0" w:color="auto"/>
              <w:right w:val="single" w:sz="4" w:space="0" w:color="auto"/>
            </w:tcBorders>
            <w:shd w:val="clear" w:color="auto" w:fill="auto"/>
          </w:tcPr>
          <w:p w14:paraId="159C6F17" w14:textId="51E22271" w:rsidR="00DF61BC" w:rsidRPr="007E369E" w:rsidRDefault="00DF61BC" w:rsidP="00EF7F6D">
            <w:pPr>
              <w:pStyle w:val="TableHeading"/>
              <w:jc w:val="center"/>
              <w:rPr>
                <w:b w:val="0"/>
                <w:sz w:val="20"/>
                <w:szCs w:val="20"/>
              </w:rPr>
            </w:pPr>
            <w:r w:rsidRPr="007E369E">
              <w:rPr>
                <w:b w:val="0"/>
                <w:sz w:val="20"/>
                <w:szCs w:val="20"/>
              </w:rPr>
              <w:t>Definition</w:t>
            </w:r>
          </w:p>
        </w:tc>
      </w:tr>
      <w:tr w:rsidR="00DF61BC" w:rsidRPr="00C94C33" w14:paraId="66AAFBC2" w14:textId="77777777" w:rsidTr="00766E0D">
        <w:tc>
          <w:tcPr>
            <w:tcW w:w="2093" w:type="dxa"/>
            <w:tcBorders>
              <w:top w:val="single" w:sz="4" w:space="0" w:color="auto"/>
              <w:left w:val="single" w:sz="4" w:space="0" w:color="auto"/>
              <w:bottom w:val="nil"/>
              <w:right w:val="nil"/>
            </w:tcBorders>
            <w:shd w:val="clear" w:color="auto" w:fill="auto"/>
          </w:tcPr>
          <w:p w14:paraId="1EBE18FD" w14:textId="77777777" w:rsidR="00DF61BC" w:rsidRPr="00C94C33" w:rsidRDefault="00DF61BC" w:rsidP="00EF7F6D">
            <w:pPr>
              <w:pStyle w:val="Tabletext"/>
            </w:pPr>
            <w:r w:rsidRPr="00C94C33">
              <w:t>Complete Response (CR)</w:t>
            </w:r>
          </w:p>
        </w:tc>
        <w:tc>
          <w:tcPr>
            <w:tcW w:w="7455" w:type="dxa"/>
            <w:tcBorders>
              <w:top w:val="single" w:sz="4" w:space="0" w:color="auto"/>
              <w:left w:val="nil"/>
              <w:bottom w:val="nil"/>
              <w:right w:val="single" w:sz="4" w:space="0" w:color="auto"/>
            </w:tcBorders>
            <w:shd w:val="clear" w:color="auto" w:fill="auto"/>
          </w:tcPr>
          <w:p w14:paraId="7DD16F62" w14:textId="651D3D71" w:rsidR="00DF61BC" w:rsidRPr="00C94C33" w:rsidRDefault="00DF61BC" w:rsidP="00EF7F6D">
            <w:pPr>
              <w:pStyle w:val="Tabletext"/>
            </w:pPr>
            <w:r w:rsidRPr="00C94C33">
              <w:t>The disappearance of all non-target lesions. All lymph nodes must be non-pathological morphologically (</w:t>
            </w:r>
            <w:r w:rsidR="00B2072D" w:rsidRPr="00C94C33">
              <w:t>that is,</w:t>
            </w:r>
            <w:r w:rsidRPr="00C94C33">
              <w:t xml:space="preserve"> &lt;10 mm in short axis in size).</w:t>
            </w:r>
          </w:p>
        </w:tc>
      </w:tr>
      <w:tr w:rsidR="00DF61BC" w:rsidRPr="00C94C33" w14:paraId="21C03075" w14:textId="77777777" w:rsidTr="00766E0D">
        <w:tc>
          <w:tcPr>
            <w:tcW w:w="2093" w:type="dxa"/>
            <w:tcBorders>
              <w:top w:val="nil"/>
              <w:left w:val="single" w:sz="4" w:space="0" w:color="auto"/>
              <w:bottom w:val="nil"/>
              <w:right w:val="nil"/>
            </w:tcBorders>
            <w:shd w:val="clear" w:color="auto" w:fill="auto"/>
          </w:tcPr>
          <w:p w14:paraId="488936BD" w14:textId="7F4E345B" w:rsidR="00DF61BC" w:rsidRPr="00C94C33" w:rsidRDefault="00EF7F6D" w:rsidP="00EF7F6D">
            <w:pPr>
              <w:pStyle w:val="Tabletext"/>
            </w:pPr>
            <w:r>
              <w:t>Non-CR/Non-PD</w:t>
            </w:r>
          </w:p>
        </w:tc>
        <w:tc>
          <w:tcPr>
            <w:tcW w:w="7455" w:type="dxa"/>
            <w:tcBorders>
              <w:top w:val="nil"/>
              <w:left w:val="nil"/>
              <w:bottom w:val="nil"/>
              <w:right w:val="single" w:sz="4" w:space="0" w:color="auto"/>
            </w:tcBorders>
            <w:shd w:val="clear" w:color="auto" w:fill="auto"/>
          </w:tcPr>
          <w:p w14:paraId="5305D4C3" w14:textId="77777777" w:rsidR="00DF61BC" w:rsidRPr="00C94C33" w:rsidRDefault="00DF61BC" w:rsidP="00EF7F6D">
            <w:pPr>
              <w:pStyle w:val="Tabletext"/>
            </w:pPr>
            <w:r w:rsidRPr="00C94C33">
              <w:t xml:space="preserve">A persistence of </w:t>
            </w:r>
            <w:r w:rsidRPr="00C94C33">
              <w:rPr>
                <w:rFonts w:eastAsia="SymbolMT"/>
              </w:rPr>
              <w:t>≥</w:t>
            </w:r>
            <w:r w:rsidRPr="00C94C33">
              <w:t>1 non-target lesion(s)/ not reaching the extent of ‘unequivocal progression.’</w:t>
            </w:r>
          </w:p>
        </w:tc>
      </w:tr>
      <w:tr w:rsidR="00DF61BC" w:rsidRPr="00C94C33" w14:paraId="589B62C0" w14:textId="77777777" w:rsidTr="00766E0D">
        <w:tc>
          <w:tcPr>
            <w:tcW w:w="2093" w:type="dxa"/>
            <w:tcBorders>
              <w:top w:val="nil"/>
              <w:left w:val="single" w:sz="4" w:space="0" w:color="auto"/>
              <w:right w:val="nil"/>
            </w:tcBorders>
            <w:shd w:val="clear" w:color="auto" w:fill="auto"/>
          </w:tcPr>
          <w:p w14:paraId="650FB665" w14:textId="629EBFA8" w:rsidR="00DF61BC" w:rsidRPr="00C94C33" w:rsidRDefault="00EF7F6D" w:rsidP="00EF7F6D">
            <w:pPr>
              <w:pStyle w:val="Tabletext"/>
            </w:pPr>
            <w:r>
              <w:t>Progressive Disease (PD)</w:t>
            </w:r>
          </w:p>
        </w:tc>
        <w:tc>
          <w:tcPr>
            <w:tcW w:w="7455" w:type="dxa"/>
            <w:tcBorders>
              <w:top w:val="nil"/>
              <w:left w:val="nil"/>
              <w:right w:val="single" w:sz="4" w:space="0" w:color="auto"/>
            </w:tcBorders>
            <w:shd w:val="clear" w:color="auto" w:fill="auto"/>
          </w:tcPr>
          <w:p w14:paraId="26D51BE2" w14:textId="42E1FB25" w:rsidR="00DF61BC" w:rsidRPr="00C94C33" w:rsidRDefault="00DF61BC" w:rsidP="00EF7F6D">
            <w:pPr>
              <w:pStyle w:val="Tabletext"/>
            </w:pPr>
            <w:r w:rsidRPr="00C94C33">
              <w:t>Unequivocal progression of existing non-target lesions (</w:t>
            </w:r>
            <w:r w:rsidR="00B2072D" w:rsidRPr="00C94C33">
              <w:t>that is,</w:t>
            </w:r>
            <w:r w:rsidRPr="00C94C33">
              <w:t xml:space="preserve"> substantial worsening in non-target disease such that, even in the presence of SD or PR in target disease, the overall tumour burden has increased sufficiently to mer</w:t>
            </w:r>
            <w:r w:rsidR="00EF7F6D">
              <w:t>it discontinuation of therapy).</w:t>
            </w:r>
          </w:p>
        </w:tc>
      </w:tr>
    </w:tbl>
    <w:p w14:paraId="5C283BB0" w14:textId="55E89E92" w:rsidR="00DF61BC" w:rsidRPr="00C94C33" w:rsidRDefault="00DF61BC" w:rsidP="00766E0D">
      <w:pPr>
        <w:autoSpaceDE w:val="0"/>
        <w:autoSpaceDN w:val="0"/>
        <w:adjustRightInd w:val="0"/>
        <w:rPr>
          <w:rFonts w:asciiTheme="minorHAnsi" w:hAnsiTheme="minorHAnsi"/>
        </w:rPr>
      </w:pPr>
      <w:r w:rsidRPr="00C94C33">
        <w:rPr>
          <w:rFonts w:asciiTheme="minorHAnsi" w:hAnsiTheme="minorHAnsi"/>
        </w:rPr>
        <w:t xml:space="preserve">The overall response assessment criteria for patients with target (± non-target disease) and for patients with only non-target disease are summarised </w:t>
      </w:r>
      <w:r w:rsidR="006C0B37" w:rsidRPr="00C94C33">
        <w:rPr>
          <w:rFonts w:asciiTheme="minorHAnsi" w:hAnsiTheme="minorHAnsi"/>
        </w:rPr>
        <w:t>below</w:t>
      </w:r>
      <w:r w:rsidR="00EF7F6D">
        <w:rPr>
          <w:rFonts w:asciiTheme="minorHAnsi" w:hAnsiTheme="minorHAnsi"/>
        </w:rPr>
        <w:t>.</w:t>
      </w:r>
    </w:p>
    <w:p w14:paraId="0E86A3E9" w14:textId="12DDCB9D" w:rsidR="00DF61BC" w:rsidRPr="00C94C33" w:rsidRDefault="00DF61BC" w:rsidP="007E369E">
      <w:pPr>
        <w:pStyle w:val="Tabletitle"/>
        <w:spacing w:after="120" w:line="240" w:lineRule="auto"/>
      </w:pPr>
      <w:bookmarkStart w:id="217" w:name="_Toc470948678"/>
      <w:r w:rsidRPr="00C94C33">
        <w:t>Table</w:t>
      </w:r>
      <w:r w:rsidR="006C0B37" w:rsidRPr="00C94C33">
        <w:t xml:space="preserve"> 29</w:t>
      </w:r>
      <w:r w:rsidRPr="00C94C33">
        <w:t>: RECOURSE</w:t>
      </w:r>
      <w:r w:rsidR="00344F75">
        <w:t xml:space="preserve">; </w:t>
      </w:r>
      <w:r w:rsidRPr="00C94C33">
        <w:t>Overall response criteria</w:t>
      </w:r>
      <w:bookmarkEnd w:id="217"/>
    </w:p>
    <w:tbl>
      <w:tblPr>
        <w:tblStyle w:val="TableGrid"/>
        <w:tblW w:w="0" w:type="auto"/>
        <w:tblLook w:val="04A0" w:firstRow="1" w:lastRow="0" w:firstColumn="1" w:lastColumn="0" w:noHBand="0" w:noVBand="1"/>
        <w:tblDescription w:val="Table 29: RECOURSE; Overall response criteria"/>
      </w:tblPr>
      <w:tblGrid>
        <w:gridCol w:w="1526"/>
        <w:gridCol w:w="3248"/>
        <w:gridCol w:w="1288"/>
        <w:gridCol w:w="3486"/>
      </w:tblGrid>
      <w:tr w:rsidR="00DF61BC" w:rsidRPr="00C94C33" w14:paraId="77C21939" w14:textId="77777777" w:rsidTr="00EF7F6D">
        <w:trPr>
          <w:tblHeader/>
        </w:trPr>
        <w:tc>
          <w:tcPr>
            <w:tcW w:w="9548" w:type="dxa"/>
            <w:gridSpan w:val="4"/>
            <w:tcBorders>
              <w:left w:val="single" w:sz="4" w:space="0" w:color="auto"/>
              <w:bottom w:val="nil"/>
              <w:right w:val="single" w:sz="4" w:space="0" w:color="auto"/>
            </w:tcBorders>
            <w:shd w:val="clear" w:color="auto" w:fill="auto"/>
          </w:tcPr>
          <w:p w14:paraId="5E4AD45F" w14:textId="77777777" w:rsidR="00DF61BC" w:rsidRPr="00C94C33" w:rsidRDefault="00DF61BC" w:rsidP="00EF7F6D">
            <w:pPr>
              <w:pStyle w:val="TableHeading"/>
              <w:jc w:val="center"/>
            </w:pPr>
            <w:r w:rsidRPr="00C94C33">
              <w:t>Time point response for patients with target (± non-target) disease</w:t>
            </w:r>
          </w:p>
        </w:tc>
      </w:tr>
      <w:tr w:rsidR="00DF61BC" w:rsidRPr="00C94C33" w14:paraId="3E2940D2" w14:textId="77777777" w:rsidTr="00EF7F6D">
        <w:tc>
          <w:tcPr>
            <w:tcW w:w="1526" w:type="dxa"/>
            <w:tcBorders>
              <w:top w:val="nil"/>
              <w:left w:val="single" w:sz="4" w:space="0" w:color="auto"/>
              <w:right w:val="nil"/>
            </w:tcBorders>
            <w:shd w:val="clear" w:color="auto" w:fill="auto"/>
          </w:tcPr>
          <w:p w14:paraId="6C4EA24E" w14:textId="726C9361" w:rsidR="00DF61BC" w:rsidRPr="00EF7F6D" w:rsidRDefault="00DF61BC" w:rsidP="00EF7F6D">
            <w:pPr>
              <w:pStyle w:val="TableHeading"/>
              <w:jc w:val="center"/>
              <w:rPr>
                <w:sz w:val="20"/>
                <w:szCs w:val="20"/>
              </w:rPr>
            </w:pPr>
            <w:r w:rsidRPr="00EF7F6D">
              <w:rPr>
                <w:bCs/>
                <w:sz w:val="20"/>
                <w:szCs w:val="20"/>
              </w:rPr>
              <w:t>Target Lesions</w:t>
            </w:r>
          </w:p>
        </w:tc>
        <w:tc>
          <w:tcPr>
            <w:tcW w:w="3248" w:type="dxa"/>
            <w:tcBorders>
              <w:top w:val="nil"/>
              <w:left w:val="nil"/>
              <w:right w:val="nil"/>
            </w:tcBorders>
            <w:shd w:val="clear" w:color="auto" w:fill="auto"/>
          </w:tcPr>
          <w:p w14:paraId="1FB57B41" w14:textId="77777777" w:rsidR="00DF61BC" w:rsidRPr="00EF7F6D" w:rsidRDefault="00DF61BC" w:rsidP="00EF7F6D">
            <w:pPr>
              <w:pStyle w:val="TableHeading"/>
              <w:jc w:val="center"/>
              <w:rPr>
                <w:sz w:val="20"/>
                <w:szCs w:val="20"/>
              </w:rPr>
            </w:pPr>
            <w:r w:rsidRPr="00EF7F6D">
              <w:rPr>
                <w:bCs/>
                <w:sz w:val="20"/>
                <w:szCs w:val="20"/>
              </w:rPr>
              <w:t>Non-target Lesions</w:t>
            </w:r>
          </w:p>
        </w:tc>
        <w:tc>
          <w:tcPr>
            <w:tcW w:w="1288" w:type="dxa"/>
            <w:tcBorders>
              <w:top w:val="nil"/>
              <w:left w:val="nil"/>
              <w:right w:val="nil"/>
            </w:tcBorders>
            <w:shd w:val="clear" w:color="auto" w:fill="auto"/>
          </w:tcPr>
          <w:p w14:paraId="10463C44" w14:textId="77777777" w:rsidR="00DF61BC" w:rsidRPr="00EF7F6D" w:rsidRDefault="00DF61BC" w:rsidP="00EF7F6D">
            <w:pPr>
              <w:pStyle w:val="TableHeading"/>
              <w:jc w:val="center"/>
              <w:rPr>
                <w:sz w:val="20"/>
                <w:szCs w:val="20"/>
              </w:rPr>
            </w:pPr>
            <w:r w:rsidRPr="00EF7F6D">
              <w:rPr>
                <w:bCs/>
                <w:sz w:val="20"/>
                <w:szCs w:val="20"/>
              </w:rPr>
              <w:t>New Lesions</w:t>
            </w:r>
          </w:p>
        </w:tc>
        <w:tc>
          <w:tcPr>
            <w:tcW w:w="3486" w:type="dxa"/>
            <w:tcBorders>
              <w:top w:val="nil"/>
              <w:left w:val="nil"/>
              <w:right w:val="single" w:sz="4" w:space="0" w:color="auto"/>
            </w:tcBorders>
            <w:shd w:val="clear" w:color="auto" w:fill="auto"/>
          </w:tcPr>
          <w:p w14:paraId="7182B366" w14:textId="77777777" w:rsidR="00DF61BC" w:rsidRPr="00EF7F6D" w:rsidRDefault="00DF61BC" w:rsidP="00EF7F6D">
            <w:pPr>
              <w:pStyle w:val="TableHeading"/>
              <w:jc w:val="center"/>
              <w:rPr>
                <w:sz w:val="20"/>
                <w:szCs w:val="20"/>
              </w:rPr>
            </w:pPr>
            <w:r w:rsidRPr="00EF7F6D">
              <w:rPr>
                <w:bCs/>
                <w:sz w:val="20"/>
                <w:szCs w:val="20"/>
              </w:rPr>
              <w:t>Overall Response</w:t>
            </w:r>
          </w:p>
        </w:tc>
      </w:tr>
      <w:tr w:rsidR="00DF61BC" w:rsidRPr="00C94C33" w14:paraId="53BEBABF" w14:textId="77777777" w:rsidTr="00766E0D">
        <w:tc>
          <w:tcPr>
            <w:tcW w:w="1526" w:type="dxa"/>
            <w:tcBorders>
              <w:left w:val="single" w:sz="4" w:space="0" w:color="auto"/>
              <w:bottom w:val="nil"/>
              <w:right w:val="nil"/>
            </w:tcBorders>
            <w:shd w:val="clear" w:color="auto" w:fill="auto"/>
          </w:tcPr>
          <w:p w14:paraId="4FA8A05D" w14:textId="77777777" w:rsidR="00DF61BC" w:rsidRPr="00C94C33" w:rsidRDefault="00DF61BC" w:rsidP="00EF7F6D">
            <w:pPr>
              <w:pStyle w:val="Tabletext"/>
            </w:pPr>
            <w:r w:rsidRPr="00C94C33">
              <w:t xml:space="preserve">CR </w:t>
            </w:r>
          </w:p>
        </w:tc>
        <w:tc>
          <w:tcPr>
            <w:tcW w:w="3248" w:type="dxa"/>
            <w:tcBorders>
              <w:left w:val="nil"/>
              <w:bottom w:val="nil"/>
              <w:right w:val="nil"/>
            </w:tcBorders>
            <w:shd w:val="clear" w:color="auto" w:fill="auto"/>
          </w:tcPr>
          <w:p w14:paraId="131CF517" w14:textId="77777777" w:rsidR="00DF61BC" w:rsidRPr="00C94C33" w:rsidRDefault="00DF61BC" w:rsidP="00EF7F6D">
            <w:pPr>
              <w:pStyle w:val="Tabletext"/>
            </w:pPr>
            <w:r w:rsidRPr="00C94C33">
              <w:t xml:space="preserve">CR </w:t>
            </w:r>
          </w:p>
        </w:tc>
        <w:tc>
          <w:tcPr>
            <w:tcW w:w="1288" w:type="dxa"/>
            <w:tcBorders>
              <w:left w:val="nil"/>
              <w:bottom w:val="nil"/>
              <w:right w:val="nil"/>
            </w:tcBorders>
            <w:shd w:val="clear" w:color="auto" w:fill="auto"/>
          </w:tcPr>
          <w:p w14:paraId="58F33D02" w14:textId="77777777" w:rsidR="00DF61BC" w:rsidRPr="00C94C33" w:rsidRDefault="00DF61BC" w:rsidP="00EF7F6D">
            <w:pPr>
              <w:pStyle w:val="Tabletext"/>
            </w:pPr>
            <w:r w:rsidRPr="00C94C33">
              <w:t>No</w:t>
            </w:r>
          </w:p>
        </w:tc>
        <w:tc>
          <w:tcPr>
            <w:tcW w:w="3486" w:type="dxa"/>
            <w:tcBorders>
              <w:left w:val="nil"/>
              <w:bottom w:val="nil"/>
              <w:right w:val="single" w:sz="4" w:space="0" w:color="auto"/>
            </w:tcBorders>
            <w:shd w:val="clear" w:color="auto" w:fill="auto"/>
          </w:tcPr>
          <w:p w14:paraId="067864C6" w14:textId="77777777" w:rsidR="00DF61BC" w:rsidRPr="00C94C33" w:rsidRDefault="00DF61BC" w:rsidP="00EF7F6D">
            <w:pPr>
              <w:pStyle w:val="Tabletext"/>
            </w:pPr>
            <w:r w:rsidRPr="00C94C33">
              <w:t xml:space="preserve">CR (tumour marker must have normalised) </w:t>
            </w:r>
          </w:p>
        </w:tc>
      </w:tr>
      <w:tr w:rsidR="00DF61BC" w:rsidRPr="00C94C33" w14:paraId="0083C8F0" w14:textId="77777777" w:rsidTr="00766E0D">
        <w:tc>
          <w:tcPr>
            <w:tcW w:w="1526" w:type="dxa"/>
            <w:tcBorders>
              <w:top w:val="nil"/>
              <w:left w:val="single" w:sz="4" w:space="0" w:color="auto"/>
              <w:bottom w:val="nil"/>
              <w:right w:val="nil"/>
            </w:tcBorders>
            <w:shd w:val="clear" w:color="auto" w:fill="auto"/>
          </w:tcPr>
          <w:p w14:paraId="570F21C7" w14:textId="77777777" w:rsidR="00DF61BC" w:rsidRPr="00C94C33" w:rsidRDefault="00DF61BC" w:rsidP="00EF7F6D">
            <w:pPr>
              <w:pStyle w:val="Tabletext"/>
            </w:pPr>
            <w:r w:rsidRPr="00C94C33">
              <w:t xml:space="preserve">CR </w:t>
            </w:r>
          </w:p>
        </w:tc>
        <w:tc>
          <w:tcPr>
            <w:tcW w:w="3248" w:type="dxa"/>
            <w:tcBorders>
              <w:top w:val="nil"/>
              <w:left w:val="nil"/>
              <w:bottom w:val="nil"/>
              <w:right w:val="nil"/>
            </w:tcBorders>
            <w:shd w:val="clear" w:color="auto" w:fill="auto"/>
          </w:tcPr>
          <w:p w14:paraId="7A8FBAD0" w14:textId="77777777" w:rsidR="00DF61BC" w:rsidRPr="00C94C33" w:rsidRDefault="00DF61BC" w:rsidP="00EF7F6D">
            <w:pPr>
              <w:pStyle w:val="Tabletext"/>
            </w:pPr>
            <w:r w:rsidRPr="00C94C33">
              <w:t>Non-CR/Non-PD or Not all evaluated</w:t>
            </w:r>
          </w:p>
        </w:tc>
        <w:tc>
          <w:tcPr>
            <w:tcW w:w="1288" w:type="dxa"/>
            <w:tcBorders>
              <w:top w:val="nil"/>
              <w:left w:val="nil"/>
              <w:bottom w:val="nil"/>
              <w:right w:val="nil"/>
            </w:tcBorders>
            <w:shd w:val="clear" w:color="auto" w:fill="auto"/>
          </w:tcPr>
          <w:p w14:paraId="76FEB080" w14:textId="77777777" w:rsidR="00DF61BC" w:rsidRPr="00C94C33" w:rsidRDefault="00DF61BC" w:rsidP="00EF7F6D">
            <w:pPr>
              <w:pStyle w:val="Tabletext"/>
            </w:pPr>
            <w:r w:rsidRPr="00C94C33">
              <w:t>No</w:t>
            </w:r>
          </w:p>
        </w:tc>
        <w:tc>
          <w:tcPr>
            <w:tcW w:w="3486" w:type="dxa"/>
            <w:tcBorders>
              <w:top w:val="nil"/>
              <w:left w:val="nil"/>
              <w:bottom w:val="nil"/>
              <w:right w:val="single" w:sz="4" w:space="0" w:color="auto"/>
            </w:tcBorders>
            <w:shd w:val="clear" w:color="auto" w:fill="auto"/>
          </w:tcPr>
          <w:p w14:paraId="23C610EB" w14:textId="77777777" w:rsidR="00DF61BC" w:rsidRPr="00C94C33" w:rsidRDefault="00DF61BC" w:rsidP="00EF7F6D">
            <w:pPr>
              <w:pStyle w:val="Tabletext"/>
            </w:pPr>
            <w:r w:rsidRPr="00C94C33">
              <w:t>PR</w:t>
            </w:r>
          </w:p>
        </w:tc>
      </w:tr>
      <w:tr w:rsidR="00DF61BC" w:rsidRPr="00C94C33" w14:paraId="4033B795" w14:textId="77777777" w:rsidTr="00766E0D">
        <w:tc>
          <w:tcPr>
            <w:tcW w:w="1526" w:type="dxa"/>
            <w:tcBorders>
              <w:top w:val="nil"/>
              <w:left w:val="single" w:sz="4" w:space="0" w:color="auto"/>
              <w:bottom w:val="nil"/>
              <w:right w:val="nil"/>
            </w:tcBorders>
            <w:shd w:val="clear" w:color="auto" w:fill="auto"/>
          </w:tcPr>
          <w:p w14:paraId="5AC05030" w14:textId="77777777" w:rsidR="00DF61BC" w:rsidRPr="00C94C33" w:rsidRDefault="00DF61BC" w:rsidP="00EF7F6D">
            <w:pPr>
              <w:pStyle w:val="Tabletext"/>
            </w:pPr>
            <w:r w:rsidRPr="00C94C33">
              <w:t xml:space="preserve">PR </w:t>
            </w:r>
          </w:p>
        </w:tc>
        <w:tc>
          <w:tcPr>
            <w:tcW w:w="3248" w:type="dxa"/>
            <w:tcBorders>
              <w:top w:val="nil"/>
              <w:left w:val="nil"/>
              <w:bottom w:val="nil"/>
              <w:right w:val="nil"/>
            </w:tcBorders>
            <w:shd w:val="clear" w:color="auto" w:fill="auto"/>
          </w:tcPr>
          <w:p w14:paraId="1ED139B3" w14:textId="77777777" w:rsidR="00DF61BC" w:rsidRPr="00C94C33" w:rsidRDefault="00DF61BC" w:rsidP="00EF7F6D">
            <w:pPr>
              <w:pStyle w:val="Tabletext"/>
            </w:pPr>
            <w:r w:rsidRPr="00C94C33">
              <w:t>Non-CR/Non-PD or Not all evaluated</w:t>
            </w:r>
          </w:p>
        </w:tc>
        <w:tc>
          <w:tcPr>
            <w:tcW w:w="1288" w:type="dxa"/>
            <w:tcBorders>
              <w:top w:val="nil"/>
              <w:left w:val="nil"/>
              <w:bottom w:val="nil"/>
              <w:right w:val="nil"/>
            </w:tcBorders>
            <w:shd w:val="clear" w:color="auto" w:fill="auto"/>
          </w:tcPr>
          <w:p w14:paraId="5B9F5B6C" w14:textId="77777777" w:rsidR="00DF61BC" w:rsidRPr="00C94C33" w:rsidRDefault="00DF61BC" w:rsidP="00EF7F6D">
            <w:pPr>
              <w:pStyle w:val="Tabletext"/>
            </w:pPr>
            <w:r w:rsidRPr="00C94C33">
              <w:t>No</w:t>
            </w:r>
          </w:p>
        </w:tc>
        <w:tc>
          <w:tcPr>
            <w:tcW w:w="3486" w:type="dxa"/>
            <w:tcBorders>
              <w:top w:val="nil"/>
              <w:left w:val="nil"/>
              <w:bottom w:val="nil"/>
              <w:right w:val="single" w:sz="4" w:space="0" w:color="auto"/>
            </w:tcBorders>
            <w:shd w:val="clear" w:color="auto" w:fill="auto"/>
          </w:tcPr>
          <w:p w14:paraId="0B831E72" w14:textId="77777777" w:rsidR="00DF61BC" w:rsidRPr="00C94C33" w:rsidRDefault="00DF61BC" w:rsidP="00EF7F6D">
            <w:pPr>
              <w:pStyle w:val="Tabletext"/>
            </w:pPr>
            <w:r w:rsidRPr="00C94C33">
              <w:t>PR</w:t>
            </w:r>
          </w:p>
        </w:tc>
      </w:tr>
      <w:tr w:rsidR="00DF61BC" w:rsidRPr="00C94C33" w14:paraId="52F29F3B" w14:textId="77777777" w:rsidTr="00766E0D">
        <w:tc>
          <w:tcPr>
            <w:tcW w:w="1526" w:type="dxa"/>
            <w:tcBorders>
              <w:top w:val="nil"/>
              <w:left w:val="single" w:sz="4" w:space="0" w:color="auto"/>
              <w:bottom w:val="nil"/>
              <w:right w:val="nil"/>
            </w:tcBorders>
            <w:shd w:val="clear" w:color="auto" w:fill="auto"/>
          </w:tcPr>
          <w:p w14:paraId="1B16A380" w14:textId="77777777" w:rsidR="00DF61BC" w:rsidRPr="00C94C33" w:rsidRDefault="00DF61BC" w:rsidP="00EF7F6D">
            <w:pPr>
              <w:pStyle w:val="Tabletext"/>
            </w:pPr>
            <w:r w:rsidRPr="00C94C33">
              <w:t xml:space="preserve">SD </w:t>
            </w:r>
          </w:p>
        </w:tc>
        <w:tc>
          <w:tcPr>
            <w:tcW w:w="3248" w:type="dxa"/>
            <w:tcBorders>
              <w:top w:val="nil"/>
              <w:left w:val="nil"/>
              <w:bottom w:val="nil"/>
              <w:right w:val="nil"/>
            </w:tcBorders>
            <w:shd w:val="clear" w:color="auto" w:fill="auto"/>
          </w:tcPr>
          <w:p w14:paraId="4E8B2D35" w14:textId="77777777" w:rsidR="00DF61BC" w:rsidRPr="00C94C33" w:rsidRDefault="00DF61BC" w:rsidP="00EF7F6D">
            <w:pPr>
              <w:pStyle w:val="Tabletext"/>
            </w:pPr>
            <w:r w:rsidRPr="00C94C33">
              <w:t>Non-PD or Not all evaluated</w:t>
            </w:r>
          </w:p>
        </w:tc>
        <w:tc>
          <w:tcPr>
            <w:tcW w:w="1288" w:type="dxa"/>
            <w:tcBorders>
              <w:top w:val="nil"/>
              <w:left w:val="nil"/>
              <w:bottom w:val="nil"/>
              <w:right w:val="nil"/>
            </w:tcBorders>
            <w:shd w:val="clear" w:color="auto" w:fill="auto"/>
          </w:tcPr>
          <w:p w14:paraId="4C521D93" w14:textId="77777777" w:rsidR="00DF61BC" w:rsidRPr="00C94C33" w:rsidRDefault="00DF61BC" w:rsidP="00EF7F6D">
            <w:pPr>
              <w:pStyle w:val="Tabletext"/>
            </w:pPr>
            <w:r w:rsidRPr="00C94C33">
              <w:t>No</w:t>
            </w:r>
          </w:p>
        </w:tc>
        <w:tc>
          <w:tcPr>
            <w:tcW w:w="3486" w:type="dxa"/>
            <w:tcBorders>
              <w:top w:val="nil"/>
              <w:left w:val="nil"/>
              <w:bottom w:val="nil"/>
              <w:right w:val="single" w:sz="4" w:space="0" w:color="auto"/>
            </w:tcBorders>
            <w:shd w:val="clear" w:color="auto" w:fill="auto"/>
          </w:tcPr>
          <w:p w14:paraId="054569A5" w14:textId="77777777" w:rsidR="00DF61BC" w:rsidRPr="00C94C33" w:rsidRDefault="00DF61BC" w:rsidP="00EF7F6D">
            <w:pPr>
              <w:pStyle w:val="Tabletext"/>
            </w:pPr>
            <w:r w:rsidRPr="00C94C33">
              <w:t>SD</w:t>
            </w:r>
          </w:p>
        </w:tc>
      </w:tr>
      <w:tr w:rsidR="00DF61BC" w:rsidRPr="00C94C33" w14:paraId="577CC710" w14:textId="77777777" w:rsidTr="00766E0D">
        <w:tc>
          <w:tcPr>
            <w:tcW w:w="1526" w:type="dxa"/>
            <w:tcBorders>
              <w:top w:val="nil"/>
              <w:left w:val="single" w:sz="4" w:space="0" w:color="auto"/>
              <w:bottom w:val="nil"/>
              <w:right w:val="nil"/>
            </w:tcBorders>
            <w:shd w:val="clear" w:color="auto" w:fill="auto"/>
          </w:tcPr>
          <w:p w14:paraId="40D36E6E" w14:textId="77777777" w:rsidR="00DF61BC" w:rsidRPr="00C94C33" w:rsidRDefault="00DF61BC" w:rsidP="00EF7F6D">
            <w:pPr>
              <w:pStyle w:val="Tabletext"/>
            </w:pPr>
            <w:r w:rsidRPr="00C94C33">
              <w:t xml:space="preserve">Not all evaluated </w:t>
            </w:r>
          </w:p>
        </w:tc>
        <w:tc>
          <w:tcPr>
            <w:tcW w:w="3248" w:type="dxa"/>
            <w:tcBorders>
              <w:top w:val="nil"/>
              <w:left w:val="nil"/>
              <w:bottom w:val="nil"/>
              <w:right w:val="nil"/>
            </w:tcBorders>
            <w:shd w:val="clear" w:color="auto" w:fill="auto"/>
          </w:tcPr>
          <w:p w14:paraId="0A403D31" w14:textId="77777777" w:rsidR="00DF61BC" w:rsidRPr="00C94C33" w:rsidRDefault="00DF61BC" w:rsidP="00EF7F6D">
            <w:pPr>
              <w:pStyle w:val="Tabletext"/>
            </w:pPr>
            <w:r w:rsidRPr="00C94C33">
              <w:t>Non-PD</w:t>
            </w:r>
          </w:p>
        </w:tc>
        <w:tc>
          <w:tcPr>
            <w:tcW w:w="1288" w:type="dxa"/>
            <w:tcBorders>
              <w:top w:val="nil"/>
              <w:left w:val="nil"/>
              <w:bottom w:val="nil"/>
              <w:right w:val="nil"/>
            </w:tcBorders>
            <w:shd w:val="clear" w:color="auto" w:fill="auto"/>
          </w:tcPr>
          <w:p w14:paraId="5D78425D" w14:textId="77777777" w:rsidR="00DF61BC" w:rsidRPr="00C94C33" w:rsidRDefault="00DF61BC" w:rsidP="00EF7F6D">
            <w:pPr>
              <w:pStyle w:val="Tabletext"/>
            </w:pPr>
            <w:r w:rsidRPr="00C94C33">
              <w:t>No</w:t>
            </w:r>
          </w:p>
        </w:tc>
        <w:tc>
          <w:tcPr>
            <w:tcW w:w="3486" w:type="dxa"/>
            <w:tcBorders>
              <w:top w:val="nil"/>
              <w:left w:val="nil"/>
              <w:bottom w:val="nil"/>
              <w:right w:val="single" w:sz="4" w:space="0" w:color="auto"/>
            </w:tcBorders>
            <w:shd w:val="clear" w:color="auto" w:fill="auto"/>
          </w:tcPr>
          <w:p w14:paraId="6996C126" w14:textId="77777777" w:rsidR="00DF61BC" w:rsidRPr="00C94C33" w:rsidRDefault="00DF61BC" w:rsidP="00EF7F6D">
            <w:pPr>
              <w:pStyle w:val="Tabletext"/>
            </w:pPr>
            <w:r w:rsidRPr="00C94C33">
              <w:t>Not evaluable</w:t>
            </w:r>
          </w:p>
        </w:tc>
      </w:tr>
      <w:tr w:rsidR="00DF61BC" w:rsidRPr="00C94C33" w14:paraId="3EF71D84" w14:textId="77777777" w:rsidTr="00766E0D">
        <w:tc>
          <w:tcPr>
            <w:tcW w:w="1526" w:type="dxa"/>
            <w:tcBorders>
              <w:top w:val="nil"/>
              <w:left w:val="single" w:sz="4" w:space="0" w:color="auto"/>
              <w:bottom w:val="nil"/>
              <w:right w:val="nil"/>
            </w:tcBorders>
            <w:shd w:val="clear" w:color="auto" w:fill="auto"/>
          </w:tcPr>
          <w:p w14:paraId="68ED9F1B" w14:textId="77777777" w:rsidR="00DF61BC" w:rsidRPr="00C94C33" w:rsidRDefault="00DF61BC" w:rsidP="00EF7F6D">
            <w:pPr>
              <w:pStyle w:val="Tabletext"/>
            </w:pPr>
            <w:r w:rsidRPr="00C94C33">
              <w:t xml:space="preserve">PD </w:t>
            </w:r>
          </w:p>
        </w:tc>
        <w:tc>
          <w:tcPr>
            <w:tcW w:w="3248" w:type="dxa"/>
            <w:tcBorders>
              <w:top w:val="nil"/>
              <w:left w:val="nil"/>
              <w:bottom w:val="nil"/>
              <w:right w:val="nil"/>
            </w:tcBorders>
            <w:shd w:val="clear" w:color="auto" w:fill="auto"/>
          </w:tcPr>
          <w:p w14:paraId="7EFDB708" w14:textId="77777777" w:rsidR="00DF61BC" w:rsidRPr="00C94C33" w:rsidRDefault="00DF61BC" w:rsidP="00EF7F6D">
            <w:pPr>
              <w:pStyle w:val="Tabletext"/>
            </w:pPr>
            <w:r w:rsidRPr="00C94C33">
              <w:t>Any</w:t>
            </w:r>
          </w:p>
        </w:tc>
        <w:tc>
          <w:tcPr>
            <w:tcW w:w="1288" w:type="dxa"/>
            <w:tcBorders>
              <w:top w:val="nil"/>
              <w:left w:val="nil"/>
              <w:bottom w:val="nil"/>
              <w:right w:val="nil"/>
            </w:tcBorders>
            <w:shd w:val="clear" w:color="auto" w:fill="auto"/>
          </w:tcPr>
          <w:p w14:paraId="6663A125" w14:textId="77777777" w:rsidR="00DF61BC" w:rsidRPr="00C94C33" w:rsidRDefault="00DF61BC" w:rsidP="00EF7F6D">
            <w:pPr>
              <w:pStyle w:val="Tabletext"/>
            </w:pPr>
            <w:r w:rsidRPr="00C94C33">
              <w:t>Yes or No</w:t>
            </w:r>
          </w:p>
        </w:tc>
        <w:tc>
          <w:tcPr>
            <w:tcW w:w="3486" w:type="dxa"/>
            <w:tcBorders>
              <w:top w:val="nil"/>
              <w:left w:val="nil"/>
              <w:bottom w:val="nil"/>
              <w:right w:val="single" w:sz="4" w:space="0" w:color="auto"/>
            </w:tcBorders>
            <w:shd w:val="clear" w:color="auto" w:fill="auto"/>
          </w:tcPr>
          <w:p w14:paraId="1729F05F" w14:textId="77777777" w:rsidR="00DF61BC" w:rsidRPr="00C94C33" w:rsidRDefault="00DF61BC" w:rsidP="00EF7F6D">
            <w:pPr>
              <w:pStyle w:val="Tabletext"/>
            </w:pPr>
            <w:r w:rsidRPr="00C94C33">
              <w:t>PD</w:t>
            </w:r>
          </w:p>
        </w:tc>
      </w:tr>
      <w:tr w:rsidR="00DF61BC" w:rsidRPr="00C94C33" w14:paraId="4969BE77" w14:textId="77777777" w:rsidTr="00766E0D">
        <w:tc>
          <w:tcPr>
            <w:tcW w:w="1526" w:type="dxa"/>
            <w:tcBorders>
              <w:top w:val="nil"/>
              <w:left w:val="single" w:sz="4" w:space="0" w:color="auto"/>
              <w:bottom w:val="nil"/>
              <w:right w:val="nil"/>
            </w:tcBorders>
            <w:shd w:val="clear" w:color="auto" w:fill="auto"/>
          </w:tcPr>
          <w:p w14:paraId="293422DA" w14:textId="77777777" w:rsidR="00DF61BC" w:rsidRPr="00C94C33" w:rsidRDefault="00DF61BC" w:rsidP="00EF7F6D">
            <w:pPr>
              <w:pStyle w:val="Tabletext"/>
            </w:pPr>
            <w:r w:rsidRPr="00C94C33">
              <w:t xml:space="preserve">Any </w:t>
            </w:r>
          </w:p>
        </w:tc>
        <w:tc>
          <w:tcPr>
            <w:tcW w:w="3248" w:type="dxa"/>
            <w:tcBorders>
              <w:top w:val="nil"/>
              <w:left w:val="nil"/>
              <w:bottom w:val="nil"/>
              <w:right w:val="nil"/>
            </w:tcBorders>
            <w:shd w:val="clear" w:color="auto" w:fill="auto"/>
          </w:tcPr>
          <w:p w14:paraId="5029CD20" w14:textId="77777777" w:rsidR="00DF61BC" w:rsidRPr="00C94C33" w:rsidRDefault="00DF61BC" w:rsidP="00EF7F6D">
            <w:pPr>
              <w:pStyle w:val="Tabletext"/>
            </w:pPr>
            <w:r w:rsidRPr="00C94C33">
              <w:t>PD</w:t>
            </w:r>
          </w:p>
        </w:tc>
        <w:tc>
          <w:tcPr>
            <w:tcW w:w="1288" w:type="dxa"/>
            <w:tcBorders>
              <w:top w:val="nil"/>
              <w:left w:val="nil"/>
              <w:bottom w:val="nil"/>
              <w:right w:val="nil"/>
            </w:tcBorders>
            <w:shd w:val="clear" w:color="auto" w:fill="auto"/>
          </w:tcPr>
          <w:p w14:paraId="6EAF2CD9" w14:textId="77777777" w:rsidR="00DF61BC" w:rsidRPr="00C94C33" w:rsidRDefault="00DF61BC" w:rsidP="00EF7F6D">
            <w:pPr>
              <w:pStyle w:val="Tabletext"/>
            </w:pPr>
            <w:r w:rsidRPr="00C94C33">
              <w:t>Yes or No</w:t>
            </w:r>
          </w:p>
        </w:tc>
        <w:tc>
          <w:tcPr>
            <w:tcW w:w="3486" w:type="dxa"/>
            <w:tcBorders>
              <w:top w:val="nil"/>
              <w:left w:val="nil"/>
              <w:bottom w:val="nil"/>
              <w:right w:val="single" w:sz="4" w:space="0" w:color="auto"/>
            </w:tcBorders>
            <w:shd w:val="clear" w:color="auto" w:fill="auto"/>
          </w:tcPr>
          <w:p w14:paraId="51587412" w14:textId="77777777" w:rsidR="00DF61BC" w:rsidRPr="00C94C33" w:rsidRDefault="00DF61BC" w:rsidP="00EF7F6D">
            <w:pPr>
              <w:pStyle w:val="Tabletext"/>
            </w:pPr>
            <w:r w:rsidRPr="00C94C33">
              <w:t>PD</w:t>
            </w:r>
          </w:p>
        </w:tc>
      </w:tr>
      <w:tr w:rsidR="00DF61BC" w:rsidRPr="00C94C33" w14:paraId="0E0BE6FB" w14:textId="77777777" w:rsidTr="00766E0D">
        <w:tc>
          <w:tcPr>
            <w:tcW w:w="1526" w:type="dxa"/>
            <w:tcBorders>
              <w:top w:val="nil"/>
              <w:left w:val="single" w:sz="4" w:space="0" w:color="auto"/>
              <w:bottom w:val="single" w:sz="4" w:space="0" w:color="auto"/>
              <w:right w:val="nil"/>
            </w:tcBorders>
            <w:shd w:val="clear" w:color="auto" w:fill="auto"/>
          </w:tcPr>
          <w:p w14:paraId="78BCB298" w14:textId="77777777" w:rsidR="00DF61BC" w:rsidRPr="00C94C33" w:rsidRDefault="00DF61BC" w:rsidP="00EF7F6D">
            <w:pPr>
              <w:pStyle w:val="Tabletext"/>
            </w:pPr>
            <w:r w:rsidRPr="00C94C33">
              <w:t xml:space="preserve">Any </w:t>
            </w:r>
          </w:p>
        </w:tc>
        <w:tc>
          <w:tcPr>
            <w:tcW w:w="3248" w:type="dxa"/>
            <w:tcBorders>
              <w:top w:val="nil"/>
              <w:left w:val="nil"/>
              <w:bottom w:val="single" w:sz="4" w:space="0" w:color="auto"/>
              <w:right w:val="nil"/>
            </w:tcBorders>
            <w:shd w:val="clear" w:color="auto" w:fill="auto"/>
          </w:tcPr>
          <w:p w14:paraId="7A1C697A" w14:textId="77777777" w:rsidR="00DF61BC" w:rsidRPr="00C94C33" w:rsidRDefault="00DF61BC" w:rsidP="00EF7F6D">
            <w:pPr>
              <w:pStyle w:val="Tabletext"/>
            </w:pPr>
            <w:r w:rsidRPr="00C94C33">
              <w:t>Any</w:t>
            </w:r>
          </w:p>
        </w:tc>
        <w:tc>
          <w:tcPr>
            <w:tcW w:w="1288" w:type="dxa"/>
            <w:tcBorders>
              <w:top w:val="nil"/>
              <w:left w:val="nil"/>
              <w:bottom w:val="single" w:sz="4" w:space="0" w:color="auto"/>
              <w:right w:val="nil"/>
            </w:tcBorders>
            <w:shd w:val="clear" w:color="auto" w:fill="auto"/>
          </w:tcPr>
          <w:p w14:paraId="2F075BB1" w14:textId="77777777" w:rsidR="00DF61BC" w:rsidRPr="00C94C33" w:rsidRDefault="00DF61BC" w:rsidP="00EF7F6D">
            <w:pPr>
              <w:pStyle w:val="Tabletext"/>
            </w:pPr>
            <w:r w:rsidRPr="00C94C33">
              <w:t>Yes</w:t>
            </w:r>
          </w:p>
        </w:tc>
        <w:tc>
          <w:tcPr>
            <w:tcW w:w="3486" w:type="dxa"/>
            <w:tcBorders>
              <w:top w:val="nil"/>
              <w:left w:val="nil"/>
              <w:bottom w:val="single" w:sz="4" w:space="0" w:color="auto"/>
              <w:right w:val="single" w:sz="4" w:space="0" w:color="auto"/>
            </w:tcBorders>
            <w:shd w:val="clear" w:color="auto" w:fill="auto"/>
          </w:tcPr>
          <w:p w14:paraId="48555E35" w14:textId="77777777" w:rsidR="00DF61BC" w:rsidRPr="00C94C33" w:rsidRDefault="00DF61BC" w:rsidP="00EF7F6D">
            <w:pPr>
              <w:pStyle w:val="Tabletext"/>
            </w:pPr>
            <w:r w:rsidRPr="00C94C33">
              <w:t>PD</w:t>
            </w:r>
          </w:p>
        </w:tc>
      </w:tr>
      <w:tr w:rsidR="00DF61BC" w:rsidRPr="00C94C33" w14:paraId="5FF9B97A" w14:textId="77777777" w:rsidTr="00EF7F6D">
        <w:tc>
          <w:tcPr>
            <w:tcW w:w="9548" w:type="dxa"/>
            <w:gridSpan w:val="4"/>
            <w:tcBorders>
              <w:left w:val="single" w:sz="4" w:space="0" w:color="auto"/>
              <w:bottom w:val="nil"/>
              <w:right w:val="single" w:sz="4" w:space="0" w:color="auto"/>
            </w:tcBorders>
            <w:shd w:val="clear" w:color="auto" w:fill="auto"/>
          </w:tcPr>
          <w:p w14:paraId="79A8E8D9" w14:textId="77777777" w:rsidR="00DF61BC" w:rsidRPr="00C94C33" w:rsidRDefault="00DF61BC" w:rsidP="00EF7F6D">
            <w:pPr>
              <w:pStyle w:val="TableHeading"/>
              <w:jc w:val="center"/>
            </w:pPr>
            <w:r w:rsidRPr="00C94C33">
              <w:t>Time-point response for patients with only non-target disease</w:t>
            </w:r>
          </w:p>
        </w:tc>
      </w:tr>
      <w:tr w:rsidR="00DF61BC" w:rsidRPr="00C94C33" w14:paraId="0C4EDA7F" w14:textId="77777777" w:rsidTr="00EF7F6D">
        <w:tc>
          <w:tcPr>
            <w:tcW w:w="1526" w:type="dxa"/>
            <w:tcBorders>
              <w:top w:val="nil"/>
              <w:left w:val="single" w:sz="4" w:space="0" w:color="auto"/>
              <w:bottom w:val="nil"/>
              <w:right w:val="nil"/>
            </w:tcBorders>
            <w:shd w:val="clear" w:color="auto" w:fill="auto"/>
          </w:tcPr>
          <w:p w14:paraId="0A4D65D9" w14:textId="77777777" w:rsidR="00DF61BC" w:rsidRPr="00EF7F6D" w:rsidRDefault="00DF61BC" w:rsidP="00EF7F6D">
            <w:pPr>
              <w:pStyle w:val="TableHeading"/>
              <w:jc w:val="center"/>
              <w:rPr>
                <w:b w:val="0"/>
                <w:sz w:val="20"/>
                <w:szCs w:val="20"/>
              </w:rPr>
            </w:pPr>
          </w:p>
        </w:tc>
        <w:tc>
          <w:tcPr>
            <w:tcW w:w="3248" w:type="dxa"/>
            <w:tcBorders>
              <w:top w:val="nil"/>
              <w:left w:val="nil"/>
              <w:bottom w:val="nil"/>
              <w:right w:val="nil"/>
            </w:tcBorders>
            <w:shd w:val="clear" w:color="auto" w:fill="auto"/>
          </w:tcPr>
          <w:p w14:paraId="5648F838" w14:textId="77777777" w:rsidR="00DF61BC" w:rsidRPr="00EF7F6D" w:rsidRDefault="00DF61BC" w:rsidP="00EF7F6D">
            <w:pPr>
              <w:pStyle w:val="TableHeading"/>
              <w:jc w:val="center"/>
              <w:rPr>
                <w:b w:val="0"/>
                <w:sz w:val="20"/>
                <w:szCs w:val="20"/>
              </w:rPr>
            </w:pPr>
            <w:r w:rsidRPr="00EF7F6D">
              <w:rPr>
                <w:b w:val="0"/>
                <w:sz w:val="20"/>
                <w:szCs w:val="20"/>
              </w:rPr>
              <w:t>Non-target Lesions</w:t>
            </w:r>
          </w:p>
        </w:tc>
        <w:tc>
          <w:tcPr>
            <w:tcW w:w="1288" w:type="dxa"/>
            <w:tcBorders>
              <w:top w:val="nil"/>
              <w:left w:val="nil"/>
              <w:bottom w:val="nil"/>
              <w:right w:val="nil"/>
            </w:tcBorders>
            <w:shd w:val="clear" w:color="auto" w:fill="auto"/>
          </w:tcPr>
          <w:p w14:paraId="486753A3" w14:textId="77777777" w:rsidR="00DF61BC" w:rsidRPr="00EF7F6D" w:rsidRDefault="00DF61BC" w:rsidP="00EF7F6D">
            <w:pPr>
              <w:pStyle w:val="TableHeading"/>
              <w:jc w:val="center"/>
              <w:rPr>
                <w:b w:val="0"/>
                <w:sz w:val="20"/>
                <w:szCs w:val="20"/>
              </w:rPr>
            </w:pPr>
            <w:r w:rsidRPr="00EF7F6D">
              <w:rPr>
                <w:b w:val="0"/>
                <w:sz w:val="20"/>
                <w:szCs w:val="20"/>
              </w:rPr>
              <w:t>New Lesions</w:t>
            </w:r>
          </w:p>
        </w:tc>
        <w:tc>
          <w:tcPr>
            <w:tcW w:w="3486" w:type="dxa"/>
            <w:tcBorders>
              <w:top w:val="nil"/>
              <w:left w:val="nil"/>
              <w:bottom w:val="nil"/>
              <w:right w:val="single" w:sz="4" w:space="0" w:color="auto"/>
            </w:tcBorders>
            <w:shd w:val="clear" w:color="auto" w:fill="auto"/>
          </w:tcPr>
          <w:p w14:paraId="3F005F25" w14:textId="4A5EE161" w:rsidR="00DF61BC" w:rsidRPr="00EF7F6D" w:rsidRDefault="00DF61BC" w:rsidP="00EF7F6D">
            <w:pPr>
              <w:pStyle w:val="TableHeading"/>
              <w:jc w:val="center"/>
              <w:rPr>
                <w:b w:val="0"/>
                <w:sz w:val="20"/>
                <w:szCs w:val="20"/>
              </w:rPr>
            </w:pPr>
            <w:r w:rsidRPr="00EF7F6D">
              <w:rPr>
                <w:b w:val="0"/>
                <w:sz w:val="20"/>
                <w:szCs w:val="20"/>
              </w:rPr>
              <w:t>Overall Response</w:t>
            </w:r>
          </w:p>
        </w:tc>
      </w:tr>
      <w:tr w:rsidR="00DF61BC" w:rsidRPr="00C94C33" w14:paraId="546DC8E0" w14:textId="77777777" w:rsidTr="00766E0D">
        <w:tc>
          <w:tcPr>
            <w:tcW w:w="1526" w:type="dxa"/>
            <w:tcBorders>
              <w:left w:val="single" w:sz="4" w:space="0" w:color="auto"/>
              <w:bottom w:val="nil"/>
              <w:right w:val="nil"/>
            </w:tcBorders>
            <w:shd w:val="clear" w:color="auto" w:fill="auto"/>
          </w:tcPr>
          <w:p w14:paraId="4820FBA0" w14:textId="77777777" w:rsidR="00DF61BC" w:rsidRPr="00C94C33" w:rsidRDefault="00DF61BC" w:rsidP="00EF7F6D">
            <w:pPr>
              <w:pStyle w:val="Tabletext"/>
            </w:pPr>
          </w:p>
        </w:tc>
        <w:tc>
          <w:tcPr>
            <w:tcW w:w="3248" w:type="dxa"/>
            <w:tcBorders>
              <w:left w:val="nil"/>
              <w:bottom w:val="nil"/>
              <w:right w:val="nil"/>
            </w:tcBorders>
            <w:shd w:val="clear" w:color="auto" w:fill="auto"/>
          </w:tcPr>
          <w:p w14:paraId="3461F986" w14:textId="77777777" w:rsidR="00DF61BC" w:rsidRPr="00C94C33" w:rsidRDefault="00DF61BC" w:rsidP="00EF7F6D">
            <w:pPr>
              <w:pStyle w:val="Tabletext"/>
            </w:pPr>
            <w:r w:rsidRPr="00C94C33">
              <w:t xml:space="preserve">CR </w:t>
            </w:r>
          </w:p>
        </w:tc>
        <w:tc>
          <w:tcPr>
            <w:tcW w:w="1288" w:type="dxa"/>
            <w:tcBorders>
              <w:left w:val="nil"/>
              <w:bottom w:val="nil"/>
              <w:right w:val="nil"/>
            </w:tcBorders>
            <w:shd w:val="clear" w:color="auto" w:fill="auto"/>
          </w:tcPr>
          <w:p w14:paraId="2DAE5FB3" w14:textId="77777777" w:rsidR="00DF61BC" w:rsidRPr="00C94C33" w:rsidRDefault="00DF61BC" w:rsidP="00EF7F6D">
            <w:pPr>
              <w:pStyle w:val="Tabletext"/>
            </w:pPr>
            <w:r w:rsidRPr="00C94C33">
              <w:t>No</w:t>
            </w:r>
          </w:p>
        </w:tc>
        <w:tc>
          <w:tcPr>
            <w:tcW w:w="3486" w:type="dxa"/>
            <w:tcBorders>
              <w:left w:val="nil"/>
              <w:bottom w:val="nil"/>
              <w:right w:val="single" w:sz="4" w:space="0" w:color="auto"/>
            </w:tcBorders>
            <w:shd w:val="clear" w:color="auto" w:fill="auto"/>
          </w:tcPr>
          <w:p w14:paraId="159A1D96" w14:textId="77777777" w:rsidR="00DF61BC" w:rsidRPr="00C94C33" w:rsidRDefault="00DF61BC" w:rsidP="00EF7F6D">
            <w:pPr>
              <w:pStyle w:val="Tabletext"/>
            </w:pPr>
            <w:r w:rsidRPr="00C94C33">
              <w:t xml:space="preserve">CR (tumour marker must have normalised) </w:t>
            </w:r>
          </w:p>
        </w:tc>
      </w:tr>
      <w:tr w:rsidR="00DF61BC" w:rsidRPr="00C94C33" w14:paraId="0557CF1D" w14:textId="77777777" w:rsidTr="00766E0D">
        <w:tc>
          <w:tcPr>
            <w:tcW w:w="1526" w:type="dxa"/>
            <w:tcBorders>
              <w:top w:val="nil"/>
              <w:left w:val="single" w:sz="4" w:space="0" w:color="auto"/>
              <w:bottom w:val="nil"/>
              <w:right w:val="nil"/>
            </w:tcBorders>
            <w:shd w:val="clear" w:color="auto" w:fill="auto"/>
          </w:tcPr>
          <w:p w14:paraId="12C01ADC" w14:textId="77777777" w:rsidR="00DF61BC" w:rsidRPr="00C94C33" w:rsidRDefault="00DF61BC" w:rsidP="00EF7F6D">
            <w:pPr>
              <w:pStyle w:val="Tabletext"/>
            </w:pPr>
          </w:p>
        </w:tc>
        <w:tc>
          <w:tcPr>
            <w:tcW w:w="3248" w:type="dxa"/>
            <w:tcBorders>
              <w:top w:val="nil"/>
              <w:left w:val="nil"/>
              <w:bottom w:val="nil"/>
              <w:right w:val="nil"/>
            </w:tcBorders>
            <w:shd w:val="clear" w:color="auto" w:fill="auto"/>
          </w:tcPr>
          <w:p w14:paraId="6ED32975" w14:textId="77777777" w:rsidR="00DF61BC" w:rsidRPr="00C94C33" w:rsidRDefault="00DF61BC" w:rsidP="00EF7F6D">
            <w:pPr>
              <w:pStyle w:val="Tabletext"/>
            </w:pPr>
            <w:r w:rsidRPr="00C94C33">
              <w:t xml:space="preserve">Non-CR/Non-PD </w:t>
            </w:r>
          </w:p>
        </w:tc>
        <w:tc>
          <w:tcPr>
            <w:tcW w:w="1288" w:type="dxa"/>
            <w:tcBorders>
              <w:top w:val="nil"/>
              <w:left w:val="nil"/>
              <w:bottom w:val="nil"/>
              <w:right w:val="nil"/>
            </w:tcBorders>
            <w:shd w:val="clear" w:color="auto" w:fill="auto"/>
          </w:tcPr>
          <w:p w14:paraId="35EA6EE8" w14:textId="77777777" w:rsidR="00DF61BC" w:rsidRPr="00C94C33" w:rsidRDefault="00DF61BC" w:rsidP="00EF7F6D">
            <w:pPr>
              <w:pStyle w:val="Tabletext"/>
            </w:pPr>
            <w:r w:rsidRPr="00C94C33">
              <w:t>No</w:t>
            </w:r>
          </w:p>
        </w:tc>
        <w:tc>
          <w:tcPr>
            <w:tcW w:w="3486" w:type="dxa"/>
            <w:tcBorders>
              <w:top w:val="nil"/>
              <w:left w:val="nil"/>
              <w:bottom w:val="nil"/>
              <w:right w:val="single" w:sz="4" w:space="0" w:color="auto"/>
            </w:tcBorders>
            <w:shd w:val="clear" w:color="auto" w:fill="auto"/>
          </w:tcPr>
          <w:p w14:paraId="7DAD886E" w14:textId="77777777" w:rsidR="00DF61BC" w:rsidRPr="00C94C33" w:rsidRDefault="00DF61BC" w:rsidP="00EF7F6D">
            <w:pPr>
              <w:pStyle w:val="Tabletext"/>
            </w:pPr>
            <w:r w:rsidRPr="00C94C33">
              <w:t>Non-CR/Non-PD</w:t>
            </w:r>
          </w:p>
        </w:tc>
      </w:tr>
      <w:tr w:rsidR="00DF61BC" w:rsidRPr="00C94C33" w14:paraId="2EDA25CA" w14:textId="77777777" w:rsidTr="00766E0D">
        <w:tc>
          <w:tcPr>
            <w:tcW w:w="1526" w:type="dxa"/>
            <w:tcBorders>
              <w:top w:val="nil"/>
              <w:left w:val="single" w:sz="4" w:space="0" w:color="auto"/>
              <w:bottom w:val="nil"/>
              <w:right w:val="nil"/>
            </w:tcBorders>
            <w:shd w:val="clear" w:color="auto" w:fill="auto"/>
          </w:tcPr>
          <w:p w14:paraId="14B1356C" w14:textId="77777777" w:rsidR="00DF61BC" w:rsidRPr="00C94C33" w:rsidRDefault="00DF61BC" w:rsidP="00EF7F6D">
            <w:pPr>
              <w:pStyle w:val="Tabletext"/>
            </w:pPr>
          </w:p>
        </w:tc>
        <w:tc>
          <w:tcPr>
            <w:tcW w:w="3248" w:type="dxa"/>
            <w:tcBorders>
              <w:top w:val="nil"/>
              <w:left w:val="nil"/>
              <w:bottom w:val="nil"/>
              <w:right w:val="nil"/>
            </w:tcBorders>
            <w:shd w:val="clear" w:color="auto" w:fill="auto"/>
          </w:tcPr>
          <w:p w14:paraId="6D5B3850" w14:textId="77777777" w:rsidR="00DF61BC" w:rsidRPr="00C94C33" w:rsidRDefault="00DF61BC" w:rsidP="00EF7F6D">
            <w:pPr>
              <w:pStyle w:val="Tabletext"/>
            </w:pPr>
            <w:r w:rsidRPr="00C94C33">
              <w:t xml:space="preserve">Not all evaluated </w:t>
            </w:r>
          </w:p>
        </w:tc>
        <w:tc>
          <w:tcPr>
            <w:tcW w:w="1288" w:type="dxa"/>
            <w:tcBorders>
              <w:top w:val="nil"/>
              <w:left w:val="nil"/>
              <w:bottom w:val="nil"/>
              <w:right w:val="nil"/>
            </w:tcBorders>
            <w:shd w:val="clear" w:color="auto" w:fill="auto"/>
          </w:tcPr>
          <w:p w14:paraId="5F8C4B39" w14:textId="77777777" w:rsidR="00DF61BC" w:rsidRPr="00C94C33" w:rsidRDefault="00DF61BC" w:rsidP="00EF7F6D">
            <w:pPr>
              <w:pStyle w:val="Tabletext"/>
            </w:pPr>
            <w:r w:rsidRPr="00C94C33">
              <w:t>No</w:t>
            </w:r>
          </w:p>
        </w:tc>
        <w:tc>
          <w:tcPr>
            <w:tcW w:w="3486" w:type="dxa"/>
            <w:tcBorders>
              <w:top w:val="nil"/>
              <w:left w:val="nil"/>
              <w:bottom w:val="nil"/>
              <w:right w:val="single" w:sz="4" w:space="0" w:color="auto"/>
            </w:tcBorders>
            <w:shd w:val="clear" w:color="auto" w:fill="auto"/>
          </w:tcPr>
          <w:p w14:paraId="242EB4C8" w14:textId="77777777" w:rsidR="00DF61BC" w:rsidRPr="00C94C33" w:rsidRDefault="00DF61BC" w:rsidP="00EF7F6D">
            <w:pPr>
              <w:pStyle w:val="Tabletext"/>
            </w:pPr>
            <w:r w:rsidRPr="00C94C33">
              <w:t>Not evaluable</w:t>
            </w:r>
          </w:p>
        </w:tc>
      </w:tr>
      <w:tr w:rsidR="00DF61BC" w:rsidRPr="00C94C33" w14:paraId="3915DCBE" w14:textId="77777777" w:rsidTr="00766E0D">
        <w:tc>
          <w:tcPr>
            <w:tcW w:w="1526" w:type="dxa"/>
            <w:tcBorders>
              <w:top w:val="nil"/>
              <w:left w:val="single" w:sz="4" w:space="0" w:color="auto"/>
              <w:bottom w:val="nil"/>
              <w:right w:val="nil"/>
            </w:tcBorders>
            <w:shd w:val="clear" w:color="auto" w:fill="auto"/>
          </w:tcPr>
          <w:p w14:paraId="01E874A7" w14:textId="77777777" w:rsidR="00DF61BC" w:rsidRPr="00C94C33" w:rsidRDefault="00DF61BC" w:rsidP="00EF7F6D">
            <w:pPr>
              <w:pStyle w:val="Tabletext"/>
            </w:pPr>
          </w:p>
        </w:tc>
        <w:tc>
          <w:tcPr>
            <w:tcW w:w="3248" w:type="dxa"/>
            <w:tcBorders>
              <w:top w:val="nil"/>
              <w:left w:val="nil"/>
              <w:bottom w:val="nil"/>
              <w:right w:val="nil"/>
            </w:tcBorders>
            <w:shd w:val="clear" w:color="auto" w:fill="auto"/>
          </w:tcPr>
          <w:p w14:paraId="4DCFDBF8" w14:textId="77777777" w:rsidR="00DF61BC" w:rsidRPr="00C94C33" w:rsidRDefault="00DF61BC" w:rsidP="00EF7F6D">
            <w:pPr>
              <w:pStyle w:val="Tabletext"/>
            </w:pPr>
            <w:r w:rsidRPr="00C94C33">
              <w:t xml:space="preserve">Unequivocal PD </w:t>
            </w:r>
          </w:p>
        </w:tc>
        <w:tc>
          <w:tcPr>
            <w:tcW w:w="1288" w:type="dxa"/>
            <w:tcBorders>
              <w:top w:val="nil"/>
              <w:left w:val="nil"/>
              <w:bottom w:val="nil"/>
              <w:right w:val="nil"/>
            </w:tcBorders>
            <w:shd w:val="clear" w:color="auto" w:fill="auto"/>
          </w:tcPr>
          <w:p w14:paraId="3A36A6DE" w14:textId="77777777" w:rsidR="00DF61BC" w:rsidRPr="00C94C33" w:rsidRDefault="00DF61BC" w:rsidP="00EF7F6D">
            <w:pPr>
              <w:pStyle w:val="Tabletext"/>
            </w:pPr>
            <w:r w:rsidRPr="00C94C33">
              <w:t>Yes or No</w:t>
            </w:r>
          </w:p>
        </w:tc>
        <w:tc>
          <w:tcPr>
            <w:tcW w:w="3486" w:type="dxa"/>
            <w:tcBorders>
              <w:top w:val="nil"/>
              <w:left w:val="nil"/>
              <w:bottom w:val="nil"/>
              <w:right w:val="single" w:sz="4" w:space="0" w:color="auto"/>
            </w:tcBorders>
            <w:shd w:val="clear" w:color="auto" w:fill="auto"/>
          </w:tcPr>
          <w:p w14:paraId="5DAC6119" w14:textId="77777777" w:rsidR="00DF61BC" w:rsidRPr="00C94C33" w:rsidRDefault="00DF61BC" w:rsidP="00EF7F6D">
            <w:pPr>
              <w:pStyle w:val="Tabletext"/>
            </w:pPr>
            <w:r w:rsidRPr="00C94C33">
              <w:t>PD</w:t>
            </w:r>
          </w:p>
        </w:tc>
      </w:tr>
      <w:tr w:rsidR="00DF61BC" w:rsidRPr="00C94C33" w14:paraId="4E6E18F9" w14:textId="77777777" w:rsidTr="00766E0D">
        <w:tc>
          <w:tcPr>
            <w:tcW w:w="1526" w:type="dxa"/>
            <w:tcBorders>
              <w:top w:val="nil"/>
              <w:left w:val="single" w:sz="4" w:space="0" w:color="auto"/>
              <w:right w:val="nil"/>
            </w:tcBorders>
            <w:shd w:val="clear" w:color="auto" w:fill="auto"/>
          </w:tcPr>
          <w:p w14:paraId="16C224A4" w14:textId="77777777" w:rsidR="00DF61BC" w:rsidRPr="00C94C33" w:rsidRDefault="00DF61BC" w:rsidP="00EF7F6D">
            <w:pPr>
              <w:pStyle w:val="Tabletext"/>
            </w:pPr>
          </w:p>
        </w:tc>
        <w:tc>
          <w:tcPr>
            <w:tcW w:w="3248" w:type="dxa"/>
            <w:tcBorders>
              <w:top w:val="nil"/>
              <w:left w:val="nil"/>
              <w:right w:val="nil"/>
            </w:tcBorders>
            <w:shd w:val="clear" w:color="auto" w:fill="auto"/>
          </w:tcPr>
          <w:p w14:paraId="31046339" w14:textId="77777777" w:rsidR="00DF61BC" w:rsidRPr="00C94C33" w:rsidRDefault="00DF61BC" w:rsidP="00EF7F6D">
            <w:pPr>
              <w:pStyle w:val="Tabletext"/>
            </w:pPr>
            <w:r w:rsidRPr="00C94C33">
              <w:t xml:space="preserve">Any </w:t>
            </w:r>
          </w:p>
        </w:tc>
        <w:tc>
          <w:tcPr>
            <w:tcW w:w="1288" w:type="dxa"/>
            <w:tcBorders>
              <w:top w:val="nil"/>
              <w:left w:val="nil"/>
              <w:right w:val="nil"/>
            </w:tcBorders>
            <w:shd w:val="clear" w:color="auto" w:fill="auto"/>
          </w:tcPr>
          <w:p w14:paraId="105F4BAA" w14:textId="77777777" w:rsidR="00DF61BC" w:rsidRPr="00C94C33" w:rsidRDefault="00DF61BC" w:rsidP="00EF7F6D">
            <w:pPr>
              <w:pStyle w:val="Tabletext"/>
            </w:pPr>
            <w:r w:rsidRPr="00C94C33">
              <w:t>Yes</w:t>
            </w:r>
          </w:p>
        </w:tc>
        <w:tc>
          <w:tcPr>
            <w:tcW w:w="3486" w:type="dxa"/>
            <w:tcBorders>
              <w:top w:val="nil"/>
              <w:left w:val="nil"/>
              <w:right w:val="single" w:sz="4" w:space="0" w:color="auto"/>
            </w:tcBorders>
            <w:shd w:val="clear" w:color="auto" w:fill="auto"/>
          </w:tcPr>
          <w:p w14:paraId="32E676F3" w14:textId="77777777" w:rsidR="00DF61BC" w:rsidRPr="00C94C33" w:rsidRDefault="00DF61BC" w:rsidP="00EF7F6D">
            <w:pPr>
              <w:pStyle w:val="Tabletext"/>
            </w:pPr>
            <w:r w:rsidRPr="00C94C33">
              <w:t>PD</w:t>
            </w:r>
          </w:p>
        </w:tc>
      </w:tr>
    </w:tbl>
    <w:p w14:paraId="70C0FA58" w14:textId="77777777" w:rsidR="00DF61BC" w:rsidRPr="00C94C33" w:rsidRDefault="00DF61BC" w:rsidP="00766E0D">
      <w:pPr>
        <w:pStyle w:val="Heading4"/>
      </w:pPr>
      <w:bookmarkStart w:id="218" w:name="_Toc470948517"/>
      <w:r w:rsidRPr="00C94C33">
        <w:t>Randomisation and blinding methods</w:t>
      </w:r>
      <w:bookmarkEnd w:id="218"/>
    </w:p>
    <w:p w14:paraId="365105C5" w14:textId="4F4F6BF9" w:rsidR="00DF61BC" w:rsidRPr="00C94C33" w:rsidRDefault="00DF61BC" w:rsidP="00DF61BC">
      <w:pPr>
        <w:rPr>
          <w:rFonts w:asciiTheme="minorHAnsi" w:hAnsiTheme="minorHAnsi"/>
        </w:rPr>
      </w:pPr>
      <w:r w:rsidRPr="00C94C33">
        <w:rPr>
          <w:rFonts w:asciiTheme="minorHAnsi" w:hAnsiTheme="minorHAnsi"/>
        </w:rPr>
        <w:t>Patients were randomly assigned (2:1) to TAS-102 pus BSC (experimental arm) or placebo plus BSC (control arm) via a central Interactive Voice/Web Response System (IWRS) based on a dynamic allocation method (biased coin). Patients were stratified by KRAS status (wild</w:t>
      </w:r>
      <w:r w:rsidR="00C11183">
        <w:rPr>
          <w:rFonts w:asciiTheme="minorHAnsi" w:hAnsiTheme="minorHAnsi"/>
        </w:rPr>
        <w:t xml:space="preserve"> versus </w:t>
      </w:r>
      <w:r w:rsidRPr="00C94C33">
        <w:rPr>
          <w:rFonts w:asciiTheme="minorHAnsi" w:hAnsiTheme="minorHAnsi"/>
        </w:rPr>
        <w:t>mutant), time since diagnosis of first metastasis (&lt; 18 months</w:t>
      </w:r>
      <w:r w:rsidR="00C11183">
        <w:rPr>
          <w:rFonts w:asciiTheme="minorHAnsi" w:hAnsiTheme="minorHAnsi"/>
        </w:rPr>
        <w:t xml:space="preserve"> versus </w:t>
      </w:r>
      <w:r w:rsidRPr="00C94C33">
        <w:rPr>
          <w:rFonts w:asciiTheme="minorHAnsi" w:hAnsiTheme="minorHAnsi"/>
        </w:rPr>
        <w:t xml:space="preserve">≥ 18 months), and Region (Region 1: Asia </w:t>
      </w:r>
      <w:r w:rsidR="00A0007E" w:rsidRPr="00C94C33">
        <w:rPr>
          <w:rFonts w:asciiTheme="minorHAnsi" w:hAnsiTheme="minorHAnsi"/>
        </w:rPr>
        <w:t>(</w:t>
      </w:r>
      <w:r w:rsidRPr="00C94C33">
        <w:rPr>
          <w:rFonts w:asciiTheme="minorHAnsi" w:hAnsiTheme="minorHAnsi"/>
        </w:rPr>
        <w:t>Japan</w:t>
      </w:r>
      <w:r w:rsidR="00A0007E" w:rsidRPr="00C94C33">
        <w:rPr>
          <w:rFonts w:asciiTheme="minorHAnsi" w:hAnsiTheme="minorHAnsi"/>
        </w:rPr>
        <w:t>)</w:t>
      </w:r>
      <w:r w:rsidR="00C11183">
        <w:rPr>
          <w:rFonts w:asciiTheme="minorHAnsi" w:hAnsiTheme="minorHAnsi"/>
        </w:rPr>
        <w:t xml:space="preserve"> versus </w:t>
      </w:r>
      <w:r w:rsidRPr="00C94C33">
        <w:rPr>
          <w:rFonts w:asciiTheme="minorHAnsi" w:hAnsiTheme="minorHAnsi"/>
        </w:rPr>
        <w:t xml:space="preserve">Region 2: Western </w:t>
      </w:r>
      <w:r w:rsidR="00A0007E" w:rsidRPr="00C94C33">
        <w:rPr>
          <w:rFonts w:asciiTheme="minorHAnsi" w:hAnsiTheme="minorHAnsi"/>
        </w:rPr>
        <w:t>(</w:t>
      </w:r>
      <w:r w:rsidRPr="00C94C33">
        <w:rPr>
          <w:rFonts w:asciiTheme="minorHAnsi" w:hAnsiTheme="minorHAnsi"/>
        </w:rPr>
        <w:t>US and Europe</w:t>
      </w:r>
      <w:r w:rsidR="00A0007E" w:rsidRPr="00C94C33">
        <w:rPr>
          <w:rFonts w:asciiTheme="minorHAnsi" w:hAnsiTheme="minorHAnsi"/>
        </w:rPr>
        <w:t>)</w:t>
      </w:r>
      <w:r w:rsidRPr="00C94C33">
        <w:rPr>
          <w:rFonts w:asciiTheme="minorHAnsi" w:hAnsiTheme="minorHAnsi"/>
        </w:rPr>
        <w:t>). Study medication was started within 3 days after the date of randomisation and continued until a study treatment discontinuation criterion was met.</w:t>
      </w:r>
    </w:p>
    <w:p w14:paraId="5D571D86" w14:textId="34EDFD3C" w:rsidR="00DF61BC" w:rsidRPr="00C94C33" w:rsidRDefault="00DF61BC" w:rsidP="00DF61BC">
      <w:pPr>
        <w:rPr>
          <w:rFonts w:asciiTheme="minorHAnsi" w:hAnsiTheme="minorHAnsi"/>
        </w:rPr>
      </w:pPr>
      <w:r w:rsidRPr="00C94C33">
        <w:rPr>
          <w:rFonts w:asciiTheme="minorHAnsi" w:hAnsiTheme="minorHAnsi"/>
        </w:rPr>
        <w:t>This study is double-blind. TAS-102 tablets of each strength, 15 mg or 20 mg, and the corresponding placebo tablets, 15 mg placebo and 20 mg placebo, respectively, were identical in appearance and were packaged in identical containers. Until completion of the primary endpoint analysis, treatment assignment was blinded to all patients, investigators, ancillary study personnel at each study site, and to employees of the sponsor.</w:t>
      </w:r>
    </w:p>
    <w:p w14:paraId="7214780A" w14:textId="2918AF1B" w:rsidR="00DF61BC" w:rsidRPr="00C94C33" w:rsidRDefault="00DF61BC" w:rsidP="00DF61BC">
      <w:pPr>
        <w:rPr>
          <w:rFonts w:asciiTheme="minorHAnsi" w:hAnsiTheme="minorHAnsi"/>
        </w:rPr>
      </w:pPr>
      <w:r w:rsidRPr="00C94C33">
        <w:rPr>
          <w:rFonts w:asciiTheme="minorHAnsi" w:hAnsiTheme="minorHAnsi"/>
        </w:rPr>
        <w:t>Unblinding of the study treatment was not to occur unless it needed to manage a patient’s medical condition. If unblinding occurred the investigator was not disclose the unblinding information. After completion of the primary endpoint analysis, the treatment assignment for each patient was provided to the investigators.</w:t>
      </w:r>
    </w:p>
    <w:p w14:paraId="164E1A16" w14:textId="77777777"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Treatment assignment was unblinded and provided to the investigator for only 1 patient (placebo group) during the study for a SAE (ileus, not related to treatment) considered to be associated with disease progression (Cycle 1, Day 19). The patient was permanently discontinued from study treatment on Cycle 1, Day 21 (2 days prior to unblinding).</w:t>
      </w:r>
    </w:p>
    <w:p w14:paraId="4D4B7A9C" w14:textId="77777777" w:rsidR="00DF61BC" w:rsidRPr="00C94C33" w:rsidRDefault="00DF61BC" w:rsidP="00955252">
      <w:pPr>
        <w:pStyle w:val="Heading4"/>
      </w:pPr>
      <w:bookmarkStart w:id="219" w:name="_Toc470948518"/>
      <w:r w:rsidRPr="00C94C33">
        <w:t>Analysis populations</w:t>
      </w:r>
      <w:bookmarkEnd w:id="219"/>
    </w:p>
    <w:p w14:paraId="63AB8A7C" w14:textId="33025D26" w:rsidR="00DF61BC" w:rsidRPr="00C94C33" w:rsidRDefault="00DF61BC" w:rsidP="00AB224E">
      <w:pPr>
        <w:pStyle w:val="ListBullet"/>
      </w:pPr>
      <w:r w:rsidRPr="00C94C33">
        <w:t>The intent-to-treat (ITT) population included all randomised patients and was the primary population for all efficacy analyses. All analyses using this population were based on the treatment assigned by IWRS.</w:t>
      </w:r>
    </w:p>
    <w:p w14:paraId="46ECB2C1" w14:textId="7CBC5970" w:rsidR="00DF61BC" w:rsidRPr="00C94C33" w:rsidRDefault="00DF61BC" w:rsidP="00AB224E">
      <w:pPr>
        <w:pStyle w:val="ListBullet"/>
      </w:pPr>
      <w:r w:rsidRPr="00C94C33">
        <w:t>The tumour Response (TR) evaluable</w:t>
      </w:r>
      <w:r w:rsidRPr="00C94C33">
        <w:rPr>
          <w:u w:val="single"/>
        </w:rPr>
        <w:t xml:space="preserve"> </w:t>
      </w:r>
      <w:r w:rsidRPr="00C94C33">
        <w:t>population included all patients in the ITT population with measurable disease (at least one target lesion) at baseline and with at least one tumour evaluation while on treatment. Patients with disease progression or with cancer related death prior to their first tumour evaluation were also to be considered evaluable. All analyses using this population were based on the treatment assigned by IWRS.</w:t>
      </w:r>
    </w:p>
    <w:p w14:paraId="0A4082E8" w14:textId="77777777" w:rsidR="00AA7141" w:rsidRDefault="00DF61BC" w:rsidP="00AB224E">
      <w:pPr>
        <w:pStyle w:val="ListBullet"/>
      </w:pPr>
      <w:r w:rsidRPr="00C94C33">
        <w:t>The as-treated (AT) population included all patients who took part of any dose of the study treatment. This population was used for safety analyses. All analyses using this population were based on the treatment actually received.</w:t>
      </w:r>
    </w:p>
    <w:p w14:paraId="6939DCAF" w14:textId="4C739C50" w:rsidR="00DF61BC" w:rsidRPr="00C94C33" w:rsidDel="0081373E" w:rsidRDefault="00766E0D" w:rsidP="00AB224E">
      <w:pPr>
        <w:pStyle w:val="ListBullet"/>
      </w:pPr>
      <w:r w:rsidRPr="00C94C33">
        <w:t>T</w:t>
      </w:r>
      <w:r w:rsidR="00DF61BC" w:rsidRPr="00C94C33">
        <w:t>he pharmacokinetic (PK) population included patients at selected sites participating in the PK assessment who had evaluable plasma measurements with no significant protocol deviations that may impact the data.</w:t>
      </w:r>
    </w:p>
    <w:p w14:paraId="6BD403AF" w14:textId="77777777" w:rsidR="00DF61BC" w:rsidRPr="00C94C33" w:rsidDel="0081373E" w:rsidRDefault="00DF61BC" w:rsidP="00955252">
      <w:pPr>
        <w:pStyle w:val="Heading4"/>
      </w:pPr>
      <w:bookmarkStart w:id="220" w:name="_Toc470948519"/>
      <w:r w:rsidRPr="00C94C33" w:rsidDel="0081373E">
        <w:t>Sample size</w:t>
      </w:r>
      <w:bookmarkEnd w:id="220"/>
    </w:p>
    <w:p w14:paraId="3F9E3B46" w14:textId="41E64C6D"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The study was designed to detect with 90% power a hazard ratio for OS of 0.75 (</w:t>
      </w:r>
      <w:r w:rsidR="00B2072D" w:rsidRPr="00C94C33">
        <w:rPr>
          <w:rFonts w:asciiTheme="minorHAnsi" w:hAnsiTheme="minorHAnsi"/>
        </w:rPr>
        <w:t>that is,</w:t>
      </w:r>
      <w:r w:rsidRPr="00C94C33">
        <w:rPr>
          <w:rFonts w:asciiTheme="minorHAnsi" w:hAnsiTheme="minorHAnsi"/>
        </w:rPr>
        <w:t xml:space="preserve"> 25% risk reduction) in the TAS-102 arm compared with the placebo arm, with a 1-sided type 1 error of 0.025. A variable accrual period of 18 months and a 3% per year loss to survival follow-up rate was assumed. Using a treatment allocation ratio of 2:1 (TAS-102:</w:t>
      </w:r>
      <w:r w:rsidR="00DA182C">
        <w:rPr>
          <w:rFonts w:asciiTheme="minorHAnsi" w:hAnsiTheme="minorHAnsi"/>
        </w:rPr>
        <w:t xml:space="preserve"> </w:t>
      </w:r>
      <w:r w:rsidRPr="00C94C33">
        <w:rPr>
          <w:rFonts w:asciiTheme="minorHAnsi" w:hAnsiTheme="minorHAnsi"/>
        </w:rPr>
        <w:t>placebo) in 800 patients, a target of 571 events (deaths) was required for the primary analysis.</w:t>
      </w:r>
    </w:p>
    <w:p w14:paraId="3078DF3F" w14:textId="77777777" w:rsidR="00AA7141" w:rsidRDefault="00DF61BC" w:rsidP="00DF61BC">
      <w:pPr>
        <w:autoSpaceDE w:val="0"/>
        <w:autoSpaceDN w:val="0"/>
        <w:adjustRightInd w:val="0"/>
        <w:rPr>
          <w:rFonts w:asciiTheme="minorHAnsi" w:hAnsiTheme="minorHAnsi"/>
        </w:rPr>
      </w:pPr>
      <w:r w:rsidRPr="00C94C33">
        <w:rPr>
          <w:rFonts w:asciiTheme="minorHAnsi" w:hAnsiTheme="minorHAnsi"/>
        </w:rPr>
        <w:t xml:space="preserve">Based on these design characteristics and assuming a median survival time of approximately 5 months in the control arm, the primary analysis target event milestone was projected to be reached approximately 5 months after the last patient was randomised. The median OS in the control arm </w:t>
      </w:r>
      <w:r w:rsidRPr="00C94C33">
        <w:rPr>
          <w:rFonts w:asciiTheme="minorHAnsi" w:hAnsiTheme="minorHAnsi"/>
        </w:rPr>
        <w:lastRenderedPageBreak/>
        <w:t xml:space="preserve">was estimated based on the observed median of 4.6 months in a similar control arm of the </w:t>
      </w:r>
      <w:r w:rsidR="00842E8F" w:rsidRPr="00C94C33">
        <w:rPr>
          <w:rFonts w:asciiTheme="minorHAnsi" w:hAnsiTheme="minorHAnsi"/>
        </w:rPr>
        <w:t>Phase III</w:t>
      </w:r>
      <w:r w:rsidRPr="00C94C33">
        <w:rPr>
          <w:rFonts w:asciiTheme="minorHAnsi" w:hAnsiTheme="minorHAnsi"/>
        </w:rPr>
        <w:t xml:space="preserve"> cetuximab study.</w:t>
      </w:r>
      <w:r w:rsidRPr="00C94C33">
        <w:rPr>
          <w:rFonts w:asciiTheme="minorHAnsi" w:hAnsiTheme="minorHAnsi"/>
          <w:vertAlign w:val="superscript"/>
        </w:rPr>
        <w:t>5</w:t>
      </w:r>
      <w:r w:rsidRPr="00C94C33">
        <w:rPr>
          <w:rFonts w:asciiTheme="minorHAnsi" w:hAnsiTheme="minorHAnsi"/>
        </w:rPr>
        <w:t xml:space="preserve"> The estimated time-point was rounded to 5 months to reflect a higher control OS median in the Japanese population observed in the </w:t>
      </w:r>
      <w:r w:rsidR="00842E8F" w:rsidRPr="00C94C33">
        <w:rPr>
          <w:rFonts w:asciiTheme="minorHAnsi" w:hAnsiTheme="minorHAnsi"/>
        </w:rPr>
        <w:t>Phase II</w:t>
      </w:r>
      <w:r w:rsidRPr="00C94C33">
        <w:rPr>
          <w:rFonts w:asciiTheme="minorHAnsi" w:hAnsiTheme="minorHAnsi"/>
        </w:rPr>
        <w:t xml:space="preserve"> </w:t>
      </w:r>
      <w:r w:rsidR="00DA182C">
        <w:rPr>
          <w:rFonts w:asciiTheme="minorHAnsi" w:hAnsiTheme="minorHAnsi"/>
        </w:rPr>
        <w:t>S</w:t>
      </w:r>
      <w:r w:rsidRPr="00C94C33">
        <w:rPr>
          <w:rFonts w:asciiTheme="minorHAnsi" w:hAnsiTheme="minorHAnsi"/>
        </w:rPr>
        <w:t>tudy J003-10040030.</w:t>
      </w:r>
    </w:p>
    <w:p w14:paraId="314D2D80" w14:textId="67EAA996" w:rsidR="00DF61BC" w:rsidRPr="00C94C33" w:rsidRDefault="00DF61BC" w:rsidP="00955252">
      <w:pPr>
        <w:pStyle w:val="Heading4"/>
      </w:pPr>
      <w:bookmarkStart w:id="221" w:name="_Toc470948520"/>
      <w:r w:rsidRPr="00C94C33">
        <w:t>Statistical methods</w:t>
      </w:r>
      <w:bookmarkEnd w:id="221"/>
    </w:p>
    <w:p w14:paraId="02D1073C" w14:textId="77777777" w:rsidR="00AA7141" w:rsidRDefault="00DF61BC" w:rsidP="00955252">
      <w:pPr>
        <w:pStyle w:val="Heading5"/>
      </w:pPr>
      <w:bookmarkStart w:id="222" w:name="_Toc470948521"/>
      <w:r w:rsidRPr="00C94C33">
        <w:t>Analysis of OS (primary efficacy endpoint)</w:t>
      </w:r>
      <w:bookmarkEnd w:id="222"/>
    </w:p>
    <w:p w14:paraId="2C7E80CE" w14:textId="2A5E6838" w:rsidR="00AA7141" w:rsidRDefault="00DF61BC" w:rsidP="00DF61BC">
      <w:pPr>
        <w:autoSpaceDE w:val="0"/>
        <w:autoSpaceDN w:val="0"/>
        <w:adjustRightInd w:val="0"/>
        <w:rPr>
          <w:rFonts w:asciiTheme="minorHAnsi" w:hAnsiTheme="minorHAnsi"/>
        </w:rPr>
      </w:pPr>
      <w:r w:rsidRPr="00C94C33">
        <w:rPr>
          <w:rFonts w:asciiTheme="minorHAnsi" w:hAnsiTheme="minorHAnsi"/>
        </w:rPr>
        <w:t>The difference in OS between the two treatment arms was assessed in the ITT population using the stratified log-rank test from a Cox proportional hazards (CPH) model, including treatment and the 3 stratification factors in the model. The stratification factors were determined as per the IWRS assignment. Overall survival for each arm was summarised using Kaplan Meier curves,  and was further characterised in terms of the median survival probability at 3, 6, 9 and 12 months, along with the corresponding 2-sided 95% confidence intervals (CIs) for the estimates. Confidence intervals for median overall survival were based on the methods of Brookmeyer and Crowley.</w:t>
      </w:r>
      <w:r w:rsidRPr="00C94C33">
        <w:rPr>
          <w:rFonts w:asciiTheme="minorHAnsi" w:hAnsiTheme="minorHAnsi"/>
          <w:vertAlign w:val="superscript"/>
        </w:rPr>
        <w:t>6</w:t>
      </w:r>
      <w:r w:rsidRPr="00C94C33">
        <w:rPr>
          <w:rFonts w:asciiTheme="minorHAnsi" w:hAnsiTheme="minorHAnsi"/>
        </w:rPr>
        <w:t xml:space="preserve"> Assuming that OS demonstrates significance at the 1-sided 0.025 level, PFS could be subsequently tested at the 1-sided 0.025 level.</w:t>
      </w:r>
    </w:p>
    <w:p w14:paraId="49DBDF16" w14:textId="5B38C8DC" w:rsidR="00766E0D" w:rsidRPr="00C94C33" w:rsidRDefault="00DF61BC" w:rsidP="00DF61BC">
      <w:pPr>
        <w:rPr>
          <w:rFonts w:asciiTheme="minorHAnsi" w:hAnsiTheme="minorHAnsi"/>
        </w:rPr>
      </w:pPr>
      <w:r w:rsidRPr="00C94C33">
        <w:rPr>
          <w:rFonts w:asciiTheme="minorHAnsi" w:hAnsiTheme="minorHAnsi"/>
        </w:rPr>
        <w:t>There were a number of supportive analyses of OS conducted in the ITT population (unless otherwise specified). These included:</w:t>
      </w:r>
    </w:p>
    <w:p w14:paraId="4A5EFFB4" w14:textId="77777777" w:rsidR="00AA7141" w:rsidRDefault="00766E0D" w:rsidP="00AB224E">
      <w:pPr>
        <w:pStyle w:val="ListBullet"/>
      </w:pPr>
      <w:r w:rsidRPr="00C94C33">
        <w:t>T</w:t>
      </w:r>
      <w:r w:rsidR="00DF61BC" w:rsidRPr="00C94C33">
        <w:t>he unstratified log-rank test and a CPH model (</w:t>
      </w:r>
      <w:r w:rsidR="00B2072D" w:rsidRPr="00C94C33">
        <w:t>that is,</w:t>
      </w:r>
      <w:r w:rsidR="00DF61BC" w:rsidRPr="00C94C33">
        <w:t xml:space="preserve"> only treatment effect in the model);</w:t>
      </w:r>
    </w:p>
    <w:p w14:paraId="08CA39AC" w14:textId="0C20335C" w:rsidR="00766E0D" w:rsidRPr="00C94C33" w:rsidRDefault="00766E0D" w:rsidP="00AB224E">
      <w:pPr>
        <w:pStyle w:val="ListBullet"/>
      </w:pPr>
      <w:r w:rsidRPr="00C94C33">
        <w:t>M</w:t>
      </w:r>
      <w:r w:rsidR="00DF61BC" w:rsidRPr="00C94C33">
        <w:t>ultivariate analysis using the CPH model, including the 3 stratification factors and the following potential prognostic/predictive factors, age (&lt;</w:t>
      </w:r>
      <w:r w:rsidR="00DA182C">
        <w:t xml:space="preserve"> </w:t>
      </w:r>
      <w:r w:rsidR="00DF61BC" w:rsidRPr="00C94C33">
        <w:t>65</w:t>
      </w:r>
      <w:r w:rsidR="00C11183">
        <w:t xml:space="preserve"> versus </w:t>
      </w:r>
      <w:r w:rsidR="00DF61BC" w:rsidRPr="00C94C33">
        <w:t>≥</w:t>
      </w:r>
      <w:r w:rsidR="00DA182C">
        <w:t xml:space="preserve"> </w:t>
      </w:r>
      <w:r w:rsidR="00DF61BC" w:rsidRPr="00C94C33">
        <w:t>65), race (Caucasian</w:t>
      </w:r>
      <w:r w:rsidR="00C11183">
        <w:t xml:space="preserve"> versus </w:t>
      </w:r>
      <w:r w:rsidR="00DF61BC" w:rsidRPr="00C94C33">
        <w:t>Asian</w:t>
      </w:r>
      <w:r w:rsidR="00C11183">
        <w:t xml:space="preserve"> versus </w:t>
      </w:r>
      <w:r w:rsidR="00DF61BC" w:rsidRPr="00C94C33">
        <w:t>Other), gender, primary tumour site (colon</w:t>
      </w:r>
      <w:r w:rsidR="00C11183">
        <w:t xml:space="preserve"> versus </w:t>
      </w:r>
      <w:r w:rsidR="00DF61BC" w:rsidRPr="00C94C33">
        <w:t>rectal), ECOG PS (0</w:t>
      </w:r>
      <w:r w:rsidR="00C11183">
        <w:t xml:space="preserve"> versus </w:t>
      </w:r>
      <w:r w:rsidR="00DF61BC" w:rsidRPr="00C94C33">
        <w:t>1), number of prior regimens (2</w:t>
      </w:r>
      <w:r w:rsidR="00C11183">
        <w:t xml:space="preserve"> versus </w:t>
      </w:r>
      <w:r w:rsidR="00DF61BC" w:rsidRPr="00C94C33">
        <w:t>3</w:t>
      </w:r>
      <w:r w:rsidR="00C11183">
        <w:t xml:space="preserve"> versus </w:t>
      </w:r>
      <w:r w:rsidR="00DF61BC" w:rsidRPr="00C94C33">
        <w:t>4+), and number of metastatic sites (1</w:t>
      </w:r>
      <w:r w:rsidR="00DA182C">
        <w:t xml:space="preserve"> or </w:t>
      </w:r>
      <w:r w:rsidR="00DF61BC" w:rsidRPr="00C94C33">
        <w:t>2</w:t>
      </w:r>
      <w:r w:rsidR="00C11183">
        <w:t xml:space="preserve"> versus </w:t>
      </w:r>
      <w:r w:rsidR="00DF61BC" w:rsidRPr="00C94C33">
        <w:t>3+);</w:t>
      </w:r>
    </w:p>
    <w:p w14:paraId="5113437D" w14:textId="4D61002B" w:rsidR="00766E0D" w:rsidRPr="00C94C33" w:rsidRDefault="00766E0D" w:rsidP="00AB224E">
      <w:pPr>
        <w:pStyle w:val="ListBullet"/>
      </w:pPr>
      <w:r w:rsidRPr="00C94C33">
        <w:t>S</w:t>
      </w:r>
      <w:r w:rsidR="00DF61BC" w:rsidRPr="00C94C33">
        <w:t>ubgroup analysis by KRAS status;</w:t>
      </w:r>
    </w:p>
    <w:p w14:paraId="6B11019A" w14:textId="1D506025" w:rsidR="00766E0D" w:rsidRPr="00C94C33" w:rsidRDefault="00766E0D" w:rsidP="00AB224E">
      <w:pPr>
        <w:pStyle w:val="ListBullet"/>
      </w:pPr>
      <w:r w:rsidRPr="00C94C33">
        <w:t>S</w:t>
      </w:r>
      <w:r w:rsidR="00DF61BC" w:rsidRPr="00C94C33">
        <w:t>ubgroup analyses for each of the other two stratification factors and the previously listed potential prognostic/predictive factors;</w:t>
      </w:r>
    </w:p>
    <w:p w14:paraId="06776011" w14:textId="2F851BD9" w:rsidR="00766E0D" w:rsidRPr="00C94C33" w:rsidRDefault="00766E0D" w:rsidP="00AB224E">
      <w:pPr>
        <w:pStyle w:val="ListBullet"/>
      </w:pPr>
      <w:r w:rsidRPr="00C94C33">
        <w:t>T</w:t>
      </w:r>
      <w:r w:rsidR="00DF61BC" w:rsidRPr="00C94C33">
        <w:t>he primary efficacy analysis excluding patients without documented refractory mCRC, as defined in the inclusion criteria;</w:t>
      </w:r>
    </w:p>
    <w:p w14:paraId="2CAD2E0A" w14:textId="208A1459" w:rsidR="00766E0D" w:rsidRPr="00C94C33" w:rsidRDefault="00766E0D" w:rsidP="00AB224E">
      <w:pPr>
        <w:pStyle w:val="ListBullet"/>
      </w:pPr>
      <w:r w:rsidRPr="00C94C33">
        <w:t>A</w:t>
      </w:r>
      <w:r w:rsidR="00DF61BC" w:rsidRPr="00C94C33">
        <w:t>dditional sensitivity analyses as defined in the SAP;</w:t>
      </w:r>
    </w:p>
    <w:p w14:paraId="0ACC0283" w14:textId="6C3B5CDE" w:rsidR="00766E0D" w:rsidRPr="00C94C33" w:rsidRDefault="00766E0D" w:rsidP="00AB224E">
      <w:pPr>
        <w:pStyle w:val="ListBullet"/>
      </w:pPr>
      <w:r w:rsidRPr="00C94C33">
        <w:t>S</w:t>
      </w:r>
      <w:r w:rsidR="00DF61BC" w:rsidRPr="00C94C33">
        <w:t>tratified log-rank test using the final strata as recorded on the eCRF; and</w:t>
      </w:r>
    </w:p>
    <w:p w14:paraId="4F891D00" w14:textId="3C6695E1" w:rsidR="00DF61BC" w:rsidRPr="00C94C33" w:rsidRDefault="00DF61BC" w:rsidP="00AB224E">
      <w:pPr>
        <w:pStyle w:val="ListBullet"/>
      </w:pPr>
      <w:r w:rsidRPr="00C94C33">
        <w:t>OS calculated using the date of the first dose of study medication in place of the date of randomisation.</w:t>
      </w:r>
    </w:p>
    <w:p w14:paraId="27824096" w14:textId="77777777" w:rsidR="00AA7141" w:rsidRDefault="00DF61BC" w:rsidP="00955252">
      <w:pPr>
        <w:pStyle w:val="Heading5"/>
      </w:pPr>
      <w:bookmarkStart w:id="223" w:name="_Toc470948522"/>
      <w:r w:rsidRPr="00C94C33">
        <w:t>Analysis of the key secondary efficacy endpoint (PFS)</w:t>
      </w:r>
      <w:bookmarkEnd w:id="223"/>
    </w:p>
    <w:p w14:paraId="2A68DDE3" w14:textId="39846778"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The PFS was analysed for the ITT population using the methods described for OS. A sequential testing procedure was used. Assuming that OS demonstrated significance at the 1-sided 0.025 level, PFS could subsequently be tested at the 1-sided 0.025 level. In addition, several sensitivity analyses for PFS were co</w:t>
      </w:r>
      <w:r w:rsidR="00AB224E" w:rsidRPr="00C94C33">
        <w:rPr>
          <w:rFonts w:asciiTheme="minorHAnsi" w:hAnsiTheme="minorHAnsi"/>
        </w:rPr>
        <w:t>nducted for the ITT population.</w:t>
      </w:r>
    </w:p>
    <w:p w14:paraId="141514A6" w14:textId="77777777" w:rsidR="00DF61BC" w:rsidRPr="00C94C33" w:rsidRDefault="00DF61BC" w:rsidP="00955252">
      <w:pPr>
        <w:pStyle w:val="Heading5"/>
      </w:pPr>
      <w:bookmarkStart w:id="224" w:name="_Toc470948523"/>
      <w:r w:rsidRPr="00C94C33">
        <w:t>Other secondary efficacy endpoints</w:t>
      </w:r>
      <w:bookmarkEnd w:id="224"/>
    </w:p>
    <w:p w14:paraId="07C5ED37" w14:textId="34AA5145" w:rsidR="00DF61BC" w:rsidRPr="00C94C33" w:rsidRDefault="00DF61BC" w:rsidP="00DF61BC">
      <w:r w:rsidRPr="00C94C33">
        <w:t>The statistical methods used to analyse the other secondary efficacy endpoints have been examined and are considered satisfactory. Standard methods were used to analyse time to event criteria and categorical criteria. All other secondary efficacy endpoints comparisons were made at the 2-sided 0.05 significance level. Time to event endpoints (PFS, TTF, DR) were analysed using the same survival methodology applied to the OS endpoint. The treatment comparison for both the ORR and BCR were based on the tumour response evaluable population using Fisher’s exact test. Treatment estimates and differences were presented along with the associated 95% CIs.</w:t>
      </w:r>
    </w:p>
    <w:p w14:paraId="1F08EACF" w14:textId="77777777" w:rsidR="00AA7141" w:rsidRDefault="00DF61BC" w:rsidP="005C2FCA">
      <w:pPr>
        <w:pStyle w:val="Comment"/>
      </w:pPr>
      <w:r w:rsidRPr="005C2FCA">
        <w:rPr>
          <w:b/>
        </w:rPr>
        <w:t>Comment:</w:t>
      </w:r>
      <w:r w:rsidR="00DA182C">
        <w:t xml:space="preserve"> </w:t>
      </w:r>
      <w:r w:rsidRPr="00C94C33">
        <w:t xml:space="preserve"> Since PFS was the only key secondary endpoint for regulatory registration purposes, no statistical adjustments were made for the multiple pairwise comparisons used to test </w:t>
      </w:r>
      <w:r w:rsidRPr="00C94C33">
        <w:lastRenderedPageBreak/>
        <w:t>the other secondary efficacy endpoints. Therefore, the other secondary efficacy endpoint analyses are considered to be exploratory rather than confirmatory.</w:t>
      </w:r>
    </w:p>
    <w:p w14:paraId="04394110" w14:textId="77777777" w:rsidR="00AA7141" w:rsidRDefault="00DF61BC" w:rsidP="00955252">
      <w:pPr>
        <w:pStyle w:val="Heading5"/>
      </w:pPr>
      <w:bookmarkStart w:id="225" w:name="_Toc470948524"/>
      <w:r w:rsidRPr="00C94C33">
        <w:t>Interim analyses</w:t>
      </w:r>
      <w:bookmarkEnd w:id="225"/>
    </w:p>
    <w:p w14:paraId="3FBA0365" w14:textId="77777777" w:rsidR="00AA7141" w:rsidRDefault="00DF61BC" w:rsidP="00DF61BC">
      <w:r w:rsidRPr="00C94C33">
        <w:t>No interim analyses for efficacy or futility were planned or performed during this study. During the course of the study, an independent Data Monitoring Committee (DMC) periodically assessed the safety data.</w:t>
      </w:r>
    </w:p>
    <w:p w14:paraId="175B8C84" w14:textId="2381A595" w:rsidR="00DF61BC" w:rsidRPr="00C94C33" w:rsidRDefault="00DF61BC" w:rsidP="00955252">
      <w:pPr>
        <w:pStyle w:val="Heading5"/>
      </w:pPr>
      <w:bookmarkStart w:id="226" w:name="_Toc470948525"/>
      <w:r w:rsidRPr="00C94C33">
        <w:t>Handling of dropouts or missing data</w:t>
      </w:r>
      <w:bookmarkEnd w:id="226"/>
    </w:p>
    <w:p w14:paraId="35A3BDD4" w14:textId="77777777" w:rsidR="00AA7141" w:rsidRDefault="00DF61BC" w:rsidP="00DF61BC">
      <w:pPr>
        <w:autoSpaceDE w:val="0"/>
        <w:autoSpaceDN w:val="0"/>
        <w:adjustRightInd w:val="0"/>
        <w:rPr>
          <w:rFonts w:asciiTheme="minorHAnsi" w:hAnsiTheme="minorHAnsi"/>
          <w:color w:val="000000"/>
        </w:rPr>
      </w:pPr>
      <w:r w:rsidRPr="00C94C33">
        <w:rPr>
          <w:rFonts w:asciiTheme="minorHAnsi" w:hAnsiTheme="minorHAnsi"/>
          <w:color w:val="000000"/>
        </w:rPr>
        <w:t>No missing data were estimated for efficacy variables except for imputation of dates for partial death dates or clinical progression dates in cases where only the day was missing. Dates with missing month or year were not imputed.</w:t>
      </w:r>
    </w:p>
    <w:p w14:paraId="1D87C761" w14:textId="77777777" w:rsidR="00AA7141" w:rsidRDefault="00DF61BC" w:rsidP="00955252">
      <w:pPr>
        <w:pStyle w:val="Heading5"/>
      </w:pPr>
      <w:bookmarkStart w:id="227" w:name="_Toc470948526"/>
      <w:r w:rsidRPr="00C94C33">
        <w:t>Changes to the planned analyses</w:t>
      </w:r>
      <w:bookmarkEnd w:id="227"/>
    </w:p>
    <w:p w14:paraId="408B32B6" w14:textId="65B64BD3" w:rsidR="00DF61BC" w:rsidRPr="00C94C33" w:rsidRDefault="00DF61BC" w:rsidP="00DF61BC">
      <w:r w:rsidRPr="00C94C33">
        <w:t>There were no changes to the primary analyses of primary efficacy and key secondary efficacy endpoints as specified in the original protocol and version 1.0 of the SAP (dated 17 August 2012). However, subsequent to the final sign-off of version 1.1 of the SAP a number of relatively minor amendments were made to the SAP, which are considered not to have the affected the validity of the pre-specified statistical analyses of the efficacy endpoints.</w:t>
      </w:r>
    </w:p>
    <w:p w14:paraId="672D559F" w14:textId="77777777" w:rsidR="00AA7141" w:rsidRDefault="00DF61BC" w:rsidP="00955252">
      <w:pPr>
        <w:pStyle w:val="Heading4"/>
      </w:pPr>
      <w:bookmarkStart w:id="228" w:name="_Toc470948527"/>
      <w:r w:rsidRPr="005C2FCA">
        <w:t>Participant flow</w:t>
      </w:r>
      <w:bookmarkEnd w:id="228"/>
    </w:p>
    <w:p w14:paraId="2B9EB8AC" w14:textId="7CF89306" w:rsidR="00DF61BC" w:rsidRPr="00C94C33" w:rsidRDefault="00DF61BC" w:rsidP="00766E0D">
      <w:pPr>
        <w:autoSpaceDE w:val="0"/>
        <w:autoSpaceDN w:val="0"/>
        <w:adjustRightInd w:val="0"/>
        <w:rPr>
          <w:rFonts w:asciiTheme="minorHAnsi" w:hAnsiTheme="minorHAnsi"/>
          <w:color w:val="000000"/>
        </w:rPr>
      </w:pPr>
      <w:r w:rsidRPr="007709B8">
        <w:rPr>
          <w:rFonts w:asciiTheme="minorHAnsi" w:hAnsiTheme="minorHAnsi"/>
        </w:rPr>
        <w:t>A total of 1002 patient</w:t>
      </w:r>
      <w:r w:rsidRPr="00C94C33">
        <w:rPr>
          <w:rFonts w:asciiTheme="minorHAnsi" w:hAnsiTheme="minorHAnsi"/>
        </w:rPr>
        <w:t>s provided informed consent for participation in the study. Of these 1002 patients, 202 (20%) did not meet eligibility criteria and were not randomised (</w:t>
      </w:r>
      <w:r w:rsidR="00B2072D" w:rsidRPr="00C94C33">
        <w:rPr>
          <w:rFonts w:asciiTheme="minorHAnsi" w:hAnsiTheme="minorHAnsi"/>
        </w:rPr>
        <w:t>that is,</w:t>
      </w:r>
      <w:r w:rsidRPr="00C94C33">
        <w:rPr>
          <w:rFonts w:asciiTheme="minorHAnsi" w:hAnsiTheme="minorHAnsi"/>
        </w:rPr>
        <w:t xml:space="preserve"> screen failures). Of the 800 randomised patients (534, TAS-102; 266, placebo), 2 patients (1, TAS-102; 1,</w:t>
      </w:r>
      <w:r w:rsidR="00D67E9B">
        <w:rPr>
          <w:rFonts w:asciiTheme="minorHAnsi" w:hAnsiTheme="minorHAnsi"/>
        </w:rPr>
        <w:t> </w:t>
      </w:r>
      <w:r w:rsidRPr="00C94C33">
        <w:rPr>
          <w:rFonts w:asciiTheme="minorHAnsi" w:hAnsiTheme="minorHAnsi"/>
        </w:rPr>
        <w:t xml:space="preserve">placebo) did not receive study medication. Of these 2 </w:t>
      </w:r>
      <w:r w:rsidRPr="00C94C33">
        <w:rPr>
          <w:rFonts w:asciiTheme="minorHAnsi" w:hAnsiTheme="minorHAnsi"/>
          <w:color w:val="000000"/>
        </w:rPr>
        <w:t xml:space="preserve">patients, 1 patient in the TAS-102 group discontinued prior to receiving treatment due to an AE of ascites and 1 patient in the placebo group was found to be ineligible for the study (entry criteria for serum bilirubin not met). All 798 as treated patients (533, TAS-102; 265, placebo) received their assigned treatment at randomisation, and 760 (95%) patients were evaluable for assessment of tumour response (TR Population). </w:t>
      </w:r>
      <w:r w:rsidRPr="00C94C33">
        <w:rPr>
          <w:rFonts w:asciiTheme="minorHAnsi" w:hAnsiTheme="minorHAnsi"/>
        </w:rPr>
        <w:t>The disposition of the ITT p</w:t>
      </w:r>
      <w:r w:rsidR="008A1C03" w:rsidRPr="00C94C33">
        <w:rPr>
          <w:rFonts w:asciiTheme="minorHAnsi" w:hAnsiTheme="minorHAnsi"/>
        </w:rPr>
        <w:t>opulation is summarised below</w:t>
      </w:r>
      <w:r w:rsidRPr="00C94C33">
        <w:rPr>
          <w:rFonts w:asciiTheme="minorHAnsi" w:hAnsiTheme="minorHAnsi"/>
        </w:rPr>
        <w:t>.</w:t>
      </w:r>
    </w:p>
    <w:p w14:paraId="031F5689" w14:textId="7A0E733A" w:rsidR="00DF61BC" w:rsidRPr="00C94C33" w:rsidRDefault="00DF61BC" w:rsidP="00C665B0">
      <w:pPr>
        <w:pStyle w:val="Tabletitle"/>
      </w:pPr>
      <w:bookmarkStart w:id="229" w:name="_Toc470948679"/>
      <w:r w:rsidRPr="00C94C33">
        <w:t>Table</w:t>
      </w:r>
      <w:r w:rsidR="008A1C03" w:rsidRPr="00C94C33">
        <w:t xml:space="preserve"> 30</w:t>
      </w:r>
      <w:r w:rsidRPr="00C94C33">
        <w:t>: RE</w:t>
      </w:r>
      <w:r w:rsidR="001B7F8D" w:rsidRPr="00C94C33">
        <w:t>C</w:t>
      </w:r>
      <w:r w:rsidRPr="00C94C33">
        <w:t>OUR</w:t>
      </w:r>
      <w:r w:rsidR="001B7F8D" w:rsidRPr="00C94C33">
        <w:t>S</w:t>
      </w:r>
      <w:r w:rsidRPr="00C94C33">
        <w:t>E</w:t>
      </w:r>
      <w:r w:rsidR="00D67E9B">
        <w:t xml:space="preserve">; </w:t>
      </w:r>
      <w:r w:rsidRPr="00C94C33">
        <w:t>Patient disposition, ITT population</w:t>
      </w:r>
      <w:bookmarkEnd w:id="229"/>
    </w:p>
    <w:tbl>
      <w:tblPr>
        <w:tblStyle w:val="TableGrid"/>
        <w:tblW w:w="8755" w:type="dxa"/>
        <w:tblLook w:val="04A0" w:firstRow="1" w:lastRow="0" w:firstColumn="1" w:lastColumn="0" w:noHBand="0" w:noVBand="1"/>
        <w:tblDescription w:val="Table 30: RECOURSE; Patient disposition, ITT population"/>
      </w:tblPr>
      <w:tblGrid>
        <w:gridCol w:w="4219"/>
        <w:gridCol w:w="2382"/>
        <w:gridCol w:w="2154"/>
      </w:tblGrid>
      <w:tr w:rsidR="00DF61BC" w:rsidRPr="00C94C33" w14:paraId="2865FC57" w14:textId="77777777" w:rsidTr="007B0D96">
        <w:trPr>
          <w:tblHeader/>
        </w:trPr>
        <w:tc>
          <w:tcPr>
            <w:tcW w:w="4219" w:type="dxa"/>
            <w:tcBorders>
              <w:left w:val="single" w:sz="4" w:space="0" w:color="auto"/>
              <w:right w:val="nil"/>
            </w:tcBorders>
            <w:shd w:val="clear" w:color="auto" w:fill="auto"/>
          </w:tcPr>
          <w:p w14:paraId="64477426" w14:textId="77777777" w:rsidR="00DF61BC" w:rsidRPr="00C94C33" w:rsidRDefault="00DF61BC" w:rsidP="00E40B26">
            <w:pPr>
              <w:pStyle w:val="TableHeading"/>
            </w:pPr>
          </w:p>
        </w:tc>
        <w:tc>
          <w:tcPr>
            <w:tcW w:w="2382" w:type="dxa"/>
            <w:tcBorders>
              <w:left w:val="nil"/>
              <w:right w:val="nil"/>
            </w:tcBorders>
            <w:shd w:val="clear" w:color="auto" w:fill="auto"/>
          </w:tcPr>
          <w:p w14:paraId="243FC05B" w14:textId="176779C6" w:rsidR="00DF61BC" w:rsidRPr="00C94C33" w:rsidRDefault="00DF61BC" w:rsidP="00E40B26">
            <w:pPr>
              <w:pStyle w:val="TableHeading"/>
            </w:pPr>
            <w:r w:rsidRPr="00C94C33">
              <w:t>TAS-102 (</w:t>
            </w:r>
            <w:r w:rsidR="009C0389" w:rsidRPr="00C94C33">
              <w:t xml:space="preserve">n = </w:t>
            </w:r>
            <w:r w:rsidRPr="00C94C33">
              <w:t>534)</w:t>
            </w:r>
          </w:p>
        </w:tc>
        <w:tc>
          <w:tcPr>
            <w:tcW w:w="2154" w:type="dxa"/>
            <w:tcBorders>
              <w:left w:val="nil"/>
              <w:right w:val="single" w:sz="4" w:space="0" w:color="auto"/>
            </w:tcBorders>
            <w:shd w:val="clear" w:color="auto" w:fill="auto"/>
          </w:tcPr>
          <w:p w14:paraId="3CC338C7" w14:textId="77B76496" w:rsidR="00DF61BC" w:rsidRPr="00C94C33" w:rsidRDefault="00DF61BC" w:rsidP="00E40B26">
            <w:pPr>
              <w:pStyle w:val="TableHeading"/>
            </w:pPr>
            <w:r w:rsidRPr="00C94C33">
              <w:t>Placebo (</w:t>
            </w:r>
            <w:r w:rsidR="009C0389" w:rsidRPr="00C94C33">
              <w:t xml:space="preserve">n = </w:t>
            </w:r>
            <w:r w:rsidRPr="00C94C33">
              <w:t>266)</w:t>
            </w:r>
          </w:p>
        </w:tc>
      </w:tr>
      <w:tr w:rsidR="00DF61BC" w:rsidRPr="00C94C33" w14:paraId="3B32BDF4" w14:textId="77777777" w:rsidTr="00766E0D">
        <w:tc>
          <w:tcPr>
            <w:tcW w:w="4219" w:type="dxa"/>
            <w:tcBorders>
              <w:left w:val="single" w:sz="4" w:space="0" w:color="auto"/>
              <w:bottom w:val="nil"/>
              <w:right w:val="nil"/>
            </w:tcBorders>
            <w:shd w:val="clear" w:color="auto" w:fill="auto"/>
          </w:tcPr>
          <w:p w14:paraId="6B8E6B79" w14:textId="77777777" w:rsidR="00DF61BC" w:rsidRPr="00C94C33" w:rsidRDefault="00DF61BC" w:rsidP="00E40B26">
            <w:pPr>
              <w:pStyle w:val="Tabletext"/>
            </w:pPr>
            <w:r w:rsidRPr="00C94C33">
              <w:t>Not treated</w:t>
            </w:r>
          </w:p>
        </w:tc>
        <w:tc>
          <w:tcPr>
            <w:tcW w:w="2382" w:type="dxa"/>
            <w:tcBorders>
              <w:left w:val="nil"/>
              <w:bottom w:val="nil"/>
              <w:right w:val="nil"/>
            </w:tcBorders>
            <w:shd w:val="clear" w:color="auto" w:fill="auto"/>
          </w:tcPr>
          <w:p w14:paraId="51BDE0F0" w14:textId="77777777" w:rsidR="00DF61BC" w:rsidRPr="00C94C33" w:rsidRDefault="00DF61BC" w:rsidP="00E40B26">
            <w:pPr>
              <w:pStyle w:val="Tabletext"/>
            </w:pPr>
            <w:r w:rsidRPr="00C94C33">
              <w:t>1 (0.2%)</w:t>
            </w:r>
          </w:p>
        </w:tc>
        <w:tc>
          <w:tcPr>
            <w:tcW w:w="2154" w:type="dxa"/>
            <w:tcBorders>
              <w:left w:val="nil"/>
              <w:bottom w:val="nil"/>
              <w:right w:val="single" w:sz="4" w:space="0" w:color="auto"/>
            </w:tcBorders>
            <w:shd w:val="clear" w:color="auto" w:fill="auto"/>
          </w:tcPr>
          <w:p w14:paraId="7C6B4B40" w14:textId="77777777" w:rsidR="00DF61BC" w:rsidRPr="00C94C33" w:rsidRDefault="00DF61BC" w:rsidP="00E40B26">
            <w:pPr>
              <w:pStyle w:val="Tabletext"/>
            </w:pPr>
            <w:r w:rsidRPr="00C94C33">
              <w:t>1 (0.4%)</w:t>
            </w:r>
          </w:p>
        </w:tc>
      </w:tr>
      <w:tr w:rsidR="00DF61BC" w:rsidRPr="00C94C33" w14:paraId="5A2AF5BD" w14:textId="77777777" w:rsidTr="00766E0D">
        <w:tc>
          <w:tcPr>
            <w:tcW w:w="4219" w:type="dxa"/>
            <w:tcBorders>
              <w:top w:val="nil"/>
              <w:left w:val="single" w:sz="4" w:space="0" w:color="auto"/>
              <w:bottom w:val="nil"/>
              <w:right w:val="nil"/>
            </w:tcBorders>
            <w:shd w:val="clear" w:color="auto" w:fill="auto"/>
          </w:tcPr>
          <w:p w14:paraId="24ADFC1B" w14:textId="77777777" w:rsidR="00DF61BC" w:rsidRPr="00C94C33" w:rsidRDefault="00DF61BC" w:rsidP="00E40B26">
            <w:pPr>
              <w:pStyle w:val="Tabletext"/>
            </w:pPr>
            <w:r w:rsidRPr="00C94C33">
              <w:t xml:space="preserve">As treated population </w:t>
            </w:r>
          </w:p>
        </w:tc>
        <w:tc>
          <w:tcPr>
            <w:tcW w:w="2382" w:type="dxa"/>
            <w:tcBorders>
              <w:top w:val="nil"/>
              <w:left w:val="nil"/>
              <w:bottom w:val="nil"/>
              <w:right w:val="nil"/>
            </w:tcBorders>
            <w:shd w:val="clear" w:color="auto" w:fill="auto"/>
          </w:tcPr>
          <w:p w14:paraId="41AD4FB5" w14:textId="77777777" w:rsidR="00DF61BC" w:rsidRPr="00C94C33" w:rsidRDefault="00DF61BC" w:rsidP="00E40B26">
            <w:pPr>
              <w:pStyle w:val="Tabletext"/>
            </w:pPr>
            <w:r w:rsidRPr="00C94C33">
              <w:t>533 (99.8%)</w:t>
            </w:r>
          </w:p>
        </w:tc>
        <w:tc>
          <w:tcPr>
            <w:tcW w:w="2154" w:type="dxa"/>
            <w:tcBorders>
              <w:top w:val="nil"/>
              <w:left w:val="nil"/>
              <w:bottom w:val="nil"/>
              <w:right w:val="single" w:sz="4" w:space="0" w:color="auto"/>
            </w:tcBorders>
            <w:shd w:val="clear" w:color="auto" w:fill="auto"/>
          </w:tcPr>
          <w:p w14:paraId="30D79990" w14:textId="77777777" w:rsidR="00DF61BC" w:rsidRPr="00C94C33" w:rsidRDefault="00DF61BC" w:rsidP="00E40B26">
            <w:pPr>
              <w:pStyle w:val="Tabletext"/>
            </w:pPr>
            <w:r w:rsidRPr="00C94C33">
              <w:t xml:space="preserve">265 (99.6%) </w:t>
            </w:r>
          </w:p>
        </w:tc>
      </w:tr>
      <w:tr w:rsidR="00DF61BC" w:rsidRPr="00C94C33" w14:paraId="099FFB7E" w14:textId="77777777" w:rsidTr="00766E0D">
        <w:tc>
          <w:tcPr>
            <w:tcW w:w="4219" w:type="dxa"/>
            <w:tcBorders>
              <w:top w:val="nil"/>
              <w:left w:val="single" w:sz="4" w:space="0" w:color="auto"/>
              <w:bottom w:val="nil"/>
              <w:right w:val="nil"/>
            </w:tcBorders>
            <w:shd w:val="clear" w:color="auto" w:fill="auto"/>
          </w:tcPr>
          <w:p w14:paraId="3D2237FD" w14:textId="77777777" w:rsidR="00DF61BC" w:rsidRPr="00C94C33" w:rsidRDefault="00DF61BC" w:rsidP="00E40B26">
            <w:pPr>
              <w:pStyle w:val="Tabletext"/>
            </w:pPr>
            <w:r w:rsidRPr="00C94C33">
              <w:t>Patients still being treated as of 31 January 2014</w:t>
            </w:r>
          </w:p>
        </w:tc>
        <w:tc>
          <w:tcPr>
            <w:tcW w:w="2382" w:type="dxa"/>
            <w:tcBorders>
              <w:top w:val="nil"/>
              <w:left w:val="nil"/>
              <w:bottom w:val="nil"/>
              <w:right w:val="nil"/>
            </w:tcBorders>
            <w:shd w:val="clear" w:color="auto" w:fill="auto"/>
          </w:tcPr>
          <w:p w14:paraId="64CAC710" w14:textId="77777777" w:rsidR="00DF61BC" w:rsidRPr="00C94C33" w:rsidRDefault="00DF61BC" w:rsidP="00E40B26">
            <w:pPr>
              <w:pStyle w:val="Tabletext"/>
            </w:pPr>
            <w:r w:rsidRPr="00C94C33">
              <w:t>37 (6.9%)</w:t>
            </w:r>
          </w:p>
        </w:tc>
        <w:tc>
          <w:tcPr>
            <w:tcW w:w="2154" w:type="dxa"/>
            <w:tcBorders>
              <w:top w:val="nil"/>
              <w:left w:val="nil"/>
              <w:bottom w:val="nil"/>
              <w:right w:val="single" w:sz="4" w:space="0" w:color="auto"/>
            </w:tcBorders>
            <w:shd w:val="clear" w:color="auto" w:fill="auto"/>
          </w:tcPr>
          <w:p w14:paraId="5243AF11" w14:textId="77777777" w:rsidR="00DF61BC" w:rsidRPr="00C94C33" w:rsidRDefault="00DF61BC" w:rsidP="00E40B26">
            <w:pPr>
              <w:pStyle w:val="Tabletext"/>
            </w:pPr>
            <w:r w:rsidRPr="00C94C33">
              <w:t xml:space="preserve">2 (0.8%) </w:t>
            </w:r>
          </w:p>
        </w:tc>
      </w:tr>
      <w:tr w:rsidR="00DF61BC" w:rsidRPr="00C94C33" w14:paraId="365AFA24" w14:textId="77777777" w:rsidTr="00766E0D">
        <w:tc>
          <w:tcPr>
            <w:tcW w:w="4219" w:type="dxa"/>
            <w:tcBorders>
              <w:top w:val="nil"/>
              <w:left w:val="single" w:sz="4" w:space="0" w:color="auto"/>
              <w:bottom w:val="nil"/>
              <w:right w:val="nil"/>
            </w:tcBorders>
            <w:shd w:val="clear" w:color="auto" w:fill="auto"/>
          </w:tcPr>
          <w:p w14:paraId="597FBBDB" w14:textId="77777777" w:rsidR="00DF61BC" w:rsidRPr="00C94C33" w:rsidRDefault="00DF61BC" w:rsidP="00E40B26">
            <w:pPr>
              <w:pStyle w:val="Tabletext"/>
            </w:pPr>
            <w:r w:rsidRPr="00C94C33">
              <w:t>Patients discontinued from study treatment</w:t>
            </w:r>
          </w:p>
        </w:tc>
        <w:tc>
          <w:tcPr>
            <w:tcW w:w="2382" w:type="dxa"/>
            <w:tcBorders>
              <w:top w:val="nil"/>
              <w:left w:val="nil"/>
              <w:bottom w:val="nil"/>
              <w:right w:val="nil"/>
            </w:tcBorders>
            <w:shd w:val="clear" w:color="auto" w:fill="auto"/>
          </w:tcPr>
          <w:p w14:paraId="1456AB69" w14:textId="77777777" w:rsidR="00DF61BC" w:rsidRPr="00C94C33" w:rsidRDefault="00DF61BC" w:rsidP="00E40B26">
            <w:pPr>
              <w:pStyle w:val="Tabletext"/>
            </w:pPr>
            <w:r w:rsidRPr="00C94C33">
              <w:t>496 (92.9%)</w:t>
            </w:r>
          </w:p>
        </w:tc>
        <w:tc>
          <w:tcPr>
            <w:tcW w:w="2154" w:type="dxa"/>
            <w:tcBorders>
              <w:top w:val="nil"/>
              <w:left w:val="nil"/>
              <w:bottom w:val="nil"/>
              <w:right w:val="single" w:sz="4" w:space="0" w:color="auto"/>
            </w:tcBorders>
            <w:shd w:val="clear" w:color="auto" w:fill="auto"/>
          </w:tcPr>
          <w:p w14:paraId="5BFA8F5E" w14:textId="77777777" w:rsidR="00DF61BC" w:rsidRPr="00C94C33" w:rsidRDefault="00DF61BC" w:rsidP="00E40B26">
            <w:pPr>
              <w:pStyle w:val="Tabletext"/>
            </w:pPr>
            <w:r w:rsidRPr="00C94C33">
              <w:t xml:space="preserve">263 (98.9%) </w:t>
            </w:r>
          </w:p>
        </w:tc>
      </w:tr>
      <w:tr w:rsidR="00DF61BC" w:rsidRPr="00C94C33" w14:paraId="281F5F45" w14:textId="77777777" w:rsidTr="00766E0D">
        <w:tc>
          <w:tcPr>
            <w:tcW w:w="4219" w:type="dxa"/>
            <w:tcBorders>
              <w:top w:val="nil"/>
              <w:left w:val="single" w:sz="4" w:space="0" w:color="auto"/>
              <w:bottom w:val="nil"/>
              <w:right w:val="nil"/>
            </w:tcBorders>
            <w:shd w:val="clear" w:color="auto" w:fill="auto"/>
          </w:tcPr>
          <w:p w14:paraId="5B3B0D9E" w14:textId="75EB16D8" w:rsidR="00DF61BC" w:rsidRPr="00C94C33" w:rsidRDefault="00DF61BC" w:rsidP="00E40B26">
            <w:pPr>
              <w:pStyle w:val="Tabletext"/>
            </w:pPr>
            <w:r w:rsidRPr="00C94C33">
              <w:t>Adverse</w:t>
            </w:r>
            <w:r w:rsidRPr="00C94C33">
              <w:rPr>
                <w:spacing w:val="-2"/>
              </w:rPr>
              <w:t xml:space="preserve"> </w:t>
            </w:r>
            <w:r w:rsidRPr="00C94C33">
              <w:t>Event/SAE</w:t>
            </w:r>
          </w:p>
        </w:tc>
        <w:tc>
          <w:tcPr>
            <w:tcW w:w="2382" w:type="dxa"/>
            <w:tcBorders>
              <w:top w:val="nil"/>
              <w:left w:val="nil"/>
              <w:bottom w:val="nil"/>
              <w:right w:val="nil"/>
            </w:tcBorders>
            <w:shd w:val="clear" w:color="auto" w:fill="auto"/>
          </w:tcPr>
          <w:p w14:paraId="03865EBD" w14:textId="77777777" w:rsidR="00DF61BC" w:rsidRPr="00C94C33" w:rsidRDefault="00DF61BC" w:rsidP="00E40B26">
            <w:pPr>
              <w:pStyle w:val="Tabletext"/>
            </w:pPr>
            <w:r w:rsidRPr="00C94C33">
              <w:t>19 (3.5%)</w:t>
            </w:r>
          </w:p>
        </w:tc>
        <w:tc>
          <w:tcPr>
            <w:tcW w:w="2154" w:type="dxa"/>
            <w:tcBorders>
              <w:top w:val="nil"/>
              <w:left w:val="nil"/>
              <w:bottom w:val="nil"/>
              <w:right w:val="single" w:sz="4" w:space="0" w:color="auto"/>
            </w:tcBorders>
            <w:shd w:val="clear" w:color="auto" w:fill="auto"/>
          </w:tcPr>
          <w:p w14:paraId="54ED2132" w14:textId="77777777" w:rsidR="00DF61BC" w:rsidRPr="00C94C33" w:rsidRDefault="00DF61BC" w:rsidP="00E40B26">
            <w:pPr>
              <w:pStyle w:val="Tabletext"/>
            </w:pPr>
            <w:r w:rsidRPr="00C94C33">
              <w:t>4 (1.5%)</w:t>
            </w:r>
          </w:p>
        </w:tc>
      </w:tr>
      <w:tr w:rsidR="00DF61BC" w:rsidRPr="00C94C33" w14:paraId="41CF5D24" w14:textId="77777777" w:rsidTr="00766E0D">
        <w:tc>
          <w:tcPr>
            <w:tcW w:w="4219" w:type="dxa"/>
            <w:tcBorders>
              <w:top w:val="nil"/>
              <w:left w:val="single" w:sz="4" w:space="0" w:color="auto"/>
              <w:bottom w:val="nil"/>
              <w:right w:val="nil"/>
            </w:tcBorders>
            <w:shd w:val="clear" w:color="auto" w:fill="auto"/>
          </w:tcPr>
          <w:p w14:paraId="5696A751" w14:textId="43059762" w:rsidR="00DF61BC" w:rsidRPr="00C94C33" w:rsidRDefault="00DF61BC" w:rsidP="00E40B26">
            <w:pPr>
              <w:pStyle w:val="Tabletext"/>
            </w:pPr>
            <w:r w:rsidRPr="00C94C33">
              <w:t>&gt;28</w:t>
            </w:r>
            <w:r w:rsidRPr="00C94C33">
              <w:rPr>
                <w:spacing w:val="-2"/>
              </w:rPr>
              <w:t xml:space="preserve"> </w:t>
            </w:r>
            <w:r w:rsidRPr="00C94C33">
              <w:t>day</w:t>
            </w:r>
            <w:r w:rsidRPr="00C94C33">
              <w:rPr>
                <w:spacing w:val="-2"/>
              </w:rPr>
              <w:t xml:space="preserve"> </w:t>
            </w:r>
            <w:r w:rsidRPr="00C94C33">
              <w:t xml:space="preserve">delay </w:t>
            </w:r>
            <w:r w:rsidRPr="00C94C33">
              <w:rPr>
                <w:vertAlign w:val="superscript"/>
              </w:rPr>
              <w:t xml:space="preserve"> </w:t>
            </w:r>
          </w:p>
        </w:tc>
        <w:tc>
          <w:tcPr>
            <w:tcW w:w="2382" w:type="dxa"/>
            <w:tcBorders>
              <w:top w:val="nil"/>
              <w:left w:val="nil"/>
              <w:bottom w:val="nil"/>
              <w:right w:val="nil"/>
            </w:tcBorders>
            <w:shd w:val="clear" w:color="auto" w:fill="auto"/>
          </w:tcPr>
          <w:p w14:paraId="6C9DB2AD" w14:textId="77777777" w:rsidR="00DF61BC" w:rsidRPr="00C94C33" w:rsidRDefault="00DF61BC" w:rsidP="00E40B26">
            <w:pPr>
              <w:pStyle w:val="Tabletext"/>
            </w:pPr>
            <w:r w:rsidRPr="00C94C33">
              <w:t>0</w:t>
            </w:r>
          </w:p>
        </w:tc>
        <w:tc>
          <w:tcPr>
            <w:tcW w:w="2154" w:type="dxa"/>
            <w:tcBorders>
              <w:top w:val="nil"/>
              <w:left w:val="nil"/>
              <w:bottom w:val="nil"/>
              <w:right w:val="single" w:sz="4" w:space="0" w:color="auto"/>
            </w:tcBorders>
            <w:shd w:val="clear" w:color="auto" w:fill="auto"/>
          </w:tcPr>
          <w:p w14:paraId="78DC9865" w14:textId="77777777" w:rsidR="00DF61BC" w:rsidRPr="00C94C33" w:rsidRDefault="00DF61BC" w:rsidP="00E40B26">
            <w:pPr>
              <w:pStyle w:val="Tabletext"/>
            </w:pPr>
            <w:r w:rsidRPr="00C94C33">
              <w:t>0</w:t>
            </w:r>
          </w:p>
        </w:tc>
      </w:tr>
      <w:tr w:rsidR="00DF61BC" w:rsidRPr="00C94C33" w14:paraId="597533ED" w14:textId="77777777" w:rsidTr="00766E0D">
        <w:tc>
          <w:tcPr>
            <w:tcW w:w="4219" w:type="dxa"/>
            <w:tcBorders>
              <w:top w:val="nil"/>
              <w:left w:val="single" w:sz="4" w:space="0" w:color="auto"/>
              <w:bottom w:val="nil"/>
              <w:right w:val="nil"/>
            </w:tcBorders>
            <w:shd w:val="clear" w:color="auto" w:fill="auto"/>
          </w:tcPr>
          <w:p w14:paraId="4B35110F" w14:textId="7C2D52E9" w:rsidR="00DF61BC" w:rsidRPr="00C94C33" w:rsidRDefault="00DF61BC" w:rsidP="00E40B26">
            <w:pPr>
              <w:pStyle w:val="Tabletext"/>
            </w:pPr>
            <w:r w:rsidRPr="00C94C33">
              <w:t xml:space="preserve">Patient had 3 dose reductions at </w:t>
            </w:r>
            <w:r w:rsidRPr="00C94C33">
              <w:rPr>
                <w:spacing w:val="-2"/>
              </w:rPr>
              <w:t>time</w:t>
            </w:r>
            <w:r w:rsidRPr="00C94C33">
              <w:t xml:space="preserve"> of DC</w:t>
            </w:r>
          </w:p>
        </w:tc>
        <w:tc>
          <w:tcPr>
            <w:tcW w:w="2382" w:type="dxa"/>
            <w:tcBorders>
              <w:top w:val="nil"/>
              <w:left w:val="nil"/>
              <w:bottom w:val="nil"/>
              <w:right w:val="nil"/>
            </w:tcBorders>
            <w:shd w:val="clear" w:color="auto" w:fill="auto"/>
          </w:tcPr>
          <w:p w14:paraId="4DDC4444" w14:textId="77777777" w:rsidR="00DF61BC" w:rsidRPr="00C94C33" w:rsidRDefault="00DF61BC" w:rsidP="00E40B26">
            <w:pPr>
              <w:pStyle w:val="Tabletext"/>
            </w:pPr>
            <w:r w:rsidRPr="00C94C33">
              <w:t>0</w:t>
            </w:r>
          </w:p>
        </w:tc>
        <w:tc>
          <w:tcPr>
            <w:tcW w:w="2154" w:type="dxa"/>
            <w:tcBorders>
              <w:top w:val="nil"/>
              <w:left w:val="nil"/>
              <w:bottom w:val="nil"/>
              <w:right w:val="single" w:sz="4" w:space="0" w:color="auto"/>
            </w:tcBorders>
            <w:shd w:val="clear" w:color="auto" w:fill="auto"/>
          </w:tcPr>
          <w:p w14:paraId="1633BA0D" w14:textId="77777777" w:rsidR="00DF61BC" w:rsidRPr="00C94C33" w:rsidRDefault="00DF61BC" w:rsidP="00E40B26">
            <w:pPr>
              <w:pStyle w:val="Tabletext"/>
            </w:pPr>
            <w:r w:rsidRPr="00C94C33">
              <w:t>0</w:t>
            </w:r>
          </w:p>
        </w:tc>
      </w:tr>
      <w:tr w:rsidR="00DF61BC" w:rsidRPr="00C94C33" w14:paraId="40B3CFC3" w14:textId="77777777" w:rsidTr="00766E0D">
        <w:tc>
          <w:tcPr>
            <w:tcW w:w="4219" w:type="dxa"/>
            <w:tcBorders>
              <w:top w:val="nil"/>
              <w:left w:val="single" w:sz="4" w:space="0" w:color="auto"/>
              <w:bottom w:val="nil"/>
              <w:right w:val="nil"/>
            </w:tcBorders>
            <w:shd w:val="clear" w:color="auto" w:fill="auto"/>
          </w:tcPr>
          <w:p w14:paraId="0055F593" w14:textId="28C92BED" w:rsidR="00DF61BC" w:rsidRPr="00C94C33" w:rsidRDefault="00DF61BC" w:rsidP="00E40B26">
            <w:pPr>
              <w:pStyle w:val="Tabletext"/>
            </w:pPr>
            <w:r w:rsidRPr="00C94C33">
              <w:t>Both of the above</w:t>
            </w:r>
          </w:p>
        </w:tc>
        <w:tc>
          <w:tcPr>
            <w:tcW w:w="2382" w:type="dxa"/>
            <w:tcBorders>
              <w:top w:val="nil"/>
              <w:left w:val="nil"/>
              <w:bottom w:val="nil"/>
              <w:right w:val="nil"/>
            </w:tcBorders>
            <w:shd w:val="clear" w:color="auto" w:fill="auto"/>
          </w:tcPr>
          <w:p w14:paraId="7CBAC025" w14:textId="77777777" w:rsidR="00DF61BC" w:rsidRPr="00C94C33" w:rsidRDefault="00DF61BC" w:rsidP="00E40B26">
            <w:pPr>
              <w:pStyle w:val="Tabletext"/>
            </w:pPr>
            <w:r w:rsidRPr="00C94C33">
              <w:t>1 (0.2%)</w:t>
            </w:r>
          </w:p>
        </w:tc>
        <w:tc>
          <w:tcPr>
            <w:tcW w:w="2154" w:type="dxa"/>
            <w:tcBorders>
              <w:top w:val="nil"/>
              <w:left w:val="nil"/>
              <w:bottom w:val="nil"/>
              <w:right w:val="single" w:sz="4" w:space="0" w:color="auto"/>
            </w:tcBorders>
            <w:shd w:val="clear" w:color="auto" w:fill="auto"/>
          </w:tcPr>
          <w:p w14:paraId="236A510B" w14:textId="77777777" w:rsidR="00DF61BC" w:rsidRPr="00C94C33" w:rsidRDefault="00DF61BC" w:rsidP="00E40B26">
            <w:pPr>
              <w:pStyle w:val="Tabletext"/>
            </w:pPr>
            <w:r w:rsidRPr="00C94C33">
              <w:t>0</w:t>
            </w:r>
          </w:p>
        </w:tc>
      </w:tr>
      <w:tr w:rsidR="00DF61BC" w:rsidRPr="00C94C33" w14:paraId="617C583D" w14:textId="77777777" w:rsidTr="00766E0D">
        <w:tc>
          <w:tcPr>
            <w:tcW w:w="4219" w:type="dxa"/>
            <w:tcBorders>
              <w:top w:val="nil"/>
              <w:left w:val="single" w:sz="4" w:space="0" w:color="auto"/>
              <w:bottom w:val="nil"/>
              <w:right w:val="nil"/>
            </w:tcBorders>
            <w:shd w:val="clear" w:color="auto" w:fill="auto"/>
          </w:tcPr>
          <w:p w14:paraId="4D365198" w14:textId="4850DFB9" w:rsidR="00DF61BC" w:rsidRPr="00C94C33" w:rsidRDefault="00E40B26" w:rsidP="00E40B26">
            <w:pPr>
              <w:pStyle w:val="Tabletext"/>
            </w:pPr>
            <w:r>
              <w:t xml:space="preserve"> </w:t>
            </w:r>
            <w:r w:rsidR="00DF61BC" w:rsidRPr="00C94C33">
              <w:t>Clinical Disease Progression</w:t>
            </w:r>
          </w:p>
        </w:tc>
        <w:tc>
          <w:tcPr>
            <w:tcW w:w="2382" w:type="dxa"/>
            <w:tcBorders>
              <w:top w:val="nil"/>
              <w:left w:val="nil"/>
              <w:bottom w:val="nil"/>
              <w:right w:val="nil"/>
            </w:tcBorders>
            <w:shd w:val="clear" w:color="auto" w:fill="auto"/>
          </w:tcPr>
          <w:p w14:paraId="37E50152" w14:textId="77777777" w:rsidR="00DF61BC" w:rsidRPr="00C94C33" w:rsidRDefault="00DF61BC" w:rsidP="00E40B26">
            <w:pPr>
              <w:pStyle w:val="Tabletext"/>
            </w:pPr>
            <w:r w:rsidRPr="00C94C33">
              <w:t>33 (6.2%)</w:t>
            </w:r>
          </w:p>
        </w:tc>
        <w:tc>
          <w:tcPr>
            <w:tcW w:w="2154" w:type="dxa"/>
            <w:tcBorders>
              <w:top w:val="nil"/>
              <w:left w:val="nil"/>
              <w:bottom w:val="nil"/>
              <w:right w:val="single" w:sz="4" w:space="0" w:color="auto"/>
            </w:tcBorders>
            <w:shd w:val="clear" w:color="auto" w:fill="auto"/>
          </w:tcPr>
          <w:p w14:paraId="67707D1B" w14:textId="77777777" w:rsidR="00DF61BC" w:rsidRPr="00C94C33" w:rsidRDefault="00DF61BC" w:rsidP="00E40B26">
            <w:pPr>
              <w:pStyle w:val="Tabletext"/>
            </w:pPr>
            <w:r w:rsidRPr="00C94C33">
              <w:t>31 (11.7%)</w:t>
            </w:r>
          </w:p>
        </w:tc>
      </w:tr>
      <w:tr w:rsidR="00DF61BC" w:rsidRPr="00C94C33" w14:paraId="42A3DD53" w14:textId="77777777" w:rsidTr="00766E0D">
        <w:tc>
          <w:tcPr>
            <w:tcW w:w="4219" w:type="dxa"/>
            <w:tcBorders>
              <w:top w:val="nil"/>
              <w:left w:val="single" w:sz="4" w:space="0" w:color="auto"/>
              <w:bottom w:val="nil"/>
              <w:right w:val="nil"/>
            </w:tcBorders>
            <w:shd w:val="clear" w:color="auto" w:fill="auto"/>
          </w:tcPr>
          <w:p w14:paraId="7A51F76B" w14:textId="5BD15B41" w:rsidR="00DF61BC" w:rsidRPr="00C94C33" w:rsidRDefault="00E40B26" w:rsidP="00E40B26">
            <w:pPr>
              <w:pStyle w:val="Tabletext"/>
            </w:pPr>
            <w:r>
              <w:t xml:space="preserve"> </w:t>
            </w:r>
            <w:r w:rsidR="00DF61BC" w:rsidRPr="00C94C33">
              <w:t>Radiologic Progression</w:t>
            </w:r>
          </w:p>
        </w:tc>
        <w:tc>
          <w:tcPr>
            <w:tcW w:w="2382" w:type="dxa"/>
            <w:tcBorders>
              <w:top w:val="nil"/>
              <w:left w:val="nil"/>
              <w:bottom w:val="nil"/>
              <w:right w:val="nil"/>
            </w:tcBorders>
            <w:shd w:val="clear" w:color="auto" w:fill="auto"/>
          </w:tcPr>
          <w:p w14:paraId="358DCD37" w14:textId="77777777" w:rsidR="00DF61BC" w:rsidRPr="00C94C33" w:rsidRDefault="00DF61BC" w:rsidP="00E40B26">
            <w:pPr>
              <w:pStyle w:val="Tabletext"/>
            </w:pPr>
            <w:r w:rsidRPr="00C94C33">
              <w:t>416 (77.9%)</w:t>
            </w:r>
          </w:p>
        </w:tc>
        <w:tc>
          <w:tcPr>
            <w:tcW w:w="2154" w:type="dxa"/>
            <w:tcBorders>
              <w:top w:val="nil"/>
              <w:left w:val="nil"/>
              <w:bottom w:val="nil"/>
              <w:right w:val="single" w:sz="4" w:space="0" w:color="auto"/>
            </w:tcBorders>
            <w:shd w:val="clear" w:color="auto" w:fill="auto"/>
          </w:tcPr>
          <w:p w14:paraId="1C068EE0" w14:textId="77777777" w:rsidR="00DF61BC" w:rsidRPr="00C94C33" w:rsidRDefault="00DF61BC" w:rsidP="00E40B26">
            <w:pPr>
              <w:pStyle w:val="Tabletext"/>
            </w:pPr>
            <w:r w:rsidRPr="00C94C33">
              <w:t>222 (83.8%)</w:t>
            </w:r>
          </w:p>
        </w:tc>
      </w:tr>
      <w:tr w:rsidR="00DF61BC" w:rsidRPr="00C94C33" w14:paraId="082373DB" w14:textId="77777777" w:rsidTr="00766E0D">
        <w:tc>
          <w:tcPr>
            <w:tcW w:w="4219" w:type="dxa"/>
            <w:tcBorders>
              <w:top w:val="nil"/>
              <w:left w:val="single" w:sz="4" w:space="0" w:color="auto"/>
              <w:bottom w:val="nil"/>
              <w:right w:val="nil"/>
            </w:tcBorders>
            <w:shd w:val="clear" w:color="auto" w:fill="auto"/>
          </w:tcPr>
          <w:p w14:paraId="236E8A9A" w14:textId="5B466B0D" w:rsidR="00DF61BC" w:rsidRPr="00C94C33" w:rsidRDefault="00E40B26" w:rsidP="00E40B26">
            <w:pPr>
              <w:pStyle w:val="Tabletext"/>
            </w:pPr>
            <w:r>
              <w:t xml:space="preserve"> </w:t>
            </w:r>
            <w:r w:rsidR="00DF61BC" w:rsidRPr="00C94C33">
              <w:t>Patient</w:t>
            </w:r>
            <w:r w:rsidR="00DF61BC" w:rsidRPr="00C94C33">
              <w:rPr>
                <w:spacing w:val="-2"/>
              </w:rPr>
              <w:t xml:space="preserve"> </w:t>
            </w:r>
            <w:r w:rsidR="00DF61BC" w:rsidRPr="00C94C33">
              <w:t>Withdrew Consent</w:t>
            </w:r>
            <w:r w:rsidR="00DF61BC" w:rsidRPr="00C94C33">
              <w:rPr>
                <w:spacing w:val="-2"/>
              </w:rPr>
              <w:t xml:space="preserve"> </w:t>
            </w:r>
            <w:r w:rsidR="00DF61BC" w:rsidRPr="00C94C33">
              <w:t>For Study Treatment</w:t>
            </w:r>
          </w:p>
        </w:tc>
        <w:tc>
          <w:tcPr>
            <w:tcW w:w="2382" w:type="dxa"/>
            <w:tcBorders>
              <w:top w:val="nil"/>
              <w:left w:val="nil"/>
              <w:bottom w:val="nil"/>
              <w:right w:val="nil"/>
            </w:tcBorders>
            <w:shd w:val="clear" w:color="auto" w:fill="auto"/>
          </w:tcPr>
          <w:p w14:paraId="62C7FA6E" w14:textId="77777777" w:rsidR="00DF61BC" w:rsidRPr="00C94C33" w:rsidRDefault="00DF61BC" w:rsidP="00E40B26">
            <w:pPr>
              <w:pStyle w:val="Tabletext"/>
            </w:pPr>
            <w:r w:rsidRPr="00C94C33">
              <w:t>12 (2.2%)</w:t>
            </w:r>
          </w:p>
        </w:tc>
        <w:tc>
          <w:tcPr>
            <w:tcW w:w="2154" w:type="dxa"/>
            <w:tcBorders>
              <w:top w:val="nil"/>
              <w:left w:val="nil"/>
              <w:bottom w:val="nil"/>
              <w:right w:val="single" w:sz="4" w:space="0" w:color="auto"/>
            </w:tcBorders>
            <w:shd w:val="clear" w:color="auto" w:fill="auto"/>
          </w:tcPr>
          <w:p w14:paraId="2CDF288D" w14:textId="77777777" w:rsidR="00DF61BC" w:rsidRPr="00C94C33" w:rsidRDefault="00DF61BC" w:rsidP="00E40B26">
            <w:pPr>
              <w:pStyle w:val="Tabletext"/>
            </w:pPr>
            <w:r w:rsidRPr="00C94C33">
              <w:t>1 (0.4%)</w:t>
            </w:r>
          </w:p>
        </w:tc>
      </w:tr>
      <w:tr w:rsidR="00DF61BC" w:rsidRPr="00C94C33" w14:paraId="3782F6DB" w14:textId="77777777" w:rsidTr="00766E0D">
        <w:tc>
          <w:tcPr>
            <w:tcW w:w="4219" w:type="dxa"/>
            <w:tcBorders>
              <w:top w:val="nil"/>
              <w:left w:val="single" w:sz="4" w:space="0" w:color="auto"/>
              <w:bottom w:val="nil"/>
              <w:right w:val="nil"/>
            </w:tcBorders>
            <w:shd w:val="clear" w:color="auto" w:fill="auto"/>
          </w:tcPr>
          <w:p w14:paraId="532048BD" w14:textId="1E8C3F8E" w:rsidR="00DF61BC" w:rsidRPr="00C94C33" w:rsidRDefault="00E40B26" w:rsidP="00E40B26">
            <w:pPr>
              <w:pStyle w:val="Tabletext"/>
            </w:pPr>
            <w:r>
              <w:t xml:space="preserve"> </w:t>
            </w:r>
            <w:r w:rsidR="00DF61BC" w:rsidRPr="00C94C33">
              <w:t xml:space="preserve">Death </w:t>
            </w:r>
          </w:p>
        </w:tc>
        <w:tc>
          <w:tcPr>
            <w:tcW w:w="2382" w:type="dxa"/>
            <w:tcBorders>
              <w:top w:val="nil"/>
              <w:left w:val="nil"/>
              <w:bottom w:val="nil"/>
              <w:right w:val="nil"/>
            </w:tcBorders>
            <w:shd w:val="clear" w:color="auto" w:fill="auto"/>
          </w:tcPr>
          <w:p w14:paraId="18934CA2" w14:textId="77777777" w:rsidR="00DF61BC" w:rsidRPr="00C94C33" w:rsidRDefault="00DF61BC" w:rsidP="00E40B26">
            <w:pPr>
              <w:pStyle w:val="Tabletext"/>
            </w:pPr>
            <w:r w:rsidRPr="00C94C33">
              <w:t>7 (1.3%)</w:t>
            </w:r>
          </w:p>
        </w:tc>
        <w:tc>
          <w:tcPr>
            <w:tcW w:w="2154" w:type="dxa"/>
            <w:tcBorders>
              <w:top w:val="nil"/>
              <w:left w:val="nil"/>
              <w:bottom w:val="nil"/>
              <w:right w:val="single" w:sz="4" w:space="0" w:color="auto"/>
            </w:tcBorders>
            <w:shd w:val="clear" w:color="auto" w:fill="auto"/>
          </w:tcPr>
          <w:p w14:paraId="65EFB1C0" w14:textId="77777777" w:rsidR="00DF61BC" w:rsidRPr="00C94C33" w:rsidRDefault="00DF61BC" w:rsidP="00E40B26">
            <w:pPr>
              <w:pStyle w:val="Tabletext"/>
            </w:pPr>
            <w:r w:rsidRPr="00C94C33">
              <w:t>4 (1.5%)</w:t>
            </w:r>
          </w:p>
        </w:tc>
      </w:tr>
      <w:tr w:rsidR="00DF61BC" w:rsidRPr="00C94C33" w14:paraId="31DB7887" w14:textId="77777777" w:rsidTr="00766E0D">
        <w:tc>
          <w:tcPr>
            <w:tcW w:w="4219" w:type="dxa"/>
            <w:tcBorders>
              <w:top w:val="nil"/>
              <w:left w:val="single" w:sz="4" w:space="0" w:color="auto"/>
              <w:right w:val="nil"/>
            </w:tcBorders>
            <w:shd w:val="clear" w:color="auto" w:fill="auto"/>
          </w:tcPr>
          <w:p w14:paraId="3644FCD0" w14:textId="056EF059" w:rsidR="00DF61BC" w:rsidRPr="00C94C33" w:rsidRDefault="00DF61BC" w:rsidP="00E40B26">
            <w:pPr>
              <w:pStyle w:val="Tabletext"/>
            </w:pPr>
            <w:r w:rsidRPr="00C94C33">
              <w:t xml:space="preserve"> Other</w:t>
            </w:r>
          </w:p>
        </w:tc>
        <w:tc>
          <w:tcPr>
            <w:tcW w:w="2382" w:type="dxa"/>
            <w:tcBorders>
              <w:top w:val="nil"/>
              <w:left w:val="nil"/>
              <w:right w:val="nil"/>
            </w:tcBorders>
            <w:shd w:val="clear" w:color="auto" w:fill="auto"/>
          </w:tcPr>
          <w:p w14:paraId="0FA37575" w14:textId="77777777" w:rsidR="00DF61BC" w:rsidRPr="00C94C33" w:rsidRDefault="00DF61BC" w:rsidP="00E40B26">
            <w:pPr>
              <w:pStyle w:val="Tabletext"/>
            </w:pPr>
            <w:r w:rsidRPr="00C94C33">
              <w:t>9 (1.7%)</w:t>
            </w:r>
          </w:p>
        </w:tc>
        <w:tc>
          <w:tcPr>
            <w:tcW w:w="2154" w:type="dxa"/>
            <w:tcBorders>
              <w:top w:val="nil"/>
              <w:left w:val="nil"/>
              <w:right w:val="single" w:sz="4" w:space="0" w:color="auto"/>
            </w:tcBorders>
            <w:shd w:val="clear" w:color="auto" w:fill="auto"/>
          </w:tcPr>
          <w:p w14:paraId="0CDDBE55" w14:textId="77777777" w:rsidR="00DF61BC" w:rsidRPr="00C94C33" w:rsidRDefault="00DF61BC" w:rsidP="00E40B26">
            <w:pPr>
              <w:pStyle w:val="Tabletext"/>
            </w:pPr>
            <w:r w:rsidRPr="00C94C33">
              <w:t>1 (0.4%)</w:t>
            </w:r>
          </w:p>
        </w:tc>
      </w:tr>
      <w:tr w:rsidR="00DF61BC" w:rsidRPr="00C94C33" w14:paraId="6236F1B1" w14:textId="77777777" w:rsidTr="00766E0D">
        <w:tc>
          <w:tcPr>
            <w:tcW w:w="4219" w:type="dxa"/>
            <w:tcBorders>
              <w:left w:val="single" w:sz="4" w:space="0" w:color="auto"/>
              <w:bottom w:val="nil"/>
              <w:right w:val="nil"/>
            </w:tcBorders>
            <w:shd w:val="clear" w:color="auto" w:fill="auto"/>
          </w:tcPr>
          <w:p w14:paraId="4BABAEFB" w14:textId="77777777" w:rsidR="00DF61BC" w:rsidRPr="00C94C33" w:rsidRDefault="00DF61BC" w:rsidP="00E40B26">
            <w:pPr>
              <w:pStyle w:val="Tabletext"/>
            </w:pPr>
            <w:r w:rsidRPr="00C94C33">
              <w:t xml:space="preserve">Patients discontinued from study follow-up </w:t>
            </w:r>
          </w:p>
        </w:tc>
        <w:tc>
          <w:tcPr>
            <w:tcW w:w="2382" w:type="dxa"/>
            <w:tcBorders>
              <w:left w:val="nil"/>
              <w:bottom w:val="nil"/>
              <w:right w:val="nil"/>
            </w:tcBorders>
            <w:shd w:val="clear" w:color="auto" w:fill="auto"/>
          </w:tcPr>
          <w:p w14:paraId="1464A828" w14:textId="77777777" w:rsidR="00DF61BC" w:rsidRPr="00C94C33" w:rsidRDefault="00DF61BC" w:rsidP="00E40B26">
            <w:pPr>
              <w:pStyle w:val="Tabletext"/>
            </w:pPr>
            <w:r w:rsidRPr="00C94C33">
              <w:t>371 (69.5%)</w:t>
            </w:r>
          </w:p>
        </w:tc>
        <w:tc>
          <w:tcPr>
            <w:tcW w:w="2154" w:type="dxa"/>
            <w:tcBorders>
              <w:left w:val="nil"/>
              <w:bottom w:val="nil"/>
              <w:right w:val="single" w:sz="4" w:space="0" w:color="auto"/>
            </w:tcBorders>
            <w:shd w:val="clear" w:color="auto" w:fill="auto"/>
          </w:tcPr>
          <w:p w14:paraId="7493B941" w14:textId="77777777" w:rsidR="00DF61BC" w:rsidRPr="00C94C33" w:rsidRDefault="00DF61BC" w:rsidP="00E40B26">
            <w:pPr>
              <w:pStyle w:val="Tabletext"/>
            </w:pPr>
            <w:r w:rsidRPr="00C94C33">
              <w:t>214 (80.5%)</w:t>
            </w:r>
          </w:p>
        </w:tc>
      </w:tr>
      <w:tr w:rsidR="00DF61BC" w:rsidRPr="00C94C33" w14:paraId="621BC388" w14:textId="77777777" w:rsidTr="00766E0D">
        <w:tc>
          <w:tcPr>
            <w:tcW w:w="4219" w:type="dxa"/>
            <w:tcBorders>
              <w:top w:val="nil"/>
              <w:left w:val="single" w:sz="4" w:space="0" w:color="auto"/>
              <w:bottom w:val="nil"/>
              <w:right w:val="nil"/>
            </w:tcBorders>
            <w:shd w:val="clear" w:color="auto" w:fill="auto"/>
          </w:tcPr>
          <w:p w14:paraId="70E2EF89" w14:textId="0CDFA4C3" w:rsidR="00DF61BC" w:rsidRPr="00C94C33" w:rsidRDefault="00E40B26" w:rsidP="00E40B26">
            <w:pPr>
              <w:pStyle w:val="Tabletext"/>
            </w:pPr>
            <w:r>
              <w:t xml:space="preserve"> </w:t>
            </w:r>
            <w:r w:rsidR="00DF61BC" w:rsidRPr="00C94C33">
              <w:t>Death</w:t>
            </w:r>
          </w:p>
        </w:tc>
        <w:tc>
          <w:tcPr>
            <w:tcW w:w="2382" w:type="dxa"/>
            <w:tcBorders>
              <w:top w:val="nil"/>
              <w:left w:val="nil"/>
              <w:bottom w:val="nil"/>
              <w:right w:val="nil"/>
            </w:tcBorders>
            <w:shd w:val="clear" w:color="auto" w:fill="auto"/>
          </w:tcPr>
          <w:p w14:paraId="4D0C4B9C" w14:textId="77777777" w:rsidR="00DF61BC" w:rsidRPr="00C94C33" w:rsidRDefault="00DF61BC" w:rsidP="00E40B26">
            <w:pPr>
              <w:pStyle w:val="Tabletext"/>
            </w:pPr>
            <w:r w:rsidRPr="00C94C33">
              <w:t>367 (68.7%)</w:t>
            </w:r>
          </w:p>
        </w:tc>
        <w:tc>
          <w:tcPr>
            <w:tcW w:w="2154" w:type="dxa"/>
            <w:tcBorders>
              <w:top w:val="nil"/>
              <w:left w:val="nil"/>
              <w:bottom w:val="nil"/>
              <w:right w:val="single" w:sz="4" w:space="0" w:color="auto"/>
            </w:tcBorders>
            <w:shd w:val="clear" w:color="auto" w:fill="auto"/>
          </w:tcPr>
          <w:p w14:paraId="6BBD8ECA" w14:textId="77777777" w:rsidR="00DF61BC" w:rsidRPr="00C94C33" w:rsidRDefault="00DF61BC" w:rsidP="00E40B26">
            <w:pPr>
              <w:pStyle w:val="Tabletext"/>
            </w:pPr>
            <w:r w:rsidRPr="00C94C33">
              <w:t xml:space="preserve">211 (79.3%) </w:t>
            </w:r>
          </w:p>
        </w:tc>
      </w:tr>
      <w:tr w:rsidR="00DF61BC" w:rsidRPr="00C94C33" w14:paraId="73168130" w14:textId="77777777" w:rsidTr="00766E0D">
        <w:tc>
          <w:tcPr>
            <w:tcW w:w="4219" w:type="dxa"/>
            <w:tcBorders>
              <w:top w:val="nil"/>
              <w:left w:val="single" w:sz="4" w:space="0" w:color="auto"/>
              <w:bottom w:val="nil"/>
              <w:right w:val="nil"/>
            </w:tcBorders>
            <w:shd w:val="clear" w:color="auto" w:fill="auto"/>
          </w:tcPr>
          <w:p w14:paraId="5E2924D3" w14:textId="467D4FCC" w:rsidR="00DF61BC" w:rsidRPr="00C94C33" w:rsidRDefault="00E40B26" w:rsidP="00E40B26">
            <w:pPr>
              <w:pStyle w:val="Tabletext"/>
            </w:pPr>
            <w:r>
              <w:t xml:space="preserve"> </w:t>
            </w:r>
            <w:r w:rsidR="00DF61BC" w:rsidRPr="00C94C33">
              <w:t>Lost to follow up</w:t>
            </w:r>
          </w:p>
        </w:tc>
        <w:tc>
          <w:tcPr>
            <w:tcW w:w="2382" w:type="dxa"/>
            <w:tcBorders>
              <w:top w:val="nil"/>
              <w:left w:val="nil"/>
              <w:bottom w:val="nil"/>
              <w:right w:val="nil"/>
            </w:tcBorders>
            <w:shd w:val="clear" w:color="auto" w:fill="auto"/>
          </w:tcPr>
          <w:p w14:paraId="6B76AC7C" w14:textId="77777777" w:rsidR="00DF61BC" w:rsidRPr="00C94C33" w:rsidRDefault="00DF61BC" w:rsidP="00E40B26">
            <w:pPr>
              <w:pStyle w:val="Tabletext"/>
            </w:pPr>
            <w:r w:rsidRPr="00C94C33">
              <w:t>3 (0.6%)</w:t>
            </w:r>
          </w:p>
        </w:tc>
        <w:tc>
          <w:tcPr>
            <w:tcW w:w="2154" w:type="dxa"/>
            <w:tcBorders>
              <w:top w:val="nil"/>
              <w:left w:val="nil"/>
              <w:bottom w:val="nil"/>
              <w:right w:val="single" w:sz="4" w:space="0" w:color="auto"/>
            </w:tcBorders>
            <w:shd w:val="clear" w:color="auto" w:fill="auto"/>
          </w:tcPr>
          <w:p w14:paraId="42C3F839" w14:textId="77777777" w:rsidR="00DF61BC" w:rsidRPr="00C94C33" w:rsidRDefault="00DF61BC" w:rsidP="00E40B26">
            <w:pPr>
              <w:pStyle w:val="Tabletext"/>
            </w:pPr>
            <w:r w:rsidRPr="00C94C33">
              <w:t>3 (1.2%)</w:t>
            </w:r>
          </w:p>
        </w:tc>
      </w:tr>
      <w:tr w:rsidR="00DF61BC" w:rsidRPr="00C94C33" w14:paraId="344079E0" w14:textId="77777777" w:rsidTr="00766E0D">
        <w:tc>
          <w:tcPr>
            <w:tcW w:w="4219" w:type="dxa"/>
            <w:tcBorders>
              <w:top w:val="nil"/>
              <w:left w:val="single" w:sz="4" w:space="0" w:color="auto"/>
              <w:right w:val="nil"/>
            </w:tcBorders>
            <w:shd w:val="clear" w:color="auto" w:fill="auto"/>
          </w:tcPr>
          <w:p w14:paraId="41671083" w14:textId="362DBD5E" w:rsidR="00DF61BC" w:rsidRPr="00C94C33" w:rsidRDefault="00E40B26" w:rsidP="00E40B26">
            <w:pPr>
              <w:pStyle w:val="Tabletext"/>
            </w:pPr>
            <w:r>
              <w:lastRenderedPageBreak/>
              <w:t xml:space="preserve"> </w:t>
            </w:r>
            <w:r w:rsidR="00DF61BC" w:rsidRPr="00C94C33">
              <w:t>Patient refusal</w:t>
            </w:r>
          </w:p>
        </w:tc>
        <w:tc>
          <w:tcPr>
            <w:tcW w:w="2382" w:type="dxa"/>
            <w:tcBorders>
              <w:top w:val="nil"/>
              <w:left w:val="nil"/>
              <w:right w:val="nil"/>
            </w:tcBorders>
            <w:shd w:val="clear" w:color="auto" w:fill="auto"/>
          </w:tcPr>
          <w:p w14:paraId="29F15805" w14:textId="77777777" w:rsidR="00DF61BC" w:rsidRPr="00C94C33" w:rsidRDefault="00DF61BC" w:rsidP="00E40B26">
            <w:pPr>
              <w:pStyle w:val="Tabletext"/>
            </w:pPr>
            <w:r w:rsidRPr="00C94C33">
              <w:t xml:space="preserve">1 (0.2%) </w:t>
            </w:r>
          </w:p>
        </w:tc>
        <w:tc>
          <w:tcPr>
            <w:tcW w:w="2154" w:type="dxa"/>
            <w:tcBorders>
              <w:top w:val="nil"/>
              <w:left w:val="nil"/>
              <w:right w:val="single" w:sz="4" w:space="0" w:color="auto"/>
            </w:tcBorders>
            <w:shd w:val="clear" w:color="auto" w:fill="auto"/>
          </w:tcPr>
          <w:p w14:paraId="2ACA76E8" w14:textId="4389435C" w:rsidR="00DF61BC" w:rsidRPr="00C94C33" w:rsidRDefault="00E40B26" w:rsidP="00E40B26">
            <w:pPr>
              <w:pStyle w:val="Tabletext"/>
            </w:pPr>
            <w:r>
              <w:t>0</w:t>
            </w:r>
          </w:p>
        </w:tc>
      </w:tr>
    </w:tbl>
    <w:p w14:paraId="52EA08A9" w14:textId="77777777" w:rsidR="00AA7141" w:rsidRDefault="00DF61BC" w:rsidP="00766E0D">
      <w:pPr>
        <w:pStyle w:val="Heading4"/>
      </w:pPr>
      <w:bookmarkStart w:id="230" w:name="_Toc470948528"/>
      <w:r w:rsidRPr="00C94C33">
        <w:t>Major protocol violations</w:t>
      </w:r>
      <w:bookmarkEnd w:id="230"/>
    </w:p>
    <w:p w14:paraId="41F97B7E" w14:textId="513AAC1F" w:rsidR="00766E0D" w:rsidRPr="00C94C33" w:rsidRDefault="00DF61BC" w:rsidP="00DF61BC">
      <w:r w:rsidRPr="00C94C33">
        <w:t>Predefined major protocol violations consisted of 2 types</w:t>
      </w:r>
      <w:r w:rsidR="00766E0D" w:rsidRPr="00C94C33">
        <w:t>:</w:t>
      </w:r>
    </w:p>
    <w:p w14:paraId="1B037A20" w14:textId="519ACF85" w:rsidR="00766E0D" w:rsidRPr="00C94C33" w:rsidRDefault="00766E0D" w:rsidP="008A1C03">
      <w:pPr>
        <w:pStyle w:val="ListBullet"/>
      </w:pPr>
      <w:r w:rsidRPr="00C94C33">
        <w:t>S</w:t>
      </w:r>
      <w:r w:rsidR="00DF61BC" w:rsidRPr="00C94C33">
        <w:t>tudy entry criteria violations</w:t>
      </w:r>
      <w:r w:rsidR="00D67E9B">
        <w:t>;</w:t>
      </w:r>
      <w:r w:rsidR="00DF61BC" w:rsidRPr="00C94C33">
        <w:t xml:space="preserve"> and</w:t>
      </w:r>
    </w:p>
    <w:p w14:paraId="6F70DFEF" w14:textId="3B17F2EA" w:rsidR="00766E0D" w:rsidRPr="00C94C33" w:rsidRDefault="00766E0D" w:rsidP="008A1C03">
      <w:pPr>
        <w:pStyle w:val="ListBullet"/>
      </w:pPr>
      <w:r w:rsidRPr="00C94C33">
        <w:t>S</w:t>
      </w:r>
      <w:r w:rsidR="00DF61BC" w:rsidRPr="00C94C33">
        <w:t>tudy period violations.</w:t>
      </w:r>
    </w:p>
    <w:p w14:paraId="584BCA82" w14:textId="031FFE9B" w:rsidR="00DF61BC" w:rsidRPr="00C94C33" w:rsidRDefault="00DF61BC" w:rsidP="00DF61BC">
      <w:r w:rsidRPr="00C94C33">
        <w:t xml:space="preserve">Major protocol violations were reported in a similar proportion of patients in the TAS-102 and placebo arms (5.4% and 6.8%, respectively). Overall, only 33 of 800 (4.1%) patients in the ITT population had study entry criteria violations (19 </w:t>
      </w:r>
      <w:r w:rsidR="00A0007E" w:rsidRPr="00C94C33">
        <w:t>(</w:t>
      </w:r>
      <w:r w:rsidRPr="00C94C33">
        <w:t>3.6%</w:t>
      </w:r>
      <w:r w:rsidR="00A0007E" w:rsidRPr="00C94C33">
        <w:t>)</w:t>
      </w:r>
      <w:r w:rsidRPr="00C94C33">
        <w:t xml:space="preserve"> TAS-102; 14 </w:t>
      </w:r>
      <w:r w:rsidR="00A0007E" w:rsidRPr="00C94C33">
        <w:t>(</w:t>
      </w:r>
      <w:r w:rsidRPr="00C94C33">
        <w:t>5.3%</w:t>
      </w:r>
      <w:r w:rsidR="00A0007E" w:rsidRPr="00C94C33">
        <w:t>)</w:t>
      </w:r>
      <w:r w:rsidRPr="00C94C33">
        <w:t xml:space="preserve"> placebo). The most frequent entry criteria violation was inclusion of patients who were neither refractory nor intolerant to at least one of the required prior standard chemotherapies (3.0% </w:t>
      </w:r>
      <w:r w:rsidR="00A0007E" w:rsidRPr="00C94C33">
        <w:t>(</w:t>
      </w:r>
      <w:r w:rsidR="009C0389" w:rsidRPr="00C94C33">
        <w:t xml:space="preserve">n = </w:t>
      </w:r>
      <w:r w:rsidRPr="00C94C33">
        <w:t>16</w:t>
      </w:r>
      <w:r w:rsidR="00A0007E" w:rsidRPr="00C94C33">
        <w:t>)</w:t>
      </w:r>
      <w:r w:rsidRPr="00C94C33">
        <w:t xml:space="preserve"> TAS-102; 4.1% </w:t>
      </w:r>
      <w:r w:rsidR="00A0007E" w:rsidRPr="00C94C33">
        <w:t>(</w:t>
      </w:r>
      <w:r w:rsidR="009C0389" w:rsidRPr="00C94C33">
        <w:t xml:space="preserve">n = </w:t>
      </w:r>
      <w:r w:rsidRPr="00C94C33">
        <w:t>11</w:t>
      </w:r>
      <w:r w:rsidR="00A0007E" w:rsidRPr="00C94C33">
        <w:t>)</w:t>
      </w:r>
      <w:r w:rsidRPr="00C94C33">
        <w:t xml:space="preserve"> placebo).</w:t>
      </w:r>
    </w:p>
    <w:p w14:paraId="6EA4D2A3" w14:textId="2D8B80CA" w:rsidR="00DF61BC" w:rsidRPr="00C94C33" w:rsidRDefault="00DF61BC" w:rsidP="00DF61BC">
      <w:r w:rsidRPr="00C94C33">
        <w:t xml:space="preserve">Protocol violations reported during the study period occurred in a similar proportion of patients in the two treatment arms (1.9% </w:t>
      </w:r>
      <w:r w:rsidR="00A0007E" w:rsidRPr="00C94C33">
        <w:t>(</w:t>
      </w:r>
      <w:r w:rsidR="009C0389" w:rsidRPr="00C94C33">
        <w:t xml:space="preserve">n = </w:t>
      </w:r>
      <w:r w:rsidRPr="00C94C33">
        <w:t>10</w:t>
      </w:r>
      <w:r w:rsidR="00A0007E" w:rsidRPr="00C94C33">
        <w:t>)</w:t>
      </w:r>
      <w:r w:rsidRPr="00C94C33">
        <w:t xml:space="preserve"> TAS-102; 1.5% </w:t>
      </w:r>
      <w:r w:rsidR="00A0007E" w:rsidRPr="00C94C33">
        <w:t>(</w:t>
      </w:r>
      <w:r w:rsidR="009C0389" w:rsidRPr="00C94C33">
        <w:t xml:space="preserve">n = </w:t>
      </w:r>
      <w:r w:rsidRPr="00C94C33">
        <w:t>4</w:t>
      </w:r>
      <w:r w:rsidR="00A0007E" w:rsidRPr="00C94C33">
        <w:t>)</w:t>
      </w:r>
      <w:r w:rsidRPr="00C94C33">
        <w:t xml:space="preserve"> placebo), and all protocol violations in the study period consisted of prohibited concurrent cancer therapy administered while receiving study medication (</w:t>
      </w:r>
      <w:r w:rsidR="00B2072D" w:rsidRPr="00C94C33">
        <w:t>that is,</w:t>
      </w:r>
      <w:r w:rsidRPr="00C94C33">
        <w:t xml:space="preserve"> chemotherapy, surgery, radiotherapy). </w:t>
      </w:r>
      <w:bookmarkStart w:id="231" w:name="Table_12:_Reasons_for_Discontinuation_fr"/>
      <w:bookmarkStart w:id="232" w:name="10.1.3._Unblinding_of_Treatment_Assignme"/>
      <w:bookmarkStart w:id="233" w:name="10.2._Major_Protocol_Violations"/>
      <w:bookmarkStart w:id="234" w:name="bookmark0"/>
      <w:bookmarkEnd w:id="231"/>
      <w:bookmarkEnd w:id="232"/>
      <w:bookmarkEnd w:id="233"/>
      <w:bookmarkEnd w:id="234"/>
      <w:r w:rsidRPr="00C94C33">
        <w:t>Eight patients (</w:t>
      </w:r>
      <w:r w:rsidR="009C0389" w:rsidRPr="00C94C33">
        <w:t xml:space="preserve">n = </w:t>
      </w:r>
      <w:r w:rsidRPr="00C94C33">
        <w:t>8) in the TAS-102 arm and 2 patients in the placebo arm underwent surgery related to their cancer and 2 patients each in the TAS-102 and placebo arms had radiotherapy during the treatment period. No patients received other chemotherapy during the study treatment period</w:t>
      </w:r>
      <w:r w:rsidR="008A1C03" w:rsidRPr="00C94C33">
        <w:rPr>
          <w:spacing w:val="-1"/>
        </w:rPr>
        <w:t>.</w:t>
      </w:r>
    </w:p>
    <w:p w14:paraId="4431A941" w14:textId="77777777" w:rsidR="00DF61BC" w:rsidRPr="00C94C33" w:rsidRDefault="00DF61BC" w:rsidP="00955252">
      <w:pPr>
        <w:pStyle w:val="Heading5"/>
      </w:pPr>
      <w:bookmarkStart w:id="235" w:name="_Toc470948529"/>
      <w:r w:rsidRPr="00C94C33">
        <w:t>Baseline data</w:t>
      </w:r>
      <w:bookmarkEnd w:id="235"/>
    </w:p>
    <w:p w14:paraId="40370E23" w14:textId="1C398F3B" w:rsidR="00DF61BC" w:rsidRPr="00C94C33" w:rsidRDefault="00DF61BC" w:rsidP="00DF61BC">
      <w:pPr>
        <w:rPr>
          <w:rFonts w:asciiTheme="minorHAnsi" w:hAnsiTheme="minorHAnsi"/>
        </w:rPr>
      </w:pPr>
      <w:bookmarkStart w:id="236" w:name="11._EFFICACY_EVALUATION"/>
      <w:bookmarkStart w:id="237" w:name="11.1._Demographic_and_Other_Baseline_Cha"/>
      <w:bookmarkStart w:id="238" w:name="11.1.1._Demographic_and_Baseline_Charact"/>
      <w:bookmarkStart w:id="239" w:name="Table_14:_Demographic_and_Other_Baseline"/>
      <w:bookmarkEnd w:id="236"/>
      <w:bookmarkEnd w:id="237"/>
      <w:bookmarkEnd w:id="238"/>
      <w:bookmarkEnd w:id="239"/>
      <w:r w:rsidRPr="00C94C33">
        <w:rPr>
          <w:rFonts w:asciiTheme="minorHAnsi" w:hAnsiTheme="minorHAnsi"/>
        </w:rPr>
        <w:t xml:space="preserve">The </w:t>
      </w:r>
      <w:r w:rsidR="00D67E9B">
        <w:rPr>
          <w:rFonts w:asciiTheme="minorHAnsi" w:hAnsiTheme="minorHAnsi"/>
        </w:rPr>
        <w:t>2</w:t>
      </w:r>
      <w:r w:rsidRPr="00C94C33">
        <w:rPr>
          <w:rFonts w:asciiTheme="minorHAnsi" w:hAnsiTheme="minorHAnsi"/>
        </w:rPr>
        <w:t xml:space="preserve"> treatment arms were comparable with respect to demographic and baseline chara</w:t>
      </w:r>
      <w:r w:rsidR="008A1C03" w:rsidRPr="00C94C33">
        <w:rPr>
          <w:rFonts w:asciiTheme="minorHAnsi" w:hAnsiTheme="minorHAnsi"/>
        </w:rPr>
        <w:t>cteristics</w:t>
      </w:r>
      <w:r w:rsidRPr="00C94C33">
        <w:rPr>
          <w:rFonts w:asciiTheme="minorHAnsi" w:hAnsiTheme="minorHAnsi"/>
        </w:rPr>
        <w:t>. In the ITT population, the median age of the total population was 63 years, with 44% of the population being ≥ 65 years of age. Of the total patient population, 61% of patients were male, 58% were Caucasian/White and 35% were Asian/Oriental. All patients had a baseline ECOG performance status of 0 or 1. Fifty-one percent (51%) of patients had tumours categorised by investigators as KRAS mutant, and 49% of patients had KRAS wild-type at study entry.  The time since diagnosis of metastasis was ≥ 18 months for the majority of patients (79%).</w:t>
      </w:r>
    </w:p>
    <w:p w14:paraId="1B26214B" w14:textId="67389A15" w:rsidR="00DF61BC" w:rsidRPr="00C94C33" w:rsidRDefault="00DF61BC" w:rsidP="00DF61BC">
      <w:pPr>
        <w:autoSpaceDE w:val="0"/>
        <w:autoSpaceDN w:val="0"/>
        <w:adjustRightInd w:val="0"/>
        <w:rPr>
          <w:rFonts w:asciiTheme="minorHAnsi" w:hAnsiTheme="minorHAnsi"/>
          <w:color w:val="000000"/>
          <w:sz w:val="24"/>
        </w:rPr>
      </w:pPr>
      <w:r w:rsidRPr="00C94C33">
        <w:rPr>
          <w:rFonts w:asciiTheme="minorHAnsi" w:hAnsiTheme="minorHAnsi"/>
          <w:color w:val="000000"/>
        </w:rPr>
        <w:t>At the time of randomisation, patients were stratified based on KRAS status, time since diagnosis of metastasis, and geographical region. There were minor differences between IWRS assignment and final site assessments as recorded on the eCRF (after source data verification) for KRAS status and time since diagnosis of metastasis. In total, there were 22 patients (14, TAS-102; 8, placebo) with discordant stratification allocations for IWRS versus eCRF; 15 patients had discordant classifications for time since diagnosis of metastasis (10, TAS-102; 5, placebo) and 7 patients had discordant classifications for KRAS status (4, TAS-102; 3, placebo). The randomisation strata per IWRS and eCRF are summaries below.</w:t>
      </w:r>
    </w:p>
    <w:p w14:paraId="20D80627" w14:textId="017BF4B2" w:rsidR="00DF61BC" w:rsidRPr="00C94C33" w:rsidRDefault="00DF61BC" w:rsidP="00C665B0">
      <w:pPr>
        <w:pStyle w:val="Tabletitle"/>
      </w:pPr>
      <w:bookmarkStart w:id="240" w:name="_Toc470948680"/>
      <w:r w:rsidRPr="00C94C33">
        <w:t>Table</w:t>
      </w:r>
      <w:r w:rsidR="008A1C03" w:rsidRPr="00C94C33">
        <w:t xml:space="preserve"> 31</w:t>
      </w:r>
      <w:r w:rsidRPr="00C94C33">
        <w:t>: Randomisation strata per IWRS and eCRF, ITT population</w:t>
      </w:r>
      <w:bookmarkEnd w:id="240"/>
    </w:p>
    <w:tbl>
      <w:tblPr>
        <w:tblW w:w="0" w:type="auto"/>
        <w:tblInd w:w="112" w:type="dxa"/>
        <w:tblLayout w:type="fixed"/>
        <w:tblCellMar>
          <w:left w:w="0" w:type="dxa"/>
          <w:right w:w="0" w:type="dxa"/>
        </w:tblCellMar>
        <w:tblLook w:val="0000" w:firstRow="0" w:lastRow="0" w:firstColumn="0" w:lastColumn="0" w:noHBand="0" w:noVBand="0"/>
      </w:tblPr>
      <w:tblGrid>
        <w:gridCol w:w="2358"/>
        <w:gridCol w:w="1203"/>
        <w:gridCol w:w="1203"/>
        <w:gridCol w:w="1203"/>
        <w:gridCol w:w="1203"/>
        <w:gridCol w:w="1203"/>
        <w:gridCol w:w="1203"/>
      </w:tblGrid>
      <w:tr w:rsidR="00DF61BC" w:rsidRPr="00C94C33" w14:paraId="2DB5142D" w14:textId="77777777" w:rsidTr="00E40B26">
        <w:trPr>
          <w:trHeight w:hRule="exact" w:val="365"/>
          <w:tblHeader/>
        </w:trPr>
        <w:tc>
          <w:tcPr>
            <w:tcW w:w="2358" w:type="dxa"/>
            <w:vMerge w:val="restart"/>
            <w:tcBorders>
              <w:top w:val="single" w:sz="7" w:space="0" w:color="000000"/>
              <w:left w:val="single" w:sz="6" w:space="0" w:color="000000"/>
              <w:bottom w:val="single" w:sz="7" w:space="0" w:color="000000"/>
              <w:right w:val="single" w:sz="6" w:space="0" w:color="000000"/>
            </w:tcBorders>
            <w:shd w:val="clear" w:color="auto" w:fill="auto"/>
          </w:tcPr>
          <w:p w14:paraId="7191A07B" w14:textId="77777777" w:rsidR="00DF61BC" w:rsidRPr="00C94C33" w:rsidRDefault="00DF61BC" w:rsidP="00E40B26">
            <w:pPr>
              <w:pStyle w:val="TableHeading"/>
              <w:jc w:val="center"/>
            </w:pPr>
            <w:bookmarkStart w:id="241" w:name="11.1.4._Existing_Signs_and_Symptoms"/>
            <w:bookmarkStart w:id="242" w:name="11.1.5._Prior_Medications_and_Therapies"/>
            <w:bookmarkStart w:id="243" w:name="11.1.6._Randomisation_Strata_per_IWRS_ve"/>
            <w:bookmarkStart w:id="244" w:name="Table_20:_Randomisation_Strata_per_IWRS_"/>
            <w:bookmarkEnd w:id="241"/>
            <w:bookmarkEnd w:id="242"/>
            <w:bookmarkEnd w:id="243"/>
            <w:bookmarkEnd w:id="244"/>
            <w:r w:rsidRPr="00C94C33">
              <w:t>Stratification Factor</w:t>
            </w:r>
          </w:p>
        </w:tc>
        <w:tc>
          <w:tcPr>
            <w:tcW w:w="7218" w:type="dxa"/>
            <w:gridSpan w:val="6"/>
            <w:tcBorders>
              <w:top w:val="single" w:sz="7" w:space="0" w:color="000000"/>
              <w:left w:val="single" w:sz="6" w:space="0" w:color="000000"/>
              <w:bottom w:val="single" w:sz="7" w:space="0" w:color="000000"/>
              <w:right w:val="single" w:sz="6" w:space="0" w:color="000000"/>
            </w:tcBorders>
            <w:shd w:val="clear" w:color="auto" w:fill="auto"/>
          </w:tcPr>
          <w:p w14:paraId="7AC68A50" w14:textId="77777777" w:rsidR="00DF61BC" w:rsidRPr="00C94C33" w:rsidRDefault="00DF61BC" w:rsidP="00E40B26">
            <w:pPr>
              <w:pStyle w:val="TableHeading"/>
              <w:jc w:val="center"/>
            </w:pPr>
            <w:r w:rsidRPr="00C94C33">
              <w:t xml:space="preserve">Number </w:t>
            </w:r>
            <w:r w:rsidRPr="00C94C33">
              <w:rPr>
                <w:spacing w:val="-2"/>
              </w:rPr>
              <w:t>(%)</w:t>
            </w:r>
            <w:r w:rsidRPr="00C94C33">
              <w:t xml:space="preserve"> of Patients</w:t>
            </w:r>
          </w:p>
        </w:tc>
      </w:tr>
      <w:tr w:rsidR="00DF61BC" w:rsidRPr="00C94C33" w14:paraId="6996FECD" w14:textId="77777777" w:rsidTr="00E40B26">
        <w:trPr>
          <w:trHeight w:hRule="exact" w:val="365"/>
          <w:tblHeader/>
        </w:trPr>
        <w:tc>
          <w:tcPr>
            <w:tcW w:w="2358" w:type="dxa"/>
            <w:vMerge/>
            <w:tcBorders>
              <w:top w:val="single" w:sz="7" w:space="0" w:color="000000"/>
              <w:left w:val="single" w:sz="6" w:space="0" w:color="000000"/>
              <w:bottom w:val="single" w:sz="7" w:space="0" w:color="000000"/>
              <w:right w:val="single" w:sz="6" w:space="0" w:color="000000"/>
            </w:tcBorders>
            <w:shd w:val="clear" w:color="auto" w:fill="auto"/>
          </w:tcPr>
          <w:p w14:paraId="16D3D898" w14:textId="77777777" w:rsidR="00DF61BC" w:rsidRPr="00C94C33" w:rsidRDefault="00DF61BC" w:rsidP="00E40B26">
            <w:pPr>
              <w:pStyle w:val="TableHeading"/>
              <w:jc w:val="center"/>
            </w:pPr>
          </w:p>
        </w:tc>
        <w:tc>
          <w:tcPr>
            <w:tcW w:w="3609" w:type="dxa"/>
            <w:gridSpan w:val="3"/>
            <w:tcBorders>
              <w:top w:val="single" w:sz="7" w:space="0" w:color="000000"/>
              <w:left w:val="single" w:sz="6" w:space="0" w:color="000000"/>
              <w:bottom w:val="single" w:sz="7" w:space="0" w:color="000000"/>
              <w:right w:val="single" w:sz="12" w:space="0" w:color="000000"/>
            </w:tcBorders>
            <w:shd w:val="clear" w:color="auto" w:fill="auto"/>
          </w:tcPr>
          <w:p w14:paraId="5828F551" w14:textId="77777777" w:rsidR="00DF61BC" w:rsidRPr="00C94C33" w:rsidRDefault="00DF61BC" w:rsidP="00E40B26">
            <w:pPr>
              <w:pStyle w:val="TableHeading"/>
              <w:jc w:val="center"/>
            </w:pPr>
            <w:r w:rsidRPr="00C94C33">
              <w:t xml:space="preserve">Assignment per </w:t>
            </w:r>
            <w:r w:rsidRPr="00C94C33">
              <w:rPr>
                <w:spacing w:val="-2"/>
              </w:rPr>
              <w:t>IWRS</w:t>
            </w:r>
          </w:p>
        </w:tc>
        <w:tc>
          <w:tcPr>
            <w:tcW w:w="3609" w:type="dxa"/>
            <w:gridSpan w:val="3"/>
            <w:tcBorders>
              <w:top w:val="single" w:sz="7" w:space="0" w:color="000000"/>
              <w:left w:val="single" w:sz="12" w:space="0" w:color="000000"/>
              <w:bottom w:val="single" w:sz="7" w:space="0" w:color="000000"/>
              <w:right w:val="single" w:sz="6" w:space="0" w:color="000000"/>
            </w:tcBorders>
            <w:shd w:val="clear" w:color="auto" w:fill="auto"/>
          </w:tcPr>
          <w:p w14:paraId="365803CF" w14:textId="77777777" w:rsidR="00DF61BC" w:rsidRPr="00C94C33" w:rsidRDefault="00DF61BC" w:rsidP="00E40B26">
            <w:pPr>
              <w:pStyle w:val="TableHeading"/>
              <w:jc w:val="center"/>
            </w:pPr>
            <w:r w:rsidRPr="00C94C33">
              <w:t>Assignment per eCRF</w:t>
            </w:r>
          </w:p>
        </w:tc>
      </w:tr>
      <w:tr w:rsidR="00DF61BC" w:rsidRPr="00C94C33" w14:paraId="1782F710" w14:textId="77777777" w:rsidTr="00E40B26">
        <w:trPr>
          <w:trHeight w:hRule="exact" w:val="595"/>
          <w:tblHeader/>
        </w:trPr>
        <w:tc>
          <w:tcPr>
            <w:tcW w:w="2358" w:type="dxa"/>
            <w:vMerge/>
            <w:tcBorders>
              <w:top w:val="single" w:sz="7" w:space="0" w:color="000000"/>
              <w:left w:val="single" w:sz="6" w:space="0" w:color="000000"/>
              <w:bottom w:val="single" w:sz="7" w:space="0" w:color="000000"/>
              <w:right w:val="single" w:sz="6" w:space="0" w:color="000000"/>
            </w:tcBorders>
            <w:shd w:val="clear" w:color="auto" w:fill="auto"/>
          </w:tcPr>
          <w:p w14:paraId="60BA002C" w14:textId="77777777" w:rsidR="00DF61BC" w:rsidRPr="00C94C33" w:rsidRDefault="00DF61BC" w:rsidP="00E40B26">
            <w:pPr>
              <w:pStyle w:val="TableHeading"/>
              <w:jc w:val="center"/>
            </w:pP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5AA581EF" w14:textId="0B66F4B5" w:rsidR="00DF61BC" w:rsidRPr="00C94C33" w:rsidRDefault="00DF61BC" w:rsidP="00E40B26">
            <w:pPr>
              <w:pStyle w:val="TableHeading"/>
              <w:jc w:val="center"/>
            </w:pPr>
            <w:r w:rsidRPr="00C94C33">
              <w:t>TAS-102</w:t>
            </w:r>
            <w:r w:rsidRPr="00C94C33">
              <w:rPr>
                <w:spacing w:val="23"/>
              </w:rPr>
              <w:t xml:space="preserve"> </w:t>
            </w:r>
            <w:r w:rsidRPr="00C94C33">
              <w:t>(</w:t>
            </w:r>
            <w:r w:rsidR="009C0389" w:rsidRPr="00C94C33">
              <w:t xml:space="preserve">N = </w:t>
            </w:r>
            <w:r w:rsidRPr="00C94C33">
              <w:t>534)</w:t>
            </w: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1A768186" w14:textId="07C68565" w:rsidR="00DF61BC" w:rsidRPr="00C94C33" w:rsidRDefault="00DF61BC" w:rsidP="00E40B26">
            <w:pPr>
              <w:pStyle w:val="TableHeading"/>
              <w:jc w:val="center"/>
            </w:pPr>
            <w:r w:rsidRPr="00C94C33">
              <w:t>Placebo</w:t>
            </w:r>
            <w:r w:rsidRPr="00C94C33">
              <w:rPr>
                <w:spacing w:val="20"/>
              </w:rPr>
              <w:t xml:space="preserve"> </w:t>
            </w:r>
            <w:r w:rsidRPr="00C94C33">
              <w:t>(</w:t>
            </w:r>
            <w:r w:rsidR="009C0389" w:rsidRPr="00C94C33">
              <w:t xml:space="preserve">N = </w:t>
            </w:r>
            <w:r w:rsidRPr="00C94C33">
              <w:t>266)</w:t>
            </w:r>
          </w:p>
        </w:tc>
        <w:tc>
          <w:tcPr>
            <w:tcW w:w="1203" w:type="dxa"/>
            <w:tcBorders>
              <w:top w:val="single" w:sz="7" w:space="0" w:color="000000"/>
              <w:left w:val="single" w:sz="6" w:space="0" w:color="000000"/>
              <w:bottom w:val="single" w:sz="7" w:space="0" w:color="000000"/>
              <w:right w:val="single" w:sz="12" w:space="0" w:color="000000"/>
            </w:tcBorders>
            <w:shd w:val="clear" w:color="auto" w:fill="auto"/>
          </w:tcPr>
          <w:p w14:paraId="4F53A109" w14:textId="65F8372A" w:rsidR="00DF61BC" w:rsidRPr="00C94C33" w:rsidRDefault="00DF61BC" w:rsidP="00E40B26">
            <w:pPr>
              <w:pStyle w:val="TableHeading"/>
              <w:jc w:val="center"/>
            </w:pPr>
            <w:r w:rsidRPr="00C94C33">
              <w:t>Total</w:t>
            </w:r>
            <w:r w:rsidRPr="00C94C33">
              <w:rPr>
                <w:spacing w:val="23"/>
              </w:rPr>
              <w:t xml:space="preserve"> </w:t>
            </w:r>
            <w:r w:rsidRPr="00C94C33">
              <w:t>(</w:t>
            </w:r>
            <w:r w:rsidR="009C0389" w:rsidRPr="00C94C33">
              <w:t xml:space="preserve">N = </w:t>
            </w:r>
            <w:r w:rsidRPr="00C94C33">
              <w:t>800)</w:t>
            </w:r>
          </w:p>
        </w:tc>
        <w:tc>
          <w:tcPr>
            <w:tcW w:w="1203" w:type="dxa"/>
            <w:tcBorders>
              <w:top w:val="single" w:sz="7" w:space="0" w:color="000000"/>
              <w:left w:val="single" w:sz="12" w:space="0" w:color="000000"/>
              <w:bottom w:val="single" w:sz="7" w:space="0" w:color="000000"/>
              <w:right w:val="single" w:sz="6" w:space="0" w:color="000000"/>
            </w:tcBorders>
            <w:shd w:val="clear" w:color="auto" w:fill="auto"/>
          </w:tcPr>
          <w:p w14:paraId="5655A851" w14:textId="7E6922AE" w:rsidR="00DF61BC" w:rsidRPr="00C94C33" w:rsidRDefault="00DF61BC" w:rsidP="00E40B26">
            <w:pPr>
              <w:pStyle w:val="TableHeading"/>
              <w:jc w:val="center"/>
            </w:pPr>
            <w:r w:rsidRPr="00C94C33">
              <w:t>TAS-102</w:t>
            </w:r>
            <w:r w:rsidRPr="00C94C33">
              <w:rPr>
                <w:spacing w:val="23"/>
              </w:rPr>
              <w:t xml:space="preserve"> </w:t>
            </w:r>
            <w:r w:rsidRPr="00C94C33">
              <w:t>(</w:t>
            </w:r>
            <w:r w:rsidR="009C0389" w:rsidRPr="00C94C33">
              <w:t xml:space="preserve">N = </w:t>
            </w:r>
            <w:r w:rsidRPr="00C94C33">
              <w:t>534)</w:t>
            </w: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2F27014C" w14:textId="22645C55" w:rsidR="00DF61BC" w:rsidRPr="00C94C33" w:rsidRDefault="00DF61BC" w:rsidP="00E40B26">
            <w:pPr>
              <w:pStyle w:val="TableHeading"/>
              <w:jc w:val="center"/>
            </w:pPr>
            <w:r w:rsidRPr="00C94C33">
              <w:t>Placebo</w:t>
            </w:r>
            <w:r w:rsidRPr="00C94C33">
              <w:rPr>
                <w:spacing w:val="20"/>
              </w:rPr>
              <w:t xml:space="preserve"> </w:t>
            </w:r>
            <w:r w:rsidRPr="00C94C33">
              <w:t>(</w:t>
            </w:r>
            <w:r w:rsidR="009C0389" w:rsidRPr="00C94C33">
              <w:t xml:space="preserve">N = </w:t>
            </w:r>
            <w:r w:rsidRPr="00C94C33">
              <w:t>266)</w:t>
            </w: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06697A3C" w14:textId="7F36EABD" w:rsidR="00DF61BC" w:rsidRPr="00C94C33" w:rsidRDefault="00DF61BC" w:rsidP="00E40B26">
            <w:pPr>
              <w:pStyle w:val="TableHeading"/>
              <w:jc w:val="center"/>
            </w:pPr>
            <w:r w:rsidRPr="00C94C33">
              <w:t>Total</w:t>
            </w:r>
            <w:r w:rsidRPr="00C94C33">
              <w:rPr>
                <w:spacing w:val="23"/>
              </w:rPr>
              <w:t xml:space="preserve"> </w:t>
            </w:r>
            <w:r w:rsidRPr="00C94C33">
              <w:t>(</w:t>
            </w:r>
            <w:r w:rsidR="009C0389" w:rsidRPr="00C94C33">
              <w:t xml:space="preserve">N = </w:t>
            </w:r>
            <w:r w:rsidRPr="00C94C33">
              <w:t>800)</w:t>
            </w:r>
          </w:p>
        </w:tc>
      </w:tr>
      <w:tr w:rsidR="00DF61BC" w:rsidRPr="00C94C33" w14:paraId="4AA8FC4B" w14:textId="77777777" w:rsidTr="00766E0D">
        <w:trPr>
          <w:trHeight w:hRule="exact" w:val="305"/>
        </w:trPr>
        <w:tc>
          <w:tcPr>
            <w:tcW w:w="2358" w:type="dxa"/>
            <w:tcBorders>
              <w:top w:val="single" w:sz="7" w:space="0" w:color="000000"/>
              <w:left w:val="single" w:sz="6" w:space="0" w:color="000000"/>
              <w:bottom w:val="single" w:sz="7" w:space="0" w:color="000000"/>
              <w:right w:val="single" w:sz="6" w:space="0" w:color="000000"/>
            </w:tcBorders>
            <w:shd w:val="clear" w:color="auto" w:fill="auto"/>
          </w:tcPr>
          <w:p w14:paraId="164CDB2F" w14:textId="77777777" w:rsidR="00DF61BC" w:rsidRPr="00C94C33" w:rsidRDefault="00DF61BC" w:rsidP="00E40B26">
            <w:pPr>
              <w:pStyle w:val="Tabletext"/>
            </w:pPr>
            <w:r w:rsidRPr="00C94C33">
              <w:t>KRAS gene type</w:t>
            </w: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1D8160A9" w14:textId="77777777" w:rsidR="00DF61BC" w:rsidRPr="00C94C33" w:rsidRDefault="00DF61BC" w:rsidP="00E40B26">
            <w:pPr>
              <w:pStyle w:val="Tabletext"/>
            </w:pP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0765EAEC" w14:textId="77777777" w:rsidR="00DF61BC" w:rsidRPr="00C94C33" w:rsidRDefault="00DF61BC" w:rsidP="00E40B26">
            <w:pPr>
              <w:pStyle w:val="Tabletext"/>
            </w:pPr>
          </w:p>
        </w:tc>
        <w:tc>
          <w:tcPr>
            <w:tcW w:w="1203" w:type="dxa"/>
            <w:tcBorders>
              <w:top w:val="single" w:sz="7" w:space="0" w:color="000000"/>
              <w:left w:val="single" w:sz="6" w:space="0" w:color="000000"/>
              <w:bottom w:val="single" w:sz="7" w:space="0" w:color="000000"/>
              <w:right w:val="single" w:sz="12" w:space="0" w:color="000000"/>
            </w:tcBorders>
            <w:shd w:val="clear" w:color="auto" w:fill="auto"/>
          </w:tcPr>
          <w:p w14:paraId="6BF203B3" w14:textId="77777777" w:rsidR="00DF61BC" w:rsidRPr="00C94C33" w:rsidRDefault="00DF61BC" w:rsidP="00E40B26">
            <w:pPr>
              <w:pStyle w:val="Tabletext"/>
            </w:pPr>
          </w:p>
        </w:tc>
        <w:tc>
          <w:tcPr>
            <w:tcW w:w="1203" w:type="dxa"/>
            <w:tcBorders>
              <w:top w:val="single" w:sz="7" w:space="0" w:color="000000"/>
              <w:left w:val="single" w:sz="12" w:space="0" w:color="000000"/>
              <w:bottom w:val="single" w:sz="7" w:space="0" w:color="000000"/>
              <w:right w:val="single" w:sz="6" w:space="0" w:color="000000"/>
            </w:tcBorders>
            <w:shd w:val="clear" w:color="auto" w:fill="auto"/>
          </w:tcPr>
          <w:p w14:paraId="3E84CB0F" w14:textId="77777777" w:rsidR="00DF61BC" w:rsidRPr="00C94C33" w:rsidRDefault="00DF61BC" w:rsidP="00E40B26">
            <w:pPr>
              <w:pStyle w:val="Tabletext"/>
            </w:pP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076EE0FC" w14:textId="77777777" w:rsidR="00DF61BC" w:rsidRPr="00C94C33" w:rsidRDefault="00DF61BC" w:rsidP="00E40B26">
            <w:pPr>
              <w:pStyle w:val="Tabletext"/>
            </w:pP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43B9D18E" w14:textId="77777777" w:rsidR="00DF61BC" w:rsidRPr="00C94C33" w:rsidRDefault="00DF61BC" w:rsidP="00E40B26">
            <w:pPr>
              <w:pStyle w:val="Tabletext"/>
            </w:pPr>
          </w:p>
        </w:tc>
      </w:tr>
      <w:tr w:rsidR="00DF61BC" w:rsidRPr="00C94C33" w14:paraId="359C93E7" w14:textId="77777777" w:rsidTr="00766E0D">
        <w:trPr>
          <w:trHeight w:hRule="exact" w:val="305"/>
        </w:trPr>
        <w:tc>
          <w:tcPr>
            <w:tcW w:w="2358" w:type="dxa"/>
            <w:tcBorders>
              <w:top w:val="single" w:sz="7" w:space="0" w:color="000000"/>
              <w:left w:val="single" w:sz="6" w:space="0" w:color="000000"/>
              <w:bottom w:val="single" w:sz="7" w:space="0" w:color="000000"/>
              <w:right w:val="single" w:sz="6" w:space="0" w:color="000000"/>
            </w:tcBorders>
            <w:shd w:val="clear" w:color="auto" w:fill="auto"/>
          </w:tcPr>
          <w:p w14:paraId="4FE39C91" w14:textId="77777777" w:rsidR="00DF61BC" w:rsidRPr="00C94C33" w:rsidRDefault="00DF61BC" w:rsidP="00E40B26">
            <w:pPr>
              <w:pStyle w:val="Tabletext"/>
            </w:pPr>
            <w:r w:rsidRPr="00C94C33">
              <w:t>Wild-type</w:t>
            </w: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69FA3FEA" w14:textId="77777777" w:rsidR="00DF61BC" w:rsidRPr="00C94C33" w:rsidRDefault="00DF61BC" w:rsidP="00E40B26">
            <w:pPr>
              <w:pStyle w:val="Tabletext"/>
            </w:pPr>
            <w:r w:rsidRPr="00C94C33">
              <w:t>262 (49.1)</w:t>
            </w: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4072DAA9" w14:textId="77777777" w:rsidR="00DF61BC" w:rsidRPr="00C94C33" w:rsidRDefault="00DF61BC" w:rsidP="00E40B26">
            <w:pPr>
              <w:pStyle w:val="Tabletext"/>
            </w:pPr>
            <w:r w:rsidRPr="00C94C33">
              <w:t>131 (49.2)</w:t>
            </w:r>
          </w:p>
        </w:tc>
        <w:tc>
          <w:tcPr>
            <w:tcW w:w="1203" w:type="dxa"/>
            <w:tcBorders>
              <w:top w:val="single" w:sz="7" w:space="0" w:color="000000"/>
              <w:left w:val="single" w:sz="6" w:space="0" w:color="000000"/>
              <w:bottom w:val="single" w:sz="7" w:space="0" w:color="000000"/>
              <w:right w:val="single" w:sz="12" w:space="0" w:color="000000"/>
            </w:tcBorders>
            <w:shd w:val="clear" w:color="auto" w:fill="auto"/>
          </w:tcPr>
          <w:p w14:paraId="113B5964" w14:textId="77777777" w:rsidR="00DF61BC" w:rsidRPr="00C94C33" w:rsidRDefault="00DF61BC" w:rsidP="00E40B26">
            <w:pPr>
              <w:pStyle w:val="Tabletext"/>
            </w:pPr>
            <w:r w:rsidRPr="00C94C33">
              <w:t>393 (49.1)</w:t>
            </w:r>
          </w:p>
        </w:tc>
        <w:tc>
          <w:tcPr>
            <w:tcW w:w="1203" w:type="dxa"/>
            <w:tcBorders>
              <w:top w:val="single" w:sz="7" w:space="0" w:color="000000"/>
              <w:left w:val="single" w:sz="12" w:space="0" w:color="000000"/>
              <w:bottom w:val="single" w:sz="7" w:space="0" w:color="000000"/>
              <w:right w:val="single" w:sz="6" w:space="0" w:color="000000"/>
            </w:tcBorders>
            <w:shd w:val="clear" w:color="auto" w:fill="auto"/>
          </w:tcPr>
          <w:p w14:paraId="2CE11C8F" w14:textId="77777777" w:rsidR="00DF61BC" w:rsidRPr="00C94C33" w:rsidRDefault="00DF61BC" w:rsidP="00E40B26">
            <w:pPr>
              <w:pStyle w:val="Tabletext"/>
            </w:pPr>
            <w:r w:rsidRPr="00C94C33">
              <w:t>260 (48.7)</w:t>
            </w: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53115B83" w14:textId="77777777" w:rsidR="00DF61BC" w:rsidRPr="00C94C33" w:rsidRDefault="00DF61BC" w:rsidP="00E40B26">
            <w:pPr>
              <w:pStyle w:val="Tabletext"/>
            </w:pPr>
            <w:r w:rsidRPr="00C94C33">
              <w:t>134 (50.4)</w:t>
            </w: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5BF087F4" w14:textId="77777777" w:rsidR="00DF61BC" w:rsidRPr="00C94C33" w:rsidRDefault="00DF61BC" w:rsidP="00E40B26">
            <w:pPr>
              <w:pStyle w:val="Tabletext"/>
            </w:pPr>
            <w:r w:rsidRPr="00C94C33">
              <w:t>394 (49.3)</w:t>
            </w:r>
          </w:p>
        </w:tc>
      </w:tr>
      <w:tr w:rsidR="00DF61BC" w:rsidRPr="00C94C33" w14:paraId="0BF430E8" w14:textId="77777777" w:rsidTr="00766E0D">
        <w:trPr>
          <w:trHeight w:hRule="exact" w:val="305"/>
        </w:trPr>
        <w:tc>
          <w:tcPr>
            <w:tcW w:w="2358" w:type="dxa"/>
            <w:tcBorders>
              <w:top w:val="single" w:sz="7" w:space="0" w:color="000000"/>
              <w:left w:val="single" w:sz="6" w:space="0" w:color="000000"/>
              <w:bottom w:val="single" w:sz="7" w:space="0" w:color="000000"/>
              <w:right w:val="single" w:sz="6" w:space="0" w:color="000000"/>
            </w:tcBorders>
            <w:shd w:val="clear" w:color="auto" w:fill="auto"/>
          </w:tcPr>
          <w:p w14:paraId="52E2CCD9" w14:textId="77777777" w:rsidR="00DF61BC" w:rsidRPr="00C94C33" w:rsidRDefault="00DF61BC" w:rsidP="00E40B26">
            <w:pPr>
              <w:pStyle w:val="Tabletext"/>
            </w:pPr>
            <w:r w:rsidRPr="00C94C33">
              <w:t>Mutant</w:t>
            </w: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61D9890E" w14:textId="77777777" w:rsidR="00DF61BC" w:rsidRPr="00C94C33" w:rsidRDefault="00DF61BC" w:rsidP="00E40B26">
            <w:pPr>
              <w:pStyle w:val="Tabletext"/>
            </w:pPr>
            <w:r w:rsidRPr="00C94C33">
              <w:t>272 (50.9)</w:t>
            </w: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716BD153" w14:textId="77777777" w:rsidR="00DF61BC" w:rsidRPr="00C94C33" w:rsidRDefault="00DF61BC" w:rsidP="00E40B26">
            <w:pPr>
              <w:pStyle w:val="Tabletext"/>
            </w:pPr>
            <w:r w:rsidRPr="00C94C33">
              <w:t>135 (50.8)</w:t>
            </w:r>
          </w:p>
        </w:tc>
        <w:tc>
          <w:tcPr>
            <w:tcW w:w="1203" w:type="dxa"/>
            <w:tcBorders>
              <w:top w:val="single" w:sz="7" w:space="0" w:color="000000"/>
              <w:left w:val="single" w:sz="6" w:space="0" w:color="000000"/>
              <w:bottom w:val="single" w:sz="7" w:space="0" w:color="000000"/>
              <w:right w:val="single" w:sz="12" w:space="0" w:color="000000"/>
            </w:tcBorders>
            <w:shd w:val="clear" w:color="auto" w:fill="auto"/>
          </w:tcPr>
          <w:p w14:paraId="504A44ED" w14:textId="77777777" w:rsidR="00DF61BC" w:rsidRPr="00C94C33" w:rsidRDefault="00DF61BC" w:rsidP="00E40B26">
            <w:pPr>
              <w:pStyle w:val="Tabletext"/>
            </w:pPr>
            <w:r w:rsidRPr="00C94C33">
              <w:t>407 (50.9)</w:t>
            </w:r>
          </w:p>
        </w:tc>
        <w:tc>
          <w:tcPr>
            <w:tcW w:w="1203" w:type="dxa"/>
            <w:tcBorders>
              <w:top w:val="single" w:sz="7" w:space="0" w:color="000000"/>
              <w:left w:val="single" w:sz="12" w:space="0" w:color="000000"/>
              <w:bottom w:val="single" w:sz="7" w:space="0" w:color="000000"/>
              <w:right w:val="single" w:sz="6" w:space="0" w:color="000000"/>
            </w:tcBorders>
            <w:shd w:val="clear" w:color="auto" w:fill="auto"/>
          </w:tcPr>
          <w:p w14:paraId="4C4327F7" w14:textId="77777777" w:rsidR="00DF61BC" w:rsidRPr="00C94C33" w:rsidRDefault="00DF61BC" w:rsidP="00E40B26">
            <w:pPr>
              <w:pStyle w:val="Tabletext"/>
            </w:pPr>
            <w:r w:rsidRPr="00C94C33">
              <w:t>274 (51.3)</w:t>
            </w: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47610FD6" w14:textId="77777777" w:rsidR="00DF61BC" w:rsidRPr="00C94C33" w:rsidRDefault="00DF61BC" w:rsidP="00E40B26">
            <w:pPr>
              <w:pStyle w:val="Tabletext"/>
            </w:pPr>
            <w:r w:rsidRPr="00C94C33">
              <w:t>132 (49.6)</w:t>
            </w: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71A96E2A" w14:textId="77777777" w:rsidR="00DF61BC" w:rsidRPr="00C94C33" w:rsidRDefault="00DF61BC" w:rsidP="00E40B26">
            <w:pPr>
              <w:pStyle w:val="Tabletext"/>
            </w:pPr>
            <w:r w:rsidRPr="00C94C33">
              <w:t>406 (50.8)</w:t>
            </w:r>
          </w:p>
        </w:tc>
      </w:tr>
      <w:tr w:rsidR="00DF61BC" w:rsidRPr="00C94C33" w14:paraId="2A774F88" w14:textId="77777777" w:rsidTr="00766E0D">
        <w:trPr>
          <w:trHeight w:hRule="exact" w:val="535"/>
        </w:trPr>
        <w:tc>
          <w:tcPr>
            <w:tcW w:w="2358" w:type="dxa"/>
            <w:tcBorders>
              <w:top w:val="single" w:sz="7" w:space="0" w:color="000000"/>
              <w:left w:val="single" w:sz="6" w:space="0" w:color="000000"/>
              <w:bottom w:val="single" w:sz="7" w:space="0" w:color="000000"/>
              <w:right w:val="single" w:sz="6" w:space="0" w:color="000000"/>
            </w:tcBorders>
            <w:shd w:val="clear" w:color="auto" w:fill="auto"/>
          </w:tcPr>
          <w:p w14:paraId="3204DA45" w14:textId="77777777" w:rsidR="00DF61BC" w:rsidRPr="00C94C33" w:rsidRDefault="00DF61BC" w:rsidP="00E40B26">
            <w:pPr>
              <w:pStyle w:val="Tabletext"/>
            </w:pPr>
            <w:r w:rsidRPr="00C94C33">
              <w:t>Time since diagnosis of</w:t>
            </w:r>
            <w:r w:rsidRPr="00C94C33">
              <w:rPr>
                <w:spacing w:val="28"/>
              </w:rPr>
              <w:t xml:space="preserve"> </w:t>
            </w:r>
            <w:r w:rsidRPr="00C94C33">
              <w:t>metastasis</w:t>
            </w: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7F36666C" w14:textId="77777777" w:rsidR="00DF61BC" w:rsidRPr="00C94C33" w:rsidRDefault="00DF61BC" w:rsidP="00E40B26">
            <w:pPr>
              <w:pStyle w:val="Tabletext"/>
            </w:pP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650449DF" w14:textId="77777777" w:rsidR="00DF61BC" w:rsidRPr="00C94C33" w:rsidRDefault="00DF61BC" w:rsidP="00E40B26">
            <w:pPr>
              <w:pStyle w:val="Tabletext"/>
            </w:pPr>
          </w:p>
        </w:tc>
        <w:tc>
          <w:tcPr>
            <w:tcW w:w="1203" w:type="dxa"/>
            <w:tcBorders>
              <w:top w:val="single" w:sz="7" w:space="0" w:color="000000"/>
              <w:left w:val="single" w:sz="6" w:space="0" w:color="000000"/>
              <w:bottom w:val="single" w:sz="7" w:space="0" w:color="000000"/>
              <w:right w:val="single" w:sz="12" w:space="0" w:color="000000"/>
            </w:tcBorders>
            <w:shd w:val="clear" w:color="auto" w:fill="auto"/>
          </w:tcPr>
          <w:p w14:paraId="7092EDF7" w14:textId="77777777" w:rsidR="00DF61BC" w:rsidRPr="00C94C33" w:rsidRDefault="00DF61BC" w:rsidP="00E40B26">
            <w:pPr>
              <w:pStyle w:val="Tabletext"/>
            </w:pPr>
          </w:p>
        </w:tc>
        <w:tc>
          <w:tcPr>
            <w:tcW w:w="1203" w:type="dxa"/>
            <w:tcBorders>
              <w:top w:val="single" w:sz="7" w:space="0" w:color="000000"/>
              <w:left w:val="single" w:sz="12" w:space="0" w:color="000000"/>
              <w:bottom w:val="single" w:sz="7" w:space="0" w:color="000000"/>
              <w:right w:val="single" w:sz="6" w:space="0" w:color="000000"/>
            </w:tcBorders>
            <w:shd w:val="clear" w:color="auto" w:fill="auto"/>
          </w:tcPr>
          <w:p w14:paraId="4FC00388" w14:textId="77777777" w:rsidR="00DF61BC" w:rsidRPr="00C94C33" w:rsidRDefault="00DF61BC" w:rsidP="00E40B26">
            <w:pPr>
              <w:pStyle w:val="Tabletext"/>
            </w:pP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14545A57" w14:textId="77777777" w:rsidR="00DF61BC" w:rsidRPr="00C94C33" w:rsidRDefault="00DF61BC" w:rsidP="00E40B26">
            <w:pPr>
              <w:pStyle w:val="Tabletext"/>
            </w:pP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031A7E98" w14:textId="77777777" w:rsidR="00DF61BC" w:rsidRPr="00C94C33" w:rsidRDefault="00DF61BC" w:rsidP="00E40B26">
            <w:pPr>
              <w:pStyle w:val="Tabletext"/>
            </w:pPr>
          </w:p>
        </w:tc>
      </w:tr>
      <w:tr w:rsidR="00DF61BC" w:rsidRPr="00C94C33" w14:paraId="3F3ECFC2" w14:textId="77777777" w:rsidTr="00766E0D">
        <w:trPr>
          <w:trHeight w:hRule="exact" w:val="305"/>
        </w:trPr>
        <w:tc>
          <w:tcPr>
            <w:tcW w:w="2358" w:type="dxa"/>
            <w:tcBorders>
              <w:top w:val="single" w:sz="7" w:space="0" w:color="000000"/>
              <w:left w:val="single" w:sz="6" w:space="0" w:color="000000"/>
              <w:bottom w:val="single" w:sz="7" w:space="0" w:color="000000"/>
              <w:right w:val="single" w:sz="6" w:space="0" w:color="000000"/>
            </w:tcBorders>
            <w:shd w:val="clear" w:color="auto" w:fill="auto"/>
          </w:tcPr>
          <w:p w14:paraId="3E32E4BB" w14:textId="77777777" w:rsidR="00DF61BC" w:rsidRPr="00C94C33" w:rsidRDefault="00DF61BC" w:rsidP="00E40B26">
            <w:pPr>
              <w:pStyle w:val="Tabletext"/>
            </w:pPr>
            <w:r w:rsidRPr="00C94C33">
              <w:t>&lt;18 months</w:t>
            </w: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417DBFFC" w14:textId="77777777" w:rsidR="00DF61BC" w:rsidRPr="00C94C33" w:rsidRDefault="00DF61BC" w:rsidP="00E40B26">
            <w:pPr>
              <w:pStyle w:val="Tabletext"/>
            </w:pPr>
            <w:r w:rsidRPr="00C94C33">
              <w:t>111 (20.8)</w:t>
            </w: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103B0F86" w14:textId="77777777" w:rsidR="00DF61BC" w:rsidRPr="00C94C33" w:rsidRDefault="00DF61BC" w:rsidP="00E40B26">
            <w:pPr>
              <w:pStyle w:val="Tabletext"/>
            </w:pPr>
            <w:r w:rsidRPr="00C94C33">
              <w:t>55 (20.7)</w:t>
            </w:r>
          </w:p>
        </w:tc>
        <w:tc>
          <w:tcPr>
            <w:tcW w:w="1203" w:type="dxa"/>
            <w:tcBorders>
              <w:top w:val="single" w:sz="7" w:space="0" w:color="000000"/>
              <w:left w:val="single" w:sz="6" w:space="0" w:color="000000"/>
              <w:bottom w:val="single" w:sz="7" w:space="0" w:color="000000"/>
              <w:right w:val="single" w:sz="12" w:space="0" w:color="000000"/>
            </w:tcBorders>
            <w:shd w:val="clear" w:color="auto" w:fill="auto"/>
          </w:tcPr>
          <w:p w14:paraId="44CF4D83" w14:textId="77777777" w:rsidR="00DF61BC" w:rsidRPr="00C94C33" w:rsidRDefault="00DF61BC" w:rsidP="00E40B26">
            <w:pPr>
              <w:pStyle w:val="Tabletext"/>
            </w:pPr>
            <w:r w:rsidRPr="00C94C33">
              <w:t>166 (20.8)</w:t>
            </w:r>
          </w:p>
        </w:tc>
        <w:tc>
          <w:tcPr>
            <w:tcW w:w="1203" w:type="dxa"/>
            <w:tcBorders>
              <w:top w:val="single" w:sz="7" w:space="0" w:color="000000"/>
              <w:left w:val="single" w:sz="12" w:space="0" w:color="000000"/>
              <w:bottom w:val="single" w:sz="7" w:space="0" w:color="000000"/>
              <w:right w:val="single" w:sz="6" w:space="0" w:color="000000"/>
            </w:tcBorders>
            <w:shd w:val="clear" w:color="auto" w:fill="auto"/>
          </w:tcPr>
          <w:p w14:paraId="5FDD7F84" w14:textId="77777777" w:rsidR="00DF61BC" w:rsidRPr="00C94C33" w:rsidRDefault="00DF61BC" w:rsidP="00E40B26">
            <w:pPr>
              <w:pStyle w:val="Tabletext"/>
            </w:pPr>
            <w:r w:rsidRPr="00C94C33">
              <w:t>107 (20.0)</w:t>
            </w: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4F71DE7E" w14:textId="77777777" w:rsidR="00DF61BC" w:rsidRPr="00C94C33" w:rsidRDefault="00DF61BC" w:rsidP="00E40B26">
            <w:pPr>
              <w:pStyle w:val="Tabletext"/>
            </w:pPr>
            <w:r w:rsidRPr="00C94C33">
              <w:t>54 (20.3)</w:t>
            </w: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5E71650F" w14:textId="77777777" w:rsidR="00DF61BC" w:rsidRPr="00C94C33" w:rsidRDefault="00DF61BC" w:rsidP="00E40B26">
            <w:pPr>
              <w:pStyle w:val="Tabletext"/>
            </w:pPr>
            <w:r w:rsidRPr="00C94C33">
              <w:t>161 (20.1)</w:t>
            </w:r>
          </w:p>
        </w:tc>
      </w:tr>
      <w:tr w:rsidR="00DF61BC" w:rsidRPr="00C94C33" w14:paraId="6B73B3F2" w14:textId="77777777" w:rsidTr="00766E0D">
        <w:trPr>
          <w:trHeight w:hRule="exact" w:val="306"/>
        </w:trPr>
        <w:tc>
          <w:tcPr>
            <w:tcW w:w="2358" w:type="dxa"/>
            <w:tcBorders>
              <w:top w:val="single" w:sz="7" w:space="0" w:color="000000"/>
              <w:left w:val="single" w:sz="6" w:space="0" w:color="000000"/>
              <w:bottom w:val="single" w:sz="7" w:space="0" w:color="000000"/>
              <w:right w:val="single" w:sz="6" w:space="0" w:color="000000"/>
            </w:tcBorders>
            <w:shd w:val="clear" w:color="auto" w:fill="auto"/>
          </w:tcPr>
          <w:p w14:paraId="67B5211D" w14:textId="77777777" w:rsidR="00DF61BC" w:rsidRPr="00C94C33" w:rsidRDefault="00DF61BC" w:rsidP="00E40B26">
            <w:pPr>
              <w:pStyle w:val="Tabletext"/>
            </w:pPr>
            <w:r w:rsidRPr="00C94C33">
              <w:lastRenderedPageBreak/>
              <w:t>≥18</w:t>
            </w:r>
            <w:r w:rsidRPr="00C94C33">
              <w:rPr>
                <w:spacing w:val="1"/>
              </w:rPr>
              <w:t xml:space="preserve"> </w:t>
            </w:r>
            <w:r w:rsidRPr="00C94C33">
              <w:t>months</w:t>
            </w: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2AC434FF" w14:textId="77777777" w:rsidR="00DF61BC" w:rsidRPr="00C94C33" w:rsidRDefault="00DF61BC" w:rsidP="00E40B26">
            <w:pPr>
              <w:pStyle w:val="Tabletext"/>
            </w:pPr>
            <w:r w:rsidRPr="00C94C33">
              <w:t>423 (79.2)</w:t>
            </w: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4431DDD9" w14:textId="77777777" w:rsidR="00DF61BC" w:rsidRPr="00C94C33" w:rsidRDefault="00DF61BC" w:rsidP="00E40B26">
            <w:pPr>
              <w:pStyle w:val="Tabletext"/>
            </w:pPr>
            <w:r w:rsidRPr="00C94C33">
              <w:t>211 (79.3)</w:t>
            </w:r>
          </w:p>
        </w:tc>
        <w:tc>
          <w:tcPr>
            <w:tcW w:w="1203" w:type="dxa"/>
            <w:tcBorders>
              <w:top w:val="single" w:sz="7" w:space="0" w:color="000000"/>
              <w:left w:val="single" w:sz="6" w:space="0" w:color="000000"/>
              <w:bottom w:val="single" w:sz="7" w:space="0" w:color="000000"/>
              <w:right w:val="single" w:sz="12" w:space="0" w:color="000000"/>
            </w:tcBorders>
            <w:shd w:val="clear" w:color="auto" w:fill="auto"/>
          </w:tcPr>
          <w:p w14:paraId="4818A50C" w14:textId="77777777" w:rsidR="00DF61BC" w:rsidRPr="00C94C33" w:rsidRDefault="00DF61BC" w:rsidP="00E40B26">
            <w:pPr>
              <w:pStyle w:val="Tabletext"/>
            </w:pPr>
            <w:r w:rsidRPr="00C94C33">
              <w:t>634 (79.3)</w:t>
            </w:r>
          </w:p>
        </w:tc>
        <w:tc>
          <w:tcPr>
            <w:tcW w:w="1203" w:type="dxa"/>
            <w:tcBorders>
              <w:top w:val="single" w:sz="7" w:space="0" w:color="000000"/>
              <w:left w:val="single" w:sz="12" w:space="0" w:color="000000"/>
              <w:bottom w:val="single" w:sz="7" w:space="0" w:color="000000"/>
              <w:right w:val="single" w:sz="6" w:space="0" w:color="000000"/>
            </w:tcBorders>
            <w:shd w:val="clear" w:color="auto" w:fill="auto"/>
          </w:tcPr>
          <w:p w14:paraId="7480A7AE" w14:textId="77777777" w:rsidR="00DF61BC" w:rsidRPr="00C94C33" w:rsidRDefault="00DF61BC" w:rsidP="00E40B26">
            <w:pPr>
              <w:pStyle w:val="Tabletext"/>
            </w:pPr>
            <w:r w:rsidRPr="00C94C33">
              <w:t>427 (80.0)</w:t>
            </w: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06ADB4C0" w14:textId="77777777" w:rsidR="00DF61BC" w:rsidRPr="00C94C33" w:rsidRDefault="00DF61BC" w:rsidP="00E40B26">
            <w:pPr>
              <w:pStyle w:val="Tabletext"/>
            </w:pPr>
            <w:r w:rsidRPr="00C94C33">
              <w:t>212 (79.7)</w:t>
            </w: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50FBEB03" w14:textId="77777777" w:rsidR="00DF61BC" w:rsidRPr="00C94C33" w:rsidRDefault="00DF61BC" w:rsidP="00E40B26">
            <w:pPr>
              <w:pStyle w:val="Tabletext"/>
            </w:pPr>
            <w:r w:rsidRPr="00C94C33">
              <w:t>639 (79.9)</w:t>
            </w:r>
          </w:p>
        </w:tc>
      </w:tr>
      <w:tr w:rsidR="00DF61BC" w:rsidRPr="00C94C33" w14:paraId="5C8181A0" w14:textId="77777777" w:rsidTr="00766E0D">
        <w:trPr>
          <w:trHeight w:hRule="exact" w:val="305"/>
        </w:trPr>
        <w:tc>
          <w:tcPr>
            <w:tcW w:w="2358" w:type="dxa"/>
            <w:tcBorders>
              <w:top w:val="single" w:sz="7" w:space="0" w:color="000000"/>
              <w:left w:val="single" w:sz="6" w:space="0" w:color="000000"/>
              <w:bottom w:val="single" w:sz="7" w:space="0" w:color="000000"/>
              <w:right w:val="single" w:sz="6" w:space="0" w:color="000000"/>
            </w:tcBorders>
            <w:shd w:val="clear" w:color="auto" w:fill="auto"/>
          </w:tcPr>
          <w:p w14:paraId="50CB2D4B" w14:textId="77777777" w:rsidR="00DF61BC" w:rsidRPr="00C94C33" w:rsidRDefault="00DF61BC" w:rsidP="00E40B26">
            <w:pPr>
              <w:pStyle w:val="Tabletext"/>
            </w:pPr>
            <w:r w:rsidRPr="00C94C33">
              <w:t>Geographical region</w:t>
            </w: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1D95831F" w14:textId="77777777" w:rsidR="00DF61BC" w:rsidRPr="00C94C33" w:rsidRDefault="00DF61BC" w:rsidP="00E40B26">
            <w:pPr>
              <w:pStyle w:val="Tabletext"/>
            </w:pP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0BD3ECD2" w14:textId="77777777" w:rsidR="00DF61BC" w:rsidRPr="00C94C33" w:rsidRDefault="00DF61BC" w:rsidP="00E40B26">
            <w:pPr>
              <w:pStyle w:val="Tabletext"/>
            </w:pPr>
          </w:p>
        </w:tc>
        <w:tc>
          <w:tcPr>
            <w:tcW w:w="1203" w:type="dxa"/>
            <w:tcBorders>
              <w:top w:val="single" w:sz="7" w:space="0" w:color="000000"/>
              <w:left w:val="single" w:sz="6" w:space="0" w:color="000000"/>
              <w:bottom w:val="single" w:sz="7" w:space="0" w:color="000000"/>
              <w:right w:val="single" w:sz="12" w:space="0" w:color="000000"/>
            </w:tcBorders>
            <w:shd w:val="clear" w:color="auto" w:fill="auto"/>
          </w:tcPr>
          <w:p w14:paraId="5C30DC60" w14:textId="77777777" w:rsidR="00DF61BC" w:rsidRPr="00C94C33" w:rsidRDefault="00DF61BC" w:rsidP="00E40B26">
            <w:pPr>
              <w:pStyle w:val="Tabletext"/>
            </w:pPr>
          </w:p>
        </w:tc>
        <w:tc>
          <w:tcPr>
            <w:tcW w:w="1203" w:type="dxa"/>
            <w:tcBorders>
              <w:top w:val="single" w:sz="7" w:space="0" w:color="000000"/>
              <w:left w:val="single" w:sz="12" w:space="0" w:color="000000"/>
              <w:bottom w:val="single" w:sz="7" w:space="0" w:color="000000"/>
              <w:right w:val="single" w:sz="6" w:space="0" w:color="000000"/>
            </w:tcBorders>
            <w:shd w:val="clear" w:color="auto" w:fill="auto"/>
          </w:tcPr>
          <w:p w14:paraId="59832F88" w14:textId="77777777" w:rsidR="00DF61BC" w:rsidRPr="00C94C33" w:rsidRDefault="00DF61BC" w:rsidP="00E40B26">
            <w:pPr>
              <w:pStyle w:val="Tabletext"/>
            </w:pP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18C35A63" w14:textId="77777777" w:rsidR="00DF61BC" w:rsidRPr="00C94C33" w:rsidRDefault="00DF61BC" w:rsidP="00E40B26">
            <w:pPr>
              <w:pStyle w:val="Tabletext"/>
            </w:pP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196F439C" w14:textId="77777777" w:rsidR="00DF61BC" w:rsidRPr="00C94C33" w:rsidRDefault="00DF61BC" w:rsidP="00E40B26">
            <w:pPr>
              <w:pStyle w:val="Tabletext"/>
            </w:pPr>
          </w:p>
        </w:tc>
      </w:tr>
      <w:tr w:rsidR="00DF61BC" w:rsidRPr="00C94C33" w14:paraId="03F19D1A" w14:textId="77777777" w:rsidTr="00766E0D">
        <w:trPr>
          <w:trHeight w:hRule="exact" w:val="305"/>
        </w:trPr>
        <w:tc>
          <w:tcPr>
            <w:tcW w:w="2358" w:type="dxa"/>
            <w:tcBorders>
              <w:top w:val="single" w:sz="7" w:space="0" w:color="000000"/>
              <w:left w:val="single" w:sz="6" w:space="0" w:color="000000"/>
              <w:bottom w:val="single" w:sz="7" w:space="0" w:color="000000"/>
              <w:right w:val="single" w:sz="6" w:space="0" w:color="000000"/>
            </w:tcBorders>
            <w:shd w:val="clear" w:color="auto" w:fill="auto"/>
          </w:tcPr>
          <w:p w14:paraId="6F56BBAD" w14:textId="77777777" w:rsidR="00DF61BC" w:rsidRPr="00C94C33" w:rsidRDefault="00DF61BC" w:rsidP="00E40B26">
            <w:pPr>
              <w:pStyle w:val="Tabletext"/>
            </w:pPr>
            <w:r w:rsidRPr="00C94C33">
              <w:t>Asia (Japan)</w:t>
            </w: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6D6AD2E8" w14:textId="77777777" w:rsidR="00DF61BC" w:rsidRPr="00C94C33" w:rsidRDefault="00DF61BC" w:rsidP="00E40B26">
            <w:pPr>
              <w:pStyle w:val="Tabletext"/>
            </w:pPr>
            <w:r w:rsidRPr="00C94C33">
              <w:t>178 (33.3)</w:t>
            </w: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362A0040" w14:textId="77777777" w:rsidR="00DF61BC" w:rsidRPr="00C94C33" w:rsidRDefault="00DF61BC" w:rsidP="00E40B26">
            <w:pPr>
              <w:pStyle w:val="Tabletext"/>
            </w:pPr>
            <w:r w:rsidRPr="00C94C33">
              <w:t>88 (33.1)</w:t>
            </w:r>
          </w:p>
        </w:tc>
        <w:tc>
          <w:tcPr>
            <w:tcW w:w="1203" w:type="dxa"/>
            <w:tcBorders>
              <w:top w:val="single" w:sz="7" w:space="0" w:color="000000"/>
              <w:left w:val="single" w:sz="6" w:space="0" w:color="000000"/>
              <w:bottom w:val="single" w:sz="7" w:space="0" w:color="000000"/>
              <w:right w:val="single" w:sz="12" w:space="0" w:color="000000"/>
            </w:tcBorders>
            <w:shd w:val="clear" w:color="auto" w:fill="auto"/>
          </w:tcPr>
          <w:p w14:paraId="0458555F" w14:textId="77777777" w:rsidR="00DF61BC" w:rsidRPr="00C94C33" w:rsidRDefault="00DF61BC" w:rsidP="00E40B26">
            <w:pPr>
              <w:pStyle w:val="Tabletext"/>
            </w:pPr>
            <w:r w:rsidRPr="00C94C33">
              <w:t>266 (33.3)</w:t>
            </w:r>
          </w:p>
        </w:tc>
        <w:tc>
          <w:tcPr>
            <w:tcW w:w="1203" w:type="dxa"/>
            <w:tcBorders>
              <w:top w:val="single" w:sz="7" w:space="0" w:color="000000"/>
              <w:left w:val="single" w:sz="12" w:space="0" w:color="000000"/>
              <w:bottom w:val="single" w:sz="7" w:space="0" w:color="000000"/>
              <w:right w:val="single" w:sz="6" w:space="0" w:color="000000"/>
            </w:tcBorders>
            <w:shd w:val="clear" w:color="auto" w:fill="auto"/>
          </w:tcPr>
          <w:p w14:paraId="4BCFC0E1" w14:textId="77777777" w:rsidR="00DF61BC" w:rsidRPr="00C94C33" w:rsidRDefault="00DF61BC" w:rsidP="00E40B26">
            <w:pPr>
              <w:pStyle w:val="Tabletext"/>
            </w:pPr>
            <w:r w:rsidRPr="00C94C33">
              <w:t>178 (33.3)</w:t>
            </w: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7C274762" w14:textId="77777777" w:rsidR="00DF61BC" w:rsidRPr="00C94C33" w:rsidRDefault="00DF61BC" w:rsidP="00E40B26">
            <w:pPr>
              <w:pStyle w:val="Tabletext"/>
            </w:pPr>
            <w:r w:rsidRPr="00C94C33">
              <w:t>88 (33.1)</w:t>
            </w:r>
          </w:p>
        </w:tc>
        <w:tc>
          <w:tcPr>
            <w:tcW w:w="1203" w:type="dxa"/>
            <w:tcBorders>
              <w:top w:val="single" w:sz="7" w:space="0" w:color="000000"/>
              <w:left w:val="single" w:sz="6" w:space="0" w:color="000000"/>
              <w:bottom w:val="single" w:sz="7" w:space="0" w:color="000000"/>
              <w:right w:val="single" w:sz="6" w:space="0" w:color="000000"/>
            </w:tcBorders>
            <w:shd w:val="clear" w:color="auto" w:fill="auto"/>
          </w:tcPr>
          <w:p w14:paraId="09EA7E08" w14:textId="77777777" w:rsidR="00DF61BC" w:rsidRPr="00C94C33" w:rsidRDefault="00DF61BC" w:rsidP="00E40B26">
            <w:pPr>
              <w:pStyle w:val="Tabletext"/>
            </w:pPr>
            <w:r w:rsidRPr="00C94C33">
              <w:t>266 (33.3)</w:t>
            </w:r>
          </w:p>
        </w:tc>
      </w:tr>
      <w:tr w:rsidR="00DF61BC" w:rsidRPr="00C94C33" w14:paraId="5C40CE69" w14:textId="77777777" w:rsidTr="00766E0D">
        <w:trPr>
          <w:trHeight w:hRule="exact" w:val="535"/>
        </w:trPr>
        <w:tc>
          <w:tcPr>
            <w:tcW w:w="2358" w:type="dxa"/>
            <w:tcBorders>
              <w:top w:val="single" w:sz="7" w:space="0" w:color="000000"/>
              <w:left w:val="single" w:sz="6" w:space="0" w:color="000000"/>
              <w:bottom w:val="single" w:sz="6" w:space="0" w:color="000000"/>
              <w:right w:val="single" w:sz="6" w:space="0" w:color="000000"/>
            </w:tcBorders>
            <w:shd w:val="clear" w:color="auto" w:fill="auto"/>
          </w:tcPr>
          <w:p w14:paraId="672497A7" w14:textId="77777777" w:rsidR="00DF61BC" w:rsidRPr="00C94C33" w:rsidRDefault="00DF61BC" w:rsidP="00E40B26">
            <w:pPr>
              <w:pStyle w:val="Tabletext"/>
            </w:pPr>
            <w:r w:rsidRPr="00C94C33">
              <w:t>Western (Australia,</w:t>
            </w:r>
            <w:r w:rsidRPr="00C94C33">
              <w:rPr>
                <w:spacing w:val="23"/>
              </w:rPr>
              <w:t xml:space="preserve"> </w:t>
            </w:r>
            <w:r w:rsidRPr="00C94C33">
              <w:t>Europe, US)</w:t>
            </w:r>
          </w:p>
        </w:tc>
        <w:tc>
          <w:tcPr>
            <w:tcW w:w="1203" w:type="dxa"/>
            <w:tcBorders>
              <w:top w:val="single" w:sz="7" w:space="0" w:color="000000"/>
              <w:left w:val="single" w:sz="6" w:space="0" w:color="000000"/>
              <w:bottom w:val="single" w:sz="6" w:space="0" w:color="000000"/>
              <w:right w:val="single" w:sz="6" w:space="0" w:color="000000"/>
            </w:tcBorders>
            <w:shd w:val="clear" w:color="auto" w:fill="auto"/>
          </w:tcPr>
          <w:p w14:paraId="01DADE21" w14:textId="77777777" w:rsidR="00DF61BC" w:rsidRPr="00C94C33" w:rsidRDefault="00DF61BC" w:rsidP="00E40B26">
            <w:pPr>
              <w:pStyle w:val="Tabletext"/>
            </w:pPr>
          </w:p>
          <w:p w14:paraId="44884026" w14:textId="77777777" w:rsidR="00DF61BC" w:rsidRPr="00C94C33" w:rsidRDefault="00DF61BC" w:rsidP="00E40B26">
            <w:pPr>
              <w:pStyle w:val="Tabletext"/>
            </w:pPr>
            <w:r w:rsidRPr="00C94C33">
              <w:t>356 (66.7)</w:t>
            </w:r>
          </w:p>
        </w:tc>
        <w:tc>
          <w:tcPr>
            <w:tcW w:w="1203" w:type="dxa"/>
            <w:tcBorders>
              <w:top w:val="single" w:sz="7" w:space="0" w:color="000000"/>
              <w:left w:val="single" w:sz="6" w:space="0" w:color="000000"/>
              <w:bottom w:val="single" w:sz="6" w:space="0" w:color="000000"/>
              <w:right w:val="single" w:sz="6" w:space="0" w:color="000000"/>
            </w:tcBorders>
            <w:shd w:val="clear" w:color="auto" w:fill="auto"/>
          </w:tcPr>
          <w:p w14:paraId="3A11D96F" w14:textId="77777777" w:rsidR="00DF61BC" w:rsidRPr="00C94C33" w:rsidRDefault="00DF61BC" w:rsidP="00E40B26">
            <w:pPr>
              <w:pStyle w:val="Tabletext"/>
            </w:pPr>
          </w:p>
          <w:p w14:paraId="59CF49D2" w14:textId="77777777" w:rsidR="00DF61BC" w:rsidRPr="00C94C33" w:rsidRDefault="00DF61BC" w:rsidP="00E40B26">
            <w:pPr>
              <w:pStyle w:val="Tabletext"/>
            </w:pPr>
            <w:r w:rsidRPr="00C94C33">
              <w:t>178 (66.9)</w:t>
            </w:r>
          </w:p>
        </w:tc>
        <w:tc>
          <w:tcPr>
            <w:tcW w:w="1203" w:type="dxa"/>
            <w:tcBorders>
              <w:top w:val="single" w:sz="7" w:space="0" w:color="000000"/>
              <w:left w:val="single" w:sz="6" w:space="0" w:color="000000"/>
              <w:bottom w:val="single" w:sz="6" w:space="0" w:color="000000"/>
              <w:right w:val="single" w:sz="12" w:space="0" w:color="000000"/>
            </w:tcBorders>
            <w:shd w:val="clear" w:color="auto" w:fill="auto"/>
          </w:tcPr>
          <w:p w14:paraId="004FD69C" w14:textId="77777777" w:rsidR="00DF61BC" w:rsidRPr="00C94C33" w:rsidRDefault="00DF61BC" w:rsidP="00E40B26">
            <w:pPr>
              <w:pStyle w:val="Tabletext"/>
            </w:pPr>
          </w:p>
          <w:p w14:paraId="11E8BF92" w14:textId="77777777" w:rsidR="00DF61BC" w:rsidRPr="00C94C33" w:rsidRDefault="00DF61BC" w:rsidP="00E40B26">
            <w:pPr>
              <w:pStyle w:val="Tabletext"/>
            </w:pPr>
            <w:r w:rsidRPr="00C94C33">
              <w:t>534 (66.8)</w:t>
            </w:r>
          </w:p>
        </w:tc>
        <w:tc>
          <w:tcPr>
            <w:tcW w:w="1203" w:type="dxa"/>
            <w:tcBorders>
              <w:top w:val="single" w:sz="7" w:space="0" w:color="000000"/>
              <w:left w:val="single" w:sz="12" w:space="0" w:color="000000"/>
              <w:bottom w:val="single" w:sz="6" w:space="0" w:color="000000"/>
              <w:right w:val="single" w:sz="6" w:space="0" w:color="000000"/>
            </w:tcBorders>
            <w:shd w:val="clear" w:color="auto" w:fill="auto"/>
          </w:tcPr>
          <w:p w14:paraId="2909ED8D" w14:textId="77777777" w:rsidR="00DF61BC" w:rsidRPr="00C94C33" w:rsidRDefault="00DF61BC" w:rsidP="00E40B26">
            <w:pPr>
              <w:pStyle w:val="Tabletext"/>
            </w:pPr>
          </w:p>
          <w:p w14:paraId="7CEB1430" w14:textId="77777777" w:rsidR="00DF61BC" w:rsidRPr="00C94C33" w:rsidRDefault="00DF61BC" w:rsidP="00E40B26">
            <w:pPr>
              <w:pStyle w:val="Tabletext"/>
            </w:pPr>
            <w:r w:rsidRPr="00C94C33">
              <w:t>356 (66.7)</w:t>
            </w:r>
          </w:p>
        </w:tc>
        <w:tc>
          <w:tcPr>
            <w:tcW w:w="1203" w:type="dxa"/>
            <w:tcBorders>
              <w:top w:val="single" w:sz="7" w:space="0" w:color="000000"/>
              <w:left w:val="single" w:sz="6" w:space="0" w:color="000000"/>
              <w:bottom w:val="single" w:sz="6" w:space="0" w:color="000000"/>
              <w:right w:val="single" w:sz="6" w:space="0" w:color="000000"/>
            </w:tcBorders>
            <w:shd w:val="clear" w:color="auto" w:fill="auto"/>
          </w:tcPr>
          <w:p w14:paraId="61728346" w14:textId="77777777" w:rsidR="00DF61BC" w:rsidRPr="00C94C33" w:rsidRDefault="00DF61BC" w:rsidP="00E40B26">
            <w:pPr>
              <w:pStyle w:val="Tabletext"/>
            </w:pPr>
          </w:p>
          <w:p w14:paraId="01230ECB" w14:textId="77777777" w:rsidR="00DF61BC" w:rsidRPr="00C94C33" w:rsidRDefault="00DF61BC" w:rsidP="00E40B26">
            <w:pPr>
              <w:pStyle w:val="Tabletext"/>
            </w:pPr>
            <w:r w:rsidRPr="00C94C33">
              <w:t>178 (66.9)</w:t>
            </w:r>
          </w:p>
        </w:tc>
        <w:tc>
          <w:tcPr>
            <w:tcW w:w="1203" w:type="dxa"/>
            <w:tcBorders>
              <w:top w:val="single" w:sz="7" w:space="0" w:color="000000"/>
              <w:left w:val="single" w:sz="6" w:space="0" w:color="000000"/>
              <w:bottom w:val="single" w:sz="6" w:space="0" w:color="000000"/>
              <w:right w:val="single" w:sz="6" w:space="0" w:color="000000"/>
            </w:tcBorders>
            <w:shd w:val="clear" w:color="auto" w:fill="auto"/>
          </w:tcPr>
          <w:p w14:paraId="38FB269D" w14:textId="77777777" w:rsidR="00DF61BC" w:rsidRPr="00C94C33" w:rsidRDefault="00DF61BC" w:rsidP="00E40B26">
            <w:pPr>
              <w:pStyle w:val="Tabletext"/>
            </w:pPr>
          </w:p>
          <w:p w14:paraId="1605169A" w14:textId="77777777" w:rsidR="00DF61BC" w:rsidRPr="00C94C33" w:rsidRDefault="00DF61BC" w:rsidP="00E40B26">
            <w:pPr>
              <w:pStyle w:val="Tabletext"/>
            </w:pPr>
            <w:r w:rsidRPr="00C94C33">
              <w:t>534 (66.8)</w:t>
            </w:r>
          </w:p>
        </w:tc>
      </w:tr>
    </w:tbl>
    <w:p w14:paraId="3D3B8263" w14:textId="484B38B5" w:rsidR="00DF61BC" w:rsidRPr="00C94C33" w:rsidRDefault="00DF61BC" w:rsidP="00DF61BC">
      <w:pPr>
        <w:autoSpaceDE w:val="0"/>
        <w:autoSpaceDN w:val="0"/>
        <w:adjustRightInd w:val="0"/>
        <w:rPr>
          <w:rFonts w:asciiTheme="minorHAnsi" w:hAnsiTheme="minorHAnsi"/>
          <w:color w:val="000000"/>
        </w:rPr>
      </w:pPr>
      <w:r w:rsidRPr="00C94C33">
        <w:rPr>
          <w:rFonts w:asciiTheme="minorHAnsi" w:hAnsiTheme="minorHAnsi"/>
          <w:color w:val="000000"/>
        </w:rPr>
        <w:t>The two treatment arms were well balanced with respect to KRAS status including KRAS mutation types as recorded on the eCRF. There was minimal discordance between KRAS as assigned via IWRS and as recorded on the eCRF, with KRAS wild-type gene being identified in 393 (49.1%) of the total population according to IWRS assignment and 394 (49.3%) of the total population on the eCRF. BRAF status was available for 15% (</w:t>
      </w:r>
      <w:r w:rsidR="009C0389" w:rsidRPr="00C94C33">
        <w:rPr>
          <w:rFonts w:asciiTheme="minorHAnsi" w:hAnsiTheme="minorHAnsi"/>
          <w:color w:val="000000"/>
        </w:rPr>
        <w:t xml:space="preserve">n = </w:t>
      </w:r>
      <w:r w:rsidRPr="00C94C33">
        <w:rPr>
          <w:rFonts w:asciiTheme="minorHAnsi" w:hAnsiTheme="minorHAnsi"/>
          <w:color w:val="000000"/>
        </w:rPr>
        <w:t>124) of patients in the total ITT population, with the majority of these patients (</w:t>
      </w:r>
      <w:r w:rsidR="009C0389" w:rsidRPr="00C94C33">
        <w:rPr>
          <w:rFonts w:asciiTheme="minorHAnsi" w:hAnsiTheme="minorHAnsi"/>
          <w:color w:val="000000"/>
        </w:rPr>
        <w:t xml:space="preserve">n = </w:t>
      </w:r>
      <w:r w:rsidRPr="00C94C33">
        <w:rPr>
          <w:rFonts w:asciiTheme="minorHAnsi" w:hAnsiTheme="minorHAnsi"/>
          <w:color w:val="000000"/>
        </w:rPr>
        <w:t>116) being wildtype. The KRAS and BRAF status based on the eCRF (I</w:t>
      </w:r>
      <w:r w:rsidR="008A1C03" w:rsidRPr="00C94C33">
        <w:rPr>
          <w:rFonts w:asciiTheme="minorHAnsi" w:hAnsiTheme="minorHAnsi"/>
          <w:color w:val="000000"/>
        </w:rPr>
        <w:t>TT population) are summarised</w:t>
      </w:r>
      <w:r w:rsidRPr="00C94C33">
        <w:rPr>
          <w:rFonts w:asciiTheme="minorHAnsi" w:hAnsiTheme="minorHAnsi"/>
          <w:color w:val="000000"/>
        </w:rPr>
        <w:t>.</w:t>
      </w:r>
    </w:p>
    <w:p w14:paraId="2F05ED8D" w14:textId="682DBDD1"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The two treatment arms were similar with respect to cancer diagnosis, including time from initial diagnosis and randomisation and time from confirmed m</w:t>
      </w:r>
      <w:r w:rsidR="008A1C03" w:rsidRPr="00C94C33">
        <w:rPr>
          <w:rFonts w:asciiTheme="minorHAnsi" w:hAnsiTheme="minorHAnsi"/>
        </w:rPr>
        <w:t>etastasis to randomisation</w:t>
      </w:r>
      <w:r w:rsidRPr="00C94C33">
        <w:rPr>
          <w:rFonts w:asciiTheme="minorHAnsi" w:hAnsiTheme="minorHAnsi"/>
        </w:rPr>
        <w:t>. The location of the primary tumour was colon in 63.3% (</w:t>
      </w:r>
      <w:r w:rsidR="009C0389" w:rsidRPr="00C94C33">
        <w:rPr>
          <w:rFonts w:asciiTheme="minorHAnsi" w:hAnsiTheme="minorHAnsi"/>
        </w:rPr>
        <w:t xml:space="preserve">n = </w:t>
      </w:r>
      <w:r w:rsidRPr="00C94C33">
        <w:rPr>
          <w:rFonts w:asciiTheme="minorHAnsi" w:hAnsiTheme="minorHAnsi"/>
        </w:rPr>
        <w:t>338) of patients in the TAS-102 arm and in 60.5% (</w:t>
      </w:r>
      <w:r w:rsidR="009C0389" w:rsidRPr="00C94C33">
        <w:rPr>
          <w:rFonts w:asciiTheme="minorHAnsi" w:hAnsiTheme="minorHAnsi"/>
        </w:rPr>
        <w:t xml:space="preserve">n = </w:t>
      </w:r>
      <w:r w:rsidRPr="00C94C33">
        <w:rPr>
          <w:rFonts w:asciiTheme="minorHAnsi" w:hAnsiTheme="minorHAnsi"/>
        </w:rPr>
        <w:t>161) of patients in the placebo arm, with the respective proportion of patients with primary rectal cancer being 36.7% (</w:t>
      </w:r>
      <w:r w:rsidR="009C0389" w:rsidRPr="00C94C33">
        <w:rPr>
          <w:rFonts w:asciiTheme="minorHAnsi" w:hAnsiTheme="minorHAnsi"/>
        </w:rPr>
        <w:t xml:space="preserve">n = </w:t>
      </w:r>
      <w:r w:rsidRPr="00C94C33">
        <w:rPr>
          <w:rFonts w:asciiTheme="minorHAnsi" w:hAnsiTheme="minorHAnsi"/>
        </w:rPr>
        <w:t>196) and 39.5% (</w:t>
      </w:r>
      <w:r w:rsidR="009C0389" w:rsidRPr="00C94C33">
        <w:rPr>
          <w:rFonts w:asciiTheme="minorHAnsi" w:hAnsiTheme="minorHAnsi"/>
        </w:rPr>
        <w:t xml:space="preserve">n = </w:t>
      </w:r>
      <w:r w:rsidRPr="00C94C33">
        <w:rPr>
          <w:rFonts w:asciiTheme="minorHAnsi" w:hAnsiTheme="minorHAnsi"/>
        </w:rPr>
        <w:t>161).</w:t>
      </w:r>
    </w:p>
    <w:p w14:paraId="1F88E427" w14:textId="4219F06B" w:rsidR="00DF61BC" w:rsidRPr="00C94C33" w:rsidRDefault="008A1C03" w:rsidP="00C665B0">
      <w:pPr>
        <w:pStyle w:val="Tabletitle"/>
      </w:pPr>
      <w:bookmarkStart w:id="245" w:name="_Toc470948681"/>
      <w:r w:rsidRPr="00C94C33">
        <w:t>Table 32</w:t>
      </w:r>
      <w:r w:rsidR="00DF61BC" w:rsidRPr="00C94C33">
        <w:t>: Cancer diagnosis</w:t>
      </w:r>
      <w:r w:rsidR="00D67E9B">
        <w:t>;</w:t>
      </w:r>
      <w:r w:rsidR="00DF61BC" w:rsidRPr="00C94C33">
        <w:t xml:space="preserve"> ITT population</w:t>
      </w:r>
      <w:bookmarkEnd w:id="245"/>
    </w:p>
    <w:tbl>
      <w:tblPr>
        <w:tblW w:w="9535" w:type="dxa"/>
        <w:tblInd w:w="112" w:type="dxa"/>
        <w:tblLayout w:type="fixed"/>
        <w:tblCellMar>
          <w:left w:w="0" w:type="dxa"/>
          <w:right w:w="0" w:type="dxa"/>
        </w:tblCellMar>
        <w:tblLook w:val="0000" w:firstRow="0" w:lastRow="0" w:firstColumn="0" w:lastColumn="0" w:noHBand="0" w:noVBand="0"/>
      </w:tblPr>
      <w:tblGrid>
        <w:gridCol w:w="5508"/>
        <w:gridCol w:w="2043"/>
        <w:gridCol w:w="1984"/>
      </w:tblGrid>
      <w:tr w:rsidR="00DF61BC" w:rsidRPr="00C94C33" w14:paraId="16A2B376" w14:textId="77777777" w:rsidTr="00766E0D">
        <w:trPr>
          <w:trHeight w:hRule="exact" w:val="595"/>
        </w:trPr>
        <w:tc>
          <w:tcPr>
            <w:tcW w:w="5508" w:type="dxa"/>
            <w:tcBorders>
              <w:top w:val="single" w:sz="7" w:space="0" w:color="000000"/>
              <w:left w:val="single" w:sz="6" w:space="0" w:color="000000"/>
              <w:bottom w:val="single" w:sz="7" w:space="0" w:color="000000"/>
              <w:right w:val="single" w:sz="6" w:space="0" w:color="000000"/>
            </w:tcBorders>
            <w:shd w:val="clear" w:color="auto" w:fill="A7DDFF" w:themeFill="text2" w:themeFillTint="33"/>
          </w:tcPr>
          <w:p w14:paraId="21642254" w14:textId="77777777" w:rsidR="00DF61BC" w:rsidRPr="00C94C33" w:rsidRDefault="00DF61BC" w:rsidP="00E40B26">
            <w:pPr>
              <w:pStyle w:val="TableHeading"/>
            </w:pPr>
            <w:bookmarkStart w:id="246" w:name="11.1.3._Medical_History_of_Cancer"/>
            <w:bookmarkStart w:id="247" w:name="11.1.3.1._Cancer_Diagnosis"/>
            <w:bookmarkStart w:id="248" w:name="Table_16:_Cancer_Diagnosis_(ITT_Populati"/>
            <w:bookmarkStart w:id="249" w:name="11.1.3.2._Prior_Cancer_Therapies"/>
            <w:bookmarkEnd w:id="246"/>
            <w:bookmarkEnd w:id="247"/>
            <w:bookmarkEnd w:id="248"/>
            <w:bookmarkEnd w:id="249"/>
            <w:r w:rsidRPr="00C94C33">
              <w:t>Parameter</w:t>
            </w:r>
          </w:p>
        </w:tc>
        <w:tc>
          <w:tcPr>
            <w:tcW w:w="2043" w:type="dxa"/>
            <w:tcBorders>
              <w:top w:val="single" w:sz="7" w:space="0" w:color="000000"/>
              <w:left w:val="single" w:sz="6" w:space="0" w:color="000000"/>
              <w:bottom w:val="single" w:sz="7" w:space="0" w:color="000000"/>
              <w:right w:val="single" w:sz="6" w:space="0" w:color="000000"/>
            </w:tcBorders>
            <w:shd w:val="clear" w:color="auto" w:fill="A7DDFF" w:themeFill="text2" w:themeFillTint="33"/>
          </w:tcPr>
          <w:p w14:paraId="1985C20A" w14:textId="78291E3F" w:rsidR="00DF61BC" w:rsidRPr="00C94C33" w:rsidRDefault="00DF61BC" w:rsidP="00E40B26">
            <w:pPr>
              <w:pStyle w:val="TableHeading"/>
            </w:pPr>
            <w:r w:rsidRPr="007709B8">
              <w:t>TAS-102</w:t>
            </w:r>
            <w:r w:rsidRPr="00C94C33">
              <w:rPr>
                <w:spacing w:val="23"/>
              </w:rPr>
              <w:t xml:space="preserve"> </w:t>
            </w:r>
            <w:r w:rsidRPr="00C94C33">
              <w:t>(</w:t>
            </w:r>
            <w:r w:rsidR="009C0389" w:rsidRPr="00C94C33">
              <w:t xml:space="preserve">N = </w:t>
            </w:r>
            <w:r w:rsidRPr="00C94C33">
              <w:t>534)</w:t>
            </w:r>
          </w:p>
        </w:tc>
        <w:tc>
          <w:tcPr>
            <w:tcW w:w="1984" w:type="dxa"/>
            <w:tcBorders>
              <w:top w:val="single" w:sz="7" w:space="0" w:color="000000"/>
              <w:left w:val="single" w:sz="6" w:space="0" w:color="000000"/>
              <w:bottom w:val="single" w:sz="7" w:space="0" w:color="000000"/>
              <w:right w:val="single" w:sz="6" w:space="0" w:color="000000"/>
            </w:tcBorders>
            <w:shd w:val="clear" w:color="auto" w:fill="A7DDFF" w:themeFill="text2" w:themeFillTint="33"/>
          </w:tcPr>
          <w:p w14:paraId="3B71C516" w14:textId="5C7A4DDF" w:rsidR="00DF61BC" w:rsidRPr="00C94C33" w:rsidRDefault="00DF61BC" w:rsidP="00E40B26">
            <w:pPr>
              <w:pStyle w:val="TableHeading"/>
            </w:pPr>
            <w:r w:rsidRPr="00C94C33">
              <w:t>Placebo</w:t>
            </w:r>
            <w:r w:rsidRPr="00C94C33">
              <w:rPr>
                <w:spacing w:val="20"/>
              </w:rPr>
              <w:t xml:space="preserve"> </w:t>
            </w:r>
            <w:r w:rsidRPr="00C94C33">
              <w:t>(</w:t>
            </w:r>
            <w:r w:rsidR="009C0389" w:rsidRPr="00C94C33">
              <w:t xml:space="preserve">N = </w:t>
            </w:r>
            <w:r w:rsidRPr="00C94C33">
              <w:t>266)</w:t>
            </w:r>
          </w:p>
        </w:tc>
      </w:tr>
      <w:tr w:rsidR="00DF61BC" w:rsidRPr="00C94C33" w14:paraId="25956A10" w14:textId="77777777" w:rsidTr="00766E0D">
        <w:trPr>
          <w:trHeight w:hRule="exact" w:val="280"/>
        </w:trPr>
        <w:tc>
          <w:tcPr>
            <w:tcW w:w="5508" w:type="dxa"/>
            <w:tcBorders>
              <w:top w:val="single" w:sz="7" w:space="0" w:color="000000"/>
              <w:left w:val="single" w:sz="6" w:space="0" w:color="000000"/>
              <w:bottom w:val="single" w:sz="7" w:space="0" w:color="000000"/>
              <w:right w:val="single" w:sz="6" w:space="0" w:color="000000"/>
            </w:tcBorders>
          </w:tcPr>
          <w:p w14:paraId="7ACB80DE" w14:textId="77777777" w:rsidR="00DF61BC" w:rsidRPr="00C94C33" w:rsidRDefault="00DF61BC" w:rsidP="00E40B26">
            <w:pPr>
              <w:pStyle w:val="TableHeading"/>
            </w:pPr>
            <w:r w:rsidRPr="00C94C33">
              <w:t>Location of Primary Tumour, n (%)</w:t>
            </w:r>
          </w:p>
        </w:tc>
        <w:tc>
          <w:tcPr>
            <w:tcW w:w="2043" w:type="dxa"/>
            <w:tcBorders>
              <w:top w:val="single" w:sz="7" w:space="0" w:color="000000"/>
              <w:left w:val="single" w:sz="6" w:space="0" w:color="000000"/>
              <w:bottom w:val="single" w:sz="7" w:space="0" w:color="000000"/>
              <w:right w:val="single" w:sz="6" w:space="0" w:color="000000"/>
            </w:tcBorders>
          </w:tcPr>
          <w:p w14:paraId="6C1BBE08" w14:textId="77777777" w:rsidR="00DF61BC" w:rsidRPr="00C94C33" w:rsidRDefault="00DF61BC" w:rsidP="00E40B26">
            <w:pPr>
              <w:pStyle w:val="TableHeading"/>
            </w:pPr>
          </w:p>
        </w:tc>
        <w:tc>
          <w:tcPr>
            <w:tcW w:w="1984" w:type="dxa"/>
            <w:tcBorders>
              <w:top w:val="single" w:sz="7" w:space="0" w:color="000000"/>
              <w:left w:val="single" w:sz="6" w:space="0" w:color="000000"/>
              <w:bottom w:val="single" w:sz="7" w:space="0" w:color="000000"/>
              <w:right w:val="single" w:sz="6" w:space="0" w:color="000000"/>
            </w:tcBorders>
          </w:tcPr>
          <w:p w14:paraId="7F561CA2" w14:textId="77777777" w:rsidR="00DF61BC" w:rsidRPr="00C94C33" w:rsidRDefault="00DF61BC" w:rsidP="00E40B26">
            <w:pPr>
              <w:pStyle w:val="TableHeading"/>
            </w:pPr>
          </w:p>
        </w:tc>
      </w:tr>
      <w:tr w:rsidR="00DF61BC" w:rsidRPr="00C94C33" w14:paraId="114EFACC" w14:textId="77777777" w:rsidTr="00766E0D">
        <w:trPr>
          <w:trHeight w:hRule="exact" w:val="280"/>
        </w:trPr>
        <w:tc>
          <w:tcPr>
            <w:tcW w:w="5508" w:type="dxa"/>
            <w:tcBorders>
              <w:top w:val="single" w:sz="7" w:space="0" w:color="000000"/>
              <w:left w:val="single" w:sz="6" w:space="0" w:color="000000"/>
              <w:bottom w:val="single" w:sz="7" w:space="0" w:color="000000"/>
              <w:right w:val="single" w:sz="6" w:space="0" w:color="000000"/>
            </w:tcBorders>
          </w:tcPr>
          <w:p w14:paraId="7012C159" w14:textId="77777777" w:rsidR="00DF61BC" w:rsidRPr="00C94C33" w:rsidRDefault="00DF61BC" w:rsidP="00E40B26">
            <w:pPr>
              <w:pStyle w:val="Tabletext"/>
            </w:pPr>
            <w:r w:rsidRPr="00C94C33">
              <w:t>Colon</w:t>
            </w:r>
          </w:p>
        </w:tc>
        <w:tc>
          <w:tcPr>
            <w:tcW w:w="2043" w:type="dxa"/>
            <w:tcBorders>
              <w:top w:val="single" w:sz="7" w:space="0" w:color="000000"/>
              <w:left w:val="single" w:sz="6" w:space="0" w:color="000000"/>
              <w:bottom w:val="single" w:sz="7" w:space="0" w:color="000000"/>
              <w:right w:val="single" w:sz="6" w:space="0" w:color="000000"/>
            </w:tcBorders>
          </w:tcPr>
          <w:p w14:paraId="1A9075DC" w14:textId="77777777" w:rsidR="00DF61BC" w:rsidRPr="00C94C33" w:rsidRDefault="00DF61BC" w:rsidP="00E40B26">
            <w:pPr>
              <w:pStyle w:val="Tabletext"/>
            </w:pPr>
            <w:r w:rsidRPr="00C94C33">
              <w:t>338 (63.3)</w:t>
            </w:r>
          </w:p>
        </w:tc>
        <w:tc>
          <w:tcPr>
            <w:tcW w:w="1984" w:type="dxa"/>
            <w:tcBorders>
              <w:top w:val="single" w:sz="7" w:space="0" w:color="000000"/>
              <w:left w:val="single" w:sz="6" w:space="0" w:color="000000"/>
              <w:bottom w:val="single" w:sz="7" w:space="0" w:color="000000"/>
              <w:right w:val="single" w:sz="6" w:space="0" w:color="000000"/>
            </w:tcBorders>
          </w:tcPr>
          <w:p w14:paraId="33063C95" w14:textId="77777777" w:rsidR="00DF61BC" w:rsidRPr="00C94C33" w:rsidRDefault="00DF61BC" w:rsidP="00E40B26">
            <w:pPr>
              <w:pStyle w:val="Tabletext"/>
            </w:pPr>
            <w:r w:rsidRPr="00C94C33">
              <w:t>161 (60.5)</w:t>
            </w:r>
          </w:p>
        </w:tc>
      </w:tr>
      <w:tr w:rsidR="00DF61BC" w:rsidRPr="00C94C33" w14:paraId="4C4A6B3A" w14:textId="77777777" w:rsidTr="00766E0D">
        <w:trPr>
          <w:trHeight w:hRule="exact" w:val="278"/>
        </w:trPr>
        <w:tc>
          <w:tcPr>
            <w:tcW w:w="5508" w:type="dxa"/>
            <w:tcBorders>
              <w:top w:val="single" w:sz="7" w:space="0" w:color="000000"/>
              <w:left w:val="single" w:sz="6" w:space="0" w:color="000000"/>
              <w:bottom w:val="single" w:sz="7" w:space="0" w:color="000000"/>
              <w:right w:val="single" w:sz="6" w:space="0" w:color="000000"/>
            </w:tcBorders>
          </w:tcPr>
          <w:p w14:paraId="1DF80F58" w14:textId="77777777" w:rsidR="00DF61BC" w:rsidRPr="00C94C33" w:rsidRDefault="00DF61BC" w:rsidP="00E40B26">
            <w:pPr>
              <w:pStyle w:val="Tabletext"/>
            </w:pPr>
            <w:r w:rsidRPr="00C94C33">
              <w:t>Rectal</w:t>
            </w:r>
          </w:p>
        </w:tc>
        <w:tc>
          <w:tcPr>
            <w:tcW w:w="2043" w:type="dxa"/>
            <w:tcBorders>
              <w:top w:val="single" w:sz="7" w:space="0" w:color="000000"/>
              <w:left w:val="single" w:sz="6" w:space="0" w:color="000000"/>
              <w:bottom w:val="single" w:sz="7" w:space="0" w:color="000000"/>
              <w:right w:val="single" w:sz="6" w:space="0" w:color="000000"/>
            </w:tcBorders>
          </w:tcPr>
          <w:p w14:paraId="50717564" w14:textId="77777777" w:rsidR="00DF61BC" w:rsidRPr="00C94C33" w:rsidRDefault="00DF61BC" w:rsidP="00E40B26">
            <w:pPr>
              <w:pStyle w:val="Tabletext"/>
            </w:pPr>
            <w:r w:rsidRPr="00C94C33">
              <w:t>196 (36.7)</w:t>
            </w:r>
          </w:p>
        </w:tc>
        <w:tc>
          <w:tcPr>
            <w:tcW w:w="1984" w:type="dxa"/>
            <w:tcBorders>
              <w:top w:val="single" w:sz="7" w:space="0" w:color="000000"/>
              <w:left w:val="single" w:sz="6" w:space="0" w:color="000000"/>
              <w:bottom w:val="single" w:sz="7" w:space="0" w:color="000000"/>
              <w:right w:val="single" w:sz="6" w:space="0" w:color="000000"/>
            </w:tcBorders>
          </w:tcPr>
          <w:p w14:paraId="2BB14FAD" w14:textId="77777777" w:rsidR="00DF61BC" w:rsidRPr="00C94C33" w:rsidRDefault="00DF61BC" w:rsidP="00E40B26">
            <w:pPr>
              <w:pStyle w:val="Tabletext"/>
            </w:pPr>
            <w:r w:rsidRPr="00C94C33">
              <w:t>105 (39.5)</w:t>
            </w:r>
          </w:p>
        </w:tc>
      </w:tr>
      <w:tr w:rsidR="00DF61BC" w:rsidRPr="00C94C33" w14:paraId="6ED5192B" w14:textId="77777777" w:rsidTr="00766E0D">
        <w:trPr>
          <w:trHeight w:hRule="exact" w:val="280"/>
        </w:trPr>
        <w:tc>
          <w:tcPr>
            <w:tcW w:w="5508" w:type="dxa"/>
            <w:tcBorders>
              <w:top w:val="single" w:sz="7" w:space="0" w:color="000000"/>
              <w:left w:val="single" w:sz="6" w:space="0" w:color="000000"/>
              <w:bottom w:val="single" w:sz="7" w:space="0" w:color="000000"/>
              <w:right w:val="single" w:sz="6" w:space="0" w:color="000000"/>
            </w:tcBorders>
          </w:tcPr>
          <w:p w14:paraId="5E005F91" w14:textId="77777777" w:rsidR="00DF61BC" w:rsidRPr="00C94C33" w:rsidRDefault="00DF61BC" w:rsidP="00E40B26">
            <w:pPr>
              <w:pStyle w:val="TableHeading"/>
            </w:pPr>
            <w:r w:rsidRPr="00C94C33">
              <w:t>Time from Initial</w:t>
            </w:r>
            <w:r w:rsidRPr="00C94C33">
              <w:rPr>
                <w:spacing w:val="-2"/>
              </w:rPr>
              <w:t xml:space="preserve"> </w:t>
            </w:r>
            <w:r w:rsidRPr="00C94C33">
              <w:t>Diagnosis</w:t>
            </w:r>
            <w:r w:rsidRPr="00C94C33">
              <w:rPr>
                <w:spacing w:val="-2"/>
              </w:rPr>
              <w:t xml:space="preserve"> </w:t>
            </w:r>
            <w:r w:rsidRPr="00C94C33">
              <w:t>to Randomisation (months)</w:t>
            </w:r>
          </w:p>
        </w:tc>
        <w:tc>
          <w:tcPr>
            <w:tcW w:w="2043" w:type="dxa"/>
            <w:tcBorders>
              <w:top w:val="single" w:sz="7" w:space="0" w:color="000000"/>
              <w:left w:val="single" w:sz="6" w:space="0" w:color="000000"/>
              <w:bottom w:val="single" w:sz="7" w:space="0" w:color="000000"/>
              <w:right w:val="single" w:sz="6" w:space="0" w:color="000000"/>
            </w:tcBorders>
          </w:tcPr>
          <w:p w14:paraId="4F5F332A" w14:textId="77777777" w:rsidR="00DF61BC" w:rsidRPr="00C94C33" w:rsidRDefault="00DF61BC" w:rsidP="00E40B26">
            <w:pPr>
              <w:pStyle w:val="TableHeading"/>
            </w:pPr>
          </w:p>
        </w:tc>
        <w:tc>
          <w:tcPr>
            <w:tcW w:w="1984" w:type="dxa"/>
            <w:tcBorders>
              <w:top w:val="single" w:sz="7" w:space="0" w:color="000000"/>
              <w:left w:val="single" w:sz="6" w:space="0" w:color="000000"/>
              <w:bottom w:val="single" w:sz="7" w:space="0" w:color="000000"/>
              <w:right w:val="single" w:sz="6" w:space="0" w:color="000000"/>
            </w:tcBorders>
          </w:tcPr>
          <w:p w14:paraId="123AA4E8" w14:textId="77777777" w:rsidR="00DF61BC" w:rsidRPr="00C94C33" w:rsidRDefault="00DF61BC" w:rsidP="00E40B26">
            <w:pPr>
              <w:pStyle w:val="TableHeading"/>
            </w:pPr>
          </w:p>
        </w:tc>
      </w:tr>
      <w:tr w:rsidR="00DF61BC" w:rsidRPr="00C94C33" w14:paraId="6DFB0568" w14:textId="77777777" w:rsidTr="00766E0D">
        <w:trPr>
          <w:trHeight w:hRule="exact" w:val="280"/>
        </w:trPr>
        <w:tc>
          <w:tcPr>
            <w:tcW w:w="5508" w:type="dxa"/>
            <w:tcBorders>
              <w:top w:val="single" w:sz="7" w:space="0" w:color="000000"/>
              <w:left w:val="single" w:sz="6" w:space="0" w:color="000000"/>
              <w:bottom w:val="single" w:sz="7" w:space="0" w:color="000000"/>
              <w:right w:val="single" w:sz="6" w:space="0" w:color="000000"/>
            </w:tcBorders>
          </w:tcPr>
          <w:p w14:paraId="00336C01" w14:textId="77777777" w:rsidR="00DF61BC" w:rsidRPr="00C94C33" w:rsidRDefault="00DF61BC" w:rsidP="00E40B26">
            <w:pPr>
              <w:pStyle w:val="Tabletext"/>
            </w:pPr>
            <w:r w:rsidRPr="00C94C33">
              <w:t>n</w:t>
            </w:r>
          </w:p>
        </w:tc>
        <w:tc>
          <w:tcPr>
            <w:tcW w:w="2043" w:type="dxa"/>
            <w:tcBorders>
              <w:top w:val="single" w:sz="7" w:space="0" w:color="000000"/>
              <w:left w:val="single" w:sz="6" w:space="0" w:color="000000"/>
              <w:bottom w:val="single" w:sz="7" w:space="0" w:color="000000"/>
              <w:right w:val="single" w:sz="6" w:space="0" w:color="000000"/>
            </w:tcBorders>
          </w:tcPr>
          <w:p w14:paraId="4FC30CB2" w14:textId="77777777" w:rsidR="00DF61BC" w:rsidRPr="00C94C33" w:rsidRDefault="00DF61BC" w:rsidP="00E40B26">
            <w:pPr>
              <w:pStyle w:val="Tabletext"/>
            </w:pPr>
            <w:r w:rsidRPr="00C94C33">
              <w:rPr>
                <w:spacing w:val="-1"/>
              </w:rPr>
              <w:t>533</w:t>
            </w:r>
          </w:p>
        </w:tc>
        <w:tc>
          <w:tcPr>
            <w:tcW w:w="1984" w:type="dxa"/>
            <w:tcBorders>
              <w:top w:val="single" w:sz="7" w:space="0" w:color="000000"/>
              <w:left w:val="single" w:sz="6" w:space="0" w:color="000000"/>
              <w:bottom w:val="single" w:sz="7" w:space="0" w:color="000000"/>
              <w:right w:val="single" w:sz="6" w:space="0" w:color="000000"/>
            </w:tcBorders>
          </w:tcPr>
          <w:p w14:paraId="08CAFA8F" w14:textId="77777777" w:rsidR="00DF61BC" w:rsidRPr="00C94C33" w:rsidRDefault="00DF61BC" w:rsidP="00E40B26">
            <w:pPr>
              <w:pStyle w:val="Tabletext"/>
            </w:pPr>
            <w:r w:rsidRPr="00C94C33">
              <w:rPr>
                <w:spacing w:val="-1"/>
              </w:rPr>
              <w:t>266</w:t>
            </w:r>
          </w:p>
        </w:tc>
      </w:tr>
      <w:tr w:rsidR="00DF61BC" w:rsidRPr="00C94C33" w14:paraId="519CA207" w14:textId="77777777" w:rsidTr="00766E0D">
        <w:trPr>
          <w:trHeight w:hRule="exact" w:val="280"/>
        </w:trPr>
        <w:tc>
          <w:tcPr>
            <w:tcW w:w="5508" w:type="dxa"/>
            <w:tcBorders>
              <w:top w:val="single" w:sz="7" w:space="0" w:color="000000"/>
              <w:left w:val="single" w:sz="6" w:space="0" w:color="000000"/>
              <w:bottom w:val="single" w:sz="7" w:space="0" w:color="000000"/>
              <w:right w:val="single" w:sz="6" w:space="0" w:color="000000"/>
            </w:tcBorders>
          </w:tcPr>
          <w:p w14:paraId="520B4F3B" w14:textId="77777777" w:rsidR="00DF61BC" w:rsidRPr="00C94C33" w:rsidRDefault="00DF61BC" w:rsidP="00E40B26">
            <w:pPr>
              <w:pStyle w:val="Tabletext"/>
            </w:pPr>
            <w:r w:rsidRPr="00C94C33">
              <w:rPr>
                <w:spacing w:val="-1"/>
              </w:rPr>
              <w:t>Mean</w:t>
            </w:r>
            <w:r w:rsidRPr="00C94C33">
              <w:t xml:space="preserve"> </w:t>
            </w:r>
            <w:r w:rsidRPr="00C94C33">
              <w:rPr>
                <w:spacing w:val="-1"/>
              </w:rPr>
              <w:t>(SD)</w:t>
            </w:r>
          </w:p>
        </w:tc>
        <w:tc>
          <w:tcPr>
            <w:tcW w:w="2043" w:type="dxa"/>
            <w:tcBorders>
              <w:top w:val="single" w:sz="7" w:space="0" w:color="000000"/>
              <w:left w:val="single" w:sz="6" w:space="0" w:color="000000"/>
              <w:bottom w:val="single" w:sz="7" w:space="0" w:color="000000"/>
              <w:right w:val="single" w:sz="6" w:space="0" w:color="000000"/>
            </w:tcBorders>
          </w:tcPr>
          <w:p w14:paraId="16EB6C5E" w14:textId="77777777" w:rsidR="00DF61BC" w:rsidRPr="00C94C33" w:rsidRDefault="00DF61BC" w:rsidP="00E40B26">
            <w:pPr>
              <w:pStyle w:val="Tabletext"/>
            </w:pPr>
            <w:r w:rsidRPr="00C94C33">
              <w:rPr>
                <w:spacing w:val="-1"/>
              </w:rPr>
              <w:t>44.1 (29.32)</w:t>
            </w:r>
          </w:p>
        </w:tc>
        <w:tc>
          <w:tcPr>
            <w:tcW w:w="1984" w:type="dxa"/>
            <w:tcBorders>
              <w:top w:val="single" w:sz="7" w:space="0" w:color="000000"/>
              <w:left w:val="single" w:sz="6" w:space="0" w:color="000000"/>
              <w:bottom w:val="single" w:sz="7" w:space="0" w:color="000000"/>
              <w:right w:val="single" w:sz="6" w:space="0" w:color="000000"/>
            </w:tcBorders>
          </w:tcPr>
          <w:p w14:paraId="60A91522" w14:textId="77777777" w:rsidR="00DF61BC" w:rsidRPr="00C94C33" w:rsidRDefault="00DF61BC" w:rsidP="00E40B26">
            <w:pPr>
              <w:pStyle w:val="Tabletext"/>
            </w:pPr>
            <w:r w:rsidRPr="00C94C33">
              <w:rPr>
                <w:spacing w:val="-1"/>
              </w:rPr>
              <w:t>45.5 (28.28)</w:t>
            </w:r>
          </w:p>
        </w:tc>
      </w:tr>
      <w:tr w:rsidR="00DF61BC" w:rsidRPr="00C94C33" w14:paraId="7767CF43" w14:textId="77777777" w:rsidTr="00766E0D">
        <w:trPr>
          <w:trHeight w:hRule="exact" w:val="280"/>
        </w:trPr>
        <w:tc>
          <w:tcPr>
            <w:tcW w:w="5508" w:type="dxa"/>
            <w:tcBorders>
              <w:top w:val="single" w:sz="7" w:space="0" w:color="000000"/>
              <w:left w:val="single" w:sz="6" w:space="0" w:color="000000"/>
              <w:bottom w:val="single" w:sz="7" w:space="0" w:color="000000"/>
              <w:right w:val="single" w:sz="6" w:space="0" w:color="000000"/>
            </w:tcBorders>
          </w:tcPr>
          <w:p w14:paraId="0100B6DF" w14:textId="77777777" w:rsidR="00DF61BC" w:rsidRPr="00C94C33" w:rsidRDefault="00DF61BC" w:rsidP="00E40B26">
            <w:pPr>
              <w:pStyle w:val="Tabletext"/>
            </w:pPr>
            <w:r w:rsidRPr="00C94C33">
              <w:rPr>
                <w:spacing w:val="-1"/>
              </w:rPr>
              <w:t>Median</w:t>
            </w:r>
          </w:p>
        </w:tc>
        <w:tc>
          <w:tcPr>
            <w:tcW w:w="2043" w:type="dxa"/>
            <w:tcBorders>
              <w:top w:val="single" w:sz="7" w:space="0" w:color="000000"/>
              <w:left w:val="single" w:sz="6" w:space="0" w:color="000000"/>
              <w:bottom w:val="single" w:sz="7" w:space="0" w:color="000000"/>
              <w:right w:val="single" w:sz="6" w:space="0" w:color="000000"/>
            </w:tcBorders>
          </w:tcPr>
          <w:p w14:paraId="137431B3" w14:textId="77777777" w:rsidR="00DF61BC" w:rsidRPr="00C94C33" w:rsidRDefault="00DF61BC" w:rsidP="00E40B26">
            <w:pPr>
              <w:pStyle w:val="Tabletext"/>
            </w:pPr>
            <w:r w:rsidRPr="00C94C33">
              <w:rPr>
                <w:spacing w:val="-1"/>
              </w:rPr>
              <w:t>36.0</w:t>
            </w:r>
          </w:p>
        </w:tc>
        <w:tc>
          <w:tcPr>
            <w:tcW w:w="1984" w:type="dxa"/>
            <w:tcBorders>
              <w:top w:val="single" w:sz="7" w:space="0" w:color="000000"/>
              <w:left w:val="single" w:sz="6" w:space="0" w:color="000000"/>
              <w:bottom w:val="single" w:sz="7" w:space="0" w:color="000000"/>
              <w:right w:val="single" w:sz="6" w:space="0" w:color="000000"/>
            </w:tcBorders>
          </w:tcPr>
          <w:p w14:paraId="6BA36BB4" w14:textId="77777777" w:rsidR="00DF61BC" w:rsidRPr="00C94C33" w:rsidRDefault="00DF61BC" w:rsidP="00E40B26">
            <w:pPr>
              <w:pStyle w:val="Tabletext"/>
            </w:pPr>
            <w:r w:rsidRPr="00C94C33">
              <w:rPr>
                <w:spacing w:val="-1"/>
              </w:rPr>
              <w:t>39.0</w:t>
            </w:r>
          </w:p>
        </w:tc>
      </w:tr>
      <w:tr w:rsidR="00DF61BC" w:rsidRPr="00C94C33" w14:paraId="7D416F8B" w14:textId="77777777" w:rsidTr="00766E0D">
        <w:trPr>
          <w:trHeight w:hRule="exact" w:val="280"/>
        </w:trPr>
        <w:tc>
          <w:tcPr>
            <w:tcW w:w="5508" w:type="dxa"/>
            <w:tcBorders>
              <w:top w:val="single" w:sz="7" w:space="0" w:color="000000"/>
              <w:left w:val="single" w:sz="6" w:space="0" w:color="000000"/>
              <w:bottom w:val="single" w:sz="7" w:space="0" w:color="000000"/>
              <w:right w:val="single" w:sz="6" w:space="0" w:color="000000"/>
            </w:tcBorders>
          </w:tcPr>
          <w:p w14:paraId="6487311A" w14:textId="77777777" w:rsidR="00DF61BC" w:rsidRPr="00C94C33" w:rsidRDefault="00DF61BC" w:rsidP="00E40B26">
            <w:pPr>
              <w:pStyle w:val="Tabletext"/>
            </w:pPr>
            <w:r w:rsidRPr="00C94C33">
              <w:rPr>
                <w:spacing w:val="-1"/>
              </w:rPr>
              <w:t>Min,</w:t>
            </w:r>
            <w:r w:rsidRPr="00C94C33">
              <w:t xml:space="preserve"> </w:t>
            </w:r>
            <w:r w:rsidRPr="00C94C33">
              <w:rPr>
                <w:spacing w:val="-1"/>
              </w:rPr>
              <w:t>Max</w:t>
            </w:r>
          </w:p>
        </w:tc>
        <w:tc>
          <w:tcPr>
            <w:tcW w:w="2043" w:type="dxa"/>
            <w:tcBorders>
              <w:top w:val="single" w:sz="7" w:space="0" w:color="000000"/>
              <w:left w:val="single" w:sz="6" w:space="0" w:color="000000"/>
              <w:bottom w:val="single" w:sz="7" w:space="0" w:color="000000"/>
              <w:right w:val="single" w:sz="6" w:space="0" w:color="000000"/>
            </w:tcBorders>
          </w:tcPr>
          <w:p w14:paraId="3173A4B6" w14:textId="77777777" w:rsidR="00DF61BC" w:rsidRPr="00C94C33" w:rsidRDefault="00DF61BC" w:rsidP="00E40B26">
            <w:pPr>
              <w:pStyle w:val="Tabletext"/>
            </w:pPr>
            <w:r w:rsidRPr="00C94C33">
              <w:t>8,</w:t>
            </w:r>
            <w:r w:rsidRPr="00C94C33">
              <w:rPr>
                <w:spacing w:val="-1"/>
              </w:rPr>
              <w:t xml:space="preserve"> 184</w:t>
            </w:r>
          </w:p>
        </w:tc>
        <w:tc>
          <w:tcPr>
            <w:tcW w:w="1984" w:type="dxa"/>
            <w:tcBorders>
              <w:top w:val="single" w:sz="7" w:space="0" w:color="000000"/>
              <w:left w:val="single" w:sz="6" w:space="0" w:color="000000"/>
              <w:bottom w:val="single" w:sz="7" w:space="0" w:color="000000"/>
              <w:right w:val="single" w:sz="6" w:space="0" w:color="000000"/>
            </w:tcBorders>
          </w:tcPr>
          <w:p w14:paraId="3C82B408" w14:textId="77777777" w:rsidR="00DF61BC" w:rsidRPr="00C94C33" w:rsidRDefault="00DF61BC" w:rsidP="00E40B26">
            <w:pPr>
              <w:pStyle w:val="Tabletext"/>
            </w:pPr>
            <w:r w:rsidRPr="00C94C33">
              <w:t>8,</w:t>
            </w:r>
            <w:r w:rsidRPr="00C94C33">
              <w:rPr>
                <w:spacing w:val="-1"/>
              </w:rPr>
              <w:t xml:space="preserve"> 170</w:t>
            </w:r>
          </w:p>
        </w:tc>
      </w:tr>
      <w:tr w:rsidR="00DF61BC" w:rsidRPr="00C94C33" w14:paraId="08FD91AA" w14:textId="77777777" w:rsidTr="00766E0D">
        <w:trPr>
          <w:trHeight w:hRule="exact" w:val="280"/>
        </w:trPr>
        <w:tc>
          <w:tcPr>
            <w:tcW w:w="5508" w:type="dxa"/>
            <w:tcBorders>
              <w:top w:val="single" w:sz="7" w:space="0" w:color="000000"/>
              <w:left w:val="single" w:sz="6" w:space="0" w:color="000000"/>
              <w:bottom w:val="single" w:sz="7" w:space="0" w:color="000000"/>
              <w:right w:val="single" w:sz="6" w:space="0" w:color="000000"/>
            </w:tcBorders>
          </w:tcPr>
          <w:p w14:paraId="52612321" w14:textId="77777777" w:rsidR="00DF61BC" w:rsidRPr="00C94C33" w:rsidRDefault="00DF61BC" w:rsidP="00E40B26">
            <w:pPr>
              <w:pStyle w:val="TableHeading"/>
            </w:pPr>
            <w:r w:rsidRPr="00C94C33">
              <w:t>Time from</w:t>
            </w:r>
            <w:r w:rsidRPr="00C94C33">
              <w:rPr>
                <w:spacing w:val="-2"/>
              </w:rPr>
              <w:t xml:space="preserve"> </w:t>
            </w:r>
            <w:r w:rsidRPr="00C94C33">
              <w:t>Confirmed Metastasis to Randomisation (months)</w:t>
            </w:r>
          </w:p>
        </w:tc>
        <w:tc>
          <w:tcPr>
            <w:tcW w:w="2043" w:type="dxa"/>
            <w:tcBorders>
              <w:top w:val="single" w:sz="7" w:space="0" w:color="000000"/>
              <w:left w:val="single" w:sz="6" w:space="0" w:color="000000"/>
              <w:bottom w:val="single" w:sz="7" w:space="0" w:color="000000"/>
              <w:right w:val="single" w:sz="6" w:space="0" w:color="000000"/>
            </w:tcBorders>
          </w:tcPr>
          <w:p w14:paraId="738D77BC" w14:textId="77777777" w:rsidR="00DF61BC" w:rsidRPr="00C94C33" w:rsidRDefault="00DF61BC" w:rsidP="00E40B26">
            <w:pPr>
              <w:pStyle w:val="TableHeading"/>
            </w:pPr>
          </w:p>
        </w:tc>
        <w:tc>
          <w:tcPr>
            <w:tcW w:w="1984" w:type="dxa"/>
            <w:tcBorders>
              <w:top w:val="single" w:sz="7" w:space="0" w:color="000000"/>
              <w:left w:val="single" w:sz="6" w:space="0" w:color="000000"/>
              <w:bottom w:val="single" w:sz="7" w:space="0" w:color="000000"/>
              <w:right w:val="single" w:sz="6" w:space="0" w:color="000000"/>
            </w:tcBorders>
          </w:tcPr>
          <w:p w14:paraId="153763D5" w14:textId="77777777" w:rsidR="00DF61BC" w:rsidRPr="00C94C33" w:rsidRDefault="00DF61BC" w:rsidP="00E40B26">
            <w:pPr>
              <w:pStyle w:val="TableHeading"/>
            </w:pPr>
          </w:p>
        </w:tc>
      </w:tr>
      <w:tr w:rsidR="00DF61BC" w:rsidRPr="00C94C33" w14:paraId="3C57BDD5" w14:textId="77777777" w:rsidTr="00766E0D">
        <w:trPr>
          <w:trHeight w:hRule="exact" w:val="280"/>
        </w:trPr>
        <w:tc>
          <w:tcPr>
            <w:tcW w:w="5508" w:type="dxa"/>
            <w:tcBorders>
              <w:top w:val="single" w:sz="7" w:space="0" w:color="000000"/>
              <w:left w:val="single" w:sz="6" w:space="0" w:color="000000"/>
              <w:bottom w:val="single" w:sz="7" w:space="0" w:color="000000"/>
              <w:right w:val="single" w:sz="6" w:space="0" w:color="000000"/>
            </w:tcBorders>
          </w:tcPr>
          <w:p w14:paraId="02C9CB7A" w14:textId="77777777" w:rsidR="00DF61BC" w:rsidRPr="00C94C33" w:rsidRDefault="00DF61BC" w:rsidP="00E40B26">
            <w:pPr>
              <w:pStyle w:val="Tabletext"/>
            </w:pPr>
            <w:r w:rsidRPr="00C94C33">
              <w:t>n</w:t>
            </w:r>
          </w:p>
        </w:tc>
        <w:tc>
          <w:tcPr>
            <w:tcW w:w="2043" w:type="dxa"/>
            <w:tcBorders>
              <w:top w:val="single" w:sz="7" w:space="0" w:color="000000"/>
              <w:left w:val="single" w:sz="6" w:space="0" w:color="000000"/>
              <w:bottom w:val="single" w:sz="7" w:space="0" w:color="000000"/>
              <w:right w:val="single" w:sz="6" w:space="0" w:color="000000"/>
            </w:tcBorders>
          </w:tcPr>
          <w:p w14:paraId="128FBAF3" w14:textId="77777777" w:rsidR="00DF61BC" w:rsidRPr="00C94C33" w:rsidRDefault="00DF61BC" w:rsidP="00E40B26">
            <w:pPr>
              <w:pStyle w:val="Tabletext"/>
            </w:pPr>
            <w:r w:rsidRPr="00C94C33">
              <w:rPr>
                <w:spacing w:val="-1"/>
              </w:rPr>
              <w:t>534</w:t>
            </w:r>
          </w:p>
        </w:tc>
        <w:tc>
          <w:tcPr>
            <w:tcW w:w="1984" w:type="dxa"/>
            <w:tcBorders>
              <w:top w:val="single" w:sz="7" w:space="0" w:color="000000"/>
              <w:left w:val="single" w:sz="6" w:space="0" w:color="000000"/>
              <w:bottom w:val="single" w:sz="7" w:space="0" w:color="000000"/>
              <w:right w:val="single" w:sz="6" w:space="0" w:color="000000"/>
            </w:tcBorders>
          </w:tcPr>
          <w:p w14:paraId="2F03B587" w14:textId="77777777" w:rsidR="00DF61BC" w:rsidRPr="00C94C33" w:rsidRDefault="00DF61BC" w:rsidP="00E40B26">
            <w:pPr>
              <w:pStyle w:val="Tabletext"/>
            </w:pPr>
            <w:r w:rsidRPr="00C94C33">
              <w:rPr>
                <w:spacing w:val="-1"/>
              </w:rPr>
              <w:t>266</w:t>
            </w:r>
          </w:p>
        </w:tc>
      </w:tr>
      <w:tr w:rsidR="00DF61BC" w:rsidRPr="00C94C33" w14:paraId="48A9CCC2" w14:textId="77777777" w:rsidTr="00766E0D">
        <w:trPr>
          <w:trHeight w:hRule="exact" w:val="280"/>
        </w:trPr>
        <w:tc>
          <w:tcPr>
            <w:tcW w:w="5508" w:type="dxa"/>
            <w:tcBorders>
              <w:top w:val="single" w:sz="7" w:space="0" w:color="000000"/>
              <w:left w:val="single" w:sz="6" w:space="0" w:color="000000"/>
              <w:bottom w:val="single" w:sz="7" w:space="0" w:color="000000"/>
              <w:right w:val="single" w:sz="6" w:space="0" w:color="000000"/>
            </w:tcBorders>
          </w:tcPr>
          <w:p w14:paraId="0D1A5A4A" w14:textId="77777777" w:rsidR="00DF61BC" w:rsidRPr="00C94C33" w:rsidRDefault="00DF61BC" w:rsidP="00E40B26">
            <w:pPr>
              <w:pStyle w:val="Tabletext"/>
            </w:pPr>
            <w:r w:rsidRPr="00C94C33">
              <w:rPr>
                <w:spacing w:val="-1"/>
              </w:rPr>
              <w:t>Mean</w:t>
            </w:r>
            <w:r w:rsidRPr="00C94C33">
              <w:t xml:space="preserve"> </w:t>
            </w:r>
            <w:r w:rsidRPr="00C94C33">
              <w:rPr>
                <w:spacing w:val="-1"/>
              </w:rPr>
              <w:t>(SD)</w:t>
            </w:r>
          </w:p>
        </w:tc>
        <w:tc>
          <w:tcPr>
            <w:tcW w:w="2043" w:type="dxa"/>
            <w:tcBorders>
              <w:top w:val="single" w:sz="7" w:space="0" w:color="000000"/>
              <w:left w:val="single" w:sz="6" w:space="0" w:color="000000"/>
              <w:bottom w:val="single" w:sz="7" w:space="0" w:color="000000"/>
              <w:right w:val="single" w:sz="6" w:space="0" w:color="000000"/>
            </w:tcBorders>
          </w:tcPr>
          <w:p w14:paraId="47068E6B" w14:textId="77777777" w:rsidR="00DF61BC" w:rsidRPr="00C94C33" w:rsidRDefault="00DF61BC" w:rsidP="00E40B26">
            <w:pPr>
              <w:pStyle w:val="Tabletext"/>
            </w:pPr>
            <w:r w:rsidRPr="00C94C33">
              <w:rPr>
                <w:spacing w:val="-1"/>
              </w:rPr>
              <w:t>36.0 (22.16)</w:t>
            </w:r>
          </w:p>
        </w:tc>
        <w:tc>
          <w:tcPr>
            <w:tcW w:w="1984" w:type="dxa"/>
            <w:tcBorders>
              <w:top w:val="single" w:sz="7" w:space="0" w:color="000000"/>
              <w:left w:val="single" w:sz="6" w:space="0" w:color="000000"/>
              <w:bottom w:val="single" w:sz="7" w:space="0" w:color="000000"/>
              <w:right w:val="single" w:sz="6" w:space="0" w:color="000000"/>
            </w:tcBorders>
          </w:tcPr>
          <w:p w14:paraId="619267ED" w14:textId="77777777" w:rsidR="00DF61BC" w:rsidRPr="00C94C33" w:rsidRDefault="00DF61BC" w:rsidP="00E40B26">
            <w:pPr>
              <w:pStyle w:val="Tabletext"/>
            </w:pPr>
            <w:r w:rsidRPr="00C94C33">
              <w:rPr>
                <w:spacing w:val="-1"/>
              </w:rPr>
              <w:t>37.3 (21.83)</w:t>
            </w:r>
          </w:p>
        </w:tc>
      </w:tr>
      <w:tr w:rsidR="00DF61BC" w:rsidRPr="00C94C33" w14:paraId="2AD4D275" w14:textId="77777777" w:rsidTr="00766E0D">
        <w:trPr>
          <w:trHeight w:hRule="exact" w:val="278"/>
        </w:trPr>
        <w:tc>
          <w:tcPr>
            <w:tcW w:w="5508" w:type="dxa"/>
            <w:tcBorders>
              <w:top w:val="single" w:sz="7" w:space="0" w:color="000000"/>
              <w:left w:val="single" w:sz="6" w:space="0" w:color="000000"/>
              <w:bottom w:val="single" w:sz="7" w:space="0" w:color="000000"/>
              <w:right w:val="single" w:sz="6" w:space="0" w:color="000000"/>
            </w:tcBorders>
          </w:tcPr>
          <w:p w14:paraId="35210A44" w14:textId="77777777" w:rsidR="00DF61BC" w:rsidRPr="00C94C33" w:rsidRDefault="00DF61BC" w:rsidP="00E40B26">
            <w:pPr>
              <w:pStyle w:val="Tabletext"/>
            </w:pPr>
            <w:r w:rsidRPr="00C94C33">
              <w:rPr>
                <w:spacing w:val="-1"/>
              </w:rPr>
              <w:t>Median</w:t>
            </w:r>
          </w:p>
        </w:tc>
        <w:tc>
          <w:tcPr>
            <w:tcW w:w="2043" w:type="dxa"/>
            <w:tcBorders>
              <w:top w:val="single" w:sz="7" w:space="0" w:color="000000"/>
              <w:left w:val="single" w:sz="6" w:space="0" w:color="000000"/>
              <w:bottom w:val="single" w:sz="7" w:space="0" w:color="000000"/>
              <w:right w:val="single" w:sz="6" w:space="0" w:color="000000"/>
            </w:tcBorders>
          </w:tcPr>
          <w:p w14:paraId="4F9399BC" w14:textId="77777777" w:rsidR="00DF61BC" w:rsidRPr="00C94C33" w:rsidRDefault="00DF61BC" w:rsidP="00E40B26">
            <w:pPr>
              <w:pStyle w:val="Tabletext"/>
            </w:pPr>
            <w:r w:rsidRPr="00C94C33">
              <w:rPr>
                <w:spacing w:val="-1"/>
              </w:rPr>
              <w:t>31.0</w:t>
            </w:r>
          </w:p>
        </w:tc>
        <w:tc>
          <w:tcPr>
            <w:tcW w:w="1984" w:type="dxa"/>
            <w:tcBorders>
              <w:top w:val="single" w:sz="7" w:space="0" w:color="000000"/>
              <w:left w:val="single" w:sz="6" w:space="0" w:color="000000"/>
              <w:bottom w:val="single" w:sz="7" w:space="0" w:color="000000"/>
              <w:right w:val="single" w:sz="6" w:space="0" w:color="000000"/>
            </w:tcBorders>
          </w:tcPr>
          <w:p w14:paraId="6C7DA2A0" w14:textId="77777777" w:rsidR="00DF61BC" w:rsidRPr="00C94C33" w:rsidRDefault="00DF61BC" w:rsidP="00E40B26">
            <w:pPr>
              <w:pStyle w:val="Tabletext"/>
            </w:pPr>
            <w:r w:rsidRPr="00C94C33">
              <w:rPr>
                <w:spacing w:val="-1"/>
              </w:rPr>
              <w:t>32.0</w:t>
            </w:r>
          </w:p>
        </w:tc>
      </w:tr>
      <w:tr w:rsidR="00DF61BC" w:rsidRPr="00C94C33" w14:paraId="2EE70B75" w14:textId="77777777" w:rsidTr="00766E0D">
        <w:trPr>
          <w:trHeight w:hRule="exact" w:val="279"/>
        </w:trPr>
        <w:tc>
          <w:tcPr>
            <w:tcW w:w="5508" w:type="dxa"/>
            <w:tcBorders>
              <w:top w:val="single" w:sz="7" w:space="0" w:color="000000"/>
              <w:left w:val="single" w:sz="6" w:space="0" w:color="000000"/>
              <w:bottom w:val="single" w:sz="6" w:space="0" w:color="000000"/>
              <w:right w:val="single" w:sz="6" w:space="0" w:color="000000"/>
            </w:tcBorders>
          </w:tcPr>
          <w:p w14:paraId="419A8F92" w14:textId="77777777" w:rsidR="00DF61BC" w:rsidRPr="00C94C33" w:rsidRDefault="00DF61BC" w:rsidP="00E40B26">
            <w:pPr>
              <w:pStyle w:val="Tabletext"/>
            </w:pPr>
            <w:r w:rsidRPr="00C94C33">
              <w:rPr>
                <w:spacing w:val="-1"/>
              </w:rPr>
              <w:t>Min,</w:t>
            </w:r>
            <w:r w:rsidRPr="00C94C33">
              <w:t xml:space="preserve"> </w:t>
            </w:r>
            <w:r w:rsidRPr="00C94C33">
              <w:rPr>
                <w:spacing w:val="-1"/>
              </w:rPr>
              <w:t>Max</w:t>
            </w:r>
          </w:p>
        </w:tc>
        <w:tc>
          <w:tcPr>
            <w:tcW w:w="2043" w:type="dxa"/>
            <w:tcBorders>
              <w:top w:val="single" w:sz="7" w:space="0" w:color="000000"/>
              <w:left w:val="single" w:sz="6" w:space="0" w:color="000000"/>
              <w:bottom w:val="single" w:sz="6" w:space="0" w:color="000000"/>
              <w:right w:val="single" w:sz="6" w:space="0" w:color="000000"/>
            </w:tcBorders>
          </w:tcPr>
          <w:p w14:paraId="6182AF4D" w14:textId="77777777" w:rsidR="00DF61BC" w:rsidRPr="00C94C33" w:rsidRDefault="00DF61BC" w:rsidP="00E40B26">
            <w:pPr>
              <w:pStyle w:val="Tabletext"/>
            </w:pPr>
            <w:r w:rsidRPr="00C94C33">
              <w:t>5,</w:t>
            </w:r>
            <w:r w:rsidRPr="00C94C33">
              <w:rPr>
                <w:spacing w:val="-1"/>
              </w:rPr>
              <w:t xml:space="preserve"> 172</w:t>
            </w:r>
          </w:p>
        </w:tc>
        <w:tc>
          <w:tcPr>
            <w:tcW w:w="1984" w:type="dxa"/>
            <w:tcBorders>
              <w:top w:val="single" w:sz="7" w:space="0" w:color="000000"/>
              <w:left w:val="single" w:sz="6" w:space="0" w:color="000000"/>
              <w:bottom w:val="single" w:sz="6" w:space="0" w:color="000000"/>
              <w:right w:val="single" w:sz="6" w:space="0" w:color="000000"/>
            </w:tcBorders>
          </w:tcPr>
          <w:p w14:paraId="6D8BFFF3" w14:textId="77777777" w:rsidR="00DF61BC" w:rsidRPr="00C94C33" w:rsidRDefault="00DF61BC" w:rsidP="00E40B26">
            <w:pPr>
              <w:pStyle w:val="Tabletext"/>
            </w:pPr>
            <w:r w:rsidRPr="00C94C33">
              <w:t>8,</w:t>
            </w:r>
            <w:r w:rsidRPr="00C94C33">
              <w:rPr>
                <w:spacing w:val="-1"/>
              </w:rPr>
              <w:t xml:space="preserve"> 154</w:t>
            </w:r>
          </w:p>
        </w:tc>
      </w:tr>
    </w:tbl>
    <w:p w14:paraId="70AF5CD8" w14:textId="77777777"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The two treatment arms were comparable with respect</w:t>
      </w:r>
      <w:r w:rsidR="008A1C03" w:rsidRPr="00C94C33">
        <w:rPr>
          <w:rFonts w:asciiTheme="minorHAnsi" w:hAnsiTheme="minorHAnsi"/>
        </w:rPr>
        <w:t xml:space="preserve"> to prior cancer therapies</w:t>
      </w:r>
      <w:r w:rsidRPr="00C94C33">
        <w:rPr>
          <w:rFonts w:asciiTheme="minorHAnsi" w:hAnsiTheme="minorHAnsi"/>
        </w:rPr>
        <w:t>. Approximately 77% of all patients in the ITT population had undergone resection of the primary tumour, and approximately 26% had undergone prior radiotherapy. All patients had received prior systemic cancer therapy for treatment of metastatic disease.</w:t>
      </w:r>
      <w:r w:rsidRPr="00C94C33">
        <w:rPr>
          <w:rFonts w:asciiTheme="minorHAnsi" w:hAnsiTheme="minorHAnsi"/>
          <w:color w:val="000000"/>
        </w:rPr>
        <w:t xml:space="preserve"> All patients had received prior treatment with fluoropyrimidine, oxaliplatin, and irinotecan based chemotherapy, and all but 1 patient had received bevacizumab. Eighteen percent (18%) of patients had also received regorafenib. All but 2 patients with KRAS wild-type tumours had received panitumumab or cetuximab. The majority of patients (61%) had received </w:t>
      </w:r>
      <w:r w:rsidRPr="00C94C33">
        <w:rPr>
          <w:rFonts w:asciiTheme="minorHAnsi" w:hAnsiTheme="minorHAnsi" w:cs="TimesNewRomanPSMT"/>
          <w:color w:val="000000"/>
        </w:rPr>
        <w:t xml:space="preserve">≥ </w:t>
      </w:r>
      <w:r w:rsidRPr="00C94C33">
        <w:rPr>
          <w:rFonts w:asciiTheme="minorHAnsi" w:hAnsiTheme="minorHAnsi"/>
          <w:color w:val="000000"/>
        </w:rPr>
        <w:t>4 prior systemic cancer therapies.</w:t>
      </w:r>
    </w:p>
    <w:p w14:paraId="1289C667" w14:textId="50948555"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Of the 800 patients in the total ITT population, 60.6% (</w:t>
      </w:r>
      <w:r w:rsidR="009C0389" w:rsidRPr="00C94C33">
        <w:rPr>
          <w:rFonts w:asciiTheme="minorHAnsi" w:hAnsiTheme="minorHAnsi"/>
        </w:rPr>
        <w:t xml:space="preserve">n = </w:t>
      </w:r>
      <w:r w:rsidRPr="00C94C33">
        <w:rPr>
          <w:rFonts w:asciiTheme="minorHAnsi" w:hAnsiTheme="minorHAnsi"/>
        </w:rPr>
        <w:t xml:space="preserve">485) had received a fluoropyrimidine containing regimen as their last regimen prior to randomisation (61.6% </w:t>
      </w:r>
      <w:r w:rsidR="00A0007E" w:rsidRPr="00C94C33">
        <w:rPr>
          <w:rFonts w:asciiTheme="minorHAnsi" w:hAnsiTheme="minorHAnsi"/>
        </w:rPr>
        <w:t>(</w:t>
      </w:r>
      <w:r w:rsidR="009C0389" w:rsidRPr="00C94C33">
        <w:rPr>
          <w:rFonts w:asciiTheme="minorHAnsi" w:hAnsiTheme="minorHAnsi"/>
        </w:rPr>
        <w:t xml:space="preserve">n = </w:t>
      </w:r>
      <w:r w:rsidRPr="00C94C33">
        <w:rPr>
          <w:rFonts w:asciiTheme="minorHAnsi" w:hAnsiTheme="minorHAnsi"/>
        </w:rPr>
        <w:t>329</w:t>
      </w:r>
      <w:r w:rsidR="00A0007E" w:rsidRPr="00C94C33">
        <w:rPr>
          <w:rFonts w:asciiTheme="minorHAnsi" w:hAnsiTheme="minorHAnsi"/>
        </w:rPr>
        <w:t>)</w:t>
      </w:r>
      <w:r w:rsidRPr="00C94C33">
        <w:rPr>
          <w:rFonts w:asciiTheme="minorHAnsi" w:hAnsiTheme="minorHAnsi"/>
        </w:rPr>
        <w:t xml:space="preserve"> TAS-102; 58.6% </w:t>
      </w:r>
      <w:r w:rsidR="00A0007E" w:rsidRPr="00C94C33">
        <w:rPr>
          <w:rFonts w:asciiTheme="minorHAnsi" w:hAnsiTheme="minorHAnsi"/>
        </w:rPr>
        <w:t>(</w:t>
      </w:r>
      <w:r w:rsidR="009C0389" w:rsidRPr="00C94C33">
        <w:rPr>
          <w:rFonts w:asciiTheme="minorHAnsi" w:hAnsiTheme="minorHAnsi"/>
        </w:rPr>
        <w:t xml:space="preserve">n = </w:t>
      </w:r>
      <w:r w:rsidRPr="00C94C33">
        <w:rPr>
          <w:rFonts w:asciiTheme="minorHAnsi" w:hAnsiTheme="minorHAnsi"/>
        </w:rPr>
        <w:t>156</w:t>
      </w:r>
      <w:r w:rsidR="00A0007E" w:rsidRPr="00C94C33">
        <w:rPr>
          <w:rFonts w:asciiTheme="minorHAnsi" w:hAnsiTheme="minorHAnsi"/>
        </w:rPr>
        <w:t>)</w:t>
      </w:r>
      <w:r w:rsidRPr="00C94C33">
        <w:rPr>
          <w:rFonts w:asciiTheme="minorHAnsi" w:hAnsiTheme="minorHAnsi"/>
        </w:rPr>
        <w:t xml:space="preserve"> placebo). The proportion of patients in the two treatment arms refractory to the last </w:t>
      </w:r>
      <w:r w:rsidRPr="00C94C33">
        <w:rPr>
          <w:rFonts w:asciiTheme="minorHAnsi" w:hAnsiTheme="minorHAnsi"/>
        </w:rPr>
        <w:lastRenderedPageBreak/>
        <w:t>prior regimen containing fluoropyrimidine was 94.5% (</w:t>
      </w:r>
      <w:r w:rsidR="009C0389" w:rsidRPr="00C94C33">
        <w:rPr>
          <w:rFonts w:asciiTheme="minorHAnsi" w:hAnsiTheme="minorHAnsi"/>
        </w:rPr>
        <w:t xml:space="preserve">n = </w:t>
      </w:r>
      <w:r w:rsidRPr="00C94C33">
        <w:rPr>
          <w:rFonts w:asciiTheme="minorHAnsi" w:hAnsiTheme="minorHAnsi"/>
        </w:rPr>
        <w:t>311) in the TAS-102 arm and 92.3% (</w:t>
      </w:r>
      <w:r w:rsidR="00D67E9B">
        <w:rPr>
          <w:rFonts w:asciiTheme="minorHAnsi" w:hAnsiTheme="minorHAnsi"/>
        </w:rPr>
        <w:t>n </w:t>
      </w:r>
      <w:r w:rsidR="009C0389" w:rsidRPr="00C94C33">
        <w:rPr>
          <w:rFonts w:asciiTheme="minorHAnsi" w:hAnsiTheme="minorHAnsi"/>
        </w:rPr>
        <w:t xml:space="preserve">= </w:t>
      </w:r>
      <w:r w:rsidRPr="00C94C33">
        <w:rPr>
          <w:rFonts w:asciiTheme="minorHAnsi" w:hAnsiTheme="minorHAnsi"/>
        </w:rPr>
        <w:t>144) in the placebo arm. The response to the last fluoropyrimidine regimen prior t</w:t>
      </w:r>
      <w:r w:rsidR="008A1C03" w:rsidRPr="00C94C33">
        <w:rPr>
          <w:rFonts w:asciiTheme="minorHAnsi" w:hAnsiTheme="minorHAnsi"/>
        </w:rPr>
        <w:t>o randomisation is summarised</w:t>
      </w:r>
      <w:r w:rsidR="00AB5FC5">
        <w:rPr>
          <w:rFonts w:asciiTheme="minorHAnsi" w:hAnsiTheme="minorHAnsi"/>
        </w:rPr>
        <w:t>.</w:t>
      </w:r>
    </w:p>
    <w:p w14:paraId="4A8D21AD" w14:textId="671A9D47"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The two treatment arms were similar with respect to the number and sites of target and non-</w:t>
      </w:r>
      <w:r w:rsidR="008A1C03" w:rsidRPr="00C94C33">
        <w:rPr>
          <w:rFonts w:asciiTheme="minorHAnsi" w:hAnsiTheme="minorHAnsi"/>
        </w:rPr>
        <w:t>target lesions at baseline</w:t>
      </w:r>
      <w:r w:rsidRPr="00C94C33">
        <w:rPr>
          <w:rFonts w:asciiTheme="minorHAnsi" w:hAnsiTheme="minorHAnsi"/>
        </w:rPr>
        <w:t>. The mean (median) number of target lesions was 4.7 (2.04) in the TAS-102 arm and 4.9 (2.07) in the placebo arm. The most common target/non-target lesions we</w:t>
      </w:r>
      <w:r w:rsidR="00AB5FC5">
        <w:rPr>
          <w:rFonts w:asciiTheme="minorHAnsi" w:hAnsiTheme="minorHAnsi"/>
        </w:rPr>
        <w:t>re liver, lung and lymph nodes.</w:t>
      </w:r>
    </w:p>
    <w:p w14:paraId="2351D5E5" w14:textId="1FAABACB"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 xml:space="preserve">The proportion of patients with existing signs and symptoms by CTC grade was similar in the two treatment arms (76.9% </w:t>
      </w:r>
      <w:r w:rsidR="00A0007E" w:rsidRPr="00C94C33">
        <w:rPr>
          <w:rFonts w:asciiTheme="minorHAnsi" w:hAnsiTheme="minorHAnsi"/>
        </w:rPr>
        <w:t>(</w:t>
      </w:r>
      <w:r w:rsidR="009C0389" w:rsidRPr="00C94C33">
        <w:rPr>
          <w:rFonts w:asciiTheme="minorHAnsi" w:hAnsiTheme="minorHAnsi"/>
        </w:rPr>
        <w:t xml:space="preserve">n = </w:t>
      </w:r>
      <w:r w:rsidRPr="00C94C33">
        <w:rPr>
          <w:rFonts w:asciiTheme="minorHAnsi" w:hAnsiTheme="minorHAnsi"/>
        </w:rPr>
        <w:t>410</w:t>
      </w:r>
      <w:r w:rsidR="00A0007E" w:rsidRPr="00C94C33">
        <w:rPr>
          <w:rFonts w:asciiTheme="minorHAnsi" w:hAnsiTheme="minorHAnsi"/>
        </w:rPr>
        <w:t>)</w:t>
      </w:r>
      <w:r w:rsidRPr="00C94C33">
        <w:rPr>
          <w:rFonts w:asciiTheme="minorHAnsi" w:hAnsiTheme="minorHAnsi"/>
        </w:rPr>
        <w:t xml:space="preserve"> TAS-102; 81.1% </w:t>
      </w:r>
      <w:r w:rsidR="00A0007E" w:rsidRPr="00C94C33">
        <w:rPr>
          <w:rFonts w:asciiTheme="minorHAnsi" w:hAnsiTheme="minorHAnsi"/>
        </w:rPr>
        <w:t>(</w:t>
      </w:r>
      <w:r w:rsidR="009C0389" w:rsidRPr="00C94C33">
        <w:rPr>
          <w:rFonts w:asciiTheme="minorHAnsi" w:hAnsiTheme="minorHAnsi"/>
        </w:rPr>
        <w:t xml:space="preserve">n = </w:t>
      </w:r>
      <w:r w:rsidRPr="00C94C33">
        <w:rPr>
          <w:rFonts w:asciiTheme="minorHAnsi" w:hAnsiTheme="minorHAnsi"/>
        </w:rPr>
        <w:t>215</w:t>
      </w:r>
      <w:r w:rsidR="00A0007E" w:rsidRPr="00C94C33">
        <w:rPr>
          <w:rFonts w:asciiTheme="minorHAnsi" w:hAnsiTheme="minorHAnsi"/>
        </w:rPr>
        <w:t>)</w:t>
      </w:r>
      <w:r w:rsidRPr="00C94C33">
        <w:rPr>
          <w:rFonts w:asciiTheme="minorHAnsi" w:hAnsiTheme="minorHAnsi"/>
        </w:rPr>
        <w:t xml:space="preserve"> placebo). The most frequently reported conditions in both treatment arms were </w:t>
      </w:r>
      <w:r w:rsidRPr="005C2FCA">
        <w:rPr>
          <w:rFonts w:asciiTheme="minorHAnsi" w:hAnsiTheme="minorHAnsi"/>
        </w:rPr>
        <w:t>gastrointestinal disorders</w:t>
      </w:r>
      <w:r w:rsidRPr="00C94C33">
        <w:rPr>
          <w:rFonts w:asciiTheme="minorHAnsi" w:hAnsiTheme="minorHAnsi"/>
        </w:rPr>
        <w:t xml:space="preserve"> (36.2% </w:t>
      </w:r>
      <w:r w:rsidR="00A0007E" w:rsidRPr="00C94C33">
        <w:rPr>
          <w:rFonts w:asciiTheme="minorHAnsi" w:hAnsiTheme="minorHAnsi"/>
        </w:rPr>
        <w:t>(</w:t>
      </w:r>
      <w:r w:rsidR="009C0389" w:rsidRPr="00C94C33">
        <w:rPr>
          <w:rFonts w:asciiTheme="minorHAnsi" w:hAnsiTheme="minorHAnsi"/>
        </w:rPr>
        <w:t xml:space="preserve">n = </w:t>
      </w:r>
      <w:r w:rsidRPr="00C94C33">
        <w:rPr>
          <w:rFonts w:asciiTheme="minorHAnsi" w:hAnsiTheme="minorHAnsi"/>
        </w:rPr>
        <w:t xml:space="preserve">193 TAS-102; 34.7% </w:t>
      </w:r>
      <w:r w:rsidR="00A0007E" w:rsidRPr="00C94C33">
        <w:rPr>
          <w:rFonts w:asciiTheme="minorHAnsi" w:hAnsiTheme="minorHAnsi"/>
        </w:rPr>
        <w:t>(</w:t>
      </w:r>
      <w:r w:rsidR="009C0389" w:rsidRPr="00C94C33">
        <w:rPr>
          <w:rFonts w:asciiTheme="minorHAnsi" w:hAnsiTheme="minorHAnsi"/>
        </w:rPr>
        <w:t xml:space="preserve">n = </w:t>
      </w:r>
      <w:r w:rsidRPr="00C94C33">
        <w:rPr>
          <w:rFonts w:asciiTheme="minorHAnsi" w:hAnsiTheme="minorHAnsi"/>
        </w:rPr>
        <w:t>92</w:t>
      </w:r>
      <w:r w:rsidR="00A0007E" w:rsidRPr="00C94C33">
        <w:rPr>
          <w:rFonts w:asciiTheme="minorHAnsi" w:hAnsiTheme="minorHAnsi"/>
        </w:rPr>
        <w:t>)</w:t>
      </w:r>
      <w:r w:rsidRPr="00C94C33">
        <w:rPr>
          <w:rFonts w:asciiTheme="minorHAnsi" w:hAnsiTheme="minorHAnsi"/>
        </w:rPr>
        <w:t xml:space="preserve"> placebo), with individual events reported in ≥ 5% in both treatment groups (TAS-102</w:t>
      </w:r>
      <w:r w:rsidR="00C11183">
        <w:rPr>
          <w:rFonts w:asciiTheme="minorHAnsi" w:hAnsiTheme="minorHAnsi"/>
        </w:rPr>
        <w:t xml:space="preserve"> versus </w:t>
      </w:r>
      <w:r w:rsidRPr="00C94C33">
        <w:rPr>
          <w:rFonts w:asciiTheme="minorHAnsi" w:hAnsiTheme="minorHAnsi"/>
        </w:rPr>
        <w:t>placebo) being constipation (12.8%</w:t>
      </w:r>
      <w:r w:rsidR="00C11183">
        <w:rPr>
          <w:rFonts w:asciiTheme="minorHAnsi" w:hAnsiTheme="minorHAnsi"/>
        </w:rPr>
        <w:t xml:space="preserve"> versus </w:t>
      </w:r>
      <w:r w:rsidRPr="00C94C33">
        <w:rPr>
          <w:rFonts w:asciiTheme="minorHAnsi" w:hAnsiTheme="minorHAnsi"/>
        </w:rPr>
        <w:t>12.8%), abdominal pain (7.1%</w:t>
      </w:r>
      <w:r w:rsidR="00C11183">
        <w:rPr>
          <w:rFonts w:asciiTheme="minorHAnsi" w:hAnsiTheme="minorHAnsi"/>
        </w:rPr>
        <w:t xml:space="preserve"> versus </w:t>
      </w:r>
      <w:r w:rsidRPr="00C94C33">
        <w:rPr>
          <w:rFonts w:asciiTheme="minorHAnsi" w:hAnsiTheme="minorHAnsi"/>
        </w:rPr>
        <w:t>9.1%), diarrhoea (7.1%</w:t>
      </w:r>
      <w:r w:rsidR="00C11183">
        <w:rPr>
          <w:rFonts w:asciiTheme="minorHAnsi" w:hAnsiTheme="minorHAnsi"/>
        </w:rPr>
        <w:t xml:space="preserve"> versus </w:t>
      </w:r>
      <w:r w:rsidRPr="00C94C33">
        <w:rPr>
          <w:rFonts w:asciiTheme="minorHAnsi" w:hAnsiTheme="minorHAnsi"/>
        </w:rPr>
        <w:t>6.0%), and nausea (6.0%</w:t>
      </w:r>
      <w:r w:rsidR="00C11183">
        <w:rPr>
          <w:rFonts w:asciiTheme="minorHAnsi" w:hAnsiTheme="minorHAnsi"/>
        </w:rPr>
        <w:t xml:space="preserve"> versus </w:t>
      </w:r>
      <w:r w:rsidRPr="00C94C33">
        <w:rPr>
          <w:rFonts w:asciiTheme="minorHAnsi" w:hAnsiTheme="minorHAnsi"/>
        </w:rPr>
        <w:t xml:space="preserve">6.8%). The proportion of patients with any prior medications was similar in the two treatment groups (89.9% </w:t>
      </w:r>
      <w:r w:rsidR="00A0007E" w:rsidRPr="00C94C33">
        <w:rPr>
          <w:rFonts w:asciiTheme="minorHAnsi" w:hAnsiTheme="minorHAnsi"/>
        </w:rPr>
        <w:t>(</w:t>
      </w:r>
      <w:r w:rsidR="009C0389" w:rsidRPr="00C94C33">
        <w:rPr>
          <w:rFonts w:asciiTheme="minorHAnsi" w:hAnsiTheme="minorHAnsi"/>
        </w:rPr>
        <w:t xml:space="preserve">n = </w:t>
      </w:r>
      <w:r w:rsidRPr="00C94C33">
        <w:rPr>
          <w:rFonts w:asciiTheme="minorHAnsi" w:hAnsiTheme="minorHAnsi"/>
        </w:rPr>
        <w:t>479</w:t>
      </w:r>
      <w:r w:rsidR="00A0007E" w:rsidRPr="00C94C33">
        <w:rPr>
          <w:rFonts w:asciiTheme="minorHAnsi" w:hAnsiTheme="minorHAnsi"/>
        </w:rPr>
        <w:t>)</w:t>
      </w:r>
      <w:r w:rsidRPr="00C94C33">
        <w:rPr>
          <w:rFonts w:asciiTheme="minorHAnsi" w:hAnsiTheme="minorHAnsi"/>
        </w:rPr>
        <w:t xml:space="preserve"> TAS-102; 89.8% </w:t>
      </w:r>
      <w:r w:rsidR="00A0007E" w:rsidRPr="00C94C33">
        <w:rPr>
          <w:rFonts w:asciiTheme="minorHAnsi" w:hAnsiTheme="minorHAnsi"/>
        </w:rPr>
        <w:t>(</w:t>
      </w:r>
      <w:r w:rsidR="009C0389" w:rsidRPr="00C94C33">
        <w:rPr>
          <w:rFonts w:asciiTheme="minorHAnsi" w:hAnsiTheme="minorHAnsi"/>
        </w:rPr>
        <w:t xml:space="preserve">n = </w:t>
      </w:r>
      <w:r w:rsidRPr="00C94C33">
        <w:rPr>
          <w:rFonts w:asciiTheme="minorHAnsi" w:hAnsiTheme="minorHAnsi"/>
        </w:rPr>
        <w:t>238</w:t>
      </w:r>
      <w:r w:rsidR="00A0007E" w:rsidRPr="00C94C33">
        <w:rPr>
          <w:rFonts w:asciiTheme="minorHAnsi" w:hAnsiTheme="minorHAnsi"/>
        </w:rPr>
        <w:t>)</w:t>
      </w:r>
      <w:r w:rsidRPr="00C94C33">
        <w:rPr>
          <w:rFonts w:asciiTheme="minorHAnsi" w:hAnsiTheme="minorHAnsi"/>
        </w:rPr>
        <w:t xml:space="preserve"> placebo).</w:t>
      </w:r>
    </w:p>
    <w:p w14:paraId="15878930" w14:textId="73CCD2B6" w:rsidR="00DF61BC" w:rsidRPr="00C94C33" w:rsidRDefault="00DF61BC" w:rsidP="00955252">
      <w:pPr>
        <w:pStyle w:val="Heading4"/>
      </w:pPr>
      <w:bookmarkStart w:id="250" w:name="_Toc470948530"/>
      <w:r w:rsidRPr="00C94C33">
        <w:t>Results for the primary efficacy outcome (OS)</w:t>
      </w:r>
      <w:bookmarkEnd w:id="250"/>
    </w:p>
    <w:p w14:paraId="0BA6A57F" w14:textId="13BC8F93" w:rsidR="00DF61BC" w:rsidRPr="00C94C33" w:rsidRDefault="00DF61BC" w:rsidP="00DF61BC">
      <w:r w:rsidRPr="00C94C33">
        <w:t xml:space="preserve">OS was defined as the time (in months) from the date of randomisation to the date of death for patients in the ITT population. A total of 574 deaths were included in the primary analysis of OS based on a cut-off date of 24 January 2014 (4 patients died on the calendar day of the pre-specified 571st event). </w:t>
      </w:r>
      <w:r w:rsidRPr="00C94C33">
        <w:rPr>
          <w:color w:val="000000"/>
        </w:rPr>
        <w:t xml:space="preserve">The overall median follow-up for all patients was 11.8 months. </w:t>
      </w:r>
      <w:r w:rsidRPr="00C94C33">
        <w:t>The results for OS and the Kaplan-Meier curves are presented below.</w:t>
      </w:r>
    </w:p>
    <w:p w14:paraId="1327AF50" w14:textId="03DF243A" w:rsidR="00DF61BC" w:rsidRPr="00C94C33" w:rsidRDefault="00DF61BC" w:rsidP="00D67E9B">
      <w:pPr>
        <w:pStyle w:val="Tabletitle"/>
      </w:pPr>
      <w:bookmarkStart w:id="251" w:name="_Toc470948682"/>
      <w:r w:rsidRPr="00C94C33">
        <w:t>Table</w:t>
      </w:r>
      <w:r w:rsidR="009A186D" w:rsidRPr="00C94C33">
        <w:t xml:space="preserve"> 33</w:t>
      </w:r>
      <w:r w:rsidRPr="00C94C33">
        <w:t>: RECOURSE</w:t>
      </w:r>
      <w:r w:rsidR="00D67E9B">
        <w:t xml:space="preserve">; </w:t>
      </w:r>
      <w:r w:rsidRPr="00C94C33">
        <w:t>Overall survival (OS), ITT population at the cut</w:t>
      </w:r>
      <w:r w:rsidR="00D67E9B">
        <w:t xml:space="preserve"> </w:t>
      </w:r>
      <w:r w:rsidRPr="00C94C33">
        <w:t>off date of 24 January 2014</w:t>
      </w:r>
      <w:bookmarkEnd w:id="251"/>
    </w:p>
    <w:tbl>
      <w:tblPr>
        <w:tblW w:w="9576" w:type="dxa"/>
        <w:tblInd w:w="112" w:type="dxa"/>
        <w:tblLayout w:type="fixed"/>
        <w:tblCellMar>
          <w:left w:w="0" w:type="dxa"/>
          <w:right w:w="0" w:type="dxa"/>
        </w:tblCellMar>
        <w:tblLook w:val="0000" w:firstRow="0" w:lastRow="0" w:firstColumn="0" w:lastColumn="0" w:noHBand="0" w:noVBand="0"/>
      </w:tblPr>
      <w:tblGrid>
        <w:gridCol w:w="3438"/>
        <w:gridCol w:w="1533"/>
        <w:gridCol w:w="1536"/>
        <w:gridCol w:w="1534"/>
        <w:gridCol w:w="1535"/>
      </w:tblGrid>
      <w:tr w:rsidR="00DF61BC" w:rsidRPr="00C94C33" w14:paraId="42EC8F07" w14:textId="77777777" w:rsidTr="00AB5FC5">
        <w:trPr>
          <w:trHeight w:hRule="exact" w:val="347"/>
          <w:tblHeader/>
        </w:trPr>
        <w:tc>
          <w:tcPr>
            <w:tcW w:w="3438" w:type="dxa"/>
            <w:tcBorders>
              <w:top w:val="single" w:sz="2" w:space="0" w:color="000000"/>
              <w:left w:val="single" w:sz="6" w:space="0" w:color="000000"/>
              <w:bottom w:val="single" w:sz="7" w:space="0" w:color="000000"/>
              <w:right w:val="single" w:sz="6" w:space="0" w:color="000000"/>
            </w:tcBorders>
            <w:shd w:val="clear" w:color="auto" w:fill="auto"/>
          </w:tcPr>
          <w:p w14:paraId="747D500C" w14:textId="77777777" w:rsidR="00DF61BC" w:rsidRPr="00C94C33" w:rsidRDefault="00DF61BC" w:rsidP="00AB5FC5">
            <w:pPr>
              <w:pStyle w:val="TableHeading"/>
              <w:jc w:val="center"/>
            </w:pPr>
            <w:bookmarkStart w:id="252" w:name="Table_21:_Overall_Survival_(ITT_Populati"/>
            <w:bookmarkEnd w:id="252"/>
            <w:r w:rsidRPr="00C94C33">
              <w:t>Parameter</w:t>
            </w:r>
          </w:p>
        </w:tc>
        <w:tc>
          <w:tcPr>
            <w:tcW w:w="3069" w:type="dxa"/>
            <w:gridSpan w:val="2"/>
            <w:tcBorders>
              <w:top w:val="single" w:sz="2" w:space="0" w:color="000000"/>
              <w:left w:val="single" w:sz="6" w:space="0" w:color="000000"/>
              <w:bottom w:val="single" w:sz="7" w:space="0" w:color="000000"/>
              <w:right w:val="single" w:sz="6" w:space="0" w:color="000000"/>
            </w:tcBorders>
            <w:shd w:val="clear" w:color="auto" w:fill="auto"/>
          </w:tcPr>
          <w:p w14:paraId="0674E136" w14:textId="227D6511" w:rsidR="00DF61BC" w:rsidRPr="00C94C33" w:rsidRDefault="00DF61BC" w:rsidP="00AB5FC5">
            <w:pPr>
              <w:pStyle w:val="TableHeading"/>
              <w:jc w:val="center"/>
            </w:pPr>
            <w:r w:rsidRPr="00C94C33">
              <w:rPr>
                <w:w w:val="95"/>
              </w:rPr>
              <w:t>TAS-102</w:t>
            </w:r>
            <w:r w:rsidRPr="00C94C33">
              <w:rPr>
                <w:w w:val="99"/>
              </w:rPr>
              <w:t xml:space="preserve"> </w:t>
            </w:r>
            <w:r w:rsidRPr="00C94C33">
              <w:t>(</w:t>
            </w:r>
            <w:r w:rsidR="009C0389" w:rsidRPr="00C94C33">
              <w:t>N =</w:t>
            </w:r>
            <w:r w:rsidR="00D67E9B">
              <w:t>)</w:t>
            </w:r>
            <w:r w:rsidRPr="00C94C33">
              <w:t>534)</w:t>
            </w:r>
          </w:p>
        </w:tc>
        <w:tc>
          <w:tcPr>
            <w:tcW w:w="3069" w:type="dxa"/>
            <w:gridSpan w:val="2"/>
            <w:tcBorders>
              <w:top w:val="single" w:sz="2" w:space="0" w:color="000000"/>
              <w:left w:val="single" w:sz="6" w:space="0" w:color="000000"/>
              <w:bottom w:val="single" w:sz="7" w:space="0" w:color="000000"/>
              <w:right w:val="single" w:sz="6" w:space="0" w:color="000000"/>
            </w:tcBorders>
            <w:shd w:val="clear" w:color="auto" w:fill="auto"/>
          </w:tcPr>
          <w:p w14:paraId="4CF08A0A" w14:textId="3F9B0628" w:rsidR="00DF61BC" w:rsidRPr="00C94C33" w:rsidRDefault="00DF61BC" w:rsidP="00AB5FC5">
            <w:pPr>
              <w:pStyle w:val="TableHeading"/>
              <w:jc w:val="center"/>
            </w:pPr>
            <w:r w:rsidRPr="00C94C33">
              <w:t>Placebo</w:t>
            </w:r>
            <w:r w:rsidRPr="00C94C33">
              <w:rPr>
                <w:w w:val="99"/>
              </w:rPr>
              <w:t xml:space="preserve"> </w:t>
            </w:r>
            <w:r w:rsidRPr="00C94C33">
              <w:rPr>
                <w:w w:val="95"/>
              </w:rPr>
              <w:t>(</w:t>
            </w:r>
            <w:r w:rsidR="009C0389" w:rsidRPr="00C94C33">
              <w:rPr>
                <w:w w:val="95"/>
              </w:rPr>
              <w:t xml:space="preserve">N = </w:t>
            </w:r>
            <w:r w:rsidRPr="00C94C33">
              <w:rPr>
                <w:w w:val="95"/>
              </w:rPr>
              <w:t>266)</w:t>
            </w:r>
          </w:p>
        </w:tc>
      </w:tr>
      <w:tr w:rsidR="00DF61BC" w:rsidRPr="00C94C33" w14:paraId="62BAC957" w14:textId="77777777" w:rsidTr="00DF61BC">
        <w:trPr>
          <w:trHeight w:hRule="exact" w:val="307"/>
        </w:trPr>
        <w:tc>
          <w:tcPr>
            <w:tcW w:w="9576" w:type="dxa"/>
            <w:gridSpan w:val="5"/>
            <w:tcBorders>
              <w:top w:val="single" w:sz="7" w:space="0" w:color="000000"/>
              <w:left w:val="single" w:sz="6" w:space="0" w:color="000000"/>
              <w:bottom w:val="single" w:sz="7" w:space="0" w:color="000000"/>
              <w:right w:val="single" w:sz="6" w:space="0" w:color="000000"/>
            </w:tcBorders>
          </w:tcPr>
          <w:p w14:paraId="0837E0E1" w14:textId="77777777" w:rsidR="00DF61BC" w:rsidRPr="00C94C33" w:rsidRDefault="00DF61BC" w:rsidP="00AB5FC5">
            <w:pPr>
              <w:pStyle w:val="TableHeading"/>
            </w:pPr>
            <w:r w:rsidRPr="00C94C33">
              <w:t xml:space="preserve">Number </w:t>
            </w:r>
            <w:r w:rsidRPr="00C94C33">
              <w:rPr>
                <w:spacing w:val="-2"/>
              </w:rPr>
              <w:t>(%)</w:t>
            </w:r>
            <w:r w:rsidRPr="00C94C33">
              <w:t xml:space="preserve"> of patients by censoring</w:t>
            </w:r>
            <w:r w:rsidRPr="00C94C33">
              <w:rPr>
                <w:spacing w:val="22"/>
              </w:rPr>
              <w:t xml:space="preserve"> </w:t>
            </w:r>
            <w:r w:rsidRPr="00C94C33">
              <w:t>status</w:t>
            </w:r>
          </w:p>
        </w:tc>
      </w:tr>
      <w:tr w:rsidR="00DF61BC" w:rsidRPr="00C94C33" w14:paraId="67424F60" w14:textId="77777777" w:rsidTr="00DF61BC">
        <w:trPr>
          <w:trHeight w:hRule="exact" w:val="305"/>
        </w:trPr>
        <w:tc>
          <w:tcPr>
            <w:tcW w:w="3438" w:type="dxa"/>
            <w:tcBorders>
              <w:top w:val="single" w:sz="7" w:space="0" w:color="000000"/>
              <w:left w:val="single" w:sz="6" w:space="0" w:color="000000"/>
              <w:bottom w:val="single" w:sz="7" w:space="0" w:color="000000"/>
              <w:right w:val="single" w:sz="6" w:space="0" w:color="000000"/>
            </w:tcBorders>
          </w:tcPr>
          <w:p w14:paraId="32CAF1E3" w14:textId="77777777" w:rsidR="00DF61BC" w:rsidRPr="00C94C33" w:rsidRDefault="00DF61BC" w:rsidP="00AB5FC5">
            <w:pPr>
              <w:pStyle w:val="Tabletext"/>
            </w:pPr>
            <w:r w:rsidRPr="00C94C33">
              <w:t>Total</w:t>
            </w:r>
          </w:p>
        </w:tc>
        <w:tc>
          <w:tcPr>
            <w:tcW w:w="3069" w:type="dxa"/>
            <w:gridSpan w:val="2"/>
            <w:tcBorders>
              <w:top w:val="single" w:sz="7" w:space="0" w:color="000000"/>
              <w:left w:val="single" w:sz="6" w:space="0" w:color="000000"/>
              <w:bottom w:val="single" w:sz="7" w:space="0" w:color="000000"/>
              <w:right w:val="single" w:sz="6" w:space="0" w:color="000000"/>
            </w:tcBorders>
          </w:tcPr>
          <w:p w14:paraId="2EAE5ECB" w14:textId="77777777" w:rsidR="00DF61BC" w:rsidRPr="00C94C33" w:rsidRDefault="00DF61BC" w:rsidP="00AB5FC5">
            <w:pPr>
              <w:pStyle w:val="Tabletext"/>
            </w:pPr>
            <w:r w:rsidRPr="00C94C33">
              <w:t>534 (100)</w:t>
            </w:r>
          </w:p>
        </w:tc>
        <w:tc>
          <w:tcPr>
            <w:tcW w:w="3069" w:type="dxa"/>
            <w:gridSpan w:val="2"/>
            <w:tcBorders>
              <w:top w:val="single" w:sz="7" w:space="0" w:color="000000"/>
              <w:left w:val="single" w:sz="6" w:space="0" w:color="000000"/>
              <w:bottom w:val="single" w:sz="7" w:space="0" w:color="000000"/>
              <w:right w:val="single" w:sz="6" w:space="0" w:color="000000"/>
            </w:tcBorders>
          </w:tcPr>
          <w:p w14:paraId="7277569A" w14:textId="77777777" w:rsidR="00DF61BC" w:rsidRPr="00C94C33" w:rsidRDefault="00DF61BC" w:rsidP="00AB5FC5">
            <w:pPr>
              <w:pStyle w:val="Tabletext"/>
            </w:pPr>
            <w:r w:rsidRPr="00C94C33">
              <w:t>266 (100)</w:t>
            </w:r>
          </w:p>
        </w:tc>
      </w:tr>
      <w:tr w:rsidR="00DF61BC" w:rsidRPr="00C94C33" w14:paraId="15A5E94B" w14:textId="77777777" w:rsidTr="00DF61BC">
        <w:trPr>
          <w:trHeight w:hRule="exact" w:val="306"/>
        </w:trPr>
        <w:tc>
          <w:tcPr>
            <w:tcW w:w="3438" w:type="dxa"/>
            <w:tcBorders>
              <w:top w:val="single" w:sz="7" w:space="0" w:color="000000"/>
              <w:left w:val="single" w:sz="6" w:space="0" w:color="000000"/>
              <w:bottom w:val="single" w:sz="7" w:space="0" w:color="000000"/>
              <w:right w:val="single" w:sz="6" w:space="0" w:color="000000"/>
            </w:tcBorders>
          </w:tcPr>
          <w:p w14:paraId="75EBF269" w14:textId="77777777" w:rsidR="00DF61BC" w:rsidRPr="00C94C33" w:rsidRDefault="00DF61BC" w:rsidP="00AB5FC5">
            <w:pPr>
              <w:pStyle w:val="Tabletext"/>
            </w:pPr>
            <w:r w:rsidRPr="00C94C33">
              <w:t>Not censored (dead)</w:t>
            </w:r>
          </w:p>
        </w:tc>
        <w:tc>
          <w:tcPr>
            <w:tcW w:w="3069" w:type="dxa"/>
            <w:gridSpan w:val="2"/>
            <w:tcBorders>
              <w:top w:val="single" w:sz="7" w:space="0" w:color="000000"/>
              <w:left w:val="single" w:sz="6" w:space="0" w:color="000000"/>
              <w:bottom w:val="single" w:sz="7" w:space="0" w:color="000000"/>
              <w:right w:val="single" w:sz="6" w:space="0" w:color="000000"/>
            </w:tcBorders>
          </w:tcPr>
          <w:p w14:paraId="77BF8C7E" w14:textId="77777777" w:rsidR="00DF61BC" w:rsidRPr="00C94C33" w:rsidRDefault="00DF61BC" w:rsidP="00AB5FC5">
            <w:pPr>
              <w:pStyle w:val="Tabletext"/>
            </w:pPr>
            <w:r w:rsidRPr="00C94C33">
              <w:t>364 (68.2)</w:t>
            </w:r>
          </w:p>
        </w:tc>
        <w:tc>
          <w:tcPr>
            <w:tcW w:w="3069" w:type="dxa"/>
            <w:gridSpan w:val="2"/>
            <w:tcBorders>
              <w:top w:val="single" w:sz="7" w:space="0" w:color="000000"/>
              <w:left w:val="single" w:sz="6" w:space="0" w:color="000000"/>
              <w:bottom w:val="single" w:sz="7" w:space="0" w:color="000000"/>
              <w:right w:val="single" w:sz="6" w:space="0" w:color="000000"/>
            </w:tcBorders>
          </w:tcPr>
          <w:p w14:paraId="0A7DC2C6" w14:textId="77777777" w:rsidR="00DF61BC" w:rsidRPr="00C94C33" w:rsidRDefault="00DF61BC" w:rsidP="00AB5FC5">
            <w:pPr>
              <w:pStyle w:val="Tabletext"/>
            </w:pPr>
            <w:r w:rsidRPr="00C94C33">
              <w:t>210 (78.9)</w:t>
            </w:r>
          </w:p>
        </w:tc>
      </w:tr>
      <w:tr w:rsidR="00DF61BC" w:rsidRPr="00C94C33" w14:paraId="2565FED5" w14:textId="77777777" w:rsidTr="00DF61BC">
        <w:trPr>
          <w:trHeight w:hRule="exact" w:val="305"/>
        </w:trPr>
        <w:tc>
          <w:tcPr>
            <w:tcW w:w="3438" w:type="dxa"/>
            <w:tcBorders>
              <w:top w:val="single" w:sz="7" w:space="0" w:color="000000"/>
              <w:left w:val="single" w:sz="6" w:space="0" w:color="000000"/>
              <w:bottom w:val="single" w:sz="7" w:space="0" w:color="000000"/>
              <w:right w:val="single" w:sz="6" w:space="0" w:color="000000"/>
            </w:tcBorders>
          </w:tcPr>
          <w:p w14:paraId="18F3A10A" w14:textId="77777777" w:rsidR="00DF61BC" w:rsidRPr="00C94C33" w:rsidRDefault="00DF61BC" w:rsidP="00AB5FC5">
            <w:pPr>
              <w:pStyle w:val="Tabletext"/>
            </w:pPr>
            <w:r w:rsidRPr="00C94C33">
              <w:t>Censored</w:t>
            </w:r>
          </w:p>
        </w:tc>
        <w:tc>
          <w:tcPr>
            <w:tcW w:w="3069" w:type="dxa"/>
            <w:gridSpan w:val="2"/>
            <w:tcBorders>
              <w:top w:val="single" w:sz="7" w:space="0" w:color="000000"/>
              <w:left w:val="single" w:sz="6" w:space="0" w:color="000000"/>
              <w:bottom w:val="single" w:sz="7" w:space="0" w:color="000000"/>
              <w:right w:val="single" w:sz="6" w:space="0" w:color="000000"/>
            </w:tcBorders>
          </w:tcPr>
          <w:p w14:paraId="5575B85A" w14:textId="77777777" w:rsidR="00DF61BC" w:rsidRPr="00C94C33" w:rsidRDefault="00DF61BC" w:rsidP="00AB5FC5">
            <w:pPr>
              <w:pStyle w:val="Tabletext"/>
            </w:pPr>
            <w:r w:rsidRPr="00C94C33">
              <w:t>170 (31.8)</w:t>
            </w:r>
          </w:p>
        </w:tc>
        <w:tc>
          <w:tcPr>
            <w:tcW w:w="3069" w:type="dxa"/>
            <w:gridSpan w:val="2"/>
            <w:tcBorders>
              <w:top w:val="single" w:sz="7" w:space="0" w:color="000000"/>
              <w:left w:val="single" w:sz="6" w:space="0" w:color="000000"/>
              <w:bottom w:val="single" w:sz="7" w:space="0" w:color="000000"/>
              <w:right w:val="single" w:sz="6" w:space="0" w:color="000000"/>
            </w:tcBorders>
          </w:tcPr>
          <w:p w14:paraId="202E259F" w14:textId="77777777" w:rsidR="00DF61BC" w:rsidRPr="00C94C33" w:rsidRDefault="00DF61BC" w:rsidP="00AB5FC5">
            <w:pPr>
              <w:pStyle w:val="Tabletext"/>
            </w:pPr>
            <w:r w:rsidRPr="00C94C33">
              <w:t>56 (21.1)</w:t>
            </w:r>
          </w:p>
        </w:tc>
      </w:tr>
      <w:tr w:rsidR="00DF61BC" w:rsidRPr="00C94C33" w14:paraId="49E0E425" w14:textId="77777777" w:rsidTr="00DF61BC">
        <w:trPr>
          <w:trHeight w:hRule="exact" w:val="328"/>
        </w:trPr>
        <w:tc>
          <w:tcPr>
            <w:tcW w:w="9576" w:type="dxa"/>
            <w:gridSpan w:val="5"/>
            <w:tcBorders>
              <w:top w:val="single" w:sz="7" w:space="0" w:color="000000"/>
              <w:left w:val="single" w:sz="6" w:space="0" w:color="000000"/>
              <w:bottom w:val="single" w:sz="7" w:space="0" w:color="000000"/>
              <w:right w:val="single" w:sz="6" w:space="0" w:color="000000"/>
            </w:tcBorders>
          </w:tcPr>
          <w:p w14:paraId="54EE0273" w14:textId="1AB0819E" w:rsidR="00DF61BC" w:rsidRPr="00C94C33" w:rsidRDefault="00DF61BC" w:rsidP="00AB5FC5">
            <w:pPr>
              <w:pStyle w:val="TableHeading"/>
            </w:pPr>
            <w:r w:rsidRPr="00C94C33">
              <w:t>Survival</w:t>
            </w:r>
            <w:r w:rsidRPr="00C94C33">
              <w:rPr>
                <w:spacing w:val="-2"/>
              </w:rPr>
              <w:t xml:space="preserve"> </w:t>
            </w:r>
            <w:r w:rsidRPr="00C94C33">
              <w:t xml:space="preserve">(months) </w:t>
            </w:r>
            <w:r w:rsidRPr="00C94C33">
              <w:rPr>
                <w:vertAlign w:val="superscript"/>
              </w:rPr>
              <w:t>a</w:t>
            </w:r>
            <w:r w:rsidRPr="00C94C33">
              <w:rPr>
                <w:spacing w:val="15"/>
                <w:position w:val="10"/>
              </w:rPr>
              <w:t xml:space="preserve"> </w:t>
            </w:r>
            <w:r w:rsidR="00A0007E" w:rsidRPr="00C94C33">
              <w:t>(</w:t>
            </w:r>
            <w:r w:rsidRPr="00C94C33">
              <w:t>95%</w:t>
            </w:r>
            <w:r w:rsidRPr="00C94C33">
              <w:rPr>
                <w:spacing w:val="-4"/>
              </w:rPr>
              <w:t xml:space="preserve"> </w:t>
            </w:r>
            <w:r w:rsidRPr="00C94C33">
              <w:t>CI</w:t>
            </w:r>
            <w:r w:rsidR="00A0007E" w:rsidRPr="00C94C33">
              <w:t>)</w:t>
            </w:r>
            <w:r w:rsidRPr="00C94C33">
              <w:t xml:space="preserve"> </w:t>
            </w:r>
            <w:r w:rsidRPr="00C94C33">
              <w:rPr>
                <w:vertAlign w:val="superscript"/>
              </w:rPr>
              <w:t>b</w:t>
            </w:r>
          </w:p>
        </w:tc>
      </w:tr>
      <w:tr w:rsidR="00DF61BC" w:rsidRPr="00C94C33" w14:paraId="0CC638DF" w14:textId="77777777" w:rsidTr="005C2FCA">
        <w:trPr>
          <w:trHeight w:hRule="exact" w:val="296"/>
        </w:trPr>
        <w:tc>
          <w:tcPr>
            <w:tcW w:w="3438" w:type="dxa"/>
            <w:tcBorders>
              <w:top w:val="single" w:sz="7" w:space="0" w:color="000000"/>
              <w:left w:val="single" w:sz="6" w:space="0" w:color="000000"/>
              <w:bottom w:val="single" w:sz="7" w:space="0" w:color="000000"/>
              <w:right w:val="single" w:sz="6" w:space="0" w:color="000000"/>
            </w:tcBorders>
          </w:tcPr>
          <w:p w14:paraId="539D4EA2" w14:textId="43695646" w:rsidR="00DF61BC" w:rsidRPr="00C94C33" w:rsidRDefault="00DF61BC" w:rsidP="00AB5FC5">
            <w:pPr>
              <w:pStyle w:val="Tabletext"/>
            </w:pPr>
            <w:r w:rsidRPr="00C94C33">
              <w:t>25</w:t>
            </w:r>
            <w:r w:rsidRPr="00C94C33">
              <w:rPr>
                <w:vertAlign w:val="superscript"/>
              </w:rPr>
              <w:t>th</w:t>
            </w:r>
            <w:r w:rsidRPr="00C94C33">
              <w:t xml:space="preserve"> </w:t>
            </w:r>
            <w:r w:rsidRPr="00C94C33">
              <w:rPr>
                <w:spacing w:val="-1"/>
              </w:rPr>
              <w:t>percentile</w:t>
            </w:r>
          </w:p>
        </w:tc>
        <w:tc>
          <w:tcPr>
            <w:tcW w:w="1533" w:type="dxa"/>
            <w:tcBorders>
              <w:top w:val="single" w:sz="7" w:space="0" w:color="000000"/>
              <w:left w:val="single" w:sz="6" w:space="0" w:color="000000"/>
              <w:bottom w:val="single" w:sz="7" w:space="0" w:color="000000"/>
              <w:right w:val="single" w:sz="6" w:space="0" w:color="000000"/>
            </w:tcBorders>
          </w:tcPr>
          <w:p w14:paraId="54DE8BF8" w14:textId="77777777" w:rsidR="00DF61BC" w:rsidRPr="00C94C33" w:rsidRDefault="00DF61BC" w:rsidP="00AB5FC5">
            <w:pPr>
              <w:pStyle w:val="Tabletext"/>
            </w:pPr>
            <w:r w:rsidRPr="00C94C33">
              <w:rPr>
                <w:spacing w:val="-1"/>
              </w:rPr>
              <w:t>4.1</w:t>
            </w:r>
          </w:p>
        </w:tc>
        <w:tc>
          <w:tcPr>
            <w:tcW w:w="1536" w:type="dxa"/>
            <w:tcBorders>
              <w:top w:val="single" w:sz="7" w:space="0" w:color="000000"/>
              <w:left w:val="single" w:sz="6" w:space="0" w:color="000000"/>
              <w:bottom w:val="single" w:sz="7" w:space="0" w:color="000000"/>
              <w:right w:val="single" w:sz="6" w:space="0" w:color="000000"/>
            </w:tcBorders>
          </w:tcPr>
          <w:p w14:paraId="78AC913E" w14:textId="63576AF0" w:rsidR="00DF61BC" w:rsidRPr="00C94C33" w:rsidRDefault="00A0007E" w:rsidP="00AB5FC5">
            <w:pPr>
              <w:pStyle w:val="Tabletext"/>
            </w:pPr>
            <w:r w:rsidRPr="00C94C33">
              <w:rPr>
                <w:spacing w:val="-1"/>
              </w:rPr>
              <w:t>(</w:t>
            </w:r>
            <w:r w:rsidR="00DF61BC" w:rsidRPr="00C94C33">
              <w:rPr>
                <w:spacing w:val="-1"/>
              </w:rPr>
              <w:t>3.8, 4.6</w:t>
            </w:r>
            <w:r w:rsidRPr="00C94C33">
              <w:rPr>
                <w:spacing w:val="-1"/>
              </w:rPr>
              <w:t>)</w:t>
            </w:r>
          </w:p>
        </w:tc>
        <w:tc>
          <w:tcPr>
            <w:tcW w:w="1534" w:type="dxa"/>
            <w:tcBorders>
              <w:top w:val="single" w:sz="7" w:space="0" w:color="000000"/>
              <w:left w:val="single" w:sz="6" w:space="0" w:color="000000"/>
              <w:bottom w:val="single" w:sz="7" w:space="0" w:color="000000"/>
              <w:right w:val="single" w:sz="6" w:space="0" w:color="000000"/>
            </w:tcBorders>
          </w:tcPr>
          <w:p w14:paraId="0F4CE3CC" w14:textId="77777777" w:rsidR="00DF61BC" w:rsidRPr="00C94C33" w:rsidRDefault="00DF61BC" w:rsidP="00AB5FC5">
            <w:pPr>
              <w:pStyle w:val="Tabletext"/>
            </w:pPr>
            <w:r w:rsidRPr="00C94C33">
              <w:rPr>
                <w:spacing w:val="-1"/>
              </w:rPr>
              <w:t>3.1</w:t>
            </w:r>
          </w:p>
        </w:tc>
        <w:tc>
          <w:tcPr>
            <w:tcW w:w="1535" w:type="dxa"/>
            <w:tcBorders>
              <w:top w:val="single" w:sz="7" w:space="0" w:color="000000"/>
              <w:left w:val="single" w:sz="6" w:space="0" w:color="000000"/>
              <w:bottom w:val="single" w:sz="7" w:space="0" w:color="000000"/>
              <w:right w:val="single" w:sz="6" w:space="0" w:color="000000"/>
            </w:tcBorders>
          </w:tcPr>
          <w:p w14:paraId="13CBCEB9" w14:textId="5C82B345" w:rsidR="00DF61BC" w:rsidRPr="00C94C33" w:rsidRDefault="00A0007E" w:rsidP="00AB5FC5">
            <w:pPr>
              <w:pStyle w:val="Tabletext"/>
            </w:pPr>
            <w:r w:rsidRPr="00C94C33">
              <w:rPr>
                <w:spacing w:val="-1"/>
              </w:rPr>
              <w:t>(</w:t>
            </w:r>
            <w:r w:rsidR="00DF61BC" w:rsidRPr="00C94C33">
              <w:rPr>
                <w:spacing w:val="-1"/>
              </w:rPr>
              <w:t>2.6, 3.4</w:t>
            </w:r>
            <w:r w:rsidRPr="00C94C33">
              <w:rPr>
                <w:spacing w:val="-1"/>
              </w:rPr>
              <w:t>)</w:t>
            </w:r>
          </w:p>
        </w:tc>
      </w:tr>
      <w:tr w:rsidR="00DF61BC" w:rsidRPr="00C94C33" w14:paraId="0CF3B0DE" w14:textId="77777777" w:rsidTr="00DF61BC">
        <w:trPr>
          <w:trHeight w:hRule="exact" w:val="305"/>
        </w:trPr>
        <w:tc>
          <w:tcPr>
            <w:tcW w:w="3438" w:type="dxa"/>
            <w:tcBorders>
              <w:top w:val="single" w:sz="7" w:space="0" w:color="000000"/>
              <w:left w:val="single" w:sz="6" w:space="0" w:color="000000"/>
              <w:bottom w:val="single" w:sz="7" w:space="0" w:color="000000"/>
              <w:right w:val="single" w:sz="6" w:space="0" w:color="000000"/>
            </w:tcBorders>
          </w:tcPr>
          <w:p w14:paraId="2B807630" w14:textId="77777777" w:rsidR="00DF61BC" w:rsidRPr="00C94C33" w:rsidRDefault="00DF61BC" w:rsidP="00AB5FC5">
            <w:pPr>
              <w:pStyle w:val="Tabletext"/>
            </w:pPr>
            <w:r w:rsidRPr="00C94C33">
              <w:rPr>
                <w:spacing w:val="-1"/>
              </w:rPr>
              <w:t>Median</w:t>
            </w:r>
          </w:p>
        </w:tc>
        <w:tc>
          <w:tcPr>
            <w:tcW w:w="1533" w:type="dxa"/>
            <w:tcBorders>
              <w:top w:val="single" w:sz="7" w:space="0" w:color="000000"/>
              <w:left w:val="single" w:sz="6" w:space="0" w:color="000000"/>
              <w:bottom w:val="single" w:sz="7" w:space="0" w:color="000000"/>
              <w:right w:val="single" w:sz="6" w:space="0" w:color="000000"/>
            </w:tcBorders>
          </w:tcPr>
          <w:p w14:paraId="7A42EB99" w14:textId="77777777" w:rsidR="00DF61BC" w:rsidRPr="00C94C33" w:rsidRDefault="00DF61BC" w:rsidP="00AB5FC5">
            <w:pPr>
              <w:pStyle w:val="Tabletext"/>
            </w:pPr>
            <w:r w:rsidRPr="00C94C33">
              <w:rPr>
                <w:spacing w:val="-1"/>
              </w:rPr>
              <w:t>7.1</w:t>
            </w:r>
          </w:p>
        </w:tc>
        <w:tc>
          <w:tcPr>
            <w:tcW w:w="1536" w:type="dxa"/>
            <w:tcBorders>
              <w:top w:val="single" w:sz="7" w:space="0" w:color="000000"/>
              <w:left w:val="single" w:sz="6" w:space="0" w:color="000000"/>
              <w:bottom w:val="single" w:sz="7" w:space="0" w:color="000000"/>
              <w:right w:val="single" w:sz="6" w:space="0" w:color="000000"/>
            </w:tcBorders>
          </w:tcPr>
          <w:p w14:paraId="74553674" w14:textId="118D1070" w:rsidR="00DF61BC" w:rsidRPr="00C94C33" w:rsidRDefault="00A0007E" w:rsidP="00AB5FC5">
            <w:pPr>
              <w:pStyle w:val="Tabletext"/>
            </w:pPr>
            <w:r w:rsidRPr="00C94C33">
              <w:rPr>
                <w:spacing w:val="-1"/>
              </w:rPr>
              <w:t>(</w:t>
            </w:r>
            <w:r w:rsidR="00DF61BC" w:rsidRPr="00C94C33">
              <w:rPr>
                <w:spacing w:val="-1"/>
              </w:rPr>
              <w:t>6.5, 7.8</w:t>
            </w:r>
            <w:r w:rsidRPr="00C94C33">
              <w:rPr>
                <w:spacing w:val="-1"/>
              </w:rPr>
              <w:t>)</w:t>
            </w:r>
          </w:p>
        </w:tc>
        <w:tc>
          <w:tcPr>
            <w:tcW w:w="1534" w:type="dxa"/>
            <w:tcBorders>
              <w:top w:val="single" w:sz="7" w:space="0" w:color="000000"/>
              <w:left w:val="single" w:sz="6" w:space="0" w:color="000000"/>
              <w:bottom w:val="single" w:sz="7" w:space="0" w:color="000000"/>
              <w:right w:val="single" w:sz="6" w:space="0" w:color="000000"/>
            </w:tcBorders>
          </w:tcPr>
          <w:p w14:paraId="0416F34F" w14:textId="77777777" w:rsidR="00DF61BC" w:rsidRPr="00C94C33" w:rsidRDefault="00DF61BC" w:rsidP="00AB5FC5">
            <w:pPr>
              <w:pStyle w:val="Tabletext"/>
            </w:pPr>
            <w:r w:rsidRPr="00C94C33">
              <w:rPr>
                <w:spacing w:val="-1"/>
              </w:rPr>
              <w:t>5.3</w:t>
            </w:r>
          </w:p>
        </w:tc>
        <w:tc>
          <w:tcPr>
            <w:tcW w:w="1535" w:type="dxa"/>
            <w:tcBorders>
              <w:top w:val="single" w:sz="7" w:space="0" w:color="000000"/>
              <w:left w:val="single" w:sz="6" w:space="0" w:color="000000"/>
              <w:bottom w:val="single" w:sz="7" w:space="0" w:color="000000"/>
              <w:right w:val="single" w:sz="6" w:space="0" w:color="000000"/>
            </w:tcBorders>
          </w:tcPr>
          <w:p w14:paraId="7F80D837" w14:textId="34F8D3F2" w:rsidR="00DF61BC" w:rsidRPr="00C94C33" w:rsidRDefault="00A0007E" w:rsidP="00AB5FC5">
            <w:pPr>
              <w:pStyle w:val="Tabletext"/>
            </w:pPr>
            <w:r w:rsidRPr="00C94C33">
              <w:rPr>
                <w:spacing w:val="-1"/>
              </w:rPr>
              <w:t>(</w:t>
            </w:r>
            <w:r w:rsidR="00DF61BC" w:rsidRPr="00C94C33">
              <w:rPr>
                <w:spacing w:val="-1"/>
              </w:rPr>
              <w:t>4.6, 6.0</w:t>
            </w:r>
            <w:r w:rsidRPr="00C94C33">
              <w:rPr>
                <w:spacing w:val="-1"/>
              </w:rPr>
              <w:t>)</w:t>
            </w:r>
          </w:p>
        </w:tc>
      </w:tr>
      <w:tr w:rsidR="00DF61BC" w:rsidRPr="00C94C33" w14:paraId="71EE1803" w14:textId="77777777" w:rsidTr="00DF61BC">
        <w:trPr>
          <w:trHeight w:hRule="exact" w:val="305"/>
        </w:trPr>
        <w:tc>
          <w:tcPr>
            <w:tcW w:w="3438" w:type="dxa"/>
            <w:tcBorders>
              <w:top w:val="single" w:sz="7" w:space="0" w:color="000000"/>
              <w:left w:val="single" w:sz="6" w:space="0" w:color="000000"/>
              <w:bottom w:val="single" w:sz="7" w:space="0" w:color="000000"/>
              <w:right w:val="single" w:sz="6" w:space="0" w:color="000000"/>
            </w:tcBorders>
          </w:tcPr>
          <w:p w14:paraId="7BD4E3ED" w14:textId="77777777" w:rsidR="00DF61BC" w:rsidRPr="00C94C33" w:rsidRDefault="00DF61BC" w:rsidP="00AB5FC5">
            <w:pPr>
              <w:pStyle w:val="Tabletext"/>
            </w:pPr>
            <w:r w:rsidRPr="00C94C33">
              <w:t>75</w:t>
            </w:r>
            <w:r w:rsidRPr="00C94C33">
              <w:rPr>
                <w:vertAlign w:val="superscript"/>
              </w:rPr>
              <w:t>th</w:t>
            </w:r>
            <w:r w:rsidRPr="00C94C33">
              <w:t xml:space="preserve"> </w:t>
            </w:r>
            <w:r w:rsidRPr="00C94C33">
              <w:rPr>
                <w:spacing w:val="-1"/>
              </w:rPr>
              <w:t>percentile</w:t>
            </w:r>
          </w:p>
        </w:tc>
        <w:tc>
          <w:tcPr>
            <w:tcW w:w="1533" w:type="dxa"/>
            <w:tcBorders>
              <w:top w:val="single" w:sz="7" w:space="0" w:color="000000"/>
              <w:left w:val="single" w:sz="6" w:space="0" w:color="000000"/>
              <w:bottom w:val="single" w:sz="7" w:space="0" w:color="000000"/>
              <w:right w:val="single" w:sz="6" w:space="0" w:color="000000"/>
            </w:tcBorders>
          </w:tcPr>
          <w:p w14:paraId="3138EC8A" w14:textId="77777777" w:rsidR="00DF61BC" w:rsidRPr="00C94C33" w:rsidRDefault="00DF61BC" w:rsidP="00AB5FC5">
            <w:pPr>
              <w:pStyle w:val="Tabletext"/>
            </w:pPr>
            <w:r w:rsidRPr="00C94C33">
              <w:rPr>
                <w:spacing w:val="-1"/>
              </w:rPr>
              <w:t>12.3</w:t>
            </w:r>
          </w:p>
        </w:tc>
        <w:tc>
          <w:tcPr>
            <w:tcW w:w="1536" w:type="dxa"/>
            <w:tcBorders>
              <w:top w:val="single" w:sz="7" w:space="0" w:color="000000"/>
              <w:left w:val="single" w:sz="6" w:space="0" w:color="000000"/>
              <w:bottom w:val="single" w:sz="7" w:space="0" w:color="000000"/>
              <w:right w:val="single" w:sz="6" w:space="0" w:color="000000"/>
            </w:tcBorders>
          </w:tcPr>
          <w:p w14:paraId="6FD74445" w14:textId="7A3B2269" w:rsidR="00DF61BC" w:rsidRPr="00C94C33" w:rsidRDefault="00A0007E" w:rsidP="00AB5FC5">
            <w:pPr>
              <w:pStyle w:val="Tabletext"/>
            </w:pPr>
            <w:r w:rsidRPr="00C94C33">
              <w:rPr>
                <w:spacing w:val="-1"/>
              </w:rPr>
              <w:t>(</w:t>
            </w:r>
            <w:r w:rsidR="00DF61BC" w:rsidRPr="00C94C33">
              <w:rPr>
                <w:spacing w:val="-1"/>
              </w:rPr>
              <w:t>11.1, 13.8</w:t>
            </w:r>
            <w:r w:rsidRPr="00C94C33">
              <w:rPr>
                <w:spacing w:val="-1"/>
              </w:rPr>
              <w:t>)</w:t>
            </w:r>
          </w:p>
        </w:tc>
        <w:tc>
          <w:tcPr>
            <w:tcW w:w="1534" w:type="dxa"/>
            <w:tcBorders>
              <w:top w:val="single" w:sz="7" w:space="0" w:color="000000"/>
              <w:left w:val="single" w:sz="6" w:space="0" w:color="000000"/>
              <w:bottom w:val="single" w:sz="7" w:space="0" w:color="000000"/>
              <w:right w:val="single" w:sz="6" w:space="0" w:color="000000"/>
            </w:tcBorders>
          </w:tcPr>
          <w:p w14:paraId="3062F89D" w14:textId="77777777" w:rsidR="00DF61BC" w:rsidRPr="00C94C33" w:rsidRDefault="00DF61BC" w:rsidP="00AB5FC5">
            <w:pPr>
              <w:pStyle w:val="Tabletext"/>
            </w:pPr>
            <w:r w:rsidRPr="00C94C33">
              <w:rPr>
                <w:spacing w:val="-1"/>
              </w:rPr>
              <w:t>8.6</w:t>
            </w:r>
          </w:p>
        </w:tc>
        <w:tc>
          <w:tcPr>
            <w:tcW w:w="1535" w:type="dxa"/>
            <w:tcBorders>
              <w:top w:val="single" w:sz="7" w:space="0" w:color="000000"/>
              <w:left w:val="single" w:sz="6" w:space="0" w:color="000000"/>
              <w:bottom w:val="single" w:sz="7" w:space="0" w:color="000000"/>
              <w:right w:val="single" w:sz="6" w:space="0" w:color="000000"/>
            </w:tcBorders>
          </w:tcPr>
          <w:p w14:paraId="5FE86817" w14:textId="33680F35" w:rsidR="00DF61BC" w:rsidRPr="00C94C33" w:rsidRDefault="00A0007E" w:rsidP="00AB5FC5">
            <w:pPr>
              <w:pStyle w:val="Tabletext"/>
            </w:pPr>
            <w:r w:rsidRPr="00C94C33">
              <w:rPr>
                <w:spacing w:val="-1"/>
              </w:rPr>
              <w:t>(</w:t>
            </w:r>
            <w:r w:rsidR="00DF61BC" w:rsidRPr="00C94C33">
              <w:rPr>
                <w:spacing w:val="-1"/>
              </w:rPr>
              <w:t>7.5,</w:t>
            </w:r>
            <w:r w:rsidR="00DF61BC" w:rsidRPr="00C94C33">
              <w:rPr>
                <w:spacing w:val="-2"/>
              </w:rPr>
              <w:t xml:space="preserve"> </w:t>
            </w:r>
            <w:r w:rsidR="00DF61BC" w:rsidRPr="00C94C33">
              <w:rPr>
                <w:spacing w:val="-1"/>
              </w:rPr>
              <w:t>11.1</w:t>
            </w:r>
            <w:r w:rsidRPr="00C94C33">
              <w:rPr>
                <w:spacing w:val="-1"/>
              </w:rPr>
              <w:t>)</w:t>
            </w:r>
          </w:p>
        </w:tc>
      </w:tr>
      <w:tr w:rsidR="00DF61BC" w:rsidRPr="00C94C33" w14:paraId="35078ACA" w14:textId="77777777" w:rsidTr="00DF61BC">
        <w:trPr>
          <w:trHeight w:hRule="exact" w:val="306"/>
        </w:trPr>
        <w:tc>
          <w:tcPr>
            <w:tcW w:w="3438" w:type="dxa"/>
            <w:tcBorders>
              <w:top w:val="single" w:sz="7" w:space="0" w:color="000000"/>
              <w:left w:val="single" w:sz="6" w:space="0" w:color="000000"/>
              <w:bottom w:val="single" w:sz="7" w:space="0" w:color="000000"/>
              <w:right w:val="single" w:sz="6" w:space="0" w:color="000000"/>
            </w:tcBorders>
          </w:tcPr>
          <w:p w14:paraId="561C2D3D" w14:textId="64ACFCBF" w:rsidR="00DF61BC" w:rsidRPr="00C94C33" w:rsidRDefault="00DF61BC" w:rsidP="00AB5FC5">
            <w:pPr>
              <w:pStyle w:val="Tabletext"/>
            </w:pPr>
            <w:r w:rsidRPr="00C94C33">
              <w:rPr>
                <w:b/>
                <w:bCs/>
                <w:spacing w:val="-1"/>
              </w:rPr>
              <w:t>Hazard</w:t>
            </w:r>
            <w:r w:rsidRPr="00C94C33">
              <w:rPr>
                <w:b/>
                <w:bCs/>
              </w:rPr>
              <w:t xml:space="preserve"> </w:t>
            </w:r>
            <w:r w:rsidRPr="00C94C33">
              <w:rPr>
                <w:b/>
                <w:bCs/>
                <w:spacing w:val="-1"/>
              </w:rPr>
              <w:t xml:space="preserve">ratio </w:t>
            </w:r>
            <w:r w:rsidR="00A0007E" w:rsidRPr="00C94C33">
              <w:rPr>
                <w:b/>
                <w:bCs/>
                <w:spacing w:val="-1"/>
              </w:rPr>
              <w:t>(</w:t>
            </w:r>
            <w:r w:rsidRPr="00C94C33">
              <w:rPr>
                <w:b/>
                <w:bCs/>
                <w:spacing w:val="-1"/>
              </w:rPr>
              <w:t>95%</w:t>
            </w:r>
            <w:r w:rsidRPr="00C94C33">
              <w:rPr>
                <w:b/>
                <w:bCs/>
                <w:spacing w:val="-4"/>
              </w:rPr>
              <w:t xml:space="preserve"> </w:t>
            </w:r>
            <w:r w:rsidRPr="00C94C33">
              <w:rPr>
                <w:b/>
                <w:bCs/>
              </w:rPr>
              <w:t>CI</w:t>
            </w:r>
            <w:r w:rsidR="00A0007E" w:rsidRPr="00C94C33">
              <w:rPr>
                <w:b/>
                <w:bCs/>
              </w:rPr>
              <w:t>)</w:t>
            </w:r>
          </w:p>
        </w:tc>
        <w:tc>
          <w:tcPr>
            <w:tcW w:w="6138" w:type="dxa"/>
            <w:gridSpan w:val="4"/>
            <w:tcBorders>
              <w:top w:val="single" w:sz="7" w:space="0" w:color="000000"/>
              <w:left w:val="single" w:sz="6" w:space="0" w:color="000000"/>
              <w:bottom w:val="single" w:sz="7" w:space="0" w:color="000000"/>
              <w:right w:val="single" w:sz="6" w:space="0" w:color="000000"/>
            </w:tcBorders>
          </w:tcPr>
          <w:p w14:paraId="12006AA2" w14:textId="6BC5BC85" w:rsidR="00DF61BC" w:rsidRPr="00C94C33" w:rsidRDefault="00DF61BC" w:rsidP="00AB5FC5">
            <w:pPr>
              <w:pStyle w:val="Tabletext"/>
            </w:pPr>
            <w:r w:rsidRPr="00C94C33">
              <w:rPr>
                <w:spacing w:val="-1"/>
              </w:rPr>
              <w:t xml:space="preserve">0.68 </w:t>
            </w:r>
            <w:r w:rsidR="00A0007E" w:rsidRPr="00C94C33">
              <w:rPr>
                <w:spacing w:val="-1"/>
              </w:rPr>
              <w:t>(</w:t>
            </w:r>
            <w:r w:rsidRPr="00C94C33">
              <w:rPr>
                <w:spacing w:val="-1"/>
              </w:rPr>
              <w:t>0.58, 0.81</w:t>
            </w:r>
            <w:r w:rsidR="00A0007E" w:rsidRPr="00C94C33">
              <w:rPr>
                <w:spacing w:val="-1"/>
              </w:rPr>
              <w:t>)</w:t>
            </w:r>
          </w:p>
        </w:tc>
      </w:tr>
      <w:tr w:rsidR="00DF61BC" w:rsidRPr="00C94C33" w14:paraId="1E38C087" w14:textId="77777777" w:rsidTr="00DF61BC">
        <w:trPr>
          <w:trHeight w:hRule="exact" w:val="328"/>
        </w:trPr>
        <w:tc>
          <w:tcPr>
            <w:tcW w:w="3438" w:type="dxa"/>
            <w:tcBorders>
              <w:top w:val="single" w:sz="7" w:space="0" w:color="000000"/>
              <w:left w:val="single" w:sz="6" w:space="0" w:color="000000"/>
              <w:bottom w:val="single" w:sz="7" w:space="0" w:color="000000"/>
              <w:right w:val="single" w:sz="6" w:space="0" w:color="000000"/>
            </w:tcBorders>
          </w:tcPr>
          <w:p w14:paraId="7D643B39" w14:textId="77777777" w:rsidR="00DF61BC" w:rsidRPr="00C94C33" w:rsidRDefault="00DF61BC" w:rsidP="00AB5FC5">
            <w:pPr>
              <w:pStyle w:val="Tabletext"/>
            </w:pPr>
            <w:r w:rsidRPr="00C94C33">
              <w:rPr>
                <w:b/>
                <w:bCs/>
                <w:spacing w:val="-1"/>
              </w:rPr>
              <w:t xml:space="preserve">P-value </w:t>
            </w:r>
            <w:r w:rsidRPr="00C94C33">
              <w:rPr>
                <w:b/>
                <w:bCs/>
                <w:spacing w:val="-1"/>
                <w:vertAlign w:val="superscript"/>
              </w:rPr>
              <w:t>c</w:t>
            </w:r>
          </w:p>
        </w:tc>
        <w:tc>
          <w:tcPr>
            <w:tcW w:w="6138" w:type="dxa"/>
            <w:gridSpan w:val="4"/>
            <w:tcBorders>
              <w:top w:val="single" w:sz="7" w:space="0" w:color="000000"/>
              <w:left w:val="single" w:sz="6" w:space="0" w:color="000000"/>
              <w:bottom w:val="single" w:sz="7" w:space="0" w:color="000000"/>
              <w:right w:val="single" w:sz="6" w:space="0" w:color="000000"/>
            </w:tcBorders>
          </w:tcPr>
          <w:p w14:paraId="094103BB" w14:textId="77777777" w:rsidR="00DF61BC" w:rsidRPr="00C94C33" w:rsidRDefault="00DF61BC" w:rsidP="00AB5FC5">
            <w:pPr>
              <w:pStyle w:val="Tabletext"/>
            </w:pPr>
            <w:r w:rsidRPr="00C94C33">
              <w:rPr>
                <w:spacing w:val="-1"/>
              </w:rPr>
              <w:t>&lt;0.0001 (1-sided</w:t>
            </w:r>
            <w:r w:rsidRPr="00C94C33">
              <w:rPr>
                <w:spacing w:val="1"/>
              </w:rPr>
              <w:t xml:space="preserve"> </w:t>
            </w:r>
            <w:r w:rsidRPr="00C94C33">
              <w:rPr>
                <w:spacing w:val="-1"/>
              </w:rPr>
              <w:t>and 2-sided)</w:t>
            </w:r>
          </w:p>
        </w:tc>
      </w:tr>
      <w:tr w:rsidR="00DF61BC" w:rsidRPr="00C94C33" w14:paraId="3B55037F" w14:textId="77777777" w:rsidTr="00DF61BC">
        <w:trPr>
          <w:trHeight w:hRule="exact" w:val="308"/>
        </w:trPr>
        <w:tc>
          <w:tcPr>
            <w:tcW w:w="9576" w:type="dxa"/>
            <w:gridSpan w:val="5"/>
            <w:tcBorders>
              <w:top w:val="single" w:sz="7" w:space="0" w:color="000000"/>
              <w:left w:val="single" w:sz="6" w:space="0" w:color="000000"/>
              <w:bottom w:val="single" w:sz="7" w:space="0" w:color="000000"/>
              <w:right w:val="single" w:sz="6" w:space="0" w:color="000000"/>
            </w:tcBorders>
          </w:tcPr>
          <w:p w14:paraId="023EB93D" w14:textId="32676C51" w:rsidR="00DF61BC" w:rsidRPr="00C94C33" w:rsidRDefault="00DF61BC" w:rsidP="00AB5FC5">
            <w:pPr>
              <w:pStyle w:val="TableHeading"/>
            </w:pPr>
            <w:r w:rsidRPr="00C94C33">
              <w:t xml:space="preserve">Percent (%) of patients surviving </w:t>
            </w:r>
            <w:r w:rsidRPr="00C94C33">
              <w:rPr>
                <w:vertAlign w:val="superscript"/>
              </w:rPr>
              <w:t xml:space="preserve">a </w:t>
            </w:r>
            <w:r w:rsidRPr="00C94C33">
              <w:t xml:space="preserve"> </w:t>
            </w:r>
            <w:r w:rsidR="00A0007E" w:rsidRPr="00C94C33">
              <w:t>(</w:t>
            </w:r>
            <w:r w:rsidRPr="00C94C33">
              <w:t>95%</w:t>
            </w:r>
            <w:r w:rsidRPr="00C94C33">
              <w:rPr>
                <w:spacing w:val="-4"/>
              </w:rPr>
              <w:t xml:space="preserve"> </w:t>
            </w:r>
            <w:r w:rsidRPr="00C94C33">
              <w:t>CI</w:t>
            </w:r>
            <w:r w:rsidR="00A0007E" w:rsidRPr="00C94C33">
              <w:t>)</w:t>
            </w:r>
            <w:r w:rsidRPr="00C94C33">
              <w:t xml:space="preserve"> </w:t>
            </w:r>
            <w:r w:rsidRPr="00C94C33">
              <w:rPr>
                <w:vertAlign w:val="superscript"/>
              </w:rPr>
              <w:t xml:space="preserve">d </w:t>
            </w:r>
          </w:p>
        </w:tc>
      </w:tr>
      <w:tr w:rsidR="00DF61BC" w:rsidRPr="00C94C33" w14:paraId="5113679A" w14:textId="77777777" w:rsidTr="00DF61BC">
        <w:trPr>
          <w:trHeight w:hRule="exact" w:val="305"/>
        </w:trPr>
        <w:tc>
          <w:tcPr>
            <w:tcW w:w="3438" w:type="dxa"/>
            <w:tcBorders>
              <w:top w:val="single" w:sz="7" w:space="0" w:color="000000"/>
              <w:left w:val="single" w:sz="6" w:space="0" w:color="000000"/>
              <w:bottom w:val="single" w:sz="7" w:space="0" w:color="000000"/>
              <w:right w:val="single" w:sz="6" w:space="0" w:color="000000"/>
            </w:tcBorders>
          </w:tcPr>
          <w:p w14:paraId="4773EAAB" w14:textId="77777777" w:rsidR="00DF61BC" w:rsidRPr="00C94C33" w:rsidRDefault="00DF61BC" w:rsidP="00AB5FC5">
            <w:pPr>
              <w:pStyle w:val="Tabletext"/>
            </w:pPr>
            <w:r w:rsidRPr="00C94C33">
              <w:t>At 3 months</w:t>
            </w:r>
          </w:p>
        </w:tc>
        <w:tc>
          <w:tcPr>
            <w:tcW w:w="1533" w:type="dxa"/>
            <w:tcBorders>
              <w:top w:val="single" w:sz="7" w:space="0" w:color="000000"/>
              <w:left w:val="single" w:sz="6" w:space="0" w:color="000000"/>
              <w:bottom w:val="single" w:sz="7" w:space="0" w:color="000000"/>
              <w:right w:val="single" w:sz="6" w:space="0" w:color="000000"/>
            </w:tcBorders>
          </w:tcPr>
          <w:p w14:paraId="44FE7032" w14:textId="77777777" w:rsidR="00DF61BC" w:rsidRPr="00C94C33" w:rsidRDefault="00DF61BC" w:rsidP="00AB5FC5">
            <w:pPr>
              <w:pStyle w:val="Tabletext"/>
            </w:pPr>
            <w:r w:rsidRPr="00C94C33">
              <w:t>(86.0)</w:t>
            </w:r>
          </w:p>
        </w:tc>
        <w:tc>
          <w:tcPr>
            <w:tcW w:w="1536" w:type="dxa"/>
            <w:tcBorders>
              <w:top w:val="single" w:sz="7" w:space="0" w:color="000000"/>
              <w:left w:val="single" w:sz="6" w:space="0" w:color="000000"/>
              <w:bottom w:val="single" w:sz="7" w:space="0" w:color="000000"/>
              <w:right w:val="single" w:sz="6" w:space="0" w:color="000000"/>
            </w:tcBorders>
          </w:tcPr>
          <w:p w14:paraId="70231257" w14:textId="2769FCC1" w:rsidR="00DF61BC" w:rsidRPr="00C94C33" w:rsidRDefault="00A0007E" w:rsidP="00AB5FC5">
            <w:pPr>
              <w:pStyle w:val="Tabletext"/>
            </w:pPr>
            <w:r w:rsidRPr="00C94C33">
              <w:t>(</w:t>
            </w:r>
            <w:r w:rsidR="00DF61BC" w:rsidRPr="00C94C33">
              <w:t>82.7, 88.6</w:t>
            </w:r>
            <w:r w:rsidRPr="00C94C33">
              <w:t>)</w:t>
            </w:r>
          </w:p>
        </w:tc>
        <w:tc>
          <w:tcPr>
            <w:tcW w:w="1534" w:type="dxa"/>
            <w:tcBorders>
              <w:top w:val="single" w:sz="7" w:space="0" w:color="000000"/>
              <w:left w:val="single" w:sz="6" w:space="0" w:color="000000"/>
              <w:bottom w:val="single" w:sz="7" w:space="0" w:color="000000"/>
              <w:right w:val="single" w:sz="6" w:space="0" w:color="000000"/>
            </w:tcBorders>
          </w:tcPr>
          <w:p w14:paraId="0C838E31" w14:textId="77777777" w:rsidR="00DF61BC" w:rsidRPr="00C94C33" w:rsidRDefault="00DF61BC" w:rsidP="00AB5FC5">
            <w:pPr>
              <w:pStyle w:val="Tabletext"/>
            </w:pPr>
            <w:r w:rsidRPr="00C94C33">
              <w:t>(75.1)</w:t>
            </w:r>
          </w:p>
        </w:tc>
        <w:tc>
          <w:tcPr>
            <w:tcW w:w="1535" w:type="dxa"/>
            <w:tcBorders>
              <w:top w:val="single" w:sz="7" w:space="0" w:color="000000"/>
              <w:left w:val="single" w:sz="6" w:space="0" w:color="000000"/>
              <w:bottom w:val="single" w:sz="7" w:space="0" w:color="000000"/>
              <w:right w:val="single" w:sz="6" w:space="0" w:color="000000"/>
            </w:tcBorders>
          </w:tcPr>
          <w:p w14:paraId="2DF2A792" w14:textId="5C4FEF54" w:rsidR="00DF61BC" w:rsidRPr="00C94C33" w:rsidRDefault="00A0007E" w:rsidP="00AB5FC5">
            <w:pPr>
              <w:pStyle w:val="Tabletext"/>
            </w:pPr>
            <w:r w:rsidRPr="00C94C33">
              <w:t>(</w:t>
            </w:r>
            <w:r w:rsidR="00DF61BC" w:rsidRPr="00C94C33">
              <w:t>69.4, 79.9</w:t>
            </w:r>
            <w:r w:rsidRPr="00C94C33">
              <w:t>)</w:t>
            </w:r>
          </w:p>
        </w:tc>
      </w:tr>
      <w:tr w:rsidR="00DF61BC" w:rsidRPr="00C94C33" w14:paraId="22410ED9" w14:textId="77777777" w:rsidTr="00DF61BC">
        <w:trPr>
          <w:trHeight w:hRule="exact" w:val="305"/>
        </w:trPr>
        <w:tc>
          <w:tcPr>
            <w:tcW w:w="3438" w:type="dxa"/>
            <w:tcBorders>
              <w:top w:val="single" w:sz="7" w:space="0" w:color="000000"/>
              <w:left w:val="single" w:sz="6" w:space="0" w:color="000000"/>
              <w:bottom w:val="single" w:sz="7" w:space="0" w:color="000000"/>
              <w:right w:val="single" w:sz="6" w:space="0" w:color="000000"/>
            </w:tcBorders>
          </w:tcPr>
          <w:p w14:paraId="707A576F" w14:textId="77777777" w:rsidR="00DF61BC" w:rsidRPr="00C94C33" w:rsidRDefault="00DF61BC" w:rsidP="00AB5FC5">
            <w:pPr>
              <w:pStyle w:val="Tabletext"/>
            </w:pPr>
            <w:r w:rsidRPr="00C94C33">
              <w:t>At 6 months</w:t>
            </w:r>
          </w:p>
        </w:tc>
        <w:tc>
          <w:tcPr>
            <w:tcW w:w="1533" w:type="dxa"/>
            <w:tcBorders>
              <w:top w:val="single" w:sz="7" w:space="0" w:color="000000"/>
              <w:left w:val="single" w:sz="6" w:space="0" w:color="000000"/>
              <w:bottom w:val="single" w:sz="7" w:space="0" w:color="000000"/>
              <w:right w:val="single" w:sz="6" w:space="0" w:color="000000"/>
            </w:tcBorders>
          </w:tcPr>
          <w:p w14:paraId="20792B06" w14:textId="77777777" w:rsidR="00DF61BC" w:rsidRPr="00C94C33" w:rsidRDefault="00DF61BC" w:rsidP="00AB5FC5">
            <w:pPr>
              <w:pStyle w:val="Tabletext"/>
            </w:pPr>
            <w:r w:rsidRPr="00C94C33">
              <w:t>(57.8)</w:t>
            </w:r>
          </w:p>
        </w:tc>
        <w:tc>
          <w:tcPr>
            <w:tcW w:w="1536" w:type="dxa"/>
            <w:tcBorders>
              <w:top w:val="single" w:sz="7" w:space="0" w:color="000000"/>
              <w:left w:val="single" w:sz="6" w:space="0" w:color="000000"/>
              <w:bottom w:val="single" w:sz="7" w:space="0" w:color="000000"/>
              <w:right w:val="single" w:sz="6" w:space="0" w:color="000000"/>
            </w:tcBorders>
          </w:tcPr>
          <w:p w14:paraId="637435A8" w14:textId="0A1C6100" w:rsidR="00DF61BC" w:rsidRPr="00C94C33" w:rsidRDefault="00A0007E" w:rsidP="00AB5FC5">
            <w:pPr>
              <w:pStyle w:val="Tabletext"/>
            </w:pPr>
            <w:r w:rsidRPr="00C94C33">
              <w:t>(</w:t>
            </w:r>
            <w:r w:rsidR="00DF61BC" w:rsidRPr="00C94C33">
              <w:t>53.5, 61.9</w:t>
            </w:r>
            <w:r w:rsidRPr="00C94C33">
              <w:t>)</w:t>
            </w:r>
          </w:p>
        </w:tc>
        <w:tc>
          <w:tcPr>
            <w:tcW w:w="1534" w:type="dxa"/>
            <w:tcBorders>
              <w:top w:val="single" w:sz="7" w:space="0" w:color="000000"/>
              <w:left w:val="single" w:sz="6" w:space="0" w:color="000000"/>
              <w:bottom w:val="single" w:sz="7" w:space="0" w:color="000000"/>
              <w:right w:val="single" w:sz="6" w:space="0" w:color="000000"/>
            </w:tcBorders>
          </w:tcPr>
          <w:p w14:paraId="7C3B5BDF" w14:textId="77777777" w:rsidR="00DF61BC" w:rsidRPr="00C94C33" w:rsidRDefault="00DF61BC" w:rsidP="00AB5FC5">
            <w:pPr>
              <w:pStyle w:val="Tabletext"/>
            </w:pPr>
            <w:r w:rsidRPr="00C94C33">
              <w:t>(43.5)</w:t>
            </w:r>
          </w:p>
        </w:tc>
        <w:tc>
          <w:tcPr>
            <w:tcW w:w="1535" w:type="dxa"/>
            <w:tcBorders>
              <w:top w:val="single" w:sz="7" w:space="0" w:color="000000"/>
              <w:left w:val="single" w:sz="6" w:space="0" w:color="000000"/>
              <w:bottom w:val="single" w:sz="7" w:space="0" w:color="000000"/>
              <w:right w:val="single" w:sz="6" w:space="0" w:color="000000"/>
            </w:tcBorders>
          </w:tcPr>
          <w:p w14:paraId="0C408528" w14:textId="149DB0B6" w:rsidR="00DF61BC" w:rsidRPr="00C94C33" w:rsidRDefault="00A0007E" w:rsidP="00AB5FC5">
            <w:pPr>
              <w:pStyle w:val="Tabletext"/>
            </w:pPr>
            <w:r w:rsidRPr="00C94C33">
              <w:t>(</w:t>
            </w:r>
            <w:r w:rsidR="00DF61BC" w:rsidRPr="00C94C33">
              <w:t>37.4, 49.4</w:t>
            </w:r>
            <w:r w:rsidRPr="00C94C33">
              <w:t>)</w:t>
            </w:r>
          </w:p>
        </w:tc>
      </w:tr>
      <w:tr w:rsidR="00DF61BC" w:rsidRPr="00C94C33" w14:paraId="75768BD8" w14:textId="77777777" w:rsidTr="00B0220F">
        <w:trPr>
          <w:trHeight w:hRule="exact" w:val="305"/>
        </w:trPr>
        <w:tc>
          <w:tcPr>
            <w:tcW w:w="3438" w:type="dxa"/>
            <w:tcBorders>
              <w:top w:val="single" w:sz="7" w:space="0" w:color="000000"/>
              <w:left w:val="single" w:sz="6" w:space="0" w:color="000000"/>
              <w:bottom w:val="single" w:sz="8" w:space="0" w:color="000000"/>
              <w:right w:val="single" w:sz="6" w:space="0" w:color="000000"/>
            </w:tcBorders>
          </w:tcPr>
          <w:p w14:paraId="34E360F7" w14:textId="77777777" w:rsidR="00DF61BC" w:rsidRPr="00C94C33" w:rsidRDefault="00DF61BC" w:rsidP="00AB5FC5">
            <w:pPr>
              <w:pStyle w:val="Tabletext"/>
            </w:pPr>
            <w:r w:rsidRPr="00C94C33">
              <w:t>At 9 months</w:t>
            </w:r>
          </w:p>
        </w:tc>
        <w:tc>
          <w:tcPr>
            <w:tcW w:w="1533" w:type="dxa"/>
            <w:tcBorders>
              <w:top w:val="single" w:sz="7" w:space="0" w:color="000000"/>
              <w:left w:val="single" w:sz="6" w:space="0" w:color="000000"/>
              <w:bottom w:val="single" w:sz="8" w:space="0" w:color="000000"/>
              <w:right w:val="single" w:sz="6" w:space="0" w:color="000000"/>
            </w:tcBorders>
          </w:tcPr>
          <w:p w14:paraId="120BBE2C" w14:textId="77777777" w:rsidR="00DF61BC" w:rsidRPr="00C94C33" w:rsidRDefault="00DF61BC" w:rsidP="00AB5FC5">
            <w:pPr>
              <w:pStyle w:val="Tabletext"/>
            </w:pPr>
            <w:r w:rsidRPr="00C94C33">
              <w:t>(40.1)</w:t>
            </w:r>
          </w:p>
        </w:tc>
        <w:tc>
          <w:tcPr>
            <w:tcW w:w="1536" w:type="dxa"/>
            <w:tcBorders>
              <w:top w:val="single" w:sz="7" w:space="0" w:color="000000"/>
              <w:left w:val="single" w:sz="6" w:space="0" w:color="000000"/>
              <w:bottom w:val="single" w:sz="8" w:space="0" w:color="000000"/>
              <w:right w:val="single" w:sz="6" w:space="0" w:color="000000"/>
            </w:tcBorders>
          </w:tcPr>
          <w:p w14:paraId="678B5AAD" w14:textId="54A2E3C4" w:rsidR="00DF61BC" w:rsidRPr="00C94C33" w:rsidRDefault="00A0007E" w:rsidP="00AB5FC5">
            <w:pPr>
              <w:pStyle w:val="Tabletext"/>
            </w:pPr>
            <w:r w:rsidRPr="00C94C33">
              <w:t>(</w:t>
            </w:r>
            <w:r w:rsidR="00DF61BC" w:rsidRPr="00C94C33">
              <w:t>35.6, 44.6</w:t>
            </w:r>
            <w:r w:rsidRPr="00C94C33">
              <w:t>)</w:t>
            </w:r>
          </w:p>
        </w:tc>
        <w:tc>
          <w:tcPr>
            <w:tcW w:w="1534" w:type="dxa"/>
            <w:tcBorders>
              <w:top w:val="single" w:sz="7" w:space="0" w:color="000000"/>
              <w:left w:val="single" w:sz="6" w:space="0" w:color="000000"/>
              <w:bottom w:val="single" w:sz="8" w:space="0" w:color="000000"/>
              <w:right w:val="single" w:sz="6" w:space="0" w:color="000000"/>
            </w:tcBorders>
          </w:tcPr>
          <w:p w14:paraId="68227DA1" w14:textId="77777777" w:rsidR="00DF61BC" w:rsidRPr="00C94C33" w:rsidRDefault="00DF61BC" w:rsidP="00AB5FC5">
            <w:pPr>
              <w:pStyle w:val="Tabletext"/>
            </w:pPr>
            <w:r w:rsidRPr="00C94C33">
              <w:t>(24.2)</w:t>
            </w:r>
          </w:p>
        </w:tc>
        <w:tc>
          <w:tcPr>
            <w:tcW w:w="1535" w:type="dxa"/>
            <w:tcBorders>
              <w:top w:val="single" w:sz="7" w:space="0" w:color="000000"/>
              <w:left w:val="single" w:sz="6" w:space="0" w:color="000000"/>
              <w:bottom w:val="single" w:sz="8" w:space="0" w:color="000000"/>
              <w:right w:val="single" w:sz="6" w:space="0" w:color="000000"/>
            </w:tcBorders>
          </w:tcPr>
          <w:p w14:paraId="0E3A8114" w14:textId="51FFDFFE" w:rsidR="00DF61BC" w:rsidRPr="00C94C33" w:rsidRDefault="00A0007E" w:rsidP="00AB5FC5">
            <w:pPr>
              <w:pStyle w:val="Tabletext"/>
            </w:pPr>
            <w:r w:rsidRPr="00C94C33">
              <w:t>(</w:t>
            </w:r>
            <w:r w:rsidR="00DF61BC" w:rsidRPr="00C94C33">
              <w:t>18.9, 29.9</w:t>
            </w:r>
            <w:r w:rsidRPr="00C94C33">
              <w:t>)</w:t>
            </w:r>
          </w:p>
        </w:tc>
      </w:tr>
      <w:tr w:rsidR="00DF61BC" w:rsidRPr="00C94C33" w14:paraId="1BF4F861" w14:textId="77777777" w:rsidTr="00B0220F">
        <w:trPr>
          <w:trHeight w:hRule="exact" w:val="304"/>
        </w:trPr>
        <w:tc>
          <w:tcPr>
            <w:tcW w:w="3438" w:type="dxa"/>
            <w:tcBorders>
              <w:top w:val="single" w:sz="8" w:space="0" w:color="000000"/>
              <w:left w:val="single" w:sz="6" w:space="0" w:color="000000"/>
              <w:bottom w:val="single" w:sz="6" w:space="0" w:color="000000"/>
              <w:right w:val="single" w:sz="6" w:space="0" w:color="000000"/>
            </w:tcBorders>
          </w:tcPr>
          <w:p w14:paraId="5FDFC46B" w14:textId="77777777" w:rsidR="00DF61BC" w:rsidRPr="00C94C33" w:rsidRDefault="00DF61BC" w:rsidP="00AB5FC5">
            <w:pPr>
              <w:pStyle w:val="Tabletext"/>
            </w:pPr>
            <w:r w:rsidRPr="00C94C33">
              <w:t>At 12 months</w:t>
            </w:r>
          </w:p>
        </w:tc>
        <w:tc>
          <w:tcPr>
            <w:tcW w:w="1533" w:type="dxa"/>
            <w:tcBorders>
              <w:top w:val="single" w:sz="8" w:space="0" w:color="000000"/>
              <w:left w:val="single" w:sz="6" w:space="0" w:color="000000"/>
              <w:bottom w:val="single" w:sz="6" w:space="0" w:color="000000"/>
              <w:right w:val="single" w:sz="6" w:space="0" w:color="000000"/>
            </w:tcBorders>
          </w:tcPr>
          <w:p w14:paraId="267F2CE4" w14:textId="77777777" w:rsidR="00DF61BC" w:rsidRPr="00C94C33" w:rsidRDefault="00DF61BC" w:rsidP="00AB5FC5">
            <w:pPr>
              <w:pStyle w:val="Tabletext"/>
            </w:pPr>
            <w:r w:rsidRPr="00C94C33">
              <w:t>(26.6)</w:t>
            </w:r>
          </w:p>
        </w:tc>
        <w:tc>
          <w:tcPr>
            <w:tcW w:w="1536" w:type="dxa"/>
            <w:tcBorders>
              <w:top w:val="single" w:sz="8" w:space="0" w:color="000000"/>
              <w:left w:val="single" w:sz="6" w:space="0" w:color="000000"/>
              <w:bottom w:val="single" w:sz="6" w:space="0" w:color="000000"/>
              <w:right w:val="single" w:sz="6" w:space="0" w:color="000000"/>
            </w:tcBorders>
          </w:tcPr>
          <w:p w14:paraId="77E9EF81" w14:textId="3525EB19" w:rsidR="00DF61BC" w:rsidRPr="00C94C33" w:rsidRDefault="00A0007E" w:rsidP="00AB5FC5">
            <w:pPr>
              <w:pStyle w:val="Tabletext"/>
            </w:pPr>
            <w:r w:rsidRPr="00C94C33">
              <w:t>(</w:t>
            </w:r>
            <w:r w:rsidR="00DF61BC" w:rsidRPr="00C94C33">
              <w:t>22.2, 31.1</w:t>
            </w:r>
            <w:r w:rsidRPr="00C94C33">
              <w:t>)</w:t>
            </w:r>
          </w:p>
        </w:tc>
        <w:tc>
          <w:tcPr>
            <w:tcW w:w="1534" w:type="dxa"/>
            <w:tcBorders>
              <w:top w:val="single" w:sz="8" w:space="0" w:color="000000"/>
              <w:left w:val="single" w:sz="6" w:space="0" w:color="000000"/>
              <w:bottom w:val="single" w:sz="6" w:space="0" w:color="000000"/>
              <w:right w:val="single" w:sz="6" w:space="0" w:color="000000"/>
            </w:tcBorders>
          </w:tcPr>
          <w:p w14:paraId="64962F68" w14:textId="77777777" w:rsidR="00DF61BC" w:rsidRPr="00C94C33" w:rsidRDefault="00DF61BC" w:rsidP="00AB5FC5">
            <w:pPr>
              <w:pStyle w:val="Tabletext"/>
            </w:pPr>
            <w:r w:rsidRPr="00C94C33">
              <w:t>(17.6)</w:t>
            </w:r>
          </w:p>
        </w:tc>
        <w:tc>
          <w:tcPr>
            <w:tcW w:w="1535" w:type="dxa"/>
            <w:tcBorders>
              <w:top w:val="single" w:sz="8" w:space="0" w:color="000000"/>
              <w:left w:val="single" w:sz="6" w:space="0" w:color="000000"/>
              <w:bottom w:val="single" w:sz="6" w:space="0" w:color="000000"/>
              <w:right w:val="single" w:sz="6" w:space="0" w:color="000000"/>
            </w:tcBorders>
          </w:tcPr>
          <w:p w14:paraId="70A5993F" w14:textId="726868CC" w:rsidR="00DF61BC" w:rsidRPr="00C94C33" w:rsidRDefault="00A0007E" w:rsidP="00AB5FC5">
            <w:pPr>
              <w:pStyle w:val="Tabletext"/>
            </w:pPr>
            <w:r w:rsidRPr="00C94C33">
              <w:t>(</w:t>
            </w:r>
            <w:r w:rsidR="00DF61BC" w:rsidRPr="00C94C33">
              <w:t>12.7, 23.1</w:t>
            </w:r>
            <w:r w:rsidRPr="00C94C33">
              <w:t>)</w:t>
            </w:r>
          </w:p>
        </w:tc>
      </w:tr>
    </w:tbl>
    <w:p w14:paraId="423793F3" w14:textId="4EDDF7C1" w:rsidR="00DF61BC" w:rsidRPr="00C94C33" w:rsidRDefault="009A186D" w:rsidP="003106FF">
      <w:pPr>
        <w:pStyle w:val="TableDescription"/>
      </w:pPr>
      <w:r w:rsidRPr="00C94C33">
        <w:t>a</w:t>
      </w:r>
      <w:r w:rsidR="00D67E9B">
        <w:t>)</w:t>
      </w:r>
      <w:r w:rsidRPr="00C94C33">
        <w:t xml:space="preserve"> </w:t>
      </w:r>
      <w:r w:rsidR="00DF61BC" w:rsidRPr="00C94C33">
        <w:t>Kaplan-Meier estimates</w:t>
      </w:r>
      <w:r w:rsidR="00D67E9B">
        <w:t xml:space="preserve">; </w:t>
      </w:r>
      <w:r w:rsidRPr="00C94C33">
        <w:t>b</w:t>
      </w:r>
      <w:r w:rsidR="00D67E9B">
        <w:t>)</w:t>
      </w:r>
      <w:r w:rsidRPr="00C94C33">
        <w:t xml:space="preserve"> </w:t>
      </w:r>
      <w:r w:rsidR="00DF61BC" w:rsidRPr="00C94C33">
        <w:t>Methodology of Brookmeyer and Crowley</w:t>
      </w:r>
      <w:r w:rsidR="00D67E9B">
        <w:t xml:space="preserve">; </w:t>
      </w:r>
      <w:r w:rsidRPr="00C94C33">
        <w:t>c</w:t>
      </w:r>
      <w:r w:rsidR="00D67E9B">
        <w:t>)</w:t>
      </w:r>
      <w:r w:rsidRPr="00C94C33">
        <w:t xml:space="preserve"> </w:t>
      </w:r>
      <w:r w:rsidR="00DF61BC" w:rsidRPr="00C94C33">
        <w:t>Stratified log-rank test (strata: KRAS status, time since diagnosis of first metastasis, region)</w:t>
      </w:r>
      <w:r w:rsidR="00D67E9B">
        <w:t xml:space="preserve">; </w:t>
      </w:r>
      <w:r w:rsidRPr="00C94C33">
        <w:t>d</w:t>
      </w:r>
      <w:r w:rsidR="00D67E9B">
        <w:t>)</w:t>
      </w:r>
      <w:r w:rsidRPr="00C94C33">
        <w:t xml:space="preserve"> </w:t>
      </w:r>
      <w:r w:rsidR="00DF61BC" w:rsidRPr="00C94C33">
        <w:t>Using log-log transformation methodolo</w:t>
      </w:r>
      <w:r w:rsidR="0005351A">
        <w:t>gy of Kalbfleisch and Prentice.</w:t>
      </w:r>
    </w:p>
    <w:p w14:paraId="6933A86B" w14:textId="5CDFBB3A" w:rsidR="00DF61BC" w:rsidRPr="00C94C33" w:rsidRDefault="00DF61BC" w:rsidP="00B0220F">
      <w:pPr>
        <w:pStyle w:val="FigureTitle"/>
        <w:keepNext/>
      </w:pPr>
      <w:bookmarkStart w:id="253" w:name="_Toc470948804"/>
      <w:r w:rsidRPr="00C94C33">
        <w:lastRenderedPageBreak/>
        <w:t>Figure</w:t>
      </w:r>
      <w:r w:rsidR="009266B2" w:rsidRPr="00C94C33">
        <w:t xml:space="preserve"> 9</w:t>
      </w:r>
      <w:r w:rsidRPr="00C94C33">
        <w:t>: Overall survival (OS) Kaplan-Meier curves</w:t>
      </w:r>
      <w:r w:rsidR="007774FB">
        <w:t>;</w:t>
      </w:r>
      <w:r w:rsidRPr="00C94C33">
        <w:t xml:space="preserve"> ITT population at the cut</w:t>
      </w:r>
      <w:r w:rsidR="007774FB">
        <w:t xml:space="preserve"> </w:t>
      </w:r>
      <w:r w:rsidRPr="00C94C33">
        <w:t>off date of 24 January 2014</w:t>
      </w:r>
      <w:bookmarkEnd w:id="253"/>
    </w:p>
    <w:p w14:paraId="7DD0F439" w14:textId="0F1DCA93" w:rsidR="00DF61BC" w:rsidRPr="007709B8" w:rsidRDefault="0005351A" w:rsidP="00DF61BC">
      <w:pPr>
        <w:spacing w:after="0"/>
        <w:rPr>
          <w:sz w:val="18"/>
          <w:szCs w:val="18"/>
        </w:rPr>
      </w:pPr>
      <w:r>
        <w:rPr>
          <w:noProof/>
          <w:lang w:eastAsia="en-AU"/>
        </w:rPr>
        <w:drawing>
          <wp:inline distT="0" distB="0" distL="0" distR="0" wp14:anchorId="6C1D340C" wp14:editId="3762B090">
            <wp:extent cx="3560400" cy="1872105"/>
            <wp:effectExtent l="19050" t="19050" r="21590" b="13970"/>
            <wp:docPr id="48" name="Picture 5" descr="Figure 9: Overall survival (OS) Kaplan-Meier curves, ITT population at the cutoff date of 24 January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 descr="Figure 9: Overall survival (OS) Kaplan-Meier curves, ITT population at the cutoff date of 24 January 2014.  "/>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0400" cy="18721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5436295D" w14:textId="0E1E7B56"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The sensitivity (supportive) OS analyses were consistent wi</w:t>
      </w:r>
      <w:r w:rsidR="00BC1AB8" w:rsidRPr="00C94C33">
        <w:rPr>
          <w:rFonts w:asciiTheme="minorHAnsi" w:hAnsiTheme="minorHAnsi"/>
        </w:rPr>
        <w:t>th the primary OS analysis</w:t>
      </w:r>
      <w:r w:rsidRPr="00C94C33">
        <w:rPr>
          <w:rFonts w:asciiTheme="minorHAnsi" w:hAnsiTheme="minorHAnsi"/>
        </w:rPr>
        <w:t>, as were the OS analyse</w:t>
      </w:r>
      <w:r w:rsidR="00BC1AB8" w:rsidRPr="00C94C33">
        <w:rPr>
          <w:rFonts w:asciiTheme="minorHAnsi" w:hAnsiTheme="minorHAnsi"/>
        </w:rPr>
        <w:t>s by stratification factors</w:t>
      </w:r>
      <w:r w:rsidRPr="00C94C33">
        <w:rPr>
          <w:rFonts w:asciiTheme="minorHAnsi" w:hAnsiTheme="minorHAnsi"/>
        </w:rPr>
        <w:t xml:space="preserve">. There were a number of supportive subgroup analyses of OS, including analyses by stratification factors and </w:t>
      </w:r>
      <w:r w:rsidRPr="00C94C33">
        <w:rPr>
          <w:rFonts w:asciiTheme="minorHAnsi" w:hAnsiTheme="minorHAnsi"/>
          <w:color w:val="000000"/>
        </w:rPr>
        <w:t>geographical region, BRAF status, age, race, gender, primary tumour site, ECOG score, number of prior regimens, number of metastatic sites, prior regorafenib, and refractoriness to fluoropyrimidine in last prior regimen</w:t>
      </w:r>
      <w:r w:rsidRPr="00C94C33">
        <w:rPr>
          <w:rFonts w:asciiTheme="minorHAnsi" w:hAnsiTheme="minorHAnsi"/>
        </w:rPr>
        <w:t>. The results for the OS analyses in the subgroups were consistent with the primary OS analysis in the ITT population, with survival favouring the TAS-102 arm compared to the placebo arm in all subgroup analyses apart from patients</w:t>
      </w:r>
      <w:r w:rsidR="00BC1AB8" w:rsidRPr="00C94C33">
        <w:rPr>
          <w:rFonts w:asciiTheme="minorHAnsi" w:hAnsiTheme="minorHAnsi"/>
        </w:rPr>
        <w:t xml:space="preserve"> treated with 2 prior regimens</w:t>
      </w:r>
      <w:r w:rsidRPr="00C94C33">
        <w:rPr>
          <w:rFonts w:asciiTheme="minorHAnsi" w:hAnsiTheme="minorHAnsi"/>
        </w:rPr>
        <w:t>.</w:t>
      </w:r>
    </w:p>
    <w:p w14:paraId="3CDDBBF6" w14:textId="7C9EDAAE" w:rsidR="00DF61BC" w:rsidRPr="00C94C33" w:rsidRDefault="00DF61BC" w:rsidP="00DF61BC">
      <w:pPr>
        <w:autoSpaceDE w:val="0"/>
        <w:autoSpaceDN w:val="0"/>
        <w:adjustRightInd w:val="0"/>
        <w:rPr>
          <w:rFonts w:asciiTheme="minorHAnsi" w:eastAsia="TimesNewRoman" w:hAnsiTheme="minorHAnsi"/>
        </w:rPr>
      </w:pPr>
      <w:r w:rsidRPr="00C94C33">
        <w:rPr>
          <w:rFonts w:asciiTheme="minorHAnsi" w:eastAsia="TimesNewRoman" w:hAnsiTheme="minorHAnsi"/>
        </w:rPr>
        <w:t>Multivariate analyses of potential prognostic factors for OS in RECOURSE included KRAS status (wild</w:t>
      </w:r>
      <w:r w:rsidR="00C11183">
        <w:rPr>
          <w:rFonts w:asciiTheme="minorHAnsi" w:eastAsia="TimesNewRoman" w:hAnsiTheme="minorHAnsi"/>
        </w:rPr>
        <w:t xml:space="preserve"> versus </w:t>
      </w:r>
      <w:r w:rsidRPr="00C94C33">
        <w:rPr>
          <w:rFonts w:asciiTheme="minorHAnsi" w:eastAsia="TimesNewRoman" w:hAnsiTheme="minorHAnsi"/>
        </w:rPr>
        <w:t>mutant), time since diagnosis of first metastasis (&lt; 18 months</w:t>
      </w:r>
      <w:r w:rsidR="00C11183">
        <w:rPr>
          <w:rFonts w:asciiTheme="minorHAnsi" w:eastAsia="TimesNewRoman" w:hAnsiTheme="minorHAnsi"/>
        </w:rPr>
        <w:t xml:space="preserve"> versus </w:t>
      </w:r>
      <w:r w:rsidRPr="00C94C33">
        <w:rPr>
          <w:rFonts w:asciiTheme="minorHAnsi" w:eastAsia="TimesNewRoman" w:hAnsiTheme="minorHAnsi"/>
        </w:rPr>
        <w:t>≥ 18 months), region (Asia</w:t>
      </w:r>
      <w:r w:rsidR="00C11183">
        <w:rPr>
          <w:rFonts w:asciiTheme="minorHAnsi" w:eastAsia="TimesNewRoman" w:hAnsiTheme="minorHAnsi"/>
        </w:rPr>
        <w:t xml:space="preserve"> versus </w:t>
      </w:r>
      <w:r w:rsidRPr="00C94C33">
        <w:rPr>
          <w:rFonts w:asciiTheme="minorHAnsi" w:eastAsia="TimesNewRoman" w:hAnsiTheme="minorHAnsi"/>
        </w:rPr>
        <w:t>Western), BRAF status (wild, mutant, unknown), age (&lt; 65</w:t>
      </w:r>
      <w:r w:rsidR="00C11183">
        <w:rPr>
          <w:rFonts w:asciiTheme="minorHAnsi" w:eastAsia="TimesNewRoman" w:hAnsiTheme="minorHAnsi"/>
        </w:rPr>
        <w:t xml:space="preserve"> versus </w:t>
      </w:r>
      <w:r w:rsidRPr="00C94C33">
        <w:rPr>
          <w:rFonts w:asciiTheme="minorHAnsi" w:eastAsia="TimesNewRoman" w:hAnsiTheme="minorHAnsi"/>
        </w:rPr>
        <w:t>≥ 65), race (Caucasian, Asian, Black/African American, not-collected), gender (male</w:t>
      </w:r>
      <w:r w:rsidR="00C11183">
        <w:rPr>
          <w:rFonts w:asciiTheme="minorHAnsi" w:eastAsia="TimesNewRoman" w:hAnsiTheme="minorHAnsi"/>
        </w:rPr>
        <w:t xml:space="preserve"> versus </w:t>
      </w:r>
      <w:r w:rsidRPr="00C94C33">
        <w:rPr>
          <w:rFonts w:asciiTheme="minorHAnsi" w:eastAsia="TimesNewRoman" w:hAnsiTheme="minorHAnsi"/>
        </w:rPr>
        <w:t>female), primary tumour site (colon, rectal), ECOG performance status ( 0</w:t>
      </w:r>
      <w:r w:rsidR="00C11183">
        <w:rPr>
          <w:rFonts w:asciiTheme="minorHAnsi" w:eastAsia="TimesNewRoman" w:hAnsiTheme="minorHAnsi"/>
        </w:rPr>
        <w:t xml:space="preserve"> versus </w:t>
      </w:r>
      <w:r w:rsidRPr="00C94C33">
        <w:rPr>
          <w:rFonts w:asciiTheme="minorHAnsi" w:eastAsia="TimesNewRoman" w:hAnsiTheme="minorHAnsi"/>
        </w:rPr>
        <w:t>1), number of prior regimens (2, 3, ≥ 4), and number of metastatic sites (1</w:t>
      </w:r>
      <w:r w:rsidR="0041178E">
        <w:rPr>
          <w:rFonts w:asciiTheme="minorHAnsi" w:eastAsia="TimesNewRoman" w:hAnsiTheme="minorHAnsi"/>
        </w:rPr>
        <w:t xml:space="preserve"> or </w:t>
      </w:r>
      <w:r w:rsidRPr="00C94C33">
        <w:rPr>
          <w:rFonts w:asciiTheme="minorHAnsi" w:eastAsia="TimesNewRoman" w:hAnsiTheme="minorHAnsi"/>
        </w:rPr>
        <w:t>2</w:t>
      </w:r>
      <w:r w:rsidR="00C11183">
        <w:rPr>
          <w:rFonts w:asciiTheme="minorHAnsi" w:eastAsia="TimesNewRoman" w:hAnsiTheme="minorHAnsi"/>
        </w:rPr>
        <w:t xml:space="preserve"> versus </w:t>
      </w:r>
      <w:r w:rsidRPr="00C94C33">
        <w:rPr>
          <w:rFonts w:asciiTheme="minorHAnsi" w:eastAsia="TimesNewRoman" w:hAnsiTheme="minorHAnsi"/>
        </w:rPr>
        <w:t>3). Following stepwise selection, the final Cox proportional hazards model included factors for treatment, KRAS status, time since diagnosis of first metastasis, region, primary tumour site, ECOG performance status, and number of metastatic sites. There were statistically significant interaction effects between treatment and the covariate factors included in the final model. In addition to treatment, three covariates were shown to have had a significant effect on OS (</w:t>
      </w:r>
      <w:r w:rsidR="00B2072D" w:rsidRPr="00C94C33">
        <w:rPr>
          <w:rFonts w:asciiTheme="minorHAnsi" w:eastAsia="TimesNewRoman" w:hAnsiTheme="minorHAnsi"/>
        </w:rPr>
        <w:t>that is,</w:t>
      </w:r>
      <w:r w:rsidRPr="00C94C33">
        <w:rPr>
          <w:rFonts w:asciiTheme="minorHAnsi" w:eastAsia="TimesNewRoman" w:hAnsiTheme="minorHAnsi"/>
        </w:rPr>
        <w:t xml:space="preserve"> time since diagnosis of first metastasis, ECOG performance status, and number of metastatic sites). The magnitude of the TAS-102 treatment effect after adjusting for all 3 significant prognostic factors was maintained, indicating that the prognostic factors do not add to the effect seen for treatment alone. The multivariate model estimate for the HR for TAS-102 relative to placebo remained at 0.69 (</w:t>
      </w:r>
      <w:r w:rsidR="00A0007E" w:rsidRPr="00C94C33">
        <w:rPr>
          <w:rFonts w:asciiTheme="minorHAnsi" w:eastAsia="TimesNewRoman" w:hAnsiTheme="minorHAnsi"/>
        </w:rPr>
        <w:t>(</w:t>
      </w:r>
      <w:r w:rsidRPr="00C94C33">
        <w:rPr>
          <w:rFonts w:asciiTheme="minorHAnsi" w:eastAsia="TimesNewRoman" w:hAnsiTheme="minorHAnsi"/>
        </w:rPr>
        <w:t>95% CI: 0.58, 0.81</w:t>
      </w:r>
      <w:r w:rsidR="00A0007E" w:rsidRPr="00C94C33">
        <w:rPr>
          <w:rFonts w:asciiTheme="minorHAnsi" w:eastAsia="TimesNewRoman" w:hAnsiTheme="minorHAnsi"/>
        </w:rPr>
        <w:t>)</w:t>
      </w:r>
      <w:r w:rsidRPr="00C94C33">
        <w:rPr>
          <w:rFonts w:asciiTheme="minorHAnsi" w:eastAsia="TimesNewRoman" w:hAnsiTheme="minorHAnsi"/>
        </w:rPr>
        <w:t>; p</w:t>
      </w:r>
      <w:r w:rsidR="0041178E">
        <w:rPr>
          <w:rFonts w:asciiTheme="minorHAnsi" w:eastAsia="TimesNewRoman" w:hAnsiTheme="minorHAnsi"/>
        </w:rPr>
        <w:t xml:space="preserve"> </w:t>
      </w:r>
      <w:r w:rsidRPr="00C94C33">
        <w:rPr>
          <w:rFonts w:asciiTheme="minorHAnsi" w:eastAsia="TimesNewRoman" w:hAnsiTheme="minorHAnsi"/>
        </w:rPr>
        <w:t>&lt;</w:t>
      </w:r>
      <w:r w:rsidR="0041178E">
        <w:rPr>
          <w:rFonts w:asciiTheme="minorHAnsi" w:eastAsia="TimesNewRoman" w:hAnsiTheme="minorHAnsi"/>
        </w:rPr>
        <w:t xml:space="preserve"> </w:t>
      </w:r>
      <w:r w:rsidRPr="00C94C33">
        <w:rPr>
          <w:rFonts w:asciiTheme="minorHAnsi" w:eastAsia="TimesNewRoman" w:hAnsiTheme="minorHAnsi"/>
        </w:rPr>
        <w:t>0.0001), which is consistent with the primary analys</w:t>
      </w:r>
      <w:r w:rsidR="006263CF">
        <w:rPr>
          <w:rFonts w:asciiTheme="minorHAnsi" w:eastAsia="TimesNewRoman" w:hAnsiTheme="minorHAnsi"/>
        </w:rPr>
        <w:t>is of OS in the ITT population.</w:t>
      </w:r>
    </w:p>
    <w:p w14:paraId="2180AAC7" w14:textId="0AA38712"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 xml:space="preserve">In </w:t>
      </w:r>
      <w:r w:rsidR="00FB45D2" w:rsidRPr="00C94C33">
        <w:rPr>
          <w:rFonts w:asciiTheme="minorHAnsi" w:hAnsiTheme="minorHAnsi"/>
        </w:rPr>
        <w:t>the D120 Response</w:t>
      </w:r>
      <w:r w:rsidRPr="00C94C33">
        <w:rPr>
          <w:rFonts w:asciiTheme="minorHAnsi" w:hAnsiTheme="minorHAnsi"/>
        </w:rPr>
        <w:t xml:space="preserve">, the sponsor provided sensitivity analysis for OS excluding patients who had received prohibited anti-cancer treatments during the treatment period in violation of the protocol (10 </w:t>
      </w:r>
      <w:r w:rsidR="00A0007E" w:rsidRPr="00C94C33">
        <w:rPr>
          <w:rFonts w:asciiTheme="minorHAnsi" w:hAnsiTheme="minorHAnsi"/>
        </w:rPr>
        <w:t>(</w:t>
      </w:r>
      <w:r w:rsidRPr="00C94C33">
        <w:rPr>
          <w:rFonts w:asciiTheme="minorHAnsi" w:hAnsiTheme="minorHAnsi"/>
        </w:rPr>
        <w:t>1.9%</w:t>
      </w:r>
      <w:r w:rsidR="00A0007E" w:rsidRPr="00C94C33">
        <w:rPr>
          <w:rFonts w:asciiTheme="minorHAnsi" w:hAnsiTheme="minorHAnsi"/>
        </w:rPr>
        <w:t>)</w:t>
      </w:r>
      <w:r w:rsidRPr="00C94C33">
        <w:rPr>
          <w:rFonts w:asciiTheme="minorHAnsi" w:hAnsiTheme="minorHAnsi"/>
        </w:rPr>
        <w:t xml:space="preserve"> TAS-102; 4 </w:t>
      </w:r>
      <w:r w:rsidR="00A0007E" w:rsidRPr="00C94C33">
        <w:rPr>
          <w:rFonts w:asciiTheme="minorHAnsi" w:hAnsiTheme="minorHAnsi"/>
        </w:rPr>
        <w:t>(</w:t>
      </w:r>
      <w:r w:rsidRPr="00C94C33">
        <w:rPr>
          <w:rFonts w:asciiTheme="minorHAnsi" w:hAnsiTheme="minorHAnsi"/>
        </w:rPr>
        <w:t>1.5%</w:t>
      </w:r>
      <w:r w:rsidR="00A0007E" w:rsidRPr="00C94C33">
        <w:rPr>
          <w:rFonts w:asciiTheme="minorHAnsi" w:hAnsiTheme="minorHAnsi"/>
        </w:rPr>
        <w:t>)</w:t>
      </w:r>
      <w:r w:rsidRPr="00C94C33">
        <w:rPr>
          <w:rFonts w:asciiTheme="minorHAnsi" w:hAnsiTheme="minorHAnsi"/>
        </w:rPr>
        <w:t xml:space="preserve"> placebo).  The HR for the OS analysis in these patients was 0.68 (</w:t>
      </w:r>
      <w:r w:rsidR="00A0007E" w:rsidRPr="00C94C33">
        <w:rPr>
          <w:rFonts w:asciiTheme="minorHAnsi" w:hAnsiTheme="minorHAnsi"/>
        </w:rPr>
        <w:t>(</w:t>
      </w:r>
      <w:r w:rsidRPr="00C94C33">
        <w:rPr>
          <w:rFonts w:asciiTheme="minorHAnsi" w:hAnsiTheme="minorHAnsi"/>
        </w:rPr>
        <w:t>95% CI: 0.58, 0.81</w:t>
      </w:r>
      <w:r w:rsidR="00A0007E" w:rsidRPr="00C94C33">
        <w:rPr>
          <w:rFonts w:asciiTheme="minorHAnsi" w:hAnsiTheme="minorHAnsi"/>
        </w:rPr>
        <w:t>)</w:t>
      </w:r>
      <w:r w:rsidRPr="00C94C33">
        <w:rPr>
          <w:rFonts w:asciiTheme="minorHAnsi" w:hAnsiTheme="minorHAnsi"/>
        </w:rPr>
        <w:t>, p</w:t>
      </w:r>
      <w:r w:rsidR="0041178E">
        <w:rPr>
          <w:rFonts w:asciiTheme="minorHAnsi" w:hAnsiTheme="minorHAnsi"/>
        </w:rPr>
        <w:t xml:space="preserve"> </w:t>
      </w:r>
      <w:r w:rsidRPr="00C94C33">
        <w:rPr>
          <w:rFonts w:asciiTheme="minorHAnsi" w:hAnsiTheme="minorHAnsi"/>
        </w:rPr>
        <w:t>&lt;</w:t>
      </w:r>
      <w:r w:rsidR="0041178E">
        <w:rPr>
          <w:rFonts w:asciiTheme="minorHAnsi" w:hAnsiTheme="minorHAnsi"/>
        </w:rPr>
        <w:t xml:space="preserve"> </w:t>
      </w:r>
      <w:r w:rsidRPr="00C94C33">
        <w:rPr>
          <w:rFonts w:asciiTheme="minorHAnsi" w:hAnsiTheme="minorHAnsi"/>
        </w:rPr>
        <w:t xml:space="preserve">0.0001), which was identical to the primary </w:t>
      </w:r>
      <w:r w:rsidR="006263CF">
        <w:rPr>
          <w:rFonts w:asciiTheme="minorHAnsi" w:hAnsiTheme="minorHAnsi"/>
        </w:rPr>
        <w:t>analysis in the ITT population.</w:t>
      </w:r>
    </w:p>
    <w:p w14:paraId="60246909" w14:textId="04FC4D99" w:rsidR="00DF61BC" w:rsidRPr="00C94C33" w:rsidRDefault="00DF61BC" w:rsidP="005C2FCA">
      <w:pPr>
        <w:pStyle w:val="Comment"/>
      </w:pPr>
      <w:r w:rsidRPr="005C2FCA">
        <w:rPr>
          <w:b/>
        </w:rPr>
        <w:t>Comment:</w:t>
      </w:r>
      <w:r w:rsidR="0041178E" w:rsidRPr="005C2FCA">
        <w:rPr>
          <w:b/>
        </w:rPr>
        <w:t xml:space="preserve"> </w:t>
      </w:r>
      <w:r w:rsidRPr="005C2FCA">
        <w:rPr>
          <w:b/>
        </w:rPr>
        <w:t xml:space="preserve"> </w:t>
      </w:r>
      <w:r w:rsidRPr="00C94C33">
        <w:t>The primary efficacy endpoint analysis showed a statistically significant, but modest increase in median OS of 1.8 months in the TAS-102 arm compared to the placebo arm. The Kaplan-Meier curves began to separate in favour of TAS-102 at approximately 2 months after randomisation, and separation was maintained throughout the course of the study. The percentage of patients surviving at 1 year was estimated to be 26.6% in the TAS-102 arm and 17.6% in the placebo arm (Kaplan-Meier estimates). The treatment arms were similar with respect to non-study anti-tumour treatments received after discontinuation of study trea</w:t>
      </w:r>
      <w:r w:rsidR="00106962" w:rsidRPr="00C94C33">
        <w:t>tment and during follow-up</w:t>
      </w:r>
      <w:r w:rsidRPr="00C94C33">
        <w:t xml:space="preserve">. Therefore, it is reasonable to conclude that non-study anti-tumour treatment following treatment </w:t>
      </w:r>
      <w:r w:rsidRPr="00C94C33">
        <w:lastRenderedPageBreak/>
        <w:t>discontinuation was not a confounding factor with respect to the OS results. The modest improvement in median OS in the TAS-102 arm should be interpreted in the context of treatment of patients with mCRC refractory to standard chemotherapeutic regimens. Overall, the sensitivity and subgroup analyses of OS were consistent with the primary OS analysis. In an ad hoc subgroup analysis based on geographical subgroups, median OS was numerically longer in the placebo arm compared to the TAS-102 arm in Australian pa</w:t>
      </w:r>
      <w:r w:rsidR="00106962" w:rsidRPr="00C94C33">
        <w:t>tients (5.4</w:t>
      </w:r>
      <w:r w:rsidR="00C11183">
        <w:t xml:space="preserve"> versus </w:t>
      </w:r>
      <w:r w:rsidR="00106962" w:rsidRPr="00C94C33">
        <w:t>3.8 months)</w:t>
      </w:r>
      <w:r w:rsidRPr="00C94C33">
        <w:t>. However, the number of patients enrolled at Australian centres (</w:t>
      </w:r>
      <w:r w:rsidR="009C0389" w:rsidRPr="00C94C33">
        <w:t xml:space="preserve">n = </w:t>
      </w:r>
      <w:r w:rsidRPr="00C94C33">
        <w:t xml:space="preserve">32 </w:t>
      </w:r>
      <w:r w:rsidR="00A0007E" w:rsidRPr="00C94C33">
        <w:t>(</w:t>
      </w:r>
      <w:r w:rsidR="009C0389" w:rsidRPr="00C94C33">
        <w:t xml:space="preserve">n = </w:t>
      </w:r>
      <w:r w:rsidRPr="00C94C33">
        <w:t xml:space="preserve">21, TAS-102; </w:t>
      </w:r>
      <w:r w:rsidR="009C0389" w:rsidRPr="00C94C33">
        <w:t xml:space="preserve">n = </w:t>
      </w:r>
      <w:r w:rsidRPr="00C94C33">
        <w:t>11 placebo</w:t>
      </w:r>
      <w:r w:rsidR="00A0007E" w:rsidRPr="00C94C33">
        <w:t>)</w:t>
      </w:r>
      <w:r w:rsidRPr="00C94C33">
        <w:t xml:space="preserve">) is too small to draw meaningful conclusion relating to survival differences </w:t>
      </w:r>
      <w:r w:rsidR="006263CF">
        <w:t>between the two treatment arms.</w:t>
      </w:r>
    </w:p>
    <w:p w14:paraId="4267FF01" w14:textId="28F68B25" w:rsidR="00106962" w:rsidRPr="00C94C33" w:rsidRDefault="00DF61BC" w:rsidP="005C2FCA">
      <w:pPr>
        <w:autoSpaceDE w:val="0"/>
        <w:autoSpaceDN w:val="0"/>
        <w:adjustRightInd w:val="0"/>
        <w:rPr>
          <w:rFonts w:cstheme="minorBidi"/>
          <w:b/>
        </w:rPr>
      </w:pPr>
      <w:r w:rsidRPr="00C94C33">
        <w:rPr>
          <w:rFonts w:asciiTheme="minorHAnsi" w:hAnsiTheme="minorHAnsi" w:cstheme="minorHAnsi"/>
          <w:color w:val="000000"/>
        </w:rPr>
        <w:t>The data included an updated OS analysis based on a data cutoff date of 8 October 2014. This update was included in the sponsor’s D180 response to the CHMP. The updated analysis included a total of 463 (86.7%) deaths in the TAS-102 arm and 249 (93.6%) deaths in the placebo arm. The median survival was 7.2 months (95% CI: 6.6, 7.8) in the TAS-102 arm and 5.2 months (95% CI: 4.6, 5.9) in the placebo arm, with a HR of 0.69 (95% CI: 0.59, 0.81), p &lt; 0.0001 (1</w:t>
      </w:r>
      <w:r w:rsidR="0041178E">
        <w:rPr>
          <w:rFonts w:asciiTheme="minorHAnsi" w:hAnsiTheme="minorHAnsi" w:cstheme="minorHAnsi"/>
          <w:color w:val="000000"/>
        </w:rPr>
        <w:t xml:space="preserve"> </w:t>
      </w:r>
      <w:r w:rsidRPr="00C94C33">
        <w:rPr>
          <w:rFonts w:asciiTheme="minorHAnsi" w:hAnsiTheme="minorHAnsi" w:cstheme="minorHAnsi"/>
          <w:color w:val="000000"/>
        </w:rPr>
        <w:t>sided and 2</w:t>
      </w:r>
      <w:r w:rsidR="0041178E">
        <w:rPr>
          <w:rFonts w:asciiTheme="minorHAnsi" w:hAnsiTheme="minorHAnsi" w:cstheme="minorHAnsi"/>
          <w:color w:val="000000"/>
        </w:rPr>
        <w:t> </w:t>
      </w:r>
      <w:r w:rsidRPr="00C94C33">
        <w:rPr>
          <w:rFonts w:asciiTheme="minorHAnsi" w:hAnsiTheme="minorHAnsi" w:cstheme="minorHAnsi"/>
          <w:color w:val="000000"/>
        </w:rPr>
        <w:t>sided), stratified log-rank test. The updated OS analysis was based on a total of 712 deaths in the ITT population compared to a total of 574 deaths in the ITT population in primary analysis. The OS results for the updated analysis were consistent with those for the primary OS analysis. The results for the updated OS a</w:t>
      </w:r>
      <w:r w:rsidR="00106962" w:rsidRPr="00C94C33">
        <w:rPr>
          <w:rFonts w:asciiTheme="minorHAnsi" w:hAnsiTheme="minorHAnsi" w:cstheme="minorHAnsi"/>
          <w:color w:val="000000"/>
        </w:rPr>
        <w:t>nalysis are summarised below</w:t>
      </w:r>
      <w:r w:rsidRPr="00C94C33">
        <w:rPr>
          <w:rFonts w:asciiTheme="minorHAnsi" w:hAnsiTheme="minorHAnsi" w:cstheme="minorHAnsi"/>
          <w:color w:val="000000"/>
        </w:rPr>
        <w:t xml:space="preserve">, and the KM curves </w:t>
      </w:r>
      <w:r w:rsidR="00106962" w:rsidRPr="00C94C33">
        <w:rPr>
          <w:rFonts w:asciiTheme="minorHAnsi" w:hAnsiTheme="minorHAnsi" w:cstheme="minorHAnsi"/>
          <w:color w:val="000000"/>
        </w:rPr>
        <w:t>are presented below</w:t>
      </w:r>
      <w:r w:rsidRPr="00C94C33">
        <w:rPr>
          <w:rFonts w:asciiTheme="minorHAnsi" w:hAnsiTheme="minorHAnsi" w:cstheme="minorHAnsi"/>
          <w:color w:val="000000"/>
        </w:rPr>
        <w:t>.</w:t>
      </w:r>
      <w:bookmarkStart w:id="254" w:name="_Toc470948683"/>
    </w:p>
    <w:p w14:paraId="2AAEA48D" w14:textId="19B67F6E" w:rsidR="00DF61BC" w:rsidRPr="00C94C33" w:rsidRDefault="00106962" w:rsidP="00C665B0">
      <w:pPr>
        <w:pStyle w:val="Tabletitle"/>
      </w:pPr>
      <w:r w:rsidRPr="00C94C33">
        <w:t>Table 34</w:t>
      </w:r>
      <w:r w:rsidR="00DF61BC" w:rsidRPr="00C94C33">
        <w:t>: Overall survival (OS)</w:t>
      </w:r>
      <w:r w:rsidR="0041178E">
        <w:t>;</w:t>
      </w:r>
      <w:r w:rsidR="00DF61BC" w:rsidRPr="00C94C33">
        <w:t xml:space="preserve"> ITT population, updated data cut</w:t>
      </w:r>
      <w:r w:rsidR="0041178E">
        <w:t xml:space="preserve"> </w:t>
      </w:r>
      <w:r w:rsidR="00DF61BC" w:rsidRPr="00C94C33">
        <w:t>off 8 October 2014</w:t>
      </w:r>
      <w:bookmarkEnd w:id="254"/>
    </w:p>
    <w:tbl>
      <w:tblPr>
        <w:tblW w:w="9576" w:type="dxa"/>
        <w:tblInd w:w="112" w:type="dxa"/>
        <w:tblLayout w:type="fixed"/>
        <w:tblCellMar>
          <w:left w:w="0" w:type="dxa"/>
          <w:right w:w="0" w:type="dxa"/>
        </w:tblCellMar>
        <w:tblLook w:val="0000" w:firstRow="0" w:lastRow="0" w:firstColumn="0" w:lastColumn="0" w:noHBand="0" w:noVBand="0"/>
      </w:tblPr>
      <w:tblGrid>
        <w:gridCol w:w="3438"/>
        <w:gridCol w:w="1533"/>
        <w:gridCol w:w="1536"/>
        <w:gridCol w:w="1534"/>
        <w:gridCol w:w="1535"/>
      </w:tblGrid>
      <w:tr w:rsidR="00DF61BC" w:rsidRPr="00C94C33" w14:paraId="14609CCC" w14:textId="77777777" w:rsidTr="006263CF">
        <w:trPr>
          <w:trHeight w:hRule="exact" w:val="340"/>
          <w:tblHeader/>
        </w:trPr>
        <w:tc>
          <w:tcPr>
            <w:tcW w:w="3438" w:type="dxa"/>
            <w:tcBorders>
              <w:top w:val="single" w:sz="2" w:space="0" w:color="000000"/>
              <w:left w:val="single" w:sz="6" w:space="0" w:color="000000"/>
              <w:bottom w:val="single" w:sz="7" w:space="0" w:color="000000"/>
              <w:right w:val="single" w:sz="6" w:space="0" w:color="000000"/>
            </w:tcBorders>
            <w:shd w:val="clear" w:color="auto" w:fill="auto"/>
          </w:tcPr>
          <w:p w14:paraId="08EB913D" w14:textId="77777777" w:rsidR="00DF61BC" w:rsidRPr="00C94C33" w:rsidRDefault="00DF61BC" w:rsidP="001B3A1D">
            <w:pPr>
              <w:pStyle w:val="TableHeading"/>
            </w:pPr>
            <w:r w:rsidRPr="00C94C33">
              <w:t>Parameter</w:t>
            </w:r>
          </w:p>
        </w:tc>
        <w:tc>
          <w:tcPr>
            <w:tcW w:w="3069" w:type="dxa"/>
            <w:gridSpan w:val="2"/>
            <w:tcBorders>
              <w:top w:val="single" w:sz="2" w:space="0" w:color="000000"/>
              <w:left w:val="single" w:sz="6" w:space="0" w:color="000000"/>
              <w:bottom w:val="single" w:sz="7" w:space="0" w:color="000000"/>
              <w:right w:val="single" w:sz="6" w:space="0" w:color="000000"/>
            </w:tcBorders>
            <w:shd w:val="clear" w:color="auto" w:fill="auto"/>
          </w:tcPr>
          <w:p w14:paraId="502F86BC" w14:textId="094360C0" w:rsidR="00DF61BC" w:rsidRPr="00C94C33" w:rsidRDefault="00DF61BC" w:rsidP="001B3A1D">
            <w:pPr>
              <w:pStyle w:val="TableHeading"/>
            </w:pPr>
            <w:r w:rsidRPr="00C94C33">
              <w:rPr>
                <w:w w:val="95"/>
              </w:rPr>
              <w:t>TAS-102</w:t>
            </w:r>
            <w:r w:rsidRPr="00C94C33">
              <w:rPr>
                <w:w w:val="99"/>
              </w:rPr>
              <w:t xml:space="preserve"> </w:t>
            </w:r>
            <w:r w:rsidRPr="00C94C33">
              <w:t>(</w:t>
            </w:r>
            <w:r w:rsidR="009C0389" w:rsidRPr="00C94C33">
              <w:t xml:space="preserve">N = </w:t>
            </w:r>
            <w:r w:rsidRPr="00C94C33">
              <w:t>534)</w:t>
            </w:r>
          </w:p>
        </w:tc>
        <w:tc>
          <w:tcPr>
            <w:tcW w:w="3069" w:type="dxa"/>
            <w:gridSpan w:val="2"/>
            <w:tcBorders>
              <w:top w:val="single" w:sz="2" w:space="0" w:color="000000"/>
              <w:left w:val="single" w:sz="6" w:space="0" w:color="000000"/>
              <w:bottom w:val="single" w:sz="7" w:space="0" w:color="000000"/>
              <w:right w:val="single" w:sz="6" w:space="0" w:color="000000"/>
            </w:tcBorders>
            <w:shd w:val="clear" w:color="auto" w:fill="auto"/>
          </w:tcPr>
          <w:p w14:paraId="4A50AF44" w14:textId="78E36BA8" w:rsidR="00DF61BC" w:rsidRPr="00C94C33" w:rsidRDefault="00DF61BC" w:rsidP="001B3A1D">
            <w:pPr>
              <w:pStyle w:val="TableHeading"/>
            </w:pPr>
            <w:r w:rsidRPr="00C94C33">
              <w:t>Placebo</w:t>
            </w:r>
            <w:r w:rsidRPr="00C94C33">
              <w:rPr>
                <w:w w:val="99"/>
              </w:rPr>
              <w:t xml:space="preserve"> </w:t>
            </w:r>
            <w:r w:rsidRPr="00C94C33">
              <w:rPr>
                <w:w w:val="95"/>
              </w:rPr>
              <w:t>(</w:t>
            </w:r>
            <w:r w:rsidR="009C0389" w:rsidRPr="00C94C33">
              <w:rPr>
                <w:w w:val="95"/>
              </w:rPr>
              <w:t xml:space="preserve">N = </w:t>
            </w:r>
            <w:r w:rsidRPr="00C94C33">
              <w:rPr>
                <w:w w:val="95"/>
              </w:rPr>
              <w:t xml:space="preserve">266) </w:t>
            </w:r>
            <w:r w:rsidRPr="00C94C33">
              <w:rPr>
                <w:w w:val="95"/>
                <w:vertAlign w:val="superscript"/>
              </w:rPr>
              <w:t>e</w:t>
            </w:r>
          </w:p>
        </w:tc>
      </w:tr>
      <w:tr w:rsidR="00DF61BC" w:rsidRPr="00C94C33" w14:paraId="1CF4BB1B" w14:textId="77777777" w:rsidTr="00B81A4F">
        <w:trPr>
          <w:trHeight w:hRule="exact" w:val="394"/>
        </w:trPr>
        <w:tc>
          <w:tcPr>
            <w:tcW w:w="9576" w:type="dxa"/>
            <w:gridSpan w:val="5"/>
            <w:tcBorders>
              <w:top w:val="single" w:sz="7" w:space="0" w:color="000000"/>
              <w:left w:val="single" w:sz="6" w:space="0" w:color="000000"/>
              <w:bottom w:val="single" w:sz="7" w:space="0" w:color="000000"/>
              <w:right w:val="single" w:sz="6" w:space="0" w:color="000000"/>
            </w:tcBorders>
            <w:shd w:val="clear" w:color="auto" w:fill="auto"/>
          </w:tcPr>
          <w:p w14:paraId="596BF076" w14:textId="77777777" w:rsidR="00DF61BC" w:rsidRPr="00C94C33" w:rsidRDefault="00DF61BC" w:rsidP="006263CF">
            <w:pPr>
              <w:pStyle w:val="TableHeading"/>
            </w:pPr>
            <w:r w:rsidRPr="00C94C33">
              <w:t>Number</w:t>
            </w:r>
            <w:r w:rsidRPr="00C94C33">
              <w:rPr>
                <w:spacing w:val="-1"/>
              </w:rPr>
              <w:t xml:space="preserve"> </w:t>
            </w:r>
            <w:r w:rsidRPr="00C94C33">
              <w:rPr>
                <w:spacing w:val="-2"/>
              </w:rPr>
              <w:t>(%)</w:t>
            </w:r>
            <w:r w:rsidRPr="00C94C33">
              <w:t xml:space="preserve"> of patients by</w:t>
            </w:r>
            <w:r w:rsidRPr="00C94C33">
              <w:rPr>
                <w:spacing w:val="-1"/>
              </w:rPr>
              <w:t xml:space="preserve"> </w:t>
            </w:r>
            <w:r w:rsidRPr="00C94C33">
              <w:t>censoring</w:t>
            </w:r>
            <w:r w:rsidRPr="00C94C33">
              <w:rPr>
                <w:spacing w:val="22"/>
              </w:rPr>
              <w:t xml:space="preserve"> </w:t>
            </w:r>
            <w:r w:rsidRPr="00C94C33">
              <w:t>status</w:t>
            </w:r>
          </w:p>
        </w:tc>
      </w:tr>
      <w:tr w:rsidR="00DF61BC" w:rsidRPr="00C94C33" w14:paraId="77ADB925" w14:textId="77777777" w:rsidTr="00B81A4F">
        <w:trPr>
          <w:trHeight w:hRule="exact" w:val="305"/>
        </w:trPr>
        <w:tc>
          <w:tcPr>
            <w:tcW w:w="3438" w:type="dxa"/>
            <w:tcBorders>
              <w:top w:val="single" w:sz="7" w:space="0" w:color="000000"/>
              <w:left w:val="single" w:sz="6" w:space="0" w:color="000000"/>
              <w:bottom w:val="single" w:sz="7" w:space="0" w:color="000000"/>
              <w:right w:val="single" w:sz="6" w:space="0" w:color="000000"/>
            </w:tcBorders>
            <w:shd w:val="clear" w:color="auto" w:fill="auto"/>
          </w:tcPr>
          <w:p w14:paraId="73BAC549" w14:textId="77777777" w:rsidR="00DF61BC" w:rsidRPr="00C94C33" w:rsidRDefault="00DF61BC" w:rsidP="006263CF">
            <w:pPr>
              <w:pStyle w:val="Tabletext"/>
            </w:pPr>
            <w:r w:rsidRPr="00C94C33">
              <w:t>Total</w:t>
            </w:r>
          </w:p>
        </w:tc>
        <w:tc>
          <w:tcPr>
            <w:tcW w:w="3069" w:type="dxa"/>
            <w:gridSpan w:val="2"/>
            <w:tcBorders>
              <w:top w:val="single" w:sz="7" w:space="0" w:color="000000"/>
              <w:left w:val="single" w:sz="6" w:space="0" w:color="000000"/>
              <w:bottom w:val="single" w:sz="7" w:space="0" w:color="000000"/>
              <w:right w:val="single" w:sz="6" w:space="0" w:color="000000"/>
            </w:tcBorders>
            <w:shd w:val="clear" w:color="auto" w:fill="auto"/>
          </w:tcPr>
          <w:p w14:paraId="5F2F707D" w14:textId="77777777" w:rsidR="00DF61BC" w:rsidRPr="00C94C33" w:rsidRDefault="00DF61BC" w:rsidP="006263CF">
            <w:pPr>
              <w:pStyle w:val="Tabletext"/>
            </w:pPr>
            <w:r w:rsidRPr="00C94C33">
              <w:t>534 (100)</w:t>
            </w:r>
          </w:p>
        </w:tc>
        <w:tc>
          <w:tcPr>
            <w:tcW w:w="3069" w:type="dxa"/>
            <w:gridSpan w:val="2"/>
            <w:tcBorders>
              <w:top w:val="single" w:sz="7" w:space="0" w:color="000000"/>
              <w:left w:val="single" w:sz="6" w:space="0" w:color="000000"/>
              <w:bottom w:val="single" w:sz="7" w:space="0" w:color="000000"/>
              <w:right w:val="single" w:sz="6" w:space="0" w:color="000000"/>
            </w:tcBorders>
            <w:shd w:val="clear" w:color="auto" w:fill="auto"/>
          </w:tcPr>
          <w:p w14:paraId="39FB45B3" w14:textId="77777777" w:rsidR="00DF61BC" w:rsidRPr="00C94C33" w:rsidRDefault="00DF61BC" w:rsidP="006263CF">
            <w:pPr>
              <w:pStyle w:val="Tabletext"/>
            </w:pPr>
            <w:r w:rsidRPr="00C94C33">
              <w:t>266 (100)</w:t>
            </w:r>
          </w:p>
        </w:tc>
      </w:tr>
      <w:tr w:rsidR="00DF61BC" w:rsidRPr="00C94C33" w14:paraId="04020CBD" w14:textId="77777777" w:rsidTr="00B81A4F">
        <w:trPr>
          <w:trHeight w:hRule="exact" w:val="306"/>
        </w:trPr>
        <w:tc>
          <w:tcPr>
            <w:tcW w:w="3438" w:type="dxa"/>
            <w:tcBorders>
              <w:top w:val="single" w:sz="7" w:space="0" w:color="000000"/>
              <w:left w:val="single" w:sz="6" w:space="0" w:color="000000"/>
              <w:bottom w:val="single" w:sz="7" w:space="0" w:color="000000"/>
              <w:right w:val="single" w:sz="6" w:space="0" w:color="000000"/>
            </w:tcBorders>
            <w:shd w:val="clear" w:color="auto" w:fill="auto"/>
          </w:tcPr>
          <w:p w14:paraId="5EA4A777" w14:textId="77777777" w:rsidR="00DF61BC" w:rsidRPr="00C94C33" w:rsidRDefault="00DF61BC" w:rsidP="006263CF">
            <w:pPr>
              <w:pStyle w:val="Tabletext"/>
            </w:pPr>
            <w:r w:rsidRPr="00C94C33">
              <w:t>Not censored (dead)</w:t>
            </w:r>
          </w:p>
        </w:tc>
        <w:tc>
          <w:tcPr>
            <w:tcW w:w="3069" w:type="dxa"/>
            <w:gridSpan w:val="2"/>
            <w:tcBorders>
              <w:top w:val="single" w:sz="7" w:space="0" w:color="000000"/>
              <w:left w:val="single" w:sz="6" w:space="0" w:color="000000"/>
              <w:bottom w:val="single" w:sz="7" w:space="0" w:color="000000"/>
              <w:right w:val="single" w:sz="6" w:space="0" w:color="000000"/>
            </w:tcBorders>
            <w:shd w:val="clear" w:color="auto" w:fill="auto"/>
          </w:tcPr>
          <w:p w14:paraId="6DB97724" w14:textId="77777777" w:rsidR="00DF61BC" w:rsidRPr="00C94C33" w:rsidRDefault="00DF61BC" w:rsidP="006263CF">
            <w:pPr>
              <w:pStyle w:val="Tabletext"/>
            </w:pPr>
            <w:r w:rsidRPr="00C94C33">
              <w:t>463 (86.7%)</w:t>
            </w:r>
          </w:p>
        </w:tc>
        <w:tc>
          <w:tcPr>
            <w:tcW w:w="3069" w:type="dxa"/>
            <w:gridSpan w:val="2"/>
            <w:tcBorders>
              <w:top w:val="single" w:sz="7" w:space="0" w:color="000000"/>
              <w:left w:val="single" w:sz="6" w:space="0" w:color="000000"/>
              <w:bottom w:val="single" w:sz="7" w:space="0" w:color="000000"/>
              <w:right w:val="single" w:sz="6" w:space="0" w:color="000000"/>
            </w:tcBorders>
            <w:shd w:val="clear" w:color="auto" w:fill="auto"/>
          </w:tcPr>
          <w:p w14:paraId="7F1C8407" w14:textId="77777777" w:rsidR="00DF61BC" w:rsidRPr="00C94C33" w:rsidRDefault="00DF61BC" w:rsidP="006263CF">
            <w:pPr>
              <w:pStyle w:val="Tabletext"/>
            </w:pPr>
            <w:r w:rsidRPr="00C94C33">
              <w:t>249 (93.6%)</w:t>
            </w:r>
          </w:p>
        </w:tc>
      </w:tr>
      <w:tr w:rsidR="00DF61BC" w:rsidRPr="00C94C33" w14:paraId="3B76AEE0" w14:textId="77777777" w:rsidTr="00B81A4F">
        <w:trPr>
          <w:trHeight w:hRule="exact" w:val="305"/>
        </w:trPr>
        <w:tc>
          <w:tcPr>
            <w:tcW w:w="3438" w:type="dxa"/>
            <w:tcBorders>
              <w:top w:val="single" w:sz="7" w:space="0" w:color="000000"/>
              <w:left w:val="single" w:sz="6" w:space="0" w:color="000000"/>
              <w:bottom w:val="single" w:sz="7" w:space="0" w:color="000000"/>
              <w:right w:val="single" w:sz="6" w:space="0" w:color="000000"/>
            </w:tcBorders>
            <w:shd w:val="clear" w:color="auto" w:fill="auto"/>
          </w:tcPr>
          <w:p w14:paraId="5DAF5C71" w14:textId="77777777" w:rsidR="00DF61BC" w:rsidRPr="00C94C33" w:rsidRDefault="00DF61BC" w:rsidP="006263CF">
            <w:pPr>
              <w:pStyle w:val="Tabletext"/>
            </w:pPr>
            <w:r w:rsidRPr="00C94C33">
              <w:t>Censored</w:t>
            </w:r>
          </w:p>
        </w:tc>
        <w:tc>
          <w:tcPr>
            <w:tcW w:w="3069" w:type="dxa"/>
            <w:gridSpan w:val="2"/>
            <w:tcBorders>
              <w:top w:val="single" w:sz="7" w:space="0" w:color="000000"/>
              <w:left w:val="single" w:sz="6" w:space="0" w:color="000000"/>
              <w:bottom w:val="single" w:sz="7" w:space="0" w:color="000000"/>
              <w:right w:val="single" w:sz="6" w:space="0" w:color="000000"/>
            </w:tcBorders>
            <w:shd w:val="clear" w:color="auto" w:fill="auto"/>
          </w:tcPr>
          <w:p w14:paraId="2B7A3438" w14:textId="77777777" w:rsidR="00DF61BC" w:rsidRPr="00C94C33" w:rsidRDefault="00DF61BC" w:rsidP="006263CF">
            <w:pPr>
              <w:pStyle w:val="Tabletext"/>
            </w:pPr>
            <w:r w:rsidRPr="00C94C33">
              <w:t>71 (15.3%)</w:t>
            </w:r>
          </w:p>
        </w:tc>
        <w:tc>
          <w:tcPr>
            <w:tcW w:w="3069" w:type="dxa"/>
            <w:gridSpan w:val="2"/>
            <w:tcBorders>
              <w:top w:val="single" w:sz="7" w:space="0" w:color="000000"/>
              <w:left w:val="single" w:sz="6" w:space="0" w:color="000000"/>
              <w:bottom w:val="single" w:sz="7" w:space="0" w:color="000000"/>
              <w:right w:val="single" w:sz="6" w:space="0" w:color="000000"/>
            </w:tcBorders>
            <w:shd w:val="clear" w:color="auto" w:fill="auto"/>
          </w:tcPr>
          <w:p w14:paraId="0A3201AB" w14:textId="77777777" w:rsidR="00DF61BC" w:rsidRPr="00C94C33" w:rsidRDefault="00DF61BC" w:rsidP="006263CF">
            <w:pPr>
              <w:pStyle w:val="Tabletext"/>
            </w:pPr>
            <w:r w:rsidRPr="00C94C33">
              <w:t>17 (6.4%)</w:t>
            </w:r>
          </w:p>
        </w:tc>
      </w:tr>
      <w:tr w:rsidR="00DF61BC" w:rsidRPr="00C94C33" w14:paraId="7D39A684" w14:textId="77777777" w:rsidTr="00B81A4F">
        <w:trPr>
          <w:trHeight w:hRule="exact" w:val="328"/>
        </w:trPr>
        <w:tc>
          <w:tcPr>
            <w:tcW w:w="9576" w:type="dxa"/>
            <w:gridSpan w:val="5"/>
            <w:tcBorders>
              <w:top w:val="single" w:sz="7" w:space="0" w:color="000000"/>
              <w:left w:val="single" w:sz="6" w:space="0" w:color="000000"/>
              <w:bottom w:val="single" w:sz="7" w:space="0" w:color="000000"/>
              <w:right w:val="single" w:sz="6" w:space="0" w:color="000000"/>
            </w:tcBorders>
            <w:shd w:val="clear" w:color="auto" w:fill="auto"/>
          </w:tcPr>
          <w:p w14:paraId="531F923A" w14:textId="45252E84" w:rsidR="00DF61BC" w:rsidRPr="00C94C33" w:rsidRDefault="00DF61BC" w:rsidP="006263CF">
            <w:pPr>
              <w:pStyle w:val="TableHeading"/>
            </w:pPr>
            <w:r w:rsidRPr="00C94C33">
              <w:t>Survival</w:t>
            </w:r>
            <w:r w:rsidRPr="00C94C33">
              <w:rPr>
                <w:spacing w:val="-2"/>
              </w:rPr>
              <w:t xml:space="preserve"> </w:t>
            </w:r>
            <w:r w:rsidRPr="00C94C33">
              <w:t xml:space="preserve">(months) </w:t>
            </w:r>
            <w:r w:rsidRPr="00C94C33">
              <w:rPr>
                <w:vertAlign w:val="superscript"/>
              </w:rPr>
              <w:t>a</w:t>
            </w:r>
            <w:r w:rsidRPr="00C94C33">
              <w:rPr>
                <w:spacing w:val="15"/>
                <w:position w:val="10"/>
              </w:rPr>
              <w:t xml:space="preserve"> </w:t>
            </w:r>
            <w:r w:rsidR="00A0007E" w:rsidRPr="00C94C33">
              <w:t>(</w:t>
            </w:r>
            <w:r w:rsidRPr="00C94C33">
              <w:t>95%</w:t>
            </w:r>
            <w:r w:rsidRPr="00C94C33">
              <w:rPr>
                <w:spacing w:val="-4"/>
              </w:rPr>
              <w:t xml:space="preserve"> </w:t>
            </w:r>
            <w:r w:rsidRPr="00C94C33">
              <w:t>CI</w:t>
            </w:r>
            <w:r w:rsidR="00A0007E" w:rsidRPr="00C94C33">
              <w:t>)</w:t>
            </w:r>
            <w:r w:rsidRPr="00C94C33">
              <w:t xml:space="preserve"> </w:t>
            </w:r>
            <w:r w:rsidRPr="00C94C33">
              <w:rPr>
                <w:vertAlign w:val="superscript"/>
              </w:rPr>
              <w:t>b</w:t>
            </w:r>
          </w:p>
        </w:tc>
      </w:tr>
      <w:tr w:rsidR="00DF61BC" w:rsidRPr="00C94C33" w14:paraId="3B2CFE9D" w14:textId="77777777" w:rsidTr="00B81A4F">
        <w:trPr>
          <w:trHeight w:hRule="exact" w:val="305"/>
        </w:trPr>
        <w:tc>
          <w:tcPr>
            <w:tcW w:w="3438" w:type="dxa"/>
            <w:tcBorders>
              <w:top w:val="single" w:sz="7" w:space="0" w:color="000000"/>
              <w:left w:val="single" w:sz="6" w:space="0" w:color="000000"/>
              <w:bottom w:val="single" w:sz="7" w:space="0" w:color="000000"/>
              <w:right w:val="single" w:sz="6" w:space="0" w:color="000000"/>
            </w:tcBorders>
            <w:shd w:val="clear" w:color="auto" w:fill="auto"/>
          </w:tcPr>
          <w:p w14:paraId="27B601ED" w14:textId="0E336186" w:rsidR="00DF61BC" w:rsidRPr="00C94C33" w:rsidRDefault="00DF61BC" w:rsidP="006263CF">
            <w:pPr>
              <w:pStyle w:val="Tabletext"/>
            </w:pPr>
            <w:r w:rsidRPr="00C94C33">
              <w:t>25</w:t>
            </w:r>
            <w:r w:rsidRPr="00C94C33">
              <w:rPr>
                <w:vertAlign w:val="superscript"/>
              </w:rPr>
              <w:t>th</w:t>
            </w:r>
            <w:r w:rsidRPr="00C94C33">
              <w:t xml:space="preserve"> percentile</w:t>
            </w:r>
          </w:p>
        </w:tc>
        <w:tc>
          <w:tcPr>
            <w:tcW w:w="1533" w:type="dxa"/>
            <w:tcBorders>
              <w:top w:val="single" w:sz="7" w:space="0" w:color="000000"/>
              <w:left w:val="single" w:sz="6" w:space="0" w:color="000000"/>
              <w:bottom w:val="single" w:sz="7" w:space="0" w:color="000000"/>
              <w:right w:val="single" w:sz="6" w:space="0" w:color="000000"/>
            </w:tcBorders>
            <w:shd w:val="clear" w:color="auto" w:fill="auto"/>
          </w:tcPr>
          <w:p w14:paraId="0C74B133" w14:textId="77777777" w:rsidR="00DF61BC" w:rsidRPr="00C94C33" w:rsidRDefault="00DF61BC" w:rsidP="006263CF">
            <w:pPr>
              <w:pStyle w:val="Tabletext"/>
            </w:pPr>
            <w:r w:rsidRPr="00C94C33">
              <w:t>4.1</w:t>
            </w:r>
          </w:p>
        </w:tc>
        <w:tc>
          <w:tcPr>
            <w:tcW w:w="1536" w:type="dxa"/>
            <w:tcBorders>
              <w:top w:val="single" w:sz="7" w:space="0" w:color="000000"/>
              <w:left w:val="single" w:sz="6" w:space="0" w:color="000000"/>
              <w:bottom w:val="single" w:sz="7" w:space="0" w:color="000000"/>
              <w:right w:val="single" w:sz="6" w:space="0" w:color="000000"/>
            </w:tcBorders>
            <w:shd w:val="clear" w:color="auto" w:fill="auto"/>
          </w:tcPr>
          <w:p w14:paraId="73BEABAB" w14:textId="5DA571D2" w:rsidR="00DF61BC" w:rsidRPr="00C94C33" w:rsidRDefault="00A0007E" w:rsidP="006263CF">
            <w:pPr>
              <w:pStyle w:val="Tabletext"/>
            </w:pPr>
            <w:r w:rsidRPr="00C94C33">
              <w:t>(</w:t>
            </w:r>
            <w:r w:rsidR="00DF61BC" w:rsidRPr="00C94C33">
              <w:t>3.8, 4.6</w:t>
            </w:r>
            <w:r w:rsidRPr="00C94C33">
              <w:t>)</w:t>
            </w:r>
          </w:p>
        </w:tc>
        <w:tc>
          <w:tcPr>
            <w:tcW w:w="1534" w:type="dxa"/>
            <w:tcBorders>
              <w:top w:val="single" w:sz="7" w:space="0" w:color="000000"/>
              <w:left w:val="single" w:sz="6" w:space="0" w:color="000000"/>
              <w:bottom w:val="single" w:sz="7" w:space="0" w:color="000000"/>
              <w:right w:val="single" w:sz="6" w:space="0" w:color="000000"/>
            </w:tcBorders>
            <w:shd w:val="clear" w:color="auto" w:fill="auto"/>
          </w:tcPr>
          <w:p w14:paraId="74CCBD86" w14:textId="77777777" w:rsidR="00DF61BC" w:rsidRPr="00C94C33" w:rsidRDefault="00DF61BC" w:rsidP="006263CF">
            <w:pPr>
              <w:pStyle w:val="Tabletext"/>
            </w:pPr>
            <w:r w:rsidRPr="00C94C33">
              <w:t>3.0</w:t>
            </w:r>
          </w:p>
        </w:tc>
        <w:tc>
          <w:tcPr>
            <w:tcW w:w="1535" w:type="dxa"/>
            <w:tcBorders>
              <w:top w:val="single" w:sz="7" w:space="0" w:color="000000"/>
              <w:left w:val="single" w:sz="6" w:space="0" w:color="000000"/>
              <w:bottom w:val="single" w:sz="7" w:space="0" w:color="000000"/>
              <w:right w:val="single" w:sz="6" w:space="0" w:color="000000"/>
            </w:tcBorders>
            <w:shd w:val="clear" w:color="auto" w:fill="auto"/>
          </w:tcPr>
          <w:p w14:paraId="6D8FA800" w14:textId="0B9884E9" w:rsidR="00DF61BC" w:rsidRPr="00C94C33" w:rsidRDefault="00A0007E" w:rsidP="006263CF">
            <w:pPr>
              <w:pStyle w:val="Tabletext"/>
            </w:pPr>
            <w:r w:rsidRPr="00C94C33">
              <w:t>(</w:t>
            </w:r>
            <w:r w:rsidR="00DF61BC" w:rsidRPr="00C94C33">
              <w:t>2.6, 3.3</w:t>
            </w:r>
            <w:r w:rsidRPr="00C94C33">
              <w:t>)</w:t>
            </w:r>
          </w:p>
        </w:tc>
      </w:tr>
      <w:tr w:rsidR="00DF61BC" w:rsidRPr="00C94C33" w14:paraId="7AED4475" w14:textId="77777777" w:rsidTr="00B81A4F">
        <w:trPr>
          <w:trHeight w:hRule="exact" w:val="305"/>
        </w:trPr>
        <w:tc>
          <w:tcPr>
            <w:tcW w:w="3438" w:type="dxa"/>
            <w:tcBorders>
              <w:top w:val="single" w:sz="7" w:space="0" w:color="000000"/>
              <w:left w:val="single" w:sz="6" w:space="0" w:color="000000"/>
              <w:bottom w:val="single" w:sz="7" w:space="0" w:color="000000"/>
              <w:right w:val="single" w:sz="6" w:space="0" w:color="000000"/>
            </w:tcBorders>
            <w:shd w:val="clear" w:color="auto" w:fill="auto"/>
          </w:tcPr>
          <w:p w14:paraId="48309531" w14:textId="77777777" w:rsidR="00DF61BC" w:rsidRPr="00C94C33" w:rsidRDefault="00DF61BC" w:rsidP="006263CF">
            <w:pPr>
              <w:pStyle w:val="Tabletext"/>
            </w:pPr>
            <w:r w:rsidRPr="00C94C33">
              <w:t>Median</w:t>
            </w:r>
          </w:p>
        </w:tc>
        <w:tc>
          <w:tcPr>
            <w:tcW w:w="1533" w:type="dxa"/>
            <w:tcBorders>
              <w:top w:val="single" w:sz="7" w:space="0" w:color="000000"/>
              <w:left w:val="single" w:sz="6" w:space="0" w:color="000000"/>
              <w:bottom w:val="single" w:sz="7" w:space="0" w:color="000000"/>
              <w:right w:val="single" w:sz="6" w:space="0" w:color="000000"/>
            </w:tcBorders>
            <w:shd w:val="clear" w:color="auto" w:fill="auto"/>
          </w:tcPr>
          <w:p w14:paraId="0AD84F92" w14:textId="77777777" w:rsidR="00DF61BC" w:rsidRPr="00C94C33" w:rsidRDefault="00DF61BC" w:rsidP="006263CF">
            <w:pPr>
              <w:pStyle w:val="Tabletext"/>
            </w:pPr>
            <w:r w:rsidRPr="00C94C33">
              <w:t>7.2</w:t>
            </w:r>
          </w:p>
        </w:tc>
        <w:tc>
          <w:tcPr>
            <w:tcW w:w="1536" w:type="dxa"/>
            <w:tcBorders>
              <w:top w:val="single" w:sz="7" w:space="0" w:color="000000"/>
              <w:left w:val="single" w:sz="6" w:space="0" w:color="000000"/>
              <w:bottom w:val="single" w:sz="7" w:space="0" w:color="000000"/>
              <w:right w:val="single" w:sz="6" w:space="0" w:color="000000"/>
            </w:tcBorders>
            <w:shd w:val="clear" w:color="auto" w:fill="auto"/>
          </w:tcPr>
          <w:p w14:paraId="2771548E" w14:textId="3CBDA42B" w:rsidR="00DF61BC" w:rsidRPr="00C94C33" w:rsidRDefault="00A0007E" w:rsidP="006263CF">
            <w:pPr>
              <w:pStyle w:val="Tabletext"/>
            </w:pPr>
            <w:r w:rsidRPr="00C94C33">
              <w:t>(</w:t>
            </w:r>
            <w:r w:rsidR="00DF61BC" w:rsidRPr="00C94C33">
              <w:t>6.6, 7.8</w:t>
            </w:r>
            <w:r w:rsidRPr="00C94C33">
              <w:t>)</w:t>
            </w:r>
          </w:p>
        </w:tc>
        <w:tc>
          <w:tcPr>
            <w:tcW w:w="1534" w:type="dxa"/>
            <w:tcBorders>
              <w:top w:val="single" w:sz="7" w:space="0" w:color="000000"/>
              <w:left w:val="single" w:sz="6" w:space="0" w:color="000000"/>
              <w:bottom w:val="single" w:sz="7" w:space="0" w:color="000000"/>
              <w:right w:val="single" w:sz="6" w:space="0" w:color="000000"/>
            </w:tcBorders>
            <w:shd w:val="clear" w:color="auto" w:fill="auto"/>
          </w:tcPr>
          <w:p w14:paraId="41C58E1F" w14:textId="77777777" w:rsidR="00DF61BC" w:rsidRPr="00C94C33" w:rsidRDefault="00DF61BC" w:rsidP="006263CF">
            <w:pPr>
              <w:pStyle w:val="Tabletext"/>
            </w:pPr>
            <w:r w:rsidRPr="00C94C33">
              <w:t>5.2</w:t>
            </w:r>
          </w:p>
        </w:tc>
        <w:tc>
          <w:tcPr>
            <w:tcW w:w="1535" w:type="dxa"/>
            <w:tcBorders>
              <w:top w:val="single" w:sz="7" w:space="0" w:color="000000"/>
              <w:left w:val="single" w:sz="6" w:space="0" w:color="000000"/>
              <w:bottom w:val="single" w:sz="7" w:space="0" w:color="000000"/>
              <w:right w:val="single" w:sz="6" w:space="0" w:color="000000"/>
            </w:tcBorders>
            <w:shd w:val="clear" w:color="auto" w:fill="auto"/>
          </w:tcPr>
          <w:p w14:paraId="52EA207D" w14:textId="5B5F5901" w:rsidR="00DF61BC" w:rsidRPr="00C94C33" w:rsidRDefault="00A0007E" w:rsidP="006263CF">
            <w:pPr>
              <w:pStyle w:val="Tabletext"/>
            </w:pPr>
            <w:r w:rsidRPr="00C94C33">
              <w:t>(</w:t>
            </w:r>
            <w:r w:rsidR="00DF61BC" w:rsidRPr="00C94C33">
              <w:t>4.6, 5.9</w:t>
            </w:r>
            <w:r w:rsidRPr="00C94C33">
              <w:t>)</w:t>
            </w:r>
          </w:p>
        </w:tc>
      </w:tr>
      <w:tr w:rsidR="00DF61BC" w:rsidRPr="00C94C33" w14:paraId="35E2C26C" w14:textId="77777777" w:rsidTr="00B81A4F">
        <w:trPr>
          <w:trHeight w:hRule="exact" w:val="305"/>
        </w:trPr>
        <w:tc>
          <w:tcPr>
            <w:tcW w:w="3438" w:type="dxa"/>
            <w:tcBorders>
              <w:top w:val="single" w:sz="7" w:space="0" w:color="000000"/>
              <w:left w:val="single" w:sz="6" w:space="0" w:color="000000"/>
              <w:bottom w:val="single" w:sz="7" w:space="0" w:color="000000"/>
              <w:right w:val="single" w:sz="6" w:space="0" w:color="000000"/>
            </w:tcBorders>
            <w:shd w:val="clear" w:color="auto" w:fill="auto"/>
          </w:tcPr>
          <w:p w14:paraId="7B682FAA" w14:textId="77777777" w:rsidR="00DF61BC" w:rsidRPr="00C94C33" w:rsidRDefault="00DF61BC" w:rsidP="006263CF">
            <w:pPr>
              <w:pStyle w:val="Tabletext"/>
            </w:pPr>
            <w:r w:rsidRPr="00C94C33">
              <w:t>75</w:t>
            </w:r>
            <w:r w:rsidRPr="00C94C33">
              <w:rPr>
                <w:vertAlign w:val="superscript"/>
              </w:rPr>
              <w:t>th</w:t>
            </w:r>
            <w:r w:rsidRPr="00C94C33">
              <w:t xml:space="preserve"> percentile</w:t>
            </w:r>
          </w:p>
        </w:tc>
        <w:tc>
          <w:tcPr>
            <w:tcW w:w="1533" w:type="dxa"/>
            <w:tcBorders>
              <w:top w:val="single" w:sz="7" w:space="0" w:color="000000"/>
              <w:left w:val="single" w:sz="6" w:space="0" w:color="000000"/>
              <w:bottom w:val="single" w:sz="7" w:space="0" w:color="000000"/>
              <w:right w:val="single" w:sz="6" w:space="0" w:color="000000"/>
            </w:tcBorders>
            <w:shd w:val="clear" w:color="auto" w:fill="auto"/>
          </w:tcPr>
          <w:p w14:paraId="66F99400" w14:textId="77777777" w:rsidR="00DF61BC" w:rsidRPr="00C94C33" w:rsidRDefault="00DF61BC" w:rsidP="006263CF">
            <w:pPr>
              <w:pStyle w:val="Tabletext"/>
            </w:pPr>
            <w:r w:rsidRPr="00C94C33">
              <w:t>12.5</w:t>
            </w:r>
          </w:p>
        </w:tc>
        <w:tc>
          <w:tcPr>
            <w:tcW w:w="1536" w:type="dxa"/>
            <w:tcBorders>
              <w:top w:val="single" w:sz="7" w:space="0" w:color="000000"/>
              <w:left w:val="single" w:sz="6" w:space="0" w:color="000000"/>
              <w:bottom w:val="single" w:sz="7" w:space="0" w:color="000000"/>
              <w:right w:val="single" w:sz="6" w:space="0" w:color="000000"/>
            </w:tcBorders>
            <w:shd w:val="clear" w:color="auto" w:fill="auto"/>
          </w:tcPr>
          <w:p w14:paraId="0FAFBEF6" w14:textId="6B16C73E" w:rsidR="00DF61BC" w:rsidRPr="00C94C33" w:rsidRDefault="00A0007E" w:rsidP="006263CF">
            <w:pPr>
              <w:pStyle w:val="Tabletext"/>
            </w:pPr>
            <w:r w:rsidRPr="00C94C33">
              <w:t>(</w:t>
            </w:r>
            <w:r w:rsidR="00DF61BC" w:rsidRPr="00C94C33">
              <w:t>11.2, 13.6</w:t>
            </w:r>
            <w:r w:rsidRPr="00C94C33">
              <w:t>)</w:t>
            </w:r>
          </w:p>
        </w:tc>
        <w:tc>
          <w:tcPr>
            <w:tcW w:w="1534" w:type="dxa"/>
            <w:tcBorders>
              <w:top w:val="single" w:sz="7" w:space="0" w:color="000000"/>
              <w:left w:val="single" w:sz="6" w:space="0" w:color="000000"/>
              <w:bottom w:val="single" w:sz="7" w:space="0" w:color="000000"/>
              <w:right w:val="single" w:sz="6" w:space="0" w:color="000000"/>
            </w:tcBorders>
            <w:shd w:val="clear" w:color="auto" w:fill="auto"/>
          </w:tcPr>
          <w:p w14:paraId="643D999D" w14:textId="77777777" w:rsidR="00DF61BC" w:rsidRPr="00C94C33" w:rsidRDefault="00DF61BC" w:rsidP="006263CF">
            <w:pPr>
              <w:pStyle w:val="Tabletext"/>
            </w:pPr>
            <w:r w:rsidRPr="00C94C33">
              <w:t>8.4</w:t>
            </w:r>
          </w:p>
        </w:tc>
        <w:tc>
          <w:tcPr>
            <w:tcW w:w="1535" w:type="dxa"/>
            <w:tcBorders>
              <w:top w:val="single" w:sz="7" w:space="0" w:color="000000"/>
              <w:left w:val="single" w:sz="6" w:space="0" w:color="000000"/>
              <w:bottom w:val="single" w:sz="7" w:space="0" w:color="000000"/>
              <w:right w:val="single" w:sz="6" w:space="0" w:color="000000"/>
            </w:tcBorders>
            <w:shd w:val="clear" w:color="auto" w:fill="auto"/>
          </w:tcPr>
          <w:p w14:paraId="2A3B095B" w14:textId="1F4D1ADB" w:rsidR="00DF61BC" w:rsidRPr="00C94C33" w:rsidRDefault="00A0007E" w:rsidP="006263CF">
            <w:pPr>
              <w:pStyle w:val="Tabletext"/>
            </w:pPr>
            <w:r w:rsidRPr="00C94C33">
              <w:t>(</w:t>
            </w:r>
            <w:r w:rsidR="00DF61BC" w:rsidRPr="00C94C33">
              <w:t>7.5, 10.7</w:t>
            </w:r>
            <w:r w:rsidRPr="00C94C33">
              <w:t>)</w:t>
            </w:r>
          </w:p>
        </w:tc>
      </w:tr>
      <w:tr w:rsidR="00DF61BC" w:rsidRPr="00C94C33" w14:paraId="3ABEE683" w14:textId="77777777" w:rsidTr="00B81A4F">
        <w:trPr>
          <w:trHeight w:hRule="exact" w:val="306"/>
        </w:trPr>
        <w:tc>
          <w:tcPr>
            <w:tcW w:w="3438" w:type="dxa"/>
            <w:tcBorders>
              <w:top w:val="single" w:sz="7" w:space="0" w:color="000000"/>
              <w:left w:val="single" w:sz="6" w:space="0" w:color="000000"/>
              <w:bottom w:val="single" w:sz="7" w:space="0" w:color="000000"/>
              <w:right w:val="single" w:sz="6" w:space="0" w:color="000000"/>
            </w:tcBorders>
            <w:shd w:val="clear" w:color="auto" w:fill="auto"/>
          </w:tcPr>
          <w:p w14:paraId="57498552" w14:textId="238F34BE" w:rsidR="00DF61BC" w:rsidRPr="006263CF" w:rsidRDefault="00DF61BC" w:rsidP="006263CF">
            <w:pPr>
              <w:pStyle w:val="Tabletext"/>
              <w:rPr>
                <w:b/>
              </w:rPr>
            </w:pPr>
            <w:r w:rsidRPr="006263CF">
              <w:rPr>
                <w:b/>
              </w:rPr>
              <w:t xml:space="preserve">Hazard ratio </w:t>
            </w:r>
            <w:r w:rsidR="00A0007E" w:rsidRPr="006263CF">
              <w:rPr>
                <w:b/>
              </w:rPr>
              <w:t>(</w:t>
            </w:r>
            <w:r w:rsidRPr="006263CF">
              <w:rPr>
                <w:b/>
              </w:rPr>
              <w:t>95%</w:t>
            </w:r>
            <w:r w:rsidRPr="006263CF">
              <w:rPr>
                <w:b/>
                <w:spacing w:val="-4"/>
              </w:rPr>
              <w:t xml:space="preserve"> </w:t>
            </w:r>
            <w:r w:rsidRPr="006263CF">
              <w:rPr>
                <w:b/>
              </w:rPr>
              <w:t>CI</w:t>
            </w:r>
            <w:r w:rsidR="00A0007E" w:rsidRPr="006263CF">
              <w:rPr>
                <w:b/>
              </w:rPr>
              <w:t>)</w:t>
            </w:r>
          </w:p>
        </w:tc>
        <w:tc>
          <w:tcPr>
            <w:tcW w:w="6138" w:type="dxa"/>
            <w:gridSpan w:val="4"/>
            <w:tcBorders>
              <w:top w:val="single" w:sz="7" w:space="0" w:color="000000"/>
              <w:left w:val="single" w:sz="6" w:space="0" w:color="000000"/>
              <w:bottom w:val="single" w:sz="7" w:space="0" w:color="000000"/>
              <w:right w:val="single" w:sz="6" w:space="0" w:color="000000"/>
            </w:tcBorders>
            <w:shd w:val="clear" w:color="auto" w:fill="auto"/>
          </w:tcPr>
          <w:p w14:paraId="3A8C7DB2" w14:textId="0A7BA19E" w:rsidR="00DF61BC" w:rsidRPr="00C94C33" w:rsidRDefault="00DF61BC" w:rsidP="006263CF">
            <w:pPr>
              <w:pStyle w:val="Tabletext"/>
            </w:pPr>
            <w:r w:rsidRPr="00C94C33">
              <w:t xml:space="preserve">0.69 </w:t>
            </w:r>
            <w:r w:rsidR="00A0007E" w:rsidRPr="00C94C33">
              <w:t>(</w:t>
            </w:r>
            <w:r w:rsidRPr="00C94C33">
              <w:t>0.59, 0.81</w:t>
            </w:r>
            <w:r w:rsidR="00A0007E" w:rsidRPr="00C94C33">
              <w:t>)</w:t>
            </w:r>
          </w:p>
        </w:tc>
      </w:tr>
      <w:tr w:rsidR="00DF61BC" w:rsidRPr="00C94C33" w14:paraId="0E9218CB" w14:textId="77777777" w:rsidTr="00B81A4F">
        <w:trPr>
          <w:trHeight w:hRule="exact" w:val="328"/>
        </w:trPr>
        <w:tc>
          <w:tcPr>
            <w:tcW w:w="3438" w:type="dxa"/>
            <w:tcBorders>
              <w:top w:val="single" w:sz="7" w:space="0" w:color="000000"/>
              <w:left w:val="single" w:sz="6" w:space="0" w:color="000000"/>
              <w:bottom w:val="single" w:sz="7" w:space="0" w:color="000000"/>
              <w:right w:val="single" w:sz="6" w:space="0" w:color="000000"/>
            </w:tcBorders>
            <w:shd w:val="clear" w:color="auto" w:fill="auto"/>
          </w:tcPr>
          <w:p w14:paraId="489E090E" w14:textId="77777777" w:rsidR="00DF61BC" w:rsidRPr="006263CF" w:rsidRDefault="00DF61BC" w:rsidP="006263CF">
            <w:pPr>
              <w:pStyle w:val="Tabletext"/>
              <w:rPr>
                <w:b/>
              </w:rPr>
            </w:pPr>
            <w:r w:rsidRPr="006263CF">
              <w:rPr>
                <w:b/>
              </w:rPr>
              <w:t xml:space="preserve">P-value </w:t>
            </w:r>
            <w:r w:rsidRPr="006263CF">
              <w:rPr>
                <w:b/>
                <w:vertAlign w:val="superscript"/>
              </w:rPr>
              <w:t>c</w:t>
            </w:r>
          </w:p>
        </w:tc>
        <w:tc>
          <w:tcPr>
            <w:tcW w:w="6138" w:type="dxa"/>
            <w:gridSpan w:val="4"/>
            <w:tcBorders>
              <w:top w:val="single" w:sz="7" w:space="0" w:color="000000"/>
              <w:left w:val="single" w:sz="6" w:space="0" w:color="000000"/>
              <w:bottom w:val="single" w:sz="7" w:space="0" w:color="000000"/>
              <w:right w:val="single" w:sz="6" w:space="0" w:color="000000"/>
            </w:tcBorders>
            <w:shd w:val="clear" w:color="auto" w:fill="auto"/>
          </w:tcPr>
          <w:p w14:paraId="71CE3347" w14:textId="43F3EA03" w:rsidR="00DF61BC" w:rsidRPr="00C94C33" w:rsidRDefault="00DF61BC" w:rsidP="006263CF">
            <w:pPr>
              <w:pStyle w:val="Tabletext"/>
            </w:pPr>
            <w:r w:rsidRPr="00C94C33">
              <w:t>&lt; 0.0001 (1-sided and 2-sided</w:t>
            </w:r>
            <w:r w:rsidR="00A0007E" w:rsidRPr="00C94C33">
              <w:t>)</w:t>
            </w:r>
            <w:r w:rsidRPr="00C94C33">
              <w:t xml:space="preserve"> </w:t>
            </w:r>
          </w:p>
        </w:tc>
      </w:tr>
      <w:tr w:rsidR="00DF61BC" w:rsidRPr="00C94C33" w14:paraId="12C10EA9" w14:textId="77777777" w:rsidTr="00B81A4F">
        <w:trPr>
          <w:trHeight w:hRule="exact" w:val="301"/>
        </w:trPr>
        <w:tc>
          <w:tcPr>
            <w:tcW w:w="9576" w:type="dxa"/>
            <w:gridSpan w:val="5"/>
            <w:tcBorders>
              <w:top w:val="single" w:sz="7" w:space="0" w:color="000000"/>
              <w:left w:val="single" w:sz="6" w:space="0" w:color="000000"/>
              <w:bottom w:val="single" w:sz="7" w:space="0" w:color="000000"/>
              <w:right w:val="single" w:sz="6" w:space="0" w:color="000000"/>
            </w:tcBorders>
            <w:shd w:val="clear" w:color="auto" w:fill="auto"/>
          </w:tcPr>
          <w:p w14:paraId="15CDC9BD" w14:textId="6DCB2409" w:rsidR="00DF61BC" w:rsidRPr="00C94C33" w:rsidRDefault="00DF61BC" w:rsidP="006263CF">
            <w:pPr>
              <w:pStyle w:val="TableHeading"/>
            </w:pPr>
            <w:r w:rsidRPr="00C94C33">
              <w:t xml:space="preserve">Percent (%) of patients surviving </w:t>
            </w:r>
            <w:r w:rsidRPr="00C94C33">
              <w:rPr>
                <w:vertAlign w:val="superscript"/>
              </w:rPr>
              <w:t xml:space="preserve">a </w:t>
            </w:r>
            <w:r w:rsidRPr="00C94C33">
              <w:t xml:space="preserve"> </w:t>
            </w:r>
            <w:r w:rsidR="00A0007E" w:rsidRPr="00C94C33">
              <w:t>(</w:t>
            </w:r>
            <w:r w:rsidRPr="00C94C33">
              <w:t>95%</w:t>
            </w:r>
            <w:r w:rsidRPr="00C94C33">
              <w:rPr>
                <w:spacing w:val="-4"/>
              </w:rPr>
              <w:t xml:space="preserve"> </w:t>
            </w:r>
            <w:r w:rsidRPr="00C94C33">
              <w:t>CI</w:t>
            </w:r>
            <w:r w:rsidR="00A0007E" w:rsidRPr="00C94C33">
              <w:t>)</w:t>
            </w:r>
            <w:r w:rsidRPr="00C94C33">
              <w:t xml:space="preserve"> </w:t>
            </w:r>
            <w:r w:rsidRPr="00C94C33">
              <w:rPr>
                <w:vertAlign w:val="superscript"/>
              </w:rPr>
              <w:t xml:space="preserve">d </w:t>
            </w:r>
          </w:p>
        </w:tc>
      </w:tr>
      <w:tr w:rsidR="00DF61BC" w:rsidRPr="00C94C33" w14:paraId="1FBD95AB" w14:textId="77777777" w:rsidTr="00B81A4F">
        <w:trPr>
          <w:trHeight w:hRule="exact" w:val="305"/>
        </w:trPr>
        <w:tc>
          <w:tcPr>
            <w:tcW w:w="3438" w:type="dxa"/>
            <w:tcBorders>
              <w:top w:val="single" w:sz="7" w:space="0" w:color="000000"/>
              <w:left w:val="single" w:sz="6" w:space="0" w:color="000000"/>
              <w:bottom w:val="single" w:sz="7" w:space="0" w:color="000000"/>
              <w:right w:val="single" w:sz="6" w:space="0" w:color="000000"/>
            </w:tcBorders>
            <w:shd w:val="clear" w:color="auto" w:fill="auto"/>
          </w:tcPr>
          <w:p w14:paraId="135C2950" w14:textId="77777777" w:rsidR="00DF61BC" w:rsidRPr="00C94C33" w:rsidRDefault="00DF61BC" w:rsidP="006263CF">
            <w:pPr>
              <w:pStyle w:val="Tabletext"/>
            </w:pPr>
            <w:r w:rsidRPr="00C94C33">
              <w:t>At 3 months</w:t>
            </w:r>
          </w:p>
        </w:tc>
        <w:tc>
          <w:tcPr>
            <w:tcW w:w="1533" w:type="dxa"/>
            <w:tcBorders>
              <w:top w:val="single" w:sz="7" w:space="0" w:color="000000"/>
              <w:left w:val="single" w:sz="6" w:space="0" w:color="000000"/>
              <w:bottom w:val="single" w:sz="7" w:space="0" w:color="000000"/>
              <w:right w:val="single" w:sz="6" w:space="0" w:color="000000"/>
            </w:tcBorders>
            <w:shd w:val="clear" w:color="auto" w:fill="auto"/>
          </w:tcPr>
          <w:p w14:paraId="51A99337" w14:textId="77777777" w:rsidR="00DF61BC" w:rsidRPr="00C94C33" w:rsidRDefault="00DF61BC" w:rsidP="006263CF">
            <w:pPr>
              <w:pStyle w:val="Tabletext"/>
            </w:pPr>
            <w:r w:rsidRPr="00C94C33">
              <w:t>(86.0)</w:t>
            </w:r>
          </w:p>
        </w:tc>
        <w:tc>
          <w:tcPr>
            <w:tcW w:w="1536" w:type="dxa"/>
            <w:tcBorders>
              <w:top w:val="single" w:sz="7" w:space="0" w:color="000000"/>
              <w:left w:val="single" w:sz="6" w:space="0" w:color="000000"/>
              <w:bottom w:val="single" w:sz="7" w:space="0" w:color="000000"/>
              <w:right w:val="single" w:sz="6" w:space="0" w:color="000000"/>
            </w:tcBorders>
            <w:shd w:val="clear" w:color="auto" w:fill="auto"/>
          </w:tcPr>
          <w:p w14:paraId="718184D0" w14:textId="167CBC4C" w:rsidR="00DF61BC" w:rsidRPr="00C94C33" w:rsidRDefault="00A0007E" w:rsidP="006263CF">
            <w:pPr>
              <w:pStyle w:val="Tabletext"/>
            </w:pPr>
            <w:r w:rsidRPr="00C94C33">
              <w:t>(</w:t>
            </w:r>
            <w:r w:rsidR="00DF61BC" w:rsidRPr="00C94C33">
              <w:t>82.7, 88.6</w:t>
            </w:r>
            <w:r w:rsidRPr="00C94C33">
              <w:t>)</w:t>
            </w:r>
          </w:p>
        </w:tc>
        <w:tc>
          <w:tcPr>
            <w:tcW w:w="1534" w:type="dxa"/>
            <w:tcBorders>
              <w:top w:val="single" w:sz="7" w:space="0" w:color="000000"/>
              <w:left w:val="single" w:sz="6" w:space="0" w:color="000000"/>
              <w:bottom w:val="single" w:sz="7" w:space="0" w:color="000000"/>
              <w:right w:val="single" w:sz="6" w:space="0" w:color="000000"/>
            </w:tcBorders>
            <w:shd w:val="clear" w:color="auto" w:fill="auto"/>
          </w:tcPr>
          <w:p w14:paraId="10D1059E" w14:textId="77777777" w:rsidR="00DF61BC" w:rsidRPr="00C94C33" w:rsidRDefault="00DF61BC" w:rsidP="006263CF">
            <w:pPr>
              <w:pStyle w:val="Tabletext"/>
            </w:pPr>
            <w:r w:rsidRPr="00C94C33">
              <w:t>(74.4)</w:t>
            </w:r>
          </w:p>
        </w:tc>
        <w:tc>
          <w:tcPr>
            <w:tcW w:w="1535" w:type="dxa"/>
            <w:tcBorders>
              <w:top w:val="single" w:sz="7" w:space="0" w:color="000000"/>
              <w:left w:val="single" w:sz="6" w:space="0" w:color="000000"/>
              <w:bottom w:val="single" w:sz="7" w:space="0" w:color="000000"/>
              <w:right w:val="single" w:sz="6" w:space="0" w:color="000000"/>
            </w:tcBorders>
            <w:shd w:val="clear" w:color="auto" w:fill="auto"/>
          </w:tcPr>
          <w:p w14:paraId="3DD14129" w14:textId="0CFE063D" w:rsidR="00DF61BC" w:rsidRPr="00C94C33" w:rsidRDefault="00A0007E" w:rsidP="006263CF">
            <w:pPr>
              <w:pStyle w:val="Tabletext"/>
            </w:pPr>
            <w:r w:rsidRPr="00C94C33">
              <w:t>(</w:t>
            </w:r>
            <w:r w:rsidR="00DF61BC" w:rsidRPr="00C94C33">
              <w:t>68.7, 79.2</w:t>
            </w:r>
            <w:r w:rsidRPr="00C94C33">
              <w:t>)</w:t>
            </w:r>
          </w:p>
        </w:tc>
      </w:tr>
      <w:tr w:rsidR="00DF61BC" w:rsidRPr="00C94C33" w14:paraId="1AFB3119" w14:textId="77777777" w:rsidTr="00B81A4F">
        <w:trPr>
          <w:trHeight w:hRule="exact" w:val="305"/>
        </w:trPr>
        <w:tc>
          <w:tcPr>
            <w:tcW w:w="3438" w:type="dxa"/>
            <w:tcBorders>
              <w:top w:val="single" w:sz="7" w:space="0" w:color="000000"/>
              <w:left w:val="single" w:sz="6" w:space="0" w:color="000000"/>
              <w:bottom w:val="single" w:sz="7" w:space="0" w:color="000000"/>
              <w:right w:val="single" w:sz="6" w:space="0" w:color="000000"/>
            </w:tcBorders>
            <w:shd w:val="clear" w:color="auto" w:fill="auto"/>
          </w:tcPr>
          <w:p w14:paraId="47237772" w14:textId="77777777" w:rsidR="00DF61BC" w:rsidRPr="00C94C33" w:rsidRDefault="00DF61BC" w:rsidP="006263CF">
            <w:pPr>
              <w:pStyle w:val="Tabletext"/>
            </w:pPr>
            <w:r w:rsidRPr="00C94C33">
              <w:t>At 6 months</w:t>
            </w:r>
          </w:p>
        </w:tc>
        <w:tc>
          <w:tcPr>
            <w:tcW w:w="1533" w:type="dxa"/>
            <w:tcBorders>
              <w:top w:val="single" w:sz="7" w:space="0" w:color="000000"/>
              <w:left w:val="single" w:sz="6" w:space="0" w:color="000000"/>
              <w:bottom w:val="single" w:sz="7" w:space="0" w:color="000000"/>
              <w:right w:val="single" w:sz="6" w:space="0" w:color="000000"/>
            </w:tcBorders>
            <w:shd w:val="clear" w:color="auto" w:fill="auto"/>
          </w:tcPr>
          <w:p w14:paraId="36AA1E57" w14:textId="77777777" w:rsidR="00DF61BC" w:rsidRPr="00C94C33" w:rsidRDefault="00DF61BC" w:rsidP="006263CF">
            <w:pPr>
              <w:pStyle w:val="Tabletext"/>
            </w:pPr>
            <w:r w:rsidRPr="00C94C33">
              <w:t>(58.0)</w:t>
            </w:r>
          </w:p>
        </w:tc>
        <w:tc>
          <w:tcPr>
            <w:tcW w:w="1536" w:type="dxa"/>
            <w:tcBorders>
              <w:top w:val="single" w:sz="7" w:space="0" w:color="000000"/>
              <w:left w:val="single" w:sz="6" w:space="0" w:color="000000"/>
              <w:bottom w:val="single" w:sz="7" w:space="0" w:color="000000"/>
              <w:right w:val="single" w:sz="6" w:space="0" w:color="000000"/>
            </w:tcBorders>
            <w:shd w:val="clear" w:color="auto" w:fill="auto"/>
          </w:tcPr>
          <w:p w14:paraId="375AC5D9" w14:textId="6A4ED3D2" w:rsidR="00DF61BC" w:rsidRPr="00C94C33" w:rsidRDefault="00A0007E" w:rsidP="006263CF">
            <w:pPr>
              <w:pStyle w:val="Tabletext"/>
            </w:pPr>
            <w:r w:rsidRPr="00C94C33">
              <w:t>(</w:t>
            </w:r>
            <w:r w:rsidR="00DF61BC" w:rsidRPr="00C94C33">
              <w:t>53.7, 62.0</w:t>
            </w:r>
            <w:r w:rsidRPr="00C94C33">
              <w:t>)</w:t>
            </w:r>
          </w:p>
        </w:tc>
        <w:tc>
          <w:tcPr>
            <w:tcW w:w="1534" w:type="dxa"/>
            <w:tcBorders>
              <w:top w:val="single" w:sz="7" w:space="0" w:color="000000"/>
              <w:left w:val="single" w:sz="6" w:space="0" w:color="000000"/>
              <w:bottom w:val="single" w:sz="7" w:space="0" w:color="000000"/>
              <w:right w:val="single" w:sz="6" w:space="0" w:color="000000"/>
            </w:tcBorders>
            <w:shd w:val="clear" w:color="auto" w:fill="auto"/>
          </w:tcPr>
          <w:p w14:paraId="3064F24B" w14:textId="77777777" w:rsidR="00DF61BC" w:rsidRPr="00C94C33" w:rsidRDefault="00DF61BC" w:rsidP="006263CF">
            <w:pPr>
              <w:pStyle w:val="Tabletext"/>
            </w:pPr>
            <w:r w:rsidRPr="00C94C33">
              <w:t>(43.1)</w:t>
            </w:r>
          </w:p>
        </w:tc>
        <w:tc>
          <w:tcPr>
            <w:tcW w:w="1535" w:type="dxa"/>
            <w:tcBorders>
              <w:top w:val="single" w:sz="7" w:space="0" w:color="000000"/>
              <w:left w:val="single" w:sz="6" w:space="0" w:color="000000"/>
              <w:bottom w:val="single" w:sz="7" w:space="0" w:color="000000"/>
              <w:right w:val="single" w:sz="6" w:space="0" w:color="000000"/>
            </w:tcBorders>
            <w:shd w:val="clear" w:color="auto" w:fill="auto"/>
          </w:tcPr>
          <w:p w14:paraId="2BB006A2" w14:textId="28E7ABC9" w:rsidR="00DF61BC" w:rsidRPr="00C94C33" w:rsidRDefault="00A0007E" w:rsidP="006263CF">
            <w:pPr>
              <w:pStyle w:val="Tabletext"/>
            </w:pPr>
            <w:r w:rsidRPr="00C94C33">
              <w:t>(</w:t>
            </w:r>
            <w:r w:rsidR="00DF61BC" w:rsidRPr="00C94C33">
              <w:t>37.1, 49.0</w:t>
            </w:r>
            <w:r w:rsidRPr="00C94C33">
              <w:t>)</w:t>
            </w:r>
          </w:p>
        </w:tc>
      </w:tr>
      <w:tr w:rsidR="00DF61BC" w:rsidRPr="00C94C33" w14:paraId="033E0A86" w14:textId="77777777" w:rsidTr="00B81A4F">
        <w:trPr>
          <w:trHeight w:hRule="exact" w:val="305"/>
        </w:trPr>
        <w:tc>
          <w:tcPr>
            <w:tcW w:w="3438" w:type="dxa"/>
            <w:tcBorders>
              <w:top w:val="single" w:sz="7" w:space="0" w:color="000000"/>
              <w:left w:val="single" w:sz="6" w:space="0" w:color="000000"/>
              <w:bottom w:val="single" w:sz="7" w:space="0" w:color="000000"/>
              <w:right w:val="single" w:sz="6" w:space="0" w:color="000000"/>
            </w:tcBorders>
            <w:shd w:val="clear" w:color="auto" w:fill="auto"/>
          </w:tcPr>
          <w:p w14:paraId="3197410F" w14:textId="77777777" w:rsidR="00DF61BC" w:rsidRPr="00C94C33" w:rsidRDefault="00DF61BC" w:rsidP="006263CF">
            <w:pPr>
              <w:pStyle w:val="Tabletext"/>
            </w:pPr>
            <w:r w:rsidRPr="00C94C33">
              <w:t>At 9 months</w:t>
            </w:r>
          </w:p>
        </w:tc>
        <w:tc>
          <w:tcPr>
            <w:tcW w:w="1533" w:type="dxa"/>
            <w:tcBorders>
              <w:top w:val="single" w:sz="7" w:space="0" w:color="000000"/>
              <w:left w:val="single" w:sz="6" w:space="0" w:color="000000"/>
              <w:bottom w:val="single" w:sz="7" w:space="0" w:color="000000"/>
              <w:right w:val="single" w:sz="6" w:space="0" w:color="000000"/>
            </w:tcBorders>
            <w:shd w:val="clear" w:color="auto" w:fill="auto"/>
          </w:tcPr>
          <w:p w14:paraId="12A7A00A" w14:textId="77777777" w:rsidR="00DF61BC" w:rsidRPr="00C94C33" w:rsidRDefault="00DF61BC" w:rsidP="006263CF">
            <w:pPr>
              <w:pStyle w:val="Tabletext"/>
            </w:pPr>
            <w:r w:rsidRPr="00C94C33">
              <w:t>(40.2)</w:t>
            </w:r>
          </w:p>
        </w:tc>
        <w:tc>
          <w:tcPr>
            <w:tcW w:w="1536" w:type="dxa"/>
            <w:tcBorders>
              <w:top w:val="single" w:sz="7" w:space="0" w:color="000000"/>
              <w:left w:val="single" w:sz="6" w:space="0" w:color="000000"/>
              <w:bottom w:val="single" w:sz="7" w:space="0" w:color="000000"/>
              <w:right w:val="single" w:sz="6" w:space="0" w:color="000000"/>
            </w:tcBorders>
            <w:shd w:val="clear" w:color="auto" w:fill="auto"/>
          </w:tcPr>
          <w:p w14:paraId="43B34CF7" w14:textId="151A777A" w:rsidR="00DF61BC" w:rsidRPr="00C94C33" w:rsidRDefault="00A0007E" w:rsidP="006263CF">
            <w:pPr>
              <w:pStyle w:val="Tabletext"/>
            </w:pPr>
            <w:r w:rsidRPr="00C94C33">
              <w:t>(</w:t>
            </w:r>
            <w:r w:rsidR="00DF61BC" w:rsidRPr="00C94C33">
              <w:t>36.0, 44.3</w:t>
            </w:r>
            <w:r w:rsidRPr="00C94C33">
              <w:t>)</w:t>
            </w:r>
          </w:p>
        </w:tc>
        <w:tc>
          <w:tcPr>
            <w:tcW w:w="1534" w:type="dxa"/>
            <w:tcBorders>
              <w:top w:val="single" w:sz="7" w:space="0" w:color="000000"/>
              <w:left w:val="single" w:sz="6" w:space="0" w:color="000000"/>
              <w:bottom w:val="single" w:sz="7" w:space="0" w:color="000000"/>
              <w:right w:val="single" w:sz="6" w:space="0" w:color="000000"/>
            </w:tcBorders>
            <w:shd w:val="clear" w:color="auto" w:fill="auto"/>
          </w:tcPr>
          <w:p w14:paraId="509C7573" w14:textId="77777777" w:rsidR="00DF61BC" w:rsidRPr="00C94C33" w:rsidRDefault="00DF61BC" w:rsidP="006263CF">
            <w:pPr>
              <w:pStyle w:val="Tabletext"/>
            </w:pPr>
            <w:r w:rsidRPr="00C94C33">
              <w:t>(23.5)</w:t>
            </w:r>
          </w:p>
        </w:tc>
        <w:tc>
          <w:tcPr>
            <w:tcW w:w="1535" w:type="dxa"/>
            <w:tcBorders>
              <w:top w:val="single" w:sz="7" w:space="0" w:color="000000"/>
              <w:left w:val="single" w:sz="6" w:space="0" w:color="000000"/>
              <w:bottom w:val="single" w:sz="7" w:space="0" w:color="000000"/>
              <w:right w:val="single" w:sz="6" w:space="0" w:color="000000"/>
            </w:tcBorders>
            <w:shd w:val="clear" w:color="auto" w:fill="auto"/>
          </w:tcPr>
          <w:p w14:paraId="1D528ED4" w14:textId="772DD54A" w:rsidR="00DF61BC" w:rsidRPr="00C94C33" w:rsidRDefault="00A0007E" w:rsidP="006263CF">
            <w:pPr>
              <w:pStyle w:val="Tabletext"/>
            </w:pPr>
            <w:r w:rsidRPr="00C94C33">
              <w:t>(</w:t>
            </w:r>
            <w:r w:rsidR="00DF61BC" w:rsidRPr="00C94C33">
              <w:t>18.6, 28.7</w:t>
            </w:r>
            <w:r w:rsidRPr="00C94C33">
              <w:t>)</w:t>
            </w:r>
          </w:p>
        </w:tc>
      </w:tr>
      <w:tr w:rsidR="00DF61BC" w:rsidRPr="00C94C33" w14:paraId="54A388D1" w14:textId="77777777" w:rsidTr="00B81A4F">
        <w:trPr>
          <w:trHeight w:hRule="exact" w:val="304"/>
        </w:trPr>
        <w:tc>
          <w:tcPr>
            <w:tcW w:w="3438" w:type="dxa"/>
            <w:tcBorders>
              <w:top w:val="single" w:sz="7" w:space="0" w:color="000000"/>
              <w:left w:val="single" w:sz="6" w:space="0" w:color="000000"/>
              <w:bottom w:val="single" w:sz="6" w:space="0" w:color="000000"/>
              <w:right w:val="single" w:sz="6" w:space="0" w:color="000000"/>
            </w:tcBorders>
            <w:shd w:val="clear" w:color="auto" w:fill="auto"/>
          </w:tcPr>
          <w:p w14:paraId="7E26704C" w14:textId="77777777" w:rsidR="00DF61BC" w:rsidRPr="00C94C33" w:rsidRDefault="00DF61BC" w:rsidP="006263CF">
            <w:pPr>
              <w:pStyle w:val="Tabletext"/>
            </w:pPr>
            <w:r w:rsidRPr="00C94C33">
              <w:t>At 12 months</w:t>
            </w:r>
          </w:p>
        </w:tc>
        <w:tc>
          <w:tcPr>
            <w:tcW w:w="1533" w:type="dxa"/>
            <w:tcBorders>
              <w:top w:val="single" w:sz="7" w:space="0" w:color="000000"/>
              <w:left w:val="single" w:sz="6" w:space="0" w:color="000000"/>
              <w:bottom w:val="single" w:sz="6" w:space="0" w:color="000000"/>
              <w:right w:val="single" w:sz="6" w:space="0" w:color="000000"/>
            </w:tcBorders>
            <w:shd w:val="clear" w:color="auto" w:fill="auto"/>
          </w:tcPr>
          <w:p w14:paraId="23AF079A" w14:textId="77777777" w:rsidR="00DF61BC" w:rsidRPr="00C94C33" w:rsidRDefault="00DF61BC" w:rsidP="006263CF">
            <w:pPr>
              <w:pStyle w:val="Tabletext"/>
            </w:pPr>
            <w:r w:rsidRPr="00C94C33">
              <w:t>(27.1)</w:t>
            </w:r>
          </w:p>
        </w:tc>
        <w:tc>
          <w:tcPr>
            <w:tcW w:w="1536" w:type="dxa"/>
            <w:tcBorders>
              <w:top w:val="single" w:sz="7" w:space="0" w:color="000000"/>
              <w:left w:val="single" w:sz="6" w:space="0" w:color="000000"/>
              <w:bottom w:val="single" w:sz="6" w:space="0" w:color="000000"/>
              <w:right w:val="single" w:sz="6" w:space="0" w:color="000000"/>
            </w:tcBorders>
            <w:shd w:val="clear" w:color="auto" w:fill="auto"/>
          </w:tcPr>
          <w:p w14:paraId="0CC37065" w14:textId="5AAB7369" w:rsidR="00DF61BC" w:rsidRPr="00C94C33" w:rsidRDefault="00A0007E" w:rsidP="006263CF">
            <w:pPr>
              <w:pStyle w:val="Tabletext"/>
            </w:pPr>
            <w:r w:rsidRPr="00C94C33">
              <w:t>(</w:t>
            </w:r>
            <w:r w:rsidR="00DF61BC" w:rsidRPr="00C94C33">
              <w:t>23.3, 30.9</w:t>
            </w:r>
            <w:r w:rsidRPr="00C94C33">
              <w:t>)</w:t>
            </w:r>
          </w:p>
        </w:tc>
        <w:tc>
          <w:tcPr>
            <w:tcW w:w="1534" w:type="dxa"/>
            <w:tcBorders>
              <w:top w:val="single" w:sz="7" w:space="0" w:color="000000"/>
              <w:left w:val="single" w:sz="6" w:space="0" w:color="000000"/>
              <w:bottom w:val="single" w:sz="6" w:space="0" w:color="000000"/>
              <w:right w:val="single" w:sz="6" w:space="0" w:color="000000"/>
            </w:tcBorders>
            <w:shd w:val="clear" w:color="auto" w:fill="auto"/>
          </w:tcPr>
          <w:p w14:paraId="40BB972D" w14:textId="77777777" w:rsidR="00DF61BC" w:rsidRPr="00C94C33" w:rsidRDefault="00DF61BC" w:rsidP="006263CF">
            <w:pPr>
              <w:pStyle w:val="Tabletext"/>
            </w:pPr>
            <w:r w:rsidRPr="00C94C33">
              <w:t>(16.6)</w:t>
            </w:r>
          </w:p>
        </w:tc>
        <w:tc>
          <w:tcPr>
            <w:tcW w:w="1535" w:type="dxa"/>
            <w:tcBorders>
              <w:top w:val="single" w:sz="7" w:space="0" w:color="000000"/>
              <w:left w:val="single" w:sz="6" w:space="0" w:color="000000"/>
              <w:bottom w:val="single" w:sz="6" w:space="0" w:color="000000"/>
              <w:right w:val="single" w:sz="6" w:space="0" w:color="000000"/>
            </w:tcBorders>
            <w:shd w:val="clear" w:color="auto" w:fill="auto"/>
          </w:tcPr>
          <w:p w14:paraId="77A373EF" w14:textId="4592D192" w:rsidR="00DF61BC" w:rsidRPr="00C94C33" w:rsidRDefault="00A0007E" w:rsidP="006263CF">
            <w:pPr>
              <w:pStyle w:val="Tabletext"/>
            </w:pPr>
            <w:r w:rsidRPr="00C94C33">
              <w:t>(</w:t>
            </w:r>
            <w:r w:rsidR="00DF61BC" w:rsidRPr="00C94C33">
              <w:t>12.4, 21.4</w:t>
            </w:r>
            <w:r w:rsidRPr="00C94C33">
              <w:t>)</w:t>
            </w:r>
          </w:p>
        </w:tc>
      </w:tr>
    </w:tbl>
    <w:p w14:paraId="0F1FC97B" w14:textId="6363AE2B" w:rsidR="00DF61BC" w:rsidRPr="00C94C33" w:rsidRDefault="00106962" w:rsidP="005C2FCA">
      <w:pPr>
        <w:pStyle w:val="TableDescription"/>
        <w:keepNext/>
        <w:rPr>
          <w:color w:val="000000"/>
        </w:rPr>
      </w:pPr>
      <w:r w:rsidRPr="00C94C33">
        <w:lastRenderedPageBreak/>
        <w:t xml:space="preserve">a. </w:t>
      </w:r>
      <w:r w:rsidR="00DF61BC" w:rsidRPr="00C94C33">
        <w:t>Kaplan-Meier estimates</w:t>
      </w:r>
      <w:r w:rsidR="0041178E">
        <w:t xml:space="preserve">; </w:t>
      </w:r>
      <w:r w:rsidRPr="00C94C33">
        <w:t xml:space="preserve">b. </w:t>
      </w:r>
      <w:r w:rsidR="00DF61BC" w:rsidRPr="00C94C33">
        <w:t>Methodology of Brookmeyer and Crowley</w:t>
      </w:r>
      <w:r w:rsidR="0041178E">
        <w:t xml:space="preserve">; </w:t>
      </w:r>
      <w:r w:rsidRPr="00C94C33">
        <w:t xml:space="preserve">c. </w:t>
      </w:r>
      <w:r w:rsidR="00DF61BC" w:rsidRPr="00C94C33">
        <w:t>Stratified log-rank test (strata: KRAS status, time since diagnosis of first metastasis, region)</w:t>
      </w:r>
      <w:r w:rsidR="0041178E">
        <w:t xml:space="preserve">; </w:t>
      </w:r>
      <w:r w:rsidRPr="00C94C33">
        <w:t xml:space="preserve">d. </w:t>
      </w:r>
      <w:r w:rsidR="00DF61BC" w:rsidRPr="00C94C33">
        <w:t>Using log-log transformation methodology of Kalbfleisch and Prentice</w:t>
      </w:r>
      <w:r w:rsidR="0041178E">
        <w:rPr>
          <w:color w:val="000000"/>
        </w:rPr>
        <w:t xml:space="preserve">; </w:t>
      </w:r>
      <w:r w:rsidRPr="00C94C33">
        <w:rPr>
          <w:color w:val="000000"/>
        </w:rPr>
        <w:t xml:space="preserve">e. </w:t>
      </w:r>
      <w:r w:rsidR="00DF61BC" w:rsidRPr="00C94C33">
        <w:rPr>
          <w:color w:val="000000"/>
        </w:rPr>
        <w:t>Two patients randomised in the placebo group, initiated TAS-102 treatment (cross-over) after the study was unblinded in May 2014. For the ITT analysis presented in the above Table, both patients were still counted in the placebo group.</w:t>
      </w:r>
    </w:p>
    <w:p w14:paraId="518131A6" w14:textId="3DBB551A" w:rsidR="00DF61BC" w:rsidRPr="00C94C33" w:rsidRDefault="00DF61BC" w:rsidP="006263CF">
      <w:pPr>
        <w:pStyle w:val="FigureTitle"/>
        <w:keepNext/>
      </w:pPr>
      <w:bookmarkStart w:id="255" w:name="_Toc470948805"/>
      <w:r w:rsidRPr="00C94C33">
        <w:t>Figure</w:t>
      </w:r>
      <w:r w:rsidR="00106962" w:rsidRPr="00C94C33">
        <w:t xml:space="preserve"> 10</w:t>
      </w:r>
      <w:r w:rsidRPr="00C94C33">
        <w:t>: Overall survival (OS) Kaplan-Meier curves</w:t>
      </w:r>
      <w:r w:rsidR="0041178E">
        <w:t>;</w:t>
      </w:r>
      <w:r w:rsidRPr="00C94C33">
        <w:t xml:space="preserve"> ITT population, update cut</w:t>
      </w:r>
      <w:r w:rsidR="0041178E">
        <w:t xml:space="preserve"> </w:t>
      </w:r>
      <w:r w:rsidRPr="00C94C33">
        <w:t>off date 8</w:t>
      </w:r>
      <w:r w:rsidR="0041178E">
        <w:t> </w:t>
      </w:r>
      <w:r w:rsidRPr="00C94C33">
        <w:t>October 2014</w:t>
      </w:r>
      <w:bookmarkEnd w:id="255"/>
    </w:p>
    <w:p w14:paraId="645A8F75" w14:textId="5C9B828C" w:rsidR="00DF61BC" w:rsidRPr="007709B8" w:rsidRDefault="006263CF" w:rsidP="00DF61BC">
      <w:pPr>
        <w:autoSpaceDE w:val="0"/>
        <w:autoSpaceDN w:val="0"/>
        <w:adjustRightInd w:val="0"/>
        <w:rPr>
          <w:rFonts w:asciiTheme="minorHAnsi" w:hAnsiTheme="minorHAnsi" w:cstheme="minorHAnsi"/>
          <w:color w:val="000000"/>
        </w:rPr>
      </w:pPr>
      <w:r>
        <w:rPr>
          <w:noProof/>
          <w:lang w:eastAsia="en-AU"/>
        </w:rPr>
        <w:drawing>
          <wp:inline distT="0" distB="0" distL="0" distR="0" wp14:anchorId="4EF7D1B2" wp14:editId="143484F7">
            <wp:extent cx="4269006" cy="2325572"/>
            <wp:effectExtent l="0" t="0" r="0" b="0"/>
            <wp:docPr id="2084" name="Picture 5" descr="Figure 10: Overall survival (OS) Kaplan-Meier curves, ITT population, update cutoff date 8 October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 name="Picture 5" descr="Figure 10: Overall survival (OS) Kaplan-Meier curves, ITT population, update cutoff date 8 October 2014. "/>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9006" cy="2325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01BC481" w14:textId="77777777" w:rsidR="00AA7141" w:rsidRDefault="00DF61BC" w:rsidP="00955252">
      <w:pPr>
        <w:pStyle w:val="Heading4"/>
      </w:pPr>
      <w:bookmarkStart w:id="256" w:name="_Toc470948531"/>
      <w:r w:rsidRPr="00C94C33">
        <w:t>Results for the key secondary efficacy outcome (PFS)</w:t>
      </w:r>
      <w:bookmarkEnd w:id="256"/>
    </w:p>
    <w:p w14:paraId="54D1E3CA" w14:textId="775B2EB5" w:rsidR="00DF61BC" w:rsidRPr="00C94C33" w:rsidRDefault="00DF61BC" w:rsidP="00DF61BC">
      <w:bookmarkStart w:id="257" w:name="Table_25:_Non-study_Anti-tumour_Treatmen"/>
      <w:bookmarkStart w:id="258" w:name="11.2.2._Analysis_of_Key_Secondary_Effica"/>
      <w:bookmarkStart w:id="259" w:name="11.2.2.1._Progression_Free_Survival_in_t"/>
      <w:bookmarkEnd w:id="257"/>
      <w:bookmarkEnd w:id="258"/>
      <w:bookmarkEnd w:id="259"/>
      <w:r w:rsidRPr="00C94C33">
        <w:t xml:space="preserve">PFS was defined as the time (in months) from the date of randomisation until the date of the investigator-assessed radiological disease progression or death due to any cause as of the pre-specified cut-off date of 31 January 2014 for non-survival data. The results </w:t>
      </w:r>
      <w:r w:rsidR="00F92D69" w:rsidRPr="00C94C33">
        <w:t xml:space="preserve">and </w:t>
      </w:r>
      <w:r w:rsidRPr="00C94C33">
        <w:t>Kaplan-Me</w:t>
      </w:r>
      <w:r w:rsidR="000A1E52" w:rsidRPr="00C94C33">
        <w:t>ier curves are summarised below.</w:t>
      </w:r>
    </w:p>
    <w:p w14:paraId="131C8DD6" w14:textId="1A4485E3" w:rsidR="00DF61BC" w:rsidRPr="00C94C33" w:rsidRDefault="00DF61BC" w:rsidP="00C665B0">
      <w:pPr>
        <w:pStyle w:val="Tabletitle"/>
      </w:pPr>
      <w:bookmarkStart w:id="260" w:name="_Toc470948684"/>
      <w:r w:rsidRPr="00C94C33">
        <w:t>Table</w:t>
      </w:r>
      <w:r w:rsidR="000A1E52" w:rsidRPr="00C94C33">
        <w:t xml:space="preserve"> 35</w:t>
      </w:r>
      <w:r w:rsidRPr="00C94C33">
        <w:t>: Radiologic progression free-survival (PFS)</w:t>
      </w:r>
      <w:r w:rsidR="0041178E">
        <w:t>;</w:t>
      </w:r>
      <w:r w:rsidRPr="00C94C33">
        <w:t xml:space="preserve"> ITT population</w:t>
      </w:r>
      <w:bookmarkEnd w:id="260"/>
    </w:p>
    <w:tbl>
      <w:tblPr>
        <w:tblStyle w:val="TableGrid"/>
        <w:tblW w:w="0" w:type="auto"/>
        <w:tblLook w:val="04A0" w:firstRow="1" w:lastRow="0" w:firstColumn="1" w:lastColumn="0" w:noHBand="0" w:noVBand="1"/>
        <w:tblDescription w:val="Table 35: Radiologic progression free-survival (PFS); ITT population"/>
      </w:tblPr>
      <w:tblGrid>
        <w:gridCol w:w="3182"/>
        <w:gridCol w:w="3183"/>
        <w:gridCol w:w="3183"/>
      </w:tblGrid>
      <w:tr w:rsidR="00DF61BC" w:rsidRPr="00C94C33" w14:paraId="08F997EF" w14:textId="77777777" w:rsidTr="007B0D96">
        <w:trPr>
          <w:tblHeader/>
        </w:trPr>
        <w:tc>
          <w:tcPr>
            <w:tcW w:w="3182" w:type="dxa"/>
            <w:tcBorders>
              <w:left w:val="single" w:sz="4" w:space="0" w:color="auto"/>
            </w:tcBorders>
            <w:shd w:val="clear" w:color="auto" w:fill="auto"/>
          </w:tcPr>
          <w:p w14:paraId="4979F454" w14:textId="77777777" w:rsidR="00DF61BC" w:rsidRPr="00C94C33" w:rsidRDefault="00DF61BC" w:rsidP="006263CF">
            <w:pPr>
              <w:pStyle w:val="TableHeading"/>
            </w:pPr>
          </w:p>
        </w:tc>
        <w:tc>
          <w:tcPr>
            <w:tcW w:w="3183" w:type="dxa"/>
            <w:tcBorders>
              <w:right w:val="nil"/>
            </w:tcBorders>
            <w:shd w:val="clear" w:color="auto" w:fill="auto"/>
          </w:tcPr>
          <w:p w14:paraId="669F0D16" w14:textId="51D1215E" w:rsidR="00DF61BC" w:rsidRPr="00C94C33" w:rsidRDefault="00DF61BC" w:rsidP="006263CF">
            <w:pPr>
              <w:pStyle w:val="TableHeading"/>
            </w:pPr>
            <w:r w:rsidRPr="00C94C33">
              <w:t>TAS-102 (</w:t>
            </w:r>
            <w:r w:rsidR="009C0389" w:rsidRPr="00C94C33">
              <w:t xml:space="preserve">n = </w:t>
            </w:r>
            <w:r w:rsidRPr="00C94C33">
              <w:t>534)</w:t>
            </w:r>
          </w:p>
        </w:tc>
        <w:tc>
          <w:tcPr>
            <w:tcW w:w="3183" w:type="dxa"/>
            <w:tcBorders>
              <w:left w:val="nil"/>
              <w:right w:val="single" w:sz="4" w:space="0" w:color="auto"/>
            </w:tcBorders>
            <w:shd w:val="clear" w:color="auto" w:fill="auto"/>
          </w:tcPr>
          <w:p w14:paraId="7EC5E546" w14:textId="5EF9ED10" w:rsidR="00DF61BC" w:rsidRPr="00C94C33" w:rsidRDefault="00DF61BC" w:rsidP="006263CF">
            <w:pPr>
              <w:pStyle w:val="TableHeading"/>
            </w:pPr>
            <w:r w:rsidRPr="00C94C33">
              <w:t>Placebo (</w:t>
            </w:r>
            <w:r w:rsidR="009C0389" w:rsidRPr="00C94C33">
              <w:t xml:space="preserve">n = </w:t>
            </w:r>
            <w:r w:rsidRPr="00C94C33">
              <w:t>266)</w:t>
            </w:r>
          </w:p>
        </w:tc>
      </w:tr>
      <w:tr w:rsidR="00DF61BC" w:rsidRPr="00C94C33" w14:paraId="66502626" w14:textId="77777777" w:rsidTr="00B81A4F">
        <w:tc>
          <w:tcPr>
            <w:tcW w:w="3182" w:type="dxa"/>
            <w:tcBorders>
              <w:left w:val="single" w:sz="4" w:space="0" w:color="auto"/>
              <w:bottom w:val="nil"/>
            </w:tcBorders>
            <w:shd w:val="clear" w:color="auto" w:fill="auto"/>
          </w:tcPr>
          <w:p w14:paraId="6A4655B5" w14:textId="77777777" w:rsidR="00DF61BC" w:rsidRPr="00C94C33" w:rsidRDefault="00DF61BC" w:rsidP="006263CF">
            <w:pPr>
              <w:pStyle w:val="Tabletext"/>
            </w:pPr>
            <w:r w:rsidRPr="00C94C33">
              <w:t>PFS event (total) – not censored</w:t>
            </w:r>
          </w:p>
        </w:tc>
        <w:tc>
          <w:tcPr>
            <w:tcW w:w="3183" w:type="dxa"/>
            <w:tcBorders>
              <w:bottom w:val="nil"/>
              <w:right w:val="nil"/>
            </w:tcBorders>
            <w:shd w:val="clear" w:color="auto" w:fill="auto"/>
          </w:tcPr>
          <w:p w14:paraId="2752EF33" w14:textId="77777777" w:rsidR="00DF61BC" w:rsidRPr="00C94C33" w:rsidRDefault="00DF61BC" w:rsidP="006263CF">
            <w:pPr>
              <w:pStyle w:val="Tabletext"/>
            </w:pPr>
            <w:r w:rsidRPr="00C94C33">
              <w:t>472 (88.4%)</w:t>
            </w:r>
          </w:p>
        </w:tc>
        <w:tc>
          <w:tcPr>
            <w:tcW w:w="3183" w:type="dxa"/>
            <w:tcBorders>
              <w:left w:val="nil"/>
              <w:bottom w:val="nil"/>
              <w:right w:val="single" w:sz="4" w:space="0" w:color="auto"/>
            </w:tcBorders>
            <w:shd w:val="clear" w:color="auto" w:fill="auto"/>
          </w:tcPr>
          <w:p w14:paraId="33AF4754" w14:textId="77777777" w:rsidR="00DF61BC" w:rsidRPr="00C94C33" w:rsidRDefault="00DF61BC" w:rsidP="006263CF">
            <w:pPr>
              <w:pStyle w:val="Tabletext"/>
            </w:pPr>
            <w:r w:rsidRPr="00C94C33">
              <w:t>251 (94.4%)</w:t>
            </w:r>
          </w:p>
        </w:tc>
      </w:tr>
      <w:tr w:rsidR="00DF61BC" w:rsidRPr="00C94C33" w14:paraId="3CC84B91" w14:textId="77777777" w:rsidTr="00B81A4F">
        <w:tc>
          <w:tcPr>
            <w:tcW w:w="3182" w:type="dxa"/>
            <w:tcBorders>
              <w:top w:val="nil"/>
              <w:left w:val="single" w:sz="4" w:space="0" w:color="auto"/>
              <w:bottom w:val="nil"/>
            </w:tcBorders>
            <w:shd w:val="clear" w:color="auto" w:fill="auto"/>
          </w:tcPr>
          <w:p w14:paraId="2BD46855" w14:textId="09E9B800" w:rsidR="00DF61BC" w:rsidRPr="00C94C33" w:rsidRDefault="00DF61BC" w:rsidP="006263CF">
            <w:pPr>
              <w:pStyle w:val="Tabletext"/>
            </w:pPr>
            <w:r w:rsidRPr="00C94C33">
              <w:t>Progressed</w:t>
            </w:r>
          </w:p>
        </w:tc>
        <w:tc>
          <w:tcPr>
            <w:tcW w:w="3183" w:type="dxa"/>
            <w:tcBorders>
              <w:top w:val="nil"/>
              <w:bottom w:val="nil"/>
              <w:right w:val="nil"/>
            </w:tcBorders>
            <w:shd w:val="clear" w:color="auto" w:fill="auto"/>
          </w:tcPr>
          <w:p w14:paraId="0EB34745" w14:textId="77777777" w:rsidR="00DF61BC" w:rsidRPr="00C94C33" w:rsidRDefault="00DF61BC" w:rsidP="006263CF">
            <w:pPr>
              <w:pStyle w:val="Tabletext"/>
            </w:pPr>
            <w:r w:rsidRPr="00C94C33">
              <w:t>432 (80.9%)</w:t>
            </w:r>
          </w:p>
        </w:tc>
        <w:tc>
          <w:tcPr>
            <w:tcW w:w="3183" w:type="dxa"/>
            <w:tcBorders>
              <w:top w:val="nil"/>
              <w:left w:val="nil"/>
              <w:bottom w:val="nil"/>
              <w:right w:val="single" w:sz="4" w:space="0" w:color="auto"/>
            </w:tcBorders>
            <w:shd w:val="clear" w:color="auto" w:fill="auto"/>
          </w:tcPr>
          <w:p w14:paraId="0EC1D2FF" w14:textId="77777777" w:rsidR="00DF61BC" w:rsidRPr="00C94C33" w:rsidRDefault="00DF61BC" w:rsidP="006263CF">
            <w:pPr>
              <w:pStyle w:val="Tabletext"/>
            </w:pPr>
            <w:r w:rsidRPr="00C94C33">
              <w:t>226 (85.0%)</w:t>
            </w:r>
          </w:p>
        </w:tc>
      </w:tr>
      <w:tr w:rsidR="00DF61BC" w:rsidRPr="00C94C33" w14:paraId="318B979D" w14:textId="77777777" w:rsidTr="00B81A4F">
        <w:tc>
          <w:tcPr>
            <w:tcW w:w="3182" w:type="dxa"/>
            <w:tcBorders>
              <w:top w:val="nil"/>
              <w:left w:val="single" w:sz="4" w:space="0" w:color="auto"/>
            </w:tcBorders>
            <w:shd w:val="clear" w:color="auto" w:fill="auto"/>
          </w:tcPr>
          <w:p w14:paraId="6B07C5BA" w14:textId="50124CB6" w:rsidR="00DF61BC" w:rsidRPr="00C94C33" w:rsidRDefault="00DF61BC" w:rsidP="006263CF">
            <w:pPr>
              <w:pStyle w:val="Tabletext"/>
            </w:pPr>
            <w:r w:rsidRPr="00C94C33">
              <w:t>Death</w:t>
            </w:r>
          </w:p>
        </w:tc>
        <w:tc>
          <w:tcPr>
            <w:tcW w:w="3183" w:type="dxa"/>
            <w:tcBorders>
              <w:top w:val="nil"/>
              <w:right w:val="nil"/>
            </w:tcBorders>
            <w:shd w:val="clear" w:color="auto" w:fill="auto"/>
          </w:tcPr>
          <w:p w14:paraId="2439586C" w14:textId="77777777" w:rsidR="00DF61BC" w:rsidRPr="00C94C33" w:rsidRDefault="00DF61BC" w:rsidP="006263CF">
            <w:pPr>
              <w:pStyle w:val="Tabletext"/>
            </w:pPr>
            <w:r w:rsidRPr="00C94C33">
              <w:t>40 (7.5%)</w:t>
            </w:r>
          </w:p>
        </w:tc>
        <w:tc>
          <w:tcPr>
            <w:tcW w:w="3183" w:type="dxa"/>
            <w:tcBorders>
              <w:top w:val="nil"/>
              <w:left w:val="nil"/>
              <w:right w:val="single" w:sz="4" w:space="0" w:color="auto"/>
            </w:tcBorders>
            <w:shd w:val="clear" w:color="auto" w:fill="auto"/>
          </w:tcPr>
          <w:p w14:paraId="4701F7C8" w14:textId="77777777" w:rsidR="00DF61BC" w:rsidRPr="00C94C33" w:rsidRDefault="00DF61BC" w:rsidP="006263CF">
            <w:pPr>
              <w:pStyle w:val="Tabletext"/>
            </w:pPr>
            <w:r w:rsidRPr="00C94C33">
              <w:t>25 (9.4%)</w:t>
            </w:r>
          </w:p>
        </w:tc>
      </w:tr>
      <w:tr w:rsidR="00DF61BC" w:rsidRPr="00C94C33" w14:paraId="0F627F46" w14:textId="77777777" w:rsidTr="00B81A4F">
        <w:tc>
          <w:tcPr>
            <w:tcW w:w="3182" w:type="dxa"/>
            <w:tcBorders>
              <w:left w:val="single" w:sz="4" w:space="0" w:color="auto"/>
              <w:bottom w:val="single" w:sz="4" w:space="0" w:color="auto"/>
            </w:tcBorders>
            <w:shd w:val="clear" w:color="auto" w:fill="auto"/>
          </w:tcPr>
          <w:p w14:paraId="53442159" w14:textId="1C0FD269" w:rsidR="00DF61BC" w:rsidRPr="00C94C33" w:rsidRDefault="00DF61BC" w:rsidP="006263CF">
            <w:pPr>
              <w:pStyle w:val="Tabletext"/>
            </w:pPr>
            <w:r w:rsidRPr="00C94C33">
              <w:t xml:space="preserve">PFS </w:t>
            </w:r>
            <w:r w:rsidR="00A0007E" w:rsidRPr="00C94C33">
              <w:t>(</w:t>
            </w:r>
            <w:r w:rsidRPr="00C94C33">
              <w:t>95% CI</w:t>
            </w:r>
            <w:r w:rsidR="00A0007E" w:rsidRPr="00C94C33">
              <w:t>)</w:t>
            </w:r>
            <w:r w:rsidRPr="00C94C33">
              <w:t xml:space="preserve"> – median (months)</w:t>
            </w:r>
          </w:p>
        </w:tc>
        <w:tc>
          <w:tcPr>
            <w:tcW w:w="3183" w:type="dxa"/>
            <w:tcBorders>
              <w:bottom w:val="single" w:sz="4" w:space="0" w:color="auto"/>
              <w:right w:val="nil"/>
            </w:tcBorders>
            <w:shd w:val="clear" w:color="auto" w:fill="auto"/>
          </w:tcPr>
          <w:p w14:paraId="77C03FD3" w14:textId="15796B9F" w:rsidR="00DF61BC" w:rsidRPr="00C94C33" w:rsidRDefault="00DF61BC" w:rsidP="006263CF">
            <w:pPr>
              <w:pStyle w:val="Tabletext"/>
            </w:pPr>
            <w:r w:rsidRPr="00C94C33">
              <w:t xml:space="preserve">2.0 </w:t>
            </w:r>
            <w:r w:rsidR="00A0007E" w:rsidRPr="00C94C33">
              <w:t>(</w:t>
            </w:r>
            <w:r w:rsidRPr="00C94C33">
              <w:t>1.9, 2.1</w:t>
            </w:r>
            <w:r w:rsidR="00A0007E" w:rsidRPr="00C94C33">
              <w:t>)</w:t>
            </w:r>
          </w:p>
        </w:tc>
        <w:tc>
          <w:tcPr>
            <w:tcW w:w="3183" w:type="dxa"/>
            <w:tcBorders>
              <w:left w:val="nil"/>
              <w:bottom w:val="single" w:sz="4" w:space="0" w:color="auto"/>
              <w:right w:val="single" w:sz="4" w:space="0" w:color="auto"/>
            </w:tcBorders>
            <w:shd w:val="clear" w:color="auto" w:fill="auto"/>
          </w:tcPr>
          <w:p w14:paraId="255D8275" w14:textId="394E7D1C" w:rsidR="00DF61BC" w:rsidRPr="00C94C33" w:rsidRDefault="00DF61BC" w:rsidP="006263CF">
            <w:pPr>
              <w:pStyle w:val="Tabletext"/>
            </w:pPr>
            <w:r w:rsidRPr="00C94C33">
              <w:t xml:space="preserve">1.7 </w:t>
            </w:r>
            <w:r w:rsidR="00A0007E" w:rsidRPr="00C94C33">
              <w:t>(</w:t>
            </w:r>
            <w:r w:rsidRPr="00C94C33">
              <w:t>1.7. 1.8</w:t>
            </w:r>
            <w:r w:rsidR="00A0007E" w:rsidRPr="00C94C33">
              <w:t>)</w:t>
            </w:r>
          </w:p>
        </w:tc>
      </w:tr>
      <w:tr w:rsidR="00DF61BC" w:rsidRPr="00C94C33" w14:paraId="2A1D7AA6" w14:textId="77777777" w:rsidTr="00B81A4F">
        <w:tc>
          <w:tcPr>
            <w:tcW w:w="3182" w:type="dxa"/>
            <w:tcBorders>
              <w:top w:val="single" w:sz="4" w:space="0" w:color="auto"/>
              <w:left w:val="single" w:sz="4" w:space="0" w:color="auto"/>
              <w:bottom w:val="nil"/>
            </w:tcBorders>
            <w:shd w:val="clear" w:color="auto" w:fill="auto"/>
          </w:tcPr>
          <w:p w14:paraId="50B95FD1" w14:textId="28802D56" w:rsidR="00DF61BC" w:rsidRPr="00C94C33" w:rsidRDefault="00DF61BC" w:rsidP="006263CF">
            <w:pPr>
              <w:pStyle w:val="Tabletext"/>
            </w:pPr>
            <w:r w:rsidRPr="00C94C33">
              <w:t xml:space="preserve">Hazard Ratio </w:t>
            </w:r>
            <w:r w:rsidR="00A0007E" w:rsidRPr="00C94C33">
              <w:t>(</w:t>
            </w:r>
            <w:r w:rsidRPr="00C94C33">
              <w:t>95% CI</w:t>
            </w:r>
            <w:r w:rsidR="00A0007E" w:rsidRPr="00C94C33">
              <w:t>)</w:t>
            </w:r>
          </w:p>
        </w:tc>
        <w:tc>
          <w:tcPr>
            <w:tcW w:w="6366" w:type="dxa"/>
            <w:gridSpan w:val="2"/>
            <w:tcBorders>
              <w:top w:val="single" w:sz="4" w:space="0" w:color="auto"/>
              <w:bottom w:val="nil"/>
              <w:right w:val="single" w:sz="4" w:space="0" w:color="auto"/>
            </w:tcBorders>
            <w:shd w:val="clear" w:color="auto" w:fill="auto"/>
          </w:tcPr>
          <w:p w14:paraId="729DC863" w14:textId="4584FE9D" w:rsidR="00DF61BC" w:rsidRPr="00C94C33" w:rsidRDefault="00DF61BC" w:rsidP="006263CF">
            <w:pPr>
              <w:pStyle w:val="Tabletext"/>
            </w:pPr>
            <w:r w:rsidRPr="00C94C33">
              <w:t xml:space="preserve">0.48 </w:t>
            </w:r>
            <w:r w:rsidR="00A0007E" w:rsidRPr="00C94C33">
              <w:t>(</w:t>
            </w:r>
            <w:r w:rsidRPr="00C94C33">
              <w:t>0.41, 0.57</w:t>
            </w:r>
            <w:r w:rsidR="00A0007E" w:rsidRPr="00C94C33">
              <w:t>)</w:t>
            </w:r>
          </w:p>
        </w:tc>
      </w:tr>
      <w:tr w:rsidR="00DF61BC" w:rsidRPr="00C94C33" w14:paraId="19C090EA" w14:textId="77777777" w:rsidTr="00B81A4F">
        <w:tc>
          <w:tcPr>
            <w:tcW w:w="3182" w:type="dxa"/>
            <w:tcBorders>
              <w:top w:val="nil"/>
              <w:left w:val="single" w:sz="4" w:space="0" w:color="auto"/>
            </w:tcBorders>
            <w:shd w:val="clear" w:color="auto" w:fill="auto"/>
          </w:tcPr>
          <w:p w14:paraId="47F6EF5F" w14:textId="77777777" w:rsidR="00DF61BC" w:rsidRPr="00C94C33" w:rsidRDefault="00DF61BC" w:rsidP="006263CF">
            <w:pPr>
              <w:pStyle w:val="Tabletext"/>
            </w:pPr>
            <w:r w:rsidRPr="00C94C33">
              <w:t>p-value, stratified log-rank test</w:t>
            </w:r>
          </w:p>
        </w:tc>
        <w:tc>
          <w:tcPr>
            <w:tcW w:w="6366" w:type="dxa"/>
            <w:gridSpan w:val="2"/>
            <w:tcBorders>
              <w:top w:val="nil"/>
              <w:right w:val="single" w:sz="4" w:space="0" w:color="auto"/>
            </w:tcBorders>
            <w:shd w:val="clear" w:color="auto" w:fill="auto"/>
          </w:tcPr>
          <w:p w14:paraId="6749EAC6" w14:textId="77777777" w:rsidR="00DF61BC" w:rsidRPr="00C94C33" w:rsidRDefault="00DF61BC" w:rsidP="006263CF">
            <w:pPr>
              <w:pStyle w:val="Tabletext"/>
            </w:pPr>
            <w:r w:rsidRPr="00C94C33">
              <w:t>p &lt; 0.0001 (1-sided and 2-sided)</w:t>
            </w:r>
          </w:p>
        </w:tc>
      </w:tr>
    </w:tbl>
    <w:p w14:paraId="0B841277" w14:textId="22FE836A" w:rsidR="00DF61BC" w:rsidRPr="00C94C33" w:rsidRDefault="00DF61BC" w:rsidP="000A1E52">
      <w:pPr>
        <w:pStyle w:val="FigureTitle"/>
      </w:pPr>
      <w:bookmarkStart w:id="261" w:name="_Toc470948806"/>
      <w:r w:rsidRPr="00C94C33">
        <w:t>Figure</w:t>
      </w:r>
      <w:r w:rsidR="000A1E52" w:rsidRPr="00C94C33">
        <w:t xml:space="preserve"> 11</w:t>
      </w:r>
      <w:r w:rsidRPr="00C94C33">
        <w:t>: Radiologic progression free survival (PFS)</w:t>
      </w:r>
      <w:r w:rsidR="0041178E">
        <w:t>;</w:t>
      </w:r>
      <w:r w:rsidRPr="00C94C33">
        <w:t xml:space="preserve"> ITT population</w:t>
      </w:r>
      <w:bookmarkEnd w:id="261"/>
    </w:p>
    <w:p w14:paraId="64C50E35" w14:textId="7618A2A5" w:rsidR="00DF61BC" w:rsidRPr="007709B8" w:rsidRDefault="005D5DE3" w:rsidP="00DF61BC">
      <w:pPr>
        <w:spacing w:after="0"/>
        <w:rPr>
          <w:sz w:val="18"/>
          <w:szCs w:val="18"/>
        </w:rPr>
      </w:pPr>
      <w:r>
        <w:rPr>
          <w:noProof/>
          <w:lang w:eastAsia="en-AU"/>
        </w:rPr>
        <w:drawing>
          <wp:inline distT="0" distB="0" distL="0" distR="0" wp14:anchorId="1EC312B8" wp14:editId="3CB1D09F">
            <wp:extent cx="3938776" cy="2133410"/>
            <wp:effectExtent l="19050" t="19050" r="24130" b="19685"/>
            <wp:docPr id="1355" name="Picture 1311" descr="Figure 11: Radiologic progression free survival (PFS),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 name="Picture 1311" descr="Figure 11: Radiologic progression free survival (PFS), ITT population.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38776" cy="21334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76BF032F" w14:textId="51A3012E" w:rsidR="00DF61BC" w:rsidRPr="00C94C33" w:rsidRDefault="00DF61BC" w:rsidP="005C2FCA">
      <w:pPr>
        <w:pStyle w:val="Comment"/>
      </w:pPr>
      <w:r w:rsidRPr="005C2FCA">
        <w:rPr>
          <w:b/>
        </w:rPr>
        <w:lastRenderedPageBreak/>
        <w:t>Comment:</w:t>
      </w:r>
      <w:r w:rsidR="0041178E">
        <w:t xml:space="preserve"> </w:t>
      </w:r>
      <w:r w:rsidRPr="00C94C33">
        <w:t xml:space="preserve"> There was a small statistically significant median increase in PFS of 0.3 months in the TAS-102 arm compared to the placebo arm. The majority of PFS events in both treatment arms were investigator-assessed radiological disease progression, with such events being reported more frequently in the placebo arm than in the TAS-102 arm (85.0%</w:t>
      </w:r>
      <w:r w:rsidR="00C11183">
        <w:t xml:space="preserve"> versus </w:t>
      </w:r>
      <w:r w:rsidRPr="00C94C33">
        <w:t>80.9%, respectively). The Kaplan-Meier curves began to separate in favour of the TAS-102 arm from 2 months after randomisation. The results of the supportive analyses of PFS were consistent with the results of the primary analysis, as were the results based on the stratification factors. The median PFS results for the subgroup analyses numerically favoured the TAS-102 arm compared to the placebo arm for all subgroups, apart from the Australian subpopulation.</w:t>
      </w:r>
    </w:p>
    <w:p w14:paraId="18EA0C8D" w14:textId="7571352C" w:rsidR="00DF61BC" w:rsidRPr="00C94C33" w:rsidRDefault="00DF61BC" w:rsidP="00955252">
      <w:pPr>
        <w:pStyle w:val="Heading4"/>
      </w:pPr>
      <w:bookmarkStart w:id="262" w:name="_Toc470948532"/>
      <w:r w:rsidRPr="00C94C33">
        <w:t>Other secondary efficacy endpoints</w:t>
      </w:r>
      <w:bookmarkEnd w:id="262"/>
    </w:p>
    <w:p w14:paraId="65F0350B" w14:textId="1311D5AB" w:rsidR="00DF61BC" w:rsidRPr="00C94C33" w:rsidRDefault="00DF61BC" w:rsidP="00DF61BC">
      <w:pPr>
        <w:autoSpaceDE w:val="0"/>
        <w:autoSpaceDN w:val="0"/>
        <w:adjustRightInd w:val="0"/>
        <w:rPr>
          <w:rFonts w:asciiTheme="minorHAnsi" w:hAnsiTheme="minorHAnsi"/>
          <w:color w:val="000000"/>
        </w:rPr>
      </w:pPr>
      <w:r w:rsidRPr="00C94C33">
        <w:rPr>
          <w:rFonts w:asciiTheme="minorHAnsi" w:hAnsiTheme="minorHAnsi"/>
          <w:color w:val="000000"/>
        </w:rPr>
        <w:t>Time to treatment failure was defined as the time (in months) from the date of randomisation until the date of radiologic disease progression, permanent discontinuation of study treatment, or death due to any cause as of the pre-specified cut-off date of 31 January 2014 for non-survival data. The median TTF was 1.9 months for the TAS-102 arm compared to 1.7 months for the placebo arm with HR of 0.50 (95% CI: 0.42, 0.58), p</w:t>
      </w:r>
      <w:r w:rsidR="0041178E">
        <w:rPr>
          <w:rFonts w:asciiTheme="minorHAnsi" w:hAnsiTheme="minorHAnsi"/>
          <w:color w:val="000000"/>
        </w:rPr>
        <w:t xml:space="preserve"> </w:t>
      </w:r>
      <w:r w:rsidRPr="00C94C33">
        <w:rPr>
          <w:rFonts w:asciiTheme="minorHAnsi" w:hAnsiTheme="minorHAnsi"/>
          <w:color w:val="000000"/>
        </w:rPr>
        <w:t>&lt;</w:t>
      </w:r>
      <w:r w:rsidR="0041178E">
        <w:rPr>
          <w:rFonts w:asciiTheme="minorHAnsi" w:hAnsiTheme="minorHAnsi"/>
          <w:color w:val="000000"/>
        </w:rPr>
        <w:t xml:space="preserve"> </w:t>
      </w:r>
      <w:r w:rsidRPr="00C94C33">
        <w:rPr>
          <w:rFonts w:asciiTheme="minorHAnsi" w:hAnsiTheme="minorHAnsi"/>
          <w:color w:val="000000"/>
        </w:rPr>
        <w:t>0.0001 (stratified log-rank test).</w:t>
      </w:r>
    </w:p>
    <w:p w14:paraId="4B2FCD33" w14:textId="77777777" w:rsidR="00DF61BC" w:rsidRPr="00C94C33" w:rsidRDefault="00DF61BC" w:rsidP="00DF61BC">
      <w:pPr>
        <w:autoSpaceDE w:val="0"/>
        <w:autoSpaceDN w:val="0"/>
        <w:adjustRightInd w:val="0"/>
        <w:rPr>
          <w:rFonts w:asciiTheme="minorHAnsi" w:hAnsiTheme="minorHAnsi"/>
          <w:color w:val="000000"/>
        </w:rPr>
      </w:pPr>
      <w:r w:rsidRPr="00C94C33">
        <w:rPr>
          <w:rFonts w:asciiTheme="minorHAnsi" w:hAnsiTheme="minorHAnsi"/>
          <w:color w:val="000000"/>
        </w:rPr>
        <w:t>The assessment of the overall response rate (ORR) was based on investigator review of radiologic images and was restricted to patients with measurable disease (at least 1 target lesion) at baseline and with at least one tumour evaluation while on study treatment (TR population). There was no statistically significant difference between the two treatment groups in the ORR. There was a statistically significant difference between the two treatment groups in favour of TAS-102 compared to placebo in the disease control rate (DCR). Of note, only 1 patient (placebo group) achieved a complete response. The results are summarised below.</w:t>
      </w:r>
    </w:p>
    <w:p w14:paraId="40BD32DB" w14:textId="2FA5A83B" w:rsidR="00DF61BC" w:rsidRPr="00C94C33" w:rsidRDefault="00DF61BC" w:rsidP="00C665B0">
      <w:pPr>
        <w:pStyle w:val="Tabletitle"/>
      </w:pPr>
      <w:bookmarkStart w:id="263" w:name="_Toc470948685"/>
      <w:r w:rsidRPr="00C94C33">
        <w:t>Table</w:t>
      </w:r>
      <w:r w:rsidR="00AB4565" w:rsidRPr="00C94C33">
        <w:t xml:space="preserve"> 36</w:t>
      </w:r>
      <w:r w:rsidRPr="00C94C33">
        <w:t>: Best overall response rate (ORR) and disease control rate (DCR), TR population</w:t>
      </w:r>
      <w:bookmarkEnd w:id="263"/>
    </w:p>
    <w:p w14:paraId="3554E13D" w14:textId="77777777" w:rsidR="00DF61BC" w:rsidRPr="00C94C33" w:rsidRDefault="00DF61BC" w:rsidP="005C2FCA">
      <w:pPr>
        <w:pStyle w:val="BodyText"/>
        <w:keepNext/>
        <w:kinsoku w:val="0"/>
        <w:overflowPunct w:val="0"/>
        <w:spacing w:before="9"/>
        <w:ind w:left="0"/>
        <w:rPr>
          <w:sz w:val="2"/>
          <w:szCs w:val="2"/>
        </w:rPr>
      </w:pPr>
    </w:p>
    <w:tbl>
      <w:tblPr>
        <w:tblW w:w="0" w:type="auto"/>
        <w:tblInd w:w="112" w:type="dxa"/>
        <w:tblLayout w:type="fixed"/>
        <w:tblCellMar>
          <w:left w:w="0" w:type="dxa"/>
          <w:right w:w="0" w:type="dxa"/>
        </w:tblCellMar>
        <w:tblLook w:val="0000" w:firstRow="0" w:lastRow="0" w:firstColumn="0" w:lastColumn="0" w:noHBand="0" w:noVBand="0"/>
      </w:tblPr>
      <w:tblGrid>
        <w:gridCol w:w="4608"/>
        <w:gridCol w:w="1260"/>
        <w:gridCol w:w="1179"/>
        <w:gridCol w:w="1264"/>
        <w:gridCol w:w="1265"/>
      </w:tblGrid>
      <w:tr w:rsidR="00DF61BC" w:rsidRPr="00C94C33" w14:paraId="2A0DB7A7" w14:textId="77777777" w:rsidTr="00B81A4F">
        <w:trPr>
          <w:trHeight w:hRule="exact" w:val="641"/>
        </w:trPr>
        <w:tc>
          <w:tcPr>
            <w:tcW w:w="4608" w:type="dxa"/>
            <w:tcBorders>
              <w:top w:val="single" w:sz="7" w:space="0" w:color="000000"/>
              <w:left w:val="single" w:sz="6" w:space="0" w:color="000000"/>
              <w:bottom w:val="single" w:sz="7" w:space="0" w:color="000000"/>
              <w:right w:val="single" w:sz="6" w:space="0" w:color="000000"/>
            </w:tcBorders>
            <w:shd w:val="clear" w:color="auto" w:fill="auto"/>
          </w:tcPr>
          <w:p w14:paraId="1B8BC2B0" w14:textId="77777777" w:rsidR="00DF61BC" w:rsidRPr="00C94C33" w:rsidRDefault="00DF61BC" w:rsidP="006263CF">
            <w:pPr>
              <w:pStyle w:val="TableHeading"/>
            </w:pPr>
            <w:bookmarkStart w:id="264" w:name="Table_31:_Best_Overall_Response_Rate/Dis"/>
            <w:bookmarkStart w:id="265" w:name="11.2.3.3._Duration_of_Response"/>
            <w:bookmarkStart w:id="266" w:name="11.2.3.4._Time_to_ECOG_Performance_Statu"/>
            <w:bookmarkEnd w:id="264"/>
            <w:bookmarkEnd w:id="265"/>
            <w:bookmarkEnd w:id="266"/>
            <w:r w:rsidRPr="00C94C33">
              <w:t>Parameter</w:t>
            </w:r>
          </w:p>
        </w:tc>
        <w:tc>
          <w:tcPr>
            <w:tcW w:w="2439" w:type="dxa"/>
            <w:gridSpan w:val="2"/>
            <w:tcBorders>
              <w:top w:val="single" w:sz="7" w:space="0" w:color="000000"/>
              <w:left w:val="single" w:sz="6" w:space="0" w:color="000000"/>
              <w:bottom w:val="single" w:sz="7" w:space="0" w:color="000000"/>
              <w:right w:val="single" w:sz="6" w:space="0" w:color="000000"/>
            </w:tcBorders>
            <w:shd w:val="clear" w:color="auto" w:fill="auto"/>
          </w:tcPr>
          <w:p w14:paraId="5BB896A1" w14:textId="0133AF16" w:rsidR="00DF61BC" w:rsidRPr="00C94C33" w:rsidRDefault="00DF61BC" w:rsidP="006263CF">
            <w:pPr>
              <w:pStyle w:val="TableHeading"/>
            </w:pPr>
            <w:r w:rsidRPr="00C94C33">
              <w:rPr>
                <w:w w:val="95"/>
              </w:rPr>
              <w:t>TAS-102</w:t>
            </w:r>
            <w:r w:rsidRPr="00C94C33">
              <w:rPr>
                <w:w w:val="99"/>
              </w:rPr>
              <w:t xml:space="preserve"> </w:t>
            </w:r>
            <w:r w:rsidRPr="00C94C33">
              <w:t>(</w:t>
            </w:r>
            <w:r w:rsidR="009C0389" w:rsidRPr="00C94C33">
              <w:t xml:space="preserve">N = </w:t>
            </w:r>
            <w:r w:rsidRPr="00C94C33">
              <w:t>502)</w:t>
            </w:r>
          </w:p>
        </w:tc>
        <w:tc>
          <w:tcPr>
            <w:tcW w:w="2529" w:type="dxa"/>
            <w:gridSpan w:val="2"/>
            <w:tcBorders>
              <w:top w:val="single" w:sz="7" w:space="0" w:color="000000"/>
              <w:left w:val="single" w:sz="6" w:space="0" w:color="000000"/>
              <w:bottom w:val="single" w:sz="7" w:space="0" w:color="000000"/>
              <w:right w:val="single" w:sz="6" w:space="0" w:color="000000"/>
            </w:tcBorders>
            <w:shd w:val="clear" w:color="auto" w:fill="auto"/>
          </w:tcPr>
          <w:p w14:paraId="53777D46" w14:textId="36D095B1" w:rsidR="00DF61BC" w:rsidRPr="00C94C33" w:rsidRDefault="00DF61BC" w:rsidP="006263CF">
            <w:pPr>
              <w:pStyle w:val="TableHeading"/>
            </w:pPr>
            <w:r w:rsidRPr="00C94C33">
              <w:t>Placebo</w:t>
            </w:r>
            <w:r w:rsidRPr="00C94C33">
              <w:rPr>
                <w:w w:val="99"/>
              </w:rPr>
              <w:t xml:space="preserve"> </w:t>
            </w:r>
            <w:r w:rsidRPr="00C94C33">
              <w:rPr>
                <w:w w:val="95"/>
              </w:rPr>
              <w:t>(</w:t>
            </w:r>
            <w:r w:rsidR="009C0389" w:rsidRPr="00C94C33">
              <w:rPr>
                <w:w w:val="95"/>
              </w:rPr>
              <w:t xml:space="preserve">N = </w:t>
            </w:r>
            <w:r w:rsidRPr="00C94C33">
              <w:rPr>
                <w:w w:val="95"/>
              </w:rPr>
              <w:t>258)</w:t>
            </w:r>
          </w:p>
        </w:tc>
      </w:tr>
      <w:tr w:rsidR="00DF61BC" w:rsidRPr="00C94C33" w14:paraId="0F822DA1" w14:textId="77777777" w:rsidTr="00B81A4F">
        <w:trPr>
          <w:trHeight w:hRule="exact" w:val="329"/>
        </w:trPr>
        <w:tc>
          <w:tcPr>
            <w:tcW w:w="4608" w:type="dxa"/>
            <w:tcBorders>
              <w:top w:val="single" w:sz="7" w:space="0" w:color="000000"/>
              <w:left w:val="single" w:sz="6" w:space="0" w:color="000000"/>
              <w:bottom w:val="single" w:sz="7" w:space="0" w:color="000000"/>
              <w:right w:val="single" w:sz="6" w:space="0" w:color="000000"/>
            </w:tcBorders>
            <w:shd w:val="clear" w:color="auto" w:fill="auto"/>
          </w:tcPr>
          <w:p w14:paraId="6B4B579C" w14:textId="77777777" w:rsidR="00DF61BC" w:rsidRPr="00C94C33" w:rsidRDefault="00DF61BC" w:rsidP="006263CF">
            <w:pPr>
              <w:pStyle w:val="TableHeading"/>
            </w:pPr>
            <w:r w:rsidRPr="00C94C33">
              <w:t xml:space="preserve">Best overall </w:t>
            </w:r>
            <w:r w:rsidRPr="00C94C33">
              <w:rPr>
                <w:spacing w:val="-2"/>
              </w:rPr>
              <w:t>response</w:t>
            </w:r>
            <w:r w:rsidRPr="00C94C33">
              <w:t xml:space="preserve"> (ORR)</w:t>
            </w:r>
          </w:p>
        </w:tc>
        <w:tc>
          <w:tcPr>
            <w:tcW w:w="1260" w:type="dxa"/>
            <w:tcBorders>
              <w:top w:val="single" w:sz="7" w:space="0" w:color="000000"/>
              <w:left w:val="single" w:sz="6" w:space="0" w:color="000000"/>
              <w:bottom w:val="single" w:sz="7" w:space="0" w:color="000000"/>
              <w:right w:val="single" w:sz="6" w:space="0" w:color="000000"/>
            </w:tcBorders>
            <w:shd w:val="clear" w:color="auto" w:fill="auto"/>
          </w:tcPr>
          <w:p w14:paraId="446CE2A0" w14:textId="77777777" w:rsidR="00DF61BC" w:rsidRPr="00C94C33" w:rsidRDefault="00DF61BC" w:rsidP="006263CF">
            <w:pPr>
              <w:pStyle w:val="TableHeading"/>
            </w:pPr>
            <w:r w:rsidRPr="00C94C33">
              <w:t>n (%)</w:t>
            </w:r>
          </w:p>
        </w:tc>
        <w:tc>
          <w:tcPr>
            <w:tcW w:w="1179" w:type="dxa"/>
            <w:tcBorders>
              <w:top w:val="single" w:sz="7" w:space="0" w:color="000000"/>
              <w:left w:val="single" w:sz="6" w:space="0" w:color="000000"/>
              <w:bottom w:val="single" w:sz="7" w:space="0" w:color="000000"/>
              <w:right w:val="single" w:sz="6" w:space="0" w:color="000000"/>
            </w:tcBorders>
            <w:shd w:val="clear" w:color="auto" w:fill="auto"/>
          </w:tcPr>
          <w:p w14:paraId="203EDDC8" w14:textId="77777777" w:rsidR="00DF61BC" w:rsidRPr="00C94C33" w:rsidRDefault="00DF61BC" w:rsidP="006263CF">
            <w:pPr>
              <w:pStyle w:val="TableHeading"/>
            </w:pPr>
            <w:r w:rsidRPr="00C94C33">
              <w:t>95%</w:t>
            </w:r>
            <w:r w:rsidRPr="00C94C33">
              <w:rPr>
                <w:spacing w:val="-4"/>
              </w:rPr>
              <w:t xml:space="preserve"> </w:t>
            </w:r>
            <w:r w:rsidRPr="00C94C33">
              <w:t xml:space="preserve">CI </w:t>
            </w:r>
            <w:r w:rsidRPr="00C94C33">
              <w:rPr>
                <w:vertAlign w:val="superscript"/>
              </w:rPr>
              <w:t xml:space="preserve">a </w:t>
            </w:r>
          </w:p>
        </w:tc>
        <w:tc>
          <w:tcPr>
            <w:tcW w:w="1264" w:type="dxa"/>
            <w:tcBorders>
              <w:top w:val="single" w:sz="7" w:space="0" w:color="000000"/>
              <w:left w:val="single" w:sz="6" w:space="0" w:color="000000"/>
              <w:bottom w:val="single" w:sz="7" w:space="0" w:color="000000"/>
              <w:right w:val="single" w:sz="6" w:space="0" w:color="000000"/>
            </w:tcBorders>
            <w:shd w:val="clear" w:color="auto" w:fill="auto"/>
          </w:tcPr>
          <w:p w14:paraId="26CF0A57" w14:textId="77777777" w:rsidR="00DF61BC" w:rsidRPr="00C94C33" w:rsidRDefault="00DF61BC" w:rsidP="006263CF">
            <w:pPr>
              <w:pStyle w:val="TableHeading"/>
            </w:pPr>
            <w:r w:rsidRPr="00C94C33">
              <w:t>n (%)</w:t>
            </w:r>
          </w:p>
        </w:tc>
        <w:tc>
          <w:tcPr>
            <w:tcW w:w="1265" w:type="dxa"/>
            <w:tcBorders>
              <w:top w:val="single" w:sz="7" w:space="0" w:color="000000"/>
              <w:left w:val="single" w:sz="6" w:space="0" w:color="000000"/>
              <w:bottom w:val="single" w:sz="7" w:space="0" w:color="000000"/>
              <w:right w:val="single" w:sz="6" w:space="0" w:color="000000"/>
            </w:tcBorders>
            <w:shd w:val="clear" w:color="auto" w:fill="auto"/>
          </w:tcPr>
          <w:p w14:paraId="6FCC666C" w14:textId="77777777" w:rsidR="00DF61BC" w:rsidRPr="00C94C33" w:rsidRDefault="00DF61BC" w:rsidP="006263CF">
            <w:pPr>
              <w:pStyle w:val="TableHeading"/>
            </w:pPr>
            <w:r w:rsidRPr="00C94C33">
              <w:t>95%</w:t>
            </w:r>
            <w:r w:rsidRPr="00C94C33">
              <w:rPr>
                <w:spacing w:val="-4"/>
              </w:rPr>
              <w:t xml:space="preserve"> </w:t>
            </w:r>
            <w:r w:rsidRPr="00C94C33">
              <w:t xml:space="preserve">CI </w:t>
            </w:r>
            <w:r w:rsidRPr="00C94C33">
              <w:rPr>
                <w:vertAlign w:val="superscript"/>
              </w:rPr>
              <w:t>a</w:t>
            </w:r>
            <w:r w:rsidRPr="00C94C33">
              <w:t xml:space="preserve"> </w:t>
            </w:r>
          </w:p>
        </w:tc>
      </w:tr>
      <w:tr w:rsidR="00DF61BC" w:rsidRPr="00C94C33" w14:paraId="3A8BA798" w14:textId="77777777" w:rsidTr="006263CF">
        <w:trPr>
          <w:trHeight w:hRule="exact" w:val="305"/>
        </w:trPr>
        <w:tc>
          <w:tcPr>
            <w:tcW w:w="4608" w:type="dxa"/>
            <w:tcBorders>
              <w:top w:val="single" w:sz="7" w:space="0" w:color="000000"/>
              <w:left w:val="single" w:sz="6" w:space="0" w:color="000000"/>
              <w:bottom w:val="single" w:sz="7" w:space="0" w:color="000000"/>
              <w:right w:val="single" w:sz="6" w:space="0" w:color="000000"/>
            </w:tcBorders>
            <w:shd w:val="clear" w:color="auto" w:fill="auto"/>
          </w:tcPr>
          <w:p w14:paraId="101D3EA6" w14:textId="77777777" w:rsidR="00DF61BC" w:rsidRPr="00C94C33" w:rsidRDefault="00DF61BC" w:rsidP="006263CF">
            <w:pPr>
              <w:pStyle w:val="Tabletext"/>
            </w:pPr>
            <w:r w:rsidRPr="00C94C33">
              <w:t>Complete or partial</w:t>
            </w:r>
          </w:p>
        </w:tc>
        <w:tc>
          <w:tcPr>
            <w:tcW w:w="1260" w:type="dxa"/>
            <w:tcBorders>
              <w:top w:val="single" w:sz="7" w:space="0" w:color="000000"/>
              <w:left w:val="single" w:sz="6" w:space="0" w:color="000000"/>
              <w:bottom w:val="single" w:sz="7" w:space="0" w:color="000000"/>
              <w:right w:val="single" w:sz="6" w:space="0" w:color="000000"/>
            </w:tcBorders>
            <w:shd w:val="clear" w:color="auto" w:fill="auto"/>
          </w:tcPr>
          <w:p w14:paraId="4CF932E2" w14:textId="77777777" w:rsidR="00DF61BC" w:rsidRPr="00C94C33" w:rsidRDefault="00DF61BC" w:rsidP="006263CF">
            <w:pPr>
              <w:pStyle w:val="Tabletext"/>
              <w:jc w:val="center"/>
            </w:pPr>
            <w:r w:rsidRPr="00C94C33">
              <w:t>8 (1.6)</w:t>
            </w:r>
          </w:p>
        </w:tc>
        <w:tc>
          <w:tcPr>
            <w:tcW w:w="1179" w:type="dxa"/>
            <w:tcBorders>
              <w:top w:val="single" w:sz="7" w:space="0" w:color="000000"/>
              <w:left w:val="single" w:sz="6" w:space="0" w:color="000000"/>
              <w:bottom w:val="single" w:sz="7" w:space="0" w:color="000000"/>
              <w:right w:val="single" w:sz="6" w:space="0" w:color="000000"/>
            </w:tcBorders>
            <w:shd w:val="clear" w:color="auto" w:fill="auto"/>
          </w:tcPr>
          <w:p w14:paraId="0F21D402" w14:textId="77777777" w:rsidR="00DF61BC" w:rsidRPr="00C94C33" w:rsidRDefault="00DF61BC" w:rsidP="006263CF">
            <w:pPr>
              <w:pStyle w:val="Tabletext"/>
              <w:jc w:val="center"/>
            </w:pPr>
            <w:r w:rsidRPr="00C94C33">
              <w:t>0.7, 3.1</w:t>
            </w:r>
          </w:p>
        </w:tc>
        <w:tc>
          <w:tcPr>
            <w:tcW w:w="1264" w:type="dxa"/>
            <w:tcBorders>
              <w:top w:val="single" w:sz="7" w:space="0" w:color="000000"/>
              <w:left w:val="single" w:sz="6" w:space="0" w:color="000000"/>
              <w:bottom w:val="single" w:sz="7" w:space="0" w:color="000000"/>
              <w:right w:val="single" w:sz="6" w:space="0" w:color="000000"/>
            </w:tcBorders>
            <w:shd w:val="clear" w:color="auto" w:fill="auto"/>
          </w:tcPr>
          <w:p w14:paraId="1FCF0448" w14:textId="77777777" w:rsidR="00DF61BC" w:rsidRPr="00C94C33" w:rsidRDefault="00DF61BC" w:rsidP="006263CF">
            <w:pPr>
              <w:pStyle w:val="Tabletext"/>
              <w:jc w:val="center"/>
            </w:pPr>
            <w:r w:rsidRPr="00C94C33">
              <w:t>1 (0.4)</w:t>
            </w:r>
          </w:p>
        </w:tc>
        <w:tc>
          <w:tcPr>
            <w:tcW w:w="1265" w:type="dxa"/>
            <w:tcBorders>
              <w:top w:val="single" w:sz="7" w:space="0" w:color="000000"/>
              <w:left w:val="single" w:sz="6" w:space="0" w:color="000000"/>
              <w:bottom w:val="single" w:sz="7" w:space="0" w:color="000000"/>
              <w:right w:val="single" w:sz="6" w:space="0" w:color="000000"/>
            </w:tcBorders>
            <w:shd w:val="clear" w:color="auto" w:fill="auto"/>
          </w:tcPr>
          <w:p w14:paraId="63E3F06E" w14:textId="77777777" w:rsidR="00DF61BC" w:rsidRPr="00C94C33" w:rsidRDefault="00DF61BC" w:rsidP="006263CF">
            <w:pPr>
              <w:pStyle w:val="Tabletext"/>
              <w:jc w:val="center"/>
            </w:pPr>
            <w:r w:rsidRPr="00C94C33">
              <w:t>0.0, 2.1</w:t>
            </w:r>
          </w:p>
        </w:tc>
      </w:tr>
      <w:tr w:rsidR="00DF61BC" w:rsidRPr="00C94C33" w14:paraId="75392EEC" w14:textId="77777777" w:rsidTr="006263CF">
        <w:trPr>
          <w:trHeight w:hRule="exact" w:val="305"/>
        </w:trPr>
        <w:tc>
          <w:tcPr>
            <w:tcW w:w="4608" w:type="dxa"/>
            <w:tcBorders>
              <w:top w:val="single" w:sz="7" w:space="0" w:color="000000"/>
              <w:left w:val="single" w:sz="6" w:space="0" w:color="000000"/>
              <w:bottom w:val="single" w:sz="7" w:space="0" w:color="000000"/>
              <w:right w:val="single" w:sz="6" w:space="0" w:color="000000"/>
            </w:tcBorders>
            <w:shd w:val="clear" w:color="auto" w:fill="auto"/>
          </w:tcPr>
          <w:p w14:paraId="1AA940D2" w14:textId="77777777" w:rsidR="00DF61BC" w:rsidRPr="00C94C33" w:rsidRDefault="00DF61BC" w:rsidP="006263CF">
            <w:pPr>
              <w:pStyle w:val="Tabletext"/>
            </w:pPr>
            <w:r w:rsidRPr="00C94C33">
              <w:t>Complete</w:t>
            </w:r>
          </w:p>
        </w:tc>
        <w:tc>
          <w:tcPr>
            <w:tcW w:w="1260" w:type="dxa"/>
            <w:tcBorders>
              <w:top w:val="single" w:sz="7" w:space="0" w:color="000000"/>
              <w:left w:val="single" w:sz="6" w:space="0" w:color="000000"/>
              <w:bottom w:val="single" w:sz="7" w:space="0" w:color="000000"/>
              <w:right w:val="single" w:sz="6" w:space="0" w:color="000000"/>
            </w:tcBorders>
            <w:shd w:val="clear" w:color="auto" w:fill="auto"/>
          </w:tcPr>
          <w:p w14:paraId="6A288085" w14:textId="77777777" w:rsidR="00DF61BC" w:rsidRPr="00C94C33" w:rsidRDefault="00DF61BC" w:rsidP="006263CF">
            <w:pPr>
              <w:pStyle w:val="Tabletext"/>
              <w:jc w:val="center"/>
            </w:pPr>
            <w:r w:rsidRPr="00C94C33">
              <w:t>0 (0.0)</w:t>
            </w:r>
          </w:p>
        </w:tc>
        <w:tc>
          <w:tcPr>
            <w:tcW w:w="1179" w:type="dxa"/>
            <w:tcBorders>
              <w:top w:val="single" w:sz="7" w:space="0" w:color="000000"/>
              <w:left w:val="single" w:sz="6" w:space="0" w:color="000000"/>
              <w:bottom w:val="single" w:sz="7" w:space="0" w:color="000000"/>
              <w:right w:val="single" w:sz="6" w:space="0" w:color="000000"/>
            </w:tcBorders>
            <w:shd w:val="clear" w:color="auto" w:fill="auto"/>
          </w:tcPr>
          <w:p w14:paraId="2ED74C0E" w14:textId="77777777" w:rsidR="00DF61BC" w:rsidRPr="00C94C33" w:rsidRDefault="00DF61BC" w:rsidP="006263CF">
            <w:pPr>
              <w:pStyle w:val="Tabletext"/>
              <w:jc w:val="center"/>
            </w:pPr>
          </w:p>
        </w:tc>
        <w:tc>
          <w:tcPr>
            <w:tcW w:w="1264" w:type="dxa"/>
            <w:tcBorders>
              <w:top w:val="single" w:sz="7" w:space="0" w:color="000000"/>
              <w:left w:val="single" w:sz="6" w:space="0" w:color="000000"/>
              <w:bottom w:val="single" w:sz="7" w:space="0" w:color="000000"/>
              <w:right w:val="single" w:sz="6" w:space="0" w:color="000000"/>
            </w:tcBorders>
            <w:shd w:val="clear" w:color="auto" w:fill="auto"/>
          </w:tcPr>
          <w:p w14:paraId="148D717B" w14:textId="77777777" w:rsidR="00DF61BC" w:rsidRPr="00C94C33" w:rsidRDefault="00DF61BC" w:rsidP="006263CF">
            <w:pPr>
              <w:pStyle w:val="Tabletext"/>
              <w:jc w:val="center"/>
            </w:pPr>
            <w:r w:rsidRPr="00C94C33">
              <w:t>1 (0.4)</w:t>
            </w:r>
          </w:p>
        </w:tc>
        <w:tc>
          <w:tcPr>
            <w:tcW w:w="1265" w:type="dxa"/>
            <w:tcBorders>
              <w:top w:val="single" w:sz="7" w:space="0" w:color="000000"/>
              <w:left w:val="single" w:sz="6" w:space="0" w:color="000000"/>
              <w:bottom w:val="single" w:sz="7" w:space="0" w:color="000000"/>
              <w:right w:val="single" w:sz="6" w:space="0" w:color="000000"/>
            </w:tcBorders>
            <w:shd w:val="clear" w:color="auto" w:fill="auto"/>
          </w:tcPr>
          <w:p w14:paraId="11473E99" w14:textId="77777777" w:rsidR="00DF61BC" w:rsidRPr="00C94C33" w:rsidRDefault="00DF61BC" w:rsidP="006263CF">
            <w:pPr>
              <w:pStyle w:val="Tabletext"/>
              <w:jc w:val="center"/>
            </w:pPr>
          </w:p>
        </w:tc>
      </w:tr>
      <w:tr w:rsidR="00DF61BC" w:rsidRPr="00C94C33" w14:paraId="4F12B04C" w14:textId="77777777" w:rsidTr="006263CF">
        <w:trPr>
          <w:trHeight w:hRule="exact" w:val="305"/>
        </w:trPr>
        <w:tc>
          <w:tcPr>
            <w:tcW w:w="4608" w:type="dxa"/>
            <w:tcBorders>
              <w:top w:val="single" w:sz="7" w:space="0" w:color="000000"/>
              <w:left w:val="single" w:sz="6" w:space="0" w:color="000000"/>
              <w:bottom w:val="single" w:sz="7" w:space="0" w:color="000000"/>
              <w:right w:val="single" w:sz="6" w:space="0" w:color="000000"/>
            </w:tcBorders>
            <w:shd w:val="clear" w:color="auto" w:fill="auto"/>
          </w:tcPr>
          <w:p w14:paraId="2DCA0E8B" w14:textId="77777777" w:rsidR="00DF61BC" w:rsidRPr="00C94C33" w:rsidRDefault="00DF61BC" w:rsidP="006263CF">
            <w:pPr>
              <w:pStyle w:val="Tabletext"/>
            </w:pPr>
            <w:r w:rsidRPr="00C94C33">
              <w:t>Partial</w:t>
            </w:r>
          </w:p>
        </w:tc>
        <w:tc>
          <w:tcPr>
            <w:tcW w:w="1260" w:type="dxa"/>
            <w:tcBorders>
              <w:top w:val="single" w:sz="7" w:space="0" w:color="000000"/>
              <w:left w:val="single" w:sz="6" w:space="0" w:color="000000"/>
              <w:bottom w:val="single" w:sz="7" w:space="0" w:color="000000"/>
              <w:right w:val="single" w:sz="6" w:space="0" w:color="000000"/>
            </w:tcBorders>
            <w:shd w:val="clear" w:color="auto" w:fill="auto"/>
          </w:tcPr>
          <w:p w14:paraId="3B9CB93F" w14:textId="77777777" w:rsidR="00DF61BC" w:rsidRPr="00C94C33" w:rsidRDefault="00DF61BC" w:rsidP="006263CF">
            <w:pPr>
              <w:pStyle w:val="Tabletext"/>
              <w:jc w:val="center"/>
            </w:pPr>
            <w:r w:rsidRPr="00C94C33">
              <w:t>8 (1.6)</w:t>
            </w:r>
          </w:p>
        </w:tc>
        <w:tc>
          <w:tcPr>
            <w:tcW w:w="1179" w:type="dxa"/>
            <w:tcBorders>
              <w:top w:val="single" w:sz="7" w:space="0" w:color="000000"/>
              <w:left w:val="single" w:sz="6" w:space="0" w:color="000000"/>
              <w:bottom w:val="single" w:sz="7" w:space="0" w:color="000000"/>
              <w:right w:val="single" w:sz="6" w:space="0" w:color="000000"/>
            </w:tcBorders>
            <w:shd w:val="clear" w:color="auto" w:fill="auto"/>
          </w:tcPr>
          <w:p w14:paraId="067B7C0F" w14:textId="77777777" w:rsidR="00DF61BC" w:rsidRPr="00C94C33" w:rsidRDefault="00DF61BC" w:rsidP="006263CF">
            <w:pPr>
              <w:pStyle w:val="Tabletext"/>
              <w:jc w:val="center"/>
            </w:pPr>
          </w:p>
        </w:tc>
        <w:tc>
          <w:tcPr>
            <w:tcW w:w="1264" w:type="dxa"/>
            <w:tcBorders>
              <w:top w:val="single" w:sz="7" w:space="0" w:color="000000"/>
              <w:left w:val="single" w:sz="6" w:space="0" w:color="000000"/>
              <w:bottom w:val="single" w:sz="7" w:space="0" w:color="000000"/>
              <w:right w:val="single" w:sz="6" w:space="0" w:color="000000"/>
            </w:tcBorders>
            <w:shd w:val="clear" w:color="auto" w:fill="auto"/>
          </w:tcPr>
          <w:p w14:paraId="4A52FA94" w14:textId="77777777" w:rsidR="00DF61BC" w:rsidRPr="00C94C33" w:rsidRDefault="00DF61BC" w:rsidP="006263CF">
            <w:pPr>
              <w:pStyle w:val="Tabletext"/>
              <w:jc w:val="center"/>
            </w:pPr>
            <w:r w:rsidRPr="00C94C33">
              <w:t>0 (0.0)</w:t>
            </w:r>
          </w:p>
        </w:tc>
        <w:tc>
          <w:tcPr>
            <w:tcW w:w="1265" w:type="dxa"/>
            <w:tcBorders>
              <w:top w:val="single" w:sz="7" w:space="0" w:color="000000"/>
              <w:left w:val="single" w:sz="6" w:space="0" w:color="000000"/>
              <w:bottom w:val="single" w:sz="7" w:space="0" w:color="000000"/>
              <w:right w:val="single" w:sz="6" w:space="0" w:color="000000"/>
            </w:tcBorders>
            <w:shd w:val="clear" w:color="auto" w:fill="auto"/>
          </w:tcPr>
          <w:p w14:paraId="6C63E345" w14:textId="77777777" w:rsidR="00DF61BC" w:rsidRPr="00C94C33" w:rsidRDefault="00DF61BC" w:rsidP="006263CF">
            <w:pPr>
              <w:pStyle w:val="Tabletext"/>
              <w:jc w:val="center"/>
            </w:pPr>
          </w:p>
        </w:tc>
      </w:tr>
      <w:tr w:rsidR="00DF61BC" w:rsidRPr="00C94C33" w14:paraId="4A14421B" w14:textId="77777777" w:rsidTr="006263CF">
        <w:trPr>
          <w:trHeight w:hRule="exact" w:val="305"/>
        </w:trPr>
        <w:tc>
          <w:tcPr>
            <w:tcW w:w="4608" w:type="dxa"/>
            <w:tcBorders>
              <w:top w:val="single" w:sz="7" w:space="0" w:color="000000"/>
              <w:left w:val="single" w:sz="6" w:space="0" w:color="000000"/>
              <w:bottom w:val="single" w:sz="7" w:space="0" w:color="000000"/>
              <w:right w:val="single" w:sz="6" w:space="0" w:color="000000"/>
            </w:tcBorders>
            <w:shd w:val="clear" w:color="auto" w:fill="auto"/>
          </w:tcPr>
          <w:p w14:paraId="1B02328C" w14:textId="77777777" w:rsidR="00DF61BC" w:rsidRPr="00C94C33" w:rsidRDefault="00DF61BC" w:rsidP="006263CF">
            <w:pPr>
              <w:pStyle w:val="Tabletext"/>
            </w:pPr>
            <w:r w:rsidRPr="00C94C33">
              <w:t>Stable disease</w:t>
            </w:r>
          </w:p>
        </w:tc>
        <w:tc>
          <w:tcPr>
            <w:tcW w:w="1260" w:type="dxa"/>
            <w:tcBorders>
              <w:top w:val="single" w:sz="7" w:space="0" w:color="000000"/>
              <w:left w:val="single" w:sz="6" w:space="0" w:color="000000"/>
              <w:bottom w:val="single" w:sz="7" w:space="0" w:color="000000"/>
              <w:right w:val="single" w:sz="6" w:space="0" w:color="000000"/>
            </w:tcBorders>
            <w:shd w:val="clear" w:color="auto" w:fill="auto"/>
          </w:tcPr>
          <w:p w14:paraId="3E59DDA8" w14:textId="77777777" w:rsidR="00DF61BC" w:rsidRPr="00C94C33" w:rsidRDefault="00DF61BC" w:rsidP="006263CF">
            <w:pPr>
              <w:pStyle w:val="Tabletext"/>
              <w:jc w:val="center"/>
            </w:pPr>
            <w:r w:rsidRPr="00C94C33">
              <w:t>213 (42.4)</w:t>
            </w:r>
          </w:p>
        </w:tc>
        <w:tc>
          <w:tcPr>
            <w:tcW w:w="1179" w:type="dxa"/>
            <w:tcBorders>
              <w:top w:val="single" w:sz="7" w:space="0" w:color="000000"/>
              <w:left w:val="single" w:sz="6" w:space="0" w:color="000000"/>
              <w:bottom w:val="single" w:sz="7" w:space="0" w:color="000000"/>
              <w:right w:val="single" w:sz="6" w:space="0" w:color="000000"/>
            </w:tcBorders>
            <w:shd w:val="clear" w:color="auto" w:fill="auto"/>
          </w:tcPr>
          <w:p w14:paraId="189943BC" w14:textId="77777777" w:rsidR="00DF61BC" w:rsidRPr="00C94C33" w:rsidRDefault="00DF61BC" w:rsidP="006263CF">
            <w:pPr>
              <w:pStyle w:val="Tabletext"/>
              <w:jc w:val="center"/>
            </w:pPr>
          </w:p>
        </w:tc>
        <w:tc>
          <w:tcPr>
            <w:tcW w:w="1264" w:type="dxa"/>
            <w:tcBorders>
              <w:top w:val="single" w:sz="7" w:space="0" w:color="000000"/>
              <w:left w:val="single" w:sz="6" w:space="0" w:color="000000"/>
              <w:bottom w:val="single" w:sz="7" w:space="0" w:color="000000"/>
              <w:right w:val="single" w:sz="6" w:space="0" w:color="000000"/>
            </w:tcBorders>
            <w:shd w:val="clear" w:color="auto" w:fill="auto"/>
          </w:tcPr>
          <w:p w14:paraId="4AC844A2" w14:textId="77777777" w:rsidR="00DF61BC" w:rsidRPr="00C94C33" w:rsidRDefault="00DF61BC" w:rsidP="006263CF">
            <w:pPr>
              <w:pStyle w:val="Tabletext"/>
              <w:jc w:val="center"/>
            </w:pPr>
            <w:r w:rsidRPr="00C94C33">
              <w:t>41 (15.9)</w:t>
            </w:r>
          </w:p>
        </w:tc>
        <w:tc>
          <w:tcPr>
            <w:tcW w:w="1265" w:type="dxa"/>
            <w:tcBorders>
              <w:top w:val="single" w:sz="7" w:space="0" w:color="000000"/>
              <w:left w:val="single" w:sz="6" w:space="0" w:color="000000"/>
              <w:bottom w:val="single" w:sz="7" w:space="0" w:color="000000"/>
              <w:right w:val="single" w:sz="6" w:space="0" w:color="000000"/>
            </w:tcBorders>
            <w:shd w:val="clear" w:color="auto" w:fill="auto"/>
          </w:tcPr>
          <w:p w14:paraId="7FFDE3AC" w14:textId="77777777" w:rsidR="00DF61BC" w:rsidRPr="00C94C33" w:rsidRDefault="00DF61BC" w:rsidP="006263CF">
            <w:pPr>
              <w:pStyle w:val="Tabletext"/>
              <w:jc w:val="center"/>
            </w:pPr>
          </w:p>
        </w:tc>
      </w:tr>
      <w:tr w:rsidR="00DF61BC" w:rsidRPr="00C94C33" w14:paraId="14F0DD5D" w14:textId="77777777" w:rsidTr="006263CF">
        <w:trPr>
          <w:trHeight w:hRule="exact" w:val="305"/>
        </w:trPr>
        <w:tc>
          <w:tcPr>
            <w:tcW w:w="4608" w:type="dxa"/>
            <w:tcBorders>
              <w:top w:val="single" w:sz="7" w:space="0" w:color="000000"/>
              <w:left w:val="single" w:sz="6" w:space="0" w:color="000000"/>
              <w:bottom w:val="single" w:sz="7" w:space="0" w:color="000000"/>
              <w:right w:val="single" w:sz="6" w:space="0" w:color="000000"/>
            </w:tcBorders>
            <w:shd w:val="clear" w:color="auto" w:fill="auto"/>
          </w:tcPr>
          <w:p w14:paraId="0638F322" w14:textId="77777777" w:rsidR="00DF61BC" w:rsidRPr="00C94C33" w:rsidRDefault="00DF61BC" w:rsidP="006263CF">
            <w:pPr>
              <w:pStyle w:val="Tabletext"/>
            </w:pPr>
            <w:r w:rsidRPr="00C94C33">
              <w:t>Progressive disease - radiological</w:t>
            </w:r>
          </w:p>
        </w:tc>
        <w:tc>
          <w:tcPr>
            <w:tcW w:w="1260" w:type="dxa"/>
            <w:tcBorders>
              <w:top w:val="single" w:sz="7" w:space="0" w:color="000000"/>
              <w:left w:val="single" w:sz="6" w:space="0" w:color="000000"/>
              <w:bottom w:val="single" w:sz="7" w:space="0" w:color="000000"/>
              <w:right w:val="single" w:sz="6" w:space="0" w:color="000000"/>
            </w:tcBorders>
            <w:shd w:val="clear" w:color="auto" w:fill="auto"/>
          </w:tcPr>
          <w:p w14:paraId="51D4135A" w14:textId="77777777" w:rsidR="00DF61BC" w:rsidRPr="00C94C33" w:rsidRDefault="00DF61BC" w:rsidP="006263CF">
            <w:pPr>
              <w:pStyle w:val="Tabletext"/>
              <w:jc w:val="center"/>
            </w:pPr>
            <w:r w:rsidRPr="00C94C33">
              <w:t>260 (51.8)</w:t>
            </w:r>
          </w:p>
        </w:tc>
        <w:tc>
          <w:tcPr>
            <w:tcW w:w="1179" w:type="dxa"/>
            <w:tcBorders>
              <w:top w:val="single" w:sz="7" w:space="0" w:color="000000"/>
              <w:left w:val="single" w:sz="6" w:space="0" w:color="000000"/>
              <w:bottom w:val="single" w:sz="7" w:space="0" w:color="000000"/>
              <w:right w:val="single" w:sz="6" w:space="0" w:color="000000"/>
            </w:tcBorders>
            <w:shd w:val="clear" w:color="auto" w:fill="auto"/>
          </w:tcPr>
          <w:p w14:paraId="4FF73FC8" w14:textId="77777777" w:rsidR="00DF61BC" w:rsidRPr="00C94C33" w:rsidRDefault="00DF61BC" w:rsidP="006263CF">
            <w:pPr>
              <w:pStyle w:val="Tabletext"/>
              <w:jc w:val="center"/>
            </w:pPr>
          </w:p>
        </w:tc>
        <w:tc>
          <w:tcPr>
            <w:tcW w:w="1264" w:type="dxa"/>
            <w:tcBorders>
              <w:top w:val="single" w:sz="7" w:space="0" w:color="000000"/>
              <w:left w:val="single" w:sz="6" w:space="0" w:color="000000"/>
              <w:bottom w:val="single" w:sz="7" w:space="0" w:color="000000"/>
              <w:right w:val="single" w:sz="6" w:space="0" w:color="000000"/>
            </w:tcBorders>
            <w:shd w:val="clear" w:color="auto" w:fill="auto"/>
          </w:tcPr>
          <w:p w14:paraId="5B56BE8F" w14:textId="77777777" w:rsidR="00DF61BC" w:rsidRPr="00C94C33" w:rsidRDefault="00DF61BC" w:rsidP="006263CF">
            <w:pPr>
              <w:pStyle w:val="Tabletext"/>
              <w:jc w:val="center"/>
            </w:pPr>
            <w:r w:rsidRPr="00C94C33">
              <w:t>195 (75.6)</w:t>
            </w:r>
          </w:p>
        </w:tc>
        <w:tc>
          <w:tcPr>
            <w:tcW w:w="1265" w:type="dxa"/>
            <w:tcBorders>
              <w:top w:val="single" w:sz="7" w:space="0" w:color="000000"/>
              <w:left w:val="single" w:sz="6" w:space="0" w:color="000000"/>
              <w:bottom w:val="single" w:sz="7" w:space="0" w:color="000000"/>
              <w:right w:val="single" w:sz="6" w:space="0" w:color="000000"/>
            </w:tcBorders>
            <w:shd w:val="clear" w:color="auto" w:fill="auto"/>
          </w:tcPr>
          <w:p w14:paraId="29D96B29" w14:textId="77777777" w:rsidR="00DF61BC" w:rsidRPr="00C94C33" w:rsidRDefault="00DF61BC" w:rsidP="006263CF">
            <w:pPr>
              <w:pStyle w:val="Tabletext"/>
              <w:jc w:val="center"/>
            </w:pPr>
          </w:p>
        </w:tc>
      </w:tr>
      <w:tr w:rsidR="00DF61BC" w:rsidRPr="00C94C33" w14:paraId="06CB6E94" w14:textId="77777777" w:rsidTr="006263CF">
        <w:trPr>
          <w:trHeight w:hRule="exact" w:val="329"/>
        </w:trPr>
        <w:tc>
          <w:tcPr>
            <w:tcW w:w="4608" w:type="dxa"/>
            <w:tcBorders>
              <w:top w:val="single" w:sz="7" w:space="0" w:color="000000"/>
              <w:left w:val="single" w:sz="6" w:space="0" w:color="000000"/>
              <w:bottom w:val="single" w:sz="7" w:space="0" w:color="000000"/>
              <w:right w:val="single" w:sz="6" w:space="0" w:color="000000"/>
            </w:tcBorders>
            <w:shd w:val="clear" w:color="auto" w:fill="auto"/>
          </w:tcPr>
          <w:p w14:paraId="7768E79D" w14:textId="6915BA75" w:rsidR="00DF61BC" w:rsidRPr="00C94C33" w:rsidRDefault="00DF61BC" w:rsidP="006263CF">
            <w:pPr>
              <w:pStyle w:val="Tabletext"/>
            </w:pPr>
            <w:r w:rsidRPr="00C94C33">
              <w:t xml:space="preserve">Not evaluable </w:t>
            </w:r>
            <w:r w:rsidRPr="00C94C33">
              <w:rPr>
                <w:vertAlign w:val="superscript"/>
              </w:rPr>
              <w:t>b</w:t>
            </w:r>
          </w:p>
        </w:tc>
        <w:tc>
          <w:tcPr>
            <w:tcW w:w="1260" w:type="dxa"/>
            <w:tcBorders>
              <w:top w:val="single" w:sz="7" w:space="0" w:color="000000"/>
              <w:left w:val="single" w:sz="6" w:space="0" w:color="000000"/>
              <w:bottom w:val="single" w:sz="7" w:space="0" w:color="000000"/>
              <w:right w:val="single" w:sz="6" w:space="0" w:color="000000"/>
            </w:tcBorders>
            <w:shd w:val="clear" w:color="auto" w:fill="auto"/>
          </w:tcPr>
          <w:p w14:paraId="0E8A6009" w14:textId="77777777" w:rsidR="00DF61BC" w:rsidRPr="00C94C33" w:rsidRDefault="00DF61BC" w:rsidP="006263CF">
            <w:pPr>
              <w:pStyle w:val="Tabletext"/>
              <w:jc w:val="center"/>
            </w:pPr>
            <w:r w:rsidRPr="00C94C33">
              <w:t>21 (4.2)</w:t>
            </w:r>
          </w:p>
        </w:tc>
        <w:tc>
          <w:tcPr>
            <w:tcW w:w="1179" w:type="dxa"/>
            <w:tcBorders>
              <w:top w:val="single" w:sz="7" w:space="0" w:color="000000"/>
              <w:left w:val="single" w:sz="6" w:space="0" w:color="000000"/>
              <w:bottom w:val="single" w:sz="7" w:space="0" w:color="000000"/>
              <w:right w:val="single" w:sz="6" w:space="0" w:color="000000"/>
            </w:tcBorders>
            <w:shd w:val="clear" w:color="auto" w:fill="auto"/>
          </w:tcPr>
          <w:p w14:paraId="6D92DF41" w14:textId="77777777" w:rsidR="00DF61BC" w:rsidRPr="00C94C33" w:rsidRDefault="00DF61BC" w:rsidP="006263CF">
            <w:pPr>
              <w:pStyle w:val="Tabletext"/>
              <w:jc w:val="center"/>
            </w:pPr>
          </w:p>
        </w:tc>
        <w:tc>
          <w:tcPr>
            <w:tcW w:w="1264" w:type="dxa"/>
            <w:tcBorders>
              <w:top w:val="single" w:sz="7" w:space="0" w:color="000000"/>
              <w:left w:val="single" w:sz="6" w:space="0" w:color="000000"/>
              <w:bottom w:val="single" w:sz="7" w:space="0" w:color="000000"/>
              <w:right w:val="single" w:sz="6" w:space="0" w:color="000000"/>
            </w:tcBorders>
            <w:shd w:val="clear" w:color="auto" w:fill="auto"/>
          </w:tcPr>
          <w:p w14:paraId="368BC457" w14:textId="77777777" w:rsidR="00DF61BC" w:rsidRPr="00C94C33" w:rsidRDefault="00DF61BC" w:rsidP="006263CF">
            <w:pPr>
              <w:pStyle w:val="Tabletext"/>
              <w:jc w:val="center"/>
            </w:pPr>
            <w:r w:rsidRPr="00C94C33">
              <w:t>21 (8.1)</w:t>
            </w:r>
          </w:p>
        </w:tc>
        <w:tc>
          <w:tcPr>
            <w:tcW w:w="1265" w:type="dxa"/>
            <w:tcBorders>
              <w:top w:val="single" w:sz="7" w:space="0" w:color="000000"/>
              <w:left w:val="single" w:sz="6" w:space="0" w:color="000000"/>
              <w:bottom w:val="single" w:sz="7" w:space="0" w:color="000000"/>
              <w:right w:val="single" w:sz="6" w:space="0" w:color="000000"/>
            </w:tcBorders>
            <w:shd w:val="clear" w:color="auto" w:fill="auto"/>
          </w:tcPr>
          <w:p w14:paraId="2AF7FDAC" w14:textId="77777777" w:rsidR="00DF61BC" w:rsidRPr="00C94C33" w:rsidRDefault="00DF61BC" w:rsidP="006263CF">
            <w:pPr>
              <w:pStyle w:val="Tabletext"/>
              <w:jc w:val="center"/>
            </w:pPr>
          </w:p>
        </w:tc>
      </w:tr>
      <w:tr w:rsidR="00DF61BC" w:rsidRPr="00C94C33" w14:paraId="0D7BAA08" w14:textId="77777777" w:rsidTr="006263CF">
        <w:trPr>
          <w:trHeight w:hRule="exact" w:val="305"/>
        </w:trPr>
        <w:tc>
          <w:tcPr>
            <w:tcW w:w="4608" w:type="dxa"/>
            <w:tcBorders>
              <w:top w:val="single" w:sz="7" w:space="0" w:color="000000"/>
              <w:left w:val="single" w:sz="6" w:space="0" w:color="000000"/>
              <w:bottom w:val="single" w:sz="7" w:space="0" w:color="000000"/>
              <w:right w:val="single" w:sz="6" w:space="0" w:color="000000"/>
            </w:tcBorders>
            <w:shd w:val="clear" w:color="auto" w:fill="auto"/>
          </w:tcPr>
          <w:p w14:paraId="455DD4FE" w14:textId="77777777" w:rsidR="00DF61BC" w:rsidRPr="00C94C33" w:rsidRDefault="00DF61BC" w:rsidP="006263CF">
            <w:pPr>
              <w:pStyle w:val="Tabletext"/>
            </w:pPr>
            <w:r w:rsidRPr="00C94C33">
              <w:t>Complete, partial or stable</w:t>
            </w:r>
            <w:r w:rsidRPr="00C94C33">
              <w:rPr>
                <w:spacing w:val="-2"/>
              </w:rPr>
              <w:t xml:space="preserve"> </w:t>
            </w:r>
            <w:r w:rsidRPr="00C94C33">
              <w:t>disease (DCR)</w:t>
            </w:r>
          </w:p>
        </w:tc>
        <w:tc>
          <w:tcPr>
            <w:tcW w:w="1260" w:type="dxa"/>
            <w:tcBorders>
              <w:top w:val="single" w:sz="7" w:space="0" w:color="000000"/>
              <w:left w:val="single" w:sz="6" w:space="0" w:color="000000"/>
              <w:bottom w:val="single" w:sz="7" w:space="0" w:color="000000"/>
              <w:right w:val="single" w:sz="6" w:space="0" w:color="000000"/>
            </w:tcBorders>
            <w:shd w:val="clear" w:color="auto" w:fill="auto"/>
          </w:tcPr>
          <w:p w14:paraId="3BC0FB13" w14:textId="77777777" w:rsidR="00DF61BC" w:rsidRPr="00C94C33" w:rsidRDefault="00DF61BC" w:rsidP="006263CF">
            <w:pPr>
              <w:pStyle w:val="Tabletext"/>
              <w:jc w:val="center"/>
            </w:pPr>
            <w:r w:rsidRPr="00C94C33">
              <w:t>221 (44.0)</w:t>
            </w:r>
          </w:p>
        </w:tc>
        <w:tc>
          <w:tcPr>
            <w:tcW w:w="1179" w:type="dxa"/>
            <w:tcBorders>
              <w:top w:val="single" w:sz="7" w:space="0" w:color="000000"/>
              <w:left w:val="single" w:sz="6" w:space="0" w:color="000000"/>
              <w:bottom w:val="single" w:sz="7" w:space="0" w:color="000000"/>
              <w:right w:val="single" w:sz="6" w:space="0" w:color="000000"/>
            </w:tcBorders>
            <w:shd w:val="clear" w:color="auto" w:fill="auto"/>
          </w:tcPr>
          <w:p w14:paraId="756CE9D5" w14:textId="77777777" w:rsidR="00DF61BC" w:rsidRPr="00C94C33" w:rsidRDefault="00DF61BC" w:rsidP="006263CF">
            <w:pPr>
              <w:pStyle w:val="Tabletext"/>
              <w:jc w:val="center"/>
            </w:pPr>
            <w:r w:rsidRPr="00C94C33">
              <w:t>39.6, 48.5</w:t>
            </w:r>
          </w:p>
        </w:tc>
        <w:tc>
          <w:tcPr>
            <w:tcW w:w="1264" w:type="dxa"/>
            <w:tcBorders>
              <w:top w:val="single" w:sz="7" w:space="0" w:color="000000"/>
              <w:left w:val="single" w:sz="6" w:space="0" w:color="000000"/>
              <w:bottom w:val="single" w:sz="7" w:space="0" w:color="000000"/>
              <w:right w:val="single" w:sz="6" w:space="0" w:color="000000"/>
            </w:tcBorders>
            <w:shd w:val="clear" w:color="auto" w:fill="auto"/>
          </w:tcPr>
          <w:p w14:paraId="6E5379BA" w14:textId="77777777" w:rsidR="00DF61BC" w:rsidRPr="00C94C33" w:rsidRDefault="00DF61BC" w:rsidP="006263CF">
            <w:pPr>
              <w:pStyle w:val="Tabletext"/>
              <w:jc w:val="center"/>
            </w:pPr>
            <w:r w:rsidRPr="00C94C33">
              <w:t>42 (16.3)</w:t>
            </w:r>
          </w:p>
        </w:tc>
        <w:tc>
          <w:tcPr>
            <w:tcW w:w="1265" w:type="dxa"/>
            <w:tcBorders>
              <w:top w:val="single" w:sz="7" w:space="0" w:color="000000"/>
              <w:left w:val="single" w:sz="6" w:space="0" w:color="000000"/>
              <w:bottom w:val="single" w:sz="7" w:space="0" w:color="000000"/>
              <w:right w:val="single" w:sz="6" w:space="0" w:color="000000"/>
            </w:tcBorders>
            <w:shd w:val="clear" w:color="auto" w:fill="auto"/>
          </w:tcPr>
          <w:p w14:paraId="1371BD66" w14:textId="77777777" w:rsidR="00DF61BC" w:rsidRPr="00C94C33" w:rsidRDefault="00DF61BC" w:rsidP="006263CF">
            <w:pPr>
              <w:pStyle w:val="Tabletext"/>
              <w:jc w:val="center"/>
            </w:pPr>
            <w:r w:rsidRPr="00C94C33">
              <w:t>12.0, 21.4</w:t>
            </w:r>
          </w:p>
        </w:tc>
      </w:tr>
      <w:tr w:rsidR="00DF61BC" w:rsidRPr="00C94C33" w14:paraId="47E4836C" w14:textId="77777777" w:rsidTr="006263CF">
        <w:trPr>
          <w:trHeight w:hRule="exact" w:val="328"/>
        </w:trPr>
        <w:tc>
          <w:tcPr>
            <w:tcW w:w="4608" w:type="dxa"/>
            <w:tcBorders>
              <w:top w:val="single" w:sz="7" w:space="0" w:color="000000"/>
              <w:left w:val="single" w:sz="6" w:space="0" w:color="000000"/>
              <w:bottom w:val="single" w:sz="7" w:space="0" w:color="000000"/>
              <w:right w:val="single" w:sz="6" w:space="0" w:color="000000"/>
            </w:tcBorders>
            <w:shd w:val="clear" w:color="auto" w:fill="auto"/>
          </w:tcPr>
          <w:p w14:paraId="5C369C51" w14:textId="381312B3" w:rsidR="00DF61BC" w:rsidRPr="006263CF" w:rsidRDefault="00DF61BC" w:rsidP="006263CF">
            <w:pPr>
              <w:pStyle w:val="Tabletext"/>
              <w:rPr>
                <w:b/>
              </w:rPr>
            </w:pPr>
            <w:r w:rsidRPr="006263CF">
              <w:rPr>
                <w:b/>
              </w:rPr>
              <w:t xml:space="preserve">Difference in ORR (TAS-102 – placebo) </w:t>
            </w:r>
            <w:r w:rsidR="00A0007E" w:rsidRPr="006263CF">
              <w:rPr>
                <w:b/>
              </w:rPr>
              <w:t>(</w:t>
            </w:r>
            <w:r w:rsidRPr="006263CF">
              <w:rPr>
                <w:b/>
              </w:rPr>
              <w:t>95%</w:t>
            </w:r>
            <w:r w:rsidRPr="006263CF">
              <w:rPr>
                <w:b/>
                <w:spacing w:val="-4"/>
              </w:rPr>
              <w:t xml:space="preserve"> </w:t>
            </w:r>
            <w:r w:rsidRPr="006263CF">
              <w:rPr>
                <w:b/>
              </w:rPr>
              <w:t>CI</w:t>
            </w:r>
            <w:r w:rsidR="00A0007E" w:rsidRPr="006263CF">
              <w:rPr>
                <w:b/>
              </w:rPr>
              <w:t>)</w:t>
            </w:r>
            <w:r w:rsidRPr="006263CF">
              <w:rPr>
                <w:b/>
              </w:rPr>
              <w:t xml:space="preserve"> </w:t>
            </w:r>
            <w:r w:rsidRPr="006263CF">
              <w:rPr>
                <w:b/>
                <w:vertAlign w:val="superscript"/>
              </w:rPr>
              <w:t xml:space="preserve">c </w:t>
            </w:r>
          </w:p>
        </w:tc>
        <w:tc>
          <w:tcPr>
            <w:tcW w:w="4968" w:type="dxa"/>
            <w:gridSpan w:val="4"/>
            <w:tcBorders>
              <w:top w:val="single" w:sz="7" w:space="0" w:color="000000"/>
              <w:left w:val="single" w:sz="6" w:space="0" w:color="000000"/>
              <w:bottom w:val="single" w:sz="7" w:space="0" w:color="000000"/>
              <w:right w:val="single" w:sz="6" w:space="0" w:color="000000"/>
            </w:tcBorders>
            <w:shd w:val="clear" w:color="auto" w:fill="auto"/>
          </w:tcPr>
          <w:p w14:paraId="3617BE19" w14:textId="66C1648A" w:rsidR="00DF61BC" w:rsidRPr="00C94C33" w:rsidRDefault="00DF61BC" w:rsidP="006263CF">
            <w:pPr>
              <w:pStyle w:val="Tabletext"/>
              <w:jc w:val="center"/>
            </w:pPr>
            <w:r w:rsidRPr="00C94C33">
              <w:t xml:space="preserve">1.2 </w:t>
            </w:r>
            <w:r w:rsidR="00A0007E" w:rsidRPr="00C94C33">
              <w:t>(</w:t>
            </w:r>
            <w:r w:rsidRPr="00C94C33">
              <w:t>-0.1, 2.5</w:t>
            </w:r>
            <w:r w:rsidR="00A0007E" w:rsidRPr="00C94C33">
              <w:t>)</w:t>
            </w:r>
          </w:p>
        </w:tc>
      </w:tr>
      <w:tr w:rsidR="00DF61BC" w:rsidRPr="00C94C33" w14:paraId="2BE9BBCC" w14:textId="77777777" w:rsidTr="006263CF">
        <w:trPr>
          <w:trHeight w:hRule="exact" w:val="329"/>
        </w:trPr>
        <w:tc>
          <w:tcPr>
            <w:tcW w:w="4608" w:type="dxa"/>
            <w:tcBorders>
              <w:top w:val="single" w:sz="7" w:space="0" w:color="000000"/>
              <w:left w:val="single" w:sz="6" w:space="0" w:color="000000"/>
              <w:bottom w:val="single" w:sz="7" w:space="0" w:color="000000"/>
              <w:right w:val="single" w:sz="6" w:space="0" w:color="000000"/>
            </w:tcBorders>
            <w:shd w:val="clear" w:color="auto" w:fill="auto"/>
          </w:tcPr>
          <w:p w14:paraId="2492A4DF" w14:textId="77777777" w:rsidR="00DF61BC" w:rsidRPr="006263CF" w:rsidRDefault="00DF61BC" w:rsidP="006263CF">
            <w:pPr>
              <w:pStyle w:val="Tabletext"/>
              <w:rPr>
                <w:b/>
              </w:rPr>
            </w:pPr>
            <w:r w:rsidRPr="006263CF">
              <w:rPr>
                <w:b/>
              </w:rPr>
              <w:t xml:space="preserve">P-value </w:t>
            </w:r>
            <w:r w:rsidRPr="006263CF">
              <w:rPr>
                <w:b/>
                <w:vertAlign w:val="superscript"/>
              </w:rPr>
              <w:t>d</w:t>
            </w:r>
            <w:r w:rsidRPr="006263CF">
              <w:rPr>
                <w:b/>
              </w:rPr>
              <w:t xml:space="preserve"> </w:t>
            </w:r>
          </w:p>
        </w:tc>
        <w:tc>
          <w:tcPr>
            <w:tcW w:w="4968" w:type="dxa"/>
            <w:gridSpan w:val="4"/>
            <w:tcBorders>
              <w:top w:val="single" w:sz="7" w:space="0" w:color="000000"/>
              <w:left w:val="single" w:sz="6" w:space="0" w:color="000000"/>
              <w:bottom w:val="single" w:sz="7" w:space="0" w:color="000000"/>
              <w:right w:val="single" w:sz="6" w:space="0" w:color="000000"/>
            </w:tcBorders>
            <w:shd w:val="clear" w:color="auto" w:fill="auto"/>
          </w:tcPr>
          <w:p w14:paraId="28CBC24D" w14:textId="77777777" w:rsidR="00DF61BC" w:rsidRPr="00C94C33" w:rsidRDefault="00DF61BC" w:rsidP="006263CF">
            <w:pPr>
              <w:pStyle w:val="Tabletext"/>
              <w:jc w:val="center"/>
            </w:pPr>
            <w:r w:rsidRPr="00C94C33">
              <w:t>0.2862</w:t>
            </w:r>
          </w:p>
        </w:tc>
      </w:tr>
      <w:tr w:rsidR="00DF61BC" w:rsidRPr="00C94C33" w14:paraId="2022D49C" w14:textId="77777777" w:rsidTr="006263CF">
        <w:trPr>
          <w:trHeight w:hRule="exact" w:val="328"/>
        </w:trPr>
        <w:tc>
          <w:tcPr>
            <w:tcW w:w="4608" w:type="dxa"/>
            <w:tcBorders>
              <w:top w:val="single" w:sz="7" w:space="0" w:color="000000"/>
              <w:left w:val="single" w:sz="6" w:space="0" w:color="000000"/>
              <w:bottom w:val="single" w:sz="7" w:space="0" w:color="000000"/>
              <w:right w:val="single" w:sz="6" w:space="0" w:color="000000"/>
            </w:tcBorders>
            <w:shd w:val="clear" w:color="auto" w:fill="auto"/>
          </w:tcPr>
          <w:p w14:paraId="40D640F3" w14:textId="0628F6AD" w:rsidR="00DF61BC" w:rsidRPr="006263CF" w:rsidRDefault="00DF61BC" w:rsidP="006263CF">
            <w:pPr>
              <w:pStyle w:val="Tabletext"/>
              <w:rPr>
                <w:b/>
              </w:rPr>
            </w:pPr>
            <w:r w:rsidRPr="006263CF">
              <w:rPr>
                <w:b/>
              </w:rPr>
              <w:t xml:space="preserve">Difference in DCR (TAS-102 – placebo) </w:t>
            </w:r>
            <w:r w:rsidR="00A0007E" w:rsidRPr="006263CF">
              <w:rPr>
                <w:b/>
              </w:rPr>
              <w:t>(</w:t>
            </w:r>
            <w:r w:rsidRPr="006263CF">
              <w:rPr>
                <w:b/>
              </w:rPr>
              <w:t>95%</w:t>
            </w:r>
            <w:r w:rsidRPr="006263CF">
              <w:rPr>
                <w:b/>
                <w:spacing w:val="-4"/>
              </w:rPr>
              <w:t xml:space="preserve"> </w:t>
            </w:r>
            <w:r w:rsidRPr="006263CF">
              <w:rPr>
                <w:b/>
              </w:rPr>
              <w:t>CI</w:t>
            </w:r>
            <w:r w:rsidR="00A0007E" w:rsidRPr="006263CF">
              <w:rPr>
                <w:b/>
              </w:rPr>
              <w:t>)</w:t>
            </w:r>
            <w:r w:rsidRPr="006263CF">
              <w:rPr>
                <w:b/>
              </w:rPr>
              <w:t xml:space="preserve"> </w:t>
            </w:r>
            <w:r w:rsidRPr="006263CF">
              <w:rPr>
                <w:b/>
                <w:vertAlign w:val="superscript"/>
              </w:rPr>
              <w:t xml:space="preserve">c </w:t>
            </w:r>
          </w:p>
        </w:tc>
        <w:tc>
          <w:tcPr>
            <w:tcW w:w="4968" w:type="dxa"/>
            <w:gridSpan w:val="4"/>
            <w:tcBorders>
              <w:top w:val="single" w:sz="7" w:space="0" w:color="000000"/>
              <w:left w:val="single" w:sz="6" w:space="0" w:color="000000"/>
              <w:bottom w:val="single" w:sz="7" w:space="0" w:color="000000"/>
              <w:right w:val="single" w:sz="6" w:space="0" w:color="000000"/>
            </w:tcBorders>
            <w:shd w:val="clear" w:color="auto" w:fill="auto"/>
          </w:tcPr>
          <w:p w14:paraId="76867AD2" w14:textId="5426AB1D" w:rsidR="00DF61BC" w:rsidRPr="00C94C33" w:rsidRDefault="00DF61BC" w:rsidP="006263CF">
            <w:pPr>
              <w:pStyle w:val="Tabletext"/>
              <w:jc w:val="center"/>
            </w:pPr>
            <w:r w:rsidRPr="00C94C33">
              <w:t xml:space="preserve">27.7 </w:t>
            </w:r>
            <w:r w:rsidR="00A0007E" w:rsidRPr="00C94C33">
              <w:t>(</w:t>
            </w:r>
            <w:r w:rsidRPr="00C94C33">
              <w:t>21.5, 34.0</w:t>
            </w:r>
            <w:r w:rsidR="00A0007E" w:rsidRPr="00C94C33">
              <w:t>)</w:t>
            </w:r>
          </w:p>
        </w:tc>
      </w:tr>
      <w:tr w:rsidR="00DF61BC" w:rsidRPr="00C94C33" w14:paraId="0CB2BF5F" w14:textId="77777777" w:rsidTr="006263CF">
        <w:trPr>
          <w:trHeight w:hRule="exact" w:val="327"/>
        </w:trPr>
        <w:tc>
          <w:tcPr>
            <w:tcW w:w="4608" w:type="dxa"/>
            <w:tcBorders>
              <w:top w:val="single" w:sz="7" w:space="0" w:color="000000"/>
              <w:left w:val="single" w:sz="6" w:space="0" w:color="000000"/>
              <w:bottom w:val="single" w:sz="6" w:space="0" w:color="000000"/>
              <w:right w:val="single" w:sz="6" w:space="0" w:color="000000"/>
            </w:tcBorders>
            <w:shd w:val="clear" w:color="auto" w:fill="auto"/>
          </w:tcPr>
          <w:p w14:paraId="73432422" w14:textId="77777777" w:rsidR="00DF61BC" w:rsidRPr="006263CF" w:rsidRDefault="00DF61BC" w:rsidP="006263CF">
            <w:pPr>
              <w:pStyle w:val="Tabletext"/>
              <w:rPr>
                <w:b/>
              </w:rPr>
            </w:pPr>
            <w:r w:rsidRPr="006263CF">
              <w:rPr>
                <w:b/>
              </w:rPr>
              <w:t xml:space="preserve">P-value </w:t>
            </w:r>
            <w:r w:rsidRPr="006263CF">
              <w:rPr>
                <w:b/>
                <w:vertAlign w:val="superscript"/>
              </w:rPr>
              <w:t xml:space="preserve">d </w:t>
            </w:r>
          </w:p>
        </w:tc>
        <w:tc>
          <w:tcPr>
            <w:tcW w:w="4968" w:type="dxa"/>
            <w:gridSpan w:val="4"/>
            <w:tcBorders>
              <w:top w:val="single" w:sz="7" w:space="0" w:color="000000"/>
              <w:left w:val="single" w:sz="6" w:space="0" w:color="000000"/>
              <w:bottom w:val="single" w:sz="6" w:space="0" w:color="000000"/>
              <w:right w:val="single" w:sz="6" w:space="0" w:color="000000"/>
            </w:tcBorders>
            <w:shd w:val="clear" w:color="auto" w:fill="auto"/>
          </w:tcPr>
          <w:p w14:paraId="71CE26C8" w14:textId="77777777" w:rsidR="00DF61BC" w:rsidRPr="00C94C33" w:rsidRDefault="00DF61BC" w:rsidP="006263CF">
            <w:pPr>
              <w:pStyle w:val="Tabletext"/>
              <w:jc w:val="center"/>
            </w:pPr>
            <w:r w:rsidRPr="00C94C33">
              <w:t>&lt;0.0001</w:t>
            </w:r>
          </w:p>
        </w:tc>
      </w:tr>
    </w:tbl>
    <w:p w14:paraId="42435B9C" w14:textId="0CE71CC0" w:rsidR="00DF61BC" w:rsidRPr="00C94C33" w:rsidRDefault="00AB4565" w:rsidP="00AB4565">
      <w:pPr>
        <w:pStyle w:val="TableDescription"/>
      </w:pPr>
      <w:r w:rsidRPr="00C94C33">
        <w:t xml:space="preserve">a. </w:t>
      </w:r>
      <w:r w:rsidR="00DF61BC" w:rsidRPr="00C94C33">
        <w:t>Exact 2-sided confidence interval based on Clopper-Pearson methodology</w:t>
      </w:r>
      <w:r w:rsidR="002E110F">
        <w:t xml:space="preserve">; </w:t>
      </w:r>
      <w:r w:rsidRPr="00C94C33">
        <w:t xml:space="preserve">b. </w:t>
      </w:r>
      <w:r w:rsidR="00DF61BC" w:rsidRPr="00C94C33">
        <w:t>Patients with a cancer-related death but no tumour evaluation while on study treatment</w:t>
      </w:r>
      <w:r w:rsidR="002E110F">
        <w:t xml:space="preserve">; </w:t>
      </w:r>
      <w:r w:rsidRPr="00C94C33">
        <w:t xml:space="preserve">c. </w:t>
      </w:r>
      <w:r w:rsidR="00DF61BC" w:rsidRPr="00C94C33">
        <w:t>Normal approximation</w:t>
      </w:r>
      <w:r w:rsidR="002E110F">
        <w:t xml:space="preserve">; </w:t>
      </w:r>
      <w:r w:rsidRPr="00C94C33">
        <w:t xml:space="preserve">d. </w:t>
      </w:r>
      <w:r w:rsidR="00DF61BC" w:rsidRPr="00C94C33">
        <w:t>Fisher's Exact test (2</w:t>
      </w:r>
      <w:r w:rsidR="002E110F">
        <w:t> </w:t>
      </w:r>
      <w:r w:rsidR="00DF61BC" w:rsidRPr="00C94C33">
        <w:t>sided).</w:t>
      </w:r>
    </w:p>
    <w:p w14:paraId="2D1E5367" w14:textId="19469EB6"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 xml:space="preserve">In the pre-specified analysis of time to worsening ECOG PS status ≥ 2 in the ITT population, the median time to ECOG PS </w:t>
      </w:r>
      <w:r w:rsidRPr="00C94C33">
        <w:rPr>
          <w:rFonts w:asciiTheme="minorHAnsi" w:hAnsiTheme="minorHAnsi" w:cs="TimesNewRomanPSMT"/>
        </w:rPr>
        <w:t xml:space="preserve">≥ </w:t>
      </w:r>
      <w:r w:rsidRPr="00C94C33">
        <w:rPr>
          <w:rFonts w:asciiTheme="minorHAnsi" w:hAnsiTheme="minorHAnsi"/>
        </w:rPr>
        <w:t>2  was 5.7 months in the TAS-102 arm compared to 4.0 months in the placebo arm with HR of 0.66 (95% CI: 0.56, 0.78), p&lt;0.0001 (stratified log-rank test). Inspection of the Kaplan-Meier curves for time to ECOG performance status ≥ 2 showed that the curves began to separate in favour of the TAS-102 arm at about 2 months and remained separated throughout the remainder of the study.</w:t>
      </w:r>
    </w:p>
    <w:p w14:paraId="7F726730" w14:textId="77777777" w:rsidR="00DF61BC" w:rsidRPr="00C94C33" w:rsidRDefault="00DF61BC" w:rsidP="00955252">
      <w:pPr>
        <w:pStyle w:val="Heading4"/>
        <w:rPr>
          <w:rFonts w:asciiTheme="minorHAnsi" w:hAnsiTheme="minorHAnsi"/>
          <w:szCs w:val="22"/>
        </w:rPr>
      </w:pPr>
      <w:bookmarkStart w:id="267" w:name="_Toc470948533"/>
      <w:r w:rsidRPr="00C94C33">
        <w:rPr>
          <w:rFonts w:asciiTheme="minorHAnsi" w:hAnsiTheme="minorHAnsi"/>
          <w:szCs w:val="22"/>
        </w:rPr>
        <w:lastRenderedPageBreak/>
        <w:t>Efficacy in special populations</w:t>
      </w:r>
      <w:bookmarkEnd w:id="267"/>
    </w:p>
    <w:p w14:paraId="62ED954C" w14:textId="77777777" w:rsidR="00B81A4F" w:rsidRPr="00C94C33" w:rsidRDefault="00B81A4F" w:rsidP="00955252">
      <w:pPr>
        <w:pStyle w:val="Heading5"/>
      </w:pPr>
      <w:r w:rsidRPr="00C94C33">
        <w:t>Age</w:t>
      </w:r>
    </w:p>
    <w:p w14:paraId="4F855E00" w14:textId="450CFD79" w:rsidR="00DF61BC" w:rsidRPr="00C94C33" w:rsidRDefault="00DF61BC" w:rsidP="00DF61BC">
      <w:pPr>
        <w:rPr>
          <w:rFonts w:asciiTheme="minorHAnsi" w:hAnsiTheme="minorHAnsi"/>
        </w:rPr>
      </w:pPr>
      <w:r w:rsidRPr="00C94C33">
        <w:rPr>
          <w:rFonts w:asciiTheme="minorHAnsi" w:hAnsiTheme="minorHAnsi"/>
        </w:rPr>
        <w:t>In the subgroup analyses based on age, median OS was longer in the TAS-102 group than in the placebo group for patients aged &lt; 65 years (7. 1</w:t>
      </w:r>
      <w:r w:rsidR="00C11183">
        <w:rPr>
          <w:rFonts w:asciiTheme="minorHAnsi" w:hAnsiTheme="minorHAnsi"/>
        </w:rPr>
        <w:t xml:space="preserve"> versus </w:t>
      </w:r>
      <w:r w:rsidRPr="00C94C33">
        <w:rPr>
          <w:rFonts w:asciiTheme="minorHAnsi" w:hAnsiTheme="minorHAnsi"/>
        </w:rPr>
        <w:t xml:space="preserve">5.7 months; HR = 0.74 </w:t>
      </w:r>
      <w:r w:rsidR="00A0007E" w:rsidRPr="00C94C33">
        <w:rPr>
          <w:rFonts w:asciiTheme="minorHAnsi" w:hAnsiTheme="minorHAnsi"/>
        </w:rPr>
        <w:t>(</w:t>
      </w:r>
      <w:r w:rsidRPr="00C94C33">
        <w:rPr>
          <w:rFonts w:asciiTheme="minorHAnsi" w:hAnsiTheme="minorHAnsi"/>
        </w:rPr>
        <w:t>95% CI: 0.59, 0.94</w:t>
      </w:r>
      <w:r w:rsidR="00A0007E" w:rsidRPr="00C94C33">
        <w:rPr>
          <w:rFonts w:asciiTheme="minorHAnsi" w:hAnsiTheme="minorHAnsi"/>
        </w:rPr>
        <w:t>)</w:t>
      </w:r>
      <w:r w:rsidRPr="00C94C33">
        <w:rPr>
          <w:rFonts w:asciiTheme="minorHAnsi" w:hAnsiTheme="minorHAnsi"/>
        </w:rPr>
        <w:t>), and for patients aged ≥ 65 years (7.0</w:t>
      </w:r>
      <w:r w:rsidR="00C11183">
        <w:rPr>
          <w:rFonts w:asciiTheme="minorHAnsi" w:hAnsiTheme="minorHAnsi"/>
        </w:rPr>
        <w:t xml:space="preserve"> versus </w:t>
      </w:r>
      <w:r w:rsidRPr="00C94C33">
        <w:rPr>
          <w:rFonts w:asciiTheme="minorHAnsi" w:hAnsiTheme="minorHAnsi"/>
        </w:rPr>
        <w:t xml:space="preserve">4.6 months; HR = 0.62 </w:t>
      </w:r>
      <w:r w:rsidR="00A0007E" w:rsidRPr="00C94C33">
        <w:rPr>
          <w:rFonts w:asciiTheme="minorHAnsi" w:hAnsiTheme="minorHAnsi"/>
        </w:rPr>
        <w:t>(</w:t>
      </w:r>
      <w:r w:rsidRPr="00C94C33">
        <w:rPr>
          <w:rFonts w:asciiTheme="minorHAnsi" w:hAnsiTheme="minorHAnsi"/>
        </w:rPr>
        <w:t>95% CI: 0.48, 0.80</w:t>
      </w:r>
      <w:r w:rsidR="00A0007E" w:rsidRPr="00C94C33">
        <w:rPr>
          <w:rFonts w:asciiTheme="minorHAnsi" w:hAnsiTheme="minorHAnsi"/>
        </w:rPr>
        <w:t>)</w:t>
      </w:r>
      <w:r w:rsidRPr="00C94C33">
        <w:rPr>
          <w:rFonts w:asciiTheme="minorHAnsi" w:hAnsiTheme="minorHAnsi"/>
        </w:rPr>
        <w:t xml:space="preserve">). There were no data for patients aged ≥ 85 years. The data (D120 Response) included the results for OS and </w:t>
      </w:r>
      <w:r w:rsidR="002776F2" w:rsidRPr="00C94C33">
        <w:rPr>
          <w:rFonts w:asciiTheme="minorHAnsi" w:hAnsiTheme="minorHAnsi"/>
        </w:rPr>
        <w:t>PFS based on age</w:t>
      </w:r>
      <w:r w:rsidRPr="00C94C33">
        <w:rPr>
          <w:rFonts w:asciiTheme="minorHAnsi" w:hAnsiTheme="minorHAnsi"/>
        </w:rPr>
        <w:t>.</w:t>
      </w:r>
    </w:p>
    <w:p w14:paraId="4A73F43A" w14:textId="3702F4A3" w:rsidR="00DF61BC" w:rsidRPr="00C94C33" w:rsidRDefault="00DF61BC" w:rsidP="00C665B0">
      <w:pPr>
        <w:pStyle w:val="Tabletitle"/>
      </w:pPr>
      <w:bookmarkStart w:id="268" w:name="_Toc470948686"/>
      <w:r w:rsidRPr="00C94C33">
        <w:t>Table</w:t>
      </w:r>
      <w:r w:rsidR="002776F2" w:rsidRPr="00C94C33">
        <w:t xml:space="preserve"> 37</w:t>
      </w:r>
      <w:r w:rsidRPr="00C94C33">
        <w:t>: RECOURSE</w:t>
      </w:r>
      <w:r w:rsidR="002E110F">
        <w:t xml:space="preserve">; </w:t>
      </w:r>
      <w:r w:rsidRPr="00C94C33">
        <w:t>OS by age subgroup, ITT population</w:t>
      </w:r>
      <w:bookmarkEnd w:id="268"/>
    </w:p>
    <w:tbl>
      <w:tblPr>
        <w:tblW w:w="0" w:type="auto"/>
        <w:tblInd w:w="112" w:type="dxa"/>
        <w:tblLayout w:type="fixed"/>
        <w:tblCellMar>
          <w:left w:w="0" w:type="dxa"/>
          <w:right w:w="0" w:type="dxa"/>
        </w:tblCellMar>
        <w:tblLook w:val="0000" w:firstRow="0" w:lastRow="0" w:firstColumn="0" w:lastColumn="0" w:noHBand="0" w:noVBand="0"/>
      </w:tblPr>
      <w:tblGrid>
        <w:gridCol w:w="1455"/>
        <w:gridCol w:w="811"/>
        <w:gridCol w:w="2048"/>
        <w:gridCol w:w="842"/>
        <w:gridCol w:w="2039"/>
        <w:gridCol w:w="2455"/>
      </w:tblGrid>
      <w:tr w:rsidR="00DF61BC" w:rsidRPr="00C94C33" w14:paraId="6A285C4C" w14:textId="77777777" w:rsidTr="006263CF">
        <w:trPr>
          <w:trHeight w:hRule="exact" w:val="548"/>
        </w:trPr>
        <w:tc>
          <w:tcPr>
            <w:tcW w:w="1455" w:type="dxa"/>
            <w:vMerge w:val="restart"/>
            <w:tcBorders>
              <w:top w:val="single" w:sz="6" w:space="0" w:color="000000"/>
              <w:left w:val="single" w:sz="6" w:space="0" w:color="000000"/>
              <w:bottom w:val="single" w:sz="6" w:space="0" w:color="000000"/>
              <w:right w:val="single" w:sz="6" w:space="0" w:color="000000"/>
            </w:tcBorders>
            <w:shd w:val="clear" w:color="auto" w:fill="auto"/>
          </w:tcPr>
          <w:p w14:paraId="3E910AA1" w14:textId="77777777" w:rsidR="00DF61BC" w:rsidRPr="00C94C33" w:rsidRDefault="00DF61BC" w:rsidP="006263CF">
            <w:pPr>
              <w:pStyle w:val="TableHeading"/>
              <w:jc w:val="center"/>
            </w:pPr>
            <w:bookmarkStart w:id="269" w:name="37._Other_concerns_Efficacy_Question_37"/>
            <w:bookmarkStart w:id="270" w:name="37.1._QUESTION_37a"/>
            <w:bookmarkStart w:id="271" w:name="Response_to_37a"/>
            <w:bookmarkStart w:id="272" w:name="Table_36:_RECOURSE_Study_-_Overall_Survi"/>
            <w:bookmarkStart w:id="273" w:name="bookmark3"/>
            <w:bookmarkEnd w:id="269"/>
            <w:bookmarkEnd w:id="270"/>
            <w:bookmarkEnd w:id="271"/>
            <w:bookmarkEnd w:id="272"/>
            <w:bookmarkEnd w:id="273"/>
            <w:r w:rsidRPr="00C94C33">
              <w:t>Age</w:t>
            </w:r>
          </w:p>
        </w:tc>
        <w:tc>
          <w:tcPr>
            <w:tcW w:w="2859" w:type="dxa"/>
            <w:gridSpan w:val="2"/>
            <w:tcBorders>
              <w:top w:val="single" w:sz="6" w:space="0" w:color="000000"/>
              <w:left w:val="single" w:sz="6" w:space="0" w:color="000000"/>
              <w:bottom w:val="single" w:sz="6" w:space="0" w:color="000000"/>
              <w:right w:val="single" w:sz="6" w:space="0" w:color="000000"/>
            </w:tcBorders>
            <w:shd w:val="clear" w:color="auto" w:fill="auto"/>
          </w:tcPr>
          <w:p w14:paraId="5D51A35E" w14:textId="076FDE18" w:rsidR="00DF61BC" w:rsidRPr="005C2FCA" w:rsidRDefault="00DF61BC" w:rsidP="006263CF">
            <w:pPr>
              <w:pStyle w:val="TableHeading"/>
              <w:jc w:val="center"/>
            </w:pPr>
            <w:r w:rsidRPr="005C2FCA">
              <w:t xml:space="preserve">TAS-102 </w:t>
            </w:r>
            <w:r w:rsidR="009C0389" w:rsidRPr="005C2FCA">
              <w:t xml:space="preserve">n = </w:t>
            </w:r>
            <w:r w:rsidRPr="005C2FCA">
              <w:t>534</w:t>
            </w:r>
          </w:p>
        </w:tc>
        <w:tc>
          <w:tcPr>
            <w:tcW w:w="2881" w:type="dxa"/>
            <w:gridSpan w:val="2"/>
            <w:tcBorders>
              <w:top w:val="single" w:sz="6" w:space="0" w:color="000000"/>
              <w:left w:val="single" w:sz="6" w:space="0" w:color="000000"/>
              <w:bottom w:val="single" w:sz="6" w:space="0" w:color="000000"/>
              <w:right w:val="single" w:sz="6" w:space="0" w:color="000000"/>
            </w:tcBorders>
            <w:shd w:val="clear" w:color="auto" w:fill="auto"/>
          </w:tcPr>
          <w:p w14:paraId="1FF54808" w14:textId="6D19E1C7" w:rsidR="00DF61BC" w:rsidRPr="005C2FCA" w:rsidRDefault="00DF61BC" w:rsidP="006263CF">
            <w:pPr>
              <w:pStyle w:val="TableHeading"/>
              <w:jc w:val="center"/>
            </w:pPr>
            <w:r w:rsidRPr="005C2FCA">
              <w:t>Place</w:t>
            </w:r>
            <w:r w:rsidR="002E110F" w:rsidRPr="005C2FCA">
              <w:t>b</w:t>
            </w:r>
            <w:r w:rsidRPr="005C2FCA">
              <w:t xml:space="preserve">o </w:t>
            </w:r>
            <w:r w:rsidR="009C0389" w:rsidRPr="005C2FCA">
              <w:t xml:space="preserve">n = </w:t>
            </w:r>
            <w:r w:rsidRPr="005C2FCA">
              <w:t>266</w:t>
            </w:r>
          </w:p>
        </w:tc>
        <w:tc>
          <w:tcPr>
            <w:tcW w:w="2455" w:type="dxa"/>
            <w:tcBorders>
              <w:top w:val="single" w:sz="6" w:space="0" w:color="000000"/>
              <w:left w:val="single" w:sz="6" w:space="0" w:color="000000"/>
              <w:bottom w:val="single" w:sz="6" w:space="0" w:color="000000"/>
              <w:right w:val="single" w:sz="6" w:space="0" w:color="000000"/>
            </w:tcBorders>
            <w:shd w:val="clear" w:color="auto" w:fill="auto"/>
          </w:tcPr>
          <w:p w14:paraId="1FD9308D" w14:textId="78544C5D" w:rsidR="00DF61BC" w:rsidRPr="005C2FCA" w:rsidRDefault="00DF61BC" w:rsidP="006263CF">
            <w:pPr>
              <w:pStyle w:val="TableHeading"/>
              <w:jc w:val="center"/>
            </w:pPr>
            <w:r w:rsidRPr="005C2FCA">
              <w:t>TAS</w:t>
            </w:r>
            <w:r w:rsidR="00C11183" w:rsidRPr="005C2FCA">
              <w:t xml:space="preserve"> versus </w:t>
            </w:r>
            <w:r w:rsidRPr="005C2FCA">
              <w:t xml:space="preserve">PBO </w:t>
            </w:r>
            <w:r w:rsidR="009C0389" w:rsidRPr="005C2FCA">
              <w:t xml:space="preserve">n = </w:t>
            </w:r>
            <w:r w:rsidRPr="005C2FCA">
              <w:t>800</w:t>
            </w:r>
          </w:p>
        </w:tc>
      </w:tr>
      <w:tr w:rsidR="00DF61BC" w:rsidRPr="00C94C33" w14:paraId="39C7A7CD" w14:textId="77777777" w:rsidTr="006263CF">
        <w:trPr>
          <w:trHeight w:hRule="exact" w:val="389"/>
        </w:trPr>
        <w:tc>
          <w:tcPr>
            <w:tcW w:w="1455" w:type="dxa"/>
            <w:vMerge/>
            <w:tcBorders>
              <w:top w:val="single" w:sz="6" w:space="0" w:color="000000"/>
              <w:left w:val="single" w:sz="6" w:space="0" w:color="000000"/>
              <w:bottom w:val="single" w:sz="6" w:space="0" w:color="000000"/>
              <w:right w:val="single" w:sz="6" w:space="0" w:color="000000"/>
            </w:tcBorders>
            <w:shd w:val="clear" w:color="auto" w:fill="auto"/>
          </w:tcPr>
          <w:p w14:paraId="2969CFF7" w14:textId="77777777" w:rsidR="00DF61BC" w:rsidRPr="00C94C33" w:rsidRDefault="00DF61BC" w:rsidP="006263CF">
            <w:pPr>
              <w:pStyle w:val="TableHeading"/>
              <w:jc w:val="center"/>
            </w:pPr>
          </w:p>
        </w:tc>
        <w:tc>
          <w:tcPr>
            <w:tcW w:w="811" w:type="dxa"/>
            <w:tcBorders>
              <w:top w:val="single" w:sz="6" w:space="0" w:color="000000"/>
              <w:left w:val="single" w:sz="6" w:space="0" w:color="000000"/>
              <w:bottom w:val="single" w:sz="6" w:space="0" w:color="000000"/>
              <w:right w:val="single" w:sz="6" w:space="0" w:color="000000"/>
            </w:tcBorders>
            <w:shd w:val="clear" w:color="auto" w:fill="auto"/>
          </w:tcPr>
          <w:p w14:paraId="5B5BEFF9" w14:textId="77777777" w:rsidR="00DF61BC" w:rsidRPr="00C94C33" w:rsidRDefault="00DF61BC" w:rsidP="006263CF">
            <w:pPr>
              <w:pStyle w:val="TableHeading"/>
              <w:jc w:val="center"/>
            </w:pPr>
            <w:r w:rsidRPr="00C94C33">
              <w:t>N</w:t>
            </w:r>
          </w:p>
        </w:tc>
        <w:tc>
          <w:tcPr>
            <w:tcW w:w="2048" w:type="dxa"/>
            <w:tcBorders>
              <w:top w:val="single" w:sz="6" w:space="0" w:color="000000"/>
              <w:left w:val="single" w:sz="6" w:space="0" w:color="000000"/>
              <w:bottom w:val="single" w:sz="6" w:space="0" w:color="000000"/>
              <w:right w:val="single" w:sz="6" w:space="0" w:color="000000"/>
            </w:tcBorders>
            <w:shd w:val="clear" w:color="auto" w:fill="auto"/>
          </w:tcPr>
          <w:p w14:paraId="71121AF7" w14:textId="77777777" w:rsidR="00DF61BC" w:rsidRPr="00C94C33" w:rsidRDefault="00DF61BC" w:rsidP="006263CF">
            <w:pPr>
              <w:pStyle w:val="TableHeading"/>
              <w:jc w:val="center"/>
            </w:pPr>
            <w:r w:rsidRPr="00C94C33">
              <w:rPr>
                <w:spacing w:val="-1"/>
              </w:rPr>
              <w:t>Median</w:t>
            </w:r>
            <w:r w:rsidRPr="00C94C33">
              <w:rPr>
                <w:spacing w:val="-2"/>
              </w:rPr>
              <w:t xml:space="preserve"> </w:t>
            </w:r>
            <w:r w:rsidRPr="00C94C33">
              <w:rPr>
                <w:spacing w:val="1"/>
              </w:rPr>
              <w:t>(95%</w:t>
            </w:r>
            <w:r w:rsidRPr="00C94C33">
              <w:rPr>
                <w:spacing w:val="-5"/>
              </w:rPr>
              <w:t xml:space="preserve"> </w:t>
            </w:r>
            <w:r w:rsidRPr="00C94C33">
              <w:rPr>
                <w:spacing w:val="-1"/>
              </w:rPr>
              <w:t>CI)</w:t>
            </w:r>
          </w:p>
        </w:tc>
        <w:tc>
          <w:tcPr>
            <w:tcW w:w="842" w:type="dxa"/>
            <w:tcBorders>
              <w:top w:val="single" w:sz="6" w:space="0" w:color="000000"/>
              <w:left w:val="single" w:sz="6" w:space="0" w:color="000000"/>
              <w:bottom w:val="single" w:sz="6" w:space="0" w:color="000000"/>
              <w:right w:val="single" w:sz="6" w:space="0" w:color="000000"/>
            </w:tcBorders>
            <w:shd w:val="clear" w:color="auto" w:fill="auto"/>
          </w:tcPr>
          <w:p w14:paraId="5EA16B11" w14:textId="77777777" w:rsidR="00DF61BC" w:rsidRPr="00C94C33" w:rsidRDefault="00DF61BC" w:rsidP="006263CF">
            <w:pPr>
              <w:pStyle w:val="TableHeading"/>
              <w:jc w:val="center"/>
            </w:pPr>
            <w:r w:rsidRPr="00C94C33">
              <w:t>N</w:t>
            </w:r>
          </w:p>
        </w:tc>
        <w:tc>
          <w:tcPr>
            <w:tcW w:w="2039" w:type="dxa"/>
            <w:tcBorders>
              <w:top w:val="single" w:sz="6" w:space="0" w:color="000000"/>
              <w:left w:val="single" w:sz="6" w:space="0" w:color="000000"/>
              <w:bottom w:val="single" w:sz="6" w:space="0" w:color="000000"/>
              <w:right w:val="single" w:sz="6" w:space="0" w:color="000000"/>
            </w:tcBorders>
            <w:shd w:val="clear" w:color="auto" w:fill="auto"/>
          </w:tcPr>
          <w:p w14:paraId="71955665" w14:textId="77777777" w:rsidR="00DF61BC" w:rsidRPr="00C94C33" w:rsidRDefault="00DF61BC" w:rsidP="006263CF">
            <w:pPr>
              <w:pStyle w:val="TableHeading"/>
              <w:jc w:val="center"/>
            </w:pPr>
            <w:r w:rsidRPr="00C94C33">
              <w:rPr>
                <w:spacing w:val="-1"/>
              </w:rPr>
              <w:t>Median</w:t>
            </w:r>
            <w:r w:rsidRPr="00C94C33">
              <w:rPr>
                <w:spacing w:val="-2"/>
              </w:rPr>
              <w:t xml:space="preserve"> </w:t>
            </w:r>
            <w:r w:rsidRPr="00C94C33">
              <w:rPr>
                <w:spacing w:val="1"/>
              </w:rPr>
              <w:t>(95%</w:t>
            </w:r>
            <w:r w:rsidRPr="00C94C33">
              <w:rPr>
                <w:spacing w:val="-4"/>
              </w:rPr>
              <w:t xml:space="preserve"> </w:t>
            </w:r>
            <w:r w:rsidRPr="00C94C33">
              <w:rPr>
                <w:spacing w:val="-1"/>
              </w:rPr>
              <w:t>CI)</w:t>
            </w:r>
          </w:p>
        </w:tc>
        <w:tc>
          <w:tcPr>
            <w:tcW w:w="2455" w:type="dxa"/>
            <w:tcBorders>
              <w:top w:val="single" w:sz="6" w:space="0" w:color="000000"/>
              <w:left w:val="single" w:sz="6" w:space="0" w:color="000000"/>
              <w:bottom w:val="single" w:sz="6" w:space="0" w:color="000000"/>
              <w:right w:val="single" w:sz="6" w:space="0" w:color="000000"/>
            </w:tcBorders>
            <w:shd w:val="clear" w:color="auto" w:fill="auto"/>
          </w:tcPr>
          <w:p w14:paraId="09205E20" w14:textId="77777777" w:rsidR="00DF61BC" w:rsidRPr="00C94C33" w:rsidRDefault="00DF61BC" w:rsidP="006263CF">
            <w:pPr>
              <w:pStyle w:val="TableHeading"/>
              <w:jc w:val="center"/>
            </w:pPr>
            <w:r w:rsidRPr="00C94C33">
              <w:t>HR</w:t>
            </w:r>
            <w:r w:rsidRPr="00C94C33">
              <w:rPr>
                <w:spacing w:val="-1"/>
              </w:rPr>
              <w:t xml:space="preserve"> </w:t>
            </w:r>
            <w:r w:rsidRPr="00C94C33">
              <w:t>(95%</w:t>
            </w:r>
            <w:r w:rsidRPr="00C94C33">
              <w:rPr>
                <w:spacing w:val="-3"/>
              </w:rPr>
              <w:t xml:space="preserve"> </w:t>
            </w:r>
            <w:r w:rsidRPr="00C94C33">
              <w:rPr>
                <w:spacing w:val="-1"/>
              </w:rPr>
              <w:t>CI)</w:t>
            </w:r>
          </w:p>
        </w:tc>
      </w:tr>
      <w:tr w:rsidR="00DF61BC" w:rsidRPr="00C94C33" w14:paraId="78780FD8" w14:textId="77777777" w:rsidTr="00B81A4F">
        <w:trPr>
          <w:trHeight w:hRule="exact" w:val="343"/>
        </w:trPr>
        <w:tc>
          <w:tcPr>
            <w:tcW w:w="1455" w:type="dxa"/>
            <w:tcBorders>
              <w:top w:val="single" w:sz="6" w:space="0" w:color="000000"/>
              <w:left w:val="single" w:sz="6" w:space="0" w:color="000000"/>
              <w:bottom w:val="single" w:sz="6" w:space="0" w:color="000000"/>
              <w:right w:val="single" w:sz="6" w:space="0" w:color="000000"/>
            </w:tcBorders>
            <w:shd w:val="clear" w:color="auto" w:fill="auto"/>
          </w:tcPr>
          <w:p w14:paraId="3B7D2376" w14:textId="77777777" w:rsidR="00DF61BC" w:rsidRPr="00C94C33" w:rsidRDefault="00DF61BC" w:rsidP="006263CF">
            <w:pPr>
              <w:pStyle w:val="Tabletext"/>
            </w:pPr>
            <w:r w:rsidRPr="00C94C33">
              <w:t>&lt;65</w:t>
            </w:r>
          </w:p>
        </w:tc>
        <w:tc>
          <w:tcPr>
            <w:tcW w:w="811" w:type="dxa"/>
            <w:tcBorders>
              <w:top w:val="single" w:sz="6" w:space="0" w:color="000000"/>
              <w:left w:val="single" w:sz="6" w:space="0" w:color="000000"/>
              <w:bottom w:val="single" w:sz="6" w:space="0" w:color="000000"/>
              <w:right w:val="single" w:sz="6" w:space="0" w:color="000000"/>
            </w:tcBorders>
            <w:shd w:val="clear" w:color="auto" w:fill="auto"/>
          </w:tcPr>
          <w:p w14:paraId="4AC6445A" w14:textId="77777777" w:rsidR="00DF61BC" w:rsidRPr="00C94C33" w:rsidRDefault="00DF61BC" w:rsidP="006263CF">
            <w:pPr>
              <w:pStyle w:val="Tabletext"/>
            </w:pPr>
            <w:r w:rsidRPr="00C94C33">
              <w:rPr>
                <w:spacing w:val="1"/>
              </w:rPr>
              <w:t>300</w:t>
            </w:r>
          </w:p>
        </w:tc>
        <w:tc>
          <w:tcPr>
            <w:tcW w:w="2048" w:type="dxa"/>
            <w:tcBorders>
              <w:top w:val="single" w:sz="6" w:space="0" w:color="000000"/>
              <w:left w:val="single" w:sz="6" w:space="0" w:color="000000"/>
              <w:bottom w:val="single" w:sz="6" w:space="0" w:color="000000"/>
              <w:right w:val="single" w:sz="6" w:space="0" w:color="000000"/>
            </w:tcBorders>
            <w:shd w:val="clear" w:color="auto" w:fill="auto"/>
          </w:tcPr>
          <w:p w14:paraId="33390C69" w14:textId="77777777" w:rsidR="00DF61BC" w:rsidRPr="00C94C33" w:rsidRDefault="00DF61BC" w:rsidP="006263CF">
            <w:pPr>
              <w:pStyle w:val="Tabletext"/>
            </w:pPr>
            <w:r w:rsidRPr="00C94C33">
              <w:t>7.1</w:t>
            </w:r>
            <w:r w:rsidRPr="00C94C33">
              <w:rPr>
                <w:spacing w:val="-1"/>
              </w:rPr>
              <w:t xml:space="preserve"> </w:t>
            </w:r>
            <w:r w:rsidRPr="00C94C33">
              <w:t>(6.5,</w:t>
            </w:r>
            <w:r w:rsidRPr="00C94C33">
              <w:rPr>
                <w:spacing w:val="-2"/>
              </w:rPr>
              <w:t xml:space="preserve"> </w:t>
            </w:r>
            <w:r w:rsidRPr="00C94C33">
              <w:rPr>
                <w:spacing w:val="-1"/>
              </w:rPr>
              <w:t>8.4)</w:t>
            </w:r>
          </w:p>
        </w:tc>
        <w:tc>
          <w:tcPr>
            <w:tcW w:w="842" w:type="dxa"/>
            <w:tcBorders>
              <w:top w:val="single" w:sz="6" w:space="0" w:color="000000"/>
              <w:left w:val="single" w:sz="6" w:space="0" w:color="000000"/>
              <w:bottom w:val="single" w:sz="6" w:space="0" w:color="000000"/>
              <w:right w:val="single" w:sz="6" w:space="0" w:color="000000"/>
            </w:tcBorders>
            <w:shd w:val="clear" w:color="auto" w:fill="auto"/>
          </w:tcPr>
          <w:p w14:paraId="2E9DD836" w14:textId="77777777" w:rsidR="00DF61BC" w:rsidRPr="00C94C33" w:rsidRDefault="00DF61BC" w:rsidP="006263CF">
            <w:pPr>
              <w:pStyle w:val="Tabletext"/>
            </w:pPr>
            <w:r w:rsidRPr="00C94C33">
              <w:rPr>
                <w:spacing w:val="1"/>
              </w:rPr>
              <w:t>148</w:t>
            </w:r>
          </w:p>
        </w:tc>
        <w:tc>
          <w:tcPr>
            <w:tcW w:w="2039" w:type="dxa"/>
            <w:tcBorders>
              <w:top w:val="single" w:sz="6" w:space="0" w:color="000000"/>
              <w:left w:val="single" w:sz="6" w:space="0" w:color="000000"/>
              <w:bottom w:val="single" w:sz="6" w:space="0" w:color="000000"/>
              <w:right w:val="single" w:sz="6" w:space="0" w:color="000000"/>
            </w:tcBorders>
            <w:shd w:val="clear" w:color="auto" w:fill="auto"/>
          </w:tcPr>
          <w:p w14:paraId="787C4EB4" w14:textId="77777777" w:rsidR="00DF61BC" w:rsidRPr="00C94C33" w:rsidRDefault="00DF61BC" w:rsidP="006263CF">
            <w:pPr>
              <w:pStyle w:val="Tabletext"/>
            </w:pPr>
            <w:r w:rsidRPr="00C94C33">
              <w:t>5.7</w:t>
            </w:r>
            <w:r w:rsidRPr="00C94C33">
              <w:rPr>
                <w:spacing w:val="-1"/>
              </w:rPr>
              <w:t xml:space="preserve"> </w:t>
            </w:r>
            <w:r w:rsidRPr="00C94C33">
              <w:t>(4.9,</w:t>
            </w:r>
            <w:r w:rsidRPr="00C94C33">
              <w:rPr>
                <w:spacing w:val="-2"/>
              </w:rPr>
              <w:t xml:space="preserve"> </w:t>
            </w:r>
            <w:r w:rsidRPr="00C94C33">
              <w:rPr>
                <w:spacing w:val="-1"/>
              </w:rPr>
              <w:t>6.5)</w:t>
            </w:r>
          </w:p>
        </w:tc>
        <w:tc>
          <w:tcPr>
            <w:tcW w:w="2455" w:type="dxa"/>
            <w:tcBorders>
              <w:top w:val="single" w:sz="6" w:space="0" w:color="000000"/>
              <w:left w:val="single" w:sz="6" w:space="0" w:color="000000"/>
              <w:bottom w:val="single" w:sz="6" w:space="0" w:color="000000"/>
              <w:right w:val="single" w:sz="6" w:space="0" w:color="000000"/>
            </w:tcBorders>
            <w:shd w:val="clear" w:color="auto" w:fill="auto"/>
          </w:tcPr>
          <w:p w14:paraId="53E44D58" w14:textId="77777777" w:rsidR="00DF61BC" w:rsidRPr="00C94C33" w:rsidRDefault="00DF61BC" w:rsidP="006263CF">
            <w:pPr>
              <w:pStyle w:val="Tabletext"/>
            </w:pPr>
            <w:r w:rsidRPr="00C94C33">
              <w:rPr>
                <w:spacing w:val="-1"/>
              </w:rPr>
              <w:t>0.74</w:t>
            </w:r>
            <w:r w:rsidRPr="00C94C33">
              <w:rPr>
                <w:spacing w:val="1"/>
              </w:rPr>
              <w:t xml:space="preserve"> </w:t>
            </w:r>
            <w:r w:rsidRPr="00C94C33">
              <w:rPr>
                <w:spacing w:val="-1"/>
              </w:rPr>
              <w:t>(0.59,</w:t>
            </w:r>
            <w:r w:rsidRPr="00C94C33">
              <w:rPr>
                <w:spacing w:val="-2"/>
              </w:rPr>
              <w:t xml:space="preserve"> </w:t>
            </w:r>
            <w:r w:rsidRPr="00C94C33">
              <w:t>0.94)</w:t>
            </w:r>
          </w:p>
        </w:tc>
      </w:tr>
      <w:tr w:rsidR="00DF61BC" w:rsidRPr="00C94C33" w14:paraId="57CDD201" w14:textId="77777777" w:rsidTr="00B81A4F">
        <w:trPr>
          <w:trHeight w:hRule="exact" w:val="341"/>
        </w:trPr>
        <w:tc>
          <w:tcPr>
            <w:tcW w:w="1455" w:type="dxa"/>
            <w:tcBorders>
              <w:top w:val="single" w:sz="6" w:space="0" w:color="000000"/>
              <w:left w:val="single" w:sz="6" w:space="0" w:color="000000"/>
              <w:bottom w:val="single" w:sz="6" w:space="0" w:color="000000"/>
              <w:right w:val="single" w:sz="6" w:space="0" w:color="000000"/>
            </w:tcBorders>
            <w:shd w:val="clear" w:color="auto" w:fill="auto"/>
          </w:tcPr>
          <w:p w14:paraId="3104BA5F" w14:textId="55028205" w:rsidR="00DF61BC" w:rsidRPr="00C94C33" w:rsidRDefault="00DF61BC" w:rsidP="006263CF">
            <w:pPr>
              <w:pStyle w:val="Tabletext"/>
            </w:pPr>
            <w:r w:rsidRPr="00C94C33">
              <w:t>65</w:t>
            </w:r>
            <w:r w:rsidRPr="00C94C33">
              <w:rPr>
                <w:spacing w:val="1"/>
              </w:rPr>
              <w:t xml:space="preserve"> </w:t>
            </w:r>
            <w:r w:rsidR="002E110F">
              <w:rPr>
                <w:spacing w:val="-1"/>
              </w:rPr>
              <w:t xml:space="preserve">to </w:t>
            </w:r>
            <w:r w:rsidRPr="00C94C33">
              <w:rPr>
                <w:spacing w:val="-1"/>
              </w:rPr>
              <w:t>74</w:t>
            </w:r>
          </w:p>
        </w:tc>
        <w:tc>
          <w:tcPr>
            <w:tcW w:w="811" w:type="dxa"/>
            <w:tcBorders>
              <w:top w:val="single" w:sz="6" w:space="0" w:color="000000"/>
              <w:left w:val="single" w:sz="6" w:space="0" w:color="000000"/>
              <w:bottom w:val="single" w:sz="6" w:space="0" w:color="000000"/>
              <w:right w:val="single" w:sz="6" w:space="0" w:color="000000"/>
            </w:tcBorders>
            <w:shd w:val="clear" w:color="auto" w:fill="auto"/>
          </w:tcPr>
          <w:p w14:paraId="1D6E8D61" w14:textId="77777777" w:rsidR="00DF61BC" w:rsidRPr="00C94C33" w:rsidRDefault="00DF61BC" w:rsidP="006263CF">
            <w:pPr>
              <w:pStyle w:val="Tabletext"/>
            </w:pPr>
            <w:r w:rsidRPr="00C94C33">
              <w:rPr>
                <w:spacing w:val="1"/>
              </w:rPr>
              <w:t>198</w:t>
            </w:r>
          </w:p>
        </w:tc>
        <w:tc>
          <w:tcPr>
            <w:tcW w:w="2048" w:type="dxa"/>
            <w:tcBorders>
              <w:top w:val="single" w:sz="6" w:space="0" w:color="000000"/>
              <w:left w:val="single" w:sz="6" w:space="0" w:color="000000"/>
              <w:bottom w:val="single" w:sz="6" w:space="0" w:color="000000"/>
              <w:right w:val="single" w:sz="6" w:space="0" w:color="000000"/>
            </w:tcBorders>
            <w:shd w:val="clear" w:color="auto" w:fill="auto"/>
          </w:tcPr>
          <w:p w14:paraId="353284ED" w14:textId="77777777" w:rsidR="00DF61BC" w:rsidRPr="00C94C33" w:rsidRDefault="00DF61BC" w:rsidP="006263CF">
            <w:pPr>
              <w:pStyle w:val="Tabletext"/>
            </w:pPr>
            <w:r w:rsidRPr="00C94C33">
              <w:t>7.2</w:t>
            </w:r>
            <w:r w:rsidRPr="00C94C33">
              <w:rPr>
                <w:spacing w:val="-1"/>
              </w:rPr>
              <w:t xml:space="preserve"> </w:t>
            </w:r>
            <w:r w:rsidRPr="00C94C33">
              <w:t>(6.3,</w:t>
            </w:r>
            <w:r w:rsidRPr="00C94C33">
              <w:rPr>
                <w:spacing w:val="-2"/>
              </w:rPr>
              <w:t xml:space="preserve"> </w:t>
            </w:r>
            <w:r w:rsidRPr="00C94C33">
              <w:rPr>
                <w:spacing w:val="-1"/>
              </w:rPr>
              <w:t>8.1)</w:t>
            </w:r>
          </w:p>
        </w:tc>
        <w:tc>
          <w:tcPr>
            <w:tcW w:w="842" w:type="dxa"/>
            <w:tcBorders>
              <w:top w:val="single" w:sz="6" w:space="0" w:color="000000"/>
              <w:left w:val="single" w:sz="6" w:space="0" w:color="000000"/>
              <w:bottom w:val="single" w:sz="6" w:space="0" w:color="000000"/>
              <w:right w:val="single" w:sz="6" w:space="0" w:color="000000"/>
            </w:tcBorders>
            <w:shd w:val="clear" w:color="auto" w:fill="auto"/>
          </w:tcPr>
          <w:p w14:paraId="6E2244E6" w14:textId="77777777" w:rsidR="00DF61BC" w:rsidRPr="00C94C33" w:rsidRDefault="00DF61BC" w:rsidP="006263CF">
            <w:pPr>
              <w:pStyle w:val="Tabletext"/>
            </w:pPr>
            <w:r w:rsidRPr="00C94C33">
              <w:rPr>
                <w:spacing w:val="1"/>
              </w:rPr>
              <w:t>94</w:t>
            </w:r>
          </w:p>
        </w:tc>
        <w:tc>
          <w:tcPr>
            <w:tcW w:w="2039" w:type="dxa"/>
            <w:tcBorders>
              <w:top w:val="single" w:sz="6" w:space="0" w:color="000000"/>
              <w:left w:val="single" w:sz="6" w:space="0" w:color="000000"/>
              <w:bottom w:val="single" w:sz="6" w:space="0" w:color="000000"/>
              <w:right w:val="single" w:sz="6" w:space="0" w:color="000000"/>
            </w:tcBorders>
            <w:shd w:val="clear" w:color="auto" w:fill="auto"/>
          </w:tcPr>
          <w:p w14:paraId="33BA0C5D" w14:textId="77777777" w:rsidR="00DF61BC" w:rsidRPr="00C94C33" w:rsidRDefault="00DF61BC" w:rsidP="006263CF">
            <w:pPr>
              <w:pStyle w:val="Tabletext"/>
            </w:pPr>
            <w:r w:rsidRPr="00C94C33">
              <w:t>4.5</w:t>
            </w:r>
            <w:r w:rsidRPr="00C94C33">
              <w:rPr>
                <w:spacing w:val="-1"/>
              </w:rPr>
              <w:t xml:space="preserve"> </w:t>
            </w:r>
            <w:r w:rsidRPr="00C94C33">
              <w:t>(3.9,</w:t>
            </w:r>
            <w:r w:rsidRPr="00C94C33">
              <w:rPr>
                <w:spacing w:val="-2"/>
              </w:rPr>
              <w:t xml:space="preserve"> </w:t>
            </w:r>
            <w:r w:rsidRPr="00C94C33">
              <w:rPr>
                <w:spacing w:val="-1"/>
              </w:rPr>
              <w:t>5.9)</w:t>
            </w:r>
          </w:p>
        </w:tc>
        <w:tc>
          <w:tcPr>
            <w:tcW w:w="2455" w:type="dxa"/>
            <w:tcBorders>
              <w:top w:val="single" w:sz="6" w:space="0" w:color="000000"/>
              <w:left w:val="single" w:sz="6" w:space="0" w:color="000000"/>
              <w:bottom w:val="single" w:sz="6" w:space="0" w:color="000000"/>
              <w:right w:val="single" w:sz="6" w:space="0" w:color="000000"/>
            </w:tcBorders>
            <w:shd w:val="clear" w:color="auto" w:fill="auto"/>
          </w:tcPr>
          <w:p w14:paraId="03791957" w14:textId="77777777" w:rsidR="00DF61BC" w:rsidRPr="00C94C33" w:rsidRDefault="00DF61BC" w:rsidP="006263CF">
            <w:pPr>
              <w:pStyle w:val="Tabletext"/>
            </w:pPr>
            <w:r w:rsidRPr="00C94C33">
              <w:rPr>
                <w:spacing w:val="-1"/>
              </w:rPr>
              <w:t>0.58</w:t>
            </w:r>
            <w:r w:rsidRPr="00C94C33">
              <w:rPr>
                <w:spacing w:val="1"/>
              </w:rPr>
              <w:t xml:space="preserve"> </w:t>
            </w:r>
            <w:r w:rsidRPr="00C94C33">
              <w:rPr>
                <w:spacing w:val="-1"/>
              </w:rPr>
              <w:t>(0.43,</w:t>
            </w:r>
            <w:r w:rsidRPr="00C94C33">
              <w:rPr>
                <w:spacing w:val="-2"/>
              </w:rPr>
              <w:t xml:space="preserve"> </w:t>
            </w:r>
            <w:r w:rsidRPr="00C94C33">
              <w:t>0.77)</w:t>
            </w:r>
          </w:p>
        </w:tc>
      </w:tr>
      <w:tr w:rsidR="00DF61BC" w:rsidRPr="00C94C33" w14:paraId="1FA9F14D" w14:textId="77777777" w:rsidTr="00B81A4F">
        <w:trPr>
          <w:trHeight w:hRule="exact" w:val="343"/>
        </w:trPr>
        <w:tc>
          <w:tcPr>
            <w:tcW w:w="1455" w:type="dxa"/>
            <w:tcBorders>
              <w:top w:val="single" w:sz="6" w:space="0" w:color="000000"/>
              <w:left w:val="single" w:sz="6" w:space="0" w:color="000000"/>
              <w:bottom w:val="single" w:sz="6" w:space="0" w:color="000000"/>
              <w:right w:val="single" w:sz="6" w:space="0" w:color="000000"/>
            </w:tcBorders>
            <w:shd w:val="clear" w:color="auto" w:fill="auto"/>
          </w:tcPr>
          <w:p w14:paraId="0DFE616F" w14:textId="5C42EBC8" w:rsidR="00DF61BC" w:rsidRPr="00C94C33" w:rsidRDefault="00DF61BC" w:rsidP="006263CF">
            <w:pPr>
              <w:pStyle w:val="Tabletext"/>
            </w:pPr>
            <w:r w:rsidRPr="00C94C33">
              <w:t>75</w:t>
            </w:r>
            <w:r w:rsidRPr="00C94C33">
              <w:rPr>
                <w:spacing w:val="-1"/>
              </w:rPr>
              <w:t xml:space="preserve"> </w:t>
            </w:r>
            <w:r w:rsidR="002E110F">
              <w:t>to</w:t>
            </w:r>
            <w:r w:rsidRPr="00C94C33">
              <w:rPr>
                <w:spacing w:val="1"/>
              </w:rPr>
              <w:t xml:space="preserve"> </w:t>
            </w:r>
            <w:r w:rsidRPr="00C94C33">
              <w:rPr>
                <w:spacing w:val="-2"/>
              </w:rPr>
              <w:t>84</w:t>
            </w:r>
          </w:p>
        </w:tc>
        <w:tc>
          <w:tcPr>
            <w:tcW w:w="811" w:type="dxa"/>
            <w:tcBorders>
              <w:top w:val="single" w:sz="6" w:space="0" w:color="000000"/>
              <w:left w:val="single" w:sz="6" w:space="0" w:color="000000"/>
              <w:bottom w:val="single" w:sz="6" w:space="0" w:color="000000"/>
              <w:right w:val="single" w:sz="6" w:space="0" w:color="000000"/>
            </w:tcBorders>
            <w:shd w:val="clear" w:color="auto" w:fill="auto"/>
          </w:tcPr>
          <w:p w14:paraId="72EC9678" w14:textId="77777777" w:rsidR="00DF61BC" w:rsidRPr="00C94C33" w:rsidRDefault="00DF61BC" w:rsidP="006263CF">
            <w:pPr>
              <w:pStyle w:val="Tabletext"/>
            </w:pPr>
            <w:r w:rsidRPr="00C94C33">
              <w:rPr>
                <w:spacing w:val="1"/>
              </w:rPr>
              <w:t>36</w:t>
            </w:r>
          </w:p>
        </w:tc>
        <w:tc>
          <w:tcPr>
            <w:tcW w:w="2048" w:type="dxa"/>
            <w:tcBorders>
              <w:top w:val="single" w:sz="6" w:space="0" w:color="000000"/>
              <w:left w:val="single" w:sz="6" w:space="0" w:color="000000"/>
              <w:bottom w:val="single" w:sz="6" w:space="0" w:color="000000"/>
              <w:right w:val="single" w:sz="6" w:space="0" w:color="000000"/>
            </w:tcBorders>
            <w:shd w:val="clear" w:color="auto" w:fill="auto"/>
          </w:tcPr>
          <w:p w14:paraId="79556DCE" w14:textId="77777777" w:rsidR="00DF61BC" w:rsidRPr="00C94C33" w:rsidRDefault="00DF61BC" w:rsidP="006263CF">
            <w:pPr>
              <w:pStyle w:val="Tabletext"/>
            </w:pPr>
            <w:r w:rsidRPr="00C94C33">
              <w:t>6.5</w:t>
            </w:r>
            <w:r w:rsidRPr="00C94C33">
              <w:rPr>
                <w:spacing w:val="-1"/>
              </w:rPr>
              <w:t xml:space="preserve"> </w:t>
            </w:r>
            <w:r w:rsidRPr="00C94C33">
              <w:t>(4.8,</w:t>
            </w:r>
            <w:r w:rsidRPr="00C94C33">
              <w:rPr>
                <w:spacing w:val="-2"/>
              </w:rPr>
              <w:t xml:space="preserve"> </w:t>
            </w:r>
            <w:r w:rsidRPr="00C94C33">
              <w:rPr>
                <w:spacing w:val="-1"/>
              </w:rPr>
              <w:t>9.1)</w:t>
            </w:r>
          </w:p>
        </w:tc>
        <w:tc>
          <w:tcPr>
            <w:tcW w:w="842" w:type="dxa"/>
            <w:tcBorders>
              <w:top w:val="single" w:sz="6" w:space="0" w:color="000000"/>
              <w:left w:val="single" w:sz="6" w:space="0" w:color="000000"/>
              <w:bottom w:val="single" w:sz="6" w:space="0" w:color="000000"/>
              <w:right w:val="single" w:sz="6" w:space="0" w:color="000000"/>
            </w:tcBorders>
            <w:shd w:val="clear" w:color="auto" w:fill="auto"/>
          </w:tcPr>
          <w:p w14:paraId="5D626D8C" w14:textId="77777777" w:rsidR="00DF61BC" w:rsidRPr="00C94C33" w:rsidRDefault="00DF61BC" w:rsidP="006263CF">
            <w:pPr>
              <w:pStyle w:val="Tabletext"/>
            </w:pPr>
            <w:r w:rsidRPr="00C94C33">
              <w:rPr>
                <w:spacing w:val="1"/>
              </w:rPr>
              <w:t>24</w:t>
            </w:r>
          </w:p>
        </w:tc>
        <w:tc>
          <w:tcPr>
            <w:tcW w:w="2039" w:type="dxa"/>
            <w:tcBorders>
              <w:top w:val="single" w:sz="6" w:space="0" w:color="000000"/>
              <w:left w:val="single" w:sz="6" w:space="0" w:color="000000"/>
              <w:bottom w:val="single" w:sz="6" w:space="0" w:color="000000"/>
              <w:right w:val="single" w:sz="6" w:space="0" w:color="000000"/>
            </w:tcBorders>
            <w:shd w:val="clear" w:color="auto" w:fill="auto"/>
          </w:tcPr>
          <w:p w14:paraId="24117B7D" w14:textId="77777777" w:rsidR="00DF61BC" w:rsidRPr="00C94C33" w:rsidRDefault="00DF61BC" w:rsidP="006263CF">
            <w:pPr>
              <w:pStyle w:val="Tabletext"/>
            </w:pPr>
            <w:r w:rsidRPr="00C94C33">
              <w:t>6.6</w:t>
            </w:r>
            <w:r w:rsidRPr="00C94C33">
              <w:rPr>
                <w:spacing w:val="-1"/>
              </w:rPr>
              <w:t xml:space="preserve"> </w:t>
            </w:r>
            <w:r w:rsidRPr="00C94C33">
              <w:t>(2.9,</w:t>
            </w:r>
            <w:r w:rsidRPr="00C94C33">
              <w:rPr>
                <w:spacing w:val="-2"/>
              </w:rPr>
              <w:t xml:space="preserve"> </w:t>
            </w:r>
            <w:r w:rsidRPr="00C94C33">
              <w:rPr>
                <w:spacing w:val="-1"/>
              </w:rPr>
              <w:t>7.5)</w:t>
            </w:r>
          </w:p>
        </w:tc>
        <w:tc>
          <w:tcPr>
            <w:tcW w:w="2455" w:type="dxa"/>
            <w:tcBorders>
              <w:top w:val="single" w:sz="6" w:space="0" w:color="000000"/>
              <w:left w:val="single" w:sz="6" w:space="0" w:color="000000"/>
              <w:bottom w:val="single" w:sz="6" w:space="0" w:color="000000"/>
              <w:right w:val="single" w:sz="6" w:space="0" w:color="000000"/>
            </w:tcBorders>
            <w:shd w:val="clear" w:color="auto" w:fill="auto"/>
          </w:tcPr>
          <w:p w14:paraId="4DBB25E7" w14:textId="77777777" w:rsidR="00DF61BC" w:rsidRPr="00C94C33" w:rsidRDefault="00DF61BC" w:rsidP="006263CF">
            <w:pPr>
              <w:pStyle w:val="Tabletext"/>
            </w:pPr>
            <w:r w:rsidRPr="00C94C33">
              <w:rPr>
                <w:spacing w:val="-1"/>
              </w:rPr>
              <w:t>0.89</w:t>
            </w:r>
            <w:r w:rsidRPr="00C94C33">
              <w:rPr>
                <w:spacing w:val="1"/>
              </w:rPr>
              <w:t xml:space="preserve"> </w:t>
            </w:r>
            <w:r w:rsidRPr="00C94C33">
              <w:rPr>
                <w:spacing w:val="-1"/>
              </w:rPr>
              <w:t>(0.45,</w:t>
            </w:r>
            <w:r w:rsidRPr="00C94C33">
              <w:rPr>
                <w:spacing w:val="-2"/>
              </w:rPr>
              <w:t xml:space="preserve"> </w:t>
            </w:r>
            <w:r w:rsidRPr="00C94C33">
              <w:t>1.74)</w:t>
            </w:r>
          </w:p>
        </w:tc>
      </w:tr>
    </w:tbl>
    <w:p w14:paraId="559ADD67" w14:textId="524B7F2C" w:rsidR="00DF61BC" w:rsidRPr="00C94C33" w:rsidRDefault="00DF61BC" w:rsidP="002E110F">
      <w:pPr>
        <w:pStyle w:val="Tabletitle"/>
      </w:pPr>
      <w:bookmarkStart w:id="274" w:name="_Toc470948687"/>
      <w:r w:rsidRPr="00C94C33">
        <w:t>Table</w:t>
      </w:r>
      <w:r w:rsidR="002776F2" w:rsidRPr="00C94C33">
        <w:t xml:space="preserve"> 38</w:t>
      </w:r>
      <w:r w:rsidRPr="00C94C33">
        <w:t>: RECOURSE</w:t>
      </w:r>
      <w:r w:rsidR="002E110F">
        <w:t xml:space="preserve">; </w:t>
      </w:r>
      <w:r w:rsidRPr="00C94C33">
        <w:t>PFS by age subgroup, ITT population</w:t>
      </w:r>
      <w:bookmarkEnd w:id="274"/>
    </w:p>
    <w:tbl>
      <w:tblPr>
        <w:tblW w:w="9394" w:type="dxa"/>
        <w:tblInd w:w="112" w:type="dxa"/>
        <w:tblLayout w:type="fixed"/>
        <w:tblCellMar>
          <w:left w:w="0" w:type="dxa"/>
          <w:right w:w="0" w:type="dxa"/>
        </w:tblCellMar>
        <w:tblLook w:val="0000" w:firstRow="0" w:lastRow="0" w:firstColumn="0" w:lastColumn="0" w:noHBand="0" w:noVBand="0"/>
      </w:tblPr>
      <w:tblGrid>
        <w:gridCol w:w="1455"/>
        <w:gridCol w:w="811"/>
        <w:gridCol w:w="2048"/>
        <w:gridCol w:w="842"/>
        <w:gridCol w:w="2039"/>
        <w:gridCol w:w="2199"/>
      </w:tblGrid>
      <w:tr w:rsidR="00DF61BC" w:rsidRPr="00C94C33" w14:paraId="41AF248E" w14:textId="77777777" w:rsidTr="006263CF">
        <w:trPr>
          <w:trHeight w:hRule="exact" w:val="343"/>
        </w:trPr>
        <w:tc>
          <w:tcPr>
            <w:tcW w:w="1455" w:type="dxa"/>
            <w:vMerge w:val="restart"/>
            <w:tcBorders>
              <w:top w:val="single" w:sz="6" w:space="0" w:color="000000"/>
              <w:left w:val="single" w:sz="6" w:space="0" w:color="000000"/>
              <w:bottom w:val="single" w:sz="6" w:space="0" w:color="000000"/>
              <w:right w:val="single" w:sz="6" w:space="0" w:color="000000"/>
            </w:tcBorders>
            <w:shd w:val="clear" w:color="auto" w:fill="auto"/>
          </w:tcPr>
          <w:p w14:paraId="1A380E82" w14:textId="77777777" w:rsidR="00DF61BC" w:rsidRPr="00C94C33" w:rsidRDefault="00DF61BC" w:rsidP="006263CF">
            <w:pPr>
              <w:pStyle w:val="TableHeading"/>
              <w:jc w:val="center"/>
            </w:pPr>
            <w:bookmarkStart w:id="275" w:name="Figure_23:_RECOURSE_Study_-_Overall_Surv"/>
            <w:bookmarkStart w:id="276" w:name="Table_37:_RECOURSE_Study:_Progression-fr"/>
            <w:bookmarkEnd w:id="275"/>
            <w:bookmarkEnd w:id="276"/>
            <w:r w:rsidRPr="00C94C33">
              <w:t>Age</w:t>
            </w:r>
          </w:p>
        </w:tc>
        <w:tc>
          <w:tcPr>
            <w:tcW w:w="2859" w:type="dxa"/>
            <w:gridSpan w:val="2"/>
            <w:tcBorders>
              <w:top w:val="single" w:sz="6" w:space="0" w:color="000000"/>
              <w:left w:val="single" w:sz="6" w:space="0" w:color="000000"/>
              <w:bottom w:val="single" w:sz="6" w:space="0" w:color="000000"/>
              <w:right w:val="single" w:sz="6" w:space="0" w:color="000000"/>
            </w:tcBorders>
            <w:shd w:val="clear" w:color="auto" w:fill="auto"/>
          </w:tcPr>
          <w:p w14:paraId="73914B25" w14:textId="77777777" w:rsidR="00DF61BC" w:rsidRPr="00C94C33" w:rsidRDefault="00DF61BC" w:rsidP="006263CF">
            <w:pPr>
              <w:pStyle w:val="TableHeading"/>
              <w:jc w:val="center"/>
            </w:pPr>
            <w:r w:rsidRPr="00C94C33">
              <w:rPr>
                <w:spacing w:val="-1"/>
              </w:rPr>
              <w:t>TAS-102</w:t>
            </w:r>
          </w:p>
        </w:tc>
        <w:tc>
          <w:tcPr>
            <w:tcW w:w="2881" w:type="dxa"/>
            <w:gridSpan w:val="2"/>
            <w:tcBorders>
              <w:top w:val="single" w:sz="6" w:space="0" w:color="000000"/>
              <w:left w:val="single" w:sz="6" w:space="0" w:color="000000"/>
              <w:bottom w:val="single" w:sz="6" w:space="0" w:color="000000"/>
              <w:right w:val="single" w:sz="6" w:space="0" w:color="000000"/>
            </w:tcBorders>
            <w:shd w:val="clear" w:color="auto" w:fill="auto"/>
          </w:tcPr>
          <w:p w14:paraId="27FCB3F1" w14:textId="77777777" w:rsidR="00DF61BC" w:rsidRPr="00C94C33" w:rsidRDefault="00DF61BC" w:rsidP="006263CF">
            <w:pPr>
              <w:pStyle w:val="TableHeading"/>
              <w:jc w:val="center"/>
            </w:pPr>
            <w:r w:rsidRPr="00C94C33">
              <w:rPr>
                <w:spacing w:val="-1"/>
              </w:rPr>
              <w:t>Placebo</w:t>
            </w:r>
          </w:p>
        </w:tc>
        <w:tc>
          <w:tcPr>
            <w:tcW w:w="2199" w:type="dxa"/>
            <w:tcBorders>
              <w:top w:val="single" w:sz="6" w:space="0" w:color="000000"/>
              <w:left w:val="single" w:sz="6" w:space="0" w:color="000000"/>
              <w:bottom w:val="single" w:sz="6" w:space="0" w:color="000000"/>
              <w:right w:val="single" w:sz="6" w:space="0" w:color="000000"/>
            </w:tcBorders>
            <w:shd w:val="clear" w:color="auto" w:fill="auto"/>
          </w:tcPr>
          <w:p w14:paraId="248FF4CD" w14:textId="20B3E564" w:rsidR="00DF61BC" w:rsidRPr="00C94C33" w:rsidRDefault="00DF61BC" w:rsidP="006263CF">
            <w:pPr>
              <w:pStyle w:val="TableHeading"/>
              <w:jc w:val="center"/>
            </w:pPr>
            <w:r w:rsidRPr="00C94C33">
              <w:t>TAS</w:t>
            </w:r>
            <w:r w:rsidR="00C11183">
              <w:t xml:space="preserve"> versus </w:t>
            </w:r>
            <w:r w:rsidRPr="00C94C33">
              <w:t>PBO</w:t>
            </w:r>
          </w:p>
        </w:tc>
      </w:tr>
      <w:tr w:rsidR="00DF61BC" w:rsidRPr="00C94C33" w14:paraId="261C0EFA" w14:textId="77777777" w:rsidTr="006263CF">
        <w:trPr>
          <w:trHeight w:hRule="exact" w:val="389"/>
        </w:trPr>
        <w:tc>
          <w:tcPr>
            <w:tcW w:w="1455" w:type="dxa"/>
            <w:vMerge/>
            <w:tcBorders>
              <w:top w:val="single" w:sz="6" w:space="0" w:color="000000"/>
              <w:left w:val="single" w:sz="6" w:space="0" w:color="000000"/>
              <w:bottom w:val="single" w:sz="6" w:space="0" w:color="000000"/>
              <w:right w:val="single" w:sz="6" w:space="0" w:color="000000"/>
            </w:tcBorders>
            <w:shd w:val="clear" w:color="auto" w:fill="auto"/>
          </w:tcPr>
          <w:p w14:paraId="771A2B62" w14:textId="77777777" w:rsidR="00DF61BC" w:rsidRPr="00C94C33" w:rsidRDefault="00DF61BC" w:rsidP="006263CF">
            <w:pPr>
              <w:pStyle w:val="TableHeading"/>
              <w:jc w:val="center"/>
            </w:pPr>
          </w:p>
        </w:tc>
        <w:tc>
          <w:tcPr>
            <w:tcW w:w="811" w:type="dxa"/>
            <w:tcBorders>
              <w:top w:val="single" w:sz="6" w:space="0" w:color="000000"/>
              <w:left w:val="single" w:sz="6" w:space="0" w:color="000000"/>
              <w:bottom w:val="single" w:sz="6" w:space="0" w:color="000000"/>
              <w:right w:val="single" w:sz="6" w:space="0" w:color="000000"/>
            </w:tcBorders>
            <w:shd w:val="clear" w:color="auto" w:fill="auto"/>
          </w:tcPr>
          <w:p w14:paraId="41FF3999" w14:textId="77777777" w:rsidR="00DF61BC" w:rsidRPr="00C94C33" w:rsidRDefault="00DF61BC" w:rsidP="006263CF">
            <w:pPr>
              <w:pStyle w:val="TableHeading"/>
              <w:jc w:val="center"/>
            </w:pPr>
            <w:r w:rsidRPr="00C94C33">
              <w:t>N</w:t>
            </w:r>
          </w:p>
        </w:tc>
        <w:tc>
          <w:tcPr>
            <w:tcW w:w="2048" w:type="dxa"/>
            <w:tcBorders>
              <w:top w:val="single" w:sz="6" w:space="0" w:color="000000"/>
              <w:left w:val="single" w:sz="6" w:space="0" w:color="000000"/>
              <w:bottom w:val="single" w:sz="6" w:space="0" w:color="000000"/>
              <w:right w:val="single" w:sz="6" w:space="0" w:color="000000"/>
            </w:tcBorders>
            <w:shd w:val="clear" w:color="auto" w:fill="auto"/>
          </w:tcPr>
          <w:p w14:paraId="77518B1B" w14:textId="77777777" w:rsidR="00DF61BC" w:rsidRPr="00C94C33" w:rsidRDefault="00DF61BC" w:rsidP="006263CF">
            <w:pPr>
              <w:pStyle w:val="TableHeading"/>
              <w:jc w:val="center"/>
            </w:pPr>
            <w:r w:rsidRPr="00C94C33">
              <w:rPr>
                <w:spacing w:val="-1"/>
              </w:rPr>
              <w:t>Median</w:t>
            </w:r>
            <w:r w:rsidRPr="00C94C33">
              <w:rPr>
                <w:spacing w:val="-2"/>
              </w:rPr>
              <w:t xml:space="preserve"> </w:t>
            </w:r>
            <w:r w:rsidRPr="00C94C33">
              <w:rPr>
                <w:spacing w:val="1"/>
              </w:rPr>
              <w:t>(95%</w:t>
            </w:r>
            <w:r w:rsidRPr="00C94C33">
              <w:rPr>
                <w:spacing w:val="-5"/>
              </w:rPr>
              <w:t xml:space="preserve"> </w:t>
            </w:r>
            <w:r w:rsidRPr="00C94C33">
              <w:rPr>
                <w:spacing w:val="-1"/>
              </w:rPr>
              <w:t>CI)</w:t>
            </w:r>
          </w:p>
        </w:tc>
        <w:tc>
          <w:tcPr>
            <w:tcW w:w="842" w:type="dxa"/>
            <w:tcBorders>
              <w:top w:val="single" w:sz="6" w:space="0" w:color="000000"/>
              <w:left w:val="single" w:sz="6" w:space="0" w:color="000000"/>
              <w:bottom w:val="single" w:sz="6" w:space="0" w:color="000000"/>
              <w:right w:val="single" w:sz="6" w:space="0" w:color="000000"/>
            </w:tcBorders>
            <w:shd w:val="clear" w:color="auto" w:fill="auto"/>
          </w:tcPr>
          <w:p w14:paraId="0E527390" w14:textId="77777777" w:rsidR="00DF61BC" w:rsidRPr="00C94C33" w:rsidRDefault="00DF61BC" w:rsidP="006263CF">
            <w:pPr>
              <w:pStyle w:val="TableHeading"/>
              <w:jc w:val="center"/>
            </w:pPr>
            <w:r w:rsidRPr="00C94C33">
              <w:t>N</w:t>
            </w:r>
          </w:p>
        </w:tc>
        <w:tc>
          <w:tcPr>
            <w:tcW w:w="2039" w:type="dxa"/>
            <w:tcBorders>
              <w:top w:val="single" w:sz="6" w:space="0" w:color="000000"/>
              <w:left w:val="single" w:sz="6" w:space="0" w:color="000000"/>
              <w:bottom w:val="single" w:sz="6" w:space="0" w:color="000000"/>
              <w:right w:val="single" w:sz="6" w:space="0" w:color="000000"/>
            </w:tcBorders>
            <w:shd w:val="clear" w:color="auto" w:fill="auto"/>
          </w:tcPr>
          <w:p w14:paraId="0C280C65" w14:textId="77777777" w:rsidR="00DF61BC" w:rsidRPr="00C94C33" w:rsidRDefault="00DF61BC" w:rsidP="006263CF">
            <w:pPr>
              <w:pStyle w:val="TableHeading"/>
              <w:jc w:val="center"/>
            </w:pPr>
            <w:r w:rsidRPr="00C94C33">
              <w:rPr>
                <w:spacing w:val="-1"/>
              </w:rPr>
              <w:t>Median</w:t>
            </w:r>
            <w:r w:rsidRPr="00C94C33">
              <w:rPr>
                <w:spacing w:val="-2"/>
              </w:rPr>
              <w:t xml:space="preserve"> </w:t>
            </w:r>
            <w:r w:rsidRPr="00C94C33">
              <w:rPr>
                <w:spacing w:val="1"/>
              </w:rPr>
              <w:t>(95%</w:t>
            </w:r>
            <w:r w:rsidRPr="00C94C33">
              <w:rPr>
                <w:spacing w:val="-5"/>
              </w:rPr>
              <w:t xml:space="preserve"> </w:t>
            </w:r>
            <w:r w:rsidRPr="00C94C33">
              <w:rPr>
                <w:spacing w:val="-1"/>
              </w:rPr>
              <w:t>CI)</w:t>
            </w:r>
          </w:p>
        </w:tc>
        <w:tc>
          <w:tcPr>
            <w:tcW w:w="2199" w:type="dxa"/>
            <w:tcBorders>
              <w:top w:val="single" w:sz="6" w:space="0" w:color="000000"/>
              <w:left w:val="single" w:sz="6" w:space="0" w:color="000000"/>
              <w:bottom w:val="single" w:sz="6" w:space="0" w:color="000000"/>
              <w:right w:val="single" w:sz="6" w:space="0" w:color="000000"/>
            </w:tcBorders>
            <w:shd w:val="clear" w:color="auto" w:fill="auto"/>
          </w:tcPr>
          <w:p w14:paraId="77703131" w14:textId="77777777" w:rsidR="00DF61BC" w:rsidRPr="00C94C33" w:rsidRDefault="00DF61BC" w:rsidP="006263CF">
            <w:pPr>
              <w:pStyle w:val="TableHeading"/>
              <w:jc w:val="center"/>
            </w:pPr>
            <w:r w:rsidRPr="00C94C33">
              <w:t>HR</w:t>
            </w:r>
            <w:r w:rsidRPr="00C94C33">
              <w:rPr>
                <w:spacing w:val="-1"/>
              </w:rPr>
              <w:t xml:space="preserve"> </w:t>
            </w:r>
            <w:r w:rsidRPr="00C94C33">
              <w:t>(95%</w:t>
            </w:r>
            <w:r w:rsidRPr="00C94C33">
              <w:rPr>
                <w:spacing w:val="-3"/>
              </w:rPr>
              <w:t xml:space="preserve"> </w:t>
            </w:r>
            <w:r w:rsidRPr="00C94C33">
              <w:rPr>
                <w:spacing w:val="-1"/>
              </w:rPr>
              <w:t>CI)</w:t>
            </w:r>
          </w:p>
        </w:tc>
      </w:tr>
      <w:tr w:rsidR="00DF61BC" w:rsidRPr="00C94C33" w14:paraId="1A3EAE41" w14:textId="77777777" w:rsidTr="00246643">
        <w:trPr>
          <w:trHeight w:hRule="exact" w:val="341"/>
        </w:trPr>
        <w:tc>
          <w:tcPr>
            <w:tcW w:w="1455" w:type="dxa"/>
            <w:tcBorders>
              <w:top w:val="single" w:sz="6" w:space="0" w:color="000000"/>
              <w:left w:val="single" w:sz="6" w:space="0" w:color="000000"/>
              <w:bottom w:val="single" w:sz="6" w:space="0" w:color="000000"/>
              <w:right w:val="single" w:sz="6" w:space="0" w:color="000000"/>
            </w:tcBorders>
            <w:shd w:val="clear" w:color="auto" w:fill="auto"/>
          </w:tcPr>
          <w:p w14:paraId="1D774F22" w14:textId="77777777" w:rsidR="00DF61BC" w:rsidRPr="00C94C33" w:rsidRDefault="00DF61BC" w:rsidP="006263CF">
            <w:pPr>
              <w:pStyle w:val="Tabletext"/>
            </w:pPr>
            <w:r w:rsidRPr="00C94C33">
              <w:t>&lt;65</w:t>
            </w:r>
          </w:p>
        </w:tc>
        <w:tc>
          <w:tcPr>
            <w:tcW w:w="811" w:type="dxa"/>
            <w:tcBorders>
              <w:top w:val="single" w:sz="6" w:space="0" w:color="000000"/>
              <w:left w:val="single" w:sz="6" w:space="0" w:color="000000"/>
              <w:bottom w:val="single" w:sz="6" w:space="0" w:color="000000"/>
              <w:right w:val="single" w:sz="6" w:space="0" w:color="000000"/>
            </w:tcBorders>
            <w:shd w:val="clear" w:color="auto" w:fill="auto"/>
          </w:tcPr>
          <w:p w14:paraId="05239BAE" w14:textId="77777777" w:rsidR="00DF61BC" w:rsidRPr="00C94C33" w:rsidRDefault="00DF61BC" w:rsidP="006263CF">
            <w:pPr>
              <w:pStyle w:val="Tabletext"/>
            </w:pPr>
            <w:r w:rsidRPr="00C94C33">
              <w:rPr>
                <w:spacing w:val="1"/>
              </w:rPr>
              <w:t>300</w:t>
            </w:r>
          </w:p>
        </w:tc>
        <w:tc>
          <w:tcPr>
            <w:tcW w:w="2048" w:type="dxa"/>
            <w:tcBorders>
              <w:top w:val="single" w:sz="6" w:space="0" w:color="000000"/>
              <w:left w:val="single" w:sz="6" w:space="0" w:color="000000"/>
              <w:bottom w:val="single" w:sz="6" w:space="0" w:color="000000"/>
              <w:right w:val="single" w:sz="6" w:space="0" w:color="000000"/>
            </w:tcBorders>
            <w:shd w:val="clear" w:color="auto" w:fill="auto"/>
          </w:tcPr>
          <w:p w14:paraId="42180AE6" w14:textId="77777777" w:rsidR="00DF61BC" w:rsidRPr="00C94C33" w:rsidRDefault="00DF61BC" w:rsidP="006263CF">
            <w:pPr>
              <w:pStyle w:val="Tabletext"/>
            </w:pPr>
            <w:r w:rsidRPr="00C94C33">
              <w:t>1.9</w:t>
            </w:r>
            <w:r w:rsidRPr="00C94C33">
              <w:rPr>
                <w:spacing w:val="-1"/>
              </w:rPr>
              <w:t xml:space="preserve"> </w:t>
            </w:r>
            <w:r w:rsidRPr="00C94C33">
              <w:t>(1.9,</w:t>
            </w:r>
            <w:r w:rsidRPr="00C94C33">
              <w:rPr>
                <w:spacing w:val="-2"/>
              </w:rPr>
              <w:t xml:space="preserve"> </w:t>
            </w:r>
            <w:r w:rsidRPr="00C94C33">
              <w:rPr>
                <w:spacing w:val="-1"/>
              </w:rPr>
              <w:t>2.0)</w:t>
            </w:r>
          </w:p>
        </w:tc>
        <w:tc>
          <w:tcPr>
            <w:tcW w:w="842" w:type="dxa"/>
            <w:tcBorders>
              <w:top w:val="single" w:sz="6" w:space="0" w:color="000000"/>
              <w:left w:val="single" w:sz="6" w:space="0" w:color="000000"/>
              <w:bottom w:val="single" w:sz="6" w:space="0" w:color="000000"/>
              <w:right w:val="single" w:sz="6" w:space="0" w:color="000000"/>
            </w:tcBorders>
            <w:shd w:val="clear" w:color="auto" w:fill="auto"/>
          </w:tcPr>
          <w:p w14:paraId="2F66E53C" w14:textId="77777777" w:rsidR="00DF61BC" w:rsidRPr="00C94C33" w:rsidRDefault="00DF61BC" w:rsidP="006263CF">
            <w:pPr>
              <w:pStyle w:val="Tabletext"/>
            </w:pPr>
            <w:r w:rsidRPr="00C94C33">
              <w:rPr>
                <w:spacing w:val="1"/>
              </w:rPr>
              <w:t>148</w:t>
            </w:r>
          </w:p>
        </w:tc>
        <w:tc>
          <w:tcPr>
            <w:tcW w:w="2039" w:type="dxa"/>
            <w:tcBorders>
              <w:top w:val="single" w:sz="6" w:space="0" w:color="000000"/>
              <w:left w:val="single" w:sz="6" w:space="0" w:color="000000"/>
              <w:bottom w:val="single" w:sz="6" w:space="0" w:color="000000"/>
              <w:right w:val="single" w:sz="6" w:space="0" w:color="000000"/>
            </w:tcBorders>
            <w:shd w:val="clear" w:color="auto" w:fill="auto"/>
          </w:tcPr>
          <w:p w14:paraId="1974F3CF" w14:textId="77777777" w:rsidR="00DF61BC" w:rsidRPr="00C94C33" w:rsidRDefault="00DF61BC" w:rsidP="006263CF">
            <w:pPr>
              <w:pStyle w:val="Tabletext"/>
            </w:pPr>
            <w:r w:rsidRPr="00C94C33">
              <w:t>1.7</w:t>
            </w:r>
            <w:r w:rsidRPr="00C94C33">
              <w:rPr>
                <w:spacing w:val="-1"/>
              </w:rPr>
              <w:t xml:space="preserve"> </w:t>
            </w:r>
            <w:r w:rsidRPr="00C94C33">
              <w:t>(1.7,</w:t>
            </w:r>
            <w:r w:rsidRPr="00C94C33">
              <w:rPr>
                <w:spacing w:val="-2"/>
              </w:rPr>
              <w:t xml:space="preserve"> </w:t>
            </w:r>
            <w:r w:rsidRPr="00C94C33">
              <w:rPr>
                <w:spacing w:val="-1"/>
              </w:rPr>
              <w:t>1.8)</w:t>
            </w:r>
          </w:p>
        </w:tc>
        <w:tc>
          <w:tcPr>
            <w:tcW w:w="2199" w:type="dxa"/>
            <w:tcBorders>
              <w:top w:val="single" w:sz="6" w:space="0" w:color="000000"/>
              <w:left w:val="single" w:sz="6" w:space="0" w:color="000000"/>
              <w:bottom w:val="single" w:sz="6" w:space="0" w:color="000000"/>
              <w:right w:val="single" w:sz="6" w:space="0" w:color="000000"/>
            </w:tcBorders>
            <w:shd w:val="clear" w:color="auto" w:fill="auto"/>
          </w:tcPr>
          <w:p w14:paraId="36BA0AD7" w14:textId="77777777" w:rsidR="00DF61BC" w:rsidRPr="00C94C33" w:rsidRDefault="00DF61BC" w:rsidP="006263CF">
            <w:pPr>
              <w:pStyle w:val="Tabletext"/>
            </w:pPr>
            <w:r w:rsidRPr="00C94C33">
              <w:rPr>
                <w:spacing w:val="-1"/>
              </w:rPr>
              <w:t>0.52</w:t>
            </w:r>
            <w:r w:rsidRPr="00C94C33">
              <w:rPr>
                <w:spacing w:val="1"/>
              </w:rPr>
              <w:t xml:space="preserve"> </w:t>
            </w:r>
            <w:r w:rsidRPr="00C94C33">
              <w:rPr>
                <w:spacing w:val="-1"/>
              </w:rPr>
              <w:t>(0.42,</w:t>
            </w:r>
            <w:r w:rsidRPr="00C94C33">
              <w:rPr>
                <w:spacing w:val="-2"/>
              </w:rPr>
              <w:t xml:space="preserve"> </w:t>
            </w:r>
            <w:r w:rsidRPr="00C94C33">
              <w:t>0.65)</w:t>
            </w:r>
          </w:p>
        </w:tc>
      </w:tr>
      <w:tr w:rsidR="00DF61BC" w:rsidRPr="00C94C33" w14:paraId="56E26FAC" w14:textId="77777777" w:rsidTr="00246643">
        <w:trPr>
          <w:trHeight w:hRule="exact" w:val="344"/>
        </w:trPr>
        <w:tc>
          <w:tcPr>
            <w:tcW w:w="1455" w:type="dxa"/>
            <w:tcBorders>
              <w:top w:val="single" w:sz="6" w:space="0" w:color="000000"/>
              <w:left w:val="single" w:sz="6" w:space="0" w:color="000000"/>
              <w:bottom w:val="single" w:sz="6" w:space="0" w:color="000000"/>
              <w:right w:val="single" w:sz="6" w:space="0" w:color="000000"/>
            </w:tcBorders>
            <w:shd w:val="clear" w:color="auto" w:fill="auto"/>
          </w:tcPr>
          <w:p w14:paraId="71AFA669" w14:textId="77777777" w:rsidR="00DF61BC" w:rsidRPr="00C94C33" w:rsidRDefault="00DF61BC" w:rsidP="006263CF">
            <w:pPr>
              <w:pStyle w:val="Tabletext"/>
            </w:pPr>
            <w:r w:rsidRPr="00C94C33">
              <w:t>65</w:t>
            </w:r>
            <w:r w:rsidRPr="00C94C33">
              <w:rPr>
                <w:spacing w:val="1"/>
              </w:rPr>
              <w:t xml:space="preserve"> </w:t>
            </w:r>
            <w:r w:rsidRPr="00C94C33">
              <w:rPr>
                <w:spacing w:val="-1"/>
              </w:rPr>
              <w:t>-74</w:t>
            </w:r>
          </w:p>
        </w:tc>
        <w:tc>
          <w:tcPr>
            <w:tcW w:w="811" w:type="dxa"/>
            <w:tcBorders>
              <w:top w:val="single" w:sz="6" w:space="0" w:color="000000"/>
              <w:left w:val="single" w:sz="6" w:space="0" w:color="000000"/>
              <w:bottom w:val="single" w:sz="6" w:space="0" w:color="000000"/>
              <w:right w:val="single" w:sz="6" w:space="0" w:color="000000"/>
            </w:tcBorders>
            <w:shd w:val="clear" w:color="auto" w:fill="auto"/>
          </w:tcPr>
          <w:p w14:paraId="7A901030" w14:textId="77777777" w:rsidR="00DF61BC" w:rsidRPr="00C94C33" w:rsidRDefault="00DF61BC" w:rsidP="006263CF">
            <w:pPr>
              <w:pStyle w:val="Tabletext"/>
            </w:pPr>
            <w:r w:rsidRPr="00C94C33">
              <w:rPr>
                <w:spacing w:val="1"/>
              </w:rPr>
              <w:t>198</w:t>
            </w:r>
          </w:p>
        </w:tc>
        <w:tc>
          <w:tcPr>
            <w:tcW w:w="2048" w:type="dxa"/>
            <w:tcBorders>
              <w:top w:val="single" w:sz="6" w:space="0" w:color="000000"/>
              <w:left w:val="single" w:sz="6" w:space="0" w:color="000000"/>
              <w:bottom w:val="single" w:sz="6" w:space="0" w:color="000000"/>
              <w:right w:val="single" w:sz="6" w:space="0" w:color="000000"/>
            </w:tcBorders>
            <w:shd w:val="clear" w:color="auto" w:fill="auto"/>
          </w:tcPr>
          <w:p w14:paraId="03C9FFFF" w14:textId="77777777" w:rsidR="00DF61BC" w:rsidRPr="00C94C33" w:rsidRDefault="00DF61BC" w:rsidP="006263CF">
            <w:pPr>
              <w:pStyle w:val="Tabletext"/>
            </w:pPr>
            <w:r w:rsidRPr="00C94C33">
              <w:t>2.1</w:t>
            </w:r>
            <w:r w:rsidRPr="00C94C33">
              <w:rPr>
                <w:spacing w:val="-1"/>
              </w:rPr>
              <w:t xml:space="preserve"> </w:t>
            </w:r>
            <w:r w:rsidRPr="00C94C33">
              <w:t>(1.9,</w:t>
            </w:r>
            <w:r w:rsidRPr="00C94C33">
              <w:rPr>
                <w:spacing w:val="-2"/>
              </w:rPr>
              <w:t xml:space="preserve"> </w:t>
            </w:r>
            <w:r w:rsidRPr="00C94C33">
              <w:rPr>
                <w:spacing w:val="-1"/>
              </w:rPr>
              <w:t>3.5)</w:t>
            </w:r>
          </w:p>
        </w:tc>
        <w:tc>
          <w:tcPr>
            <w:tcW w:w="842" w:type="dxa"/>
            <w:tcBorders>
              <w:top w:val="single" w:sz="6" w:space="0" w:color="000000"/>
              <w:left w:val="single" w:sz="6" w:space="0" w:color="000000"/>
              <w:bottom w:val="single" w:sz="6" w:space="0" w:color="000000"/>
              <w:right w:val="single" w:sz="6" w:space="0" w:color="000000"/>
            </w:tcBorders>
            <w:shd w:val="clear" w:color="auto" w:fill="auto"/>
          </w:tcPr>
          <w:p w14:paraId="776E852B" w14:textId="77777777" w:rsidR="00DF61BC" w:rsidRPr="00C94C33" w:rsidRDefault="00DF61BC" w:rsidP="006263CF">
            <w:pPr>
              <w:pStyle w:val="Tabletext"/>
            </w:pPr>
            <w:r w:rsidRPr="00C94C33">
              <w:rPr>
                <w:spacing w:val="1"/>
              </w:rPr>
              <w:t>94</w:t>
            </w:r>
          </w:p>
        </w:tc>
        <w:tc>
          <w:tcPr>
            <w:tcW w:w="2039" w:type="dxa"/>
            <w:tcBorders>
              <w:top w:val="single" w:sz="6" w:space="0" w:color="000000"/>
              <w:left w:val="single" w:sz="6" w:space="0" w:color="000000"/>
              <w:bottom w:val="single" w:sz="6" w:space="0" w:color="000000"/>
              <w:right w:val="single" w:sz="6" w:space="0" w:color="000000"/>
            </w:tcBorders>
            <w:shd w:val="clear" w:color="auto" w:fill="auto"/>
          </w:tcPr>
          <w:p w14:paraId="65F7B0EA" w14:textId="77777777" w:rsidR="00DF61BC" w:rsidRPr="00C94C33" w:rsidRDefault="00DF61BC" w:rsidP="006263CF">
            <w:pPr>
              <w:pStyle w:val="Tabletext"/>
            </w:pPr>
            <w:r w:rsidRPr="00C94C33">
              <w:t>1.7</w:t>
            </w:r>
            <w:r w:rsidRPr="00C94C33">
              <w:rPr>
                <w:spacing w:val="-1"/>
              </w:rPr>
              <w:t xml:space="preserve"> </w:t>
            </w:r>
            <w:r w:rsidRPr="00C94C33">
              <w:t>(1.7,</w:t>
            </w:r>
            <w:r w:rsidRPr="00C94C33">
              <w:rPr>
                <w:spacing w:val="-2"/>
              </w:rPr>
              <w:t xml:space="preserve"> </w:t>
            </w:r>
            <w:r w:rsidRPr="00C94C33">
              <w:rPr>
                <w:spacing w:val="-1"/>
              </w:rPr>
              <w:t>1.8)</w:t>
            </w:r>
          </w:p>
        </w:tc>
        <w:tc>
          <w:tcPr>
            <w:tcW w:w="2199" w:type="dxa"/>
            <w:tcBorders>
              <w:top w:val="single" w:sz="6" w:space="0" w:color="000000"/>
              <w:left w:val="single" w:sz="6" w:space="0" w:color="000000"/>
              <w:bottom w:val="single" w:sz="6" w:space="0" w:color="000000"/>
              <w:right w:val="single" w:sz="6" w:space="0" w:color="000000"/>
            </w:tcBorders>
            <w:shd w:val="clear" w:color="auto" w:fill="auto"/>
          </w:tcPr>
          <w:p w14:paraId="6A4AE93B" w14:textId="77777777" w:rsidR="00DF61BC" w:rsidRPr="00C94C33" w:rsidRDefault="00DF61BC" w:rsidP="006263CF">
            <w:pPr>
              <w:pStyle w:val="Tabletext"/>
            </w:pPr>
            <w:r w:rsidRPr="00C94C33">
              <w:rPr>
                <w:spacing w:val="-1"/>
              </w:rPr>
              <w:t>0.36</w:t>
            </w:r>
            <w:r w:rsidRPr="00C94C33">
              <w:rPr>
                <w:spacing w:val="1"/>
              </w:rPr>
              <w:t xml:space="preserve"> </w:t>
            </w:r>
            <w:r w:rsidRPr="00C94C33">
              <w:rPr>
                <w:spacing w:val="-1"/>
              </w:rPr>
              <w:t>(0.27,</w:t>
            </w:r>
            <w:r w:rsidRPr="00C94C33">
              <w:rPr>
                <w:spacing w:val="-2"/>
              </w:rPr>
              <w:t xml:space="preserve"> </w:t>
            </w:r>
            <w:r w:rsidRPr="00C94C33">
              <w:t>0.47)</w:t>
            </w:r>
          </w:p>
        </w:tc>
      </w:tr>
      <w:tr w:rsidR="00DF61BC" w:rsidRPr="00C94C33" w14:paraId="11E2D815" w14:textId="77777777" w:rsidTr="00246643">
        <w:trPr>
          <w:trHeight w:hRule="exact" w:val="341"/>
        </w:trPr>
        <w:tc>
          <w:tcPr>
            <w:tcW w:w="1455" w:type="dxa"/>
            <w:tcBorders>
              <w:top w:val="single" w:sz="6" w:space="0" w:color="000000"/>
              <w:left w:val="single" w:sz="6" w:space="0" w:color="000000"/>
              <w:bottom w:val="single" w:sz="6" w:space="0" w:color="000000"/>
              <w:right w:val="single" w:sz="6" w:space="0" w:color="000000"/>
            </w:tcBorders>
            <w:shd w:val="clear" w:color="auto" w:fill="auto"/>
          </w:tcPr>
          <w:p w14:paraId="47E30143" w14:textId="77777777" w:rsidR="00DF61BC" w:rsidRPr="00C94C33" w:rsidRDefault="00DF61BC" w:rsidP="006263CF">
            <w:pPr>
              <w:pStyle w:val="Tabletext"/>
            </w:pPr>
            <w:r w:rsidRPr="00C94C33">
              <w:t>75</w:t>
            </w:r>
            <w:r w:rsidRPr="00C94C33">
              <w:rPr>
                <w:spacing w:val="-1"/>
              </w:rPr>
              <w:t xml:space="preserve"> </w:t>
            </w:r>
            <w:r w:rsidRPr="00C94C33">
              <w:t>–</w:t>
            </w:r>
            <w:r w:rsidRPr="00C94C33">
              <w:rPr>
                <w:spacing w:val="1"/>
              </w:rPr>
              <w:t xml:space="preserve"> </w:t>
            </w:r>
            <w:r w:rsidRPr="00C94C33">
              <w:rPr>
                <w:spacing w:val="-2"/>
              </w:rPr>
              <w:t>84</w:t>
            </w:r>
          </w:p>
        </w:tc>
        <w:tc>
          <w:tcPr>
            <w:tcW w:w="811" w:type="dxa"/>
            <w:tcBorders>
              <w:top w:val="single" w:sz="6" w:space="0" w:color="000000"/>
              <w:left w:val="single" w:sz="6" w:space="0" w:color="000000"/>
              <w:bottom w:val="single" w:sz="6" w:space="0" w:color="000000"/>
              <w:right w:val="single" w:sz="6" w:space="0" w:color="000000"/>
            </w:tcBorders>
            <w:shd w:val="clear" w:color="auto" w:fill="auto"/>
          </w:tcPr>
          <w:p w14:paraId="6AB430C4" w14:textId="77777777" w:rsidR="00DF61BC" w:rsidRPr="00C94C33" w:rsidRDefault="00DF61BC" w:rsidP="006263CF">
            <w:pPr>
              <w:pStyle w:val="Tabletext"/>
            </w:pPr>
            <w:r w:rsidRPr="00C94C33">
              <w:rPr>
                <w:spacing w:val="1"/>
              </w:rPr>
              <w:t>36</w:t>
            </w:r>
          </w:p>
        </w:tc>
        <w:tc>
          <w:tcPr>
            <w:tcW w:w="2048" w:type="dxa"/>
            <w:tcBorders>
              <w:top w:val="single" w:sz="6" w:space="0" w:color="000000"/>
              <w:left w:val="single" w:sz="6" w:space="0" w:color="000000"/>
              <w:bottom w:val="single" w:sz="6" w:space="0" w:color="000000"/>
              <w:right w:val="single" w:sz="6" w:space="0" w:color="000000"/>
            </w:tcBorders>
            <w:shd w:val="clear" w:color="auto" w:fill="auto"/>
          </w:tcPr>
          <w:p w14:paraId="1DBFCFB5" w14:textId="77777777" w:rsidR="00DF61BC" w:rsidRPr="00C94C33" w:rsidRDefault="00DF61BC" w:rsidP="006263CF">
            <w:pPr>
              <w:pStyle w:val="Tabletext"/>
            </w:pPr>
            <w:r w:rsidRPr="00C94C33">
              <w:t>2.0</w:t>
            </w:r>
            <w:r w:rsidRPr="00C94C33">
              <w:rPr>
                <w:spacing w:val="-1"/>
              </w:rPr>
              <w:t xml:space="preserve"> </w:t>
            </w:r>
            <w:r w:rsidRPr="00C94C33">
              <w:t>(1.7,</w:t>
            </w:r>
            <w:r w:rsidRPr="00C94C33">
              <w:rPr>
                <w:spacing w:val="-2"/>
              </w:rPr>
              <w:t xml:space="preserve"> </w:t>
            </w:r>
            <w:r w:rsidRPr="00C94C33">
              <w:rPr>
                <w:spacing w:val="-1"/>
              </w:rPr>
              <w:t>3.9)</w:t>
            </w:r>
          </w:p>
        </w:tc>
        <w:tc>
          <w:tcPr>
            <w:tcW w:w="842" w:type="dxa"/>
            <w:tcBorders>
              <w:top w:val="single" w:sz="6" w:space="0" w:color="000000"/>
              <w:left w:val="single" w:sz="6" w:space="0" w:color="000000"/>
              <w:bottom w:val="single" w:sz="6" w:space="0" w:color="000000"/>
              <w:right w:val="single" w:sz="6" w:space="0" w:color="000000"/>
            </w:tcBorders>
            <w:shd w:val="clear" w:color="auto" w:fill="auto"/>
          </w:tcPr>
          <w:p w14:paraId="629019EF" w14:textId="77777777" w:rsidR="00DF61BC" w:rsidRPr="00C94C33" w:rsidRDefault="00DF61BC" w:rsidP="006263CF">
            <w:pPr>
              <w:pStyle w:val="Tabletext"/>
            </w:pPr>
            <w:r w:rsidRPr="00C94C33">
              <w:rPr>
                <w:spacing w:val="1"/>
              </w:rPr>
              <w:t>24</w:t>
            </w:r>
          </w:p>
        </w:tc>
        <w:tc>
          <w:tcPr>
            <w:tcW w:w="2039" w:type="dxa"/>
            <w:tcBorders>
              <w:top w:val="single" w:sz="6" w:space="0" w:color="000000"/>
              <w:left w:val="single" w:sz="6" w:space="0" w:color="000000"/>
              <w:bottom w:val="single" w:sz="6" w:space="0" w:color="000000"/>
              <w:right w:val="single" w:sz="6" w:space="0" w:color="000000"/>
            </w:tcBorders>
            <w:shd w:val="clear" w:color="auto" w:fill="auto"/>
          </w:tcPr>
          <w:p w14:paraId="4D3FD518" w14:textId="77777777" w:rsidR="00DF61BC" w:rsidRPr="00C94C33" w:rsidRDefault="00DF61BC" w:rsidP="006263CF">
            <w:pPr>
              <w:pStyle w:val="Tabletext"/>
            </w:pPr>
            <w:r w:rsidRPr="00C94C33">
              <w:t>1.9</w:t>
            </w:r>
            <w:r w:rsidRPr="00C94C33">
              <w:rPr>
                <w:spacing w:val="-1"/>
              </w:rPr>
              <w:t xml:space="preserve"> </w:t>
            </w:r>
            <w:r w:rsidRPr="00C94C33">
              <w:t>(1.8,</w:t>
            </w:r>
            <w:r w:rsidRPr="00C94C33">
              <w:rPr>
                <w:spacing w:val="-2"/>
              </w:rPr>
              <w:t xml:space="preserve"> </w:t>
            </w:r>
            <w:r w:rsidRPr="00C94C33">
              <w:rPr>
                <w:spacing w:val="-1"/>
              </w:rPr>
              <w:t>1.9)</w:t>
            </w:r>
          </w:p>
        </w:tc>
        <w:tc>
          <w:tcPr>
            <w:tcW w:w="2199" w:type="dxa"/>
            <w:tcBorders>
              <w:top w:val="single" w:sz="6" w:space="0" w:color="000000"/>
              <w:left w:val="single" w:sz="6" w:space="0" w:color="000000"/>
              <w:bottom w:val="single" w:sz="6" w:space="0" w:color="000000"/>
              <w:right w:val="single" w:sz="6" w:space="0" w:color="000000"/>
            </w:tcBorders>
            <w:shd w:val="clear" w:color="auto" w:fill="auto"/>
          </w:tcPr>
          <w:p w14:paraId="24DEC972" w14:textId="77777777" w:rsidR="00DF61BC" w:rsidRPr="00C94C33" w:rsidRDefault="00DF61BC" w:rsidP="006263CF">
            <w:pPr>
              <w:pStyle w:val="Tabletext"/>
            </w:pPr>
            <w:r w:rsidRPr="00C94C33">
              <w:rPr>
                <w:spacing w:val="-1"/>
              </w:rPr>
              <w:t>0.66</w:t>
            </w:r>
            <w:r w:rsidRPr="00C94C33">
              <w:rPr>
                <w:spacing w:val="1"/>
              </w:rPr>
              <w:t xml:space="preserve"> </w:t>
            </w:r>
            <w:r w:rsidRPr="00C94C33">
              <w:rPr>
                <w:spacing w:val="-1"/>
              </w:rPr>
              <w:t>(0.33,</w:t>
            </w:r>
            <w:r w:rsidRPr="00C94C33">
              <w:rPr>
                <w:spacing w:val="-2"/>
              </w:rPr>
              <w:t xml:space="preserve"> </w:t>
            </w:r>
            <w:r w:rsidRPr="00C94C33">
              <w:t>1.32)</w:t>
            </w:r>
          </w:p>
        </w:tc>
      </w:tr>
    </w:tbl>
    <w:p w14:paraId="468863E9" w14:textId="77777777" w:rsidR="00B81A4F" w:rsidRPr="00C94C33" w:rsidRDefault="00B81A4F" w:rsidP="00B81A4F">
      <w:pPr>
        <w:pStyle w:val="Heading5"/>
      </w:pPr>
      <w:r w:rsidRPr="00C94C33">
        <w:t>Gender</w:t>
      </w:r>
    </w:p>
    <w:p w14:paraId="796DCA04" w14:textId="4FBC61EC" w:rsidR="00DF61BC" w:rsidRPr="00C94C33" w:rsidRDefault="00DF61BC" w:rsidP="00DF61BC">
      <w:r w:rsidRPr="00C94C33">
        <w:t>In the subgroup analyses based on gender, median OS was longer in the TAS-102 arm than in the placebo arm for both male patients (7.3</w:t>
      </w:r>
      <w:r w:rsidR="00C11183">
        <w:t xml:space="preserve"> versus </w:t>
      </w:r>
      <w:r w:rsidRPr="00C94C33">
        <w:t xml:space="preserve">5.0 months; HR = 0.69 </w:t>
      </w:r>
      <w:r w:rsidR="00A0007E" w:rsidRPr="00C94C33">
        <w:t>(</w:t>
      </w:r>
      <w:r w:rsidRPr="00C94C33">
        <w:t>95% CI: 0.56, 0.87</w:t>
      </w:r>
      <w:r w:rsidR="00A0007E" w:rsidRPr="00C94C33">
        <w:t>)</w:t>
      </w:r>
      <w:r w:rsidRPr="00C94C33">
        <w:t>), and female patients (6.8</w:t>
      </w:r>
      <w:r w:rsidR="00C11183">
        <w:t xml:space="preserve"> versus </w:t>
      </w:r>
      <w:r w:rsidRPr="00C94C33">
        <w:t xml:space="preserve">5.6 months; HR = 0.68 </w:t>
      </w:r>
      <w:r w:rsidR="00A0007E" w:rsidRPr="00C94C33">
        <w:t>(</w:t>
      </w:r>
      <w:r w:rsidRPr="00C94C33">
        <w:t>95% CI: 0.51, 0.90</w:t>
      </w:r>
      <w:r w:rsidR="00A0007E" w:rsidRPr="00C94C33">
        <w:t>)</w:t>
      </w:r>
      <w:r w:rsidRPr="00C94C33">
        <w:t>).</w:t>
      </w:r>
    </w:p>
    <w:p w14:paraId="03EBFCA2" w14:textId="77777777" w:rsidR="00B81A4F" w:rsidRPr="00C94C33" w:rsidRDefault="00B81A4F" w:rsidP="00955252">
      <w:pPr>
        <w:pStyle w:val="Heading5"/>
      </w:pPr>
      <w:r w:rsidRPr="00C94C33">
        <w:t>Race</w:t>
      </w:r>
    </w:p>
    <w:p w14:paraId="0F478C06" w14:textId="350A0BE9" w:rsidR="00DF61BC" w:rsidRPr="00C94C33" w:rsidRDefault="00DF61BC" w:rsidP="00DF61BC">
      <w:r w:rsidRPr="00C94C33">
        <w:t>In the subgroup analyses based on race, median OS was longer in the TAS-102 arm than in the placebo arm for Caucasian/White patients (6.3</w:t>
      </w:r>
      <w:r w:rsidR="00C11183">
        <w:t xml:space="preserve"> versus </w:t>
      </w:r>
      <w:r w:rsidRPr="00C94C33">
        <w:t xml:space="preserve">4.9 months; HR = 0.66 </w:t>
      </w:r>
      <w:r w:rsidR="00A0007E" w:rsidRPr="00C94C33">
        <w:t>(</w:t>
      </w:r>
      <w:r w:rsidRPr="00C94C33">
        <w:t>95% CI: 0.52, 0.83</w:t>
      </w:r>
      <w:r w:rsidR="00A0007E" w:rsidRPr="00C94C33">
        <w:t>)</w:t>
      </w:r>
      <w:r w:rsidRPr="00C94C33">
        <w:t>), and Asian/Oriental patients (7.8</w:t>
      </w:r>
      <w:r w:rsidR="00C11183">
        <w:t xml:space="preserve"> versus </w:t>
      </w:r>
      <w:r w:rsidRPr="00C94C33">
        <w:t xml:space="preserve">6.3 months; HR = 0.75 </w:t>
      </w:r>
      <w:r w:rsidR="00A0007E" w:rsidRPr="00C94C33">
        <w:t>(</w:t>
      </w:r>
      <w:r w:rsidRPr="00C94C33">
        <w:t>0.57, 0.98</w:t>
      </w:r>
      <w:r w:rsidR="00A0007E" w:rsidRPr="00C94C33">
        <w:t>)</w:t>
      </w:r>
      <w:r w:rsidRPr="00C94C33">
        <w:t>). There were too few Black patients to make a meaningful comparison on OS between the two treatment groups.</w:t>
      </w:r>
    </w:p>
    <w:p w14:paraId="055A0AB8" w14:textId="77777777" w:rsidR="00AA7141" w:rsidRDefault="00DF61BC" w:rsidP="00955252">
      <w:pPr>
        <w:pStyle w:val="Heading3"/>
      </w:pPr>
      <w:bookmarkStart w:id="277" w:name="_Toc470948534"/>
      <w:bookmarkStart w:id="278" w:name="_Toc510016889"/>
      <w:r w:rsidRPr="00C94C33">
        <w:t>Study J003-10040030 – Supportive study</w:t>
      </w:r>
      <w:bookmarkEnd w:id="277"/>
      <w:bookmarkEnd w:id="278"/>
    </w:p>
    <w:p w14:paraId="3CBC7885" w14:textId="444E27CF" w:rsidR="00DF61BC" w:rsidRPr="00C94C33" w:rsidRDefault="00DF61BC" w:rsidP="00955252">
      <w:pPr>
        <w:pStyle w:val="Heading4"/>
      </w:pPr>
      <w:bookmarkStart w:id="279" w:name="_Toc470948535"/>
      <w:r w:rsidRPr="00C94C33">
        <w:t>Study design, objectives, locations and dates</w:t>
      </w:r>
      <w:bookmarkEnd w:id="279"/>
    </w:p>
    <w:p w14:paraId="25684AA7" w14:textId="77777777" w:rsidR="00DF61BC" w:rsidRPr="00C94C33" w:rsidRDefault="00DF61BC" w:rsidP="00955252">
      <w:pPr>
        <w:pStyle w:val="Heading5"/>
      </w:pPr>
      <w:bookmarkStart w:id="280" w:name="_Toc470948536"/>
      <w:r w:rsidRPr="00C94C33">
        <w:t>Title</w:t>
      </w:r>
      <w:bookmarkEnd w:id="280"/>
    </w:p>
    <w:p w14:paraId="2D04B552" w14:textId="211D36B1" w:rsidR="00DF61BC" w:rsidRPr="00C94C33" w:rsidRDefault="000A1A7B" w:rsidP="00DF61BC">
      <w:pPr>
        <w:autoSpaceDE w:val="0"/>
        <w:autoSpaceDN w:val="0"/>
        <w:adjustRightInd w:val="0"/>
        <w:rPr>
          <w:rFonts w:asciiTheme="minorHAnsi" w:hAnsiTheme="minorHAnsi"/>
          <w:b/>
        </w:rPr>
      </w:pPr>
      <w:r>
        <w:rPr>
          <w:rFonts w:asciiTheme="minorHAnsi" w:hAnsiTheme="minorHAnsi"/>
        </w:rPr>
        <w:t>A p</w:t>
      </w:r>
      <w:r w:rsidR="00DF61BC" w:rsidRPr="00C94C33">
        <w:rPr>
          <w:rFonts w:asciiTheme="minorHAnsi" w:hAnsiTheme="minorHAnsi"/>
        </w:rPr>
        <w:t>lacebo</w:t>
      </w:r>
      <w:r w:rsidR="002E110F">
        <w:rPr>
          <w:rFonts w:asciiTheme="minorHAnsi" w:hAnsiTheme="minorHAnsi"/>
        </w:rPr>
        <w:t xml:space="preserve"> c</w:t>
      </w:r>
      <w:r w:rsidR="00DF61BC" w:rsidRPr="00C94C33">
        <w:rPr>
          <w:rFonts w:asciiTheme="minorHAnsi" w:hAnsiTheme="minorHAnsi"/>
        </w:rPr>
        <w:t xml:space="preserve">ontrolled, </w:t>
      </w:r>
      <w:r w:rsidR="002E110F">
        <w:rPr>
          <w:rFonts w:asciiTheme="minorHAnsi" w:hAnsiTheme="minorHAnsi"/>
        </w:rPr>
        <w:t>m</w:t>
      </w:r>
      <w:r w:rsidR="00DF61BC" w:rsidRPr="00C94C33">
        <w:rPr>
          <w:rFonts w:asciiTheme="minorHAnsi" w:hAnsiTheme="minorHAnsi"/>
        </w:rPr>
        <w:t>ulticentr</w:t>
      </w:r>
      <w:r w:rsidR="002E110F">
        <w:rPr>
          <w:rFonts w:asciiTheme="minorHAnsi" w:hAnsiTheme="minorHAnsi"/>
        </w:rPr>
        <w:t>e</w:t>
      </w:r>
      <w:r w:rsidR="00DF61BC" w:rsidRPr="00C94C33">
        <w:rPr>
          <w:rFonts w:asciiTheme="minorHAnsi" w:hAnsiTheme="minorHAnsi"/>
        </w:rPr>
        <w:t xml:space="preserve">, </w:t>
      </w:r>
      <w:r w:rsidR="002E110F">
        <w:rPr>
          <w:rFonts w:asciiTheme="minorHAnsi" w:hAnsiTheme="minorHAnsi"/>
        </w:rPr>
        <w:t>d</w:t>
      </w:r>
      <w:r w:rsidR="00DF61BC" w:rsidRPr="00C94C33">
        <w:rPr>
          <w:rFonts w:asciiTheme="minorHAnsi" w:hAnsiTheme="minorHAnsi"/>
        </w:rPr>
        <w:t>ouble</w:t>
      </w:r>
      <w:r w:rsidR="002E110F">
        <w:rPr>
          <w:rFonts w:asciiTheme="minorHAnsi" w:hAnsiTheme="minorHAnsi"/>
        </w:rPr>
        <w:t xml:space="preserve"> b</w:t>
      </w:r>
      <w:r w:rsidR="00DF61BC" w:rsidRPr="00C94C33">
        <w:rPr>
          <w:rFonts w:asciiTheme="minorHAnsi" w:hAnsiTheme="minorHAnsi"/>
        </w:rPr>
        <w:t xml:space="preserve">lind, </w:t>
      </w:r>
      <w:r w:rsidR="002E110F">
        <w:rPr>
          <w:rFonts w:asciiTheme="minorHAnsi" w:hAnsiTheme="minorHAnsi"/>
        </w:rPr>
        <w:t>r</w:t>
      </w:r>
      <w:r w:rsidR="00DF61BC" w:rsidRPr="00C94C33">
        <w:rPr>
          <w:rFonts w:asciiTheme="minorHAnsi" w:hAnsiTheme="minorHAnsi"/>
        </w:rPr>
        <w:t>andomi</w:t>
      </w:r>
      <w:r w:rsidR="002E110F">
        <w:rPr>
          <w:rFonts w:asciiTheme="minorHAnsi" w:hAnsiTheme="minorHAnsi"/>
        </w:rPr>
        <w:t>s</w:t>
      </w:r>
      <w:r w:rsidR="00DF61BC" w:rsidRPr="00C94C33">
        <w:rPr>
          <w:rFonts w:asciiTheme="minorHAnsi" w:hAnsiTheme="minorHAnsi"/>
        </w:rPr>
        <w:t xml:space="preserve">ed, </w:t>
      </w:r>
      <w:r w:rsidR="00842E8F" w:rsidRPr="00C94C33">
        <w:rPr>
          <w:rFonts w:asciiTheme="minorHAnsi" w:hAnsiTheme="minorHAnsi"/>
        </w:rPr>
        <w:t>Phase II</w:t>
      </w:r>
      <w:r w:rsidR="00DF61BC" w:rsidRPr="00C94C33">
        <w:rPr>
          <w:rFonts w:asciiTheme="minorHAnsi" w:hAnsiTheme="minorHAnsi"/>
        </w:rPr>
        <w:t xml:space="preserve"> Study of TAS-I02 in </w:t>
      </w:r>
      <w:r w:rsidR="002E110F">
        <w:rPr>
          <w:rFonts w:asciiTheme="minorHAnsi" w:hAnsiTheme="minorHAnsi"/>
        </w:rPr>
        <w:t>p</w:t>
      </w:r>
      <w:r w:rsidR="002E110F" w:rsidRPr="00C94C33">
        <w:rPr>
          <w:rFonts w:asciiTheme="minorHAnsi" w:hAnsiTheme="minorHAnsi"/>
        </w:rPr>
        <w:t xml:space="preserve">atients </w:t>
      </w:r>
      <w:r w:rsidR="00DF61BC" w:rsidRPr="00C94C33">
        <w:rPr>
          <w:rFonts w:asciiTheme="minorHAnsi" w:hAnsiTheme="minorHAnsi"/>
        </w:rPr>
        <w:t xml:space="preserve">with </w:t>
      </w:r>
      <w:r w:rsidR="002E110F" w:rsidRPr="00C94C33">
        <w:rPr>
          <w:rFonts w:asciiTheme="minorHAnsi" w:hAnsiTheme="minorHAnsi"/>
        </w:rPr>
        <w:t>unresectable advanced or recurrent colorectal cancer who have had 2 or more chemotherapy regimens and who are refractory or intolerant to fluoropyrimidine, lrinotecan, and oxaliplatin.</w:t>
      </w:r>
    </w:p>
    <w:p w14:paraId="150770EA" w14:textId="77777777" w:rsidR="00AA7141" w:rsidRDefault="00DF61BC" w:rsidP="00955252">
      <w:pPr>
        <w:pStyle w:val="Heading5"/>
      </w:pPr>
      <w:bookmarkStart w:id="281" w:name="_Toc470948537"/>
      <w:r w:rsidRPr="00C94C33">
        <w:t>Locations and Dates</w:t>
      </w:r>
      <w:bookmarkEnd w:id="281"/>
    </w:p>
    <w:p w14:paraId="0AC07231" w14:textId="6A59E086" w:rsidR="00DF61BC" w:rsidRPr="00C94C33" w:rsidRDefault="00DF61BC" w:rsidP="00DF61BC">
      <w:pPr>
        <w:rPr>
          <w:rFonts w:asciiTheme="minorHAnsi" w:hAnsiTheme="minorHAnsi"/>
        </w:rPr>
      </w:pPr>
      <w:r w:rsidRPr="00C94C33">
        <w:rPr>
          <w:rFonts w:asciiTheme="minorHAnsi" w:hAnsiTheme="minorHAnsi"/>
        </w:rPr>
        <w:t>The CSR for this study was provided as a translation from Japanese. The study was undertaken at 19 sites in Japan. The first patient was enrolled on 25 August 2009 and the data cut</w:t>
      </w:r>
      <w:r w:rsidR="000A1A7B">
        <w:rPr>
          <w:rFonts w:asciiTheme="minorHAnsi" w:hAnsiTheme="minorHAnsi"/>
        </w:rPr>
        <w:t xml:space="preserve"> </w:t>
      </w:r>
      <w:r w:rsidRPr="00C94C33">
        <w:rPr>
          <w:rFonts w:asciiTheme="minorHAnsi" w:hAnsiTheme="minorHAnsi"/>
        </w:rPr>
        <w:t xml:space="preserve">off date for the final CSR was 13 April 2011. The final study report was signed on 31 August 2011. The study was sponsored by Taiho Pharmaceutical Co., Ltd., Tokyo, Japan. The study was stated to have been conducted in compliance with the </w:t>
      </w:r>
      <w:r w:rsidR="00842E8F" w:rsidRPr="00C94C33">
        <w:rPr>
          <w:rFonts w:asciiTheme="minorHAnsi" w:hAnsiTheme="minorHAnsi"/>
        </w:rPr>
        <w:t>‘</w:t>
      </w:r>
      <w:r w:rsidRPr="00C94C33">
        <w:rPr>
          <w:rFonts w:asciiTheme="minorHAnsi" w:hAnsiTheme="minorHAnsi"/>
        </w:rPr>
        <w:t xml:space="preserve">standards related to the implementation of clinical drug trials </w:t>
      </w:r>
      <w:r w:rsidRPr="00C94C33">
        <w:rPr>
          <w:rFonts w:asciiTheme="minorHAnsi" w:hAnsiTheme="minorHAnsi"/>
        </w:rPr>
        <w:lastRenderedPageBreak/>
        <w:t>(Good Clinical Practice</w:t>
      </w:r>
      <w:r w:rsidR="000A1A7B">
        <w:rPr>
          <w:rFonts w:asciiTheme="minorHAnsi" w:hAnsiTheme="minorHAnsi"/>
        </w:rPr>
        <w:t xml:space="preserve"> (</w:t>
      </w:r>
      <w:r w:rsidRPr="00C94C33">
        <w:rPr>
          <w:rFonts w:asciiTheme="minorHAnsi" w:hAnsiTheme="minorHAnsi"/>
        </w:rPr>
        <w:t>GCP)</w:t>
      </w:r>
      <w:r w:rsidR="00842E8F" w:rsidRPr="00C94C33">
        <w:rPr>
          <w:rFonts w:asciiTheme="minorHAnsi" w:hAnsiTheme="minorHAnsi"/>
        </w:rPr>
        <w:t>’</w:t>
      </w:r>
      <w:r w:rsidRPr="00C94C33">
        <w:rPr>
          <w:rFonts w:asciiTheme="minorHAnsi" w:hAnsiTheme="minorHAnsi"/>
        </w:rPr>
        <w:t xml:space="preserve"> on the basis of the Declaration of Helsinki. The study was undertaken prior to RE</w:t>
      </w:r>
      <w:r w:rsidR="00F01110" w:rsidRPr="00C94C33">
        <w:rPr>
          <w:rFonts w:asciiTheme="minorHAnsi" w:hAnsiTheme="minorHAnsi"/>
        </w:rPr>
        <w:t>C</w:t>
      </w:r>
      <w:r w:rsidRPr="00C94C33">
        <w:rPr>
          <w:rFonts w:asciiTheme="minorHAnsi" w:hAnsiTheme="minorHAnsi"/>
        </w:rPr>
        <w:t>OUR</w:t>
      </w:r>
      <w:r w:rsidR="00F01110" w:rsidRPr="00C94C33">
        <w:rPr>
          <w:rFonts w:asciiTheme="minorHAnsi" w:hAnsiTheme="minorHAnsi"/>
        </w:rPr>
        <w:t>S</w:t>
      </w:r>
      <w:r w:rsidRPr="00C94C33">
        <w:rPr>
          <w:rFonts w:asciiTheme="minorHAnsi" w:hAnsiTheme="minorHAnsi"/>
        </w:rPr>
        <w:t>E, and appears to have formed the basis for approval of TAS-102 in Japan.</w:t>
      </w:r>
    </w:p>
    <w:p w14:paraId="13E97475" w14:textId="77777777" w:rsidR="00DF61BC" w:rsidRPr="00C94C33" w:rsidRDefault="00DF61BC" w:rsidP="00955252">
      <w:pPr>
        <w:pStyle w:val="Heading5"/>
      </w:pPr>
      <w:bookmarkStart w:id="282" w:name="_Toc470948538"/>
      <w:r w:rsidRPr="00C94C33">
        <w:t>Objectives</w:t>
      </w:r>
      <w:bookmarkEnd w:id="282"/>
    </w:p>
    <w:p w14:paraId="7E2557E2" w14:textId="77777777" w:rsidR="00DF61BC" w:rsidRPr="00C94C33" w:rsidRDefault="00DF61BC" w:rsidP="00DF61BC">
      <w:r w:rsidRPr="00C94C33">
        <w:t>The primary objective was to evaluate and compare overall survival (OS) following treatment with TAS-102 or placebo in patients with unresectable advanced or recurrent colorectal cancer who have had 2 or more chemotherapy regimens and who are refractory or intolerant to fluoropyrimidine, irinotecan, and oxaliplatin.</w:t>
      </w:r>
    </w:p>
    <w:p w14:paraId="79A97FD2" w14:textId="4CCD8C37" w:rsidR="00DF61BC" w:rsidRPr="00C94C33" w:rsidRDefault="00DF61BC" w:rsidP="00DF61BC">
      <w:r w:rsidRPr="00C94C33">
        <w:t>The secondary objectives were to evaluate and compare the TAS-102 group and the placebo group with respect to the following: response rate (RR); duration of response (DR); disease control rate (DCR); progression</w:t>
      </w:r>
      <w:r w:rsidR="000A1A7B">
        <w:t xml:space="preserve"> </w:t>
      </w:r>
      <w:r w:rsidRPr="00C94C33">
        <w:t>free survival (PFS); time to treatment failure (TTF); adverse event profile and tolerability; and measurement for codon 12 and 13 mutations of the KRAS gene in tumour tissue and effect of TAS-102 with respect to the existence of a KRAS mutation.</w:t>
      </w:r>
    </w:p>
    <w:p w14:paraId="76998BE7" w14:textId="0488F4A6" w:rsidR="00DF61BC" w:rsidRPr="00C94C33" w:rsidRDefault="00DF61BC" w:rsidP="00DF61BC">
      <w:r w:rsidRPr="00C94C33">
        <w:t>The exploratory objectives were to assess the effect of FTD on DNA using the comet assay method, and to assess the correlation between the volume of TK1 and TP protein tumour tissue and clinical effects.</w:t>
      </w:r>
    </w:p>
    <w:p w14:paraId="2404401E" w14:textId="77777777" w:rsidR="00AA7141" w:rsidRDefault="00DF61BC" w:rsidP="00955252">
      <w:pPr>
        <w:pStyle w:val="Heading5"/>
      </w:pPr>
      <w:bookmarkStart w:id="283" w:name="_Toc470948539"/>
      <w:r w:rsidRPr="00C94C33">
        <w:t>Design</w:t>
      </w:r>
      <w:bookmarkEnd w:id="283"/>
    </w:p>
    <w:p w14:paraId="296512A7" w14:textId="77777777" w:rsidR="00AA7141" w:rsidRDefault="00DF61BC" w:rsidP="00DF61BC">
      <w:pPr>
        <w:autoSpaceDE w:val="0"/>
        <w:autoSpaceDN w:val="0"/>
        <w:adjustRightInd w:val="0"/>
        <w:rPr>
          <w:rFonts w:asciiTheme="minorHAnsi" w:hAnsiTheme="minorHAnsi"/>
          <w:color w:val="000000"/>
        </w:rPr>
      </w:pPr>
      <w:r w:rsidRPr="00C94C33">
        <w:rPr>
          <w:rFonts w:asciiTheme="minorHAnsi" w:hAnsiTheme="minorHAnsi"/>
        </w:rPr>
        <w:t>The study was a double</w:t>
      </w:r>
      <w:r w:rsidR="000A1A7B">
        <w:rPr>
          <w:rFonts w:asciiTheme="minorHAnsi" w:hAnsiTheme="minorHAnsi"/>
        </w:rPr>
        <w:t xml:space="preserve"> </w:t>
      </w:r>
      <w:r w:rsidRPr="00C94C33">
        <w:rPr>
          <w:rFonts w:asciiTheme="minorHAnsi" w:hAnsiTheme="minorHAnsi"/>
        </w:rPr>
        <w:t>blind, placebo</w:t>
      </w:r>
      <w:r w:rsidR="000A1A7B">
        <w:rPr>
          <w:rFonts w:asciiTheme="minorHAnsi" w:hAnsiTheme="minorHAnsi"/>
        </w:rPr>
        <w:t xml:space="preserve"> </w:t>
      </w:r>
      <w:r w:rsidRPr="00C94C33">
        <w:rPr>
          <w:rFonts w:asciiTheme="minorHAnsi" w:hAnsiTheme="minorHAnsi"/>
        </w:rPr>
        <w:t>controlled comparative, Phase II study undertaken in multiple centres in Japan. The study was designed to evaluate the efficacy and safety of TAS-102 administered at a dose of 70 mg/m</w:t>
      </w:r>
      <w:r w:rsidRPr="00C94C33">
        <w:rPr>
          <w:rFonts w:asciiTheme="minorHAnsi" w:hAnsiTheme="minorHAnsi"/>
          <w:vertAlign w:val="superscript"/>
        </w:rPr>
        <w:t>2</w:t>
      </w:r>
      <w:r w:rsidRPr="00C94C33">
        <w:rPr>
          <w:rFonts w:asciiTheme="minorHAnsi" w:hAnsiTheme="minorHAnsi"/>
        </w:rPr>
        <w:t xml:space="preserve"> per day in patients with unresectable advanced/recurrent colorectal cancer patients who had received 2 or more chemotherapy regimens and were refractory or intolerant to fluoropyrimidine, irinotecan, and oxaliplatin. </w:t>
      </w:r>
      <w:r w:rsidRPr="00C94C33">
        <w:rPr>
          <w:rFonts w:asciiTheme="minorHAnsi" w:hAnsiTheme="minorHAnsi"/>
          <w:color w:val="000000"/>
        </w:rPr>
        <w:t xml:space="preserve">Patients who met </w:t>
      </w:r>
      <w:r w:rsidRPr="00C94C33">
        <w:rPr>
          <w:rFonts w:asciiTheme="minorHAnsi" w:hAnsiTheme="minorHAnsi"/>
        </w:rPr>
        <w:t xml:space="preserve">the </w:t>
      </w:r>
      <w:r w:rsidRPr="00C94C33">
        <w:rPr>
          <w:rFonts w:asciiTheme="minorHAnsi" w:hAnsiTheme="minorHAnsi"/>
          <w:color w:val="000000"/>
        </w:rPr>
        <w:t>eligibility criteria were randomised (2:1) to TAS-102 or placebo, with randomisation being stratified by ECOG performance status (PS = 0</w:t>
      </w:r>
      <w:r w:rsidR="00C11183">
        <w:rPr>
          <w:rFonts w:asciiTheme="minorHAnsi" w:hAnsiTheme="minorHAnsi"/>
          <w:color w:val="000000"/>
        </w:rPr>
        <w:t xml:space="preserve"> versus </w:t>
      </w:r>
      <w:r w:rsidRPr="00C94C33">
        <w:rPr>
          <w:rFonts w:asciiTheme="minorHAnsi" w:hAnsiTheme="minorHAnsi"/>
          <w:color w:val="000000"/>
        </w:rPr>
        <w:t>PS = 1/2).</w:t>
      </w:r>
    </w:p>
    <w:p w14:paraId="79C9D4B8" w14:textId="521C7944"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Tumour assessments were performed every 4 weeks for the first 12 weeks of study treatment and thereafter every 8 weeks during study treatment. Tumour response was assessed by an independent review committee according to RECIST criteria (version 1.0), as well as by investigators. The protocol stated that the independent assessment of the anti-tumour effect using RECIST criteria for radiological imaging were to be used for the primary analysis. After the end of treatment, patients were followed for survival at scheduled 12-we</w:t>
      </w:r>
      <w:r w:rsidR="00246643" w:rsidRPr="00C94C33">
        <w:rPr>
          <w:rFonts w:asciiTheme="minorHAnsi" w:hAnsiTheme="minorHAnsi"/>
        </w:rPr>
        <w:t>ek intervals</w:t>
      </w:r>
      <w:r w:rsidRPr="00C94C33">
        <w:rPr>
          <w:rFonts w:asciiTheme="minorHAnsi" w:hAnsiTheme="minorHAnsi"/>
        </w:rPr>
        <w:t>.</w:t>
      </w:r>
    </w:p>
    <w:p w14:paraId="4EF28FC7" w14:textId="036A0B56" w:rsidR="00C1052D" w:rsidRPr="00C94C33" w:rsidRDefault="00DF61BC" w:rsidP="00DF61BC">
      <w:pPr>
        <w:autoSpaceDE w:val="0"/>
        <w:autoSpaceDN w:val="0"/>
        <w:adjustRightInd w:val="0"/>
        <w:rPr>
          <w:rFonts w:asciiTheme="minorHAnsi" w:hAnsiTheme="minorHAnsi"/>
          <w:color w:val="000000"/>
        </w:rPr>
      </w:pPr>
      <w:r w:rsidRPr="00C94C33">
        <w:rPr>
          <w:rFonts w:asciiTheme="minorHAnsi" w:hAnsiTheme="minorHAnsi"/>
          <w:color w:val="000000"/>
        </w:rPr>
        <w:t>Treatment with the investigational drugs was initiated within 8 days of randomisation and continued until specified discontinuation criteria occurred: i.e.</w:t>
      </w:r>
      <w:r w:rsidR="00C1052D" w:rsidRPr="00C94C33">
        <w:rPr>
          <w:rFonts w:asciiTheme="minorHAnsi" w:hAnsiTheme="minorHAnsi"/>
          <w:color w:val="000000"/>
        </w:rPr>
        <w:t xml:space="preserve"> when;</w:t>
      </w:r>
    </w:p>
    <w:p w14:paraId="4A82A5BA" w14:textId="6BC374E7" w:rsidR="00C1052D" w:rsidRPr="00C94C33" w:rsidRDefault="00C1052D" w:rsidP="00246643">
      <w:pPr>
        <w:pStyle w:val="ListBullet"/>
      </w:pPr>
      <w:r w:rsidRPr="00C94C33">
        <w:t>C</w:t>
      </w:r>
      <w:r w:rsidR="00DF61BC" w:rsidRPr="00C94C33">
        <w:t>lear tumour growth (determined to be PD in the RECIST evaluation) or clinical worsening</w:t>
      </w:r>
      <w:r w:rsidR="00DF61BC" w:rsidRPr="00C94C33">
        <w:rPr>
          <w:color w:val="000000"/>
        </w:rPr>
        <w:t xml:space="preserve"> </w:t>
      </w:r>
      <w:r w:rsidR="006263CF">
        <w:t>was observed;</w:t>
      </w:r>
    </w:p>
    <w:p w14:paraId="111CA1A5" w14:textId="009BA012" w:rsidR="00C1052D" w:rsidRPr="00C94C33" w:rsidRDefault="00C1052D" w:rsidP="00246643">
      <w:pPr>
        <w:pStyle w:val="ListBullet"/>
      </w:pPr>
      <w:r w:rsidRPr="00C94C33">
        <w:t>A</w:t>
      </w:r>
      <w:r w:rsidR="00DF61BC" w:rsidRPr="00C94C33">
        <w:t>n adverse event was observed that made cont</w:t>
      </w:r>
      <w:r w:rsidR="006263CF">
        <w:t>inued administration difficult;</w:t>
      </w:r>
    </w:p>
    <w:p w14:paraId="1271FEF3" w14:textId="758D967B" w:rsidR="00C1052D" w:rsidRPr="00C94C33" w:rsidRDefault="00C1052D" w:rsidP="00246643">
      <w:pPr>
        <w:pStyle w:val="ListBullet"/>
      </w:pPr>
      <w:r w:rsidRPr="00C94C33">
        <w:t>A</w:t>
      </w:r>
      <w:r w:rsidR="00DF61BC" w:rsidRPr="00C94C33">
        <w:t>n interruption in treatment c</w:t>
      </w:r>
      <w:r w:rsidR="006263CF">
        <w:t>ontinued for more than 30 days;</w:t>
      </w:r>
    </w:p>
    <w:p w14:paraId="3A4E791C" w14:textId="5BF3A7F0" w:rsidR="00C1052D" w:rsidRPr="00C94C33" w:rsidRDefault="00C1052D" w:rsidP="00246643">
      <w:pPr>
        <w:pStyle w:val="ListBullet"/>
      </w:pPr>
      <w:r w:rsidRPr="00C94C33">
        <w:t>T</w:t>
      </w:r>
      <w:r w:rsidR="00DF61BC" w:rsidRPr="00C94C33">
        <w:t>he patient withdr</w:t>
      </w:r>
      <w:r w:rsidR="006263CF">
        <w:t>ew consent;</w:t>
      </w:r>
    </w:p>
    <w:p w14:paraId="1EA34A22" w14:textId="77777777" w:rsidR="00AA7141" w:rsidRDefault="00C1052D" w:rsidP="00246643">
      <w:pPr>
        <w:pStyle w:val="ListBullet"/>
      </w:pPr>
      <w:r w:rsidRPr="00C94C33">
        <w:t>C</w:t>
      </w:r>
      <w:r w:rsidR="00DF61BC" w:rsidRPr="00C94C33">
        <w:t>ontinued visits to the hospital became administratively difficult for the patient;</w:t>
      </w:r>
    </w:p>
    <w:p w14:paraId="73693F3F" w14:textId="25894831" w:rsidR="00C1052D" w:rsidRPr="00C94C33" w:rsidRDefault="00C1052D" w:rsidP="00246643">
      <w:pPr>
        <w:pStyle w:val="ListBullet"/>
      </w:pPr>
      <w:r w:rsidRPr="00C94C33">
        <w:t>I</w:t>
      </w:r>
      <w:r w:rsidR="00DF61BC" w:rsidRPr="00C94C33">
        <w:t>t became impos</w:t>
      </w:r>
      <w:r w:rsidR="006263CF">
        <w:t>sible to follow-up the patient;</w:t>
      </w:r>
    </w:p>
    <w:p w14:paraId="27AC404F" w14:textId="0666E63F" w:rsidR="00C1052D" w:rsidRPr="00C94C33" w:rsidRDefault="00C1052D" w:rsidP="00246643">
      <w:pPr>
        <w:pStyle w:val="ListBullet"/>
      </w:pPr>
      <w:r w:rsidRPr="00C94C33">
        <w:t>S</w:t>
      </w:r>
      <w:r w:rsidR="00DF61BC" w:rsidRPr="00C94C33">
        <w:t>erious or continued non-obser</w:t>
      </w:r>
      <w:r w:rsidR="006263CF">
        <w:t>vance of the protocol occurred;</w:t>
      </w:r>
    </w:p>
    <w:p w14:paraId="162BEA3F" w14:textId="56A5CDF8" w:rsidR="00C1052D" w:rsidRPr="00C94C33" w:rsidRDefault="00C1052D" w:rsidP="00246643">
      <w:pPr>
        <w:pStyle w:val="ListBullet"/>
      </w:pPr>
      <w:r w:rsidRPr="00C94C33">
        <w:t>T</w:t>
      </w:r>
      <w:r w:rsidR="00DF61BC" w:rsidRPr="00C94C33">
        <w:t>h</w:t>
      </w:r>
      <w:r w:rsidR="006263CF">
        <w:t>e patient became ineligible; or</w:t>
      </w:r>
    </w:p>
    <w:p w14:paraId="2DC63AAB" w14:textId="4F2ECDA6" w:rsidR="00DF61BC" w:rsidRPr="00C94C33" w:rsidRDefault="00C1052D" w:rsidP="00246643">
      <w:pPr>
        <w:pStyle w:val="ListBullet"/>
      </w:pPr>
      <w:r w:rsidRPr="00C94C33">
        <w:t>Th</w:t>
      </w:r>
      <w:r w:rsidR="00DF61BC" w:rsidRPr="00C94C33">
        <w:t>e investigator determined that it was necessary to discontin</w:t>
      </w:r>
      <w:r w:rsidR="006263CF">
        <w:t>ue the study for other reasons.</w:t>
      </w:r>
    </w:p>
    <w:p w14:paraId="28C58C69" w14:textId="3BC5F7C5" w:rsidR="00C1052D" w:rsidRPr="00C94C33" w:rsidRDefault="00DF61BC" w:rsidP="00DF61BC">
      <w:pPr>
        <w:autoSpaceDE w:val="0"/>
        <w:autoSpaceDN w:val="0"/>
        <w:adjustRightInd w:val="0"/>
        <w:rPr>
          <w:rFonts w:asciiTheme="minorHAnsi" w:hAnsiTheme="minorHAnsi"/>
          <w:color w:val="000000"/>
        </w:rPr>
      </w:pPr>
      <w:r w:rsidRPr="00C94C33">
        <w:rPr>
          <w:rFonts w:asciiTheme="minorHAnsi" w:hAnsiTheme="minorHAnsi"/>
          <w:color w:val="000000"/>
        </w:rPr>
        <w:t>The study cons</w:t>
      </w:r>
      <w:r w:rsidR="006263CF">
        <w:rPr>
          <w:rFonts w:asciiTheme="minorHAnsi" w:hAnsiTheme="minorHAnsi"/>
          <w:color w:val="000000"/>
        </w:rPr>
        <w:t>isted of the following periods:</w:t>
      </w:r>
    </w:p>
    <w:p w14:paraId="3DA86D43" w14:textId="24368481" w:rsidR="00C1052D" w:rsidRPr="00C94C33" w:rsidRDefault="00C1052D" w:rsidP="00246643">
      <w:pPr>
        <w:pStyle w:val="ListBullet"/>
      </w:pPr>
      <w:r w:rsidRPr="00C94C33">
        <w:t>B</w:t>
      </w:r>
      <w:r w:rsidR="00DF61BC" w:rsidRPr="00C94C33">
        <w:t>efore study period lasted until</w:t>
      </w:r>
      <w:r w:rsidR="006263CF">
        <w:t xml:space="preserve"> informed consent was obtained;</w:t>
      </w:r>
    </w:p>
    <w:p w14:paraId="01748A5F" w14:textId="648CC07A" w:rsidR="00C1052D" w:rsidRPr="00C94C33" w:rsidRDefault="00C1052D" w:rsidP="00246643">
      <w:pPr>
        <w:pStyle w:val="ListBullet"/>
      </w:pPr>
      <w:r w:rsidRPr="00C94C33">
        <w:lastRenderedPageBreak/>
        <w:t>T</w:t>
      </w:r>
      <w:r w:rsidR="00DF61BC" w:rsidRPr="00C94C33">
        <w:t>he study period consisted of time from when consent was obtained through to the completion of the pos</w:t>
      </w:r>
      <w:r w:rsidR="006263CF">
        <w:t>t-treatment observation period;</w:t>
      </w:r>
    </w:p>
    <w:p w14:paraId="6EED089E" w14:textId="35121E21" w:rsidR="00C1052D" w:rsidRPr="00C94C33" w:rsidRDefault="00C1052D" w:rsidP="00246643">
      <w:pPr>
        <w:pStyle w:val="ListBullet"/>
      </w:pPr>
      <w:r w:rsidRPr="00C94C33">
        <w:t>T</w:t>
      </w:r>
      <w:r w:rsidR="00DF61BC" w:rsidRPr="00C94C33">
        <w:t>he administration period consisted of the time during which the investi</w:t>
      </w:r>
      <w:r w:rsidR="006263CF">
        <w:t>gational drug was administered;</w:t>
      </w:r>
    </w:p>
    <w:p w14:paraId="167098C0" w14:textId="02AEDD7C" w:rsidR="00C1052D" w:rsidRPr="00C94C33" w:rsidRDefault="00C1052D" w:rsidP="00246643">
      <w:pPr>
        <w:pStyle w:val="ListBullet"/>
      </w:pPr>
      <w:r w:rsidRPr="00C94C33">
        <w:t>T</w:t>
      </w:r>
      <w:r w:rsidR="00DF61BC" w:rsidRPr="00C94C33">
        <w:t>he recovery period consisted of the time in which the investigational drug w</w:t>
      </w:r>
      <w:r w:rsidR="006263CF">
        <w:t>as not taken;</w:t>
      </w:r>
    </w:p>
    <w:p w14:paraId="78A0CCCC" w14:textId="30AB5E7A" w:rsidR="00C1052D" w:rsidRPr="00C94C33" w:rsidRDefault="00C1052D" w:rsidP="00246643">
      <w:pPr>
        <w:pStyle w:val="ListBullet"/>
      </w:pPr>
      <w:r w:rsidRPr="00C94C33">
        <w:t>T</w:t>
      </w:r>
      <w:r w:rsidR="00DF61BC" w:rsidRPr="00C94C33">
        <w:t>he post-treatment observation period was the 30 days after the final administrati</w:t>
      </w:r>
      <w:r w:rsidR="006263CF">
        <w:t>on of the investigational drug;</w:t>
      </w:r>
    </w:p>
    <w:p w14:paraId="4BDDA026" w14:textId="7060EE19" w:rsidR="00C1052D" w:rsidRPr="00C94C33" w:rsidRDefault="00C1052D" w:rsidP="00246643">
      <w:pPr>
        <w:pStyle w:val="ListBullet"/>
      </w:pPr>
      <w:r w:rsidRPr="00C94C33">
        <w:t>T</w:t>
      </w:r>
      <w:r w:rsidR="00DF61BC" w:rsidRPr="00C94C33">
        <w:t>he imaging follow-up examination period was the time from final administration of the investigational drug through to the completion of the imag</w:t>
      </w:r>
      <w:r w:rsidR="006263CF">
        <w:t>ing follow-up examinations; and</w:t>
      </w:r>
    </w:p>
    <w:p w14:paraId="1055BD54" w14:textId="4AD67D93" w:rsidR="00DF61BC" w:rsidRPr="00C94C33" w:rsidRDefault="00C1052D" w:rsidP="00246643">
      <w:pPr>
        <w:pStyle w:val="ListBullet"/>
      </w:pPr>
      <w:r w:rsidRPr="00C94C33">
        <w:t>T</w:t>
      </w:r>
      <w:r w:rsidR="00DF61BC" w:rsidRPr="00C94C33">
        <w:t>he survival follow-up period from the date of randomisation unt</w:t>
      </w:r>
      <w:r w:rsidR="006263CF">
        <w:t>il the date of confirmed death.</w:t>
      </w:r>
    </w:p>
    <w:p w14:paraId="444D0C18" w14:textId="066580D8" w:rsidR="00C1052D" w:rsidRPr="00C94C33" w:rsidRDefault="00DF61BC" w:rsidP="00DF61BC">
      <w:pPr>
        <w:autoSpaceDE w:val="0"/>
        <w:autoSpaceDN w:val="0"/>
        <w:adjustRightInd w:val="0"/>
        <w:rPr>
          <w:rFonts w:asciiTheme="minorHAnsi" w:hAnsiTheme="minorHAnsi"/>
        </w:rPr>
      </w:pPr>
      <w:r w:rsidRPr="00C94C33">
        <w:rPr>
          <w:rFonts w:asciiTheme="minorHAnsi" w:hAnsiTheme="minorHAnsi"/>
        </w:rPr>
        <w:t>In the imaging follow-up survey period, imaging was performed according to the study schedule only for patients who discontinued administration of the study drug without confirmation of clear tumour growth (determined to be PD in the RECIST evaluation) or clinical worsening. The image follow-up survey was to be discontinued in the event that any of the followin</w:t>
      </w:r>
      <w:r w:rsidR="006263CF">
        <w:rPr>
          <w:rFonts w:asciiTheme="minorHAnsi" w:hAnsiTheme="minorHAnsi"/>
        </w:rPr>
        <w:t>g occurred:</w:t>
      </w:r>
    </w:p>
    <w:p w14:paraId="5AD5C09F" w14:textId="1E003CD7" w:rsidR="00C1052D" w:rsidRPr="00C94C33" w:rsidRDefault="00C1052D" w:rsidP="00246643">
      <w:pPr>
        <w:pStyle w:val="ListBullet"/>
      </w:pPr>
      <w:r w:rsidRPr="00C94C33">
        <w:t>C</w:t>
      </w:r>
      <w:r w:rsidR="00DF61BC" w:rsidRPr="00C94C33">
        <w:t>lear tumour growth or clinical worsening was confirmed and a transition was made to</w:t>
      </w:r>
      <w:r w:rsidR="006263CF">
        <w:t xml:space="preserve"> the survival follow-up period;</w:t>
      </w:r>
    </w:p>
    <w:p w14:paraId="554B6DAD" w14:textId="28666C0A" w:rsidR="00C1052D" w:rsidRPr="00C94C33" w:rsidRDefault="00C1052D" w:rsidP="00246643">
      <w:pPr>
        <w:pStyle w:val="ListBullet"/>
      </w:pPr>
      <w:r w:rsidRPr="00C94C33">
        <w:t>O</w:t>
      </w:r>
      <w:r w:rsidR="00DF61BC" w:rsidRPr="00C94C33">
        <w:t>ther ant</w:t>
      </w:r>
      <w:r w:rsidR="006263CF">
        <w:t>i-cancer treatment was started;</w:t>
      </w:r>
    </w:p>
    <w:p w14:paraId="49BB5E7D" w14:textId="75DE0C3C" w:rsidR="00C1052D" w:rsidRPr="00C94C33" w:rsidRDefault="00C1052D" w:rsidP="00246643">
      <w:pPr>
        <w:pStyle w:val="ListBullet"/>
      </w:pPr>
      <w:r w:rsidRPr="00C94C33">
        <w:t>P</w:t>
      </w:r>
      <w:r w:rsidR="006263CF">
        <w:t>atient death;</w:t>
      </w:r>
    </w:p>
    <w:p w14:paraId="3424B6AE" w14:textId="24F9F7DA" w:rsidR="00C1052D" w:rsidRPr="00C94C33" w:rsidRDefault="00C1052D" w:rsidP="00246643">
      <w:pPr>
        <w:pStyle w:val="ListBullet"/>
      </w:pPr>
      <w:r w:rsidRPr="00C94C33">
        <w:t>P</w:t>
      </w:r>
      <w:r w:rsidR="006263CF">
        <w:t>atient withdrew consent;</w:t>
      </w:r>
    </w:p>
    <w:p w14:paraId="7F80FFCF" w14:textId="6F1029C3" w:rsidR="00C1052D" w:rsidRPr="00C94C33" w:rsidRDefault="00C1052D" w:rsidP="00246643">
      <w:pPr>
        <w:pStyle w:val="ListBullet"/>
      </w:pPr>
      <w:r w:rsidRPr="00C94C33">
        <w:t>I</w:t>
      </w:r>
      <w:r w:rsidR="00DF61BC" w:rsidRPr="00C94C33">
        <w:t>mpossib</w:t>
      </w:r>
      <w:r w:rsidR="006263CF">
        <w:t>le to follow up the patient; or</w:t>
      </w:r>
    </w:p>
    <w:p w14:paraId="12E296CC" w14:textId="14DA3A26" w:rsidR="00DF61BC" w:rsidRPr="00C94C33" w:rsidRDefault="00C1052D" w:rsidP="00246643">
      <w:pPr>
        <w:pStyle w:val="ListBullet"/>
      </w:pPr>
      <w:r w:rsidRPr="00C94C33">
        <w:t>O</w:t>
      </w:r>
      <w:r w:rsidR="00DF61BC" w:rsidRPr="00C94C33">
        <w:t xml:space="preserve">ther reasons as </w:t>
      </w:r>
      <w:r w:rsidR="006263CF">
        <w:t>determined by the investigator.</w:t>
      </w:r>
    </w:p>
    <w:p w14:paraId="19BFC77C" w14:textId="197CA837" w:rsidR="00C1052D" w:rsidRPr="00C94C33" w:rsidRDefault="00DF61BC" w:rsidP="00DF61BC">
      <w:pPr>
        <w:autoSpaceDE w:val="0"/>
        <w:autoSpaceDN w:val="0"/>
        <w:adjustRightInd w:val="0"/>
        <w:rPr>
          <w:rFonts w:asciiTheme="minorHAnsi" w:hAnsiTheme="minorHAnsi"/>
        </w:rPr>
      </w:pPr>
      <w:r w:rsidRPr="00C94C33">
        <w:rPr>
          <w:rFonts w:asciiTheme="minorHAnsi" w:hAnsiTheme="minorHAnsi"/>
        </w:rPr>
        <w:t>Survival follow-up was to be discontinued in the event that any o</w:t>
      </w:r>
      <w:r w:rsidR="006263CF">
        <w:rPr>
          <w:rFonts w:asciiTheme="minorHAnsi" w:hAnsiTheme="minorHAnsi"/>
        </w:rPr>
        <w:t>f the following items occurred:</w:t>
      </w:r>
    </w:p>
    <w:p w14:paraId="6D549C70" w14:textId="779C747C" w:rsidR="00C1052D" w:rsidRPr="00C94C33" w:rsidRDefault="00C1052D" w:rsidP="00246643">
      <w:pPr>
        <w:pStyle w:val="ListBullet"/>
      </w:pPr>
      <w:r w:rsidRPr="00C94C33">
        <w:t>P</w:t>
      </w:r>
      <w:r w:rsidR="006263CF">
        <w:t>atient death;</w:t>
      </w:r>
    </w:p>
    <w:p w14:paraId="62025DF6" w14:textId="7111678B" w:rsidR="00C1052D" w:rsidRPr="00C94C33" w:rsidRDefault="00C1052D" w:rsidP="00246643">
      <w:pPr>
        <w:pStyle w:val="ListBullet"/>
      </w:pPr>
      <w:r w:rsidRPr="00C94C33">
        <w:t>P</w:t>
      </w:r>
      <w:r w:rsidR="006263CF">
        <w:t>atient withdrew consent;</w:t>
      </w:r>
    </w:p>
    <w:p w14:paraId="0FDB8827" w14:textId="729BFED9" w:rsidR="00C1052D" w:rsidRPr="00C94C33" w:rsidRDefault="00C1052D" w:rsidP="00246643">
      <w:pPr>
        <w:pStyle w:val="ListBullet"/>
      </w:pPr>
      <w:r w:rsidRPr="00C94C33">
        <w:t>I</w:t>
      </w:r>
      <w:r w:rsidR="00DF61BC" w:rsidRPr="00C94C33">
        <w:t>mpossib</w:t>
      </w:r>
      <w:r w:rsidR="006263CF">
        <w:t>le to follow up the patient; or</w:t>
      </w:r>
    </w:p>
    <w:p w14:paraId="7402F537" w14:textId="60D53DCD" w:rsidR="00DF61BC" w:rsidRPr="00C94C33" w:rsidRDefault="00246643" w:rsidP="00246643">
      <w:pPr>
        <w:pStyle w:val="ListBullet"/>
      </w:pPr>
      <w:r w:rsidRPr="00C94C33">
        <w:t>O</w:t>
      </w:r>
      <w:r w:rsidR="00DF61BC" w:rsidRPr="00C94C33">
        <w:t>ther reasons as determi</w:t>
      </w:r>
      <w:r w:rsidR="006263CF">
        <w:t>ned by the investigator.</w:t>
      </w:r>
    </w:p>
    <w:p w14:paraId="30862FE6" w14:textId="77777777" w:rsidR="00DF61BC" w:rsidRPr="00C94C33" w:rsidRDefault="00DF61BC" w:rsidP="00955252">
      <w:pPr>
        <w:pStyle w:val="Heading4"/>
      </w:pPr>
      <w:bookmarkStart w:id="284" w:name="_Toc470948540"/>
      <w:r w:rsidRPr="00C94C33">
        <w:t>Inclusion and exclusion criteria</w:t>
      </w:r>
      <w:bookmarkEnd w:id="284"/>
    </w:p>
    <w:p w14:paraId="26E85A35" w14:textId="77777777"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The study included patients aged 20 years with confirmed mCRC who had failed two or more standard chemotherapeutic regimens including fluoropyrimidin</w:t>
      </w:r>
      <w:r w:rsidR="00BD5617" w:rsidRPr="00C94C33">
        <w:rPr>
          <w:rFonts w:asciiTheme="minorHAnsi" w:hAnsiTheme="minorHAnsi"/>
        </w:rPr>
        <w:t>e, irinotecan, and oxaliplatin.</w:t>
      </w:r>
    </w:p>
    <w:p w14:paraId="3AD959F4" w14:textId="77777777" w:rsidR="00DF61BC" w:rsidRPr="00C94C33" w:rsidRDefault="00DF61BC" w:rsidP="00955252">
      <w:pPr>
        <w:pStyle w:val="Heading4"/>
      </w:pPr>
      <w:bookmarkStart w:id="285" w:name="_Toc470948541"/>
      <w:r w:rsidRPr="00C94C33">
        <w:t>Treatment</w:t>
      </w:r>
      <w:bookmarkEnd w:id="285"/>
    </w:p>
    <w:p w14:paraId="3F5CB00B" w14:textId="6A6D9977" w:rsidR="00DF61BC" w:rsidRPr="00C94C33" w:rsidRDefault="00DF61BC" w:rsidP="00DF61BC">
      <w:r w:rsidRPr="00C94C33">
        <w:t>TAS-102 was initially administered at a dose of 70 mg/m</w:t>
      </w:r>
      <w:r w:rsidRPr="00C94C33">
        <w:rPr>
          <w:vertAlign w:val="superscript"/>
        </w:rPr>
        <w:t xml:space="preserve">2 </w:t>
      </w:r>
      <w:r w:rsidRPr="00C94C33">
        <w:t>per day based on BSA, administered in two equal doses of 35 mg/m</w:t>
      </w:r>
      <w:r w:rsidRPr="00C94C33">
        <w:rPr>
          <w:vertAlign w:val="superscript"/>
        </w:rPr>
        <w:t>2</w:t>
      </w:r>
      <w:r w:rsidRPr="00C94C33">
        <w:t xml:space="preserve"> within 1 hour of the morning and evening meals. The initial dose was to be administered within 8 days of randomisation, and if the dose could not be administered in this time period then the patient was discontinued from the study. As a rule, there were to be no revisions according to changes in body weight after the start of administration. However, if a change in body weight of 10% or greater was observed compared to randomisation, a dose revision based on BSA was made </w:t>
      </w:r>
      <w:r w:rsidR="006263CF">
        <w:t>at the start of the next cycle.</w:t>
      </w:r>
    </w:p>
    <w:p w14:paraId="61DA7DFF" w14:textId="795BCA5B" w:rsidR="00DF61BC" w:rsidRPr="00C94C33" w:rsidRDefault="00DF61BC" w:rsidP="00DF61BC">
      <w:r w:rsidRPr="00C94C33">
        <w:t>Each cycle was to be 28 days, with the investigational drug (TAS-102 or a placebo) given orally 2 times a day (after morning and evening meals) for 5 consecutive days (Days 1</w:t>
      </w:r>
      <w:r w:rsidR="000A1A7B">
        <w:t xml:space="preserve"> to </w:t>
      </w:r>
      <w:r w:rsidRPr="00C94C33">
        <w:t>5), followed by a 2</w:t>
      </w:r>
      <w:r w:rsidR="009C0389" w:rsidRPr="00C94C33">
        <w:t xml:space="preserve"> day</w:t>
      </w:r>
      <w:r w:rsidRPr="00C94C33">
        <w:t xml:space="preserve"> drug-free period (Days 6</w:t>
      </w:r>
      <w:r w:rsidR="000A1A7B">
        <w:t xml:space="preserve"> to </w:t>
      </w:r>
      <w:r w:rsidRPr="00C94C33">
        <w:t>7), after which treatment with the investigational drug was repeated for a further 5 consecutive (Days 8</w:t>
      </w:r>
      <w:r w:rsidR="000A1A7B">
        <w:t xml:space="preserve"> to </w:t>
      </w:r>
      <w:r w:rsidRPr="00C94C33">
        <w:t>12), followed by a 2</w:t>
      </w:r>
      <w:r w:rsidR="009C0389" w:rsidRPr="00C94C33">
        <w:t xml:space="preserve"> day</w:t>
      </w:r>
      <w:r w:rsidRPr="00C94C33">
        <w:t xml:space="preserve"> drug-free period (Days 13</w:t>
      </w:r>
      <w:r w:rsidR="000A1A7B">
        <w:t xml:space="preserve"> to </w:t>
      </w:r>
      <w:r w:rsidRPr="00C94C33">
        <w:t>14), followed by a 14</w:t>
      </w:r>
      <w:r w:rsidR="009C0389" w:rsidRPr="00C94C33">
        <w:t xml:space="preserve"> day</w:t>
      </w:r>
      <w:r w:rsidRPr="00C94C33">
        <w:t xml:space="preserve"> recovery period (Days 15</w:t>
      </w:r>
      <w:r w:rsidR="000A1A7B">
        <w:t xml:space="preserve"> to </w:t>
      </w:r>
      <w:r w:rsidRPr="00C94C33">
        <w:t xml:space="preserve">28) prior to the start of the next cycle. The </w:t>
      </w:r>
      <w:r w:rsidRPr="00C94C33">
        <w:lastRenderedPageBreak/>
        <w:t>placebo tablets were identical in appearance to TAS-102 and contained all the ingredients except the active drug.</w:t>
      </w:r>
    </w:p>
    <w:p w14:paraId="16207DF9" w14:textId="26C09ABA" w:rsidR="00DF61BC" w:rsidRPr="00C94C33" w:rsidRDefault="00DF61BC" w:rsidP="00DF61BC">
      <w:r w:rsidRPr="00C94C33">
        <w:t>The study included criteria (</w:t>
      </w:r>
      <w:r w:rsidR="00842E8F" w:rsidRPr="00C94C33">
        <w:t>‘</w:t>
      </w:r>
      <w:r w:rsidRPr="00C94C33">
        <w:t>standards</w:t>
      </w:r>
      <w:r w:rsidR="00842E8F" w:rsidRPr="00C94C33">
        <w:t>’</w:t>
      </w:r>
      <w:r w:rsidRPr="00C94C33">
        <w:t xml:space="preserve">) for initiating treatment in each cycle, and criteria for interrupting treatment </w:t>
      </w:r>
      <w:r w:rsidR="00BD5617" w:rsidRPr="00C94C33">
        <w:t>and re-starting treatment</w:t>
      </w:r>
      <w:r w:rsidRPr="00C94C33">
        <w:t>. Missed doses were not to be replaced, even in cases where treatment was interrupted and then resumed in the same cycle. In cases where treatment was interrupted and the resumption criteria were not met within the cycle, the next cycle could be started following a treatment interruption of at least 14 days. Treatment interruptions were to be a maximum of 30 consecutive days, with interruptions longer than this result</w:t>
      </w:r>
      <w:r w:rsidR="006263CF">
        <w:t>ing in patient discontinuation.</w:t>
      </w:r>
    </w:p>
    <w:p w14:paraId="778D873B" w14:textId="55EB4D8F" w:rsidR="00DF61BC" w:rsidRPr="00C94C33" w:rsidRDefault="00DF61BC" w:rsidP="00DF61BC">
      <w:r w:rsidRPr="00C94C33">
        <w:t>The total daily dose was to be reduced by 10 mg/day beginning at the next cycle if the neutrophil count was under 500/mm</w:t>
      </w:r>
      <w:r w:rsidRPr="00C94C33">
        <w:rPr>
          <w:vertAlign w:val="superscript"/>
        </w:rPr>
        <w:t>3</w:t>
      </w:r>
      <w:r w:rsidRPr="00C94C33">
        <w:t>, the platelet count was under 50,000/mm</w:t>
      </w:r>
      <w:r w:rsidRPr="00C94C33">
        <w:rPr>
          <w:vertAlign w:val="superscript"/>
        </w:rPr>
        <w:t>3</w:t>
      </w:r>
      <w:r w:rsidRPr="00C94C33">
        <w:t xml:space="preserve"> or whenever the investigator deemed it necessary to reduce the dose for patient safety. The minimum total daily dose was 30 mg, and dose reduction below this level was not permitted. Once a dose had been was reduced, increased doses were not permitted.</w:t>
      </w:r>
    </w:p>
    <w:p w14:paraId="0B89D11B" w14:textId="2E28D266" w:rsidR="00DF61BC" w:rsidRPr="00C94C33" w:rsidRDefault="00DF61BC" w:rsidP="00DF61BC">
      <w:r w:rsidRPr="00C94C33">
        <w:t>Unless deemed necessary, no other anti-cancer drugs, other investigational drugs or other therapies considered to potentially influence the assessment of efficacy or safety of the investigational drugs were permitted during the study. Standard treatments were permitted for the management of major adverse drug reactions, decreased neutrophil counts (</w:t>
      </w:r>
      <w:r w:rsidR="000A1A7B">
        <w:t>for example,</w:t>
      </w:r>
      <w:r w:rsidRPr="00C94C33">
        <w:t xml:space="preserve"> G-CSF), decreased platelet counts, nausea, vomiting and fatigue.</w:t>
      </w:r>
    </w:p>
    <w:p w14:paraId="4127B739" w14:textId="77777777" w:rsidR="00DF61BC" w:rsidRPr="00C94C33" w:rsidRDefault="00DF61BC" w:rsidP="00955252">
      <w:pPr>
        <w:pStyle w:val="Heading4"/>
      </w:pPr>
      <w:bookmarkStart w:id="286" w:name="_Toc470948542"/>
      <w:r w:rsidRPr="00C94C33">
        <w:t>Efficacy variables and outcomes</w:t>
      </w:r>
      <w:bookmarkEnd w:id="286"/>
    </w:p>
    <w:p w14:paraId="2BACEB50" w14:textId="45FC9814" w:rsidR="00DF61BC" w:rsidRPr="00C94C33" w:rsidRDefault="00DF61BC" w:rsidP="00955252">
      <w:pPr>
        <w:pStyle w:val="Heading5"/>
      </w:pPr>
      <w:bookmarkStart w:id="287" w:name="_Toc470948543"/>
      <w:r w:rsidRPr="00C94C33">
        <w:t>Primary efficacy endpoint</w:t>
      </w:r>
      <w:bookmarkEnd w:id="287"/>
    </w:p>
    <w:p w14:paraId="23CC1B3B" w14:textId="2123EF87"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The primary efficacy endpoint was overall survival (OS), defined as the time (in months) from randomisation to the date of death from any cause. In the absence of death confirmation, or for patients alive as of the OS cut-off date, survival time was censored at the date of last study follow-up, or the final confirmation date on which survival was confirmed before follow-up became impossible. The primary endpoint of OS was to be analyse</w:t>
      </w:r>
      <w:r w:rsidR="006263CF">
        <w:rPr>
          <w:rFonts w:asciiTheme="minorHAnsi" w:hAnsiTheme="minorHAnsi"/>
        </w:rPr>
        <w:t>d when 121 deaths had occurred.</w:t>
      </w:r>
    </w:p>
    <w:p w14:paraId="683D5EA1" w14:textId="77777777" w:rsidR="00DF61BC" w:rsidRPr="00C94C33" w:rsidRDefault="00DF61BC" w:rsidP="00955252">
      <w:pPr>
        <w:pStyle w:val="Heading5"/>
      </w:pPr>
      <w:bookmarkStart w:id="288" w:name="_Toc470948544"/>
      <w:r w:rsidRPr="00C94C33">
        <w:t>Secondary efficacy endpoints</w:t>
      </w:r>
      <w:bookmarkEnd w:id="288"/>
    </w:p>
    <w:p w14:paraId="1564292C" w14:textId="77777777"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Progression-free survival (PFS) was defined as the time (in months) from randomisation to the date that the patient's condition reached progressive disease (PD). If the patient died before reaching PD, the date of death was considered the date PD was reached. For patients that had not reached PD at the time of the analysis, and for patients for whom the PD date was unknown, PFS was censored at the date of the patient’s final assessment prior to data cut-off. The randomisation date was used for cases in which lesion evaluation had not been performed after randomisation, and the initiation date of other (post-treatment) anti-cancer therapy was used when other anti-cancer therapy was initiated before the patient reached PD.</w:t>
      </w:r>
    </w:p>
    <w:p w14:paraId="3E8C38ED" w14:textId="77777777"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Time to treatment failure (TTF) was defined as the time (in months) from randomisation to the date that PD was confirmed, the date that the study was discontinued, or the date of death if it occurred prior to the date of discontinuation of the study, whichever came sooner. If these criteria were not met, the final evaluation date was to be used in analysis.</w:t>
      </w:r>
    </w:p>
    <w:p w14:paraId="2470C1ED" w14:textId="77777777"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Best overall response was determined as CR (complete response), PR (partial response), stable disease (SD), progressive disease (</w:t>
      </w:r>
      <w:r w:rsidR="00AD742C" w:rsidRPr="00C94C33">
        <w:rPr>
          <w:rFonts w:asciiTheme="minorHAnsi" w:hAnsiTheme="minorHAnsi"/>
        </w:rPr>
        <w:t>PD) or NE (not evaluable)</w:t>
      </w:r>
      <w:r w:rsidRPr="00C94C33">
        <w:rPr>
          <w:rFonts w:asciiTheme="minorHAnsi" w:hAnsiTheme="minorHAnsi"/>
        </w:rPr>
        <w:t>.</w:t>
      </w:r>
    </w:p>
    <w:p w14:paraId="14CC752C" w14:textId="6F1C7189" w:rsidR="00DF61BC" w:rsidRPr="00C94C33" w:rsidRDefault="00DF61BC" w:rsidP="00C665B0">
      <w:pPr>
        <w:pStyle w:val="Tabletitle"/>
      </w:pPr>
      <w:bookmarkStart w:id="289" w:name="_Toc470948688"/>
      <w:r w:rsidRPr="00C94C33">
        <w:t>Table</w:t>
      </w:r>
      <w:r w:rsidR="00AD742C" w:rsidRPr="00C94C33">
        <w:t xml:space="preserve"> 39</w:t>
      </w:r>
      <w:r w:rsidRPr="00C94C33">
        <w:t>: Best overall response determinations</w:t>
      </w:r>
      <w:bookmarkEnd w:id="289"/>
    </w:p>
    <w:p w14:paraId="02B7C4D2" w14:textId="77777777" w:rsidR="00DF61BC" w:rsidRPr="00C94C33" w:rsidRDefault="00DF61BC" w:rsidP="00DF61BC">
      <w:pPr>
        <w:pStyle w:val="BodyText"/>
        <w:kinsoku w:val="0"/>
        <w:overflowPunct w:val="0"/>
        <w:spacing w:before="10"/>
        <w:ind w:left="0"/>
        <w:rPr>
          <w:sz w:val="2"/>
          <w:szCs w:val="2"/>
        </w:rPr>
      </w:pPr>
    </w:p>
    <w:tbl>
      <w:tblPr>
        <w:tblW w:w="0" w:type="auto"/>
        <w:tblLayout w:type="fixed"/>
        <w:tblCellMar>
          <w:left w:w="0" w:type="dxa"/>
          <w:right w:w="0" w:type="dxa"/>
        </w:tblCellMar>
        <w:tblLook w:val="0000" w:firstRow="0" w:lastRow="0" w:firstColumn="0" w:lastColumn="0" w:noHBand="0" w:noVBand="0"/>
      </w:tblPr>
      <w:tblGrid>
        <w:gridCol w:w="2079"/>
        <w:gridCol w:w="38"/>
        <w:gridCol w:w="2042"/>
        <w:gridCol w:w="38"/>
        <w:gridCol w:w="2042"/>
        <w:gridCol w:w="38"/>
        <w:gridCol w:w="2092"/>
      </w:tblGrid>
      <w:tr w:rsidR="00DF61BC" w:rsidRPr="00C94C33" w14:paraId="2F913A3A" w14:textId="77777777" w:rsidTr="006263CF">
        <w:trPr>
          <w:trHeight w:hRule="exact" w:val="340"/>
          <w:tblHeader/>
        </w:trPr>
        <w:tc>
          <w:tcPr>
            <w:tcW w:w="2117" w:type="dxa"/>
            <w:gridSpan w:val="2"/>
            <w:tcBorders>
              <w:top w:val="single" w:sz="4" w:space="0" w:color="000000"/>
              <w:left w:val="single" w:sz="4" w:space="0" w:color="auto"/>
              <w:bottom w:val="single" w:sz="4" w:space="0" w:color="000000"/>
            </w:tcBorders>
            <w:shd w:val="clear" w:color="auto" w:fill="auto"/>
          </w:tcPr>
          <w:p w14:paraId="5F0669BB" w14:textId="77777777" w:rsidR="00DF61BC" w:rsidRPr="00C94C33" w:rsidRDefault="00DF61BC" w:rsidP="006263CF">
            <w:pPr>
              <w:pStyle w:val="TableHeading"/>
              <w:jc w:val="center"/>
            </w:pPr>
            <w:r w:rsidRPr="00C94C33">
              <w:t>Overall</w:t>
            </w:r>
            <w:r w:rsidRPr="00C94C33">
              <w:rPr>
                <w:spacing w:val="-14"/>
              </w:rPr>
              <w:t xml:space="preserve"> </w:t>
            </w:r>
            <w:r w:rsidRPr="00C94C33">
              <w:t>response</w:t>
            </w:r>
          </w:p>
        </w:tc>
        <w:tc>
          <w:tcPr>
            <w:tcW w:w="2080" w:type="dxa"/>
            <w:gridSpan w:val="2"/>
            <w:tcBorders>
              <w:top w:val="single" w:sz="4" w:space="0" w:color="000000"/>
              <w:left w:val="nil"/>
              <w:bottom w:val="single" w:sz="4" w:space="0" w:color="000000"/>
            </w:tcBorders>
            <w:shd w:val="clear" w:color="auto" w:fill="auto"/>
          </w:tcPr>
          <w:p w14:paraId="141302AE" w14:textId="77777777" w:rsidR="00DF61BC" w:rsidRPr="00C94C33" w:rsidRDefault="00DF61BC" w:rsidP="006263CF">
            <w:pPr>
              <w:pStyle w:val="TableHeading"/>
              <w:jc w:val="center"/>
            </w:pPr>
            <w:r w:rsidRPr="00C94C33">
              <w:t>Target</w:t>
            </w:r>
            <w:r w:rsidRPr="00C94C33">
              <w:rPr>
                <w:spacing w:val="-12"/>
              </w:rPr>
              <w:t xml:space="preserve"> </w:t>
            </w:r>
            <w:r w:rsidRPr="00C94C33">
              <w:rPr>
                <w:spacing w:val="-2"/>
              </w:rPr>
              <w:t>lesions</w:t>
            </w:r>
          </w:p>
        </w:tc>
        <w:tc>
          <w:tcPr>
            <w:tcW w:w="2080" w:type="dxa"/>
            <w:gridSpan w:val="2"/>
            <w:tcBorders>
              <w:top w:val="single" w:sz="4" w:space="0" w:color="000000"/>
              <w:left w:val="nil"/>
              <w:bottom w:val="single" w:sz="4" w:space="0" w:color="000000"/>
            </w:tcBorders>
            <w:shd w:val="clear" w:color="auto" w:fill="auto"/>
          </w:tcPr>
          <w:p w14:paraId="385A8C3A" w14:textId="77777777" w:rsidR="00DF61BC" w:rsidRPr="00C94C33" w:rsidRDefault="00DF61BC" w:rsidP="006263CF">
            <w:pPr>
              <w:pStyle w:val="TableHeading"/>
              <w:jc w:val="center"/>
            </w:pPr>
            <w:r w:rsidRPr="00C94C33">
              <w:t>Non-target</w:t>
            </w:r>
            <w:r w:rsidRPr="00C94C33">
              <w:rPr>
                <w:spacing w:val="-15"/>
              </w:rPr>
              <w:t xml:space="preserve"> </w:t>
            </w:r>
            <w:r w:rsidRPr="00C94C33">
              <w:t>lesions</w:t>
            </w:r>
          </w:p>
        </w:tc>
        <w:tc>
          <w:tcPr>
            <w:tcW w:w="2092" w:type="dxa"/>
            <w:tcBorders>
              <w:top w:val="single" w:sz="4" w:space="0" w:color="000000"/>
              <w:left w:val="nil"/>
              <w:bottom w:val="single" w:sz="4" w:space="0" w:color="000000"/>
              <w:right w:val="single" w:sz="4" w:space="0" w:color="auto"/>
            </w:tcBorders>
            <w:shd w:val="clear" w:color="auto" w:fill="auto"/>
          </w:tcPr>
          <w:p w14:paraId="04C25DB2" w14:textId="77777777" w:rsidR="00DF61BC" w:rsidRPr="00C94C33" w:rsidRDefault="00DF61BC" w:rsidP="006263CF">
            <w:pPr>
              <w:pStyle w:val="TableHeading"/>
              <w:jc w:val="center"/>
            </w:pPr>
            <w:r w:rsidRPr="00C94C33">
              <w:t>New</w:t>
            </w:r>
            <w:r w:rsidRPr="00C94C33">
              <w:rPr>
                <w:spacing w:val="-10"/>
              </w:rPr>
              <w:t xml:space="preserve"> </w:t>
            </w:r>
            <w:r w:rsidRPr="00C94C33">
              <w:t>lesions</w:t>
            </w:r>
          </w:p>
        </w:tc>
      </w:tr>
      <w:tr w:rsidR="00DF61BC" w:rsidRPr="00C94C33" w14:paraId="04CA5BC4" w14:textId="77777777" w:rsidTr="006263CF">
        <w:trPr>
          <w:trHeight w:val="57"/>
        </w:trPr>
        <w:tc>
          <w:tcPr>
            <w:tcW w:w="2079" w:type="dxa"/>
            <w:tcBorders>
              <w:top w:val="single" w:sz="4" w:space="0" w:color="000000"/>
              <w:left w:val="single" w:sz="4" w:space="0" w:color="auto"/>
              <w:bottom w:val="nil"/>
            </w:tcBorders>
            <w:shd w:val="clear" w:color="auto" w:fill="auto"/>
          </w:tcPr>
          <w:p w14:paraId="71737E43" w14:textId="77777777" w:rsidR="00DF61BC" w:rsidRPr="00C94C33" w:rsidRDefault="00DF61BC" w:rsidP="006263CF">
            <w:pPr>
              <w:pStyle w:val="Tabletext"/>
              <w:jc w:val="center"/>
            </w:pPr>
            <w:r w:rsidRPr="00C94C33">
              <w:t>CR</w:t>
            </w:r>
          </w:p>
        </w:tc>
        <w:tc>
          <w:tcPr>
            <w:tcW w:w="2080" w:type="dxa"/>
            <w:gridSpan w:val="2"/>
            <w:tcBorders>
              <w:top w:val="single" w:sz="4" w:space="0" w:color="000000"/>
              <w:left w:val="nil"/>
              <w:bottom w:val="nil"/>
            </w:tcBorders>
            <w:shd w:val="clear" w:color="auto" w:fill="auto"/>
          </w:tcPr>
          <w:p w14:paraId="76BFBD35" w14:textId="77777777" w:rsidR="00DF61BC" w:rsidRPr="00C94C33" w:rsidRDefault="00DF61BC" w:rsidP="006263CF">
            <w:pPr>
              <w:pStyle w:val="Tabletext"/>
              <w:jc w:val="center"/>
            </w:pPr>
            <w:r w:rsidRPr="00C94C33">
              <w:t>CR</w:t>
            </w:r>
          </w:p>
        </w:tc>
        <w:tc>
          <w:tcPr>
            <w:tcW w:w="2080" w:type="dxa"/>
            <w:gridSpan w:val="2"/>
            <w:tcBorders>
              <w:top w:val="single" w:sz="4" w:space="0" w:color="000000"/>
              <w:left w:val="nil"/>
              <w:bottom w:val="nil"/>
            </w:tcBorders>
            <w:shd w:val="clear" w:color="auto" w:fill="auto"/>
          </w:tcPr>
          <w:p w14:paraId="34CA979C" w14:textId="77777777" w:rsidR="00DF61BC" w:rsidRPr="00C94C33" w:rsidRDefault="00DF61BC" w:rsidP="006263CF">
            <w:pPr>
              <w:pStyle w:val="Tabletext"/>
              <w:jc w:val="center"/>
            </w:pPr>
            <w:r w:rsidRPr="00C94C33">
              <w:t>CR</w:t>
            </w:r>
          </w:p>
        </w:tc>
        <w:tc>
          <w:tcPr>
            <w:tcW w:w="2130" w:type="dxa"/>
            <w:gridSpan w:val="2"/>
            <w:tcBorders>
              <w:top w:val="single" w:sz="4" w:space="0" w:color="000000"/>
              <w:left w:val="nil"/>
              <w:bottom w:val="nil"/>
              <w:right w:val="single" w:sz="4" w:space="0" w:color="auto"/>
            </w:tcBorders>
            <w:shd w:val="clear" w:color="auto" w:fill="auto"/>
          </w:tcPr>
          <w:p w14:paraId="5B27112A" w14:textId="77777777" w:rsidR="00DF61BC" w:rsidRPr="00C94C33" w:rsidRDefault="00DF61BC" w:rsidP="006263CF">
            <w:pPr>
              <w:pStyle w:val="Tabletext"/>
              <w:jc w:val="center"/>
            </w:pPr>
            <w:r w:rsidRPr="00C94C33">
              <w:t>None</w:t>
            </w:r>
          </w:p>
        </w:tc>
      </w:tr>
      <w:tr w:rsidR="00DF61BC" w:rsidRPr="00C94C33" w14:paraId="027A0916" w14:textId="77777777" w:rsidTr="006263CF">
        <w:trPr>
          <w:trHeight w:val="57"/>
        </w:trPr>
        <w:tc>
          <w:tcPr>
            <w:tcW w:w="2079" w:type="dxa"/>
            <w:tcBorders>
              <w:top w:val="nil"/>
              <w:left w:val="single" w:sz="4" w:space="0" w:color="auto"/>
              <w:bottom w:val="nil"/>
            </w:tcBorders>
            <w:shd w:val="clear" w:color="auto" w:fill="auto"/>
          </w:tcPr>
          <w:p w14:paraId="622F2A12" w14:textId="77777777" w:rsidR="00DF61BC" w:rsidRPr="00C94C33" w:rsidRDefault="00DF61BC" w:rsidP="006263CF">
            <w:pPr>
              <w:pStyle w:val="Tabletext"/>
              <w:jc w:val="center"/>
            </w:pPr>
            <w:r w:rsidRPr="00C94C33">
              <w:t>PR</w:t>
            </w:r>
          </w:p>
        </w:tc>
        <w:tc>
          <w:tcPr>
            <w:tcW w:w="2080" w:type="dxa"/>
            <w:gridSpan w:val="2"/>
            <w:tcBorders>
              <w:top w:val="nil"/>
              <w:left w:val="nil"/>
              <w:bottom w:val="nil"/>
            </w:tcBorders>
            <w:shd w:val="clear" w:color="auto" w:fill="auto"/>
          </w:tcPr>
          <w:p w14:paraId="466DD366" w14:textId="77777777" w:rsidR="00DF61BC" w:rsidRPr="00C94C33" w:rsidRDefault="00DF61BC" w:rsidP="006263CF">
            <w:pPr>
              <w:pStyle w:val="Tabletext"/>
              <w:jc w:val="center"/>
            </w:pPr>
            <w:r w:rsidRPr="00C94C33">
              <w:t>CR</w:t>
            </w:r>
          </w:p>
        </w:tc>
        <w:tc>
          <w:tcPr>
            <w:tcW w:w="2080" w:type="dxa"/>
            <w:gridSpan w:val="2"/>
            <w:tcBorders>
              <w:top w:val="nil"/>
              <w:left w:val="nil"/>
              <w:bottom w:val="nil"/>
            </w:tcBorders>
            <w:shd w:val="clear" w:color="auto" w:fill="auto"/>
          </w:tcPr>
          <w:p w14:paraId="7E53C83E" w14:textId="77777777" w:rsidR="00DF61BC" w:rsidRPr="00C94C33" w:rsidRDefault="00DF61BC" w:rsidP="006263CF">
            <w:pPr>
              <w:pStyle w:val="Tabletext"/>
              <w:jc w:val="center"/>
            </w:pPr>
            <w:r w:rsidRPr="00C94C33">
              <w:t>IR/SD</w:t>
            </w:r>
          </w:p>
        </w:tc>
        <w:tc>
          <w:tcPr>
            <w:tcW w:w="2130" w:type="dxa"/>
            <w:gridSpan w:val="2"/>
            <w:tcBorders>
              <w:top w:val="nil"/>
              <w:left w:val="nil"/>
              <w:bottom w:val="nil"/>
              <w:right w:val="single" w:sz="4" w:space="0" w:color="auto"/>
            </w:tcBorders>
            <w:shd w:val="clear" w:color="auto" w:fill="auto"/>
          </w:tcPr>
          <w:p w14:paraId="6F35EAB5" w14:textId="77777777" w:rsidR="00DF61BC" w:rsidRPr="00C94C33" w:rsidRDefault="00DF61BC" w:rsidP="006263CF">
            <w:pPr>
              <w:pStyle w:val="Tabletext"/>
              <w:jc w:val="center"/>
            </w:pPr>
            <w:r w:rsidRPr="00C94C33">
              <w:t>None</w:t>
            </w:r>
          </w:p>
        </w:tc>
      </w:tr>
      <w:tr w:rsidR="00DF61BC" w:rsidRPr="00C94C33" w14:paraId="03565FC4" w14:textId="77777777" w:rsidTr="006263CF">
        <w:trPr>
          <w:trHeight w:val="57"/>
        </w:trPr>
        <w:tc>
          <w:tcPr>
            <w:tcW w:w="2079" w:type="dxa"/>
            <w:tcBorders>
              <w:top w:val="nil"/>
              <w:left w:val="single" w:sz="4" w:space="0" w:color="auto"/>
              <w:bottom w:val="nil"/>
            </w:tcBorders>
            <w:shd w:val="clear" w:color="auto" w:fill="auto"/>
          </w:tcPr>
          <w:p w14:paraId="1EBB30B0" w14:textId="77777777" w:rsidR="00DF61BC" w:rsidRPr="00C94C33" w:rsidRDefault="00DF61BC" w:rsidP="006263CF">
            <w:pPr>
              <w:pStyle w:val="Tabletext"/>
              <w:jc w:val="center"/>
            </w:pPr>
            <w:r w:rsidRPr="00C94C33">
              <w:t>PR</w:t>
            </w:r>
          </w:p>
        </w:tc>
        <w:tc>
          <w:tcPr>
            <w:tcW w:w="2080" w:type="dxa"/>
            <w:gridSpan w:val="2"/>
            <w:tcBorders>
              <w:top w:val="nil"/>
              <w:left w:val="nil"/>
              <w:bottom w:val="nil"/>
            </w:tcBorders>
            <w:shd w:val="clear" w:color="auto" w:fill="auto"/>
          </w:tcPr>
          <w:p w14:paraId="0E47A36A" w14:textId="77777777" w:rsidR="00DF61BC" w:rsidRPr="00C94C33" w:rsidRDefault="00DF61BC" w:rsidP="006263CF">
            <w:pPr>
              <w:pStyle w:val="Tabletext"/>
              <w:jc w:val="center"/>
            </w:pPr>
            <w:r w:rsidRPr="00C94C33">
              <w:t>PR</w:t>
            </w:r>
          </w:p>
        </w:tc>
        <w:tc>
          <w:tcPr>
            <w:tcW w:w="2080" w:type="dxa"/>
            <w:gridSpan w:val="2"/>
            <w:tcBorders>
              <w:top w:val="nil"/>
              <w:left w:val="nil"/>
              <w:bottom w:val="nil"/>
            </w:tcBorders>
            <w:shd w:val="clear" w:color="auto" w:fill="auto"/>
          </w:tcPr>
          <w:p w14:paraId="6D54CAF5" w14:textId="77777777" w:rsidR="00DF61BC" w:rsidRPr="00C94C33" w:rsidRDefault="00DF61BC" w:rsidP="006263CF">
            <w:pPr>
              <w:pStyle w:val="Tabletext"/>
              <w:jc w:val="center"/>
            </w:pPr>
            <w:r w:rsidRPr="00C94C33">
              <w:t>Non-PD</w:t>
            </w:r>
          </w:p>
        </w:tc>
        <w:tc>
          <w:tcPr>
            <w:tcW w:w="2130" w:type="dxa"/>
            <w:gridSpan w:val="2"/>
            <w:tcBorders>
              <w:top w:val="nil"/>
              <w:left w:val="nil"/>
              <w:bottom w:val="nil"/>
              <w:right w:val="single" w:sz="4" w:space="0" w:color="auto"/>
            </w:tcBorders>
            <w:shd w:val="clear" w:color="auto" w:fill="auto"/>
          </w:tcPr>
          <w:p w14:paraId="68FB14B5" w14:textId="77777777" w:rsidR="00DF61BC" w:rsidRPr="00C94C33" w:rsidRDefault="00DF61BC" w:rsidP="006263CF">
            <w:pPr>
              <w:pStyle w:val="Tabletext"/>
              <w:jc w:val="center"/>
            </w:pPr>
            <w:r w:rsidRPr="00C94C33">
              <w:t>None</w:t>
            </w:r>
          </w:p>
        </w:tc>
      </w:tr>
      <w:tr w:rsidR="00DF61BC" w:rsidRPr="00C94C33" w14:paraId="34E5C810" w14:textId="77777777" w:rsidTr="006263CF">
        <w:trPr>
          <w:trHeight w:val="57"/>
        </w:trPr>
        <w:tc>
          <w:tcPr>
            <w:tcW w:w="2079" w:type="dxa"/>
            <w:tcBorders>
              <w:top w:val="nil"/>
              <w:left w:val="single" w:sz="4" w:space="0" w:color="auto"/>
              <w:bottom w:val="nil"/>
            </w:tcBorders>
            <w:shd w:val="clear" w:color="auto" w:fill="auto"/>
          </w:tcPr>
          <w:p w14:paraId="23A486EC" w14:textId="77777777" w:rsidR="00DF61BC" w:rsidRPr="00C94C33" w:rsidRDefault="00DF61BC" w:rsidP="006263CF">
            <w:pPr>
              <w:pStyle w:val="Tabletext"/>
              <w:jc w:val="center"/>
            </w:pPr>
            <w:r w:rsidRPr="00C94C33">
              <w:t>SD</w:t>
            </w:r>
          </w:p>
        </w:tc>
        <w:tc>
          <w:tcPr>
            <w:tcW w:w="2080" w:type="dxa"/>
            <w:gridSpan w:val="2"/>
            <w:tcBorders>
              <w:top w:val="nil"/>
              <w:left w:val="nil"/>
              <w:bottom w:val="nil"/>
            </w:tcBorders>
            <w:shd w:val="clear" w:color="auto" w:fill="auto"/>
          </w:tcPr>
          <w:p w14:paraId="79D8BF5B" w14:textId="77777777" w:rsidR="00DF61BC" w:rsidRPr="00C94C33" w:rsidRDefault="00DF61BC" w:rsidP="006263CF">
            <w:pPr>
              <w:pStyle w:val="Tabletext"/>
              <w:jc w:val="center"/>
            </w:pPr>
            <w:r w:rsidRPr="00C94C33">
              <w:t>SD</w:t>
            </w:r>
          </w:p>
        </w:tc>
        <w:tc>
          <w:tcPr>
            <w:tcW w:w="2080" w:type="dxa"/>
            <w:gridSpan w:val="2"/>
            <w:tcBorders>
              <w:top w:val="nil"/>
              <w:left w:val="nil"/>
              <w:bottom w:val="nil"/>
            </w:tcBorders>
            <w:shd w:val="clear" w:color="auto" w:fill="auto"/>
          </w:tcPr>
          <w:p w14:paraId="0B320C09" w14:textId="77777777" w:rsidR="00DF61BC" w:rsidRPr="00C94C33" w:rsidRDefault="00DF61BC" w:rsidP="006263CF">
            <w:pPr>
              <w:pStyle w:val="Tabletext"/>
              <w:jc w:val="center"/>
            </w:pPr>
            <w:r w:rsidRPr="00C94C33">
              <w:t>Non-PD</w:t>
            </w:r>
          </w:p>
        </w:tc>
        <w:tc>
          <w:tcPr>
            <w:tcW w:w="2130" w:type="dxa"/>
            <w:gridSpan w:val="2"/>
            <w:tcBorders>
              <w:top w:val="nil"/>
              <w:left w:val="nil"/>
              <w:bottom w:val="nil"/>
              <w:right w:val="single" w:sz="4" w:space="0" w:color="auto"/>
            </w:tcBorders>
            <w:shd w:val="clear" w:color="auto" w:fill="auto"/>
          </w:tcPr>
          <w:p w14:paraId="1A04600E" w14:textId="77777777" w:rsidR="00DF61BC" w:rsidRPr="00C94C33" w:rsidRDefault="00DF61BC" w:rsidP="006263CF">
            <w:pPr>
              <w:pStyle w:val="Tabletext"/>
              <w:jc w:val="center"/>
            </w:pPr>
            <w:r w:rsidRPr="00C94C33">
              <w:t>None</w:t>
            </w:r>
          </w:p>
        </w:tc>
      </w:tr>
      <w:tr w:rsidR="00DF61BC" w:rsidRPr="00C94C33" w14:paraId="253060FC" w14:textId="77777777" w:rsidTr="006263CF">
        <w:trPr>
          <w:trHeight w:val="57"/>
        </w:trPr>
        <w:tc>
          <w:tcPr>
            <w:tcW w:w="2079" w:type="dxa"/>
            <w:tcBorders>
              <w:top w:val="nil"/>
              <w:left w:val="single" w:sz="4" w:space="0" w:color="auto"/>
              <w:bottom w:val="nil"/>
            </w:tcBorders>
            <w:shd w:val="clear" w:color="auto" w:fill="auto"/>
          </w:tcPr>
          <w:p w14:paraId="6E38D285" w14:textId="77777777" w:rsidR="00DF61BC" w:rsidRPr="00C94C33" w:rsidRDefault="00DF61BC" w:rsidP="006263CF">
            <w:pPr>
              <w:pStyle w:val="Tabletext"/>
              <w:jc w:val="center"/>
            </w:pPr>
            <w:r w:rsidRPr="00C94C33">
              <w:lastRenderedPageBreak/>
              <w:t>PD</w:t>
            </w:r>
          </w:p>
        </w:tc>
        <w:tc>
          <w:tcPr>
            <w:tcW w:w="2080" w:type="dxa"/>
            <w:gridSpan w:val="2"/>
            <w:tcBorders>
              <w:top w:val="nil"/>
              <w:left w:val="nil"/>
              <w:bottom w:val="nil"/>
            </w:tcBorders>
            <w:shd w:val="clear" w:color="auto" w:fill="auto"/>
          </w:tcPr>
          <w:p w14:paraId="14F127D0" w14:textId="77777777" w:rsidR="00DF61BC" w:rsidRPr="00C94C33" w:rsidRDefault="00DF61BC" w:rsidP="006263CF">
            <w:pPr>
              <w:pStyle w:val="Tabletext"/>
              <w:jc w:val="center"/>
            </w:pPr>
            <w:r w:rsidRPr="00C94C33">
              <w:t>PD</w:t>
            </w:r>
          </w:p>
        </w:tc>
        <w:tc>
          <w:tcPr>
            <w:tcW w:w="2080" w:type="dxa"/>
            <w:gridSpan w:val="2"/>
            <w:tcBorders>
              <w:top w:val="nil"/>
              <w:left w:val="nil"/>
              <w:bottom w:val="nil"/>
            </w:tcBorders>
            <w:shd w:val="clear" w:color="auto" w:fill="auto"/>
          </w:tcPr>
          <w:p w14:paraId="029114D5" w14:textId="77777777" w:rsidR="00DF61BC" w:rsidRPr="00C94C33" w:rsidRDefault="00DF61BC" w:rsidP="006263CF">
            <w:pPr>
              <w:pStyle w:val="Tabletext"/>
              <w:jc w:val="center"/>
            </w:pPr>
            <w:r w:rsidRPr="00C94C33">
              <w:t>Any</w:t>
            </w:r>
          </w:p>
        </w:tc>
        <w:tc>
          <w:tcPr>
            <w:tcW w:w="2130" w:type="dxa"/>
            <w:gridSpan w:val="2"/>
            <w:tcBorders>
              <w:top w:val="nil"/>
              <w:left w:val="nil"/>
              <w:bottom w:val="nil"/>
              <w:right w:val="single" w:sz="4" w:space="0" w:color="auto"/>
            </w:tcBorders>
            <w:shd w:val="clear" w:color="auto" w:fill="auto"/>
          </w:tcPr>
          <w:p w14:paraId="12D8E0AF" w14:textId="77777777" w:rsidR="00DF61BC" w:rsidRPr="00C94C33" w:rsidRDefault="00DF61BC" w:rsidP="006263CF">
            <w:pPr>
              <w:pStyle w:val="Tabletext"/>
              <w:jc w:val="center"/>
            </w:pPr>
            <w:r w:rsidRPr="00C94C33">
              <w:t>Yes</w:t>
            </w:r>
            <w:r w:rsidRPr="00C94C33">
              <w:rPr>
                <w:spacing w:val="-5"/>
              </w:rPr>
              <w:t xml:space="preserve"> </w:t>
            </w:r>
            <w:r w:rsidRPr="00C94C33">
              <w:t>or</w:t>
            </w:r>
            <w:r w:rsidRPr="00C94C33">
              <w:rPr>
                <w:spacing w:val="-4"/>
              </w:rPr>
              <w:t xml:space="preserve"> </w:t>
            </w:r>
            <w:r w:rsidRPr="00C94C33">
              <w:t>No</w:t>
            </w:r>
          </w:p>
        </w:tc>
      </w:tr>
      <w:tr w:rsidR="00DF61BC" w:rsidRPr="00C94C33" w14:paraId="1CA2A170" w14:textId="77777777" w:rsidTr="006263CF">
        <w:trPr>
          <w:trHeight w:val="57"/>
        </w:trPr>
        <w:tc>
          <w:tcPr>
            <w:tcW w:w="2079" w:type="dxa"/>
            <w:tcBorders>
              <w:top w:val="nil"/>
              <w:left w:val="single" w:sz="4" w:space="0" w:color="auto"/>
              <w:bottom w:val="nil"/>
            </w:tcBorders>
            <w:shd w:val="clear" w:color="auto" w:fill="auto"/>
          </w:tcPr>
          <w:p w14:paraId="4C0571FF" w14:textId="77777777" w:rsidR="00DF61BC" w:rsidRPr="00C94C33" w:rsidRDefault="00DF61BC" w:rsidP="006263CF">
            <w:pPr>
              <w:pStyle w:val="Tabletext"/>
              <w:jc w:val="center"/>
            </w:pPr>
            <w:r w:rsidRPr="00C94C33">
              <w:t>PD</w:t>
            </w:r>
          </w:p>
        </w:tc>
        <w:tc>
          <w:tcPr>
            <w:tcW w:w="2080" w:type="dxa"/>
            <w:gridSpan w:val="2"/>
            <w:tcBorders>
              <w:top w:val="nil"/>
              <w:left w:val="nil"/>
              <w:bottom w:val="nil"/>
            </w:tcBorders>
            <w:shd w:val="clear" w:color="auto" w:fill="auto"/>
          </w:tcPr>
          <w:p w14:paraId="07F3244C" w14:textId="77777777" w:rsidR="00DF61BC" w:rsidRPr="00C94C33" w:rsidRDefault="00DF61BC" w:rsidP="006263CF">
            <w:pPr>
              <w:pStyle w:val="Tabletext"/>
              <w:jc w:val="center"/>
            </w:pPr>
            <w:r w:rsidRPr="00C94C33">
              <w:t>Any</w:t>
            </w:r>
          </w:p>
        </w:tc>
        <w:tc>
          <w:tcPr>
            <w:tcW w:w="2080" w:type="dxa"/>
            <w:gridSpan w:val="2"/>
            <w:tcBorders>
              <w:top w:val="nil"/>
              <w:left w:val="nil"/>
              <w:bottom w:val="nil"/>
            </w:tcBorders>
            <w:shd w:val="clear" w:color="auto" w:fill="auto"/>
          </w:tcPr>
          <w:p w14:paraId="15C4373A" w14:textId="77777777" w:rsidR="00DF61BC" w:rsidRPr="00C94C33" w:rsidRDefault="00DF61BC" w:rsidP="006263CF">
            <w:pPr>
              <w:pStyle w:val="Tabletext"/>
              <w:jc w:val="center"/>
            </w:pPr>
            <w:r w:rsidRPr="00C94C33">
              <w:t>PD</w:t>
            </w:r>
          </w:p>
        </w:tc>
        <w:tc>
          <w:tcPr>
            <w:tcW w:w="2130" w:type="dxa"/>
            <w:gridSpan w:val="2"/>
            <w:tcBorders>
              <w:top w:val="nil"/>
              <w:left w:val="nil"/>
              <w:bottom w:val="nil"/>
              <w:right w:val="single" w:sz="4" w:space="0" w:color="auto"/>
            </w:tcBorders>
            <w:shd w:val="clear" w:color="auto" w:fill="auto"/>
          </w:tcPr>
          <w:p w14:paraId="238767B7" w14:textId="77777777" w:rsidR="00DF61BC" w:rsidRPr="00C94C33" w:rsidRDefault="00DF61BC" w:rsidP="006263CF">
            <w:pPr>
              <w:pStyle w:val="Tabletext"/>
              <w:jc w:val="center"/>
            </w:pPr>
            <w:r w:rsidRPr="00C94C33">
              <w:t>Yes</w:t>
            </w:r>
            <w:r w:rsidRPr="00C94C33">
              <w:rPr>
                <w:spacing w:val="-5"/>
              </w:rPr>
              <w:t xml:space="preserve"> </w:t>
            </w:r>
            <w:r w:rsidRPr="00C94C33">
              <w:t>or</w:t>
            </w:r>
            <w:r w:rsidRPr="00C94C33">
              <w:rPr>
                <w:spacing w:val="-4"/>
              </w:rPr>
              <w:t xml:space="preserve"> </w:t>
            </w:r>
            <w:r w:rsidRPr="00C94C33">
              <w:t>No</w:t>
            </w:r>
          </w:p>
        </w:tc>
      </w:tr>
      <w:tr w:rsidR="00DF61BC" w:rsidRPr="00C94C33" w14:paraId="3D3F04C2" w14:textId="77777777" w:rsidTr="006263CF">
        <w:trPr>
          <w:trHeight w:val="57"/>
        </w:trPr>
        <w:tc>
          <w:tcPr>
            <w:tcW w:w="2079" w:type="dxa"/>
            <w:tcBorders>
              <w:top w:val="nil"/>
              <w:left w:val="single" w:sz="4" w:space="0" w:color="auto"/>
              <w:bottom w:val="single" w:sz="4" w:space="0" w:color="000000"/>
            </w:tcBorders>
            <w:shd w:val="clear" w:color="auto" w:fill="auto"/>
          </w:tcPr>
          <w:p w14:paraId="261803E1" w14:textId="77777777" w:rsidR="00DF61BC" w:rsidRPr="00C94C33" w:rsidRDefault="00DF61BC" w:rsidP="006263CF">
            <w:pPr>
              <w:pStyle w:val="Tabletext"/>
              <w:jc w:val="center"/>
            </w:pPr>
            <w:r w:rsidRPr="00C94C33">
              <w:t>PD</w:t>
            </w:r>
          </w:p>
        </w:tc>
        <w:tc>
          <w:tcPr>
            <w:tcW w:w="2080" w:type="dxa"/>
            <w:gridSpan w:val="2"/>
            <w:tcBorders>
              <w:top w:val="nil"/>
              <w:left w:val="nil"/>
              <w:bottom w:val="single" w:sz="4" w:space="0" w:color="000000"/>
            </w:tcBorders>
            <w:shd w:val="clear" w:color="auto" w:fill="auto"/>
          </w:tcPr>
          <w:p w14:paraId="02599F71" w14:textId="77777777" w:rsidR="00DF61BC" w:rsidRPr="00C94C33" w:rsidRDefault="00DF61BC" w:rsidP="006263CF">
            <w:pPr>
              <w:pStyle w:val="Tabletext"/>
              <w:jc w:val="center"/>
            </w:pPr>
            <w:r w:rsidRPr="00C94C33">
              <w:t>Any</w:t>
            </w:r>
          </w:p>
        </w:tc>
        <w:tc>
          <w:tcPr>
            <w:tcW w:w="2080" w:type="dxa"/>
            <w:gridSpan w:val="2"/>
            <w:tcBorders>
              <w:top w:val="nil"/>
              <w:left w:val="nil"/>
              <w:bottom w:val="single" w:sz="4" w:space="0" w:color="000000"/>
            </w:tcBorders>
            <w:shd w:val="clear" w:color="auto" w:fill="auto"/>
          </w:tcPr>
          <w:p w14:paraId="43465737" w14:textId="77777777" w:rsidR="00DF61BC" w:rsidRPr="00C94C33" w:rsidRDefault="00DF61BC" w:rsidP="006263CF">
            <w:pPr>
              <w:pStyle w:val="Tabletext"/>
              <w:jc w:val="center"/>
            </w:pPr>
            <w:r w:rsidRPr="00C94C33">
              <w:t>Any</w:t>
            </w:r>
          </w:p>
        </w:tc>
        <w:tc>
          <w:tcPr>
            <w:tcW w:w="2130" w:type="dxa"/>
            <w:gridSpan w:val="2"/>
            <w:tcBorders>
              <w:top w:val="nil"/>
              <w:left w:val="nil"/>
              <w:bottom w:val="single" w:sz="4" w:space="0" w:color="000000"/>
              <w:right w:val="single" w:sz="4" w:space="0" w:color="auto"/>
            </w:tcBorders>
            <w:shd w:val="clear" w:color="auto" w:fill="auto"/>
          </w:tcPr>
          <w:p w14:paraId="7C8CB66A" w14:textId="77777777" w:rsidR="00DF61BC" w:rsidRPr="00C94C33" w:rsidRDefault="00DF61BC" w:rsidP="006263CF">
            <w:pPr>
              <w:pStyle w:val="Tabletext"/>
              <w:jc w:val="center"/>
            </w:pPr>
            <w:r w:rsidRPr="00C94C33">
              <w:t>Yes</w:t>
            </w:r>
          </w:p>
        </w:tc>
      </w:tr>
    </w:tbl>
    <w:p w14:paraId="6506DB69" w14:textId="7C1351D2" w:rsidR="00DF61BC" w:rsidRPr="00C94C33" w:rsidRDefault="00DF61BC" w:rsidP="00AD742C">
      <w:pPr>
        <w:pStyle w:val="TableDescription"/>
      </w:pPr>
      <w:r w:rsidRPr="00C94C33">
        <w:t>CR: After initially reaching CR, that condition must be maintained and radiologically confirmed after at least four weeks</w:t>
      </w:r>
      <w:r w:rsidR="000A1A7B">
        <w:t xml:space="preserve">; </w:t>
      </w:r>
      <w:r w:rsidRPr="00C94C33">
        <w:t>PR: After initially reaching PR, the PR condition must be maintained and radiologically confirmed after at least four weeks</w:t>
      </w:r>
      <w:r w:rsidR="000A1A7B">
        <w:t xml:space="preserve">; </w:t>
      </w:r>
      <w:r w:rsidRPr="00C94C33">
        <w:t>SD:</w:t>
      </w:r>
      <w:r w:rsidR="00C1052D" w:rsidRPr="00C94C33">
        <w:t xml:space="preserve"> </w:t>
      </w:r>
      <w:r w:rsidRPr="00C94C33">
        <w:t>The response has not reached CR or PR in radiologic assessments over at least six weeks since the start of study drug administration and it has been confirmed that PD has not occurred</w:t>
      </w:r>
      <w:r w:rsidR="000A1A7B">
        <w:t xml:space="preserve">; </w:t>
      </w:r>
      <w:r w:rsidRPr="00C94C33">
        <w:t>PD:</w:t>
      </w:r>
      <w:r w:rsidR="00C1052D" w:rsidRPr="00C94C33">
        <w:t xml:space="preserve"> </w:t>
      </w:r>
      <w:r w:rsidRPr="00C94C33">
        <w:t>The CR, PR, and SD criteria are not fulfilled and PD is radiologically confirmed in target lesions or non-target lesions, or the appearance of new lesions is confirmed.</w:t>
      </w:r>
    </w:p>
    <w:p w14:paraId="67B06345" w14:textId="77777777" w:rsidR="00AA7141" w:rsidRDefault="00DF61BC" w:rsidP="00DF61BC">
      <w:pPr>
        <w:rPr>
          <w:rFonts w:asciiTheme="minorHAnsi" w:hAnsiTheme="minorHAnsi"/>
        </w:rPr>
      </w:pPr>
      <w:r w:rsidRPr="00C94C33">
        <w:rPr>
          <w:rFonts w:asciiTheme="minorHAnsi" w:hAnsiTheme="minorHAnsi"/>
        </w:rPr>
        <w:t>If it was not possible to evaluate target lesions, non-target lesions, or the appearance of new lesions, the response was considered NE (not evaluable).</w:t>
      </w:r>
    </w:p>
    <w:p w14:paraId="7CE88501" w14:textId="795FB504" w:rsidR="00DF61BC" w:rsidRPr="00C94C33" w:rsidRDefault="00DF61BC" w:rsidP="00AD742C">
      <w:pPr>
        <w:pStyle w:val="ListBullet"/>
      </w:pPr>
      <w:r w:rsidRPr="00C94C33">
        <w:t>The disease control rate (DCR) was defined as the percentage of patients in which there was no clear worsening of the clinical condition for six weeks or more after the start of administration in patients in which the best overall response was determined to be CR, PR, or SD.</w:t>
      </w:r>
    </w:p>
    <w:p w14:paraId="7F43741E" w14:textId="77777777" w:rsidR="00DF61BC" w:rsidRPr="00C94C33" w:rsidRDefault="00DF61BC" w:rsidP="00AD742C">
      <w:pPr>
        <w:pStyle w:val="ListBullet"/>
      </w:pPr>
      <w:r w:rsidRPr="00C94C33">
        <w:t>The duration of overall response was defined as the period from the day when the overall response is first judged to be CR or PR to the day of confirmation of PD.</w:t>
      </w:r>
    </w:p>
    <w:p w14:paraId="59CA8D5F" w14:textId="0C36D0E4" w:rsidR="00DF61BC" w:rsidRPr="00C94C33" w:rsidRDefault="00DF61BC" w:rsidP="00AD742C">
      <w:pPr>
        <w:pStyle w:val="ListBullet"/>
      </w:pPr>
      <w:r w:rsidRPr="00C94C33">
        <w:t>The duration of stable disease was defined as the period from the day of initiation of administration in Course 1 to the day of confirmation of PD.</w:t>
      </w:r>
    </w:p>
    <w:p w14:paraId="4A9E53B2" w14:textId="77777777" w:rsidR="00DF61BC" w:rsidRPr="00C94C33" w:rsidRDefault="00DF61BC" w:rsidP="00AD742C">
      <w:pPr>
        <w:pStyle w:val="ListBullet"/>
      </w:pPr>
      <w:r w:rsidRPr="00C94C33">
        <w:t>The time to tumour response (CR or PR) was defined as the period from the day of initiation of administration in Course 1 to the day when the overall response is first judged to be CR or PR.</w:t>
      </w:r>
    </w:p>
    <w:p w14:paraId="36FDB9DE" w14:textId="2DF86803" w:rsidR="00DF61BC" w:rsidRPr="00C94C33" w:rsidRDefault="00C1052D" w:rsidP="00AD742C">
      <w:pPr>
        <w:pStyle w:val="ListBullet"/>
      </w:pPr>
      <w:r w:rsidRPr="00C94C33">
        <w:t>T</w:t>
      </w:r>
      <w:r w:rsidR="00DF61BC" w:rsidRPr="00C94C33">
        <w:t>he tumour shrinkage rate.</w:t>
      </w:r>
    </w:p>
    <w:p w14:paraId="3ED04A32" w14:textId="77777777" w:rsidR="00DF61BC" w:rsidRPr="00C94C33" w:rsidRDefault="00DF61BC" w:rsidP="00955252">
      <w:pPr>
        <w:pStyle w:val="Heading4"/>
      </w:pPr>
      <w:bookmarkStart w:id="290" w:name="_Toc470948545"/>
      <w:r w:rsidRPr="00C94C33">
        <w:t>Randomisation and blinding methods</w:t>
      </w:r>
      <w:bookmarkEnd w:id="290"/>
    </w:p>
    <w:p w14:paraId="57BB441E" w14:textId="4F740217"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The study was double</w:t>
      </w:r>
      <w:r w:rsidR="000A1A7B">
        <w:rPr>
          <w:rFonts w:asciiTheme="minorHAnsi" w:hAnsiTheme="minorHAnsi"/>
        </w:rPr>
        <w:t xml:space="preserve"> </w:t>
      </w:r>
      <w:r w:rsidRPr="00C94C33">
        <w:rPr>
          <w:rFonts w:asciiTheme="minorHAnsi" w:hAnsiTheme="minorHAnsi"/>
        </w:rPr>
        <w:t>blinded, with treatment assignment being blinded to patients, investigators, sub-investigators, clinical research staff, and the sponsor. Following confirmation of eligibility, patients were randomised by the registration centre to the two treatment groups (TAS-102 group and placebo group) at a ratio of 2:1, and stratified according to ECOG performance status (PS: 0</w:t>
      </w:r>
      <w:r w:rsidR="00C11183">
        <w:rPr>
          <w:rFonts w:asciiTheme="minorHAnsi" w:hAnsiTheme="minorHAnsi"/>
        </w:rPr>
        <w:t xml:space="preserve"> versus </w:t>
      </w:r>
      <w:r w:rsidRPr="00C94C33">
        <w:rPr>
          <w:rFonts w:asciiTheme="minorHAnsi" w:hAnsiTheme="minorHAnsi"/>
        </w:rPr>
        <w:t>1/2). The study included emergency unblinding procedures.</w:t>
      </w:r>
    </w:p>
    <w:p w14:paraId="46311893" w14:textId="77777777" w:rsidR="00DF61BC" w:rsidRPr="00C94C33" w:rsidRDefault="00DF61BC" w:rsidP="00955252">
      <w:pPr>
        <w:pStyle w:val="Heading4"/>
      </w:pPr>
      <w:bookmarkStart w:id="291" w:name="_Toc470948546"/>
      <w:r w:rsidRPr="00C94C33">
        <w:t>Analysis populations</w:t>
      </w:r>
      <w:bookmarkEnd w:id="291"/>
    </w:p>
    <w:p w14:paraId="6488ABE6" w14:textId="77777777"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The analysis sets were:</w:t>
      </w:r>
    </w:p>
    <w:p w14:paraId="6A3770FE" w14:textId="30811362" w:rsidR="00DF61BC" w:rsidRPr="00C94C33" w:rsidRDefault="00DF61BC" w:rsidP="00AD742C">
      <w:pPr>
        <w:pStyle w:val="ListBullet"/>
      </w:pPr>
      <w:r w:rsidRPr="00C94C33">
        <w:t>Randomised patients: All randomised patients.</w:t>
      </w:r>
    </w:p>
    <w:p w14:paraId="6BF6A354" w14:textId="77777777" w:rsidR="00DF61BC" w:rsidRPr="00C94C33" w:rsidRDefault="00DF61BC" w:rsidP="00AD742C">
      <w:pPr>
        <w:pStyle w:val="ListBullet"/>
      </w:pPr>
      <w:r w:rsidRPr="00C94C33">
        <w:t>Eligible patients: Randomised patients who fulfil the inclusion criteria and did not violate the exclusion criteria.</w:t>
      </w:r>
    </w:p>
    <w:p w14:paraId="6FE4AC4C" w14:textId="77777777" w:rsidR="00DF61BC" w:rsidRPr="00C94C33" w:rsidRDefault="00DF61BC" w:rsidP="00AD742C">
      <w:pPr>
        <w:pStyle w:val="ListBullet"/>
      </w:pPr>
      <w:r w:rsidRPr="00C94C33">
        <w:t>Full Analysis Set (FAS): Eligible patients to whom the investigational drug was administered at least once with observations after administration.</w:t>
      </w:r>
      <w:r w:rsidRPr="00C94C33">
        <w:tab/>
      </w:r>
    </w:p>
    <w:p w14:paraId="32B2D745" w14:textId="77777777" w:rsidR="00DF61BC" w:rsidRPr="00C94C33" w:rsidRDefault="00DF61BC" w:rsidP="00AD742C">
      <w:pPr>
        <w:pStyle w:val="ListBullet"/>
      </w:pPr>
      <w:r w:rsidRPr="00C94C33">
        <w:t>Investigational drug administration patients: Randomised patients to whom the investigational drug was administered at least once.</w:t>
      </w:r>
    </w:p>
    <w:p w14:paraId="11F94F0E" w14:textId="77777777" w:rsidR="00DF61BC" w:rsidRPr="00C94C33" w:rsidDel="0081373E" w:rsidRDefault="00DF61BC" w:rsidP="00955252">
      <w:pPr>
        <w:pStyle w:val="Heading4"/>
      </w:pPr>
      <w:bookmarkStart w:id="292" w:name="_Toc470948547"/>
      <w:r w:rsidRPr="00C94C33" w:rsidDel="0081373E">
        <w:t>Sample size</w:t>
      </w:r>
      <w:bookmarkEnd w:id="292"/>
    </w:p>
    <w:p w14:paraId="245A8F86" w14:textId="62D16713"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The total planned randomised patient sample size was 162 patients, including 108 to the TAS-102 group and 54 to the placebo group. Based on previous clinical data, the sponsor estimated the median survival time (MST) to be 9.0 months for the TAS-102 group and 6.0 months for the placebo group. The sponsor assumed a 12-month registration period, a 12-month follow-up period, a significance level of one-sided 10%, power of 80%, and a total of 162 patients randomised 2:1, respectively, to TAS-102 and placebo, based on a 5% FAS rejection rate.</w:t>
      </w:r>
    </w:p>
    <w:p w14:paraId="4140CD70" w14:textId="77777777" w:rsidR="00DF61BC" w:rsidRPr="00C94C33" w:rsidRDefault="00DF61BC" w:rsidP="00955252">
      <w:pPr>
        <w:pStyle w:val="Heading4"/>
      </w:pPr>
      <w:bookmarkStart w:id="293" w:name="_Toc470948548"/>
      <w:r w:rsidRPr="00C94C33">
        <w:lastRenderedPageBreak/>
        <w:t>Statistical methods</w:t>
      </w:r>
      <w:bookmarkEnd w:id="293"/>
    </w:p>
    <w:p w14:paraId="6E161FA5" w14:textId="77777777" w:rsidR="00DF61BC" w:rsidRPr="00C94C33" w:rsidRDefault="00DF61BC" w:rsidP="00955252">
      <w:pPr>
        <w:pStyle w:val="Heading5"/>
      </w:pPr>
      <w:bookmarkStart w:id="294" w:name="_Toc470948549"/>
      <w:r w:rsidRPr="00C94C33">
        <w:t>Main analysis</w:t>
      </w:r>
      <w:bookmarkEnd w:id="294"/>
    </w:p>
    <w:p w14:paraId="61C8F49A" w14:textId="166C20E4"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The main analysis was overall survival (OS) in the (FAS). The OS significance level was set at 10% (one-sided), and a stratified log-rank test was performed to test the superiority of TAS-102 compared to placebo. The survival curves were created using the Kaplan-Meier method, and the median survival times and associated 80% CIs were calculated. The survival data were analysed using a Cox proportional hazards model adjusted by stratification factor, and the HR and associated 80% CI were calculated. In addition, the associated 95% CI was calculated for both the median survival time the HR. Based on the OS assumptions used to estimate the sample size, the number of expected deaths at the completion of the 12-month follow-up period was anticipated to be 121. The main analyses were to be performed when 121 deaths had occurred, which means that follow-up could be longer (18 months at the longest from the end of subject registration) or shorter than the anticipated 12 months. The final statistical analysis was to be undertaken at the point when the survival follow-up period was completed for all patients.</w:t>
      </w:r>
    </w:p>
    <w:p w14:paraId="755C94EE" w14:textId="77777777" w:rsidR="00DF61BC" w:rsidRPr="00C94C33" w:rsidRDefault="00DF61BC" w:rsidP="00955252">
      <w:pPr>
        <w:pStyle w:val="Heading5"/>
      </w:pPr>
      <w:bookmarkStart w:id="295" w:name="_Toc470948550"/>
      <w:r w:rsidRPr="00C94C33">
        <w:t>Secondary analyses</w:t>
      </w:r>
      <w:bookmarkEnd w:id="295"/>
    </w:p>
    <w:p w14:paraId="7BCA5842" w14:textId="4D368E43" w:rsidR="00DF61BC" w:rsidRPr="00C94C33" w:rsidRDefault="00DF61BC" w:rsidP="00AD742C">
      <w:pPr>
        <w:pStyle w:val="ListBullet"/>
      </w:pPr>
      <w:r w:rsidRPr="00C94C33">
        <w:t>The response rate (RR) and associated 95% CI were calculated for each treatment group (FAS), and between group testing was performed using Fisher’s exact test.</w:t>
      </w:r>
    </w:p>
    <w:p w14:paraId="1CA8C81A" w14:textId="40FC8C76" w:rsidR="00DF61BC" w:rsidRPr="00C94C33" w:rsidRDefault="00DF61BC" w:rsidP="00AD742C">
      <w:pPr>
        <w:pStyle w:val="ListBullet"/>
      </w:pPr>
      <w:r w:rsidRPr="00C94C33">
        <w:t>The disease control rate (DCR) was analysed using the same method described for the RR.</w:t>
      </w:r>
    </w:p>
    <w:p w14:paraId="1211451F" w14:textId="77777777" w:rsidR="00DF61BC" w:rsidRPr="00C94C33" w:rsidRDefault="00DF61BC" w:rsidP="00AD742C">
      <w:pPr>
        <w:pStyle w:val="ListBullet"/>
      </w:pPr>
      <w:r w:rsidRPr="00C94C33">
        <w:t>The total duration of response (DR), the duration of complete response, and the stable period were calculated in the FAS.</w:t>
      </w:r>
    </w:p>
    <w:p w14:paraId="3B95682A" w14:textId="66C0E1E5" w:rsidR="00DF61BC" w:rsidRPr="00C94C33" w:rsidRDefault="00DF61BC" w:rsidP="00AD742C">
      <w:pPr>
        <w:pStyle w:val="ListBullet"/>
      </w:pPr>
      <w:r w:rsidRPr="00C94C33">
        <w:t>Progression</w:t>
      </w:r>
      <w:r w:rsidR="000A1A7B">
        <w:t xml:space="preserve"> </w:t>
      </w:r>
      <w:r w:rsidRPr="00C94C33">
        <w:t>free analysis (PFS) was analysed using similar meth</w:t>
      </w:r>
      <w:r w:rsidR="006263CF">
        <w:t>ods to those described for OS.</w:t>
      </w:r>
    </w:p>
    <w:p w14:paraId="67335434" w14:textId="77777777" w:rsidR="00AA7141" w:rsidRDefault="00DF61BC" w:rsidP="00AD742C">
      <w:pPr>
        <w:pStyle w:val="ListBullet"/>
      </w:pPr>
      <w:r w:rsidRPr="00C94C33">
        <w:t>Time to treatment failure (TTF) was analysed using the same methods as those PFS.</w:t>
      </w:r>
    </w:p>
    <w:p w14:paraId="76716B90" w14:textId="74DD41D4" w:rsidR="00DF61BC" w:rsidRPr="00C94C33" w:rsidRDefault="00DF61BC" w:rsidP="00955252">
      <w:pPr>
        <w:pStyle w:val="Heading5"/>
      </w:pPr>
      <w:bookmarkStart w:id="296" w:name="_Toc470948551"/>
      <w:r w:rsidRPr="00C94C33">
        <w:t>Missing data</w:t>
      </w:r>
      <w:bookmarkEnd w:id="296"/>
    </w:p>
    <w:p w14:paraId="78386008" w14:textId="6BB35E4F" w:rsidR="00DF61BC" w:rsidRPr="00C94C33" w:rsidRDefault="00DF61BC" w:rsidP="00DF61BC">
      <w:pPr>
        <w:autoSpaceDE w:val="0"/>
        <w:autoSpaceDN w:val="0"/>
        <w:adjustRightInd w:val="0"/>
        <w:ind w:left="284" w:hanging="284"/>
        <w:rPr>
          <w:rFonts w:asciiTheme="minorHAnsi" w:hAnsiTheme="minorHAnsi"/>
        </w:rPr>
      </w:pPr>
      <w:r w:rsidRPr="00C94C33">
        <w:rPr>
          <w:rFonts w:asciiTheme="minorHAnsi" w:hAnsiTheme="minorHAnsi"/>
        </w:rPr>
        <w:t>Missing data were not imputed in the analyses.</w:t>
      </w:r>
    </w:p>
    <w:p w14:paraId="25C90254" w14:textId="77777777" w:rsidR="00DF61BC" w:rsidRPr="00C94C33" w:rsidRDefault="00DF61BC" w:rsidP="00955252">
      <w:pPr>
        <w:pStyle w:val="Heading5"/>
      </w:pPr>
      <w:bookmarkStart w:id="297" w:name="_Toc470948552"/>
      <w:r w:rsidRPr="00C94C33">
        <w:t>Changes to the statistical analysis plan</w:t>
      </w:r>
      <w:bookmarkEnd w:id="297"/>
    </w:p>
    <w:p w14:paraId="2B6B07E4" w14:textId="5B35FFF9"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There were a large number of amendments to the initial statistical plan. The amendments have been examined and are considered not to have invalidated the efficacy analysis. The final statistical analysis plan (Version 4.0) was dated 19 August 2011. No amendments to the statistical analysis plan appear to be made after finalisation of the plan.</w:t>
      </w:r>
    </w:p>
    <w:p w14:paraId="441A7238" w14:textId="77777777" w:rsidR="00DF61BC" w:rsidRPr="00C94C33" w:rsidRDefault="00DF61BC" w:rsidP="00955252">
      <w:pPr>
        <w:pStyle w:val="Heading4"/>
      </w:pPr>
      <w:bookmarkStart w:id="298" w:name="_Toc470948553"/>
      <w:r w:rsidRPr="00C94C33">
        <w:t>Participant flow</w:t>
      </w:r>
      <w:bookmarkEnd w:id="298"/>
    </w:p>
    <w:p w14:paraId="459CB79E" w14:textId="196D7C6E" w:rsidR="00DF61BC" w:rsidRPr="00C94C33" w:rsidRDefault="00DF61BC" w:rsidP="00DF61BC">
      <w:pPr>
        <w:autoSpaceDE w:val="0"/>
        <w:autoSpaceDN w:val="0"/>
        <w:adjustRightInd w:val="0"/>
        <w:rPr>
          <w:rFonts w:asciiTheme="minorHAnsi" w:hAnsiTheme="minorHAnsi"/>
          <w:color w:val="000000"/>
        </w:rPr>
      </w:pPr>
      <w:r w:rsidRPr="00C94C33">
        <w:rPr>
          <w:rFonts w:asciiTheme="minorHAnsi" w:hAnsiTheme="minorHAnsi"/>
          <w:color w:val="000000"/>
        </w:rPr>
        <w:t xml:space="preserve">A total of 172 patients were randomised, including 114 patients to TAS-102 and 58 patients to placebo. In the TAS-102 group, 2 patients were excluded (1 was not eligible after treatment and 1 was discontinued before treatment), while in the placebo group 1 patient discontinued before treatment. The FAS population consisted of 169 patients, including 112 patients in the TAS-102 group and 57 patients in the placebo group. </w:t>
      </w:r>
      <w:r w:rsidRPr="00C94C33">
        <w:rPr>
          <w:rFonts w:asciiTheme="minorHAnsi" w:hAnsiTheme="minorHAnsi"/>
        </w:rPr>
        <w:t>At the clinical cut-off for the final report, 4 patients (all in the TAS-102 group) were continuing treatment and 165 patients (108, TAS-102; 57, placebo) had discontinued treatment. Of the 112 patients (FAS) in the TAS-102 group, 88.4% (</w:t>
      </w:r>
      <w:r w:rsidR="009C0389" w:rsidRPr="00C94C33">
        <w:rPr>
          <w:rFonts w:asciiTheme="minorHAnsi" w:hAnsiTheme="minorHAnsi"/>
        </w:rPr>
        <w:t xml:space="preserve">n = </w:t>
      </w:r>
      <w:r w:rsidRPr="00C94C33">
        <w:rPr>
          <w:rFonts w:asciiTheme="minorHAnsi" w:hAnsiTheme="minorHAnsi"/>
        </w:rPr>
        <w:t>99) had discontinued treatment due to disease progression compared to 98.2% (</w:t>
      </w:r>
      <w:r w:rsidR="009C0389" w:rsidRPr="00C94C33">
        <w:rPr>
          <w:rFonts w:asciiTheme="minorHAnsi" w:hAnsiTheme="minorHAnsi"/>
        </w:rPr>
        <w:t xml:space="preserve">n = </w:t>
      </w:r>
      <w:r w:rsidRPr="00C94C33">
        <w:rPr>
          <w:rFonts w:asciiTheme="minorHAnsi" w:hAnsiTheme="minorHAnsi"/>
        </w:rPr>
        <w:t>57) of the 47 patients (FAS) in the placebo group.</w:t>
      </w:r>
    </w:p>
    <w:p w14:paraId="283D0A1B" w14:textId="77777777" w:rsidR="00DF61BC" w:rsidRPr="00C94C33" w:rsidRDefault="00DF61BC" w:rsidP="00955252">
      <w:pPr>
        <w:pStyle w:val="Heading4"/>
      </w:pPr>
      <w:bookmarkStart w:id="299" w:name="_Toc470948554"/>
      <w:r w:rsidRPr="00C94C33">
        <w:t>Major protocol deviations</w:t>
      </w:r>
      <w:bookmarkEnd w:id="299"/>
    </w:p>
    <w:p w14:paraId="48B98241" w14:textId="723F3D1D"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Protocol deviations were observed in 17 (14.9%) patients enrolled in the TAS-102 group and 7 (12.1%) patients enrolled in the placebo group. The main protocol deviation in both treatment groups was deviation from laboratory study/observation schedules (</w:t>
      </w:r>
      <w:r w:rsidR="009C0389" w:rsidRPr="00C94C33">
        <w:rPr>
          <w:rFonts w:asciiTheme="minorHAnsi" w:hAnsiTheme="minorHAnsi"/>
        </w:rPr>
        <w:t xml:space="preserve">n = </w:t>
      </w:r>
      <w:r w:rsidRPr="00C94C33">
        <w:rPr>
          <w:rFonts w:asciiTheme="minorHAnsi" w:hAnsiTheme="minorHAnsi"/>
        </w:rPr>
        <w:t xml:space="preserve">10 </w:t>
      </w:r>
      <w:r w:rsidR="00A0007E" w:rsidRPr="00C94C33">
        <w:rPr>
          <w:rFonts w:asciiTheme="minorHAnsi" w:hAnsiTheme="minorHAnsi"/>
        </w:rPr>
        <w:t>(</w:t>
      </w:r>
      <w:r w:rsidRPr="00C94C33">
        <w:rPr>
          <w:rFonts w:asciiTheme="minorHAnsi" w:hAnsiTheme="minorHAnsi"/>
        </w:rPr>
        <w:t>8.8%</w:t>
      </w:r>
      <w:r w:rsidR="00A0007E" w:rsidRPr="00C94C33">
        <w:rPr>
          <w:rFonts w:asciiTheme="minorHAnsi" w:hAnsiTheme="minorHAnsi"/>
        </w:rPr>
        <w:t>)</w:t>
      </w:r>
      <w:r w:rsidRPr="00C94C33">
        <w:rPr>
          <w:rFonts w:asciiTheme="minorHAnsi" w:hAnsiTheme="minorHAnsi"/>
        </w:rPr>
        <w:t xml:space="preserve">, TAS-102; </w:t>
      </w:r>
      <w:r w:rsidR="009C0389" w:rsidRPr="00C94C33">
        <w:rPr>
          <w:rFonts w:asciiTheme="minorHAnsi" w:hAnsiTheme="minorHAnsi"/>
        </w:rPr>
        <w:t xml:space="preserve">n = </w:t>
      </w:r>
      <w:r w:rsidRPr="00C94C33">
        <w:rPr>
          <w:rFonts w:asciiTheme="minorHAnsi" w:hAnsiTheme="minorHAnsi"/>
        </w:rPr>
        <w:t xml:space="preserve">7 </w:t>
      </w:r>
      <w:r w:rsidR="00A0007E" w:rsidRPr="00C94C33">
        <w:rPr>
          <w:rFonts w:asciiTheme="minorHAnsi" w:hAnsiTheme="minorHAnsi"/>
        </w:rPr>
        <w:t>(</w:t>
      </w:r>
      <w:r w:rsidRPr="00C94C33">
        <w:rPr>
          <w:rFonts w:asciiTheme="minorHAnsi" w:hAnsiTheme="minorHAnsi"/>
        </w:rPr>
        <w:t>12.1%</w:t>
      </w:r>
      <w:r w:rsidR="00A0007E" w:rsidRPr="00C94C33">
        <w:rPr>
          <w:rFonts w:asciiTheme="minorHAnsi" w:hAnsiTheme="minorHAnsi"/>
        </w:rPr>
        <w:t>)</w:t>
      </w:r>
      <w:r w:rsidRPr="00C94C33">
        <w:rPr>
          <w:rFonts w:asciiTheme="minorHAnsi" w:hAnsiTheme="minorHAnsi"/>
        </w:rPr>
        <w:t>, placebo</w:t>
      </w:r>
      <w:r w:rsidR="00A0007E" w:rsidRPr="00C94C33">
        <w:rPr>
          <w:rFonts w:asciiTheme="minorHAnsi" w:hAnsiTheme="minorHAnsi"/>
        </w:rPr>
        <w:t>)</w:t>
      </w:r>
      <w:r w:rsidRPr="00C94C33">
        <w:rPr>
          <w:rFonts w:asciiTheme="minorHAnsi" w:hAnsiTheme="minorHAnsi"/>
        </w:rPr>
        <w:t>). Other deviations from the protocol in the TAS-102 group were deviation from study regimen (</w:t>
      </w:r>
      <w:r w:rsidR="009C0389" w:rsidRPr="00C94C33">
        <w:rPr>
          <w:rFonts w:asciiTheme="minorHAnsi" w:hAnsiTheme="minorHAnsi"/>
        </w:rPr>
        <w:t xml:space="preserve">n = </w:t>
      </w:r>
      <w:r w:rsidRPr="00C94C33">
        <w:rPr>
          <w:rFonts w:asciiTheme="minorHAnsi" w:hAnsiTheme="minorHAnsi"/>
        </w:rPr>
        <w:t>4), deviation from defined group (</w:t>
      </w:r>
      <w:r w:rsidR="009C0389" w:rsidRPr="00C94C33">
        <w:rPr>
          <w:rFonts w:asciiTheme="minorHAnsi" w:hAnsiTheme="minorHAnsi"/>
        </w:rPr>
        <w:t xml:space="preserve">n = </w:t>
      </w:r>
      <w:r w:rsidRPr="00C94C33">
        <w:rPr>
          <w:rFonts w:asciiTheme="minorHAnsi" w:hAnsiTheme="minorHAnsi"/>
        </w:rPr>
        <w:t>2), deviation related to obtaining consent (</w:t>
      </w:r>
      <w:r w:rsidR="009C0389" w:rsidRPr="00C94C33">
        <w:rPr>
          <w:rFonts w:asciiTheme="minorHAnsi" w:hAnsiTheme="minorHAnsi"/>
        </w:rPr>
        <w:t xml:space="preserve">n = </w:t>
      </w:r>
      <w:r w:rsidRPr="00C94C33">
        <w:rPr>
          <w:rFonts w:asciiTheme="minorHAnsi" w:hAnsiTheme="minorHAnsi"/>
        </w:rPr>
        <w:t xml:space="preserve">1), and deviation from exclusion criteria. </w:t>
      </w:r>
      <w:r w:rsidRPr="00C94C33">
        <w:rPr>
          <w:rFonts w:asciiTheme="minorHAnsi" w:hAnsiTheme="minorHAnsi" w:cstheme="minorHAnsi"/>
        </w:rPr>
        <w:t xml:space="preserve">The reported protocol deviations are considered not to have invalidated the efficacy or </w:t>
      </w:r>
      <w:r w:rsidR="006263CF">
        <w:rPr>
          <w:rFonts w:asciiTheme="minorHAnsi" w:hAnsiTheme="minorHAnsi" w:cstheme="minorHAnsi"/>
        </w:rPr>
        <w:t>safety assessment of the study.</w:t>
      </w:r>
    </w:p>
    <w:p w14:paraId="0FC6C64B" w14:textId="77777777" w:rsidR="00DF61BC" w:rsidRPr="00C94C33" w:rsidRDefault="00DF61BC" w:rsidP="00955252">
      <w:pPr>
        <w:pStyle w:val="Heading4"/>
      </w:pPr>
      <w:bookmarkStart w:id="300" w:name="_Toc470948555"/>
      <w:r w:rsidRPr="00C94C33">
        <w:lastRenderedPageBreak/>
        <w:t>Baseline data</w:t>
      </w:r>
      <w:bookmarkEnd w:id="300"/>
    </w:p>
    <w:p w14:paraId="57B1D415" w14:textId="0683E238"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The baseline demographic characteristics of the two treatment groups (FAS) in this Japanese study were comparable. The median age of the population was 63.0 years (range: 28, 80 years) in the TAS-102 group and 62.0 years (range: 39, 79 years) in the placebo group, with 57.1% and 49.1% of the patients being male, respectively. The distribution of baseline ECOG PS status (TAS-102</w:t>
      </w:r>
      <w:r w:rsidR="00C11183">
        <w:rPr>
          <w:rFonts w:asciiTheme="minorHAnsi" w:hAnsiTheme="minorHAnsi"/>
        </w:rPr>
        <w:t xml:space="preserve"> versus </w:t>
      </w:r>
      <w:r w:rsidRPr="00C94C33">
        <w:rPr>
          <w:rFonts w:asciiTheme="minorHAnsi" w:hAnsiTheme="minorHAnsi"/>
        </w:rPr>
        <w:t>placebo) was PS 0 (64.3%</w:t>
      </w:r>
      <w:r w:rsidR="00C11183">
        <w:rPr>
          <w:rFonts w:asciiTheme="minorHAnsi" w:hAnsiTheme="minorHAnsi"/>
        </w:rPr>
        <w:t xml:space="preserve"> versus </w:t>
      </w:r>
      <w:r w:rsidRPr="00C94C33">
        <w:rPr>
          <w:rFonts w:asciiTheme="minorHAnsi" w:hAnsiTheme="minorHAnsi"/>
        </w:rPr>
        <w:t>61.4%), PS 2 (33.0%</w:t>
      </w:r>
      <w:r w:rsidR="00C11183">
        <w:rPr>
          <w:rFonts w:asciiTheme="minorHAnsi" w:hAnsiTheme="minorHAnsi"/>
        </w:rPr>
        <w:t xml:space="preserve"> versus </w:t>
      </w:r>
      <w:r w:rsidRPr="00C94C33">
        <w:rPr>
          <w:rFonts w:asciiTheme="minorHAnsi" w:hAnsiTheme="minorHAnsi"/>
        </w:rPr>
        <w:t>36.8%), and PS 3 (2.7%</w:t>
      </w:r>
      <w:r w:rsidR="00C11183">
        <w:rPr>
          <w:rFonts w:asciiTheme="minorHAnsi" w:hAnsiTheme="minorHAnsi"/>
        </w:rPr>
        <w:t xml:space="preserve"> versus </w:t>
      </w:r>
      <w:r w:rsidRPr="00C94C33">
        <w:rPr>
          <w:rFonts w:asciiTheme="minorHAnsi" w:hAnsiTheme="minorHAnsi"/>
        </w:rPr>
        <w:t>1.8%).</w:t>
      </w:r>
    </w:p>
    <w:p w14:paraId="5C22033E" w14:textId="3036B14D"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 xml:space="preserve">The baseline CRC disease characteristics of the two treatment groups (FAS) were comparable. Colon cancer was reported in 56.3% of patients in the TAS-102 group and 63.2% of patients in the placebo group, with the respective proportions for rectal cancer being 43.8% and 36.8%. The cancer was unresectable in 42.0% of patients in the TAS-102 group and 50.9% of patients in the placebo group, while the respective proportions for recurrent disease were 58.0% and 49.1%. For presence/absence of primary tumour, </w:t>
      </w:r>
      <w:r w:rsidR="00842E8F" w:rsidRPr="00C94C33">
        <w:rPr>
          <w:rFonts w:asciiTheme="minorHAnsi" w:hAnsiTheme="minorHAnsi"/>
        </w:rPr>
        <w:t>‘</w:t>
      </w:r>
      <w:r w:rsidRPr="00C94C33">
        <w:rPr>
          <w:rFonts w:asciiTheme="minorHAnsi" w:hAnsiTheme="minorHAnsi"/>
        </w:rPr>
        <w:t>absence</w:t>
      </w:r>
      <w:r w:rsidR="00842E8F" w:rsidRPr="00C94C33">
        <w:rPr>
          <w:rFonts w:asciiTheme="minorHAnsi" w:hAnsiTheme="minorHAnsi"/>
        </w:rPr>
        <w:t>’</w:t>
      </w:r>
      <w:r w:rsidRPr="00C94C33">
        <w:rPr>
          <w:rFonts w:asciiTheme="minorHAnsi" w:hAnsiTheme="minorHAnsi"/>
        </w:rPr>
        <w:t xml:space="preserve"> was seen in 95 (84.8%) and 49 (86.0%) patients in the TAS-102 and placebo groups, respectively. Metastases were present in all patients, occurring primarily in the liver and lung.</w:t>
      </w:r>
    </w:p>
    <w:p w14:paraId="1FE344A8" w14:textId="3D3C99BC"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The distribution of prior therapies in the two treatment groups (FAS) was comparable. In the TAS-102 and placebo groups, respectively, there were 103 (92.0%) and 50 patients (87.7%) with a history of surgery, 54 (48.2%) and 15 (26.3%) patients with a history of post-operative adjuvant chemotherapy, 71 (63.4%) and 36 (63.2%) patients with a history of treatment including anti-EGFR antibody, and 87 (77.7%) and 47 (82.5%) patients with a history of treatment including bevacizumab. Of note, a greater proportion of patients in the TAS-102 group received post-operative adjuvant chemotherapy than in the placebo group. In the TAS-102 and placebo groups, respectively, 2 prior chemotherapy regimens were used in 17 (15.2%) and 13 (22.8%) patients, 3 regimens in 46 (41.1%) and 16 (28.1%) patients, and 4 regimens in 30 (26.8%) and 12 (21.1%) patients. Of note, FOLFOX, FOLFIRI and CPT-11+cetuximab were used in 50%</w:t>
      </w:r>
      <w:r w:rsidR="00AD742C" w:rsidRPr="00C94C33">
        <w:rPr>
          <w:rFonts w:asciiTheme="minorHAnsi" w:hAnsiTheme="minorHAnsi"/>
        </w:rPr>
        <w:t xml:space="preserve"> or more patients in each group</w:t>
      </w:r>
      <w:r w:rsidRPr="00C94C33">
        <w:rPr>
          <w:rFonts w:asciiTheme="minorHAnsi" w:hAnsiTheme="minorHAnsi"/>
        </w:rPr>
        <w:t>.</w:t>
      </w:r>
    </w:p>
    <w:p w14:paraId="6CCDA06B" w14:textId="58E29511"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The clinical findings at baseline were similar in both treatment groups (FAS), with symptoms of decreased appetite nausea, vomiting diarrhoea and fatigue being reported in a minority of patients in both groups. Concomitant medications and therapies were comparable for the two treatment groups (FAS), with all patients in both groups one or more concomitant medications.</w:t>
      </w:r>
    </w:p>
    <w:p w14:paraId="27901C56" w14:textId="77777777" w:rsidR="00DF61BC" w:rsidRPr="00C94C33" w:rsidRDefault="00DF61BC" w:rsidP="00955252">
      <w:pPr>
        <w:pStyle w:val="Heading4"/>
      </w:pPr>
      <w:r w:rsidRPr="00C94C33">
        <w:t xml:space="preserve"> </w:t>
      </w:r>
      <w:bookmarkStart w:id="301" w:name="_Toc470948556"/>
      <w:r w:rsidRPr="00C94C33">
        <w:t>Results for the primary efficacy outcome (OS)</w:t>
      </w:r>
      <w:bookmarkEnd w:id="301"/>
    </w:p>
    <w:p w14:paraId="5E9BE5A2" w14:textId="077D89DE" w:rsidR="00DF61BC" w:rsidRPr="00C94C33" w:rsidRDefault="00DF61BC" w:rsidP="00DF61BC">
      <w:r w:rsidRPr="00C94C33">
        <w:t>The results for OS are summarised below.</w:t>
      </w:r>
    </w:p>
    <w:p w14:paraId="1DC56241" w14:textId="13322E9F" w:rsidR="00DF61BC" w:rsidRPr="00C94C33" w:rsidRDefault="00DF61BC" w:rsidP="0058475B">
      <w:pPr>
        <w:pStyle w:val="Tabletitle"/>
      </w:pPr>
      <w:bookmarkStart w:id="302" w:name="_Toc470948689"/>
      <w:r w:rsidRPr="00C94C33">
        <w:t>Table</w:t>
      </w:r>
      <w:r w:rsidR="00AD742C" w:rsidRPr="00C94C33">
        <w:t xml:space="preserve"> 40</w:t>
      </w:r>
      <w:r w:rsidRPr="00C94C33">
        <w:t>: Overall survival (OS), FAS population.</w:t>
      </w:r>
      <w:bookmarkEnd w:id="302"/>
    </w:p>
    <w:tbl>
      <w:tblPr>
        <w:tblStyle w:val="TableGrid"/>
        <w:tblW w:w="0" w:type="auto"/>
        <w:tblLook w:val="04A0" w:firstRow="1" w:lastRow="0" w:firstColumn="1" w:lastColumn="0" w:noHBand="0" w:noVBand="1"/>
        <w:tblDescription w:val="Table 40: Overall survival (OS), FAS population."/>
      </w:tblPr>
      <w:tblGrid>
        <w:gridCol w:w="3182"/>
        <w:gridCol w:w="3183"/>
        <w:gridCol w:w="3183"/>
      </w:tblGrid>
      <w:tr w:rsidR="00DF61BC" w:rsidRPr="00C94C33" w14:paraId="31C423D3" w14:textId="77777777" w:rsidTr="006263CF">
        <w:trPr>
          <w:tblHeader/>
        </w:trPr>
        <w:tc>
          <w:tcPr>
            <w:tcW w:w="3182" w:type="dxa"/>
            <w:tcBorders>
              <w:left w:val="single" w:sz="4" w:space="0" w:color="auto"/>
            </w:tcBorders>
            <w:shd w:val="clear" w:color="auto" w:fill="auto"/>
          </w:tcPr>
          <w:p w14:paraId="38570864" w14:textId="77777777" w:rsidR="00DF61BC" w:rsidRPr="00C94C33" w:rsidRDefault="00DF61BC" w:rsidP="006263CF">
            <w:pPr>
              <w:pStyle w:val="TableHeading"/>
              <w:jc w:val="center"/>
            </w:pPr>
          </w:p>
        </w:tc>
        <w:tc>
          <w:tcPr>
            <w:tcW w:w="3183" w:type="dxa"/>
            <w:tcBorders>
              <w:right w:val="nil"/>
            </w:tcBorders>
            <w:shd w:val="clear" w:color="auto" w:fill="auto"/>
          </w:tcPr>
          <w:p w14:paraId="7DE9C7AE" w14:textId="761EB135" w:rsidR="00DF61BC" w:rsidRPr="00C94C33" w:rsidRDefault="00DF61BC" w:rsidP="006263CF">
            <w:pPr>
              <w:pStyle w:val="TableHeading"/>
              <w:jc w:val="center"/>
            </w:pPr>
            <w:r w:rsidRPr="00C94C33">
              <w:t>TAS-102 (</w:t>
            </w:r>
            <w:r w:rsidR="009C0389" w:rsidRPr="00C94C33">
              <w:t xml:space="preserve">n = </w:t>
            </w:r>
            <w:r w:rsidRPr="00C94C33">
              <w:t>112)</w:t>
            </w:r>
          </w:p>
        </w:tc>
        <w:tc>
          <w:tcPr>
            <w:tcW w:w="3183" w:type="dxa"/>
            <w:tcBorders>
              <w:left w:val="nil"/>
              <w:right w:val="single" w:sz="4" w:space="0" w:color="auto"/>
            </w:tcBorders>
            <w:shd w:val="clear" w:color="auto" w:fill="auto"/>
          </w:tcPr>
          <w:p w14:paraId="0C9E58DF" w14:textId="12813ADD" w:rsidR="00DF61BC" w:rsidRPr="00C94C33" w:rsidRDefault="00DF61BC" w:rsidP="006263CF">
            <w:pPr>
              <w:pStyle w:val="TableHeading"/>
              <w:jc w:val="center"/>
            </w:pPr>
            <w:r w:rsidRPr="00C94C33">
              <w:t>Placebo (</w:t>
            </w:r>
            <w:r w:rsidR="009C0389" w:rsidRPr="00C94C33">
              <w:t xml:space="preserve">n = </w:t>
            </w:r>
            <w:r w:rsidRPr="00C94C33">
              <w:t>57)</w:t>
            </w:r>
          </w:p>
        </w:tc>
      </w:tr>
      <w:tr w:rsidR="00DF61BC" w:rsidRPr="00C94C33" w14:paraId="086CB56F" w14:textId="77777777" w:rsidTr="00145690">
        <w:tc>
          <w:tcPr>
            <w:tcW w:w="3182" w:type="dxa"/>
            <w:tcBorders>
              <w:left w:val="single" w:sz="4" w:space="0" w:color="auto"/>
              <w:bottom w:val="nil"/>
            </w:tcBorders>
          </w:tcPr>
          <w:p w14:paraId="4C9F3410" w14:textId="77777777" w:rsidR="00DF61BC" w:rsidRPr="00C94C33" w:rsidRDefault="00DF61BC" w:rsidP="006263CF">
            <w:pPr>
              <w:pStyle w:val="Tabletext"/>
            </w:pPr>
            <w:r w:rsidRPr="00C94C33">
              <w:t xml:space="preserve">Death </w:t>
            </w:r>
          </w:p>
        </w:tc>
        <w:tc>
          <w:tcPr>
            <w:tcW w:w="3183" w:type="dxa"/>
            <w:tcBorders>
              <w:bottom w:val="nil"/>
              <w:right w:val="nil"/>
            </w:tcBorders>
          </w:tcPr>
          <w:p w14:paraId="129D1E8F" w14:textId="77777777" w:rsidR="00DF61BC" w:rsidRPr="00C94C33" w:rsidRDefault="00DF61BC" w:rsidP="006263CF">
            <w:pPr>
              <w:pStyle w:val="Tabletext"/>
            </w:pPr>
            <w:r w:rsidRPr="00C94C33">
              <w:t>75 (67.0%)</w:t>
            </w:r>
          </w:p>
        </w:tc>
        <w:tc>
          <w:tcPr>
            <w:tcW w:w="3183" w:type="dxa"/>
            <w:tcBorders>
              <w:left w:val="nil"/>
              <w:bottom w:val="nil"/>
              <w:right w:val="single" w:sz="4" w:space="0" w:color="auto"/>
            </w:tcBorders>
          </w:tcPr>
          <w:p w14:paraId="30AA1823" w14:textId="77777777" w:rsidR="00DF61BC" w:rsidRPr="00C94C33" w:rsidRDefault="00DF61BC" w:rsidP="006263CF">
            <w:pPr>
              <w:pStyle w:val="Tabletext"/>
            </w:pPr>
            <w:r w:rsidRPr="00C94C33">
              <w:t>48 (84.2%)</w:t>
            </w:r>
          </w:p>
        </w:tc>
      </w:tr>
      <w:tr w:rsidR="00DF61BC" w:rsidRPr="00C94C33" w14:paraId="1263290E" w14:textId="77777777" w:rsidTr="00145690">
        <w:tc>
          <w:tcPr>
            <w:tcW w:w="3182" w:type="dxa"/>
            <w:tcBorders>
              <w:top w:val="nil"/>
              <w:left w:val="single" w:sz="4" w:space="0" w:color="auto"/>
              <w:bottom w:val="nil"/>
            </w:tcBorders>
          </w:tcPr>
          <w:p w14:paraId="4D791813" w14:textId="77777777" w:rsidR="00DF61BC" w:rsidRPr="00C94C33" w:rsidRDefault="00DF61BC" w:rsidP="006263CF">
            <w:pPr>
              <w:pStyle w:val="Tabletext"/>
            </w:pPr>
            <w:r w:rsidRPr="00C94C33">
              <w:t>Censored (survival)</w:t>
            </w:r>
          </w:p>
        </w:tc>
        <w:tc>
          <w:tcPr>
            <w:tcW w:w="3183" w:type="dxa"/>
            <w:tcBorders>
              <w:top w:val="nil"/>
              <w:bottom w:val="nil"/>
              <w:right w:val="nil"/>
            </w:tcBorders>
          </w:tcPr>
          <w:p w14:paraId="399D65F2" w14:textId="77777777" w:rsidR="00DF61BC" w:rsidRPr="00C94C33" w:rsidRDefault="00DF61BC" w:rsidP="006263CF">
            <w:pPr>
              <w:pStyle w:val="Tabletext"/>
            </w:pPr>
            <w:r w:rsidRPr="00C94C33">
              <w:t>37 (33.0%)</w:t>
            </w:r>
          </w:p>
        </w:tc>
        <w:tc>
          <w:tcPr>
            <w:tcW w:w="3183" w:type="dxa"/>
            <w:tcBorders>
              <w:top w:val="nil"/>
              <w:left w:val="nil"/>
              <w:bottom w:val="nil"/>
              <w:right w:val="single" w:sz="4" w:space="0" w:color="auto"/>
            </w:tcBorders>
          </w:tcPr>
          <w:p w14:paraId="665CD4F8" w14:textId="77777777" w:rsidR="00DF61BC" w:rsidRPr="00C94C33" w:rsidRDefault="00DF61BC" w:rsidP="006263CF">
            <w:pPr>
              <w:pStyle w:val="Tabletext"/>
            </w:pPr>
            <w:r w:rsidRPr="00C94C33">
              <w:t>9 (15.8%)</w:t>
            </w:r>
          </w:p>
        </w:tc>
      </w:tr>
      <w:tr w:rsidR="00DF61BC" w:rsidRPr="00C94C33" w14:paraId="4A72D661" w14:textId="77777777" w:rsidTr="00145690">
        <w:tc>
          <w:tcPr>
            <w:tcW w:w="3182" w:type="dxa"/>
            <w:tcBorders>
              <w:top w:val="nil"/>
              <w:left w:val="single" w:sz="4" w:space="0" w:color="auto"/>
            </w:tcBorders>
          </w:tcPr>
          <w:p w14:paraId="012AB457" w14:textId="77777777" w:rsidR="00DF61BC" w:rsidRPr="00C94C33" w:rsidRDefault="00DF61BC" w:rsidP="006263CF">
            <w:pPr>
              <w:pStyle w:val="Tabletext"/>
            </w:pPr>
            <w:r w:rsidRPr="00C94C33">
              <w:t>Lost to follow-up</w:t>
            </w:r>
          </w:p>
        </w:tc>
        <w:tc>
          <w:tcPr>
            <w:tcW w:w="3183" w:type="dxa"/>
            <w:tcBorders>
              <w:top w:val="nil"/>
              <w:right w:val="nil"/>
            </w:tcBorders>
          </w:tcPr>
          <w:p w14:paraId="5E550E33" w14:textId="77777777" w:rsidR="00DF61BC" w:rsidRPr="00C94C33" w:rsidRDefault="00DF61BC" w:rsidP="006263CF">
            <w:pPr>
              <w:pStyle w:val="Tabletext"/>
            </w:pPr>
            <w:r w:rsidRPr="00C94C33">
              <w:t>0</w:t>
            </w:r>
          </w:p>
        </w:tc>
        <w:tc>
          <w:tcPr>
            <w:tcW w:w="3183" w:type="dxa"/>
            <w:tcBorders>
              <w:top w:val="nil"/>
              <w:left w:val="nil"/>
              <w:right w:val="single" w:sz="4" w:space="0" w:color="auto"/>
            </w:tcBorders>
          </w:tcPr>
          <w:p w14:paraId="000E94E5" w14:textId="77777777" w:rsidR="00DF61BC" w:rsidRPr="00C94C33" w:rsidRDefault="00DF61BC" w:rsidP="006263CF">
            <w:pPr>
              <w:pStyle w:val="Tabletext"/>
            </w:pPr>
            <w:r w:rsidRPr="00C94C33">
              <w:t>0</w:t>
            </w:r>
          </w:p>
        </w:tc>
      </w:tr>
      <w:tr w:rsidR="00DF61BC" w:rsidRPr="00C94C33" w14:paraId="2CB02C02" w14:textId="77777777" w:rsidTr="00145690">
        <w:tc>
          <w:tcPr>
            <w:tcW w:w="3182" w:type="dxa"/>
            <w:tcBorders>
              <w:left w:val="single" w:sz="4" w:space="0" w:color="auto"/>
              <w:bottom w:val="single" w:sz="4" w:space="0" w:color="auto"/>
            </w:tcBorders>
          </w:tcPr>
          <w:p w14:paraId="32972221" w14:textId="71E53C0B" w:rsidR="00DF61BC" w:rsidRPr="00C94C33" w:rsidRDefault="00DF61BC" w:rsidP="006263CF">
            <w:pPr>
              <w:pStyle w:val="Tabletext"/>
            </w:pPr>
            <w:r w:rsidRPr="00C94C33">
              <w:t xml:space="preserve">OS </w:t>
            </w:r>
            <w:r w:rsidR="00A0007E" w:rsidRPr="00C94C33">
              <w:t>(</w:t>
            </w:r>
            <w:r w:rsidRPr="00C94C33">
              <w:t>95% CI</w:t>
            </w:r>
            <w:r w:rsidR="00A0007E" w:rsidRPr="00C94C33">
              <w:t>)</w:t>
            </w:r>
            <w:r w:rsidR="000A1A7B">
              <w:t>,</w:t>
            </w:r>
            <w:r w:rsidRPr="00C94C33">
              <w:t xml:space="preserve"> median (months)</w:t>
            </w:r>
          </w:p>
        </w:tc>
        <w:tc>
          <w:tcPr>
            <w:tcW w:w="3183" w:type="dxa"/>
            <w:tcBorders>
              <w:bottom w:val="single" w:sz="4" w:space="0" w:color="auto"/>
              <w:right w:val="nil"/>
            </w:tcBorders>
          </w:tcPr>
          <w:p w14:paraId="6B0519C3" w14:textId="084D778E" w:rsidR="00DF61BC" w:rsidRPr="00C94C33" w:rsidRDefault="00DF61BC" w:rsidP="006263CF">
            <w:pPr>
              <w:pStyle w:val="Tabletext"/>
            </w:pPr>
            <w:r w:rsidRPr="00C94C33">
              <w:t xml:space="preserve">9.0 </w:t>
            </w:r>
            <w:r w:rsidR="00A0007E" w:rsidRPr="00C94C33">
              <w:t>(</w:t>
            </w:r>
            <w:r w:rsidRPr="00C94C33">
              <w:t>7.3, 11.3</w:t>
            </w:r>
            <w:r w:rsidR="00A0007E" w:rsidRPr="00C94C33">
              <w:t>)</w:t>
            </w:r>
          </w:p>
        </w:tc>
        <w:tc>
          <w:tcPr>
            <w:tcW w:w="3183" w:type="dxa"/>
            <w:tcBorders>
              <w:left w:val="nil"/>
              <w:bottom w:val="single" w:sz="4" w:space="0" w:color="auto"/>
              <w:right w:val="single" w:sz="4" w:space="0" w:color="auto"/>
            </w:tcBorders>
          </w:tcPr>
          <w:p w14:paraId="3DBA3C82" w14:textId="033F6AFD" w:rsidR="00DF61BC" w:rsidRPr="00C94C33" w:rsidRDefault="00DF61BC" w:rsidP="006263CF">
            <w:pPr>
              <w:pStyle w:val="Tabletext"/>
            </w:pPr>
            <w:r w:rsidRPr="00C94C33">
              <w:t xml:space="preserve">6.6 </w:t>
            </w:r>
            <w:r w:rsidR="00A0007E" w:rsidRPr="00C94C33">
              <w:t>(</w:t>
            </w:r>
            <w:r w:rsidRPr="00C94C33">
              <w:t>4.9. 8.0</w:t>
            </w:r>
            <w:r w:rsidR="00A0007E" w:rsidRPr="00C94C33">
              <w:t>)</w:t>
            </w:r>
          </w:p>
        </w:tc>
      </w:tr>
      <w:tr w:rsidR="00DF61BC" w:rsidRPr="00C94C33" w14:paraId="3DFBE69D" w14:textId="77777777" w:rsidTr="00145690">
        <w:tc>
          <w:tcPr>
            <w:tcW w:w="3182" w:type="dxa"/>
            <w:tcBorders>
              <w:top w:val="single" w:sz="4" w:space="0" w:color="auto"/>
              <w:left w:val="single" w:sz="4" w:space="0" w:color="auto"/>
              <w:bottom w:val="nil"/>
            </w:tcBorders>
          </w:tcPr>
          <w:p w14:paraId="7D9507F6" w14:textId="7128799C" w:rsidR="00DF61BC" w:rsidRPr="00C94C33" w:rsidRDefault="00DF61BC" w:rsidP="006263CF">
            <w:pPr>
              <w:pStyle w:val="Tabletext"/>
            </w:pPr>
            <w:r w:rsidRPr="00C94C33">
              <w:t xml:space="preserve">Hazard Ratio </w:t>
            </w:r>
            <w:r w:rsidR="00A0007E" w:rsidRPr="00C94C33">
              <w:t>(</w:t>
            </w:r>
            <w:r w:rsidRPr="00C94C33">
              <w:t>95% CI</w:t>
            </w:r>
            <w:r w:rsidR="00A0007E" w:rsidRPr="00C94C33">
              <w:t>)</w:t>
            </w:r>
          </w:p>
        </w:tc>
        <w:tc>
          <w:tcPr>
            <w:tcW w:w="6366" w:type="dxa"/>
            <w:gridSpan w:val="2"/>
            <w:tcBorders>
              <w:top w:val="single" w:sz="4" w:space="0" w:color="auto"/>
              <w:bottom w:val="nil"/>
              <w:right w:val="single" w:sz="4" w:space="0" w:color="auto"/>
            </w:tcBorders>
          </w:tcPr>
          <w:p w14:paraId="595F7442" w14:textId="5DB1A03B" w:rsidR="00DF61BC" w:rsidRPr="00C94C33" w:rsidRDefault="00DF61BC" w:rsidP="006263CF">
            <w:pPr>
              <w:pStyle w:val="Tabletext"/>
            </w:pPr>
            <w:r w:rsidRPr="00C94C33">
              <w:t xml:space="preserve">0.56 </w:t>
            </w:r>
            <w:r w:rsidR="00A0007E" w:rsidRPr="00C94C33">
              <w:t>(</w:t>
            </w:r>
            <w:r w:rsidRPr="00C94C33">
              <w:t>0.39, 0.81</w:t>
            </w:r>
            <w:r w:rsidR="00A0007E" w:rsidRPr="00C94C33">
              <w:t>)</w:t>
            </w:r>
          </w:p>
        </w:tc>
      </w:tr>
      <w:tr w:rsidR="00DF61BC" w:rsidRPr="00C94C33" w14:paraId="12DAF9AA" w14:textId="77777777" w:rsidTr="00145690">
        <w:tc>
          <w:tcPr>
            <w:tcW w:w="3182" w:type="dxa"/>
            <w:tcBorders>
              <w:top w:val="nil"/>
              <w:left w:val="single" w:sz="4" w:space="0" w:color="auto"/>
            </w:tcBorders>
          </w:tcPr>
          <w:p w14:paraId="03CAD853" w14:textId="77777777" w:rsidR="00DF61BC" w:rsidRPr="00C94C33" w:rsidRDefault="00DF61BC" w:rsidP="006263CF">
            <w:pPr>
              <w:pStyle w:val="Tabletext"/>
            </w:pPr>
            <w:r w:rsidRPr="00C94C33">
              <w:t>p-value, stratified log-rank test</w:t>
            </w:r>
          </w:p>
        </w:tc>
        <w:tc>
          <w:tcPr>
            <w:tcW w:w="6366" w:type="dxa"/>
            <w:gridSpan w:val="2"/>
            <w:tcBorders>
              <w:top w:val="nil"/>
              <w:right w:val="single" w:sz="4" w:space="0" w:color="auto"/>
            </w:tcBorders>
          </w:tcPr>
          <w:p w14:paraId="17D99FFA" w14:textId="77777777" w:rsidR="00DF61BC" w:rsidRPr="00C94C33" w:rsidRDefault="00DF61BC" w:rsidP="006263CF">
            <w:pPr>
              <w:pStyle w:val="Tabletext"/>
            </w:pPr>
            <w:r w:rsidRPr="00C94C33">
              <w:t xml:space="preserve">p = 0.0011 </w:t>
            </w:r>
          </w:p>
        </w:tc>
      </w:tr>
    </w:tbl>
    <w:p w14:paraId="1F08A94A" w14:textId="77777777" w:rsidR="00AA7141" w:rsidRDefault="00DF61BC" w:rsidP="005C2FCA">
      <w:pPr>
        <w:pStyle w:val="Comment"/>
      </w:pPr>
      <w:r w:rsidRPr="005C2FCA">
        <w:rPr>
          <w:b/>
        </w:rPr>
        <w:t>Comment:</w:t>
      </w:r>
      <w:r w:rsidR="000A1A7B">
        <w:t xml:space="preserve"> </w:t>
      </w:r>
      <w:r w:rsidRPr="000A1A7B">
        <w:t xml:space="preserve"> </w:t>
      </w:r>
      <w:r w:rsidRPr="00C94C33">
        <w:t>In the TAS-102 group, median OS was 2.4 months longer than in the placebo group in the FAS, with the difference in median OS between the two treatment groups being statistically significant. The Kaplan-Meier estimates showed that the percentage of patients surviving at 12 months was 36.7% in the TAS-102 group and 15.8% in the placebo group.</w:t>
      </w:r>
    </w:p>
    <w:p w14:paraId="60003981" w14:textId="37324833" w:rsidR="00DF61BC" w:rsidRPr="00C94C33" w:rsidRDefault="00DF61BC" w:rsidP="00955252">
      <w:pPr>
        <w:pStyle w:val="Heading4"/>
      </w:pPr>
      <w:bookmarkStart w:id="303" w:name="_Toc470948557"/>
      <w:r w:rsidRPr="00C94C33">
        <w:t>Results for other secondary efficacy outcomes</w:t>
      </w:r>
      <w:bookmarkEnd w:id="303"/>
    </w:p>
    <w:p w14:paraId="03AAEFB2" w14:textId="4BD82A23"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 xml:space="preserve">The median progression-free-survival (PFS) assessed by the independent review committee was 2.0 months in the TAS-102 group compared to 1.0 month in the placebo group (HR = 0.41 </w:t>
      </w:r>
      <w:r w:rsidR="00A0007E" w:rsidRPr="00C94C33">
        <w:rPr>
          <w:rFonts w:asciiTheme="minorHAnsi" w:hAnsiTheme="minorHAnsi"/>
        </w:rPr>
        <w:t>(</w:t>
      </w:r>
      <w:r w:rsidRPr="00C94C33">
        <w:rPr>
          <w:rFonts w:asciiTheme="minorHAnsi" w:hAnsiTheme="minorHAnsi"/>
        </w:rPr>
        <w:t xml:space="preserve">95% </w:t>
      </w:r>
      <w:r w:rsidRPr="00C94C33">
        <w:rPr>
          <w:rFonts w:asciiTheme="minorHAnsi" w:hAnsiTheme="minorHAnsi"/>
        </w:rPr>
        <w:lastRenderedPageBreak/>
        <w:t>CI:</w:t>
      </w:r>
      <w:r w:rsidR="000A1A7B">
        <w:rPr>
          <w:rFonts w:asciiTheme="minorHAnsi" w:hAnsiTheme="minorHAnsi"/>
        </w:rPr>
        <w:t> </w:t>
      </w:r>
      <w:r w:rsidRPr="00C94C33">
        <w:rPr>
          <w:rFonts w:asciiTheme="minorHAnsi" w:hAnsiTheme="minorHAnsi"/>
        </w:rPr>
        <w:t>0.28, 0.59</w:t>
      </w:r>
      <w:r w:rsidR="00A0007E" w:rsidRPr="00C94C33">
        <w:rPr>
          <w:rFonts w:asciiTheme="minorHAnsi" w:hAnsiTheme="minorHAnsi"/>
        </w:rPr>
        <w:t>)</w:t>
      </w:r>
      <w:r w:rsidRPr="00C94C33">
        <w:rPr>
          <w:rFonts w:asciiTheme="minorHAnsi" w:hAnsiTheme="minorHAnsi"/>
        </w:rPr>
        <w:t xml:space="preserve">; p &lt; 0.0001, stratified log-rank test). There were 91 PFS events in the TAS-102 group compared to 49 PFS events in the placebo group.  The median PFS assessed by investigators was 2.7 months in the TAS-102 group compared to 1.0 month in the placebo group (HR=0.34 </w:t>
      </w:r>
      <w:r w:rsidR="00A0007E" w:rsidRPr="00C94C33">
        <w:rPr>
          <w:rFonts w:asciiTheme="minorHAnsi" w:hAnsiTheme="minorHAnsi"/>
        </w:rPr>
        <w:t>(</w:t>
      </w:r>
      <w:r w:rsidRPr="00C94C33">
        <w:rPr>
          <w:rFonts w:asciiTheme="minorHAnsi" w:hAnsiTheme="minorHAnsi"/>
        </w:rPr>
        <w:t>95% CI:</w:t>
      </w:r>
      <w:r w:rsidR="000A1A7B">
        <w:rPr>
          <w:rFonts w:asciiTheme="minorHAnsi" w:hAnsiTheme="minorHAnsi"/>
        </w:rPr>
        <w:t> </w:t>
      </w:r>
      <w:r w:rsidRPr="00C94C33">
        <w:rPr>
          <w:rFonts w:asciiTheme="minorHAnsi" w:hAnsiTheme="minorHAnsi"/>
        </w:rPr>
        <w:t>0.24, 0.49</w:t>
      </w:r>
      <w:r w:rsidR="00A0007E" w:rsidRPr="00C94C33">
        <w:rPr>
          <w:rFonts w:asciiTheme="minorHAnsi" w:hAnsiTheme="minorHAnsi"/>
        </w:rPr>
        <w:t>)</w:t>
      </w:r>
      <w:r w:rsidRPr="00C94C33">
        <w:rPr>
          <w:rFonts w:asciiTheme="minorHAnsi" w:hAnsiTheme="minorHAnsi"/>
        </w:rPr>
        <w:t>; p &lt; 0.0001, stratified log-rank test). There were 109 PFS events in the TAS-102 group compared to 56 PFS events in the placebo arm.</w:t>
      </w:r>
    </w:p>
    <w:p w14:paraId="594EB46A" w14:textId="77777777" w:rsidR="00AA7141" w:rsidRDefault="00DF61BC" w:rsidP="00DF61BC">
      <w:pPr>
        <w:autoSpaceDE w:val="0"/>
        <w:autoSpaceDN w:val="0"/>
        <w:adjustRightInd w:val="0"/>
        <w:rPr>
          <w:rFonts w:asciiTheme="minorHAnsi" w:hAnsiTheme="minorHAnsi"/>
        </w:rPr>
      </w:pPr>
      <w:r w:rsidRPr="00C94C33">
        <w:rPr>
          <w:rFonts w:asciiTheme="minorHAnsi" w:hAnsiTheme="minorHAnsi"/>
        </w:rPr>
        <w:t xml:space="preserve">The median time to treatment failure (TTF) assessed by the independent review committee was 1.9 months in the TAS-102 group compared to 1.0 month in the placebo group (HR=0.40 </w:t>
      </w:r>
      <w:r w:rsidR="00A0007E" w:rsidRPr="00C94C33">
        <w:rPr>
          <w:rFonts w:asciiTheme="minorHAnsi" w:hAnsiTheme="minorHAnsi"/>
        </w:rPr>
        <w:t>(</w:t>
      </w:r>
      <w:r w:rsidRPr="00C94C33">
        <w:rPr>
          <w:rFonts w:asciiTheme="minorHAnsi" w:hAnsiTheme="minorHAnsi"/>
        </w:rPr>
        <w:t>95% CI: 0.28,</w:t>
      </w:r>
      <w:r w:rsidR="000A1A7B">
        <w:rPr>
          <w:rFonts w:asciiTheme="minorHAnsi" w:hAnsiTheme="minorHAnsi"/>
        </w:rPr>
        <w:t> </w:t>
      </w:r>
      <w:r w:rsidRPr="00C94C33">
        <w:rPr>
          <w:rFonts w:asciiTheme="minorHAnsi" w:hAnsiTheme="minorHAnsi"/>
        </w:rPr>
        <w:t>0.56</w:t>
      </w:r>
      <w:r w:rsidR="00A0007E" w:rsidRPr="00C94C33">
        <w:rPr>
          <w:rFonts w:asciiTheme="minorHAnsi" w:hAnsiTheme="minorHAnsi"/>
        </w:rPr>
        <w:t>)</w:t>
      </w:r>
      <w:r w:rsidRPr="00C94C33">
        <w:rPr>
          <w:rFonts w:asciiTheme="minorHAnsi" w:hAnsiTheme="minorHAnsi"/>
        </w:rPr>
        <w:t>; p &lt; 0.0001, stratified log-rank test).</w:t>
      </w:r>
    </w:p>
    <w:p w14:paraId="3E94C2D5" w14:textId="77777777" w:rsidR="00AA7141" w:rsidRDefault="00DF61BC" w:rsidP="00DF61BC">
      <w:pPr>
        <w:autoSpaceDE w:val="0"/>
        <w:autoSpaceDN w:val="0"/>
        <w:adjustRightInd w:val="0"/>
        <w:rPr>
          <w:rFonts w:asciiTheme="minorHAnsi" w:hAnsiTheme="minorHAnsi"/>
          <w:color w:val="000000"/>
        </w:rPr>
      </w:pPr>
      <w:r w:rsidRPr="00C94C33">
        <w:rPr>
          <w:rFonts w:asciiTheme="minorHAnsi" w:hAnsiTheme="minorHAnsi"/>
        </w:rPr>
        <w:t xml:space="preserve">The response rate (RR = CR+PR), </w:t>
      </w:r>
      <w:r w:rsidRPr="00C94C33">
        <w:rPr>
          <w:rFonts w:asciiTheme="minorHAnsi" w:hAnsiTheme="minorHAnsi"/>
          <w:color w:val="000000"/>
        </w:rPr>
        <w:t>based on the independent review committee assessment, was 0.9% (1/112) in the TAS-102 group and 0.0% (0/57) in the placebo group (p</w:t>
      </w:r>
      <w:r w:rsidR="000A1A7B">
        <w:rPr>
          <w:rFonts w:asciiTheme="minorHAnsi" w:hAnsiTheme="minorHAnsi"/>
          <w:color w:val="000000"/>
        </w:rPr>
        <w:t xml:space="preserve"> </w:t>
      </w:r>
      <w:r w:rsidRPr="00C94C33">
        <w:rPr>
          <w:rFonts w:asciiTheme="minorHAnsi" w:hAnsiTheme="minorHAnsi"/>
          <w:color w:val="000000"/>
        </w:rPr>
        <w:t>=</w:t>
      </w:r>
      <w:r w:rsidR="000A1A7B">
        <w:rPr>
          <w:rFonts w:asciiTheme="minorHAnsi" w:hAnsiTheme="minorHAnsi"/>
          <w:color w:val="000000"/>
        </w:rPr>
        <w:t xml:space="preserve"> </w:t>
      </w:r>
      <w:r w:rsidRPr="00C94C33">
        <w:rPr>
          <w:rFonts w:asciiTheme="minorHAnsi" w:hAnsiTheme="minorHAnsi"/>
          <w:color w:val="000000"/>
        </w:rPr>
        <w:t>1.000, Fisher’s exact test).</w:t>
      </w:r>
    </w:p>
    <w:p w14:paraId="51D6ED73" w14:textId="77777777" w:rsidR="00AA7141" w:rsidRDefault="00DF61BC" w:rsidP="00DF61BC">
      <w:pPr>
        <w:autoSpaceDE w:val="0"/>
        <w:autoSpaceDN w:val="0"/>
        <w:adjustRightInd w:val="0"/>
        <w:rPr>
          <w:rFonts w:asciiTheme="minorHAnsi" w:hAnsiTheme="minorHAnsi"/>
          <w:color w:val="000000"/>
        </w:rPr>
      </w:pPr>
      <w:r w:rsidRPr="00C94C33">
        <w:rPr>
          <w:rFonts w:asciiTheme="minorHAnsi" w:hAnsiTheme="minorHAnsi"/>
          <w:color w:val="000000"/>
        </w:rPr>
        <w:t>The disease control rate (DCR = CR+PR+SD), based on the independent review committee assessment was 43.8% (49/112) in the TAS-102 group and 10.5% (6/57) in the placebo group (p</w:t>
      </w:r>
      <w:r w:rsidR="00D34C18">
        <w:rPr>
          <w:rFonts w:asciiTheme="minorHAnsi" w:hAnsiTheme="minorHAnsi"/>
          <w:color w:val="000000"/>
        </w:rPr>
        <w:t> </w:t>
      </w:r>
      <w:r w:rsidRPr="00C94C33">
        <w:rPr>
          <w:rFonts w:asciiTheme="minorHAnsi" w:hAnsiTheme="minorHAnsi"/>
          <w:color w:val="000000"/>
        </w:rPr>
        <w:t>&lt;</w:t>
      </w:r>
      <w:r w:rsidR="00D34C18">
        <w:rPr>
          <w:rFonts w:asciiTheme="minorHAnsi" w:hAnsiTheme="minorHAnsi"/>
          <w:color w:val="000000"/>
        </w:rPr>
        <w:t> </w:t>
      </w:r>
      <w:r w:rsidRPr="00C94C33">
        <w:rPr>
          <w:rFonts w:asciiTheme="minorHAnsi" w:hAnsiTheme="minorHAnsi"/>
          <w:color w:val="000000"/>
        </w:rPr>
        <w:t>0.0001, Fisher’s Exact test).</w:t>
      </w:r>
    </w:p>
    <w:p w14:paraId="357C3BB1" w14:textId="6C033360" w:rsidR="00DF61BC" w:rsidRPr="00C94C33" w:rsidRDefault="00DF61BC" w:rsidP="00955252">
      <w:pPr>
        <w:pStyle w:val="Heading4"/>
      </w:pPr>
      <w:bookmarkStart w:id="304" w:name="_Toc470948558"/>
      <w:r w:rsidRPr="00C94C33">
        <w:t>Efficacy in age subgroups</w:t>
      </w:r>
      <w:bookmarkEnd w:id="304"/>
    </w:p>
    <w:p w14:paraId="2DAFB7A9" w14:textId="77777777" w:rsidR="00AA7141" w:rsidRDefault="00DF61BC" w:rsidP="00DF61BC">
      <w:r w:rsidRPr="00C94C33">
        <w:t>The data (D120 Response) included an analysis of efficacy by age subgroup. The resul</w:t>
      </w:r>
      <w:r w:rsidR="00AD742C" w:rsidRPr="00C94C33">
        <w:t>ts are summarised below.</w:t>
      </w:r>
    </w:p>
    <w:p w14:paraId="0A019D8A" w14:textId="3D602D1E" w:rsidR="00DF61BC" w:rsidRPr="00C94C33" w:rsidRDefault="00DF61BC" w:rsidP="0058475B">
      <w:pPr>
        <w:pStyle w:val="Tabletitle"/>
      </w:pPr>
      <w:bookmarkStart w:id="305" w:name="_Toc470948690"/>
      <w:r w:rsidRPr="00C94C33">
        <w:t xml:space="preserve">Table </w:t>
      </w:r>
      <w:fldSimple w:instr=" SEQ Table \* ARABIC ">
        <w:r w:rsidRPr="00C94C33">
          <w:rPr>
            <w:noProof/>
          </w:rPr>
          <w:t>41</w:t>
        </w:r>
      </w:fldSimple>
      <w:r w:rsidRPr="00C94C33">
        <w:t xml:space="preserve">: </w:t>
      </w:r>
      <w:r w:rsidR="00D34C18">
        <w:t xml:space="preserve">Study </w:t>
      </w:r>
      <w:r w:rsidRPr="00C94C33">
        <w:t>J003-10040030</w:t>
      </w:r>
      <w:r w:rsidR="00D34C18">
        <w:t xml:space="preserve">; </w:t>
      </w:r>
      <w:r w:rsidRPr="00C94C33">
        <w:t>OS by age subgroup, ITT population</w:t>
      </w:r>
      <w:bookmarkEnd w:id="305"/>
    </w:p>
    <w:tbl>
      <w:tblPr>
        <w:tblW w:w="0" w:type="auto"/>
        <w:tblInd w:w="112" w:type="dxa"/>
        <w:tblLayout w:type="fixed"/>
        <w:tblCellMar>
          <w:left w:w="0" w:type="dxa"/>
          <w:right w:w="0" w:type="dxa"/>
        </w:tblCellMar>
        <w:tblLook w:val="0000" w:firstRow="0" w:lastRow="0" w:firstColumn="0" w:lastColumn="0" w:noHBand="0" w:noVBand="0"/>
      </w:tblPr>
      <w:tblGrid>
        <w:gridCol w:w="1455"/>
        <w:gridCol w:w="811"/>
        <w:gridCol w:w="2048"/>
        <w:gridCol w:w="842"/>
        <w:gridCol w:w="2039"/>
        <w:gridCol w:w="2455"/>
      </w:tblGrid>
      <w:tr w:rsidR="00DF61BC" w:rsidRPr="00C94C33" w14:paraId="74CCF0D8" w14:textId="77777777" w:rsidTr="006263CF">
        <w:trPr>
          <w:trHeight w:hRule="exact" w:val="341"/>
          <w:tblHeader/>
        </w:trPr>
        <w:tc>
          <w:tcPr>
            <w:tcW w:w="1455" w:type="dxa"/>
            <w:vMerge w:val="restart"/>
            <w:tcBorders>
              <w:top w:val="single" w:sz="6" w:space="0" w:color="000000"/>
              <w:left w:val="single" w:sz="6" w:space="0" w:color="000000"/>
              <w:bottom w:val="single" w:sz="6" w:space="0" w:color="000000"/>
              <w:right w:val="single" w:sz="6" w:space="0" w:color="000000"/>
            </w:tcBorders>
            <w:shd w:val="clear" w:color="auto" w:fill="auto"/>
          </w:tcPr>
          <w:p w14:paraId="1C4A5827" w14:textId="77777777" w:rsidR="00DF61BC" w:rsidRPr="00C94C33" w:rsidRDefault="00DF61BC" w:rsidP="006263CF">
            <w:pPr>
              <w:pStyle w:val="TableHeading"/>
              <w:jc w:val="center"/>
            </w:pPr>
            <w:bookmarkStart w:id="306" w:name="Figure_24:_RECOURSE_Study:_Progression-f"/>
            <w:bookmarkStart w:id="307" w:name="Table_38:_Japanese_Phase_2_Study_-_Overa"/>
            <w:bookmarkEnd w:id="306"/>
            <w:bookmarkEnd w:id="307"/>
            <w:r w:rsidRPr="00C94C33">
              <w:t>Age</w:t>
            </w:r>
          </w:p>
        </w:tc>
        <w:tc>
          <w:tcPr>
            <w:tcW w:w="2859" w:type="dxa"/>
            <w:gridSpan w:val="2"/>
            <w:tcBorders>
              <w:top w:val="single" w:sz="6" w:space="0" w:color="000000"/>
              <w:left w:val="single" w:sz="6" w:space="0" w:color="000000"/>
              <w:bottom w:val="single" w:sz="6" w:space="0" w:color="000000"/>
              <w:right w:val="single" w:sz="6" w:space="0" w:color="000000"/>
            </w:tcBorders>
            <w:shd w:val="clear" w:color="auto" w:fill="auto"/>
          </w:tcPr>
          <w:p w14:paraId="6B249985" w14:textId="77777777" w:rsidR="00DF61BC" w:rsidRPr="00C94C33" w:rsidRDefault="00DF61BC" w:rsidP="006263CF">
            <w:pPr>
              <w:pStyle w:val="TableHeading"/>
              <w:jc w:val="center"/>
            </w:pPr>
            <w:r w:rsidRPr="00C94C33">
              <w:rPr>
                <w:spacing w:val="-1"/>
              </w:rPr>
              <w:t>TAS-102</w:t>
            </w:r>
          </w:p>
        </w:tc>
        <w:tc>
          <w:tcPr>
            <w:tcW w:w="2881" w:type="dxa"/>
            <w:gridSpan w:val="2"/>
            <w:tcBorders>
              <w:top w:val="single" w:sz="6" w:space="0" w:color="000000"/>
              <w:left w:val="single" w:sz="6" w:space="0" w:color="000000"/>
              <w:bottom w:val="single" w:sz="6" w:space="0" w:color="000000"/>
              <w:right w:val="single" w:sz="6" w:space="0" w:color="000000"/>
            </w:tcBorders>
            <w:shd w:val="clear" w:color="auto" w:fill="auto"/>
          </w:tcPr>
          <w:p w14:paraId="76227CD9" w14:textId="77777777" w:rsidR="00DF61BC" w:rsidRPr="00C94C33" w:rsidRDefault="00DF61BC" w:rsidP="006263CF">
            <w:pPr>
              <w:pStyle w:val="TableHeading"/>
              <w:jc w:val="center"/>
            </w:pPr>
            <w:r w:rsidRPr="00C94C33">
              <w:rPr>
                <w:spacing w:val="-1"/>
              </w:rPr>
              <w:t>Placebo</w:t>
            </w:r>
          </w:p>
        </w:tc>
        <w:tc>
          <w:tcPr>
            <w:tcW w:w="2455" w:type="dxa"/>
            <w:tcBorders>
              <w:top w:val="single" w:sz="6" w:space="0" w:color="000000"/>
              <w:left w:val="single" w:sz="6" w:space="0" w:color="000000"/>
              <w:bottom w:val="single" w:sz="6" w:space="0" w:color="000000"/>
              <w:right w:val="single" w:sz="6" w:space="0" w:color="000000"/>
            </w:tcBorders>
            <w:shd w:val="clear" w:color="auto" w:fill="auto"/>
          </w:tcPr>
          <w:p w14:paraId="241C82A6" w14:textId="4B24050F" w:rsidR="00DF61BC" w:rsidRPr="00C94C33" w:rsidRDefault="00DF61BC" w:rsidP="006263CF">
            <w:pPr>
              <w:pStyle w:val="TableHeading"/>
              <w:jc w:val="center"/>
            </w:pPr>
            <w:r w:rsidRPr="00C94C33">
              <w:t>TAS</w:t>
            </w:r>
            <w:r w:rsidR="00C11183">
              <w:t xml:space="preserve"> versus </w:t>
            </w:r>
            <w:r w:rsidRPr="00C94C33">
              <w:t>PBO</w:t>
            </w:r>
          </w:p>
        </w:tc>
      </w:tr>
      <w:tr w:rsidR="00DF61BC" w:rsidRPr="00C94C33" w14:paraId="5E534401" w14:textId="77777777" w:rsidTr="006263CF">
        <w:trPr>
          <w:trHeight w:hRule="exact" w:val="389"/>
          <w:tblHeader/>
        </w:trPr>
        <w:tc>
          <w:tcPr>
            <w:tcW w:w="1455" w:type="dxa"/>
            <w:vMerge/>
            <w:tcBorders>
              <w:top w:val="single" w:sz="6" w:space="0" w:color="000000"/>
              <w:left w:val="single" w:sz="6" w:space="0" w:color="000000"/>
              <w:bottom w:val="single" w:sz="6" w:space="0" w:color="000000"/>
              <w:right w:val="single" w:sz="6" w:space="0" w:color="000000"/>
            </w:tcBorders>
            <w:shd w:val="clear" w:color="auto" w:fill="auto"/>
          </w:tcPr>
          <w:p w14:paraId="754086CD" w14:textId="77777777" w:rsidR="00DF61BC" w:rsidRPr="00C94C33" w:rsidRDefault="00DF61BC" w:rsidP="006263CF">
            <w:pPr>
              <w:pStyle w:val="TableHeading"/>
              <w:jc w:val="center"/>
            </w:pPr>
          </w:p>
        </w:tc>
        <w:tc>
          <w:tcPr>
            <w:tcW w:w="811" w:type="dxa"/>
            <w:tcBorders>
              <w:top w:val="single" w:sz="6" w:space="0" w:color="000000"/>
              <w:left w:val="single" w:sz="6" w:space="0" w:color="000000"/>
              <w:bottom w:val="single" w:sz="6" w:space="0" w:color="000000"/>
              <w:right w:val="single" w:sz="6" w:space="0" w:color="000000"/>
            </w:tcBorders>
            <w:shd w:val="clear" w:color="auto" w:fill="auto"/>
          </w:tcPr>
          <w:p w14:paraId="47805BE3" w14:textId="77777777" w:rsidR="00DF61BC" w:rsidRPr="00C94C33" w:rsidRDefault="00DF61BC" w:rsidP="006263CF">
            <w:pPr>
              <w:pStyle w:val="TableHeading"/>
              <w:jc w:val="center"/>
            </w:pPr>
            <w:r w:rsidRPr="00C94C33">
              <w:t>N</w:t>
            </w:r>
          </w:p>
        </w:tc>
        <w:tc>
          <w:tcPr>
            <w:tcW w:w="2048" w:type="dxa"/>
            <w:tcBorders>
              <w:top w:val="single" w:sz="6" w:space="0" w:color="000000"/>
              <w:left w:val="single" w:sz="6" w:space="0" w:color="000000"/>
              <w:bottom w:val="single" w:sz="6" w:space="0" w:color="000000"/>
              <w:right w:val="single" w:sz="6" w:space="0" w:color="000000"/>
            </w:tcBorders>
            <w:shd w:val="clear" w:color="auto" w:fill="auto"/>
          </w:tcPr>
          <w:p w14:paraId="2251DF38" w14:textId="77777777" w:rsidR="00DF61BC" w:rsidRPr="00C94C33" w:rsidRDefault="00DF61BC" w:rsidP="006263CF">
            <w:pPr>
              <w:pStyle w:val="TableHeading"/>
              <w:jc w:val="center"/>
            </w:pPr>
            <w:r w:rsidRPr="00C94C33">
              <w:rPr>
                <w:spacing w:val="-1"/>
              </w:rPr>
              <w:t>Median</w:t>
            </w:r>
            <w:r w:rsidRPr="00C94C33">
              <w:rPr>
                <w:spacing w:val="-2"/>
              </w:rPr>
              <w:t xml:space="preserve"> </w:t>
            </w:r>
            <w:r w:rsidRPr="00C94C33">
              <w:rPr>
                <w:spacing w:val="1"/>
              </w:rPr>
              <w:t>(95%</w:t>
            </w:r>
            <w:r w:rsidRPr="00C94C33">
              <w:rPr>
                <w:spacing w:val="-5"/>
              </w:rPr>
              <w:t xml:space="preserve"> </w:t>
            </w:r>
            <w:r w:rsidRPr="00C94C33">
              <w:rPr>
                <w:spacing w:val="-1"/>
              </w:rPr>
              <w:t>CI)</w:t>
            </w:r>
          </w:p>
        </w:tc>
        <w:tc>
          <w:tcPr>
            <w:tcW w:w="842" w:type="dxa"/>
            <w:tcBorders>
              <w:top w:val="single" w:sz="6" w:space="0" w:color="000000"/>
              <w:left w:val="single" w:sz="6" w:space="0" w:color="000000"/>
              <w:bottom w:val="single" w:sz="6" w:space="0" w:color="000000"/>
              <w:right w:val="single" w:sz="6" w:space="0" w:color="000000"/>
            </w:tcBorders>
            <w:shd w:val="clear" w:color="auto" w:fill="auto"/>
          </w:tcPr>
          <w:p w14:paraId="39ED3352" w14:textId="77777777" w:rsidR="00DF61BC" w:rsidRPr="00C94C33" w:rsidRDefault="00DF61BC" w:rsidP="006263CF">
            <w:pPr>
              <w:pStyle w:val="TableHeading"/>
              <w:jc w:val="center"/>
            </w:pPr>
            <w:r w:rsidRPr="00C94C33">
              <w:t>N</w:t>
            </w:r>
          </w:p>
        </w:tc>
        <w:tc>
          <w:tcPr>
            <w:tcW w:w="2039" w:type="dxa"/>
            <w:tcBorders>
              <w:top w:val="single" w:sz="6" w:space="0" w:color="000000"/>
              <w:left w:val="single" w:sz="6" w:space="0" w:color="000000"/>
              <w:bottom w:val="single" w:sz="6" w:space="0" w:color="000000"/>
              <w:right w:val="single" w:sz="6" w:space="0" w:color="000000"/>
            </w:tcBorders>
            <w:shd w:val="clear" w:color="auto" w:fill="auto"/>
          </w:tcPr>
          <w:p w14:paraId="5BD6B1AC" w14:textId="77777777" w:rsidR="00DF61BC" w:rsidRPr="00C94C33" w:rsidRDefault="00DF61BC" w:rsidP="006263CF">
            <w:pPr>
              <w:pStyle w:val="TableHeading"/>
              <w:jc w:val="center"/>
            </w:pPr>
            <w:r w:rsidRPr="00C94C33">
              <w:rPr>
                <w:spacing w:val="-1"/>
              </w:rPr>
              <w:t>Median</w:t>
            </w:r>
            <w:r w:rsidRPr="00C94C33">
              <w:rPr>
                <w:spacing w:val="-2"/>
              </w:rPr>
              <w:t xml:space="preserve"> </w:t>
            </w:r>
            <w:r w:rsidRPr="00C94C33">
              <w:rPr>
                <w:spacing w:val="1"/>
              </w:rPr>
              <w:t>(95%</w:t>
            </w:r>
            <w:r w:rsidRPr="00C94C33">
              <w:rPr>
                <w:spacing w:val="-5"/>
              </w:rPr>
              <w:t xml:space="preserve"> </w:t>
            </w:r>
            <w:r w:rsidRPr="00C94C33">
              <w:rPr>
                <w:spacing w:val="-1"/>
              </w:rPr>
              <w:t>CI)</w:t>
            </w:r>
          </w:p>
        </w:tc>
        <w:tc>
          <w:tcPr>
            <w:tcW w:w="2455" w:type="dxa"/>
            <w:tcBorders>
              <w:top w:val="single" w:sz="6" w:space="0" w:color="000000"/>
              <w:left w:val="single" w:sz="6" w:space="0" w:color="000000"/>
              <w:bottom w:val="single" w:sz="6" w:space="0" w:color="000000"/>
              <w:right w:val="single" w:sz="6" w:space="0" w:color="000000"/>
            </w:tcBorders>
            <w:shd w:val="clear" w:color="auto" w:fill="auto"/>
          </w:tcPr>
          <w:p w14:paraId="566AE801" w14:textId="77777777" w:rsidR="00DF61BC" w:rsidRPr="00C94C33" w:rsidRDefault="00DF61BC" w:rsidP="006263CF">
            <w:pPr>
              <w:pStyle w:val="TableHeading"/>
              <w:jc w:val="center"/>
            </w:pPr>
            <w:r w:rsidRPr="00C94C33">
              <w:t>HR</w:t>
            </w:r>
            <w:r w:rsidRPr="00C94C33">
              <w:rPr>
                <w:spacing w:val="-1"/>
              </w:rPr>
              <w:t xml:space="preserve"> </w:t>
            </w:r>
            <w:r w:rsidRPr="00C94C33">
              <w:t>(95%</w:t>
            </w:r>
            <w:r w:rsidRPr="00C94C33">
              <w:rPr>
                <w:spacing w:val="-3"/>
              </w:rPr>
              <w:t xml:space="preserve"> </w:t>
            </w:r>
            <w:r w:rsidRPr="00C94C33">
              <w:rPr>
                <w:spacing w:val="-1"/>
              </w:rPr>
              <w:t>CI)</w:t>
            </w:r>
          </w:p>
        </w:tc>
      </w:tr>
      <w:tr w:rsidR="00DF61BC" w:rsidRPr="00C94C33" w14:paraId="3AE5BBDE" w14:textId="77777777" w:rsidTr="006263CF">
        <w:trPr>
          <w:trHeight w:hRule="exact" w:val="341"/>
        </w:trPr>
        <w:tc>
          <w:tcPr>
            <w:tcW w:w="1455" w:type="dxa"/>
            <w:tcBorders>
              <w:top w:val="single" w:sz="6" w:space="0" w:color="000000"/>
              <w:left w:val="single" w:sz="6" w:space="0" w:color="000000"/>
              <w:bottom w:val="single" w:sz="6" w:space="0" w:color="000000"/>
              <w:right w:val="single" w:sz="6" w:space="0" w:color="000000"/>
            </w:tcBorders>
            <w:shd w:val="clear" w:color="auto" w:fill="auto"/>
          </w:tcPr>
          <w:p w14:paraId="3B64CBCE" w14:textId="77777777" w:rsidR="00DF61BC" w:rsidRPr="00C94C33" w:rsidRDefault="00DF61BC" w:rsidP="006263CF">
            <w:pPr>
              <w:pStyle w:val="Tabletext"/>
            </w:pPr>
            <w:r w:rsidRPr="00C94C33">
              <w:t>&lt;65</w:t>
            </w:r>
          </w:p>
        </w:tc>
        <w:tc>
          <w:tcPr>
            <w:tcW w:w="811" w:type="dxa"/>
            <w:tcBorders>
              <w:top w:val="single" w:sz="6" w:space="0" w:color="000000"/>
              <w:left w:val="single" w:sz="6" w:space="0" w:color="000000"/>
              <w:bottom w:val="single" w:sz="6" w:space="0" w:color="000000"/>
              <w:right w:val="single" w:sz="6" w:space="0" w:color="000000"/>
            </w:tcBorders>
            <w:shd w:val="clear" w:color="auto" w:fill="auto"/>
          </w:tcPr>
          <w:p w14:paraId="24EB77D4" w14:textId="77777777" w:rsidR="00DF61BC" w:rsidRPr="00C94C33" w:rsidRDefault="00DF61BC" w:rsidP="006263CF">
            <w:pPr>
              <w:pStyle w:val="Tabletext"/>
              <w:jc w:val="center"/>
            </w:pPr>
            <w:r w:rsidRPr="00C94C33">
              <w:rPr>
                <w:spacing w:val="1"/>
              </w:rPr>
              <w:t>60</w:t>
            </w:r>
          </w:p>
        </w:tc>
        <w:tc>
          <w:tcPr>
            <w:tcW w:w="2048" w:type="dxa"/>
            <w:tcBorders>
              <w:top w:val="single" w:sz="6" w:space="0" w:color="000000"/>
              <w:left w:val="single" w:sz="6" w:space="0" w:color="000000"/>
              <w:bottom w:val="single" w:sz="6" w:space="0" w:color="000000"/>
              <w:right w:val="single" w:sz="6" w:space="0" w:color="000000"/>
            </w:tcBorders>
            <w:shd w:val="clear" w:color="auto" w:fill="auto"/>
          </w:tcPr>
          <w:p w14:paraId="7860B942" w14:textId="77777777" w:rsidR="00DF61BC" w:rsidRPr="00C94C33" w:rsidRDefault="00DF61BC" w:rsidP="006263CF">
            <w:pPr>
              <w:pStyle w:val="Tabletext"/>
              <w:jc w:val="center"/>
            </w:pPr>
            <w:r w:rsidRPr="00C94C33">
              <w:t>8.7</w:t>
            </w:r>
            <w:r w:rsidRPr="00C94C33">
              <w:rPr>
                <w:spacing w:val="-1"/>
              </w:rPr>
              <w:t xml:space="preserve"> </w:t>
            </w:r>
            <w:r w:rsidRPr="00C94C33">
              <w:t>(6.7,</w:t>
            </w:r>
            <w:r w:rsidRPr="00C94C33">
              <w:rPr>
                <w:spacing w:val="-2"/>
              </w:rPr>
              <w:t xml:space="preserve"> </w:t>
            </w:r>
            <w:r w:rsidRPr="00C94C33">
              <w:t>11.8)</w:t>
            </w:r>
          </w:p>
        </w:tc>
        <w:tc>
          <w:tcPr>
            <w:tcW w:w="842" w:type="dxa"/>
            <w:tcBorders>
              <w:top w:val="single" w:sz="6" w:space="0" w:color="000000"/>
              <w:left w:val="single" w:sz="6" w:space="0" w:color="000000"/>
              <w:bottom w:val="single" w:sz="6" w:space="0" w:color="000000"/>
              <w:right w:val="single" w:sz="6" w:space="0" w:color="000000"/>
            </w:tcBorders>
            <w:shd w:val="clear" w:color="auto" w:fill="auto"/>
          </w:tcPr>
          <w:p w14:paraId="31B0107D" w14:textId="77777777" w:rsidR="00DF61BC" w:rsidRPr="00C94C33" w:rsidRDefault="00DF61BC" w:rsidP="006263CF">
            <w:pPr>
              <w:pStyle w:val="Tabletext"/>
              <w:jc w:val="center"/>
            </w:pPr>
            <w:r w:rsidRPr="00C94C33">
              <w:rPr>
                <w:spacing w:val="1"/>
              </w:rPr>
              <w:t>34</w:t>
            </w:r>
          </w:p>
        </w:tc>
        <w:tc>
          <w:tcPr>
            <w:tcW w:w="2039" w:type="dxa"/>
            <w:tcBorders>
              <w:top w:val="single" w:sz="6" w:space="0" w:color="000000"/>
              <w:left w:val="single" w:sz="6" w:space="0" w:color="000000"/>
              <w:bottom w:val="single" w:sz="6" w:space="0" w:color="000000"/>
              <w:right w:val="single" w:sz="6" w:space="0" w:color="000000"/>
            </w:tcBorders>
            <w:shd w:val="clear" w:color="auto" w:fill="auto"/>
          </w:tcPr>
          <w:p w14:paraId="4A755A76" w14:textId="77777777" w:rsidR="00DF61BC" w:rsidRPr="00C94C33" w:rsidRDefault="00DF61BC" w:rsidP="006263CF">
            <w:pPr>
              <w:pStyle w:val="Tabletext"/>
              <w:jc w:val="center"/>
            </w:pPr>
            <w:r w:rsidRPr="00C94C33">
              <w:t>7.2</w:t>
            </w:r>
            <w:r w:rsidRPr="00C94C33">
              <w:rPr>
                <w:spacing w:val="-1"/>
              </w:rPr>
              <w:t xml:space="preserve"> </w:t>
            </w:r>
            <w:r w:rsidRPr="00C94C33">
              <w:t>(4.1,</w:t>
            </w:r>
            <w:r w:rsidRPr="00C94C33">
              <w:rPr>
                <w:spacing w:val="-2"/>
              </w:rPr>
              <w:t xml:space="preserve"> </w:t>
            </w:r>
            <w:r w:rsidRPr="00C94C33">
              <w:rPr>
                <w:spacing w:val="-1"/>
              </w:rPr>
              <w:t>8.9)</w:t>
            </w:r>
          </w:p>
        </w:tc>
        <w:tc>
          <w:tcPr>
            <w:tcW w:w="2455" w:type="dxa"/>
            <w:tcBorders>
              <w:top w:val="single" w:sz="6" w:space="0" w:color="000000"/>
              <w:left w:val="single" w:sz="6" w:space="0" w:color="000000"/>
              <w:bottom w:val="single" w:sz="6" w:space="0" w:color="000000"/>
              <w:right w:val="single" w:sz="6" w:space="0" w:color="000000"/>
            </w:tcBorders>
            <w:shd w:val="clear" w:color="auto" w:fill="auto"/>
          </w:tcPr>
          <w:p w14:paraId="131C2C8C" w14:textId="77777777" w:rsidR="00DF61BC" w:rsidRPr="00C94C33" w:rsidRDefault="00DF61BC" w:rsidP="006263CF">
            <w:pPr>
              <w:pStyle w:val="Tabletext"/>
              <w:jc w:val="center"/>
            </w:pPr>
            <w:r w:rsidRPr="00C94C33">
              <w:rPr>
                <w:spacing w:val="-1"/>
              </w:rPr>
              <w:t>0.62</w:t>
            </w:r>
            <w:r w:rsidRPr="00C94C33">
              <w:rPr>
                <w:spacing w:val="1"/>
              </w:rPr>
              <w:t xml:space="preserve"> </w:t>
            </w:r>
            <w:r w:rsidRPr="00C94C33">
              <w:rPr>
                <w:spacing w:val="-1"/>
              </w:rPr>
              <w:t>(0.39,</w:t>
            </w:r>
            <w:r w:rsidRPr="00C94C33">
              <w:t xml:space="preserve"> 1.01)</w:t>
            </w:r>
          </w:p>
        </w:tc>
      </w:tr>
      <w:tr w:rsidR="00DF61BC" w:rsidRPr="00C94C33" w14:paraId="1BABC078" w14:textId="77777777" w:rsidTr="006263CF">
        <w:trPr>
          <w:trHeight w:hRule="exact" w:val="343"/>
        </w:trPr>
        <w:tc>
          <w:tcPr>
            <w:tcW w:w="1455" w:type="dxa"/>
            <w:tcBorders>
              <w:top w:val="single" w:sz="6" w:space="0" w:color="000000"/>
              <w:left w:val="single" w:sz="6" w:space="0" w:color="000000"/>
              <w:bottom w:val="single" w:sz="6" w:space="0" w:color="000000"/>
              <w:right w:val="single" w:sz="6" w:space="0" w:color="000000"/>
            </w:tcBorders>
            <w:shd w:val="clear" w:color="auto" w:fill="auto"/>
          </w:tcPr>
          <w:p w14:paraId="1A6518A8" w14:textId="77777777" w:rsidR="00DF61BC" w:rsidRPr="00C94C33" w:rsidRDefault="00DF61BC" w:rsidP="006263CF">
            <w:pPr>
              <w:pStyle w:val="Tabletext"/>
            </w:pPr>
            <w:r w:rsidRPr="00C94C33">
              <w:t>65</w:t>
            </w:r>
            <w:r w:rsidRPr="00C94C33">
              <w:rPr>
                <w:spacing w:val="1"/>
              </w:rPr>
              <w:t xml:space="preserve"> </w:t>
            </w:r>
            <w:r w:rsidRPr="00C94C33">
              <w:rPr>
                <w:spacing w:val="-1"/>
              </w:rPr>
              <w:t>-74</w:t>
            </w:r>
          </w:p>
        </w:tc>
        <w:tc>
          <w:tcPr>
            <w:tcW w:w="811" w:type="dxa"/>
            <w:tcBorders>
              <w:top w:val="single" w:sz="6" w:space="0" w:color="000000"/>
              <w:left w:val="single" w:sz="6" w:space="0" w:color="000000"/>
              <w:bottom w:val="single" w:sz="6" w:space="0" w:color="000000"/>
              <w:right w:val="single" w:sz="6" w:space="0" w:color="000000"/>
            </w:tcBorders>
            <w:shd w:val="clear" w:color="auto" w:fill="auto"/>
          </w:tcPr>
          <w:p w14:paraId="336F92D0" w14:textId="77777777" w:rsidR="00DF61BC" w:rsidRPr="00C94C33" w:rsidRDefault="00DF61BC" w:rsidP="006263CF">
            <w:pPr>
              <w:pStyle w:val="Tabletext"/>
              <w:jc w:val="center"/>
            </w:pPr>
            <w:r w:rsidRPr="00C94C33">
              <w:rPr>
                <w:spacing w:val="1"/>
              </w:rPr>
              <w:t>43</w:t>
            </w:r>
          </w:p>
        </w:tc>
        <w:tc>
          <w:tcPr>
            <w:tcW w:w="2048" w:type="dxa"/>
            <w:tcBorders>
              <w:top w:val="single" w:sz="6" w:space="0" w:color="000000"/>
              <w:left w:val="single" w:sz="6" w:space="0" w:color="000000"/>
              <w:bottom w:val="single" w:sz="6" w:space="0" w:color="000000"/>
              <w:right w:val="single" w:sz="6" w:space="0" w:color="000000"/>
            </w:tcBorders>
            <w:shd w:val="clear" w:color="auto" w:fill="auto"/>
          </w:tcPr>
          <w:p w14:paraId="5A600EBA" w14:textId="77777777" w:rsidR="00DF61BC" w:rsidRPr="00C94C33" w:rsidRDefault="00DF61BC" w:rsidP="006263CF">
            <w:pPr>
              <w:pStyle w:val="Tabletext"/>
              <w:jc w:val="center"/>
            </w:pPr>
            <w:r w:rsidRPr="00C94C33">
              <w:t>9.0</w:t>
            </w:r>
            <w:r w:rsidRPr="00C94C33">
              <w:rPr>
                <w:spacing w:val="-1"/>
              </w:rPr>
              <w:t xml:space="preserve"> </w:t>
            </w:r>
            <w:r w:rsidRPr="00C94C33">
              <w:t>(7.1,</w:t>
            </w:r>
            <w:r w:rsidRPr="00C94C33">
              <w:rPr>
                <w:spacing w:val="-2"/>
              </w:rPr>
              <w:t xml:space="preserve"> </w:t>
            </w:r>
            <w:r w:rsidRPr="00C94C33">
              <w:t>13.6)</w:t>
            </w:r>
          </w:p>
        </w:tc>
        <w:tc>
          <w:tcPr>
            <w:tcW w:w="842" w:type="dxa"/>
            <w:tcBorders>
              <w:top w:val="single" w:sz="6" w:space="0" w:color="000000"/>
              <w:left w:val="single" w:sz="6" w:space="0" w:color="000000"/>
              <w:bottom w:val="single" w:sz="6" w:space="0" w:color="000000"/>
              <w:right w:val="single" w:sz="6" w:space="0" w:color="000000"/>
            </w:tcBorders>
            <w:shd w:val="clear" w:color="auto" w:fill="auto"/>
          </w:tcPr>
          <w:p w14:paraId="3221D541" w14:textId="77777777" w:rsidR="00DF61BC" w:rsidRPr="00C94C33" w:rsidRDefault="00DF61BC" w:rsidP="006263CF">
            <w:pPr>
              <w:pStyle w:val="Tabletext"/>
              <w:jc w:val="center"/>
            </w:pPr>
            <w:r w:rsidRPr="00C94C33">
              <w:rPr>
                <w:spacing w:val="1"/>
              </w:rPr>
              <w:t>18</w:t>
            </w:r>
          </w:p>
        </w:tc>
        <w:tc>
          <w:tcPr>
            <w:tcW w:w="2039" w:type="dxa"/>
            <w:tcBorders>
              <w:top w:val="single" w:sz="6" w:space="0" w:color="000000"/>
              <w:left w:val="single" w:sz="6" w:space="0" w:color="000000"/>
              <w:bottom w:val="single" w:sz="6" w:space="0" w:color="000000"/>
              <w:right w:val="single" w:sz="6" w:space="0" w:color="000000"/>
            </w:tcBorders>
            <w:shd w:val="clear" w:color="auto" w:fill="auto"/>
          </w:tcPr>
          <w:p w14:paraId="56FEF6BA" w14:textId="77777777" w:rsidR="00DF61BC" w:rsidRPr="00C94C33" w:rsidRDefault="00DF61BC" w:rsidP="006263CF">
            <w:pPr>
              <w:pStyle w:val="Tabletext"/>
              <w:jc w:val="center"/>
            </w:pPr>
            <w:r w:rsidRPr="00C94C33">
              <w:t>5.3</w:t>
            </w:r>
            <w:r w:rsidRPr="00C94C33">
              <w:rPr>
                <w:spacing w:val="-1"/>
              </w:rPr>
              <w:t xml:space="preserve"> </w:t>
            </w:r>
            <w:r w:rsidRPr="00C94C33">
              <w:t>(3.4,</w:t>
            </w:r>
            <w:r w:rsidRPr="00C94C33">
              <w:rPr>
                <w:spacing w:val="-2"/>
              </w:rPr>
              <w:t xml:space="preserve"> </w:t>
            </w:r>
            <w:r w:rsidRPr="00C94C33">
              <w:rPr>
                <w:spacing w:val="-1"/>
              </w:rPr>
              <w:t>7.6)</w:t>
            </w:r>
          </w:p>
        </w:tc>
        <w:tc>
          <w:tcPr>
            <w:tcW w:w="2455" w:type="dxa"/>
            <w:tcBorders>
              <w:top w:val="single" w:sz="6" w:space="0" w:color="000000"/>
              <w:left w:val="single" w:sz="6" w:space="0" w:color="000000"/>
              <w:bottom w:val="single" w:sz="6" w:space="0" w:color="000000"/>
              <w:right w:val="single" w:sz="6" w:space="0" w:color="000000"/>
            </w:tcBorders>
            <w:shd w:val="clear" w:color="auto" w:fill="auto"/>
          </w:tcPr>
          <w:p w14:paraId="0E4C2ECA" w14:textId="77777777" w:rsidR="00DF61BC" w:rsidRPr="00C94C33" w:rsidRDefault="00DF61BC" w:rsidP="006263CF">
            <w:pPr>
              <w:pStyle w:val="Tabletext"/>
              <w:jc w:val="center"/>
            </w:pPr>
            <w:r w:rsidRPr="00C94C33">
              <w:rPr>
                <w:spacing w:val="-1"/>
              </w:rPr>
              <w:t>0.48</w:t>
            </w:r>
            <w:r w:rsidRPr="00C94C33">
              <w:rPr>
                <w:spacing w:val="1"/>
              </w:rPr>
              <w:t xml:space="preserve"> </w:t>
            </w:r>
            <w:r w:rsidRPr="00C94C33">
              <w:rPr>
                <w:spacing w:val="-1"/>
              </w:rPr>
              <w:t>(0.25,</w:t>
            </w:r>
            <w:r w:rsidRPr="00C94C33">
              <w:rPr>
                <w:spacing w:val="-2"/>
              </w:rPr>
              <w:t xml:space="preserve"> </w:t>
            </w:r>
            <w:r w:rsidRPr="00C94C33">
              <w:t>0.91)</w:t>
            </w:r>
          </w:p>
        </w:tc>
      </w:tr>
      <w:tr w:rsidR="00DF61BC" w:rsidRPr="00C94C33" w14:paraId="07EBFA2B" w14:textId="77777777" w:rsidTr="006263CF">
        <w:trPr>
          <w:trHeight w:hRule="exact" w:val="343"/>
        </w:trPr>
        <w:tc>
          <w:tcPr>
            <w:tcW w:w="1455" w:type="dxa"/>
            <w:tcBorders>
              <w:top w:val="single" w:sz="6" w:space="0" w:color="000000"/>
              <w:left w:val="single" w:sz="6" w:space="0" w:color="000000"/>
              <w:bottom w:val="single" w:sz="6" w:space="0" w:color="000000"/>
              <w:right w:val="single" w:sz="6" w:space="0" w:color="000000"/>
            </w:tcBorders>
            <w:shd w:val="clear" w:color="auto" w:fill="auto"/>
          </w:tcPr>
          <w:p w14:paraId="27038134" w14:textId="77777777" w:rsidR="00DF61BC" w:rsidRPr="00C94C33" w:rsidRDefault="00DF61BC" w:rsidP="006263CF">
            <w:pPr>
              <w:pStyle w:val="Tabletext"/>
            </w:pPr>
            <w:r w:rsidRPr="00C94C33">
              <w:t>75</w:t>
            </w:r>
            <w:r w:rsidRPr="00C94C33">
              <w:rPr>
                <w:spacing w:val="-1"/>
              </w:rPr>
              <w:t xml:space="preserve"> </w:t>
            </w:r>
            <w:r w:rsidRPr="00C94C33">
              <w:t>–</w:t>
            </w:r>
            <w:r w:rsidRPr="00C94C33">
              <w:rPr>
                <w:spacing w:val="1"/>
              </w:rPr>
              <w:t xml:space="preserve"> </w:t>
            </w:r>
            <w:r w:rsidRPr="00C94C33">
              <w:rPr>
                <w:spacing w:val="-2"/>
              </w:rPr>
              <w:t>84</w:t>
            </w:r>
          </w:p>
        </w:tc>
        <w:tc>
          <w:tcPr>
            <w:tcW w:w="811" w:type="dxa"/>
            <w:tcBorders>
              <w:top w:val="single" w:sz="6" w:space="0" w:color="000000"/>
              <w:left w:val="single" w:sz="6" w:space="0" w:color="000000"/>
              <w:bottom w:val="single" w:sz="6" w:space="0" w:color="000000"/>
              <w:right w:val="single" w:sz="6" w:space="0" w:color="000000"/>
            </w:tcBorders>
            <w:shd w:val="clear" w:color="auto" w:fill="auto"/>
          </w:tcPr>
          <w:p w14:paraId="4C8077EA" w14:textId="77777777" w:rsidR="00DF61BC" w:rsidRPr="00C94C33" w:rsidRDefault="00DF61BC" w:rsidP="006263CF">
            <w:pPr>
              <w:pStyle w:val="Tabletext"/>
              <w:jc w:val="center"/>
            </w:pPr>
            <w:r w:rsidRPr="00C94C33">
              <w:t>9</w:t>
            </w:r>
          </w:p>
        </w:tc>
        <w:tc>
          <w:tcPr>
            <w:tcW w:w="2048" w:type="dxa"/>
            <w:tcBorders>
              <w:top w:val="single" w:sz="6" w:space="0" w:color="000000"/>
              <w:left w:val="single" w:sz="6" w:space="0" w:color="000000"/>
              <w:bottom w:val="single" w:sz="6" w:space="0" w:color="000000"/>
              <w:right w:val="single" w:sz="6" w:space="0" w:color="000000"/>
            </w:tcBorders>
            <w:shd w:val="clear" w:color="auto" w:fill="auto"/>
          </w:tcPr>
          <w:p w14:paraId="7785258B" w14:textId="77777777" w:rsidR="00DF61BC" w:rsidRPr="00C94C33" w:rsidRDefault="00DF61BC" w:rsidP="006263CF">
            <w:pPr>
              <w:pStyle w:val="Tabletext"/>
              <w:jc w:val="center"/>
            </w:pPr>
            <w:r w:rsidRPr="00C94C33">
              <w:t>6.1</w:t>
            </w:r>
            <w:r w:rsidRPr="00C94C33">
              <w:rPr>
                <w:spacing w:val="-1"/>
              </w:rPr>
              <w:t xml:space="preserve"> </w:t>
            </w:r>
            <w:r w:rsidRPr="00C94C33">
              <w:t>(1.6,</w:t>
            </w:r>
            <w:r w:rsidRPr="00C94C33">
              <w:rPr>
                <w:spacing w:val="1"/>
              </w:rPr>
              <w:t xml:space="preserve"> </w:t>
            </w:r>
            <w:r w:rsidRPr="00C94C33">
              <w:t>-)</w:t>
            </w:r>
          </w:p>
        </w:tc>
        <w:tc>
          <w:tcPr>
            <w:tcW w:w="842" w:type="dxa"/>
            <w:tcBorders>
              <w:top w:val="single" w:sz="6" w:space="0" w:color="000000"/>
              <w:left w:val="single" w:sz="6" w:space="0" w:color="000000"/>
              <w:bottom w:val="single" w:sz="6" w:space="0" w:color="000000"/>
              <w:right w:val="single" w:sz="6" w:space="0" w:color="000000"/>
            </w:tcBorders>
            <w:shd w:val="clear" w:color="auto" w:fill="auto"/>
          </w:tcPr>
          <w:p w14:paraId="49FE4805" w14:textId="77777777" w:rsidR="00DF61BC" w:rsidRPr="00C94C33" w:rsidRDefault="00DF61BC" w:rsidP="006263CF">
            <w:pPr>
              <w:pStyle w:val="Tabletext"/>
              <w:jc w:val="center"/>
            </w:pPr>
            <w:r w:rsidRPr="00C94C33">
              <w:t>5</w:t>
            </w:r>
          </w:p>
        </w:tc>
        <w:tc>
          <w:tcPr>
            <w:tcW w:w="2039" w:type="dxa"/>
            <w:tcBorders>
              <w:top w:val="single" w:sz="6" w:space="0" w:color="000000"/>
              <w:left w:val="single" w:sz="6" w:space="0" w:color="000000"/>
              <w:bottom w:val="single" w:sz="6" w:space="0" w:color="000000"/>
              <w:right w:val="single" w:sz="6" w:space="0" w:color="000000"/>
            </w:tcBorders>
            <w:shd w:val="clear" w:color="auto" w:fill="auto"/>
          </w:tcPr>
          <w:p w14:paraId="3B1DD1D7" w14:textId="77777777" w:rsidR="00DF61BC" w:rsidRPr="00C94C33" w:rsidRDefault="00DF61BC" w:rsidP="006263CF">
            <w:pPr>
              <w:pStyle w:val="Tabletext"/>
              <w:jc w:val="center"/>
            </w:pPr>
            <w:r w:rsidRPr="00C94C33">
              <w:t>7.1</w:t>
            </w:r>
            <w:r w:rsidRPr="00C94C33">
              <w:rPr>
                <w:spacing w:val="-1"/>
              </w:rPr>
              <w:t xml:space="preserve"> </w:t>
            </w:r>
            <w:r w:rsidRPr="00C94C33">
              <w:t>(3.1,</w:t>
            </w:r>
            <w:r w:rsidRPr="00C94C33">
              <w:rPr>
                <w:spacing w:val="1"/>
              </w:rPr>
              <w:t xml:space="preserve"> </w:t>
            </w:r>
            <w:r w:rsidRPr="00C94C33">
              <w:t>-)</w:t>
            </w:r>
          </w:p>
        </w:tc>
        <w:tc>
          <w:tcPr>
            <w:tcW w:w="2455" w:type="dxa"/>
            <w:tcBorders>
              <w:top w:val="single" w:sz="6" w:space="0" w:color="000000"/>
              <w:left w:val="single" w:sz="6" w:space="0" w:color="000000"/>
              <w:bottom w:val="single" w:sz="6" w:space="0" w:color="000000"/>
              <w:right w:val="single" w:sz="6" w:space="0" w:color="000000"/>
            </w:tcBorders>
            <w:shd w:val="clear" w:color="auto" w:fill="auto"/>
          </w:tcPr>
          <w:p w14:paraId="0207FFC6" w14:textId="77777777" w:rsidR="00DF61BC" w:rsidRPr="00C94C33" w:rsidRDefault="00DF61BC" w:rsidP="006263CF">
            <w:pPr>
              <w:pStyle w:val="Tabletext"/>
              <w:jc w:val="center"/>
            </w:pPr>
            <w:r w:rsidRPr="00C94C33">
              <w:rPr>
                <w:spacing w:val="-1"/>
              </w:rPr>
              <w:t>0.66</w:t>
            </w:r>
            <w:r w:rsidRPr="00C94C33">
              <w:rPr>
                <w:spacing w:val="1"/>
              </w:rPr>
              <w:t xml:space="preserve"> </w:t>
            </w:r>
            <w:r w:rsidRPr="00C94C33">
              <w:rPr>
                <w:spacing w:val="-1"/>
              </w:rPr>
              <w:t>(0.17,</w:t>
            </w:r>
            <w:r w:rsidRPr="00C94C33">
              <w:rPr>
                <w:spacing w:val="-2"/>
              </w:rPr>
              <w:t xml:space="preserve"> </w:t>
            </w:r>
            <w:r w:rsidRPr="00C94C33">
              <w:t>2.62)</w:t>
            </w:r>
          </w:p>
        </w:tc>
      </w:tr>
    </w:tbl>
    <w:p w14:paraId="02E8EFAF" w14:textId="7E7113FE" w:rsidR="00DF61BC" w:rsidRPr="00C94C33" w:rsidRDefault="00DF61BC" w:rsidP="00AD742C">
      <w:pPr>
        <w:pStyle w:val="Tabletitle"/>
        <w:rPr>
          <w:bCs/>
        </w:rPr>
      </w:pPr>
      <w:bookmarkStart w:id="308" w:name="_Toc470948691"/>
      <w:r w:rsidRPr="00C94C33">
        <w:t>Table</w:t>
      </w:r>
      <w:r w:rsidR="00AD742C" w:rsidRPr="00C94C33">
        <w:t xml:space="preserve"> 42</w:t>
      </w:r>
      <w:r w:rsidRPr="00C94C33">
        <w:t xml:space="preserve">: </w:t>
      </w:r>
      <w:r w:rsidR="00D34C18">
        <w:t xml:space="preserve">Study </w:t>
      </w:r>
      <w:r w:rsidRPr="00C94C33">
        <w:t>J003-10040030</w:t>
      </w:r>
      <w:r w:rsidR="00D34C18">
        <w:t>;</w:t>
      </w:r>
      <w:r w:rsidRPr="00C94C33">
        <w:t xml:space="preserve"> PFS by age subgroup, ITT population</w:t>
      </w:r>
      <w:bookmarkEnd w:id="308"/>
    </w:p>
    <w:tbl>
      <w:tblPr>
        <w:tblW w:w="0" w:type="auto"/>
        <w:tblInd w:w="112" w:type="dxa"/>
        <w:tblLayout w:type="fixed"/>
        <w:tblCellMar>
          <w:left w:w="0" w:type="dxa"/>
          <w:right w:w="0" w:type="dxa"/>
        </w:tblCellMar>
        <w:tblLook w:val="0000" w:firstRow="0" w:lastRow="0" w:firstColumn="0" w:lastColumn="0" w:noHBand="0" w:noVBand="0"/>
      </w:tblPr>
      <w:tblGrid>
        <w:gridCol w:w="1455"/>
        <w:gridCol w:w="811"/>
        <w:gridCol w:w="2048"/>
        <w:gridCol w:w="842"/>
        <w:gridCol w:w="2039"/>
        <w:gridCol w:w="2455"/>
      </w:tblGrid>
      <w:tr w:rsidR="00DF61BC" w:rsidRPr="00C94C33" w14:paraId="5ED15695" w14:textId="77777777" w:rsidTr="006263CF">
        <w:trPr>
          <w:trHeight w:hRule="exact" w:val="341"/>
          <w:tblHeader/>
        </w:trPr>
        <w:tc>
          <w:tcPr>
            <w:tcW w:w="1455" w:type="dxa"/>
            <w:vMerge w:val="restart"/>
            <w:tcBorders>
              <w:top w:val="single" w:sz="6" w:space="0" w:color="000000"/>
              <w:left w:val="single" w:sz="6" w:space="0" w:color="000000"/>
              <w:bottom w:val="single" w:sz="6" w:space="0" w:color="000000"/>
              <w:right w:val="single" w:sz="6" w:space="0" w:color="000000"/>
            </w:tcBorders>
            <w:shd w:val="clear" w:color="auto" w:fill="auto"/>
          </w:tcPr>
          <w:p w14:paraId="540A2DA4" w14:textId="77777777" w:rsidR="00DF61BC" w:rsidRPr="00C94C33" w:rsidRDefault="00DF61BC" w:rsidP="006263CF">
            <w:pPr>
              <w:pStyle w:val="TableHeading"/>
              <w:jc w:val="center"/>
            </w:pPr>
            <w:bookmarkStart w:id="309" w:name="Figure_25:_Japanese_Phase_2_Study_-_Over"/>
            <w:bookmarkStart w:id="310" w:name="Figure_26:_Japanese_Phase_2_Study_-_Over"/>
            <w:bookmarkStart w:id="311" w:name="Table_39:_Japanese_Phase_2_Study:_Progre"/>
            <w:bookmarkEnd w:id="309"/>
            <w:bookmarkEnd w:id="310"/>
            <w:bookmarkEnd w:id="311"/>
            <w:r w:rsidRPr="00C94C33">
              <w:t>Age</w:t>
            </w:r>
          </w:p>
        </w:tc>
        <w:tc>
          <w:tcPr>
            <w:tcW w:w="2859" w:type="dxa"/>
            <w:gridSpan w:val="2"/>
            <w:tcBorders>
              <w:top w:val="single" w:sz="6" w:space="0" w:color="000000"/>
              <w:left w:val="single" w:sz="6" w:space="0" w:color="000000"/>
              <w:bottom w:val="single" w:sz="6" w:space="0" w:color="000000"/>
              <w:right w:val="single" w:sz="6" w:space="0" w:color="000000"/>
            </w:tcBorders>
            <w:shd w:val="clear" w:color="auto" w:fill="auto"/>
          </w:tcPr>
          <w:p w14:paraId="2585D93A" w14:textId="77777777" w:rsidR="00DF61BC" w:rsidRPr="00C94C33" w:rsidRDefault="00DF61BC" w:rsidP="006263CF">
            <w:pPr>
              <w:pStyle w:val="TableHeading"/>
              <w:jc w:val="center"/>
            </w:pPr>
            <w:r w:rsidRPr="00C94C33">
              <w:rPr>
                <w:spacing w:val="-1"/>
              </w:rPr>
              <w:t>TAS-102</w:t>
            </w:r>
          </w:p>
        </w:tc>
        <w:tc>
          <w:tcPr>
            <w:tcW w:w="2881" w:type="dxa"/>
            <w:gridSpan w:val="2"/>
            <w:tcBorders>
              <w:top w:val="single" w:sz="6" w:space="0" w:color="000000"/>
              <w:left w:val="single" w:sz="6" w:space="0" w:color="000000"/>
              <w:bottom w:val="single" w:sz="6" w:space="0" w:color="000000"/>
              <w:right w:val="single" w:sz="6" w:space="0" w:color="000000"/>
            </w:tcBorders>
            <w:shd w:val="clear" w:color="auto" w:fill="auto"/>
          </w:tcPr>
          <w:p w14:paraId="1AEB4816" w14:textId="77777777" w:rsidR="00DF61BC" w:rsidRPr="00C94C33" w:rsidRDefault="00DF61BC" w:rsidP="006263CF">
            <w:pPr>
              <w:pStyle w:val="TableHeading"/>
              <w:jc w:val="center"/>
            </w:pPr>
            <w:r w:rsidRPr="00C94C33">
              <w:rPr>
                <w:spacing w:val="-1"/>
              </w:rPr>
              <w:t>Placebo</w:t>
            </w:r>
          </w:p>
        </w:tc>
        <w:tc>
          <w:tcPr>
            <w:tcW w:w="2455" w:type="dxa"/>
            <w:tcBorders>
              <w:top w:val="single" w:sz="6" w:space="0" w:color="000000"/>
              <w:left w:val="single" w:sz="6" w:space="0" w:color="000000"/>
              <w:bottom w:val="single" w:sz="6" w:space="0" w:color="000000"/>
              <w:right w:val="single" w:sz="6" w:space="0" w:color="000000"/>
            </w:tcBorders>
            <w:shd w:val="clear" w:color="auto" w:fill="auto"/>
          </w:tcPr>
          <w:p w14:paraId="4F392871" w14:textId="0F3BF12E" w:rsidR="00DF61BC" w:rsidRPr="00C94C33" w:rsidRDefault="00DF61BC" w:rsidP="006263CF">
            <w:pPr>
              <w:pStyle w:val="TableHeading"/>
              <w:jc w:val="center"/>
            </w:pPr>
            <w:r w:rsidRPr="00C94C33">
              <w:t>TAS</w:t>
            </w:r>
            <w:r w:rsidR="00C11183">
              <w:t xml:space="preserve"> versus </w:t>
            </w:r>
            <w:r w:rsidRPr="00C94C33">
              <w:t>PBO</w:t>
            </w:r>
          </w:p>
        </w:tc>
      </w:tr>
      <w:tr w:rsidR="00DF61BC" w:rsidRPr="00C94C33" w14:paraId="77B98243" w14:textId="77777777" w:rsidTr="006263CF">
        <w:trPr>
          <w:trHeight w:hRule="exact" w:val="389"/>
          <w:tblHeader/>
        </w:trPr>
        <w:tc>
          <w:tcPr>
            <w:tcW w:w="1455" w:type="dxa"/>
            <w:vMerge/>
            <w:tcBorders>
              <w:top w:val="single" w:sz="6" w:space="0" w:color="000000"/>
              <w:left w:val="single" w:sz="6" w:space="0" w:color="000000"/>
              <w:bottom w:val="single" w:sz="6" w:space="0" w:color="000000"/>
              <w:right w:val="single" w:sz="6" w:space="0" w:color="000000"/>
            </w:tcBorders>
            <w:shd w:val="clear" w:color="auto" w:fill="auto"/>
          </w:tcPr>
          <w:p w14:paraId="1FF382AC" w14:textId="77777777" w:rsidR="00DF61BC" w:rsidRPr="00C94C33" w:rsidRDefault="00DF61BC" w:rsidP="00DF61BC">
            <w:pPr>
              <w:kinsoku w:val="0"/>
              <w:overflowPunct w:val="0"/>
              <w:autoSpaceDE w:val="0"/>
              <w:autoSpaceDN w:val="0"/>
              <w:adjustRightInd w:val="0"/>
              <w:spacing w:before="59" w:after="0"/>
              <w:ind w:left="733"/>
              <w:rPr>
                <w:rFonts w:asciiTheme="minorHAnsi" w:hAnsiTheme="minorHAnsi" w:cstheme="minorHAnsi"/>
                <w:sz w:val="18"/>
                <w:szCs w:val="18"/>
              </w:rPr>
            </w:pPr>
          </w:p>
        </w:tc>
        <w:tc>
          <w:tcPr>
            <w:tcW w:w="811" w:type="dxa"/>
            <w:tcBorders>
              <w:top w:val="single" w:sz="6" w:space="0" w:color="000000"/>
              <w:left w:val="single" w:sz="6" w:space="0" w:color="000000"/>
              <w:bottom w:val="single" w:sz="6" w:space="0" w:color="000000"/>
              <w:right w:val="single" w:sz="6" w:space="0" w:color="000000"/>
            </w:tcBorders>
            <w:shd w:val="clear" w:color="auto" w:fill="auto"/>
          </w:tcPr>
          <w:p w14:paraId="5BE8D394" w14:textId="77777777" w:rsidR="00DF61BC" w:rsidRPr="00C94C33" w:rsidRDefault="00DF61BC" w:rsidP="00DF61BC">
            <w:pPr>
              <w:kinsoku w:val="0"/>
              <w:overflowPunct w:val="0"/>
              <w:autoSpaceDE w:val="0"/>
              <w:autoSpaceDN w:val="0"/>
              <w:adjustRightInd w:val="0"/>
              <w:spacing w:before="61" w:after="0"/>
              <w:ind w:right="3"/>
              <w:jc w:val="center"/>
              <w:rPr>
                <w:rFonts w:asciiTheme="minorHAnsi" w:hAnsiTheme="minorHAnsi" w:cstheme="minorHAnsi"/>
                <w:sz w:val="18"/>
                <w:szCs w:val="18"/>
              </w:rPr>
            </w:pPr>
            <w:r w:rsidRPr="00C94C33">
              <w:rPr>
                <w:rFonts w:asciiTheme="minorHAnsi" w:hAnsiTheme="minorHAnsi" w:cstheme="minorHAnsi"/>
                <w:b/>
                <w:bCs/>
                <w:sz w:val="18"/>
                <w:szCs w:val="18"/>
              </w:rPr>
              <w:t>N</w:t>
            </w:r>
          </w:p>
        </w:tc>
        <w:tc>
          <w:tcPr>
            <w:tcW w:w="2048" w:type="dxa"/>
            <w:tcBorders>
              <w:top w:val="single" w:sz="6" w:space="0" w:color="000000"/>
              <w:left w:val="single" w:sz="6" w:space="0" w:color="000000"/>
              <w:bottom w:val="single" w:sz="6" w:space="0" w:color="000000"/>
              <w:right w:val="single" w:sz="6" w:space="0" w:color="000000"/>
            </w:tcBorders>
            <w:shd w:val="clear" w:color="auto" w:fill="auto"/>
          </w:tcPr>
          <w:p w14:paraId="0E09BF78" w14:textId="77777777" w:rsidR="00DF61BC" w:rsidRPr="00C94C33" w:rsidRDefault="00DF61BC" w:rsidP="00DF61BC">
            <w:pPr>
              <w:kinsoku w:val="0"/>
              <w:overflowPunct w:val="0"/>
              <w:autoSpaceDE w:val="0"/>
              <w:autoSpaceDN w:val="0"/>
              <w:adjustRightInd w:val="0"/>
              <w:spacing w:before="61" w:after="0"/>
              <w:ind w:left="335"/>
              <w:rPr>
                <w:rFonts w:asciiTheme="minorHAnsi" w:hAnsiTheme="minorHAnsi" w:cstheme="minorHAnsi"/>
                <w:sz w:val="18"/>
                <w:szCs w:val="18"/>
              </w:rPr>
            </w:pPr>
            <w:r w:rsidRPr="00C94C33">
              <w:rPr>
                <w:rFonts w:asciiTheme="minorHAnsi" w:hAnsiTheme="minorHAnsi" w:cstheme="minorHAnsi"/>
                <w:b/>
                <w:bCs/>
                <w:spacing w:val="-1"/>
                <w:sz w:val="18"/>
                <w:szCs w:val="18"/>
              </w:rPr>
              <w:t>Median</w:t>
            </w:r>
            <w:r w:rsidRPr="00C94C33">
              <w:rPr>
                <w:rFonts w:asciiTheme="minorHAnsi" w:hAnsiTheme="minorHAnsi" w:cstheme="minorHAnsi"/>
                <w:b/>
                <w:bCs/>
                <w:spacing w:val="-2"/>
                <w:sz w:val="18"/>
                <w:szCs w:val="18"/>
              </w:rPr>
              <w:t xml:space="preserve"> </w:t>
            </w:r>
            <w:r w:rsidRPr="00C94C33">
              <w:rPr>
                <w:rFonts w:asciiTheme="minorHAnsi" w:hAnsiTheme="minorHAnsi" w:cstheme="minorHAnsi"/>
                <w:b/>
                <w:bCs/>
                <w:spacing w:val="1"/>
                <w:sz w:val="18"/>
                <w:szCs w:val="18"/>
              </w:rPr>
              <w:t>(95%</w:t>
            </w:r>
            <w:r w:rsidRPr="00C94C33">
              <w:rPr>
                <w:rFonts w:asciiTheme="minorHAnsi" w:hAnsiTheme="minorHAnsi" w:cstheme="minorHAnsi"/>
                <w:b/>
                <w:bCs/>
                <w:spacing w:val="-5"/>
                <w:sz w:val="18"/>
                <w:szCs w:val="18"/>
              </w:rPr>
              <w:t xml:space="preserve"> </w:t>
            </w:r>
            <w:r w:rsidRPr="00C94C33">
              <w:rPr>
                <w:rFonts w:asciiTheme="minorHAnsi" w:hAnsiTheme="minorHAnsi" w:cstheme="minorHAnsi"/>
                <w:b/>
                <w:bCs/>
                <w:spacing w:val="-1"/>
                <w:sz w:val="18"/>
                <w:szCs w:val="18"/>
              </w:rPr>
              <w:t>CI)</w:t>
            </w:r>
          </w:p>
        </w:tc>
        <w:tc>
          <w:tcPr>
            <w:tcW w:w="842" w:type="dxa"/>
            <w:tcBorders>
              <w:top w:val="single" w:sz="6" w:space="0" w:color="000000"/>
              <w:left w:val="single" w:sz="6" w:space="0" w:color="000000"/>
              <w:bottom w:val="single" w:sz="6" w:space="0" w:color="000000"/>
              <w:right w:val="single" w:sz="6" w:space="0" w:color="000000"/>
            </w:tcBorders>
            <w:shd w:val="clear" w:color="auto" w:fill="auto"/>
          </w:tcPr>
          <w:p w14:paraId="270304E2" w14:textId="77777777" w:rsidR="00DF61BC" w:rsidRPr="00C94C33" w:rsidRDefault="00DF61BC" w:rsidP="00DF61BC">
            <w:pPr>
              <w:kinsoku w:val="0"/>
              <w:overflowPunct w:val="0"/>
              <w:autoSpaceDE w:val="0"/>
              <w:autoSpaceDN w:val="0"/>
              <w:adjustRightInd w:val="0"/>
              <w:spacing w:before="61" w:after="0"/>
              <w:ind w:right="1"/>
              <w:jc w:val="center"/>
              <w:rPr>
                <w:rFonts w:asciiTheme="minorHAnsi" w:hAnsiTheme="minorHAnsi" w:cstheme="minorHAnsi"/>
                <w:sz w:val="18"/>
                <w:szCs w:val="18"/>
              </w:rPr>
            </w:pPr>
            <w:r w:rsidRPr="00C94C33">
              <w:rPr>
                <w:rFonts w:asciiTheme="minorHAnsi" w:hAnsiTheme="minorHAnsi" w:cstheme="minorHAnsi"/>
                <w:b/>
                <w:bCs/>
                <w:sz w:val="18"/>
                <w:szCs w:val="18"/>
              </w:rPr>
              <w:t>N</w:t>
            </w:r>
          </w:p>
        </w:tc>
        <w:tc>
          <w:tcPr>
            <w:tcW w:w="2039" w:type="dxa"/>
            <w:tcBorders>
              <w:top w:val="single" w:sz="6" w:space="0" w:color="000000"/>
              <w:left w:val="single" w:sz="6" w:space="0" w:color="000000"/>
              <w:bottom w:val="single" w:sz="6" w:space="0" w:color="000000"/>
              <w:right w:val="single" w:sz="6" w:space="0" w:color="000000"/>
            </w:tcBorders>
            <w:shd w:val="clear" w:color="auto" w:fill="auto"/>
          </w:tcPr>
          <w:p w14:paraId="39DF24F9" w14:textId="77777777" w:rsidR="00DF61BC" w:rsidRPr="00C94C33" w:rsidRDefault="00DF61BC" w:rsidP="00DF61BC">
            <w:pPr>
              <w:kinsoku w:val="0"/>
              <w:overflowPunct w:val="0"/>
              <w:autoSpaceDE w:val="0"/>
              <w:autoSpaceDN w:val="0"/>
              <w:adjustRightInd w:val="0"/>
              <w:spacing w:before="61" w:after="0"/>
              <w:ind w:left="330"/>
              <w:rPr>
                <w:rFonts w:asciiTheme="minorHAnsi" w:hAnsiTheme="minorHAnsi" w:cstheme="minorHAnsi"/>
                <w:sz w:val="18"/>
                <w:szCs w:val="18"/>
              </w:rPr>
            </w:pPr>
            <w:r w:rsidRPr="00C94C33">
              <w:rPr>
                <w:rFonts w:asciiTheme="minorHAnsi" w:hAnsiTheme="minorHAnsi" w:cstheme="minorHAnsi"/>
                <w:b/>
                <w:bCs/>
                <w:spacing w:val="-1"/>
                <w:sz w:val="18"/>
                <w:szCs w:val="18"/>
              </w:rPr>
              <w:t>Median</w:t>
            </w:r>
            <w:r w:rsidRPr="00C94C33">
              <w:rPr>
                <w:rFonts w:asciiTheme="minorHAnsi" w:hAnsiTheme="minorHAnsi" w:cstheme="minorHAnsi"/>
                <w:b/>
                <w:bCs/>
                <w:spacing w:val="-2"/>
                <w:sz w:val="18"/>
                <w:szCs w:val="18"/>
              </w:rPr>
              <w:t xml:space="preserve"> </w:t>
            </w:r>
            <w:r w:rsidRPr="00C94C33">
              <w:rPr>
                <w:rFonts w:asciiTheme="minorHAnsi" w:hAnsiTheme="minorHAnsi" w:cstheme="minorHAnsi"/>
                <w:b/>
                <w:bCs/>
                <w:spacing w:val="1"/>
                <w:sz w:val="18"/>
                <w:szCs w:val="18"/>
              </w:rPr>
              <w:t>(95%</w:t>
            </w:r>
            <w:r w:rsidRPr="00C94C33">
              <w:rPr>
                <w:rFonts w:asciiTheme="minorHAnsi" w:hAnsiTheme="minorHAnsi" w:cstheme="minorHAnsi"/>
                <w:b/>
                <w:bCs/>
                <w:spacing w:val="-5"/>
                <w:sz w:val="18"/>
                <w:szCs w:val="18"/>
              </w:rPr>
              <w:t xml:space="preserve"> </w:t>
            </w:r>
            <w:r w:rsidRPr="00C94C33">
              <w:rPr>
                <w:rFonts w:asciiTheme="minorHAnsi" w:hAnsiTheme="minorHAnsi" w:cstheme="minorHAnsi"/>
                <w:b/>
                <w:bCs/>
                <w:spacing w:val="-1"/>
                <w:sz w:val="18"/>
                <w:szCs w:val="18"/>
              </w:rPr>
              <w:t>CI)</w:t>
            </w:r>
          </w:p>
        </w:tc>
        <w:tc>
          <w:tcPr>
            <w:tcW w:w="2455" w:type="dxa"/>
            <w:tcBorders>
              <w:top w:val="single" w:sz="6" w:space="0" w:color="000000"/>
              <w:left w:val="single" w:sz="6" w:space="0" w:color="000000"/>
              <w:bottom w:val="single" w:sz="6" w:space="0" w:color="000000"/>
              <w:right w:val="single" w:sz="6" w:space="0" w:color="000000"/>
            </w:tcBorders>
            <w:shd w:val="clear" w:color="auto" w:fill="auto"/>
          </w:tcPr>
          <w:p w14:paraId="409A3A40" w14:textId="77777777" w:rsidR="00DF61BC" w:rsidRPr="00C94C33" w:rsidRDefault="00DF61BC" w:rsidP="00DF61BC">
            <w:pPr>
              <w:kinsoku w:val="0"/>
              <w:overflowPunct w:val="0"/>
              <w:autoSpaceDE w:val="0"/>
              <w:autoSpaceDN w:val="0"/>
              <w:adjustRightInd w:val="0"/>
              <w:spacing w:before="60" w:after="0"/>
              <w:ind w:left="582"/>
              <w:rPr>
                <w:rFonts w:asciiTheme="minorHAnsi" w:hAnsiTheme="minorHAnsi" w:cstheme="minorHAnsi"/>
                <w:sz w:val="18"/>
                <w:szCs w:val="18"/>
              </w:rPr>
            </w:pPr>
            <w:r w:rsidRPr="00C94C33">
              <w:rPr>
                <w:rFonts w:asciiTheme="minorHAnsi" w:hAnsiTheme="minorHAnsi" w:cstheme="minorHAnsi"/>
                <w:b/>
                <w:bCs/>
                <w:sz w:val="18"/>
                <w:szCs w:val="18"/>
              </w:rPr>
              <w:t>HR</w:t>
            </w:r>
            <w:r w:rsidRPr="00C94C33">
              <w:rPr>
                <w:rFonts w:asciiTheme="minorHAnsi" w:hAnsiTheme="minorHAnsi" w:cstheme="minorHAnsi"/>
                <w:b/>
                <w:bCs/>
                <w:spacing w:val="-1"/>
                <w:sz w:val="18"/>
                <w:szCs w:val="18"/>
              </w:rPr>
              <w:t xml:space="preserve"> </w:t>
            </w:r>
            <w:r w:rsidRPr="00C94C33">
              <w:rPr>
                <w:rFonts w:asciiTheme="minorHAnsi" w:hAnsiTheme="minorHAnsi" w:cstheme="minorHAnsi"/>
                <w:b/>
                <w:bCs/>
                <w:sz w:val="18"/>
                <w:szCs w:val="18"/>
              </w:rPr>
              <w:t>(95%</w:t>
            </w:r>
            <w:r w:rsidRPr="00C94C33">
              <w:rPr>
                <w:rFonts w:asciiTheme="minorHAnsi" w:hAnsiTheme="minorHAnsi" w:cstheme="minorHAnsi"/>
                <w:b/>
                <w:bCs/>
                <w:spacing w:val="-3"/>
                <w:sz w:val="18"/>
                <w:szCs w:val="18"/>
              </w:rPr>
              <w:t xml:space="preserve"> </w:t>
            </w:r>
            <w:r w:rsidRPr="00C94C33">
              <w:rPr>
                <w:rFonts w:asciiTheme="minorHAnsi" w:hAnsiTheme="minorHAnsi" w:cstheme="minorHAnsi"/>
                <w:b/>
                <w:bCs/>
                <w:spacing w:val="-1"/>
                <w:sz w:val="18"/>
                <w:szCs w:val="18"/>
              </w:rPr>
              <w:t>CI)</w:t>
            </w:r>
          </w:p>
        </w:tc>
      </w:tr>
      <w:tr w:rsidR="00DF61BC" w:rsidRPr="00C94C33" w14:paraId="34D5DC0C" w14:textId="77777777" w:rsidTr="006263CF">
        <w:trPr>
          <w:trHeight w:hRule="exact" w:val="341"/>
        </w:trPr>
        <w:tc>
          <w:tcPr>
            <w:tcW w:w="1455" w:type="dxa"/>
            <w:tcBorders>
              <w:top w:val="single" w:sz="6" w:space="0" w:color="000000"/>
              <w:left w:val="single" w:sz="6" w:space="0" w:color="000000"/>
              <w:bottom w:val="single" w:sz="6" w:space="0" w:color="000000"/>
              <w:right w:val="single" w:sz="6" w:space="0" w:color="000000"/>
            </w:tcBorders>
          </w:tcPr>
          <w:p w14:paraId="22C73C74" w14:textId="77777777" w:rsidR="00DF61BC" w:rsidRPr="00C94C33" w:rsidRDefault="00DF61BC" w:rsidP="006263CF">
            <w:pPr>
              <w:pStyle w:val="Tabletext"/>
            </w:pPr>
            <w:r w:rsidRPr="00C94C33">
              <w:t>&lt;65</w:t>
            </w:r>
          </w:p>
        </w:tc>
        <w:tc>
          <w:tcPr>
            <w:tcW w:w="811" w:type="dxa"/>
            <w:tcBorders>
              <w:top w:val="single" w:sz="6" w:space="0" w:color="000000"/>
              <w:left w:val="single" w:sz="6" w:space="0" w:color="000000"/>
              <w:bottom w:val="single" w:sz="6" w:space="0" w:color="000000"/>
              <w:right w:val="single" w:sz="6" w:space="0" w:color="000000"/>
            </w:tcBorders>
          </w:tcPr>
          <w:p w14:paraId="5066E836" w14:textId="77777777" w:rsidR="00DF61BC" w:rsidRPr="00C94C33" w:rsidRDefault="00DF61BC" w:rsidP="006263CF">
            <w:pPr>
              <w:pStyle w:val="Tabletext"/>
              <w:jc w:val="center"/>
            </w:pPr>
            <w:r w:rsidRPr="00C94C33">
              <w:rPr>
                <w:spacing w:val="1"/>
              </w:rPr>
              <w:t>60</w:t>
            </w:r>
          </w:p>
        </w:tc>
        <w:tc>
          <w:tcPr>
            <w:tcW w:w="2048" w:type="dxa"/>
            <w:tcBorders>
              <w:top w:val="single" w:sz="6" w:space="0" w:color="000000"/>
              <w:left w:val="single" w:sz="6" w:space="0" w:color="000000"/>
              <w:bottom w:val="single" w:sz="6" w:space="0" w:color="000000"/>
              <w:right w:val="single" w:sz="6" w:space="0" w:color="000000"/>
            </w:tcBorders>
          </w:tcPr>
          <w:p w14:paraId="16E730B1" w14:textId="77777777" w:rsidR="00DF61BC" w:rsidRPr="00C94C33" w:rsidRDefault="00DF61BC" w:rsidP="006263CF">
            <w:pPr>
              <w:pStyle w:val="Tabletext"/>
              <w:jc w:val="center"/>
            </w:pPr>
            <w:r w:rsidRPr="00C94C33">
              <w:t>2.4</w:t>
            </w:r>
            <w:r w:rsidRPr="00C94C33">
              <w:rPr>
                <w:spacing w:val="-1"/>
              </w:rPr>
              <w:t xml:space="preserve"> </w:t>
            </w:r>
            <w:r w:rsidRPr="00C94C33">
              <w:t>(1.9,</w:t>
            </w:r>
            <w:r w:rsidRPr="00C94C33">
              <w:rPr>
                <w:spacing w:val="-2"/>
              </w:rPr>
              <w:t xml:space="preserve"> </w:t>
            </w:r>
            <w:r w:rsidRPr="00C94C33">
              <w:rPr>
                <w:spacing w:val="-1"/>
              </w:rPr>
              <w:t>3.6)</w:t>
            </w:r>
          </w:p>
        </w:tc>
        <w:tc>
          <w:tcPr>
            <w:tcW w:w="842" w:type="dxa"/>
            <w:tcBorders>
              <w:top w:val="single" w:sz="6" w:space="0" w:color="000000"/>
              <w:left w:val="single" w:sz="6" w:space="0" w:color="000000"/>
              <w:bottom w:val="single" w:sz="6" w:space="0" w:color="000000"/>
              <w:right w:val="single" w:sz="6" w:space="0" w:color="000000"/>
            </w:tcBorders>
          </w:tcPr>
          <w:p w14:paraId="3E43BE4F" w14:textId="77777777" w:rsidR="00DF61BC" w:rsidRPr="00C94C33" w:rsidRDefault="00DF61BC" w:rsidP="006263CF">
            <w:pPr>
              <w:pStyle w:val="Tabletext"/>
              <w:jc w:val="center"/>
            </w:pPr>
            <w:r w:rsidRPr="00C94C33">
              <w:rPr>
                <w:spacing w:val="1"/>
              </w:rPr>
              <w:t>34</w:t>
            </w:r>
          </w:p>
        </w:tc>
        <w:tc>
          <w:tcPr>
            <w:tcW w:w="2039" w:type="dxa"/>
            <w:tcBorders>
              <w:top w:val="single" w:sz="6" w:space="0" w:color="000000"/>
              <w:left w:val="single" w:sz="6" w:space="0" w:color="000000"/>
              <w:bottom w:val="single" w:sz="6" w:space="0" w:color="000000"/>
              <w:right w:val="single" w:sz="6" w:space="0" w:color="000000"/>
            </w:tcBorders>
          </w:tcPr>
          <w:p w14:paraId="47E8A588" w14:textId="77777777" w:rsidR="00DF61BC" w:rsidRPr="00C94C33" w:rsidRDefault="00DF61BC" w:rsidP="006263CF">
            <w:pPr>
              <w:pStyle w:val="Tabletext"/>
              <w:jc w:val="center"/>
            </w:pPr>
            <w:r w:rsidRPr="00C94C33">
              <w:t>1.0</w:t>
            </w:r>
            <w:r w:rsidRPr="00C94C33">
              <w:rPr>
                <w:spacing w:val="-1"/>
              </w:rPr>
              <w:t xml:space="preserve"> </w:t>
            </w:r>
            <w:r w:rsidRPr="00C94C33">
              <w:t>(1.0,</w:t>
            </w:r>
            <w:r w:rsidRPr="00C94C33">
              <w:rPr>
                <w:spacing w:val="-2"/>
              </w:rPr>
              <w:t xml:space="preserve"> </w:t>
            </w:r>
            <w:r w:rsidRPr="00C94C33">
              <w:rPr>
                <w:spacing w:val="-1"/>
              </w:rPr>
              <w:t>1.1)</w:t>
            </w:r>
          </w:p>
        </w:tc>
        <w:tc>
          <w:tcPr>
            <w:tcW w:w="2455" w:type="dxa"/>
            <w:tcBorders>
              <w:top w:val="single" w:sz="6" w:space="0" w:color="000000"/>
              <w:left w:val="single" w:sz="6" w:space="0" w:color="000000"/>
              <w:bottom w:val="single" w:sz="6" w:space="0" w:color="000000"/>
              <w:right w:val="single" w:sz="6" w:space="0" w:color="000000"/>
            </w:tcBorders>
          </w:tcPr>
          <w:p w14:paraId="43231B29" w14:textId="77777777" w:rsidR="00DF61BC" w:rsidRPr="00C94C33" w:rsidRDefault="00DF61BC" w:rsidP="006263CF">
            <w:pPr>
              <w:pStyle w:val="Tabletext"/>
              <w:jc w:val="center"/>
            </w:pPr>
            <w:r w:rsidRPr="00C94C33">
              <w:rPr>
                <w:spacing w:val="-1"/>
              </w:rPr>
              <w:t>0.39</w:t>
            </w:r>
            <w:r w:rsidRPr="00C94C33">
              <w:rPr>
                <w:spacing w:val="1"/>
              </w:rPr>
              <w:t xml:space="preserve"> </w:t>
            </w:r>
            <w:r w:rsidRPr="00C94C33">
              <w:rPr>
                <w:spacing w:val="-1"/>
              </w:rPr>
              <w:t>(0.24,</w:t>
            </w:r>
            <w:r w:rsidRPr="00C94C33">
              <w:rPr>
                <w:spacing w:val="-2"/>
              </w:rPr>
              <w:t xml:space="preserve"> </w:t>
            </w:r>
            <w:r w:rsidRPr="00C94C33">
              <w:t>0.61)</w:t>
            </w:r>
          </w:p>
        </w:tc>
      </w:tr>
      <w:tr w:rsidR="00DF61BC" w:rsidRPr="00C94C33" w14:paraId="24ABF603" w14:textId="77777777" w:rsidTr="006263CF">
        <w:trPr>
          <w:trHeight w:hRule="exact" w:val="343"/>
        </w:trPr>
        <w:tc>
          <w:tcPr>
            <w:tcW w:w="1455" w:type="dxa"/>
            <w:tcBorders>
              <w:top w:val="single" w:sz="6" w:space="0" w:color="000000"/>
              <w:left w:val="single" w:sz="6" w:space="0" w:color="000000"/>
              <w:bottom w:val="single" w:sz="6" w:space="0" w:color="000000"/>
              <w:right w:val="single" w:sz="6" w:space="0" w:color="000000"/>
            </w:tcBorders>
          </w:tcPr>
          <w:p w14:paraId="0B677E45" w14:textId="77777777" w:rsidR="00DF61BC" w:rsidRPr="00C94C33" w:rsidRDefault="00DF61BC" w:rsidP="006263CF">
            <w:pPr>
              <w:pStyle w:val="Tabletext"/>
            </w:pPr>
            <w:r w:rsidRPr="00C94C33">
              <w:t>65</w:t>
            </w:r>
            <w:r w:rsidRPr="00C94C33">
              <w:rPr>
                <w:spacing w:val="1"/>
              </w:rPr>
              <w:t xml:space="preserve"> </w:t>
            </w:r>
            <w:r w:rsidRPr="00C94C33">
              <w:rPr>
                <w:spacing w:val="-1"/>
              </w:rPr>
              <w:t>-74</w:t>
            </w:r>
          </w:p>
        </w:tc>
        <w:tc>
          <w:tcPr>
            <w:tcW w:w="811" w:type="dxa"/>
            <w:tcBorders>
              <w:top w:val="single" w:sz="6" w:space="0" w:color="000000"/>
              <w:left w:val="single" w:sz="6" w:space="0" w:color="000000"/>
              <w:bottom w:val="single" w:sz="6" w:space="0" w:color="000000"/>
              <w:right w:val="single" w:sz="6" w:space="0" w:color="000000"/>
            </w:tcBorders>
          </w:tcPr>
          <w:p w14:paraId="1C63E29A" w14:textId="77777777" w:rsidR="00DF61BC" w:rsidRPr="00C94C33" w:rsidRDefault="00DF61BC" w:rsidP="006263CF">
            <w:pPr>
              <w:pStyle w:val="Tabletext"/>
              <w:jc w:val="center"/>
            </w:pPr>
            <w:r w:rsidRPr="00C94C33">
              <w:rPr>
                <w:spacing w:val="1"/>
              </w:rPr>
              <w:t>43</w:t>
            </w:r>
          </w:p>
        </w:tc>
        <w:tc>
          <w:tcPr>
            <w:tcW w:w="2048" w:type="dxa"/>
            <w:tcBorders>
              <w:top w:val="single" w:sz="6" w:space="0" w:color="000000"/>
              <w:left w:val="single" w:sz="6" w:space="0" w:color="000000"/>
              <w:bottom w:val="single" w:sz="6" w:space="0" w:color="000000"/>
              <w:right w:val="single" w:sz="6" w:space="0" w:color="000000"/>
            </w:tcBorders>
          </w:tcPr>
          <w:p w14:paraId="3EF8F700" w14:textId="77777777" w:rsidR="00DF61BC" w:rsidRPr="00C94C33" w:rsidRDefault="00DF61BC" w:rsidP="006263CF">
            <w:pPr>
              <w:pStyle w:val="Tabletext"/>
              <w:jc w:val="center"/>
            </w:pPr>
            <w:r w:rsidRPr="00C94C33">
              <w:t>2.8</w:t>
            </w:r>
            <w:r w:rsidRPr="00C94C33">
              <w:rPr>
                <w:spacing w:val="-1"/>
              </w:rPr>
              <w:t xml:space="preserve"> </w:t>
            </w:r>
            <w:r w:rsidRPr="00C94C33">
              <w:t>(1.9,</w:t>
            </w:r>
            <w:r w:rsidRPr="00C94C33">
              <w:rPr>
                <w:spacing w:val="-2"/>
              </w:rPr>
              <w:t xml:space="preserve"> </w:t>
            </w:r>
            <w:r w:rsidRPr="00C94C33">
              <w:rPr>
                <w:spacing w:val="-1"/>
              </w:rPr>
              <w:t>4.7)</w:t>
            </w:r>
          </w:p>
        </w:tc>
        <w:tc>
          <w:tcPr>
            <w:tcW w:w="842" w:type="dxa"/>
            <w:tcBorders>
              <w:top w:val="single" w:sz="6" w:space="0" w:color="000000"/>
              <w:left w:val="single" w:sz="6" w:space="0" w:color="000000"/>
              <w:bottom w:val="single" w:sz="6" w:space="0" w:color="000000"/>
              <w:right w:val="single" w:sz="6" w:space="0" w:color="000000"/>
            </w:tcBorders>
          </w:tcPr>
          <w:p w14:paraId="702898A8" w14:textId="77777777" w:rsidR="00DF61BC" w:rsidRPr="00C94C33" w:rsidRDefault="00DF61BC" w:rsidP="006263CF">
            <w:pPr>
              <w:pStyle w:val="Tabletext"/>
              <w:jc w:val="center"/>
            </w:pPr>
            <w:r w:rsidRPr="00C94C33">
              <w:rPr>
                <w:spacing w:val="1"/>
              </w:rPr>
              <w:t>18</w:t>
            </w:r>
          </w:p>
        </w:tc>
        <w:tc>
          <w:tcPr>
            <w:tcW w:w="2039" w:type="dxa"/>
            <w:tcBorders>
              <w:top w:val="single" w:sz="6" w:space="0" w:color="000000"/>
              <w:left w:val="single" w:sz="6" w:space="0" w:color="000000"/>
              <w:bottom w:val="single" w:sz="6" w:space="0" w:color="000000"/>
              <w:right w:val="single" w:sz="6" w:space="0" w:color="000000"/>
            </w:tcBorders>
          </w:tcPr>
          <w:p w14:paraId="6075672E" w14:textId="77777777" w:rsidR="00DF61BC" w:rsidRPr="00C94C33" w:rsidRDefault="00DF61BC" w:rsidP="006263CF">
            <w:pPr>
              <w:pStyle w:val="Tabletext"/>
              <w:jc w:val="center"/>
            </w:pPr>
            <w:r w:rsidRPr="00C94C33">
              <w:t>1.0</w:t>
            </w:r>
            <w:r w:rsidRPr="00C94C33">
              <w:rPr>
                <w:spacing w:val="-1"/>
              </w:rPr>
              <w:t xml:space="preserve"> </w:t>
            </w:r>
            <w:r w:rsidRPr="00C94C33">
              <w:t>(1.0,</w:t>
            </w:r>
            <w:r w:rsidRPr="00C94C33">
              <w:rPr>
                <w:spacing w:val="-2"/>
              </w:rPr>
              <w:t xml:space="preserve"> </w:t>
            </w:r>
            <w:r w:rsidRPr="00C94C33">
              <w:rPr>
                <w:spacing w:val="-1"/>
              </w:rPr>
              <w:t>1.2)</w:t>
            </w:r>
          </w:p>
        </w:tc>
        <w:tc>
          <w:tcPr>
            <w:tcW w:w="2455" w:type="dxa"/>
            <w:tcBorders>
              <w:top w:val="single" w:sz="6" w:space="0" w:color="000000"/>
              <w:left w:val="single" w:sz="6" w:space="0" w:color="000000"/>
              <w:bottom w:val="single" w:sz="6" w:space="0" w:color="000000"/>
              <w:right w:val="single" w:sz="6" w:space="0" w:color="000000"/>
            </w:tcBorders>
          </w:tcPr>
          <w:p w14:paraId="13043D2F" w14:textId="77777777" w:rsidR="00DF61BC" w:rsidRPr="00C94C33" w:rsidRDefault="00DF61BC" w:rsidP="006263CF">
            <w:pPr>
              <w:pStyle w:val="Tabletext"/>
              <w:jc w:val="center"/>
            </w:pPr>
            <w:r w:rsidRPr="00C94C33">
              <w:rPr>
                <w:spacing w:val="-1"/>
              </w:rPr>
              <w:t>0.25</w:t>
            </w:r>
            <w:r w:rsidRPr="00C94C33">
              <w:rPr>
                <w:spacing w:val="1"/>
              </w:rPr>
              <w:t xml:space="preserve"> </w:t>
            </w:r>
            <w:r w:rsidRPr="00C94C33">
              <w:rPr>
                <w:spacing w:val="-1"/>
              </w:rPr>
              <w:t>(0.13,</w:t>
            </w:r>
            <w:r w:rsidRPr="00C94C33">
              <w:rPr>
                <w:spacing w:val="-2"/>
              </w:rPr>
              <w:t xml:space="preserve"> </w:t>
            </w:r>
            <w:r w:rsidRPr="00C94C33">
              <w:t>0.48)</w:t>
            </w:r>
          </w:p>
        </w:tc>
      </w:tr>
      <w:tr w:rsidR="00DF61BC" w:rsidRPr="00C94C33" w14:paraId="6811BBDE" w14:textId="77777777" w:rsidTr="006263CF">
        <w:trPr>
          <w:trHeight w:hRule="exact" w:val="343"/>
        </w:trPr>
        <w:tc>
          <w:tcPr>
            <w:tcW w:w="1455" w:type="dxa"/>
            <w:tcBorders>
              <w:top w:val="single" w:sz="6" w:space="0" w:color="000000"/>
              <w:left w:val="single" w:sz="6" w:space="0" w:color="000000"/>
              <w:bottom w:val="single" w:sz="6" w:space="0" w:color="000000"/>
              <w:right w:val="single" w:sz="6" w:space="0" w:color="000000"/>
            </w:tcBorders>
          </w:tcPr>
          <w:p w14:paraId="7409A4EF" w14:textId="77777777" w:rsidR="00DF61BC" w:rsidRPr="00C94C33" w:rsidRDefault="00DF61BC" w:rsidP="006263CF">
            <w:pPr>
              <w:pStyle w:val="Tabletext"/>
            </w:pPr>
            <w:r w:rsidRPr="00C94C33">
              <w:t>75</w:t>
            </w:r>
            <w:r w:rsidRPr="00C94C33">
              <w:rPr>
                <w:spacing w:val="-1"/>
              </w:rPr>
              <w:t xml:space="preserve"> </w:t>
            </w:r>
            <w:r w:rsidRPr="00C94C33">
              <w:t>–</w:t>
            </w:r>
            <w:r w:rsidRPr="00C94C33">
              <w:rPr>
                <w:spacing w:val="1"/>
              </w:rPr>
              <w:t xml:space="preserve"> </w:t>
            </w:r>
            <w:r w:rsidRPr="00C94C33">
              <w:rPr>
                <w:spacing w:val="-2"/>
              </w:rPr>
              <w:t>84</w:t>
            </w:r>
          </w:p>
        </w:tc>
        <w:tc>
          <w:tcPr>
            <w:tcW w:w="811" w:type="dxa"/>
            <w:tcBorders>
              <w:top w:val="single" w:sz="6" w:space="0" w:color="000000"/>
              <w:left w:val="single" w:sz="6" w:space="0" w:color="000000"/>
              <w:bottom w:val="single" w:sz="6" w:space="0" w:color="000000"/>
              <w:right w:val="single" w:sz="6" w:space="0" w:color="000000"/>
            </w:tcBorders>
          </w:tcPr>
          <w:p w14:paraId="3109487B" w14:textId="77777777" w:rsidR="00DF61BC" w:rsidRPr="00C94C33" w:rsidRDefault="00DF61BC" w:rsidP="006263CF">
            <w:pPr>
              <w:pStyle w:val="Tabletext"/>
              <w:jc w:val="center"/>
            </w:pPr>
            <w:r w:rsidRPr="00C94C33">
              <w:t>9</w:t>
            </w:r>
          </w:p>
        </w:tc>
        <w:tc>
          <w:tcPr>
            <w:tcW w:w="2048" w:type="dxa"/>
            <w:tcBorders>
              <w:top w:val="single" w:sz="6" w:space="0" w:color="000000"/>
              <w:left w:val="single" w:sz="6" w:space="0" w:color="000000"/>
              <w:bottom w:val="single" w:sz="6" w:space="0" w:color="000000"/>
              <w:right w:val="single" w:sz="6" w:space="0" w:color="000000"/>
            </w:tcBorders>
          </w:tcPr>
          <w:p w14:paraId="4C2E60A3" w14:textId="77777777" w:rsidR="00DF61BC" w:rsidRPr="00C94C33" w:rsidRDefault="00DF61BC" w:rsidP="006263CF">
            <w:pPr>
              <w:pStyle w:val="Tabletext"/>
              <w:jc w:val="center"/>
            </w:pPr>
            <w:r w:rsidRPr="00C94C33">
              <w:t>1.9</w:t>
            </w:r>
            <w:r w:rsidRPr="00C94C33">
              <w:rPr>
                <w:spacing w:val="-1"/>
              </w:rPr>
              <w:t xml:space="preserve"> </w:t>
            </w:r>
            <w:r w:rsidRPr="00C94C33">
              <w:t>(1.0,</w:t>
            </w:r>
            <w:r w:rsidRPr="00C94C33">
              <w:rPr>
                <w:spacing w:val="-2"/>
              </w:rPr>
              <w:t xml:space="preserve"> </w:t>
            </w:r>
            <w:r w:rsidRPr="00C94C33">
              <w:t>15.5)</w:t>
            </w:r>
          </w:p>
        </w:tc>
        <w:tc>
          <w:tcPr>
            <w:tcW w:w="842" w:type="dxa"/>
            <w:tcBorders>
              <w:top w:val="single" w:sz="6" w:space="0" w:color="000000"/>
              <w:left w:val="single" w:sz="6" w:space="0" w:color="000000"/>
              <w:bottom w:val="single" w:sz="6" w:space="0" w:color="000000"/>
              <w:right w:val="single" w:sz="6" w:space="0" w:color="000000"/>
            </w:tcBorders>
          </w:tcPr>
          <w:p w14:paraId="2A3E31C5" w14:textId="77777777" w:rsidR="00DF61BC" w:rsidRPr="00C94C33" w:rsidRDefault="00DF61BC" w:rsidP="006263CF">
            <w:pPr>
              <w:pStyle w:val="Tabletext"/>
              <w:jc w:val="center"/>
            </w:pPr>
            <w:r w:rsidRPr="00C94C33">
              <w:t>5</w:t>
            </w:r>
          </w:p>
        </w:tc>
        <w:tc>
          <w:tcPr>
            <w:tcW w:w="2039" w:type="dxa"/>
            <w:tcBorders>
              <w:top w:val="single" w:sz="6" w:space="0" w:color="000000"/>
              <w:left w:val="single" w:sz="6" w:space="0" w:color="000000"/>
              <w:bottom w:val="single" w:sz="6" w:space="0" w:color="000000"/>
              <w:right w:val="single" w:sz="6" w:space="0" w:color="000000"/>
            </w:tcBorders>
          </w:tcPr>
          <w:p w14:paraId="2F082344" w14:textId="77777777" w:rsidR="00DF61BC" w:rsidRPr="00C94C33" w:rsidRDefault="00DF61BC" w:rsidP="006263CF">
            <w:pPr>
              <w:pStyle w:val="Tabletext"/>
              <w:jc w:val="center"/>
            </w:pPr>
            <w:r w:rsidRPr="00C94C33">
              <w:t>1.0</w:t>
            </w:r>
            <w:r w:rsidRPr="00C94C33">
              <w:rPr>
                <w:spacing w:val="-1"/>
              </w:rPr>
              <w:t xml:space="preserve"> </w:t>
            </w:r>
            <w:r w:rsidRPr="00C94C33">
              <w:t>(1.0,</w:t>
            </w:r>
            <w:r w:rsidRPr="00C94C33">
              <w:rPr>
                <w:spacing w:val="-2"/>
              </w:rPr>
              <w:t xml:space="preserve"> </w:t>
            </w:r>
            <w:r w:rsidRPr="00C94C33">
              <w:rPr>
                <w:spacing w:val="-1"/>
              </w:rPr>
              <w:t>4.6)</w:t>
            </w:r>
          </w:p>
        </w:tc>
        <w:tc>
          <w:tcPr>
            <w:tcW w:w="2455" w:type="dxa"/>
            <w:tcBorders>
              <w:top w:val="single" w:sz="6" w:space="0" w:color="000000"/>
              <w:left w:val="single" w:sz="6" w:space="0" w:color="000000"/>
              <w:bottom w:val="single" w:sz="6" w:space="0" w:color="000000"/>
              <w:right w:val="single" w:sz="6" w:space="0" w:color="000000"/>
            </w:tcBorders>
          </w:tcPr>
          <w:p w14:paraId="663DB33B" w14:textId="77777777" w:rsidR="00DF61BC" w:rsidRPr="00C94C33" w:rsidRDefault="00DF61BC" w:rsidP="006263CF">
            <w:pPr>
              <w:pStyle w:val="Tabletext"/>
              <w:jc w:val="center"/>
            </w:pPr>
            <w:r w:rsidRPr="00C94C33">
              <w:rPr>
                <w:spacing w:val="-1"/>
              </w:rPr>
              <w:t>0.49</w:t>
            </w:r>
            <w:r w:rsidRPr="00C94C33">
              <w:rPr>
                <w:spacing w:val="1"/>
              </w:rPr>
              <w:t xml:space="preserve"> </w:t>
            </w:r>
            <w:r w:rsidRPr="00C94C33">
              <w:rPr>
                <w:spacing w:val="-1"/>
              </w:rPr>
              <w:t>(0.15,</w:t>
            </w:r>
            <w:r w:rsidRPr="00C94C33">
              <w:rPr>
                <w:spacing w:val="-2"/>
              </w:rPr>
              <w:t xml:space="preserve"> </w:t>
            </w:r>
            <w:r w:rsidRPr="00C94C33">
              <w:t>1.64)</w:t>
            </w:r>
          </w:p>
        </w:tc>
      </w:tr>
    </w:tbl>
    <w:p w14:paraId="3FBD50A2" w14:textId="77777777" w:rsidR="00AA7141" w:rsidRDefault="00DF61BC" w:rsidP="005C2FCA">
      <w:pPr>
        <w:pStyle w:val="Comment"/>
      </w:pPr>
      <w:r w:rsidRPr="005C2FCA">
        <w:rPr>
          <w:b/>
        </w:rPr>
        <w:t>Comment:</w:t>
      </w:r>
      <w:r w:rsidRPr="00C94C33">
        <w:t xml:space="preserve"> </w:t>
      </w:r>
      <w:r w:rsidR="00D34C18">
        <w:t xml:space="preserve"> </w:t>
      </w:r>
      <w:r w:rsidRPr="00C94C33">
        <w:t>Both OS and PFS significantly favoured patients in the &lt; 65 years and 65-74 years subgroups treated with TAS-102 compared with placebo. The number of patients in the 75-84 year subgroups in the two treatment groups is considered too small to make meaningful conclusions about OS and PFS.</w:t>
      </w:r>
    </w:p>
    <w:p w14:paraId="2837C497" w14:textId="4925871D" w:rsidR="00DF61BC" w:rsidRPr="00C94C33" w:rsidRDefault="00DF61BC" w:rsidP="00955252">
      <w:pPr>
        <w:pStyle w:val="Heading4"/>
      </w:pPr>
      <w:bookmarkStart w:id="312" w:name="_Toc241374312"/>
      <w:bookmarkStart w:id="313" w:name="_Toc272414656"/>
      <w:bookmarkStart w:id="314" w:name="_Toc290846281"/>
      <w:bookmarkStart w:id="315" w:name="_Toc470948559"/>
      <w:r w:rsidRPr="00C94C33">
        <w:t>Analyses performed across trials (pooled analyses and meta-analyses)</w:t>
      </w:r>
      <w:bookmarkEnd w:id="312"/>
      <w:bookmarkEnd w:id="313"/>
      <w:bookmarkEnd w:id="314"/>
      <w:bookmarkEnd w:id="315"/>
    </w:p>
    <w:p w14:paraId="7E7D8EB2" w14:textId="09A01F59" w:rsidR="00DF61BC" w:rsidRPr="00C94C33" w:rsidRDefault="00DF61BC" w:rsidP="00DF61BC">
      <w:pPr>
        <w:autoSpaceDE w:val="0"/>
        <w:autoSpaceDN w:val="0"/>
        <w:adjustRightInd w:val="0"/>
      </w:pPr>
      <w:r w:rsidRPr="00C94C33">
        <w:t>No meta-analyses of pooled analyses.</w:t>
      </w:r>
    </w:p>
    <w:p w14:paraId="7709EB25" w14:textId="77777777" w:rsidR="00AA7141" w:rsidRDefault="00DF61BC" w:rsidP="00955252">
      <w:pPr>
        <w:pStyle w:val="Heading3"/>
      </w:pPr>
      <w:bookmarkStart w:id="316" w:name="_Ref271126605"/>
      <w:bookmarkStart w:id="317" w:name="_Toc272414657"/>
      <w:bookmarkStart w:id="318" w:name="_Toc290846282"/>
      <w:bookmarkStart w:id="319" w:name="_Toc470948560"/>
      <w:bookmarkStart w:id="320" w:name="_Toc510016890"/>
      <w:r w:rsidRPr="00C94C33">
        <w:t>Evaluator’s conclusions on clinical efficacy</w:t>
      </w:r>
      <w:bookmarkEnd w:id="316"/>
      <w:bookmarkEnd w:id="317"/>
      <w:bookmarkEnd w:id="318"/>
      <w:bookmarkEnd w:id="319"/>
      <w:bookmarkEnd w:id="320"/>
    </w:p>
    <w:p w14:paraId="51D78165" w14:textId="5CCB1C4F" w:rsidR="00DF61BC" w:rsidRPr="00C94C33" w:rsidRDefault="00DF61BC" w:rsidP="00DF61BC">
      <w:pPr>
        <w:autoSpaceDE w:val="0"/>
        <w:autoSpaceDN w:val="0"/>
        <w:adjustRightInd w:val="0"/>
        <w:rPr>
          <w:rFonts w:asciiTheme="minorHAnsi" w:hAnsiTheme="minorHAnsi"/>
        </w:rPr>
      </w:pPr>
      <w:r w:rsidRPr="005C2FCA">
        <w:rPr>
          <w:rFonts w:asciiTheme="minorHAnsi" w:hAnsiTheme="minorHAnsi"/>
        </w:rPr>
        <w:t xml:space="preserve">The efficacy of TAS-102 for the proposed indication has been demonstrated in one pivotal, multinational, multicentre, randomised, placebo-controlled, double-blind, Phase III study  in a total of 800 patients </w:t>
      </w:r>
      <w:r w:rsidR="00A0007E" w:rsidRPr="005C2FCA">
        <w:rPr>
          <w:rFonts w:asciiTheme="minorHAnsi" w:hAnsiTheme="minorHAnsi"/>
        </w:rPr>
        <w:t>(</w:t>
      </w:r>
      <w:r w:rsidRPr="005C2FCA">
        <w:rPr>
          <w:rFonts w:asciiTheme="minorHAnsi" w:hAnsiTheme="minorHAnsi"/>
        </w:rPr>
        <w:t>RECOURSE</w:t>
      </w:r>
      <w:r w:rsidR="00A0007E" w:rsidRPr="005C2FCA">
        <w:rPr>
          <w:rFonts w:asciiTheme="minorHAnsi" w:hAnsiTheme="minorHAnsi"/>
        </w:rPr>
        <w:t>)</w:t>
      </w:r>
      <w:r w:rsidRPr="005C2FCA">
        <w:rPr>
          <w:rFonts w:asciiTheme="minorHAnsi" w:hAnsiTheme="minorHAnsi"/>
        </w:rPr>
        <w:t xml:space="preserve">, and one supportive, multicentre, randomised, placebo-controlled, double-blind, Phase II study in a total of 172 Japanese patients </w:t>
      </w:r>
      <w:r w:rsidR="00A0007E" w:rsidRPr="005C2FCA">
        <w:rPr>
          <w:rFonts w:asciiTheme="minorHAnsi" w:hAnsiTheme="minorHAnsi"/>
        </w:rPr>
        <w:t>(</w:t>
      </w:r>
      <w:r w:rsidR="00D34C18">
        <w:rPr>
          <w:rFonts w:asciiTheme="minorHAnsi" w:hAnsiTheme="minorHAnsi"/>
        </w:rPr>
        <w:t xml:space="preserve">Study </w:t>
      </w:r>
      <w:r w:rsidRPr="005C2FCA">
        <w:rPr>
          <w:rFonts w:asciiTheme="minorHAnsi" w:hAnsiTheme="minorHAnsi"/>
        </w:rPr>
        <w:t>J003-10040030</w:t>
      </w:r>
      <w:r w:rsidR="00A0007E" w:rsidRPr="005C2FCA">
        <w:rPr>
          <w:rFonts w:asciiTheme="minorHAnsi" w:hAnsiTheme="minorHAnsi"/>
        </w:rPr>
        <w:t>)</w:t>
      </w:r>
      <w:r w:rsidRPr="005C2FCA">
        <w:rPr>
          <w:rFonts w:asciiTheme="minorHAnsi" w:hAnsiTheme="minorHAnsi"/>
        </w:rPr>
        <w:t xml:space="preserve">. Both studies included patients with refractory mCRC who had received at least 2 prior standard chemotherapy regimens, including </w:t>
      </w:r>
      <w:r w:rsidRPr="00C94C33">
        <w:rPr>
          <w:rFonts w:asciiTheme="minorHAnsi" w:hAnsiTheme="minorHAnsi"/>
        </w:rPr>
        <w:t>fluoropyrimidine, irinotecan, and</w:t>
      </w:r>
      <w:r w:rsidRPr="005C2FCA">
        <w:rPr>
          <w:rFonts w:asciiTheme="minorHAnsi" w:hAnsiTheme="minorHAnsi"/>
        </w:rPr>
        <w:t xml:space="preserve"> </w:t>
      </w:r>
      <w:r w:rsidRPr="00C94C33">
        <w:rPr>
          <w:rFonts w:asciiTheme="minorHAnsi" w:hAnsiTheme="minorHAnsi"/>
        </w:rPr>
        <w:t>oxaliplatin.</w:t>
      </w:r>
    </w:p>
    <w:p w14:paraId="538BCE5E" w14:textId="4C4B1DE3"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lastRenderedPageBreak/>
        <w:t>The standard prior chemotherapy regimens used in the studies are consistent with regimens likely to be used in Australia for the treatment of mCRC. However, regorafenib, which is approved in Australia for a similar patient population studied in the pivotal and supportive studies, was not approved in any jurisdiction when the TAS-102 studies were designed. Consequently, there are limited data in the submission on patients previously treated with regorafenib.</w:t>
      </w:r>
    </w:p>
    <w:p w14:paraId="50FD3FFB" w14:textId="77777777" w:rsidR="00AA7141" w:rsidRDefault="00DF61BC" w:rsidP="00DF61BC">
      <w:pPr>
        <w:autoSpaceDE w:val="0"/>
        <w:autoSpaceDN w:val="0"/>
        <w:adjustRightInd w:val="0"/>
        <w:rPr>
          <w:rFonts w:asciiTheme="minorHAnsi" w:hAnsiTheme="minorHAnsi"/>
        </w:rPr>
      </w:pPr>
      <w:r w:rsidRPr="00C94C33">
        <w:rPr>
          <w:rFonts w:asciiTheme="minorHAnsi" w:hAnsiTheme="minorHAnsi"/>
        </w:rPr>
        <w:t>In RECOURSE, randomised patients were stratified by KRAS status (wild-type</w:t>
      </w:r>
      <w:r w:rsidR="00C11183">
        <w:rPr>
          <w:rFonts w:asciiTheme="minorHAnsi" w:hAnsiTheme="minorHAnsi"/>
        </w:rPr>
        <w:t xml:space="preserve"> versus </w:t>
      </w:r>
      <w:r w:rsidRPr="00C94C33">
        <w:rPr>
          <w:rFonts w:asciiTheme="minorHAnsi" w:hAnsiTheme="minorHAnsi"/>
        </w:rPr>
        <w:t>mutant), time since diagnosis of metastasis (&lt;18 months</w:t>
      </w:r>
      <w:r w:rsidR="00C11183">
        <w:rPr>
          <w:rFonts w:asciiTheme="minorHAnsi" w:hAnsiTheme="minorHAnsi"/>
        </w:rPr>
        <w:t xml:space="preserve"> versus </w:t>
      </w:r>
      <w:r w:rsidRPr="00C94C33">
        <w:rPr>
          <w:rFonts w:asciiTheme="minorHAnsi" w:hAnsiTheme="minorHAnsi" w:cs="TimesNewRomanPSMT"/>
        </w:rPr>
        <w:t>≥</w:t>
      </w:r>
      <w:r w:rsidRPr="00C94C33">
        <w:rPr>
          <w:rFonts w:asciiTheme="minorHAnsi" w:hAnsiTheme="minorHAnsi"/>
        </w:rPr>
        <w:t>18 months), and geographic region (Region 1:</w:t>
      </w:r>
      <w:r w:rsidR="00D34C18">
        <w:rPr>
          <w:rFonts w:asciiTheme="minorHAnsi" w:hAnsiTheme="minorHAnsi"/>
        </w:rPr>
        <w:t> </w:t>
      </w:r>
      <w:r w:rsidRPr="00C94C33">
        <w:rPr>
          <w:rFonts w:asciiTheme="minorHAnsi" w:hAnsiTheme="minorHAnsi"/>
        </w:rPr>
        <w:t xml:space="preserve">Asia </w:t>
      </w:r>
      <w:r w:rsidR="00A0007E" w:rsidRPr="00C94C33">
        <w:rPr>
          <w:rFonts w:asciiTheme="minorHAnsi" w:hAnsiTheme="minorHAnsi"/>
        </w:rPr>
        <w:t>(</w:t>
      </w:r>
      <w:r w:rsidRPr="00C94C33">
        <w:rPr>
          <w:rFonts w:asciiTheme="minorHAnsi" w:hAnsiTheme="minorHAnsi"/>
        </w:rPr>
        <w:t>Japan</w:t>
      </w:r>
      <w:r w:rsidR="00A0007E" w:rsidRPr="00C94C33">
        <w:rPr>
          <w:rFonts w:asciiTheme="minorHAnsi" w:hAnsiTheme="minorHAnsi"/>
        </w:rPr>
        <w:t>)</w:t>
      </w:r>
      <w:r w:rsidR="00C11183">
        <w:rPr>
          <w:rFonts w:asciiTheme="minorHAnsi" w:hAnsiTheme="minorHAnsi"/>
        </w:rPr>
        <w:t xml:space="preserve"> versus </w:t>
      </w:r>
      <w:r w:rsidRPr="00C94C33">
        <w:rPr>
          <w:rFonts w:asciiTheme="minorHAnsi" w:hAnsiTheme="minorHAnsi"/>
        </w:rPr>
        <w:t xml:space="preserve">Region 2 Western </w:t>
      </w:r>
      <w:r w:rsidR="00A0007E" w:rsidRPr="00C94C33">
        <w:rPr>
          <w:rFonts w:asciiTheme="minorHAnsi" w:hAnsiTheme="minorHAnsi"/>
        </w:rPr>
        <w:t>(</w:t>
      </w:r>
      <w:r w:rsidRPr="00C94C33">
        <w:rPr>
          <w:rFonts w:asciiTheme="minorHAnsi" w:hAnsiTheme="minorHAnsi"/>
        </w:rPr>
        <w:t>Australia, Europe, US</w:t>
      </w:r>
      <w:r w:rsidR="00A0007E" w:rsidRPr="00C94C33">
        <w:rPr>
          <w:rFonts w:asciiTheme="minorHAnsi" w:hAnsiTheme="minorHAnsi"/>
        </w:rPr>
        <w:t>)</w:t>
      </w:r>
      <w:r w:rsidRPr="00C94C33">
        <w:rPr>
          <w:rFonts w:asciiTheme="minorHAnsi" w:hAnsiTheme="minorHAnsi"/>
        </w:rPr>
        <w:t xml:space="preserve">). In </w:t>
      </w:r>
      <w:r w:rsidR="00D34C18">
        <w:rPr>
          <w:rFonts w:asciiTheme="minorHAnsi" w:hAnsiTheme="minorHAnsi"/>
        </w:rPr>
        <w:t xml:space="preserve">Study </w:t>
      </w:r>
      <w:r w:rsidRPr="00C94C33">
        <w:rPr>
          <w:rFonts w:asciiTheme="minorHAnsi" w:hAnsiTheme="minorHAnsi"/>
        </w:rPr>
        <w:t>J003-10040030, randomised Japanese patients were stratified by ECOG PS (PS = 0</w:t>
      </w:r>
      <w:r w:rsidR="00C11183">
        <w:rPr>
          <w:rFonts w:asciiTheme="minorHAnsi" w:hAnsiTheme="minorHAnsi"/>
        </w:rPr>
        <w:t xml:space="preserve"> versus </w:t>
      </w:r>
      <w:r w:rsidRPr="00C94C33">
        <w:rPr>
          <w:rFonts w:asciiTheme="minorHAnsi" w:hAnsiTheme="minorHAnsi"/>
        </w:rPr>
        <w:t>PS = 1 or 2).</w:t>
      </w:r>
    </w:p>
    <w:p w14:paraId="73B81EF2" w14:textId="528EF296"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In both the pivotal and supportive study, patients were randomised to receive TAS-102 (35</w:t>
      </w:r>
      <w:r w:rsidR="00D34C18">
        <w:rPr>
          <w:rFonts w:asciiTheme="minorHAnsi" w:hAnsiTheme="minorHAnsi"/>
        </w:rPr>
        <w:t> </w:t>
      </w:r>
      <w:r w:rsidRPr="00C94C33">
        <w:rPr>
          <w:rFonts w:asciiTheme="minorHAnsi" w:hAnsiTheme="minorHAnsi"/>
        </w:rPr>
        <w:t>mg/m</w:t>
      </w:r>
      <w:r w:rsidRPr="00C94C33">
        <w:rPr>
          <w:rFonts w:asciiTheme="minorHAnsi" w:hAnsiTheme="minorHAnsi"/>
          <w:vertAlign w:val="superscript"/>
        </w:rPr>
        <w:t>2</w:t>
      </w:r>
      <w:r w:rsidRPr="00C94C33">
        <w:rPr>
          <w:rFonts w:asciiTheme="minorHAnsi" w:hAnsiTheme="minorHAnsi"/>
        </w:rPr>
        <w:t>/dose BD) plus BSC or placebo plus BSC for 5 consecutive (</w:t>
      </w:r>
      <w:r w:rsidR="00D34C18">
        <w:rPr>
          <w:rFonts w:asciiTheme="minorHAnsi" w:hAnsiTheme="minorHAnsi"/>
        </w:rPr>
        <w:t>D</w:t>
      </w:r>
      <w:r w:rsidR="00D34C18" w:rsidRPr="00C94C33">
        <w:rPr>
          <w:rFonts w:asciiTheme="minorHAnsi" w:hAnsiTheme="minorHAnsi"/>
        </w:rPr>
        <w:t xml:space="preserve">ays </w:t>
      </w:r>
      <w:r w:rsidRPr="00C94C33">
        <w:rPr>
          <w:rFonts w:asciiTheme="minorHAnsi" w:hAnsiTheme="minorHAnsi"/>
        </w:rPr>
        <w:t>1</w:t>
      </w:r>
      <w:r w:rsidR="00D34C18">
        <w:rPr>
          <w:rFonts w:asciiTheme="minorHAnsi" w:hAnsiTheme="minorHAnsi"/>
        </w:rPr>
        <w:t xml:space="preserve"> to </w:t>
      </w:r>
      <w:r w:rsidRPr="00C94C33">
        <w:rPr>
          <w:rFonts w:asciiTheme="minorHAnsi" w:hAnsiTheme="minorHAnsi"/>
        </w:rPr>
        <w:t>5), followed by 2 rest days (</w:t>
      </w:r>
      <w:r w:rsidR="00D34C18">
        <w:rPr>
          <w:rFonts w:asciiTheme="minorHAnsi" w:hAnsiTheme="minorHAnsi"/>
        </w:rPr>
        <w:t>D</w:t>
      </w:r>
      <w:r w:rsidR="00D34C18" w:rsidRPr="00C94C33">
        <w:rPr>
          <w:rFonts w:asciiTheme="minorHAnsi" w:hAnsiTheme="minorHAnsi"/>
        </w:rPr>
        <w:t xml:space="preserve">ays </w:t>
      </w:r>
      <w:r w:rsidRPr="00C94C33">
        <w:rPr>
          <w:rFonts w:asciiTheme="minorHAnsi" w:hAnsiTheme="minorHAnsi"/>
        </w:rPr>
        <w:t>6</w:t>
      </w:r>
      <w:r w:rsidR="00D34C18">
        <w:rPr>
          <w:rFonts w:asciiTheme="minorHAnsi" w:hAnsiTheme="minorHAnsi"/>
        </w:rPr>
        <w:t xml:space="preserve"> to </w:t>
      </w:r>
      <w:r w:rsidRPr="00C94C33">
        <w:rPr>
          <w:rFonts w:asciiTheme="minorHAnsi" w:hAnsiTheme="minorHAnsi"/>
        </w:rPr>
        <w:t>7), after which treatment was repeated for 5 consecutive days (</w:t>
      </w:r>
      <w:r w:rsidR="00D34C18">
        <w:rPr>
          <w:rFonts w:asciiTheme="minorHAnsi" w:hAnsiTheme="minorHAnsi"/>
        </w:rPr>
        <w:t>D</w:t>
      </w:r>
      <w:r w:rsidR="00D34C18" w:rsidRPr="00C94C33">
        <w:rPr>
          <w:rFonts w:asciiTheme="minorHAnsi" w:hAnsiTheme="minorHAnsi"/>
        </w:rPr>
        <w:t xml:space="preserve">ays </w:t>
      </w:r>
      <w:r w:rsidRPr="00C94C33">
        <w:rPr>
          <w:rFonts w:asciiTheme="minorHAnsi" w:hAnsiTheme="minorHAnsi"/>
        </w:rPr>
        <w:t>8</w:t>
      </w:r>
      <w:r w:rsidR="00D34C18">
        <w:rPr>
          <w:rFonts w:asciiTheme="minorHAnsi" w:hAnsiTheme="minorHAnsi"/>
        </w:rPr>
        <w:t xml:space="preserve"> to </w:t>
      </w:r>
      <w:r w:rsidRPr="00C94C33">
        <w:rPr>
          <w:rFonts w:asciiTheme="minorHAnsi" w:hAnsiTheme="minorHAnsi"/>
        </w:rPr>
        <w:t>12), followed by 2 rest days (</w:t>
      </w:r>
      <w:r w:rsidR="00D34C18">
        <w:rPr>
          <w:rFonts w:asciiTheme="minorHAnsi" w:hAnsiTheme="minorHAnsi"/>
        </w:rPr>
        <w:t>D</w:t>
      </w:r>
      <w:r w:rsidR="00D34C18" w:rsidRPr="00C94C33">
        <w:rPr>
          <w:rFonts w:asciiTheme="minorHAnsi" w:hAnsiTheme="minorHAnsi"/>
        </w:rPr>
        <w:t xml:space="preserve">ays </w:t>
      </w:r>
      <w:r w:rsidRPr="00C94C33">
        <w:rPr>
          <w:rFonts w:asciiTheme="minorHAnsi" w:hAnsiTheme="minorHAnsi"/>
        </w:rPr>
        <w:t>13</w:t>
      </w:r>
      <w:r w:rsidR="00D34C18">
        <w:rPr>
          <w:rFonts w:asciiTheme="minorHAnsi" w:hAnsiTheme="minorHAnsi"/>
        </w:rPr>
        <w:t xml:space="preserve"> to </w:t>
      </w:r>
      <w:r w:rsidRPr="00C94C33">
        <w:rPr>
          <w:rFonts w:asciiTheme="minorHAnsi" w:hAnsiTheme="minorHAnsi"/>
        </w:rPr>
        <w:t>14) and then 14 days recovery (</w:t>
      </w:r>
      <w:r w:rsidR="00D34C18">
        <w:rPr>
          <w:rFonts w:asciiTheme="minorHAnsi" w:hAnsiTheme="minorHAnsi"/>
        </w:rPr>
        <w:t>D</w:t>
      </w:r>
      <w:r w:rsidR="00D34C18" w:rsidRPr="00C94C33">
        <w:rPr>
          <w:rFonts w:asciiTheme="minorHAnsi" w:hAnsiTheme="minorHAnsi"/>
        </w:rPr>
        <w:t xml:space="preserve">ays </w:t>
      </w:r>
      <w:r w:rsidRPr="00C94C33">
        <w:rPr>
          <w:rFonts w:asciiTheme="minorHAnsi" w:hAnsiTheme="minorHAnsi"/>
        </w:rPr>
        <w:t>15</w:t>
      </w:r>
      <w:r w:rsidR="00D34C18">
        <w:rPr>
          <w:rFonts w:asciiTheme="minorHAnsi" w:hAnsiTheme="minorHAnsi"/>
        </w:rPr>
        <w:t xml:space="preserve"> to </w:t>
      </w:r>
      <w:r w:rsidRPr="00C94C33">
        <w:rPr>
          <w:rFonts w:asciiTheme="minorHAnsi" w:hAnsiTheme="minorHAnsi"/>
        </w:rPr>
        <w:t>28). The 28</w:t>
      </w:r>
      <w:r w:rsidR="009C0389" w:rsidRPr="00C94C33">
        <w:rPr>
          <w:rFonts w:asciiTheme="minorHAnsi" w:hAnsiTheme="minorHAnsi"/>
        </w:rPr>
        <w:t xml:space="preserve"> day</w:t>
      </w:r>
      <w:r w:rsidRPr="00C94C33">
        <w:rPr>
          <w:rFonts w:asciiTheme="minorHAnsi" w:hAnsiTheme="minorHAnsi"/>
        </w:rPr>
        <w:t xml:space="preserve"> treatment cycles were repeated in each study until the pre-specified number of deaths required for the primary analysis of OS occurred. The primary efficacy endpoint in both studies was OS, which is consistent with the relevant TGA adopted EU guidelines for the clinical assessment of anti-cancer medicines (CPMP/EWP/205/95/Rev.3/Corr).</w:t>
      </w:r>
    </w:p>
    <w:p w14:paraId="79880D0A" w14:textId="785AA913" w:rsidR="00DF61BC" w:rsidRPr="00C94C33" w:rsidRDefault="00DF61BC" w:rsidP="00955252">
      <w:pPr>
        <w:pStyle w:val="Heading4"/>
      </w:pPr>
      <w:r w:rsidRPr="00C94C33">
        <w:t>RECOURSE (Pivotal Phase III study)</w:t>
      </w:r>
    </w:p>
    <w:p w14:paraId="736944D2" w14:textId="4422F28D" w:rsidR="00DF61BC" w:rsidRPr="00C94C33" w:rsidRDefault="00DF61BC" w:rsidP="00BF565E">
      <w:r w:rsidRPr="00C94C33">
        <w:t>The patient population treated in RECOURSE is considered to be reasonably representative of the Australian patient population with advanced mCRC likely to be offered treatment with TAS-102 if approved. The median age of the total patient group in RECOURSE was 63.0 years (range: 27</w:t>
      </w:r>
      <w:r w:rsidR="00D34C18">
        <w:t xml:space="preserve"> to</w:t>
      </w:r>
      <w:r w:rsidRPr="00C94C33">
        <w:t xml:space="preserve"> 82</w:t>
      </w:r>
      <w:r w:rsidR="00D34C18">
        <w:t> </w:t>
      </w:r>
      <w:r w:rsidRPr="00C94C33">
        <w:t>years), and 44% were aged ≥ 65 years. There were more males than females in the total patient population (61.4%</w:t>
      </w:r>
      <w:r w:rsidR="00C11183">
        <w:t xml:space="preserve"> versus </w:t>
      </w:r>
      <w:r w:rsidRPr="00C94C33">
        <w:t>38.6%, respectively). The majority of the population were categorised as Caucasian/White (57.6%), with most of the remaining patients being Asian/Oriental (34.8%). Of the total patient population, 60.9% had been treated with ≥ 4 prior chemotherapy regimens for mCRC.</w:t>
      </w:r>
    </w:p>
    <w:p w14:paraId="288226CC" w14:textId="21C6125C" w:rsidR="00DF61BC" w:rsidRPr="00C94C33" w:rsidRDefault="00DF61BC" w:rsidP="00BF565E">
      <w:r w:rsidRPr="005C2FCA">
        <w:t>In RECOURSE, patients with mCRC refractory to standard chemotherapies were randomised to double-blind treatment with TAS-102 plus BSC (</w:t>
      </w:r>
      <w:r w:rsidR="009C0389" w:rsidRPr="005C2FCA">
        <w:t xml:space="preserve">n = </w:t>
      </w:r>
      <w:r w:rsidRPr="005C2FCA">
        <w:t>534) or placebo plus BSC (</w:t>
      </w:r>
      <w:r w:rsidR="009C0389" w:rsidRPr="005C2FCA">
        <w:t xml:space="preserve">n = </w:t>
      </w:r>
      <w:r w:rsidRPr="005C2FCA">
        <w:t xml:space="preserve">266). The primary efficacy analysis was comparison of OS between the two treatment arms, with </w:t>
      </w:r>
      <w:r w:rsidRPr="00C94C33">
        <w:t>survival</w:t>
      </w:r>
      <w:r w:rsidRPr="005C2FCA">
        <w:t xml:space="preserve"> </w:t>
      </w:r>
      <w:r w:rsidRPr="00C94C33">
        <w:t>follow-up data being obtained through the date of the 571st death observed in the study</w:t>
      </w:r>
      <w:r w:rsidRPr="005C2FCA">
        <w:t>. At the cut-off date for the primary analysis of OS (24 January 2014) there had been a total of 574 deaths, including 364 (68.2%) in the TAS-102 arm and 210 (78.9%) in the placebo arm.</w:t>
      </w:r>
    </w:p>
    <w:p w14:paraId="2417395A" w14:textId="37D2DA86" w:rsidR="00DF61BC" w:rsidRPr="005C2FCA" w:rsidRDefault="00DF61BC" w:rsidP="00BF565E">
      <w:r w:rsidRPr="005C2FCA">
        <w:t>The median OS was 7.1 months in the TAS-102 arm and 5.3 months in the placebo arm. The modest increase in OS of 1.8 months in the TAS-102 arm compared to the placebo arm was statistically significant: HR = 0.68 (95% CI: 0.58, 0.81), p &lt; 0.0001 (1</w:t>
      </w:r>
      <w:r w:rsidR="00D34C18">
        <w:t xml:space="preserve"> </w:t>
      </w:r>
      <w:r w:rsidRPr="005C2FCA">
        <w:t>sided and 2</w:t>
      </w:r>
      <w:r w:rsidR="00D34C18">
        <w:t xml:space="preserve"> </w:t>
      </w:r>
      <w:r w:rsidRPr="005C2FCA">
        <w:t xml:space="preserve">sided), stratified log-rank test. The primary analysis of OS was supported by a number of additional OS analyses, including sensitivity analyses, analyses based on the individual stratification factors and subgroup analyses. The updated OS analysis (as of data cut-off date of 8 October 2014) was based on 712 deaths (463 </w:t>
      </w:r>
      <w:r w:rsidR="00A0007E" w:rsidRPr="005C2FCA">
        <w:t>(</w:t>
      </w:r>
      <w:r w:rsidRPr="005C2FCA">
        <w:t>86.7%</w:t>
      </w:r>
      <w:r w:rsidR="00A0007E" w:rsidRPr="005C2FCA">
        <w:t>)</w:t>
      </w:r>
      <w:r w:rsidRPr="005C2FCA">
        <w:t xml:space="preserve">, TAS-102; 249 </w:t>
      </w:r>
      <w:r w:rsidR="00A0007E" w:rsidRPr="005C2FCA">
        <w:t>(</w:t>
      </w:r>
      <w:r w:rsidRPr="005C2FCA">
        <w:t>93.6%</w:t>
      </w:r>
      <w:r w:rsidR="00A0007E" w:rsidRPr="005C2FCA">
        <w:t>)</w:t>
      </w:r>
      <w:r w:rsidRPr="005C2FCA">
        <w:t>, placebo).  In the updated analysis, the median OS was 7.2 months in the TAS-102 arm and 5.2 months in the placebo arm: HR = 0.69 (95% CI: 0.59, 0.81); p&lt;0.0001 (1 and 2-sided), stratified log-rank test. The results of the updated OS analysis were consistent with the results for the primary OS analysis.</w:t>
      </w:r>
    </w:p>
    <w:p w14:paraId="29FFF1FC" w14:textId="77777777" w:rsidR="00DF61BC" w:rsidRPr="00C94C33" w:rsidRDefault="00DF61BC" w:rsidP="00BF565E">
      <w:r w:rsidRPr="005C2FCA">
        <w:t xml:space="preserve">The modest improvement in OS in the TAS-102 arm compared to the placebo arm needs to be interpreted in the context of patients with mCRC resistant to standard treatments. </w:t>
      </w:r>
      <w:r w:rsidRPr="00C94C33">
        <w:t xml:space="preserve">Patients were required to have received at least 2 prior regimens of standard chemotherapies for mCRC refractory.  Standard chemotherapy must have included all of the following agents approved in each country in which patients were enrolled: fluoropyrimidines, irinotecan and oxaliplatin; an anti-VEGF monoclonal antibody (bevacizumab); and at least one of the anti-EGFR monoclonal antibodies (cetuximab or panitumumab) for KRAS wild-type patients. Of the total patient population, the proportion of patients who had receive 1, 2, 3 and ≥ 4 prior regimens for mCRC was </w:t>
      </w:r>
      <w:r w:rsidRPr="00C94C33">
        <w:lastRenderedPageBreak/>
        <w:t>3%, 22.8%, 27.8% and 46.5%, respectively. Of the total population, 93.8% were reported as being intolerant to fluoropyrimidine in their last prior regimen.</w:t>
      </w:r>
    </w:p>
    <w:p w14:paraId="5AF3248A" w14:textId="167D83ED" w:rsidR="00DF61BC" w:rsidRPr="005C2FCA" w:rsidRDefault="00DF61BC" w:rsidP="00BF565E">
      <w:r w:rsidRPr="00C94C33">
        <w:t>A limitation of the study relates to the small amounts of data in patients treated with regorafenib, due to the medicine not being approved at the time of the study design. In Australia, the indications of regorafenib include the treatment of patients with mCRC who have been previously treated with fluoropyrimidine-, oxaliplatin- and irinotecan-based chemotherapy, an anti-VEGF therapy, and, if KRAS wild type, an anti-EGFR therapy. Of the total number of patients in the RECOURSE ITT population, 18.0% (</w:t>
      </w:r>
      <w:r w:rsidR="009C0389" w:rsidRPr="00C94C33">
        <w:t xml:space="preserve">n = </w:t>
      </w:r>
      <w:r w:rsidRPr="00C94C33">
        <w:t xml:space="preserve">144) had previously been treated with regorafenib (17.0% </w:t>
      </w:r>
      <w:r w:rsidR="00A0007E" w:rsidRPr="00C94C33">
        <w:t>(</w:t>
      </w:r>
      <w:r w:rsidR="009C0389" w:rsidRPr="00C94C33">
        <w:t xml:space="preserve">n = </w:t>
      </w:r>
      <w:r w:rsidRPr="00C94C33">
        <w:t>91</w:t>
      </w:r>
      <w:r w:rsidR="00A0007E" w:rsidRPr="00C94C33">
        <w:t>)</w:t>
      </w:r>
      <w:r w:rsidRPr="00C94C33">
        <w:t xml:space="preserve"> TAS-102; 19.9% </w:t>
      </w:r>
      <w:r w:rsidR="00A0007E" w:rsidRPr="00C94C33">
        <w:t>(</w:t>
      </w:r>
      <w:r w:rsidR="009C0389" w:rsidRPr="00C94C33">
        <w:t xml:space="preserve">n = </w:t>
      </w:r>
      <w:r w:rsidRPr="00C94C33">
        <w:t>53</w:t>
      </w:r>
      <w:r w:rsidR="00A0007E" w:rsidRPr="00C94C33">
        <w:t>)</w:t>
      </w:r>
      <w:r w:rsidRPr="00C94C33">
        <w:t xml:space="preserve"> placebo). </w:t>
      </w:r>
      <w:r w:rsidRPr="005C2FCA">
        <w:t>The OS subgroup analyses showed that there was trend towards longer median survival time in patients in the TAS-102 arm compared to the placebo arm, irrespective of whether or not they had received prior treatment with regorafenib.</w:t>
      </w:r>
    </w:p>
    <w:p w14:paraId="3CCDB3BA" w14:textId="750C5F7F" w:rsidR="00DF61BC" w:rsidRPr="005C2FCA" w:rsidRDefault="00DF61BC" w:rsidP="00BF565E">
      <w:r w:rsidRPr="005C2FCA">
        <w:t>The Australian PI for regorafenib (Stivarga) indicates that the median OS was 6.4 months in the regorafenib plus BSC group and 5.0 months in the placebo plus BSC group: HR = 0.774 (95%</w:t>
      </w:r>
      <w:r w:rsidR="00C468E2">
        <w:t> </w:t>
      </w:r>
      <w:r w:rsidRPr="005C2FCA">
        <w:t>CI:</w:t>
      </w:r>
      <w:r w:rsidR="00C468E2">
        <w:t> </w:t>
      </w:r>
      <w:r w:rsidRPr="005C2FCA">
        <w:t>0.636, 0.942), p=0.005178. The results reported in the PI for OS for regorafenib in heavily pre-treated patients with mCRC refractory to standard chemotherapies are consistent with the results for OS for TAS-102 in RECOURSE in a similar patient population, although cross</w:t>
      </w:r>
      <w:r w:rsidR="00C468E2">
        <w:t xml:space="preserve"> </w:t>
      </w:r>
      <w:r w:rsidRPr="005C2FCA">
        <w:t>study results should be interpreted cautiously due to uncertainties relating to the comparability of the treated populations.</w:t>
      </w:r>
    </w:p>
    <w:p w14:paraId="3A74A822" w14:textId="5F657A0A" w:rsidR="00DF61BC" w:rsidRPr="00C94C33" w:rsidRDefault="00DF61BC" w:rsidP="00BF565E">
      <w:r w:rsidRPr="005C2FCA">
        <w:t>The key secondary efficacy endpoint of PFS in the ITT population based on investigator-assessed radiological disease progression undertaken on the specified cut-off date for non-survival data (31</w:t>
      </w:r>
      <w:r w:rsidR="00C468E2">
        <w:t> </w:t>
      </w:r>
      <w:r w:rsidRPr="005C2FCA">
        <w:t>January 2014) demonstrated a median time of 2.0 months in the TAS-102 arm and 1.7 months in the placebo arm. The small increase in median PFS of 0.3 months in the TAS-102 arm compared to the placebo arm was statistically significant: HR = 0.48 (95% CI: 0.41, 0.57), p &lt; 0.0001 (1</w:t>
      </w:r>
      <w:r w:rsidR="00C468E2">
        <w:t xml:space="preserve"> </w:t>
      </w:r>
      <w:r w:rsidRPr="005C2FCA">
        <w:t>sided and 2</w:t>
      </w:r>
      <w:r w:rsidR="00C468E2">
        <w:t xml:space="preserve"> </w:t>
      </w:r>
      <w:r w:rsidRPr="005C2FCA">
        <w:t>sided), stratified log-rank test. The PFS events in both treatment arms were primarily disease progression rather than death. It is possible that the analysis of the PFS might have been subject to bias, as radiological progression was based on investigator-assessment rather than centralised reading. However, the supportive PFS analyses were consistent with the primary PFS analysis as were the PFS analyses by stratification factors and pre-specified subgroups. The other secondary efficacy endpoints of TTF (ITT population), ORR, and time to ECOG status ≥ 2 all favoured the TAS-102 arm compared to the placebo arm with p-values being nominally statistically significant.</w:t>
      </w:r>
    </w:p>
    <w:p w14:paraId="2862F7B8" w14:textId="62A86701" w:rsidR="00DF61BC" w:rsidRPr="00C94C33" w:rsidRDefault="00DF61BC" w:rsidP="00BF565E">
      <w:r w:rsidRPr="00C94C33">
        <w:t>RECOURSE included only patients with ECOG PS 0 or 1 (56.0%</w:t>
      </w:r>
      <w:r w:rsidR="00C11183">
        <w:t xml:space="preserve"> versus </w:t>
      </w:r>
      <w:r w:rsidRPr="00C94C33">
        <w:t>44.0%, respectively), respectively), and excluded patients with ECOG PS ≥ 2 (</w:t>
      </w:r>
      <w:r w:rsidR="00B2072D" w:rsidRPr="00C94C33">
        <w:t>that is,</w:t>
      </w:r>
      <w:r w:rsidRPr="00C94C33">
        <w:t xml:space="preserve"> patients with more severe impairment in quality of life due to mCRC). The absence of patients with ECOG PS ≥ 2 is considered to be a deficiency in the data. It can be anticipated that in clinical practice, a considerable proportion of patients with refractory mCRC likely to be offered treatment with TAS-102 might be categorised with ECOG PS status ≥ 2. However, an analysis of time to worsening ECOG PS status was pre-specified in the statistical analysis plan for RECOURSE. The median time to ECOG PS </w:t>
      </w:r>
      <w:r w:rsidRPr="00C94C33">
        <w:rPr>
          <w:rFonts w:cs="TimesNewRomanPSMT"/>
        </w:rPr>
        <w:t xml:space="preserve">≥ </w:t>
      </w:r>
      <w:r w:rsidRPr="00C94C33">
        <w:t xml:space="preserve">2 was 5.7 months in the TAS-102 arm and 4.0 months in the placebo arm: HR = 0.66 (95% CI: 0.56, 0.78); p&lt;0.0001, stratified log-rank test. The difference between the </w:t>
      </w:r>
      <w:r w:rsidR="00C468E2">
        <w:t>2</w:t>
      </w:r>
      <w:r w:rsidR="00C468E2" w:rsidRPr="00C94C33">
        <w:t xml:space="preserve"> </w:t>
      </w:r>
      <w:r w:rsidRPr="00C94C33">
        <w:t>treatment arms was 1.7</w:t>
      </w:r>
      <w:r w:rsidR="00C468E2">
        <w:t> </w:t>
      </w:r>
      <w:r w:rsidRPr="00C94C33">
        <w:t>months in favour of the TAS-102 arm. There were no specific data in the submission assessing patient or investigator reported quality of life (QoL) outcomes in patients with mCRC treated with TAS-102 or placebo. This is a significant deficiency in the submitted data, given the importance of quality of life assessment in patients with cancer being treated with chemotherapy.</w:t>
      </w:r>
    </w:p>
    <w:p w14:paraId="08275836" w14:textId="77777777" w:rsidR="00AA7141" w:rsidRDefault="00DF61BC" w:rsidP="00955252">
      <w:pPr>
        <w:pStyle w:val="Heading4"/>
      </w:pPr>
      <w:r w:rsidRPr="005C2FCA">
        <w:t>Study J003-10040030 (Supportive Phase II study)</w:t>
      </w:r>
    </w:p>
    <w:p w14:paraId="06BC83F5" w14:textId="1E8C51B5" w:rsidR="00DF61BC" w:rsidRPr="00C94C33" w:rsidRDefault="00DF61BC" w:rsidP="00BF565E">
      <w:r w:rsidRPr="00C94C33">
        <w:t xml:space="preserve">At the cut-off date for the OS analysis in Japanese patients, death had occurred in 75 patients in the TAS-102 group (67.0% </w:t>
      </w:r>
      <w:r w:rsidR="00A0007E" w:rsidRPr="00C94C33">
        <w:t>(</w:t>
      </w:r>
      <w:r w:rsidRPr="00C94C33">
        <w:t>75/112</w:t>
      </w:r>
      <w:r w:rsidR="00A0007E" w:rsidRPr="00C94C33">
        <w:t>)</w:t>
      </w:r>
      <w:r w:rsidRPr="00C94C33">
        <w:t xml:space="preserve">) and 48 patients in the placebo group (84.2% </w:t>
      </w:r>
      <w:r w:rsidR="00A0007E" w:rsidRPr="00C94C33">
        <w:t>(</w:t>
      </w:r>
      <w:r w:rsidRPr="00C94C33">
        <w:t>48/75</w:t>
      </w:r>
      <w:r w:rsidR="00A0007E" w:rsidRPr="00C94C33">
        <w:t>)</w:t>
      </w:r>
      <w:r w:rsidRPr="00C94C33">
        <w:t>). The median OS in the FAS was 9.0 months in the TAS-102 group and 6.6 months in the placebo group:  HR=0.56 (95% CI: 0.39, 0.81); p = 0.0011, stratified log-rank test. The difference in median OS between the two treatment groups was 2.4 months in favour of the TAS-102 group. This relatively small improvement in OS should be interpreted in the context of heavily pre-treated patients with refractory mCRC.</w:t>
      </w:r>
    </w:p>
    <w:p w14:paraId="091F0FDF" w14:textId="0A3CE869" w:rsidR="0085068D" w:rsidRPr="00C94C33" w:rsidRDefault="00DF61BC" w:rsidP="0085068D">
      <w:r w:rsidRPr="00C94C33">
        <w:lastRenderedPageBreak/>
        <w:t xml:space="preserve">The secondary efficacy endpoint of PFS assessed by an independent review committee demonstrated that median PFS was 2.0 months in the TAS-102 group compared with 1.0 month in the placebo group: HR=0.41 (95% CI: 0.28, 0.59); nominal p &lt; 0.0001, stratified log-rank test. The results for the median TTF (secondary efficacy endpoint) assessed by the independent review committee was consistent with results for the PFS. For best tumour response assessed by independent review committee, the ORR (CR+PR) was negligible for both treatment groups (0.9% </w:t>
      </w:r>
      <w:r w:rsidR="00A0007E" w:rsidRPr="00C94C33">
        <w:t>(</w:t>
      </w:r>
      <w:r w:rsidRPr="00C94C33">
        <w:t>1/112</w:t>
      </w:r>
      <w:r w:rsidR="00A0007E" w:rsidRPr="00C94C33">
        <w:t>)</w:t>
      </w:r>
      <w:r w:rsidRPr="00C94C33">
        <w:t>, TAS-102</w:t>
      </w:r>
      <w:r w:rsidR="00C11183">
        <w:t xml:space="preserve"> versus </w:t>
      </w:r>
      <w:r w:rsidRPr="00C94C33">
        <w:t xml:space="preserve">0% </w:t>
      </w:r>
      <w:r w:rsidR="00A0007E" w:rsidRPr="00C94C33">
        <w:t>(</w:t>
      </w:r>
      <w:r w:rsidRPr="00C94C33">
        <w:t>0/57</w:t>
      </w:r>
      <w:r w:rsidR="00A0007E" w:rsidRPr="00C94C33">
        <w:t>)</w:t>
      </w:r>
      <w:r w:rsidRPr="00C94C33">
        <w:t>, placebo; nominal p=1.000, Fisher’s Exact test). The DCR (CR+PR+SD) assessed by independent review committee was 43.8% (49/112) in the TAS-102 group and 10.5% (6/57) in the placebo group (nominal p &lt; 0.0001, Fisher’s Exact test). No statistical adjustments were made for multiple pairwise testing of the secondary efficacy endpoints. Therefore, it is considered that the secondary efficacy endpoints should be considered to be exploratory rather than confirmatory, with all significant p-values being nominal.</w:t>
      </w:r>
    </w:p>
    <w:p w14:paraId="07B08487" w14:textId="77777777" w:rsidR="00C22678" w:rsidRPr="00C94C33" w:rsidRDefault="00C22678" w:rsidP="00955252">
      <w:pPr>
        <w:pStyle w:val="Heading2"/>
      </w:pPr>
      <w:bookmarkStart w:id="321" w:name="_Toc510016891"/>
      <w:r w:rsidRPr="00C94C33">
        <w:t>Clinical safety</w:t>
      </w:r>
      <w:bookmarkEnd w:id="321"/>
    </w:p>
    <w:p w14:paraId="19D8F075" w14:textId="77777777" w:rsidR="00DF61BC" w:rsidRPr="00C94C33" w:rsidRDefault="00DF61BC" w:rsidP="00955252">
      <w:pPr>
        <w:pStyle w:val="Heading3"/>
      </w:pPr>
      <w:bookmarkStart w:id="322" w:name="_Toc272414659"/>
      <w:bookmarkStart w:id="323" w:name="_Toc290846284"/>
      <w:bookmarkStart w:id="324" w:name="_Toc470948562"/>
      <w:bookmarkStart w:id="325" w:name="_Toc510016892"/>
      <w:r w:rsidRPr="00C94C33">
        <w:t>Studies providing evaluable safety data</w:t>
      </w:r>
      <w:bookmarkEnd w:id="322"/>
      <w:bookmarkEnd w:id="323"/>
      <w:bookmarkEnd w:id="324"/>
      <w:bookmarkEnd w:id="325"/>
    </w:p>
    <w:p w14:paraId="328D81EF" w14:textId="724A82F7" w:rsidR="00DF61BC" w:rsidRPr="00C94C33" w:rsidRDefault="00DF61BC" w:rsidP="00DF61BC">
      <w:bookmarkStart w:id="326" w:name="_Ref268776745"/>
      <w:r w:rsidRPr="00C94C33">
        <w:t>The key integrated safety data were presented in an Integrated Summary of Safety (ISS) for all patients with mCRC who received TAS-102 at a dose of 35 mg/m</w:t>
      </w:r>
      <w:r w:rsidRPr="00C94C33">
        <w:rPr>
          <w:vertAlign w:val="superscript"/>
        </w:rPr>
        <w:t>2</w:t>
      </w:r>
      <w:r w:rsidRPr="00C94C33">
        <w:t xml:space="preserve"> BD (Safety Data Group 1; </w:t>
      </w:r>
      <w:r w:rsidR="00C468E2">
        <w:t>n </w:t>
      </w:r>
      <w:r w:rsidR="009C0389" w:rsidRPr="00C94C33">
        <w:t>=</w:t>
      </w:r>
      <w:r w:rsidR="00C468E2">
        <w:t> </w:t>
      </w:r>
      <w:r w:rsidRPr="00C94C33">
        <w:t xml:space="preserve">761) and for all patients in the </w:t>
      </w:r>
      <w:r w:rsidR="00394F0C">
        <w:t>2</w:t>
      </w:r>
      <w:r w:rsidR="00394F0C" w:rsidRPr="00C94C33">
        <w:t xml:space="preserve"> </w:t>
      </w:r>
      <w:r w:rsidRPr="00C94C33">
        <w:t xml:space="preserve">placebo controlled studies </w:t>
      </w:r>
      <w:r w:rsidR="00A0007E" w:rsidRPr="00C94C33">
        <w:t>(</w:t>
      </w:r>
      <w:r w:rsidRPr="00C94C33">
        <w:t>RE</w:t>
      </w:r>
      <w:r w:rsidR="006D6165" w:rsidRPr="00C94C33">
        <w:t>C</w:t>
      </w:r>
      <w:r w:rsidRPr="00C94C33">
        <w:t>OUR</w:t>
      </w:r>
      <w:r w:rsidR="006D6165" w:rsidRPr="00C94C33">
        <w:t>S</w:t>
      </w:r>
      <w:r w:rsidRPr="00C94C33">
        <w:t xml:space="preserve">E; </w:t>
      </w:r>
      <w:r w:rsidR="00C468E2">
        <w:t xml:space="preserve">Study </w:t>
      </w:r>
      <w:r w:rsidRPr="00C94C33">
        <w:t>J003-10040030</w:t>
      </w:r>
      <w:r w:rsidR="00A0007E" w:rsidRPr="00C94C33">
        <w:t>)</w:t>
      </w:r>
      <w:r w:rsidRPr="00C94C33">
        <w:t xml:space="preserve"> who received TAS-102 (</w:t>
      </w:r>
      <w:r w:rsidR="009C0389" w:rsidRPr="00C94C33">
        <w:t xml:space="preserve">n = </w:t>
      </w:r>
      <w:r w:rsidRPr="00C94C33">
        <w:t xml:space="preserve">646) or placebo (Safety Data Group 2; </w:t>
      </w:r>
      <w:r w:rsidR="009C0389" w:rsidRPr="00C94C33">
        <w:t xml:space="preserve">n = </w:t>
      </w:r>
      <w:r w:rsidRPr="00C94C33">
        <w:t xml:space="preserve">656 </w:t>
      </w:r>
      <w:r w:rsidR="00A0007E" w:rsidRPr="00C94C33">
        <w:t>(</w:t>
      </w:r>
      <w:r w:rsidRPr="00C94C33">
        <w:t>TAS-102</w:t>
      </w:r>
      <w:r w:rsidR="00A0007E" w:rsidRPr="00C94C33">
        <w:t>)</w:t>
      </w:r>
      <w:r w:rsidRPr="00C94C33">
        <w:t xml:space="preserve">, </w:t>
      </w:r>
      <w:r w:rsidR="009C0389" w:rsidRPr="00C94C33">
        <w:t xml:space="preserve">n = </w:t>
      </w:r>
      <w:r w:rsidRPr="00C94C33">
        <w:t xml:space="preserve">322 </w:t>
      </w:r>
      <w:r w:rsidR="00A0007E" w:rsidRPr="00C94C33">
        <w:t>(</w:t>
      </w:r>
      <w:r w:rsidRPr="00C94C33">
        <w:t>placebo</w:t>
      </w:r>
      <w:r w:rsidR="00A0007E" w:rsidRPr="00C94C33">
        <w:t>)</w:t>
      </w:r>
      <w:r w:rsidRPr="00C94C33">
        <w:t>). The studies included in Safety Data Grou</w:t>
      </w:r>
      <w:r w:rsidR="00AD742C" w:rsidRPr="00C94C33">
        <w:t>ps 1 and 2 are summarised below.</w:t>
      </w:r>
    </w:p>
    <w:p w14:paraId="79BE87F6" w14:textId="216AF810" w:rsidR="00DF61BC" w:rsidRPr="00C94C33" w:rsidRDefault="00DF61BC" w:rsidP="005E1A1C">
      <w:pPr>
        <w:pStyle w:val="Tabletitle"/>
      </w:pPr>
      <w:bookmarkStart w:id="327" w:name="_Toc470948692"/>
      <w:r w:rsidRPr="00C94C33">
        <w:t>Table</w:t>
      </w:r>
      <w:r w:rsidR="005E1A1C" w:rsidRPr="00C94C33">
        <w:t xml:space="preserve"> 43</w:t>
      </w:r>
      <w:r w:rsidRPr="00C94C33">
        <w:t>: Overview of clinical studies included in the integrated safety database</w:t>
      </w:r>
      <w:r w:rsidR="00216FAA">
        <w:t>;</w:t>
      </w:r>
      <w:r w:rsidRPr="00C94C33">
        <w:t xml:space="preserve"> patients with mCRC receiving starting dose of TAS-102 35 mg/m</w:t>
      </w:r>
      <w:r w:rsidRPr="00C94C33">
        <w:rPr>
          <w:vertAlign w:val="superscript"/>
        </w:rPr>
        <w:t>2</w:t>
      </w:r>
      <w:r w:rsidRPr="00C94C33">
        <w:t>.</w:t>
      </w:r>
      <w:bookmarkEnd w:id="327"/>
    </w:p>
    <w:tbl>
      <w:tblPr>
        <w:tblW w:w="9578" w:type="dxa"/>
        <w:tblInd w:w="112" w:type="dxa"/>
        <w:tblLayout w:type="fixed"/>
        <w:tblCellMar>
          <w:left w:w="0" w:type="dxa"/>
          <w:right w:w="0" w:type="dxa"/>
        </w:tblCellMar>
        <w:tblLook w:val="0000" w:firstRow="0" w:lastRow="0" w:firstColumn="0" w:lastColumn="0" w:noHBand="0" w:noVBand="0"/>
      </w:tblPr>
      <w:tblGrid>
        <w:gridCol w:w="2164"/>
        <w:gridCol w:w="4425"/>
        <w:gridCol w:w="1532"/>
        <w:gridCol w:w="1457"/>
      </w:tblGrid>
      <w:tr w:rsidR="00DF61BC" w:rsidRPr="00C94C33" w14:paraId="5EC6A7BE" w14:textId="77777777" w:rsidTr="006263CF">
        <w:trPr>
          <w:trHeight w:hRule="exact" w:val="327"/>
        </w:trPr>
        <w:tc>
          <w:tcPr>
            <w:tcW w:w="2164" w:type="dxa"/>
            <w:tcBorders>
              <w:top w:val="single" w:sz="6" w:space="0" w:color="000000"/>
              <w:left w:val="single" w:sz="6" w:space="0" w:color="000000"/>
              <w:bottom w:val="single" w:sz="6" w:space="0" w:color="000000"/>
              <w:right w:val="single" w:sz="6" w:space="0" w:color="000000"/>
            </w:tcBorders>
            <w:shd w:val="clear" w:color="auto" w:fill="auto"/>
          </w:tcPr>
          <w:p w14:paraId="1D72D5EA" w14:textId="77777777" w:rsidR="00DF61BC" w:rsidRPr="00C94C33" w:rsidRDefault="00DF61BC" w:rsidP="006263CF">
            <w:pPr>
              <w:pStyle w:val="TableHeading"/>
              <w:jc w:val="center"/>
            </w:pPr>
          </w:p>
        </w:tc>
        <w:tc>
          <w:tcPr>
            <w:tcW w:w="4425" w:type="dxa"/>
            <w:tcBorders>
              <w:top w:val="single" w:sz="6" w:space="0" w:color="000000"/>
              <w:left w:val="single" w:sz="6" w:space="0" w:color="000000"/>
              <w:bottom w:val="single" w:sz="6" w:space="0" w:color="000000"/>
              <w:right w:val="single" w:sz="6" w:space="0" w:color="000000"/>
            </w:tcBorders>
            <w:shd w:val="clear" w:color="auto" w:fill="auto"/>
          </w:tcPr>
          <w:p w14:paraId="59853B10" w14:textId="77777777" w:rsidR="00DF61BC" w:rsidRPr="00C94C33" w:rsidRDefault="00DF61BC" w:rsidP="006263CF">
            <w:pPr>
              <w:pStyle w:val="TableHeading"/>
              <w:jc w:val="center"/>
            </w:pPr>
          </w:p>
        </w:tc>
        <w:tc>
          <w:tcPr>
            <w:tcW w:w="2989" w:type="dxa"/>
            <w:gridSpan w:val="2"/>
            <w:tcBorders>
              <w:top w:val="single" w:sz="6" w:space="0" w:color="000000"/>
              <w:left w:val="single" w:sz="6" w:space="0" w:color="000000"/>
              <w:bottom w:val="single" w:sz="6" w:space="0" w:color="000000"/>
              <w:right w:val="single" w:sz="6" w:space="0" w:color="000000"/>
            </w:tcBorders>
            <w:shd w:val="clear" w:color="auto" w:fill="auto"/>
          </w:tcPr>
          <w:p w14:paraId="6737B279" w14:textId="77777777" w:rsidR="00DF61BC" w:rsidRPr="00C94C33" w:rsidRDefault="00DF61BC" w:rsidP="006263CF">
            <w:pPr>
              <w:pStyle w:val="TableHeading"/>
              <w:jc w:val="center"/>
            </w:pPr>
            <w:bookmarkStart w:id="328" w:name="5._OVERVIEW_OF_SAFETY"/>
            <w:bookmarkStart w:id="329" w:name="Table_4:_Overview_of_Clinical_Studies_In"/>
            <w:bookmarkStart w:id="330" w:name="5.1._Safety_Findings_from_Pivotal_Study_"/>
            <w:bookmarkStart w:id="331" w:name="5.1.1._Treatment_Duration_and_Exposure"/>
            <w:bookmarkEnd w:id="328"/>
            <w:bookmarkEnd w:id="329"/>
            <w:bookmarkEnd w:id="330"/>
            <w:bookmarkEnd w:id="331"/>
            <w:r w:rsidRPr="00C94C33">
              <w:rPr>
                <w:bCs/>
                <w:spacing w:val="-1"/>
              </w:rPr>
              <w:t>Number</w:t>
            </w:r>
            <w:r w:rsidRPr="00C94C33">
              <w:rPr>
                <w:bCs/>
              </w:rPr>
              <w:t xml:space="preserve"> </w:t>
            </w:r>
            <w:r w:rsidRPr="00C94C33">
              <w:rPr>
                <w:bCs/>
                <w:spacing w:val="-2"/>
              </w:rPr>
              <w:t>of</w:t>
            </w:r>
            <w:r w:rsidRPr="00C94C33">
              <w:rPr>
                <w:bCs/>
              </w:rPr>
              <w:t xml:space="preserve"> </w:t>
            </w:r>
            <w:r w:rsidRPr="00C94C33">
              <w:rPr>
                <w:bCs/>
                <w:spacing w:val="-1"/>
              </w:rPr>
              <w:t>Treated</w:t>
            </w:r>
            <w:r w:rsidRPr="00C94C33">
              <w:rPr>
                <w:bCs/>
                <w:spacing w:val="-3"/>
              </w:rPr>
              <w:t xml:space="preserve"> </w:t>
            </w:r>
            <w:r w:rsidRPr="00C94C33">
              <w:rPr>
                <w:bCs/>
                <w:spacing w:val="-1"/>
              </w:rPr>
              <w:t>Patients</w:t>
            </w:r>
          </w:p>
        </w:tc>
      </w:tr>
      <w:tr w:rsidR="00DF61BC" w:rsidRPr="00C94C33" w14:paraId="54100E81" w14:textId="77777777" w:rsidTr="006263CF">
        <w:trPr>
          <w:trHeight w:hRule="exact" w:val="329"/>
        </w:trPr>
        <w:tc>
          <w:tcPr>
            <w:tcW w:w="2164" w:type="dxa"/>
            <w:tcBorders>
              <w:top w:val="single" w:sz="6" w:space="0" w:color="000000"/>
              <w:left w:val="single" w:sz="6" w:space="0" w:color="000000"/>
              <w:bottom w:val="single" w:sz="6" w:space="0" w:color="000000"/>
              <w:right w:val="single" w:sz="6" w:space="0" w:color="000000"/>
            </w:tcBorders>
            <w:shd w:val="clear" w:color="auto" w:fill="auto"/>
          </w:tcPr>
          <w:p w14:paraId="061E116C" w14:textId="77777777" w:rsidR="00DF61BC" w:rsidRPr="00C94C33" w:rsidRDefault="00DF61BC" w:rsidP="006263CF">
            <w:pPr>
              <w:pStyle w:val="TableHeading"/>
              <w:jc w:val="center"/>
            </w:pPr>
            <w:r w:rsidRPr="00C94C33">
              <w:rPr>
                <w:bCs/>
              </w:rPr>
              <w:t xml:space="preserve">Study </w:t>
            </w:r>
            <w:r w:rsidRPr="00C94C33">
              <w:rPr>
                <w:bCs/>
                <w:spacing w:val="-1"/>
              </w:rPr>
              <w:t>Design</w:t>
            </w:r>
          </w:p>
        </w:tc>
        <w:tc>
          <w:tcPr>
            <w:tcW w:w="4425" w:type="dxa"/>
            <w:tcBorders>
              <w:top w:val="single" w:sz="6" w:space="0" w:color="000000"/>
              <w:left w:val="single" w:sz="6" w:space="0" w:color="000000"/>
              <w:bottom w:val="single" w:sz="6" w:space="0" w:color="000000"/>
              <w:right w:val="single" w:sz="6" w:space="0" w:color="000000"/>
            </w:tcBorders>
            <w:shd w:val="clear" w:color="auto" w:fill="auto"/>
          </w:tcPr>
          <w:p w14:paraId="4A8F1734" w14:textId="77777777" w:rsidR="00DF61BC" w:rsidRPr="00C94C33" w:rsidRDefault="00DF61BC" w:rsidP="006263CF">
            <w:pPr>
              <w:pStyle w:val="TableHeading"/>
              <w:jc w:val="center"/>
            </w:pPr>
            <w:r w:rsidRPr="00C94C33">
              <w:rPr>
                <w:bCs/>
              </w:rPr>
              <w:t xml:space="preserve">Study </w:t>
            </w:r>
            <w:r w:rsidRPr="00C94C33">
              <w:rPr>
                <w:bCs/>
                <w:spacing w:val="-1"/>
              </w:rPr>
              <w:t>Number</w:t>
            </w:r>
          </w:p>
        </w:tc>
        <w:tc>
          <w:tcPr>
            <w:tcW w:w="1532" w:type="dxa"/>
            <w:tcBorders>
              <w:top w:val="single" w:sz="6" w:space="0" w:color="000000"/>
              <w:left w:val="single" w:sz="6" w:space="0" w:color="000000"/>
              <w:bottom w:val="single" w:sz="6" w:space="0" w:color="000000"/>
              <w:right w:val="single" w:sz="6" w:space="0" w:color="000000"/>
            </w:tcBorders>
            <w:shd w:val="clear" w:color="auto" w:fill="auto"/>
          </w:tcPr>
          <w:p w14:paraId="6E79FDDB" w14:textId="77777777" w:rsidR="00DF61BC" w:rsidRPr="00C94C33" w:rsidRDefault="00DF61BC" w:rsidP="006263CF">
            <w:pPr>
              <w:pStyle w:val="TableHeading"/>
              <w:jc w:val="center"/>
            </w:pPr>
            <w:r w:rsidRPr="00C94C33">
              <w:rPr>
                <w:bCs/>
                <w:spacing w:val="-1"/>
              </w:rPr>
              <w:t>TAS-102</w:t>
            </w:r>
          </w:p>
        </w:tc>
        <w:tc>
          <w:tcPr>
            <w:tcW w:w="1457" w:type="dxa"/>
            <w:tcBorders>
              <w:top w:val="single" w:sz="6" w:space="0" w:color="000000"/>
              <w:left w:val="single" w:sz="6" w:space="0" w:color="000000"/>
              <w:bottom w:val="single" w:sz="6" w:space="0" w:color="000000"/>
              <w:right w:val="single" w:sz="6" w:space="0" w:color="000000"/>
            </w:tcBorders>
            <w:shd w:val="clear" w:color="auto" w:fill="auto"/>
          </w:tcPr>
          <w:p w14:paraId="590C9DD6" w14:textId="77777777" w:rsidR="00DF61BC" w:rsidRPr="00C94C33" w:rsidRDefault="00DF61BC" w:rsidP="006263CF">
            <w:pPr>
              <w:pStyle w:val="TableHeading"/>
              <w:jc w:val="center"/>
            </w:pPr>
            <w:r w:rsidRPr="00C94C33">
              <w:rPr>
                <w:bCs/>
              </w:rPr>
              <w:t>Placebo</w:t>
            </w:r>
          </w:p>
        </w:tc>
      </w:tr>
      <w:tr w:rsidR="00DF61BC" w:rsidRPr="00C94C33" w14:paraId="543B3CA6" w14:textId="77777777" w:rsidTr="006263CF">
        <w:trPr>
          <w:trHeight w:val="20"/>
        </w:trPr>
        <w:tc>
          <w:tcPr>
            <w:tcW w:w="2164" w:type="dxa"/>
            <w:vMerge w:val="restart"/>
            <w:tcBorders>
              <w:top w:val="single" w:sz="6" w:space="0" w:color="000000"/>
              <w:left w:val="single" w:sz="6" w:space="0" w:color="000000"/>
              <w:bottom w:val="single" w:sz="12" w:space="0" w:color="000000"/>
              <w:right w:val="single" w:sz="6" w:space="0" w:color="000000"/>
            </w:tcBorders>
            <w:shd w:val="clear" w:color="auto" w:fill="auto"/>
          </w:tcPr>
          <w:p w14:paraId="07095D0F" w14:textId="77777777" w:rsidR="00DF61BC" w:rsidRPr="00C94C33" w:rsidRDefault="00DF61BC" w:rsidP="006263CF">
            <w:pPr>
              <w:pStyle w:val="Tabletext"/>
            </w:pPr>
            <w:r w:rsidRPr="00C94C33">
              <w:t>Randomised, placebo-</w:t>
            </w:r>
            <w:r w:rsidRPr="00C94C33">
              <w:rPr>
                <w:spacing w:val="30"/>
              </w:rPr>
              <w:t xml:space="preserve"> </w:t>
            </w:r>
            <w:r w:rsidRPr="00C94C33">
              <w:t>controlled,</w:t>
            </w:r>
            <w:r w:rsidRPr="00C94C33">
              <w:rPr>
                <w:spacing w:val="-2"/>
              </w:rPr>
              <w:t xml:space="preserve"> </w:t>
            </w:r>
            <w:r w:rsidRPr="00C94C33">
              <w:t>double-blind</w:t>
            </w:r>
          </w:p>
        </w:tc>
        <w:tc>
          <w:tcPr>
            <w:tcW w:w="4425" w:type="dxa"/>
            <w:tcBorders>
              <w:top w:val="single" w:sz="6" w:space="0" w:color="000000"/>
              <w:left w:val="single" w:sz="6" w:space="0" w:color="000000"/>
              <w:bottom w:val="single" w:sz="6" w:space="0" w:color="000000"/>
              <w:right w:val="single" w:sz="6" w:space="0" w:color="000000"/>
            </w:tcBorders>
            <w:shd w:val="clear" w:color="auto" w:fill="auto"/>
          </w:tcPr>
          <w:p w14:paraId="0D43B509" w14:textId="4EBBF116" w:rsidR="00DF61BC" w:rsidRPr="00C94C33" w:rsidRDefault="00DF61BC" w:rsidP="006263CF">
            <w:pPr>
              <w:pStyle w:val="Tabletext"/>
            </w:pPr>
            <w:r w:rsidRPr="00C94C33">
              <w:t>TPU-TAS-102-301 (</w:t>
            </w:r>
            <w:r w:rsidR="00842E8F" w:rsidRPr="00C94C33">
              <w:t>Phase III</w:t>
            </w:r>
            <w:r w:rsidRPr="00C94C33">
              <w:t>, Global</w:t>
            </w:r>
            <w:r w:rsidRPr="00C94C33">
              <w:rPr>
                <w:position w:val="10"/>
              </w:rPr>
              <w:t>a</w:t>
            </w:r>
            <w:r w:rsidRPr="00C94C33">
              <w:t>)</w:t>
            </w:r>
          </w:p>
        </w:tc>
        <w:tc>
          <w:tcPr>
            <w:tcW w:w="1532" w:type="dxa"/>
            <w:tcBorders>
              <w:top w:val="single" w:sz="6" w:space="0" w:color="000000"/>
              <w:left w:val="single" w:sz="6" w:space="0" w:color="000000"/>
              <w:bottom w:val="single" w:sz="6" w:space="0" w:color="000000"/>
              <w:right w:val="single" w:sz="6" w:space="0" w:color="000000"/>
            </w:tcBorders>
            <w:shd w:val="clear" w:color="auto" w:fill="auto"/>
          </w:tcPr>
          <w:p w14:paraId="7984D0AA" w14:textId="77777777" w:rsidR="00DF61BC" w:rsidRPr="00C94C33" w:rsidRDefault="00DF61BC" w:rsidP="006263CF">
            <w:pPr>
              <w:pStyle w:val="Tabletext"/>
            </w:pPr>
            <w:r w:rsidRPr="00C94C33">
              <w:t>533</w:t>
            </w:r>
          </w:p>
        </w:tc>
        <w:tc>
          <w:tcPr>
            <w:tcW w:w="1457" w:type="dxa"/>
            <w:tcBorders>
              <w:top w:val="single" w:sz="6" w:space="0" w:color="000000"/>
              <w:left w:val="single" w:sz="6" w:space="0" w:color="000000"/>
              <w:bottom w:val="single" w:sz="6" w:space="0" w:color="000000"/>
              <w:right w:val="single" w:sz="6" w:space="0" w:color="000000"/>
            </w:tcBorders>
            <w:shd w:val="clear" w:color="auto" w:fill="auto"/>
          </w:tcPr>
          <w:p w14:paraId="77460503" w14:textId="77777777" w:rsidR="00DF61BC" w:rsidRPr="00C94C33" w:rsidRDefault="00DF61BC" w:rsidP="006263CF">
            <w:pPr>
              <w:pStyle w:val="Tabletext"/>
            </w:pPr>
            <w:r w:rsidRPr="00C94C33">
              <w:t>265</w:t>
            </w:r>
          </w:p>
        </w:tc>
      </w:tr>
      <w:tr w:rsidR="00DF61BC" w:rsidRPr="00C94C33" w14:paraId="023D715B" w14:textId="77777777" w:rsidTr="006263CF">
        <w:trPr>
          <w:trHeight w:val="20"/>
        </w:trPr>
        <w:tc>
          <w:tcPr>
            <w:tcW w:w="2164" w:type="dxa"/>
            <w:vMerge/>
            <w:tcBorders>
              <w:top w:val="single" w:sz="6" w:space="0" w:color="000000"/>
              <w:left w:val="single" w:sz="6" w:space="0" w:color="000000"/>
              <w:bottom w:val="single" w:sz="12" w:space="0" w:color="000000"/>
              <w:right w:val="single" w:sz="6" w:space="0" w:color="000000"/>
            </w:tcBorders>
            <w:shd w:val="clear" w:color="auto" w:fill="auto"/>
          </w:tcPr>
          <w:p w14:paraId="7F92902E" w14:textId="77777777" w:rsidR="00DF61BC" w:rsidRPr="00C94C33" w:rsidRDefault="00DF61BC" w:rsidP="006263CF">
            <w:pPr>
              <w:pStyle w:val="Tabletext"/>
            </w:pPr>
          </w:p>
        </w:tc>
        <w:tc>
          <w:tcPr>
            <w:tcW w:w="4425" w:type="dxa"/>
            <w:tcBorders>
              <w:top w:val="single" w:sz="6" w:space="0" w:color="000000"/>
              <w:left w:val="single" w:sz="6" w:space="0" w:color="000000"/>
              <w:bottom w:val="single" w:sz="6" w:space="0" w:color="000000"/>
              <w:right w:val="single" w:sz="6" w:space="0" w:color="000000"/>
            </w:tcBorders>
            <w:shd w:val="clear" w:color="auto" w:fill="auto"/>
          </w:tcPr>
          <w:p w14:paraId="34B239C9" w14:textId="5151659E" w:rsidR="00DF61BC" w:rsidRPr="00C94C33" w:rsidRDefault="00DF61BC" w:rsidP="006263CF">
            <w:pPr>
              <w:pStyle w:val="Tabletext"/>
            </w:pPr>
            <w:r w:rsidRPr="00C94C33">
              <w:t>J003-10040030 (</w:t>
            </w:r>
            <w:r w:rsidR="00842E8F" w:rsidRPr="00C94C33">
              <w:t>Phase II</w:t>
            </w:r>
            <w:r w:rsidRPr="00C94C33">
              <w:t>,</w:t>
            </w:r>
            <w:r w:rsidRPr="00C94C33">
              <w:rPr>
                <w:spacing w:val="-3"/>
              </w:rPr>
              <w:t xml:space="preserve"> </w:t>
            </w:r>
            <w:r w:rsidRPr="00C94C33">
              <w:t>Japan)</w:t>
            </w:r>
          </w:p>
        </w:tc>
        <w:tc>
          <w:tcPr>
            <w:tcW w:w="1532" w:type="dxa"/>
            <w:tcBorders>
              <w:top w:val="single" w:sz="6" w:space="0" w:color="000000"/>
              <w:left w:val="single" w:sz="6" w:space="0" w:color="000000"/>
              <w:bottom w:val="single" w:sz="6" w:space="0" w:color="000000"/>
              <w:right w:val="single" w:sz="6" w:space="0" w:color="000000"/>
            </w:tcBorders>
            <w:shd w:val="clear" w:color="auto" w:fill="auto"/>
          </w:tcPr>
          <w:p w14:paraId="345F9E46" w14:textId="77777777" w:rsidR="00DF61BC" w:rsidRPr="00C94C33" w:rsidRDefault="00DF61BC" w:rsidP="006263CF">
            <w:pPr>
              <w:pStyle w:val="Tabletext"/>
            </w:pPr>
            <w:r w:rsidRPr="00C94C33">
              <w:t>113</w:t>
            </w:r>
          </w:p>
        </w:tc>
        <w:tc>
          <w:tcPr>
            <w:tcW w:w="1457" w:type="dxa"/>
            <w:tcBorders>
              <w:top w:val="single" w:sz="6" w:space="0" w:color="000000"/>
              <w:left w:val="single" w:sz="6" w:space="0" w:color="000000"/>
              <w:bottom w:val="single" w:sz="6" w:space="0" w:color="000000"/>
              <w:right w:val="single" w:sz="6" w:space="0" w:color="000000"/>
            </w:tcBorders>
            <w:shd w:val="clear" w:color="auto" w:fill="auto"/>
          </w:tcPr>
          <w:p w14:paraId="5347BD7E" w14:textId="77777777" w:rsidR="00DF61BC" w:rsidRPr="00C94C33" w:rsidRDefault="00DF61BC" w:rsidP="006263CF">
            <w:pPr>
              <w:pStyle w:val="Tabletext"/>
            </w:pPr>
            <w:r w:rsidRPr="00C94C33">
              <w:t>57</w:t>
            </w:r>
          </w:p>
        </w:tc>
      </w:tr>
      <w:tr w:rsidR="00DF61BC" w:rsidRPr="00C94C33" w14:paraId="0A5AEFB2" w14:textId="77777777" w:rsidTr="006263CF">
        <w:trPr>
          <w:trHeight w:val="20"/>
        </w:trPr>
        <w:tc>
          <w:tcPr>
            <w:tcW w:w="2164" w:type="dxa"/>
            <w:vMerge/>
            <w:tcBorders>
              <w:top w:val="single" w:sz="6" w:space="0" w:color="000000"/>
              <w:left w:val="single" w:sz="6" w:space="0" w:color="000000"/>
              <w:bottom w:val="single" w:sz="12" w:space="0" w:color="000000"/>
              <w:right w:val="single" w:sz="6" w:space="0" w:color="000000"/>
            </w:tcBorders>
            <w:shd w:val="clear" w:color="auto" w:fill="auto"/>
          </w:tcPr>
          <w:p w14:paraId="0A3256BA" w14:textId="77777777" w:rsidR="00DF61BC" w:rsidRPr="00C94C33" w:rsidRDefault="00DF61BC" w:rsidP="006263CF">
            <w:pPr>
              <w:pStyle w:val="Tabletext"/>
            </w:pPr>
          </w:p>
        </w:tc>
        <w:tc>
          <w:tcPr>
            <w:tcW w:w="4425" w:type="dxa"/>
            <w:tcBorders>
              <w:top w:val="single" w:sz="6" w:space="0" w:color="000000"/>
              <w:left w:val="single" w:sz="6" w:space="0" w:color="000000"/>
              <w:bottom w:val="single" w:sz="12" w:space="0" w:color="000000"/>
              <w:right w:val="single" w:sz="6" w:space="0" w:color="000000"/>
            </w:tcBorders>
            <w:shd w:val="clear" w:color="auto" w:fill="auto"/>
          </w:tcPr>
          <w:p w14:paraId="4835C68F" w14:textId="77777777" w:rsidR="00DF61BC" w:rsidRPr="00C94C33" w:rsidRDefault="00DF61BC" w:rsidP="006263CF">
            <w:pPr>
              <w:pStyle w:val="Tabletext"/>
            </w:pPr>
            <w:r w:rsidRPr="00C94C33">
              <w:rPr>
                <w:b/>
                <w:bCs/>
              </w:rPr>
              <w:t>Total</w:t>
            </w:r>
            <w:r w:rsidRPr="00C94C33">
              <w:rPr>
                <w:b/>
                <w:bCs/>
                <w:spacing w:val="-2"/>
              </w:rPr>
              <w:t xml:space="preserve"> </w:t>
            </w:r>
            <w:r w:rsidRPr="00C94C33">
              <w:rPr>
                <w:b/>
                <w:bCs/>
              </w:rPr>
              <w:t>for Safety Data Group 2</w:t>
            </w:r>
          </w:p>
        </w:tc>
        <w:tc>
          <w:tcPr>
            <w:tcW w:w="1532" w:type="dxa"/>
            <w:tcBorders>
              <w:top w:val="single" w:sz="6" w:space="0" w:color="000000"/>
              <w:left w:val="single" w:sz="6" w:space="0" w:color="000000"/>
              <w:bottom w:val="single" w:sz="12" w:space="0" w:color="000000"/>
              <w:right w:val="single" w:sz="6" w:space="0" w:color="000000"/>
            </w:tcBorders>
            <w:shd w:val="clear" w:color="auto" w:fill="auto"/>
          </w:tcPr>
          <w:p w14:paraId="520F3421" w14:textId="77777777" w:rsidR="00DF61BC" w:rsidRPr="00C94C33" w:rsidRDefault="00DF61BC" w:rsidP="006263CF">
            <w:pPr>
              <w:pStyle w:val="Tabletext"/>
            </w:pPr>
            <w:r w:rsidRPr="00C94C33">
              <w:rPr>
                <w:b/>
                <w:bCs/>
              </w:rPr>
              <w:t>646</w:t>
            </w:r>
          </w:p>
        </w:tc>
        <w:tc>
          <w:tcPr>
            <w:tcW w:w="1457" w:type="dxa"/>
            <w:tcBorders>
              <w:top w:val="single" w:sz="6" w:space="0" w:color="000000"/>
              <w:left w:val="single" w:sz="6" w:space="0" w:color="000000"/>
              <w:bottom w:val="single" w:sz="13" w:space="0" w:color="000000"/>
              <w:right w:val="single" w:sz="6" w:space="0" w:color="000000"/>
            </w:tcBorders>
            <w:shd w:val="clear" w:color="auto" w:fill="auto"/>
          </w:tcPr>
          <w:p w14:paraId="2C4FBEE4" w14:textId="77777777" w:rsidR="00DF61BC" w:rsidRPr="00C94C33" w:rsidRDefault="00DF61BC" w:rsidP="006263CF">
            <w:pPr>
              <w:pStyle w:val="Tabletext"/>
            </w:pPr>
            <w:r w:rsidRPr="00C94C33">
              <w:rPr>
                <w:b/>
                <w:bCs/>
              </w:rPr>
              <w:t>322</w:t>
            </w:r>
          </w:p>
        </w:tc>
      </w:tr>
      <w:tr w:rsidR="00DF61BC" w:rsidRPr="00C94C33" w14:paraId="2AE652FF" w14:textId="77777777" w:rsidTr="006263CF">
        <w:trPr>
          <w:trHeight w:val="20"/>
        </w:trPr>
        <w:tc>
          <w:tcPr>
            <w:tcW w:w="2164" w:type="dxa"/>
            <w:vMerge w:val="restart"/>
            <w:tcBorders>
              <w:top w:val="single" w:sz="12" w:space="0" w:color="000000"/>
              <w:left w:val="single" w:sz="6" w:space="0" w:color="000000"/>
              <w:bottom w:val="single" w:sz="6" w:space="0" w:color="000000"/>
              <w:right w:val="single" w:sz="6" w:space="0" w:color="000000"/>
            </w:tcBorders>
            <w:shd w:val="clear" w:color="auto" w:fill="auto"/>
          </w:tcPr>
          <w:p w14:paraId="5DAA4259" w14:textId="77777777" w:rsidR="00DF61BC" w:rsidRPr="00C94C33" w:rsidRDefault="00DF61BC" w:rsidP="006263CF">
            <w:pPr>
              <w:pStyle w:val="Tabletext"/>
            </w:pPr>
            <w:r w:rsidRPr="00C94C33">
              <w:t>Open-label</w:t>
            </w:r>
          </w:p>
        </w:tc>
        <w:tc>
          <w:tcPr>
            <w:tcW w:w="4425" w:type="dxa"/>
            <w:tcBorders>
              <w:top w:val="single" w:sz="12" w:space="0" w:color="000000"/>
              <w:left w:val="single" w:sz="6" w:space="0" w:color="000000"/>
              <w:bottom w:val="single" w:sz="6" w:space="0" w:color="000000"/>
              <w:right w:val="single" w:sz="6" w:space="0" w:color="000000"/>
            </w:tcBorders>
            <w:shd w:val="clear" w:color="auto" w:fill="auto"/>
          </w:tcPr>
          <w:p w14:paraId="67C0437F" w14:textId="6BF1C139" w:rsidR="00DF61BC" w:rsidRPr="00C94C33" w:rsidRDefault="00DF61BC" w:rsidP="006263CF">
            <w:pPr>
              <w:pStyle w:val="Tabletext"/>
            </w:pPr>
            <w:r w:rsidRPr="00C94C33">
              <w:t>J001-10040010 (</w:t>
            </w:r>
            <w:r w:rsidR="00842E8F" w:rsidRPr="00C94C33">
              <w:t>Phase I</w:t>
            </w:r>
            <w:r w:rsidRPr="00C94C33">
              <w:t>,</w:t>
            </w:r>
            <w:r w:rsidRPr="00C94C33">
              <w:rPr>
                <w:spacing w:val="-3"/>
              </w:rPr>
              <w:t xml:space="preserve"> </w:t>
            </w:r>
            <w:r w:rsidRPr="00C94C33">
              <w:t>Japan)</w:t>
            </w:r>
          </w:p>
        </w:tc>
        <w:tc>
          <w:tcPr>
            <w:tcW w:w="1532" w:type="dxa"/>
            <w:tcBorders>
              <w:top w:val="single" w:sz="12" w:space="0" w:color="000000"/>
              <w:left w:val="single" w:sz="6" w:space="0" w:color="000000"/>
              <w:bottom w:val="single" w:sz="6" w:space="0" w:color="000000"/>
              <w:right w:val="single" w:sz="6" w:space="0" w:color="000000"/>
            </w:tcBorders>
            <w:shd w:val="clear" w:color="auto" w:fill="auto"/>
          </w:tcPr>
          <w:p w14:paraId="55EA3FF1" w14:textId="77777777" w:rsidR="00DF61BC" w:rsidRPr="00C94C33" w:rsidRDefault="00DF61BC" w:rsidP="006263CF">
            <w:pPr>
              <w:pStyle w:val="Tabletext"/>
            </w:pPr>
            <w:r w:rsidRPr="00C94C33">
              <w:t>5</w:t>
            </w:r>
          </w:p>
        </w:tc>
        <w:tc>
          <w:tcPr>
            <w:tcW w:w="1457" w:type="dxa"/>
            <w:tcBorders>
              <w:top w:val="single" w:sz="13" w:space="0" w:color="000000"/>
              <w:left w:val="single" w:sz="6" w:space="0" w:color="000000"/>
              <w:bottom w:val="single" w:sz="6" w:space="0" w:color="000000"/>
              <w:right w:val="single" w:sz="6" w:space="0" w:color="000000"/>
            </w:tcBorders>
            <w:shd w:val="clear" w:color="auto" w:fill="auto"/>
          </w:tcPr>
          <w:p w14:paraId="16A3F478" w14:textId="77777777" w:rsidR="00DF61BC" w:rsidRPr="00C94C33" w:rsidRDefault="00DF61BC" w:rsidP="006263CF">
            <w:pPr>
              <w:pStyle w:val="Tabletext"/>
            </w:pPr>
            <w:r w:rsidRPr="00C94C33">
              <w:t>---</w:t>
            </w:r>
          </w:p>
        </w:tc>
      </w:tr>
      <w:tr w:rsidR="00DF61BC" w:rsidRPr="00C94C33" w14:paraId="7970B1A1" w14:textId="77777777" w:rsidTr="006263CF">
        <w:trPr>
          <w:trHeight w:val="20"/>
        </w:trPr>
        <w:tc>
          <w:tcPr>
            <w:tcW w:w="2164" w:type="dxa"/>
            <w:vMerge/>
            <w:tcBorders>
              <w:top w:val="single" w:sz="12" w:space="0" w:color="000000"/>
              <w:left w:val="single" w:sz="6" w:space="0" w:color="000000"/>
              <w:bottom w:val="single" w:sz="6" w:space="0" w:color="000000"/>
              <w:right w:val="single" w:sz="6" w:space="0" w:color="000000"/>
            </w:tcBorders>
            <w:shd w:val="clear" w:color="auto" w:fill="auto"/>
          </w:tcPr>
          <w:p w14:paraId="610ACB57" w14:textId="77777777" w:rsidR="00DF61BC" w:rsidRPr="00C94C33" w:rsidRDefault="00DF61BC" w:rsidP="006263CF">
            <w:pPr>
              <w:pStyle w:val="Tabletext"/>
            </w:pPr>
          </w:p>
        </w:tc>
        <w:tc>
          <w:tcPr>
            <w:tcW w:w="4425" w:type="dxa"/>
            <w:tcBorders>
              <w:top w:val="single" w:sz="6" w:space="0" w:color="000000"/>
              <w:left w:val="single" w:sz="6" w:space="0" w:color="000000"/>
              <w:bottom w:val="single" w:sz="6" w:space="0" w:color="000000"/>
              <w:right w:val="single" w:sz="6" w:space="0" w:color="000000"/>
            </w:tcBorders>
            <w:shd w:val="clear" w:color="auto" w:fill="auto"/>
          </w:tcPr>
          <w:p w14:paraId="7627A61D" w14:textId="631A73E7" w:rsidR="00DF61BC" w:rsidRPr="00C94C33" w:rsidRDefault="00DF61BC" w:rsidP="006263CF">
            <w:pPr>
              <w:pStyle w:val="Tabletext"/>
            </w:pPr>
            <w:r w:rsidRPr="00C94C33">
              <w:t>J004-10040040 (</w:t>
            </w:r>
            <w:r w:rsidR="00842E8F" w:rsidRPr="00C94C33">
              <w:t>Phase I</w:t>
            </w:r>
            <w:r w:rsidRPr="00C94C33">
              <w:t>,</w:t>
            </w:r>
            <w:r w:rsidRPr="00C94C33">
              <w:rPr>
                <w:spacing w:val="-3"/>
              </w:rPr>
              <w:t xml:space="preserve"> </w:t>
            </w:r>
            <w:r w:rsidRPr="00C94C33">
              <w:t>Japan)</w:t>
            </w:r>
          </w:p>
        </w:tc>
        <w:tc>
          <w:tcPr>
            <w:tcW w:w="1532" w:type="dxa"/>
            <w:tcBorders>
              <w:top w:val="single" w:sz="6" w:space="0" w:color="000000"/>
              <w:left w:val="single" w:sz="6" w:space="0" w:color="000000"/>
              <w:bottom w:val="single" w:sz="6" w:space="0" w:color="000000"/>
              <w:right w:val="single" w:sz="6" w:space="0" w:color="000000"/>
            </w:tcBorders>
            <w:shd w:val="clear" w:color="auto" w:fill="auto"/>
          </w:tcPr>
          <w:p w14:paraId="6A1C9ABF" w14:textId="77777777" w:rsidR="00DF61BC" w:rsidRPr="00C94C33" w:rsidRDefault="00DF61BC" w:rsidP="006263CF">
            <w:pPr>
              <w:pStyle w:val="Tabletext"/>
            </w:pPr>
            <w:r w:rsidRPr="00C94C33">
              <w:t>5</w:t>
            </w:r>
          </w:p>
        </w:tc>
        <w:tc>
          <w:tcPr>
            <w:tcW w:w="1457" w:type="dxa"/>
            <w:tcBorders>
              <w:top w:val="single" w:sz="6" w:space="0" w:color="000000"/>
              <w:left w:val="single" w:sz="6" w:space="0" w:color="000000"/>
              <w:bottom w:val="single" w:sz="6" w:space="0" w:color="000000"/>
              <w:right w:val="single" w:sz="6" w:space="0" w:color="000000"/>
            </w:tcBorders>
            <w:shd w:val="clear" w:color="auto" w:fill="auto"/>
          </w:tcPr>
          <w:p w14:paraId="66698719" w14:textId="77777777" w:rsidR="00DF61BC" w:rsidRPr="00C94C33" w:rsidRDefault="00DF61BC" w:rsidP="006263CF">
            <w:pPr>
              <w:pStyle w:val="Tabletext"/>
            </w:pPr>
            <w:r w:rsidRPr="00C94C33">
              <w:t>---</w:t>
            </w:r>
          </w:p>
        </w:tc>
      </w:tr>
      <w:tr w:rsidR="00DF61BC" w:rsidRPr="00C94C33" w14:paraId="0C199477" w14:textId="77777777" w:rsidTr="006263CF">
        <w:trPr>
          <w:trHeight w:val="20"/>
        </w:trPr>
        <w:tc>
          <w:tcPr>
            <w:tcW w:w="2164" w:type="dxa"/>
            <w:vMerge/>
            <w:tcBorders>
              <w:top w:val="single" w:sz="12" w:space="0" w:color="000000"/>
              <w:left w:val="single" w:sz="6" w:space="0" w:color="000000"/>
              <w:bottom w:val="single" w:sz="6" w:space="0" w:color="000000"/>
              <w:right w:val="single" w:sz="6" w:space="0" w:color="000000"/>
            </w:tcBorders>
            <w:shd w:val="clear" w:color="auto" w:fill="auto"/>
          </w:tcPr>
          <w:p w14:paraId="735B6EBD" w14:textId="77777777" w:rsidR="00DF61BC" w:rsidRPr="00C94C33" w:rsidRDefault="00DF61BC" w:rsidP="006263CF">
            <w:pPr>
              <w:pStyle w:val="Tabletext"/>
            </w:pPr>
          </w:p>
        </w:tc>
        <w:tc>
          <w:tcPr>
            <w:tcW w:w="4425" w:type="dxa"/>
            <w:tcBorders>
              <w:top w:val="single" w:sz="6" w:space="0" w:color="000000"/>
              <w:left w:val="single" w:sz="6" w:space="0" w:color="000000"/>
              <w:bottom w:val="single" w:sz="6" w:space="0" w:color="000000"/>
              <w:right w:val="single" w:sz="6" w:space="0" w:color="000000"/>
            </w:tcBorders>
            <w:shd w:val="clear" w:color="auto" w:fill="auto"/>
          </w:tcPr>
          <w:p w14:paraId="15B42F3D" w14:textId="07EED546" w:rsidR="00DF61BC" w:rsidRPr="00C94C33" w:rsidRDefault="00DF61BC" w:rsidP="006263CF">
            <w:pPr>
              <w:pStyle w:val="Tabletext"/>
            </w:pPr>
            <w:r w:rsidRPr="00C94C33">
              <w:t>TPU-TAS-102-101 (</w:t>
            </w:r>
            <w:r w:rsidR="00842E8F" w:rsidRPr="00C94C33">
              <w:t>Phase I</w:t>
            </w:r>
            <w:r w:rsidRPr="00C94C33">
              <w:t>, USA)</w:t>
            </w:r>
          </w:p>
        </w:tc>
        <w:tc>
          <w:tcPr>
            <w:tcW w:w="1532" w:type="dxa"/>
            <w:tcBorders>
              <w:top w:val="single" w:sz="6" w:space="0" w:color="000000"/>
              <w:left w:val="single" w:sz="6" w:space="0" w:color="000000"/>
              <w:bottom w:val="single" w:sz="6" w:space="0" w:color="000000"/>
              <w:right w:val="single" w:sz="6" w:space="0" w:color="000000"/>
            </w:tcBorders>
            <w:shd w:val="clear" w:color="auto" w:fill="auto"/>
          </w:tcPr>
          <w:p w14:paraId="3C850443" w14:textId="77777777" w:rsidR="00DF61BC" w:rsidRPr="00C94C33" w:rsidRDefault="00DF61BC" w:rsidP="006263CF">
            <w:pPr>
              <w:pStyle w:val="Tabletext"/>
            </w:pPr>
            <w:r w:rsidRPr="00C94C33">
              <w:t>24</w:t>
            </w:r>
          </w:p>
        </w:tc>
        <w:tc>
          <w:tcPr>
            <w:tcW w:w="1457" w:type="dxa"/>
            <w:tcBorders>
              <w:top w:val="single" w:sz="6" w:space="0" w:color="000000"/>
              <w:left w:val="single" w:sz="6" w:space="0" w:color="000000"/>
              <w:bottom w:val="single" w:sz="6" w:space="0" w:color="000000"/>
              <w:right w:val="single" w:sz="6" w:space="0" w:color="000000"/>
            </w:tcBorders>
            <w:shd w:val="clear" w:color="auto" w:fill="auto"/>
          </w:tcPr>
          <w:p w14:paraId="560154A8" w14:textId="77777777" w:rsidR="00DF61BC" w:rsidRPr="00C94C33" w:rsidRDefault="00DF61BC" w:rsidP="006263CF">
            <w:pPr>
              <w:pStyle w:val="Tabletext"/>
            </w:pPr>
            <w:r w:rsidRPr="00C94C33">
              <w:t>---</w:t>
            </w:r>
          </w:p>
        </w:tc>
      </w:tr>
      <w:tr w:rsidR="00DF61BC" w:rsidRPr="00C94C33" w14:paraId="08B0BD7B" w14:textId="77777777" w:rsidTr="006263CF">
        <w:trPr>
          <w:trHeight w:val="20"/>
        </w:trPr>
        <w:tc>
          <w:tcPr>
            <w:tcW w:w="2164" w:type="dxa"/>
            <w:vMerge/>
            <w:tcBorders>
              <w:top w:val="single" w:sz="12" w:space="0" w:color="000000"/>
              <w:left w:val="single" w:sz="6" w:space="0" w:color="000000"/>
              <w:bottom w:val="single" w:sz="6" w:space="0" w:color="000000"/>
              <w:right w:val="single" w:sz="6" w:space="0" w:color="000000"/>
            </w:tcBorders>
            <w:shd w:val="clear" w:color="auto" w:fill="auto"/>
          </w:tcPr>
          <w:p w14:paraId="4C614E21" w14:textId="77777777" w:rsidR="00DF61BC" w:rsidRPr="00C94C33" w:rsidRDefault="00DF61BC" w:rsidP="006263CF">
            <w:pPr>
              <w:pStyle w:val="Tabletext"/>
            </w:pPr>
          </w:p>
        </w:tc>
        <w:tc>
          <w:tcPr>
            <w:tcW w:w="4425" w:type="dxa"/>
            <w:tcBorders>
              <w:top w:val="single" w:sz="6" w:space="0" w:color="000000"/>
              <w:left w:val="single" w:sz="6" w:space="0" w:color="000000"/>
              <w:bottom w:val="single" w:sz="6" w:space="0" w:color="000000"/>
              <w:right w:val="single" w:sz="6" w:space="0" w:color="000000"/>
            </w:tcBorders>
            <w:shd w:val="clear" w:color="auto" w:fill="auto"/>
          </w:tcPr>
          <w:p w14:paraId="4BFF2AF8" w14:textId="0AC5D75E" w:rsidR="00DF61BC" w:rsidRPr="00C94C33" w:rsidRDefault="00DF61BC" w:rsidP="006263CF">
            <w:pPr>
              <w:pStyle w:val="Tabletext"/>
            </w:pPr>
            <w:r w:rsidRPr="00C94C33">
              <w:t>TPU-TAS-102-102 (</w:t>
            </w:r>
            <w:r w:rsidR="00842E8F" w:rsidRPr="00C94C33">
              <w:t>Phase I</w:t>
            </w:r>
            <w:r w:rsidRPr="00C94C33">
              <w:t>, USA)</w:t>
            </w:r>
          </w:p>
        </w:tc>
        <w:tc>
          <w:tcPr>
            <w:tcW w:w="1532" w:type="dxa"/>
            <w:tcBorders>
              <w:top w:val="single" w:sz="6" w:space="0" w:color="000000"/>
              <w:left w:val="single" w:sz="6" w:space="0" w:color="000000"/>
              <w:bottom w:val="single" w:sz="6" w:space="0" w:color="000000"/>
              <w:right w:val="single" w:sz="6" w:space="0" w:color="000000"/>
            </w:tcBorders>
            <w:shd w:val="clear" w:color="auto" w:fill="auto"/>
          </w:tcPr>
          <w:p w14:paraId="172043EA" w14:textId="77777777" w:rsidR="00DF61BC" w:rsidRPr="00C94C33" w:rsidRDefault="00DF61BC" w:rsidP="006263CF">
            <w:pPr>
              <w:pStyle w:val="Tabletext"/>
            </w:pPr>
            <w:r w:rsidRPr="00C94C33">
              <w:t>29</w:t>
            </w:r>
          </w:p>
        </w:tc>
        <w:tc>
          <w:tcPr>
            <w:tcW w:w="1457" w:type="dxa"/>
            <w:tcBorders>
              <w:top w:val="single" w:sz="6" w:space="0" w:color="000000"/>
              <w:left w:val="single" w:sz="6" w:space="0" w:color="000000"/>
              <w:bottom w:val="single" w:sz="6" w:space="0" w:color="000000"/>
              <w:right w:val="single" w:sz="6" w:space="0" w:color="000000"/>
            </w:tcBorders>
            <w:shd w:val="clear" w:color="auto" w:fill="auto"/>
          </w:tcPr>
          <w:p w14:paraId="4BDA16FD" w14:textId="77777777" w:rsidR="00DF61BC" w:rsidRPr="00C94C33" w:rsidRDefault="00DF61BC" w:rsidP="006263CF">
            <w:pPr>
              <w:pStyle w:val="Tabletext"/>
            </w:pPr>
            <w:r w:rsidRPr="00C94C33">
              <w:t>---</w:t>
            </w:r>
          </w:p>
        </w:tc>
      </w:tr>
      <w:tr w:rsidR="00DF61BC" w:rsidRPr="00C94C33" w14:paraId="09036E17" w14:textId="77777777" w:rsidTr="006263CF">
        <w:trPr>
          <w:trHeight w:val="20"/>
        </w:trPr>
        <w:tc>
          <w:tcPr>
            <w:tcW w:w="2164" w:type="dxa"/>
            <w:vMerge/>
            <w:tcBorders>
              <w:top w:val="single" w:sz="12" w:space="0" w:color="000000"/>
              <w:left w:val="single" w:sz="6" w:space="0" w:color="000000"/>
              <w:bottom w:val="single" w:sz="6" w:space="0" w:color="000000"/>
              <w:right w:val="single" w:sz="6" w:space="0" w:color="000000"/>
            </w:tcBorders>
            <w:shd w:val="clear" w:color="auto" w:fill="auto"/>
          </w:tcPr>
          <w:p w14:paraId="7F61DBCA" w14:textId="77777777" w:rsidR="00DF61BC" w:rsidRPr="00C94C33" w:rsidRDefault="00DF61BC" w:rsidP="006263CF">
            <w:pPr>
              <w:pStyle w:val="Tabletext"/>
            </w:pPr>
          </w:p>
        </w:tc>
        <w:tc>
          <w:tcPr>
            <w:tcW w:w="4425" w:type="dxa"/>
            <w:tcBorders>
              <w:top w:val="single" w:sz="6" w:space="0" w:color="000000"/>
              <w:left w:val="single" w:sz="6" w:space="0" w:color="000000"/>
              <w:bottom w:val="single" w:sz="6" w:space="0" w:color="000000"/>
              <w:right w:val="single" w:sz="6" w:space="0" w:color="000000"/>
            </w:tcBorders>
            <w:shd w:val="clear" w:color="auto" w:fill="auto"/>
          </w:tcPr>
          <w:p w14:paraId="6839D8DB" w14:textId="4AD7599A" w:rsidR="00DF61BC" w:rsidRPr="00C94C33" w:rsidRDefault="00DF61BC" w:rsidP="006263CF">
            <w:pPr>
              <w:pStyle w:val="Tabletext"/>
            </w:pPr>
            <w:r w:rsidRPr="00C94C33">
              <w:t>TPU-TAS-102-103 (</w:t>
            </w:r>
            <w:r w:rsidR="00842E8F" w:rsidRPr="00C94C33">
              <w:t>Phase I</w:t>
            </w:r>
            <w:r w:rsidRPr="00C94C33">
              <w:t>, UK/USA)</w:t>
            </w:r>
          </w:p>
        </w:tc>
        <w:tc>
          <w:tcPr>
            <w:tcW w:w="1532" w:type="dxa"/>
            <w:tcBorders>
              <w:top w:val="single" w:sz="6" w:space="0" w:color="000000"/>
              <w:left w:val="single" w:sz="6" w:space="0" w:color="000000"/>
              <w:bottom w:val="single" w:sz="6" w:space="0" w:color="000000"/>
              <w:right w:val="single" w:sz="6" w:space="0" w:color="000000"/>
            </w:tcBorders>
            <w:shd w:val="clear" w:color="auto" w:fill="auto"/>
          </w:tcPr>
          <w:p w14:paraId="0E4128CC" w14:textId="77777777" w:rsidR="00DF61BC" w:rsidRPr="00C94C33" w:rsidRDefault="00DF61BC" w:rsidP="006263CF">
            <w:pPr>
              <w:pStyle w:val="Tabletext"/>
            </w:pPr>
            <w:r w:rsidRPr="00C94C33">
              <w:t>33</w:t>
            </w:r>
          </w:p>
        </w:tc>
        <w:tc>
          <w:tcPr>
            <w:tcW w:w="1457" w:type="dxa"/>
            <w:tcBorders>
              <w:top w:val="single" w:sz="6" w:space="0" w:color="000000"/>
              <w:left w:val="single" w:sz="6" w:space="0" w:color="000000"/>
              <w:bottom w:val="single" w:sz="6" w:space="0" w:color="000000"/>
              <w:right w:val="single" w:sz="6" w:space="0" w:color="000000"/>
            </w:tcBorders>
            <w:shd w:val="clear" w:color="auto" w:fill="auto"/>
          </w:tcPr>
          <w:p w14:paraId="74C6C86A" w14:textId="77777777" w:rsidR="00DF61BC" w:rsidRPr="00C94C33" w:rsidRDefault="00DF61BC" w:rsidP="006263CF">
            <w:pPr>
              <w:pStyle w:val="Tabletext"/>
            </w:pPr>
            <w:r w:rsidRPr="00C94C33">
              <w:t>---</w:t>
            </w:r>
          </w:p>
        </w:tc>
      </w:tr>
      <w:tr w:rsidR="00DF61BC" w:rsidRPr="00C94C33" w14:paraId="4B3E089B" w14:textId="77777777" w:rsidTr="006263CF">
        <w:trPr>
          <w:trHeight w:val="20"/>
        </w:trPr>
        <w:tc>
          <w:tcPr>
            <w:tcW w:w="2164" w:type="dxa"/>
            <w:vMerge/>
            <w:tcBorders>
              <w:top w:val="single" w:sz="12" w:space="0" w:color="000000"/>
              <w:left w:val="single" w:sz="6" w:space="0" w:color="000000"/>
              <w:bottom w:val="single" w:sz="6" w:space="0" w:color="000000"/>
              <w:right w:val="single" w:sz="6" w:space="0" w:color="000000"/>
            </w:tcBorders>
            <w:shd w:val="clear" w:color="auto" w:fill="auto"/>
          </w:tcPr>
          <w:p w14:paraId="63A32B44" w14:textId="77777777" w:rsidR="00DF61BC" w:rsidRPr="00C94C33" w:rsidRDefault="00DF61BC" w:rsidP="006263CF">
            <w:pPr>
              <w:pStyle w:val="Tabletext"/>
            </w:pPr>
          </w:p>
        </w:tc>
        <w:tc>
          <w:tcPr>
            <w:tcW w:w="4425" w:type="dxa"/>
            <w:tcBorders>
              <w:top w:val="single" w:sz="6" w:space="0" w:color="000000"/>
              <w:left w:val="single" w:sz="6" w:space="0" w:color="000000"/>
              <w:bottom w:val="single" w:sz="6" w:space="0" w:color="000000"/>
              <w:right w:val="single" w:sz="6" w:space="0" w:color="000000"/>
            </w:tcBorders>
            <w:shd w:val="clear" w:color="auto" w:fill="auto"/>
          </w:tcPr>
          <w:p w14:paraId="05BFB16A" w14:textId="35E3AC30" w:rsidR="00DF61BC" w:rsidRPr="00C94C33" w:rsidRDefault="00DF61BC" w:rsidP="006263CF">
            <w:pPr>
              <w:pStyle w:val="Tabletext"/>
            </w:pPr>
            <w:r w:rsidRPr="00C94C33">
              <w:t>TPU-TAS-102-104 (</w:t>
            </w:r>
            <w:r w:rsidR="00842E8F" w:rsidRPr="00C94C33">
              <w:t>Phase I</w:t>
            </w:r>
            <w:r w:rsidRPr="00C94C33">
              <w:t>, USA)</w:t>
            </w:r>
          </w:p>
        </w:tc>
        <w:tc>
          <w:tcPr>
            <w:tcW w:w="1532" w:type="dxa"/>
            <w:tcBorders>
              <w:top w:val="single" w:sz="6" w:space="0" w:color="000000"/>
              <w:left w:val="single" w:sz="6" w:space="0" w:color="000000"/>
              <w:bottom w:val="single" w:sz="6" w:space="0" w:color="000000"/>
              <w:right w:val="single" w:sz="6" w:space="0" w:color="000000"/>
            </w:tcBorders>
            <w:shd w:val="clear" w:color="auto" w:fill="auto"/>
          </w:tcPr>
          <w:p w14:paraId="2605DD97" w14:textId="77777777" w:rsidR="00DF61BC" w:rsidRPr="00C94C33" w:rsidRDefault="00DF61BC" w:rsidP="006263CF">
            <w:pPr>
              <w:pStyle w:val="Tabletext"/>
            </w:pPr>
            <w:r w:rsidRPr="00C94C33">
              <w:t>19</w:t>
            </w:r>
          </w:p>
        </w:tc>
        <w:tc>
          <w:tcPr>
            <w:tcW w:w="1457" w:type="dxa"/>
            <w:tcBorders>
              <w:top w:val="single" w:sz="6" w:space="0" w:color="000000"/>
              <w:left w:val="single" w:sz="6" w:space="0" w:color="000000"/>
              <w:bottom w:val="single" w:sz="6" w:space="0" w:color="000000"/>
              <w:right w:val="single" w:sz="6" w:space="0" w:color="000000"/>
            </w:tcBorders>
            <w:shd w:val="clear" w:color="auto" w:fill="auto"/>
          </w:tcPr>
          <w:p w14:paraId="4A12B888" w14:textId="77777777" w:rsidR="00DF61BC" w:rsidRPr="00C94C33" w:rsidRDefault="00DF61BC" w:rsidP="006263CF">
            <w:pPr>
              <w:pStyle w:val="Tabletext"/>
            </w:pPr>
            <w:r w:rsidRPr="00C94C33">
              <w:t>---</w:t>
            </w:r>
          </w:p>
        </w:tc>
      </w:tr>
      <w:tr w:rsidR="00DF61BC" w:rsidRPr="00C94C33" w14:paraId="070EED9E" w14:textId="77777777" w:rsidTr="006263CF">
        <w:trPr>
          <w:trHeight w:val="20"/>
        </w:trPr>
        <w:tc>
          <w:tcPr>
            <w:tcW w:w="2164" w:type="dxa"/>
            <w:tcBorders>
              <w:top w:val="single" w:sz="6" w:space="0" w:color="000000"/>
              <w:left w:val="single" w:sz="6" w:space="0" w:color="000000"/>
              <w:bottom w:val="single" w:sz="6" w:space="0" w:color="000000"/>
              <w:right w:val="single" w:sz="6" w:space="0" w:color="000000"/>
            </w:tcBorders>
            <w:shd w:val="clear" w:color="auto" w:fill="auto"/>
          </w:tcPr>
          <w:p w14:paraId="25DCFBED" w14:textId="77777777" w:rsidR="00DF61BC" w:rsidRPr="00C94C33" w:rsidRDefault="00DF61BC" w:rsidP="006263CF">
            <w:pPr>
              <w:pStyle w:val="Tabletext"/>
            </w:pPr>
          </w:p>
        </w:tc>
        <w:tc>
          <w:tcPr>
            <w:tcW w:w="4425" w:type="dxa"/>
            <w:tcBorders>
              <w:top w:val="single" w:sz="6" w:space="0" w:color="000000"/>
              <w:left w:val="single" w:sz="6" w:space="0" w:color="000000"/>
              <w:bottom w:val="single" w:sz="6" w:space="0" w:color="000000"/>
              <w:right w:val="single" w:sz="6" w:space="0" w:color="000000"/>
            </w:tcBorders>
            <w:shd w:val="clear" w:color="auto" w:fill="auto"/>
          </w:tcPr>
          <w:p w14:paraId="29B96FDE" w14:textId="77777777" w:rsidR="00DF61BC" w:rsidRPr="00C94C33" w:rsidRDefault="00DF61BC" w:rsidP="006263CF">
            <w:pPr>
              <w:pStyle w:val="Tabletext"/>
            </w:pPr>
            <w:r w:rsidRPr="00C94C33">
              <w:rPr>
                <w:b/>
                <w:bCs/>
              </w:rPr>
              <w:t>Total</w:t>
            </w:r>
            <w:r w:rsidRPr="00C94C33">
              <w:rPr>
                <w:b/>
                <w:bCs/>
                <w:spacing w:val="-2"/>
              </w:rPr>
              <w:t xml:space="preserve"> </w:t>
            </w:r>
            <w:r w:rsidRPr="00C94C33">
              <w:rPr>
                <w:b/>
                <w:bCs/>
              </w:rPr>
              <w:t>for Safety Data Group 1</w:t>
            </w:r>
          </w:p>
        </w:tc>
        <w:tc>
          <w:tcPr>
            <w:tcW w:w="1532" w:type="dxa"/>
            <w:tcBorders>
              <w:top w:val="single" w:sz="6" w:space="0" w:color="000000"/>
              <w:left w:val="single" w:sz="6" w:space="0" w:color="000000"/>
              <w:bottom w:val="single" w:sz="6" w:space="0" w:color="000000"/>
              <w:right w:val="single" w:sz="6" w:space="0" w:color="000000"/>
            </w:tcBorders>
            <w:shd w:val="clear" w:color="auto" w:fill="auto"/>
          </w:tcPr>
          <w:p w14:paraId="4A05570A" w14:textId="77777777" w:rsidR="00DF61BC" w:rsidRPr="00C94C33" w:rsidRDefault="00DF61BC" w:rsidP="006263CF">
            <w:pPr>
              <w:pStyle w:val="Tabletext"/>
            </w:pPr>
            <w:r w:rsidRPr="00C94C33">
              <w:rPr>
                <w:b/>
                <w:bCs/>
              </w:rPr>
              <w:t>761</w:t>
            </w:r>
          </w:p>
        </w:tc>
        <w:tc>
          <w:tcPr>
            <w:tcW w:w="1457" w:type="dxa"/>
            <w:tcBorders>
              <w:top w:val="single" w:sz="6" w:space="0" w:color="000000"/>
              <w:left w:val="single" w:sz="6" w:space="0" w:color="000000"/>
              <w:bottom w:val="single" w:sz="6" w:space="0" w:color="000000"/>
              <w:right w:val="single" w:sz="6" w:space="0" w:color="000000"/>
            </w:tcBorders>
            <w:shd w:val="clear" w:color="auto" w:fill="auto"/>
          </w:tcPr>
          <w:p w14:paraId="49E8E7BC" w14:textId="77777777" w:rsidR="00DF61BC" w:rsidRPr="00C94C33" w:rsidRDefault="00DF61BC" w:rsidP="006263CF">
            <w:pPr>
              <w:pStyle w:val="Tabletext"/>
            </w:pPr>
            <w:r w:rsidRPr="00C94C33">
              <w:t>---</w:t>
            </w:r>
          </w:p>
        </w:tc>
      </w:tr>
    </w:tbl>
    <w:p w14:paraId="41C6477E" w14:textId="498EA433" w:rsidR="00DF61BC" w:rsidRPr="00996E3F" w:rsidRDefault="00DF61BC" w:rsidP="005E1A1C">
      <w:pPr>
        <w:pStyle w:val="TableDescription"/>
        <w:rPr>
          <w:sz w:val="18"/>
          <w:szCs w:val="18"/>
        </w:rPr>
      </w:pPr>
      <w:r w:rsidRPr="00996E3F">
        <w:rPr>
          <w:sz w:val="18"/>
          <w:szCs w:val="18"/>
        </w:rPr>
        <w:t>Safety Data Group 1 = Integrated TAS-102 studies investigating 35 mg/m2 BD monotherapy in patients with mCRC. Safety Data Group 2 = Integrated randomised placebo-controlled studies comparing TAS-102 35 mg/m</w:t>
      </w:r>
      <w:r w:rsidRPr="00996E3F">
        <w:rPr>
          <w:sz w:val="18"/>
          <w:szCs w:val="18"/>
          <w:vertAlign w:val="superscript"/>
        </w:rPr>
        <w:t>2</w:t>
      </w:r>
      <w:r w:rsidRPr="00996E3F">
        <w:rPr>
          <w:sz w:val="18"/>
          <w:szCs w:val="18"/>
        </w:rPr>
        <w:t xml:space="preserve"> with placebo.</w:t>
      </w:r>
      <w:r w:rsidR="00216FAA" w:rsidRPr="00996E3F">
        <w:rPr>
          <w:sz w:val="18"/>
          <w:szCs w:val="18"/>
        </w:rPr>
        <w:t xml:space="preserve"> </w:t>
      </w:r>
      <w:r w:rsidR="005E1A1C" w:rsidRPr="00996E3F">
        <w:rPr>
          <w:sz w:val="18"/>
          <w:szCs w:val="18"/>
        </w:rPr>
        <w:t xml:space="preserve">a. </w:t>
      </w:r>
      <w:r w:rsidRPr="00996E3F">
        <w:rPr>
          <w:sz w:val="18"/>
          <w:szCs w:val="18"/>
        </w:rPr>
        <w:t>EU, Japan, USA and Australia.</w:t>
      </w:r>
    </w:p>
    <w:p w14:paraId="6EB18FC0" w14:textId="67B4FE2B" w:rsidR="00BF565E" w:rsidRPr="00C94C33" w:rsidRDefault="00DF61BC" w:rsidP="00BF565E">
      <w:pPr>
        <w:pStyle w:val="Style1"/>
        <w:numPr>
          <w:ilvl w:val="0"/>
          <w:numId w:val="0"/>
        </w:numPr>
        <w:rPr>
          <w:rFonts w:eastAsia="TimesNewRoman"/>
        </w:rPr>
      </w:pPr>
      <w:r w:rsidRPr="00C94C33">
        <w:t xml:space="preserve">In addition, to Safety Data Groups 1 and 2, the ISS also included Safety Data Groups 3 and 4. Safety Data Group 3 </w:t>
      </w:r>
      <w:r w:rsidRPr="00C94C33">
        <w:rPr>
          <w:rFonts w:eastAsia="TimesNewRoman"/>
        </w:rPr>
        <w:t>included serious adverse events (non-integrated) from Safety Data Groups 1 and 2, in addition to the following sources at the SAE cut</w:t>
      </w:r>
      <w:r w:rsidR="00216FAA">
        <w:rPr>
          <w:rFonts w:eastAsia="TimesNewRoman"/>
        </w:rPr>
        <w:t xml:space="preserve"> </w:t>
      </w:r>
      <w:r w:rsidRPr="00C94C33">
        <w:rPr>
          <w:rFonts w:eastAsia="TimesNewRoman"/>
        </w:rPr>
        <w:t>off date of 24 July 2014 (cu</w:t>
      </w:r>
      <w:r w:rsidR="006263CF">
        <w:rPr>
          <w:rFonts w:eastAsia="TimesNewRoman"/>
        </w:rPr>
        <w:t>mulative data except as noted):</w:t>
      </w:r>
    </w:p>
    <w:p w14:paraId="2CE4B6EE" w14:textId="2C9B1F40" w:rsidR="00BF565E" w:rsidRPr="00C94C33" w:rsidRDefault="00DF61BC" w:rsidP="005E1A1C">
      <w:pPr>
        <w:pStyle w:val="ListBullet"/>
      </w:pPr>
      <w:r w:rsidRPr="00C94C33">
        <w:t>mCRC patients in Group 1 and 2 remaining on TAS-102 35 mg/m</w:t>
      </w:r>
      <w:r w:rsidRPr="00C94C33">
        <w:rPr>
          <w:vertAlign w:val="superscript"/>
        </w:rPr>
        <w:t>2</w:t>
      </w:r>
      <w:r w:rsidRPr="00C94C33">
        <w:t xml:space="preserve"> BD monotherapy as of study data cutoff dates (incremental data from these dates to 24 July 2014);</w:t>
      </w:r>
    </w:p>
    <w:p w14:paraId="5D4A9DCE" w14:textId="560AADA5" w:rsidR="00BF565E" w:rsidRPr="00C94C33" w:rsidRDefault="00BF565E" w:rsidP="005E1A1C">
      <w:pPr>
        <w:pStyle w:val="ListBullet"/>
      </w:pPr>
      <w:r w:rsidRPr="00C94C33">
        <w:lastRenderedPageBreak/>
        <w:t>p</w:t>
      </w:r>
      <w:r w:rsidR="00DF61BC" w:rsidRPr="00C94C33">
        <w:t>atients in Group 1 and 2 who had diagnoses other than CRC and/or who received treatment other than TAS-102 35 mg/m</w:t>
      </w:r>
      <w:r w:rsidR="00DF61BC" w:rsidRPr="00C94C33">
        <w:rPr>
          <w:vertAlign w:val="superscript"/>
        </w:rPr>
        <w:t>2</w:t>
      </w:r>
      <w:r w:rsidR="00DF61BC" w:rsidRPr="00C94C33">
        <w:t xml:space="preserve"> BD monotherapy; and</w:t>
      </w:r>
    </w:p>
    <w:p w14:paraId="1294BD68" w14:textId="72B47326" w:rsidR="00DF61BC" w:rsidRPr="00C94C33" w:rsidRDefault="00BF565E" w:rsidP="005E1A1C">
      <w:pPr>
        <w:pStyle w:val="ListBullet"/>
      </w:pPr>
      <w:r w:rsidRPr="00C94C33">
        <w:t>O</w:t>
      </w:r>
      <w:r w:rsidR="00DF61BC" w:rsidRPr="00C94C33">
        <w:t>ther non-integrated studies including completed studies in patients who had diagnoses other than CRC and/or who had received treatment other than TAS-102 35 mg/m</w:t>
      </w:r>
      <w:r w:rsidR="00DF61BC" w:rsidRPr="00C94C33">
        <w:rPr>
          <w:vertAlign w:val="superscript"/>
        </w:rPr>
        <w:t>2</w:t>
      </w:r>
      <w:r w:rsidR="00DF61BC" w:rsidRPr="00C94C33">
        <w:t xml:space="preserve"> BD monotherapy, ongoing studies for which a final report had not been </w:t>
      </w:r>
      <w:r w:rsidRPr="00C94C33">
        <w:t>generated</w:t>
      </w:r>
      <w:r w:rsidR="00DF61BC" w:rsidRPr="00C94C33">
        <w:t xml:space="preserve"> and investigator-initiated studies. Safety Data Group 4 included post-marketing safety data.</w:t>
      </w:r>
    </w:p>
    <w:p w14:paraId="6F3302E3" w14:textId="4E70C3AA" w:rsidR="00DF61BC" w:rsidRPr="00C94C33" w:rsidRDefault="00DF61BC" w:rsidP="005C2FCA">
      <w:pPr>
        <w:pStyle w:val="Comment"/>
      </w:pPr>
      <w:r w:rsidRPr="005C2FCA">
        <w:rPr>
          <w:b/>
        </w:rPr>
        <w:t>Comment:</w:t>
      </w:r>
      <w:r w:rsidR="00BF565E" w:rsidRPr="00C94C33">
        <w:t xml:space="preserve"> </w:t>
      </w:r>
      <w:r w:rsidR="00216FAA">
        <w:t xml:space="preserve"> </w:t>
      </w:r>
      <w:r w:rsidRPr="00C94C33">
        <w:t xml:space="preserve">The pivotal study </w:t>
      </w:r>
      <w:r w:rsidR="00A0007E" w:rsidRPr="00C94C33">
        <w:t>(</w:t>
      </w:r>
      <w:r w:rsidRPr="00C94C33">
        <w:t>RECOURSE</w:t>
      </w:r>
      <w:r w:rsidR="00A0007E" w:rsidRPr="00C94C33">
        <w:t>)</w:t>
      </w:r>
      <w:r w:rsidRPr="00C94C33">
        <w:t xml:space="preserve"> contributed the majority of data to Safety Data Groups 1 and 2. Consequently, the integrated safety data in Safety Data Groups 1 and 2 were consistent with the safety data from RECOURSE. Therefore, the evaluation of safety in this CER focuses on the randomised, placebo-controlled safety data from RECOURSE (TAS-102 </w:t>
      </w:r>
      <w:r w:rsidR="00A0007E" w:rsidRPr="00C94C33">
        <w:t>(</w:t>
      </w:r>
      <w:r w:rsidR="009C0389" w:rsidRPr="00C94C33">
        <w:t xml:space="preserve">n = </w:t>
      </w:r>
      <w:r w:rsidRPr="00C94C33">
        <w:t>533</w:t>
      </w:r>
      <w:r w:rsidR="00A0007E" w:rsidRPr="00C94C33">
        <w:t>)</w:t>
      </w:r>
      <w:r w:rsidRPr="00C94C33">
        <w:t xml:space="preserve">; placebo </w:t>
      </w:r>
      <w:r w:rsidR="00A0007E" w:rsidRPr="00C94C33">
        <w:t>(</w:t>
      </w:r>
      <w:r w:rsidR="009C0389" w:rsidRPr="00C94C33">
        <w:t xml:space="preserve">n = </w:t>
      </w:r>
      <w:r w:rsidRPr="00C94C33">
        <w:t>265</w:t>
      </w:r>
      <w:r w:rsidR="00A0007E" w:rsidRPr="00C94C33">
        <w:t>)</w:t>
      </w:r>
      <w:r w:rsidRPr="00C94C33">
        <w:t>). Comparison of the safety data from the TAS-102 and placebo groups from this multinational, multicentre, randomised, double-blind study provides for a relatively unbiased assessment of safety in the two treatment groups.</w:t>
      </w:r>
    </w:p>
    <w:p w14:paraId="1302C2F1" w14:textId="2587B5BA" w:rsidR="00DF61BC" w:rsidRPr="00C94C33" w:rsidRDefault="00DF61BC" w:rsidP="00955252">
      <w:pPr>
        <w:pStyle w:val="Heading3"/>
      </w:pPr>
      <w:bookmarkStart w:id="332" w:name="_Toc470948563"/>
      <w:bookmarkStart w:id="333" w:name="_Toc510016893"/>
      <w:r w:rsidRPr="00C94C33">
        <w:t xml:space="preserve">Pivotal Phase III Study </w:t>
      </w:r>
      <w:r w:rsidR="00A0007E" w:rsidRPr="00C94C33">
        <w:t>(</w:t>
      </w:r>
      <w:r w:rsidRPr="00C94C33">
        <w:t>RECOURSE</w:t>
      </w:r>
      <w:r w:rsidR="00A0007E" w:rsidRPr="00C94C33">
        <w:t>)</w:t>
      </w:r>
      <w:r w:rsidRPr="00C94C33">
        <w:t xml:space="preserve"> – Safety data</w:t>
      </w:r>
      <w:bookmarkEnd w:id="332"/>
      <w:bookmarkEnd w:id="333"/>
    </w:p>
    <w:p w14:paraId="6BFD506B" w14:textId="77777777" w:rsidR="00DF61BC" w:rsidRPr="00C94C33" w:rsidRDefault="00DF61BC" w:rsidP="00955252">
      <w:pPr>
        <w:pStyle w:val="Heading4"/>
      </w:pPr>
      <w:bookmarkStart w:id="334" w:name="_Toc470948564"/>
      <w:r w:rsidRPr="00C94C33">
        <w:t>Treatment duration and exposure</w:t>
      </w:r>
      <w:bookmarkEnd w:id="334"/>
    </w:p>
    <w:p w14:paraId="700313E7" w14:textId="731EF663" w:rsidR="00DF61BC" w:rsidRPr="00C94C33" w:rsidRDefault="00DF61BC" w:rsidP="00DF61BC">
      <w:pPr>
        <w:rPr>
          <w:rFonts w:eastAsia="TimesNewRoman"/>
        </w:rPr>
      </w:pPr>
      <w:r w:rsidRPr="00C94C33">
        <w:rPr>
          <w:rFonts w:eastAsia="TimesNewRoman"/>
        </w:rPr>
        <w:t>Of the 800 randomised patients, 798 received at least one dose of study medication (</w:t>
      </w:r>
      <w:r w:rsidR="009C0389" w:rsidRPr="00C94C33">
        <w:rPr>
          <w:rFonts w:eastAsia="TimesNewRoman"/>
        </w:rPr>
        <w:t xml:space="preserve">n = </w:t>
      </w:r>
      <w:r w:rsidRPr="00C94C33">
        <w:rPr>
          <w:rFonts w:eastAsia="TimesNewRoman"/>
        </w:rPr>
        <w:t>533 TAS-102</w:t>
      </w:r>
      <w:r w:rsidR="00A0007E" w:rsidRPr="00C94C33">
        <w:rPr>
          <w:rFonts w:eastAsia="TimesNewRoman"/>
        </w:rPr>
        <w:t>)</w:t>
      </w:r>
      <w:r w:rsidRPr="00C94C33">
        <w:rPr>
          <w:rFonts w:eastAsia="TimesNewRoman"/>
        </w:rPr>
        <w:t xml:space="preserve">; </w:t>
      </w:r>
      <w:r w:rsidR="009C0389" w:rsidRPr="00C94C33">
        <w:rPr>
          <w:rFonts w:eastAsia="TimesNewRoman"/>
        </w:rPr>
        <w:t xml:space="preserve">n = </w:t>
      </w:r>
      <w:r w:rsidRPr="00C94C33">
        <w:rPr>
          <w:rFonts w:eastAsia="TimesNewRoman"/>
        </w:rPr>
        <w:t xml:space="preserve">265 </w:t>
      </w:r>
      <w:r w:rsidR="00A0007E" w:rsidRPr="00C94C33">
        <w:rPr>
          <w:rFonts w:eastAsia="TimesNewRoman"/>
        </w:rPr>
        <w:t>(</w:t>
      </w:r>
      <w:r w:rsidRPr="00C94C33">
        <w:rPr>
          <w:rFonts w:eastAsia="TimesNewRoman"/>
        </w:rPr>
        <w:t>placebo</w:t>
      </w:r>
      <w:r w:rsidR="00A0007E" w:rsidRPr="00C94C33">
        <w:rPr>
          <w:rFonts w:eastAsia="TimesNewRoman"/>
        </w:rPr>
        <w:t>)</w:t>
      </w:r>
      <w:r w:rsidRPr="00C94C33">
        <w:rPr>
          <w:rFonts w:eastAsia="TimesNewRoman"/>
        </w:rPr>
        <w:t>) and were included in the as-treated (AT) population. All safety summaries in RECOURSE were performed in the AT population. As of the data cut-off date (31 January 2014), the mean duration of treatment was twice as long for patients receiving TAS-102 as for patients receiving placebo (12.65</w:t>
      </w:r>
      <w:r w:rsidR="00C11183">
        <w:rPr>
          <w:rFonts w:eastAsia="TimesNewRoman"/>
        </w:rPr>
        <w:t xml:space="preserve"> versus </w:t>
      </w:r>
      <w:r w:rsidRPr="00C94C33">
        <w:rPr>
          <w:rFonts w:eastAsia="TimesNewRoman"/>
        </w:rPr>
        <w:t>6.76 weeks, respectively), while the total time on treatment was almost 4 times longer in the TAS-102 group compared to the placebo group (6744</w:t>
      </w:r>
      <w:r w:rsidR="00C11183">
        <w:rPr>
          <w:rFonts w:eastAsia="TimesNewRoman"/>
        </w:rPr>
        <w:t xml:space="preserve"> versus </w:t>
      </w:r>
      <w:r w:rsidRPr="00C94C33">
        <w:rPr>
          <w:rFonts w:eastAsia="TimesNewRoman"/>
        </w:rPr>
        <w:t>1791 weeks, respectively). The exposure parameters are summarised below.</w:t>
      </w:r>
    </w:p>
    <w:p w14:paraId="411F68A6" w14:textId="43CBD31E" w:rsidR="00DF61BC" w:rsidRPr="00C94C33" w:rsidRDefault="00DF61BC" w:rsidP="0058475B">
      <w:pPr>
        <w:pStyle w:val="Tabletitle"/>
      </w:pPr>
      <w:bookmarkStart w:id="335" w:name="_Toc470948693"/>
      <w:r w:rsidRPr="00C94C33">
        <w:t>Table</w:t>
      </w:r>
      <w:r w:rsidR="005E1A1C" w:rsidRPr="00C94C33">
        <w:t xml:space="preserve"> 44</w:t>
      </w:r>
      <w:r w:rsidRPr="00C94C33">
        <w:t>: RECOURSE</w:t>
      </w:r>
      <w:r w:rsidR="00216FAA">
        <w:t xml:space="preserve">; </w:t>
      </w:r>
      <w:r w:rsidRPr="00C94C33">
        <w:t>Total weeks of exposure, AT population</w:t>
      </w:r>
      <w:bookmarkEnd w:id="335"/>
    </w:p>
    <w:tbl>
      <w:tblPr>
        <w:tblW w:w="9249" w:type="dxa"/>
        <w:tblInd w:w="112" w:type="dxa"/>
        <w:tblLayout w:type="fixed"/>
        <w:tblCellMar>
          <w:left w:w="0" w:type="dxa"/>
          <w:right w:w="0" w:type="dxa"/>
        </w:tblCellMar>
        <w:tblLook w:val="0000" w:firstRow="0" w:lastRow="0" w:firstColumn="0" w:lastColumn="0" w:noHBand="0" w:noVBand="0"/>
      </w:tblPr>
      <w:tblGrid>
        <w:gridCol w:w="3721"/>
        <w:gridCol w:w="2693"/>
        <w:gridCol w:w="2835"/>
      </w:tblGrid>
      <w:tr w:rsidR="00DF61BC" w:rsidRPr="00C94C33" w14:paraId="4191D5CF" w14:textId="77777777" w:rsidTr="006263CF">
        <w:trPr>
          <w:trHeight w:hRule="exact" w:val="653"/>
          <w:tblHeader/>
        </w:trPr>
        <w:tc>
          <w:tcPr>
            <w:tcW w:w="3721" w:type="dxa"/>
            <w:tcBorders>
              <w:top w:val="single" w:sz="6" w:space="0" w:color="000000"/>
              <w:left w:val="single" w:sz="4" w:space="0" w:color="auto"/>
              <w:bottom w:val="single" w:sz="6" w:space="0" w:color="000000"/>
              <w:right w:val="single" w:sz="4" w:space="0" w:color="auto"/>
            </w:tcBorders>
            <w:shd w:val="clear" w:color="auto" w:fill="auto"/>
          </w:tcPr>
          <w:p w14:paraId="6CFE7926" w14:textId="7CC39972" w:rsidR="00DF61BC" w:rsidRPr="005C2FCA" w:rsidRDefault="00DF61BC" w:rsidP="006263CF">
            <w:pPr>
              <w:pStyle w:val="TableHeading"/>
              <w:jc w:val="center"/>
            </w:pPr>
            <w:bookmarkStart w:id="336" w:name="Table_5:_Treatment_Duration_and_Exposure"/>
            <w:bookmarkStart w:id="337" w:name="5.1.2._Adverse_Events"/>
            <w:bookmarkStart w:id="338" w:name="Table_6:_Overview_of_Adverse_Events:_Stu"/>
            <w:bookmarkEnd w:id="336"/>
            <w:bookmarkEnd w:id="337"/>
            <w:bookmarkEnd w:id="338"/>
            <w:r w:rsidRPr="005C2FCA">
              <w:t>Parameter</w:t>
            </w:r>
          </w:p>
        </w:tc>
        <w:tc>
          <w:tcPr>
            <w:tcW w:w="2693" w:type="dxa"/>
            <w:tcBorders>
              <w:top w:val="single" w:sz="6" w:space="0" w:color="000000"/>
              <w:left w:val="single" w:sz="4" w:space="0" w:color="auto"/>
              <w:bottom w:val="single" w:sz="6" w:space="0" w:color="000000"/>
              <w:right w:val="single" w:sz="4" w:space="0" w:color="auto"/>
            </w:tcBorders>
            <w:shd w:val="clear" w:color="auto" w:fill="auto"/>
          </w:tcPr>
          <w:p w14:paraId="797AA6A1" w14:textId="7D6EF325" w:rsidR="00DF61BC" w:rsidRPr="005C2FCA" w:rsidRDefault="00DF61BC" w:rsidP="006263CF">
            <w:pPr>
              <w:pStyle w:val="TableHeading"/>
              <w:jc w:val="center"/>
            </w:pPr>
            <w:r w:rsidRPr="005C2FCA">
              <w:t>TAS-102</w:t>
            </w:r>
            <w:r w:rsidR="005E1A1C" w:rsidRPr="005C2FCA">
              <w:t xml:space="preserve"> </w:t>
            </w:r>
            <w:r w:rsidRPr="005C2FCA">
              <w:t>(</w:t>
            </w:r>
            <w:r w:rsidR="009C0389" w:rsidRPr="005C2FCA">
              <w:t xml:space="preserve">N = </w:t>
            </w:r>
            <w:r w:rsidRPr="005C2FCA">
              <w:t>533)</w:t>
            </w:r>
          </w:p>
        </w:tc>
        <w:tc>
          <w:tcPr>
            <w:tcW w:w="2835" w:type="dxa"/>
            <w:tcBorders>
              <w:top w:val="single" w:sz="6" w:space="0" w:color="000000"/>
              <w:left w:val="single" w:sz="4" w:space="0" w:color="auto"/>
              <w:bottom w:val="single" w:sz="6" w:space="0" w:color="000000"/>
              <w:right w:val="single" w:sz="4" w:space="0" w:color="auto"/>
            </w:tcBorders>
            <w:shd w:val="clear" w:color="auto" w:fill="auto"/>
          </w:tcPr>
          <w:p w14:paraId="71576A31" w14:textId="2472DD10" w:rsidR="00DF61BC" w:rsidRPr="005C2FCA" w:rsidRDefault="00DF61BC" w:rsidP="006263CF">
            <w:pPr>
              <w:pStyle w:val="TableHeading"/>
              <w:jc w:val="center"/>
            </w:pPr>
            <w:r w:rsidRPr="005C2FCA">
              <w:t>Placebo (</w:t>
            </w:r>
            <w:r w:rsidR="009C0389" w:rsidRPr="005C2FCA">
              <w:t xml:space="preserve">N = </w:t>
            </w:r>
            <w:r w:rsidRPr="005C2FCA">
              <w:t>265)</w:t>
            </w:r>
          </w:p>
        </w:tc>
      </w:tr>
      <w:tr w:rsidR="00DF61BC" w:rsidRPr="00C94C33" w14:paraId="3FDAE40E" w14:textId="77777777" w:rsidTr="006263CF">
        <w:trPr>
          <w:trHeight w:val="20"/>
        </w:trPr>
        <w:tc>
          <w:tcPr>
            <w:tcW w:w="3721" w:type="dxa"/>
            <w:tcBorders>
              <w:top w:val="single" w:sz="6" w:space="0" w:color="000000"/>
              <w:left w:val="single" w:sz="4" w:space="0" w:color="auto"/>
              <w:right w:val="single" w:sz="4" w:space="0" w:color="auto"/>
            </w:tcBorders>
            <w:shd w:val="clear" w:color="auto" w:fill="auto"/>
          </w:tcPr>
          <w:p w14:paraId="12C4315B" w14:textId="77777777" w:rsidR="00DF61BC" w:rsidRPr="006263CF" w:rsidRDefault="00DF61BC" w:rsidP="006263CF">
            <w:pPr>
              <w:pStyle w:val="Tabletext"/>
              <w:rPr>
                <w:b/>
              </w:rPr>
            </w:pPr>
            <w:r w:rsidRPr="006263CF">
              <w:rPr>
                <w:b/>
              </w:rPr>
              <w:t>Total</w:t>
            </w:r>
            <w:r w:rsidRPr="006263CF">
              <w:rPr>
                <w:b/>
                <w:spacing w:val="-7"/>
              </w:rPr>
              <w:t xml:space="preserve"> </w:t>
            </w:r>
            <w:r w:rsidRPr="006263CF">
              <w:rPr>
                <w:b/>
                <w:spacing w:val="-1"/>
              </w:rPr>
              <w:t>number</w:t>
            </w:r>
            <w:r w:rsidRPr="006263CF">
              <w:rPr>
                <w:b/>
                <w:spacing w:val="-5"/>
              </w:rPr>
              <w:t xml:space="preserve"> </w:t>
            </w:r>
            <w:r w:rsidRPr="006263CF">
              <w:rPr>
                <w:b/>
              </w:rPr>
              <w:t>of</w:t>
            </w:r>
            <w:r w:rsidRPr="006263CF">
              <w:rPr>
                <w:b/>
                <w:spacing w:val="-6"/>
              </w:rPr>
              <w:t xml:space="preserve"> </w:t>
            </w:r>
            <w:r w:rsidRPr="006263CF">
              <w:rPr>
                <w:b/>
                <w:spacing w:val="-1"/>
              </w:rPr>
              <w:t>weeks</w:t>
            </w:r>
            <w:r w:rsidRPr="006263CF">
              <w:rPr>
                <w:b/>
                <w:spacing w:val="-6"/>
              </w:rPr>
              <w:t xml:space="preserve"> </w:t>
            </w:r>
            <w:r w:rsidRPr="006263CF">
              <w:rPr>
                <w:b/>
              </w:rPr>
              <w:t>of</w:t>
            </w:r>
            <w:r w:rsidRPr="006263CF">
              <w:rPr>
                <w:b/>
                <w:spacing w:val="-6"/>
              </w:rPr>
              <w:t xml:space="preserve"> </w:t>
            </w:r>
            <w:r w:rsidRPr="006263CF">
              <w:rPr>
                <w:b/>
              </w:rPr>
              <w:t>exposure</w:t>
            </w:r>
          </w:p>
        </w:tc>
        <w:tc>
          <w:tcPr>
            <w:tcW w:w="2693" w:type="dxa"/>
            <w:tcBorders>
              <w:top w:val="single" w:sz="6" w:space="0" w:color="000000"/>
              <w:left w:val="single" w:sz="4" w:space="0" w:color="auto"/>
              <w:right w:val="single" w:sz="4" w:space="0" w:color="auto"/>
            </w:tcBorders>
            <w:shd w:val="clear" w:color="auto" w:fill="auto"/>
          </w:tcPr>
          <w:p w14:paraId="0BA62AA8" w14:textId="77777777" w:rsidR="00DF61BC" w:rsidRPr="00C94C33" w:rsidRDefault="00DF61BC" w:rsidP="006263CF">
            <w:pPr>
              <w:pStyle w:val="Tabletext"/>
              <w:jc w:val="center"/>
            </w:pPr>
            <w:r w:rsidRPr="00C94C33">
              <w:t>6743.6</w:t>
            </w:r>
          </w:p>
        </w:tc>
        <w:tc>
          <w:tcPr>
            <w:tcW w:w="2835" w:type="dxa"/>
            <w:tcBorders>
              <w:top w:val="single" w:sz="6" w:space="0" w:color="000000"/>
              <w:left w:val="single" w:sz="4" w:space="0" w:color="auto"/>
              <w:right w:val="single" w:sz="4" w:space="0" w:color="auto"/>
            </w:tcBorders>
            <w:shd w:val="clear" w:color="auto" w:fill="auto"/>
          </w:tcPr>
          <w:p w14:paraId="00BF2429" w14:textId="77777777" w:rsidR="00DF61BC" w:rsidRPr="00C94C33" w:rsidRDefault="00DF61BC" w:rsidP="006263CF">
            <w:pPr>
              <w:pStyle w:val="Tabletext"/>
              <w:jc w:val="center"/>
            </w:pPr>
            <w:r w:rsidRPr="00C94C33">
              <w:t>1791.4</w:t>
            </w:r>
          </w:p>
        </w:tc>
      </w:tr>
      <w:tr w:rsidR="00DF61BC" w:rsidRPr="00C94C33" w14:paraId="02E168B9" w14:textId="77777777" w:rsidTr="006263CF">
        <w:trPr>
          <w:trHeight w:val="20"/>
        </w:trPr>
        <w:tc>
          <w:tcPr>
            <w:tcW w:w="3721" w:type="dxa"/>
            <w:tcBorders>
              <w:left w:val="single" w:sz="4" w:space="0" w:color="auto"/>
              <w:bottom w:val="nil"/>
              <w:right w:val="single" w:sz="4" w:space="0" w:color="auto"/>
            </w:tcBorders>
            <w:shd w:val="clear" w:color="auto" w:fill="auto"/>
          </w:tcPr>
          <w:p w14:paraId="4B6BB88A" w14:textId="77777777" w:rsidR="00DF61BC" w:rsidRPr="00C94C33" w:rsidRDefault="00DF61BC" w:rsidP="006263CF">
            <w:pPr>
              <w:pStyle w:val="Tabletext"/>
            </w:pPr>
            <w:r w:rsidRPr="00C94C33">
              <w:t>Mean</w:t>
            </w:r>
            <w:r w:rsidRPr="00C94C33">
              <w:rPr>
                <w:spacing w:val="-10"/>
              </w:rPr>
              <w:t xml:space="preserve"> </w:t>
            </w:r>
            <w:r w:rsidRPr="00C94C33">
              <w:t>(SD)</w:t>
            </w:r>
          </w:p>
        </w:tc>
        <w:tc>
          <w:tcPr>
            <w:tcW w:w="2693" w:type="dxa"/>
            <w:tcBorders>
              <w:left w:val="single" w:sz="4" w:space="0" w:color="auto"/>
              <w:bottom w:val="nil"/>
              <w:right w:val="single" w:sz="4" w:space="0" w:color="auto"/>
            </w:tcBorders>
            <w:shd w:val="clear" w:color="auto" w:fill="auto"/>
          </w:tcPr>
          <w:p w14:paraId="7E936810" w14:textId="77777777" w:rsidR="00DF61BC" w:rsidRPr="00C94C33" w:rsidRDefault="00DF61BC" w:rsidP="006263CF">
            <w:pPr>
              <w:pStyle w:val="Tabletext"/>
              <w:jc w:val="center"/>
            </w:pPr>
            <w:r w:rsidRPr="00C94C33">
              <w:t>12.65</w:t>
            </w:r>
            <w:r w:rsidRPr="00C94C33">
              <w:rPr>
                <w:spacing w:val="-13"/>
              </w:rPr>
              <w:t xml:space="preserve"> </w:t>
            </w:r>
            <w:r w:rsidRPr="00C94C33">
              <w:rPr>
                <w:spacing w:val="-1"/>
              </w:rPr>
              <w:t>(11.965)</w:t>
            </w:r>
          </w:p>
        </w:tc>
        <w:tc>
          <w:tcPr>
            <w:tcW w:w="2835" w:type="dxa"/>
            <w:tcBorders>
              <w:left w:val="single" w:sz="4" w:space="0" w:color="auto"/>
              <w:bottom w:val="nil"/>
              <w:right w:val="single" w:sz="4" w:space="0" w:color="auto"/>
            </w:tcBorders>
            <w:shd w:val="clear" w:color="auto" w:fill="auto"/>
          </w:tcPr>
          <w:p w14:paraId="780C1729" w14:textId="77777777" w:rsidR="00DF61BC" w:rsidRPr="00C94C33" w:rsidRDefault="00DF61BC" w:rsidP="006263CF">
            <w:pPr>
              <w:pStyle w:val="Tabletext"/>
              <w:jc w:val="center"/>
            </w:pPr>
            <w:r w:rsidRPr="00C94C33">
              <w:t>6.76</w:t>
            </w:r>
            <w:r w:rsidRPr="00C94C33">
              <w:rPr>
                <w:spacing w:val="-11"/>
              </w:rPr>
              <w:t xml:space="preserve"> </w:t>
            </w:r>
            <w:r w:rsidRPr="00C94C33">
              <w:t>(6.117)</w:t>
            </w:r>
          </w:p>
        </w:tc>
      </w:tr>
      <w:tr w:rsidR="00DF61BC" w:rsidRPr="00C94C33" w14:paraId="0F503F7C" w14:textId="77777777" w:rsidTr="006263CF">
        <w:trPr>
          <w:trHeight w:val="20"/>
        </w:trPr>
        <w:tc>
          <w:tcPr>
            <w:tcW w:w="3721" w:type="dxa"/>
            <w:tcBorders>
              <w:left w:val="single" w:sz="4" w:space="0" w:color="auto"/>
              <w:bottom w:val="single" w:sz="6" w:space="0" w:color="000000"/>
              <w:right w:val="single" w:sz="4" w:space="0" w:color="auto"/>
            </w:tcBorders>
            <w:shd w:val="clear" w:color="auto" w:fill="auto"/>
          </w:tcPr>
          <w:p w14:paraId="1C7B392E" w14:textId="77777777" w:rsidR="00DF61BC" w:rsidRPr="00C94C33" w:rsidRDefault="00DF61BC" w:rsidP="006263CF">
            <w:pPr>
              <w:pStyle w:val="Tabletext"/>
            </w:pPr>
            <w:r w:rsidRPr="00C94C33">
              <w:t>Median (Min, Max)</w:t>
            </w:r>
          </w:p>
        </w:tc>
        <w:tc>
          <w:tcPr>
            <w:tcW w:w="2693" w:type="dxa"/>
            <w:tcBorders>
              <w:left w:val="single" w:sz="4" w:space="0" w:color="auto"/>
              <w:bottom w:val="single" w:sz="6" w:space="0" w:color="000000"/>
              <w:right w:val="single" w:sz="4" w:space="0" w:color="auto"/>
            </w:tcBorders>
            <w:shd w:val="clear" w:color="auto" w:fill="auto"/>
          </w:tcPr>
          <w:p w14:paraId="3E4D677D" w14:textId="77777777" w:rsidR="00DF61BC" w:rsidRPr="00C94C33" w:rsidRDefault="00DF61BC" w:rsidP="006263CF">
            <w:pPr>
              <w:pStyle w:val="Tabletext"/>
              <w:jc w:val="center"/>
            </w:pPr>
            <w:r w:rsidRPr="00C94C33">
              <w:t>6.71 (0.1, 1.78)</w:t>
            </w:r>
          </w:p>
        </w:tc>
        <w:tc>
          <w:tcPr>
            <w:tcW w:w="2835" w:type="dxa"/>
            <w:tcBorders>
              <w:left w:val="single" w:sz="4" w:space="0" w:color="auto"/>
              <w:bottom w:val="single" w:sz="6" w:space="0" w:color="000000"/>
              <w:right w:val="single" w:sz="4" w:space="0" w:color="auto"/>
            </w:tcBorders>
            <w:shd w:val="clear" w:color="auto" w:fill="auto"/>
          </w:tcPr>
          <w:p w14:paraId="3A8805B8" w14:textId="77777777" w:rsidR="00DF61BC" w:rsidRPr="00C94C33" w:rsidRDefault="00DF61BC" w:rsidP="006263CF">
            <w:pPr>
              <w:pStyle w:val="Tabletext"/>
              <w:jc w:val="center"/>
            </w:pPr>
            <w:r w:rsidRPr="00C94C33">
              <w:t>5.71 (0.1, 63.7)</w:t>
            </w:r>
          </w:p>
        </w:tc>
      </w:tr>
    </w:tbl>
    <w:p w14:paraId="14A03125" w14:textId="2DD6703B" w:rsidR="00DF61BC" w:rsidRPr="00C94C33" w:rsidRDefault="00DF61BC" w:rsidP="00DF61BC">
      <w:pPr>
        <w:autoSpaceDE w:val="0"/>
        <w:autoSpaceDN w:val="0"/>
        <w:adjustRightInd w:val="0"/>
        <w:rPr>
          <w:rFonts w:asciiTheme="minorHAnsi" w:hAnsiTheme="minorHAnsi"/>
          <w:color w:val="000000"/>
        </w:rPr>
      </w:pPr>
      <w:r w:rsidRPr="00C94C33">
        <w:rPr>
          <w:rFonts w:asciiTheme="minorHAnsi" w:hAnsiTheme="minorHAnsi"/>
          <w:color w:val="000000"/>
        </w:rPr>
        <w:t>In the TAS-102 group, 87.4% (</w:t>
      </w:r>
      <w:r w:rsidR="009C0389" w:rsidRPr="00C94C33">
        <w:rPr>
          <w:rFonts w:asciiTheme="minorHAnsi" w:hAnsiTheme="minorHAnsi"/>
          <w:color w:val="000000"/>
        </w:rPr>
        <w:t xml:space="preserve">n = </w:t>
      </w:r>
      <w:r w:rsidRPr="00C94C33">
        <w:rPr>
          <w:rFonts w:asciiTheme="minorHAnsi" w:hAnsiTheme="minorHAnsi"/>
          <w:color w:val="000000"/>
        </w:rPr>
        <w:t>466) of patients initiated at least 2 cycles of treatment, and 43.3% (</w:t>
      </w:r>
      <w:r w:rsidR="009C0389" w:rsidRPr="00C94C33">
        <w:rPr>
          <w:rFonts w:asciiTheme="minorHAnsi" w:hAnsiTheme="minorHAnsi"/>
          <w:color w:val="000000"/>
        </w:rPr>
        <w:t xml:space="preserve">n = </w:t>
      </w:r>
      <w:r w:rsidRPr="00C94C33">
        <w:rPr>
          <w:rFonts w:asciiTheme="minorHAnsi" w:hAnsiTheme="minorHAnsi"/>
          <w:color w:val="000000"/>
        </w:rPr>
        <w:t>231) initiated Cycle 3 (following first 8-week tumour assessment per protocol). In the placebo group, 81.1% (</w:t>
      </w:r>
      <w:r w:rsidR="009C0389" w:rsidRPr="00C94C33">
        <w:rPr>
          <w:rFonts w:asciiTheme="minorHAnsi" w:hAnsiTheme="minorHAnsi"/>
          <w:color w:val="000000"/>
        </w:rPr>
        <w:t xml:space="preserve">n = </w:t>
      </w:r>
      <w:r w:rsidRPr="00C94C33">
        <w:rPr>
          <w:rFonts w:asciiTheme="minorHAnsi" w:hAnsiTheme="minorHAnsi"/>
          <w:color w:val="000000"/>
        </w:rPr>
        <w:t>215) of patients initiated at least 2 cycles of treatment, while 18.1% (</w:t>
      </w:r>
      <w:r w:rsidR="00216FAA">
        <w:rPr>
          <w:rFonts w:asciiTheme="minorHAnsi" w:hAnsiTheme="minorHAnsi"/>
          <w:color w:val="000000"/>
        </w:rPr>
        <w:t>n </w:t>
      </w:r>
      <w:r w:rsidR="009C0389" w:rsidRPr="00C94C33">
        <w:rPr>
          <w:rFonts w:asciiTheme="minorHAnsi" w:hAnsiTheme="minorHAnsi"/>
          <w:color w:val="000000"/>
        </w:rPr>
        <w:t>=</w:t>
      </w:r>
      <w:r w:rsidR="00216FAA">
        <w:rPr>
          <w:rFonts w:asciiTheme="minorHAnsi" w:hAnsiTheme="minorHAnsi"/>
          <w:color w:val="000000"/>
        </w:rPr>
        <w:t> </w:t>
      </w:r>
      <w:r w:rsidRPr="00C94C33">
        <w:rPr>
          <w:rFonts w:asciiTheme="minorHAnsi" w:hAnsiTheme="minorHAnsi"/>
          <w:color w:val="000000"/>
        </w:rPr>
        <w:t>48) initiated Cycle 3. In the TAS-102 group, 22% (</w:t>
      </w:r>
      <w:r w:rsidR="009C0389" w:rsidRPr="00C94C33">
        <w:rPr>
          <w:rFonts w:asciiTheme="minorHAnsi" w:hAnsiTheme="minorHAnsi"/>
          <w:color w:val="000000"/>
        </w:rPr>
        <w:t xml:space="preserve">n = </w:t>
      </w:r>
      <w:r w:rsidRPr="00C94C33">
        <w:rPr>
          <w:rFonts w:asciiTheme="minorHAnsi" w:hAnsiTheme="minorHAnsi"/>
          <w:color w:val="000000"/>
        </w:rPr>
        <w:t xml:space="preserve">117) of patients initiated &gt; 4 cycles of treatment compared to 4.5%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12</w:t>
      </w:r>
      <w:r w:rsidR="00A0007E" w:rsidRPr="00C94C33">
        <w:rPr>
          <w:rFonts w:asciiTheme="minorHAnsi" w:hAnsiTheme="minorHAnsi"/>
          <w:color w:val="000000"/>
        </w:rPr>
        <w:t>)</w:t>
      </w:r>
      <w:r w:rsidRPr="00C94C33">
        <w:rPr>
          <w:rFonts w:asciiTheme="minorHAnsi" w:hAnsiTheme="minorHAnsi"/>
          <w:color w:val="000000"/>
        </w:rPr>
        <w:t xml:space="preserve"> of patients in the placebo group. The total number of cycles initiated in the TAS-102 group was 3-times higher than in the placebo group (1828</w:t>
      </w:r>
      <w:r w:rsidR="00C11183">
        <w:rPr>
          <w:rFonts w:asciiTheme="minorHAnsi" w:hAnsiTheme="minorHAnsi"/>
          <w:color w:val="000000"/>
        </w:rPr>
        <w:t xml:space="preserve"> versus </w:t>
      </w:r>
      <w:r w:rsidRPr="00C94C33">
        <w:rPr>
          <w:rFonts w:asciiTheme="minorHAnsi" w:hAnsiTheme="minorHAnsi"/>
          <w:color w:val="000000"/>
        </w:rPr>
        <w:t>598, respectively), and the mean (SD) number of cycles initiated was 3.4 (2.56) in the TAS-102 group and 2.3 (1.49) in the placebo group.</w:t>
      </w:r>
    </w:p>
    <w:p w14:paraId="221AE736" w14:textId="77777777" w:rsidR="00AA7141" w:rsidRDefault="00DF61BC" w:rsidP="00DF61BC">
      <w:pPr>
        <w:rPr>
          <w:rFonts w:asciiTheme="minorHAnsi" w:hAnsiTheme="minorHAnsi"/>
        </w:rPr>
      </w:pPr>
      <w:r w:rsidRPr="00C94C33">
        <w:rPr>
          <w:rFonts w:asciiTheme="minorHAnsi" w:hAnsiTheme="minorHAnsi"/>
        </w:rPr>
        <w:t>In the TAS-102 group, the were 1784 completed cycles, with the mean ± SD number of completed cycles being 3.4 ± 2.58 and the median number being 2.0 (range: 1, 18). In the placebo group, there were 580 completed cycles, with the mean ± SD number of completed cycles being 2.2 ± 1.51 and the median number being 2.0 (range: 1, 16). The number of patients in the TAS-102 and placebo groups, respectively, completing 1 cycle were 526 (98.7%) and 261 (98.5%), completing 2 cycles were 451 (84.6%) and 206 (77.7%), completing 3 cycles were 220 (41.3%) and 44 (16.6%), completing 4 cycles were 184 (34.5%) and 30 (11.3%), and completing &gt; 4 cycles were 117 (22.0%) and 12 (4.5%).</w:t>
      </w:r>
    </w:p>
    <w:p w14:paraId="2D53ACE3" w14:textId="686FBFB8" w:rsidR="00DF61BC" w:rsidRPr="00C94C33" w:rsidRDefault="00DF61BC" w:rsidP="005C2FCA">
      <w:pPr>
        <w:pStyle w:val="Comment"/>
      </w:pPr>
      <w:r w:rsidRPr="005C2FCA">
        <w:rPr>
          <w:b/>
        </w:rPr>
        <w:t>Comment:</w:t>
      </w:r>
      <w:r w:rsidR="00BF565E" w:rsidRPr="00C94C33">
        <w:t xml:space="preserve"> </w:t>
      </w:r>
      <w:r w:rsidR="00216FAA">
        <w:t xml:space="preserve"> </w:t>
      </w:r>
      <w:r w:rsidRPr="00C94C33">
        <w:t>The total number of weeks of exposure was approximately 4-fold longer in the TAS-102 group than in the placebo group (6743</w:t>
      </w:r>
      <w:r w:rsidR="00C11183">
        <w:t xml:space="preserve"> versus </w:t>
      </w:r>
      <w:r w:rsidRPr="00C94C33">
        <w:t xml:space="preserve">1791 weeks respectively). No safety </w:t>
      </w:r>
      <w:r w:rsidRPr="00C94C33">
        <w:lastRenderedPageBreak/>
        <w:t xml:space="preserve">data could be identified in the study report comparing safety outcomes in the two treatment groups adjusted for duration of exposure.  The notably longer period of exposure in the TAS-102 group compared to the placebo group should be taken into account when comparing the AE data between the </w:t>
      </w:r>
      <w:r w:rsidR="00216FAA">
        <w:t>2</w:t>
      </w:r>
      <w:r w:rsidR="00216FAA" w:rsidRPr="00C94C33">
        <w:t xml:space="preserve"> </w:t>
      </w:r>
      <w:r w:rsidRPr="00C94C33">
        <w:t>treatment groups.</w:t>
      </w:r>
    </w:p>
    <w:p w14:paraId="7E1C446C" w14:textId="62536EF2" w:rsidR="00DF61BC" w:rsidRPr="00C94C33" w:rsidRDefault="00DF61BC" w:rsidP="00955252">
      <w:pPr>
        <w:pStyle w:val="Heading4"/>
      </w:pPr>
      <w:bookmarkStart w:id="339" w:name="_Toc470948565"/>
      <w:r w:rsidRPr="00C94C33">
        <w:t>Dose administered</w:t>
      </w:r>
      <w:bookmarkEnd w:id="339"/>
    </w:p>
    <w:p w14:paraId="1D79D9C6" w14:textId="23BC1FEB" w:rsidR="00DF61BC" w:rsidRPr="00C94C33" w:rsidRDefault="00DF61BC" w:rsidP="00DF61BC">
      <w:pPr>
        <w:rPr>
          <w:rFonts w:asciiTheme="minorHAnsi" w:eastAsia="TimesNewRoman" w:hAnsiTheme="minorHAnsi"/>
        </w:rPr>
      </w:pPr>
      <w:r w:rsidRPr="00C94C33">
        <w:rPr>
          <w:rFonts w:asciiTheme="minorHAnsi" w:hAnsiTheme="minorHAnsi"/>
        </w:rPr>
        <w:t>The mean total dose administered was higher in the TAS-102 group than in the placebo group (2251</w:t>
      </w:r>
      <w:r w:rsidR="00C11183">
        <w:rPr>
          <w:rFonts w:asciiTheme="minorHAnsi" w:hAnsiTheme="minorHAnsi"/>
        </w:rPr>
        <w:t xml:space="preserve"> versus </w:t>
      </w:r>
      <w:r w:rsidRPr="00C94C33">
        <w:rPr>
          <w:rFonts w:asciiTheme="minorHAnsi" w:hAnsiTheme="minorHAnsi"/>
        </w:rPr>
        <w:t>1507 mg/m</w:t>
      </w:r>
      <w:r w:rsidRPr="00C94C33">
        <w:rPr>
          <w:rFonts w:asciiTheme="minorHAnsi" w:hAnsiTheme="minorHAnsi"/>
          <w:vertAlign w:val="superscript"/>
        </w:rPr>
        <w:t>2</w:t>
      </w:r>
      <w:r w:rsidRPr="00C94C33">
        <w:rPr>
          <w:rFonts w:asciiTheme="minorHAnsi" w:hAnsiTheme="minorHAnsi"/>
        </w:rPr>
        <w:t xml:space="preserve">, respectively), which was consistent with the greater number of treatment completed cycles in the TAS-102 group compared to the placebo group. </w:t>
      </w:r>
      <w:r w:rsidRPr="00C94C33">
        <w:rPr>
          <w:rFonts w:asciiTheme="minorHAnsi" w:eastAsia="TimesNewRoman" w:hAnsiTheme="minorHAnsi"/>
        </w:rPr>
        <w:t>The mean relative dose intensity per cycle in both the TAS-102 and placebo groups indicates high compliance with the dosing schedule in both groups (0.886</w:t>
      </w:r>
      <w:r w:rsidR="00C11183">
        <w:rPr>
          <w:rFonts w:asciiTheme="minorHAnsi" w:eastAsia="TimesNewRoman" w:hAnsiTheme="minorHAnsi"/>
        </w:rPr>
        <w:t xml:space="preserve"> versus </w:t>
      </w:r>
      <w:r w:rsidRPr="00C94C33">
        <w:rPr>
          <w:rFonts w:asciiTheme="minorHAnsi" w:eastAsia="TimesNewRoman" w:hAnsiTheme="minorHAnsi"/>
        </w:rPr>
        <w:t xml:space="preserve">0.944, respectively). </w:t>
      </w:r>
      <w:r w:rsidRPr="00C94C33">
        <w:rPr>
          <w:rFonts w:asciiTheme="minorHAnsi" w:hAnsiTheme="minorHAnsi"/>
        </w:rPr>
        <w:t xml:space="preserve">Across all cycles, 94.4% (503/533) of patients in the TAS-102 group and 93.6% (248/265) of patients in the placebo group received </w:t>
      </w:r>
      <w:r w:rsidRPr="00C94C33">
        <w:rPr>
          <w:rFonts w:asciiTheme="minorHAnsi" w:hAnsiTheme="minorHAnsi" w:cs="TimesNewRomanPSMT"/>
        </w:rPr>
        <w:t xml:space="preserve">≥ </w:t>
      </w:r>
      <w:r w:rsidRPr="00C94C33">
        <w:rPr>
          <w:rFonts w:asciiTheme="minorHAnsi" w:hAnsiTheme="minorHAnsi"/>
        </w:rPr>
        <w:t>80% of their target cycle dose</w:t>
      </w:r>
      <w:r w:rsidRPr="00C94C33">
        <w:rPr>
          <w:rFonts w:asciiTheme="minorHAnsi" w:eastAsia="TimesNewRoman" w:hAnsiTheme="minorHAnsi"/>
        </w:rPr>
        <w:t>.</w:t>
      </w:r>
    </w:p>
    <w:p w14:paraId="66A44231" w14:textId="1B9F05D9" w:rsidR="00DF61BC" w:rsidRPr="00C94C33" w:rsidRDefault="00DF61BC" w:rsidP="0058475B">
      <w:pPr>
        <w:pStyle w:val="Tabletitle"/>
      </w:pPr>
      <w:bookmarkStart w:id="340" w:name="_Toc470948694"/>
      <w:r w:rsidRPr="00C94C33">
        <w:t>Table</w:t>
      </w:r>
      <w:r w:rsidR="00AF4AFA" w:rsidRPr="00C94C33">
        <w:t xml:space="preserve"> 45</w:t>
      </w:r>
      <w:r w:rsidRPr="00C94C33">
        <w:t>: RECOURSE</w:t>
      </w:r>
      <w:r w:rsidR="00216FAA">
        <w:t xml:space="preserve">; </w:t>
      </w:r>
      <w:r w:rsidRPr="00C94C33">
        <w:t>Cumulative dose and dose intensity, AT population</w:t>
      </w:r>
      <w:bookmarkEnd w:id="340"/>
    </w:p>
    <w:tbl>
      <w:tblPr>
        <w:tblW w:w="9576" w:type="dxa"/>
        <w:tblInd w:w="112" w:type="dxa"/>
        <w:tblLayout w:type="fixed"/>
        <w:tblCellMar>
          <w:left w:w="0" w:type="dxa"/>
          <w:right w:w="0" w:type="dxa"/>
        </w:tblCellMar>
        <w:tblLook w:val="0000" w:firstRow="0" w:lastRow="0" w:firstColumn="0" w:lastColumn="0" w:noHBand="0" w:noVBand="0"/>
      </w:tblPr>
      <w:tblGrid>
        <w:gridCol w:w="3889"/>
        <w:gridCol w:w="2845"/>
        <w:gridCol w:w="2842"/>
      </w:tblGrid>
      <w:tr w:rsidR="00DF61BC" w:rsidRPr="00C94C33" w14:paraId="4213BB80" w14:textId="77777777" w:rsidTr="006263CF">
        <w:trPr>
          <w:trHeight w:hRule="exact" w:val="353"/>
          <w:tblHeader/>
        </w:trPr>
        <w:tc>
          <w:tcPr>
            <w:tcW w:w="3890" w:type="dxa"/>
            <w:tcBorders>
              <w:top w:val="single" w:sz="8" w:space="0" w:color="000000"/>
              <w:left w:val="single" w:sz="4" w:space="0" w:color="auto"/>
              <w:bottom w:val="single" w:sz="7" w:space="0" w:color="000000"/>
              <w:right w:val="single" w:sz="4" w:space="0" w:color="auto"/>
            </w:tcBorders>
            <w:shd w:val="clear" w:color="auto" w:fill="auto"/>
          </w:tcPr>
          <w:p w14:paraId="468C33A8" w14:textId="5A20B401" w:rsidR="00DF61BC" w:rsidRPr="00C94C33" w:rsidRDefault="00DF61BC" w:rsidP="006263CF">
            <w:pPr>
              <w:pStyle w:val="TableHeading"/>
              <w:jc w:val="center"/>
            </w:pPr>
            <w:bookmarkStart w:id="341" w:name="12.1.2._Dose_Administered"/>
            <w:bookmarkStart w:id="342" w:name="Table_33:_Cumulative_Dose_and_Dose_Inten"/>
            <w:bookmarkStart w:id="343" w:name="12.1.3._Dose_Reductions_and_Delays_in_Cy"/>
            <w:bookmarkEnd w:id="341"/>
            <w:bookmarkEnd w:id="342"/>
            <w:bookmarkEnd w:id="343"/>
            <w:r w:rsidRPr="00C94C33">
              <w:t>Parameter</w:t>
            </w:r>
          </w:p>
        </w:tc>
        <w:tc>
          <w:tcPr>
            <w:tcW w:w="2843" w:type="dxa"/>
            <w:tcBorders>
              <w:top w:val="single" w:sz="8" w:space="0" w:color="000000"/>
              <w:left w:val="single" w:sz="4" w:space="0" w:color="auto"/>
              <w:bottom w:val="single" w:sz="7" w:space="0" w:color="000000"/>
              <w:right w:val="single" w:sz="4" w:space="0" w:color="auto"/>
            </w:tcBorders>
            <w:shd w:val="clear" w:color="auto" w:fill="auto"/>
          </w:tcPr>
          <w:p w14:paraId="0BA6966A" w14:textId="3EB00663" w:rsidR="00DF61BC" w:rsidRPr="00C94C33" w:rsidRDefault="00DF61BC" w:rsidP="006263CF">
            <w:pPr>
              <w:pStyle w:val="TableHeading"/>
              <w:jc w:val="center"/>
            </w:pPr>
            <w:r w:rsidRPr="00C94C33">
              <w:rPr>
                <w:w w:val="95"/>
              </w:rPr>
              <w:t>TAS-102</w:t>
            </w:r>
            <w:r w:rsidRPr="00C94C33">
              <w:rPr>
                <w:w w:val="99"/>
              </w:rPr>
              <w:t xml:space="preserve"> </w:t>
            </w:r>
            <w:r w:rsidRPr="00C94C33">
              <w:t>(</w:t>
            </w:r>
            <w:r w:rsidR="009C0389" w:rsidRPr="00C94C33">
              <w:t xml:space="preserve">N = </w:t>
            </w:r>
            <w:r w:rsidRPr="00C94C33">
              <w:t>533)</w:t>
            </w:r>
          </w:p>
        </w:tc>
        <w:tc>
          <w:tcPr>
            <w:tcW w:w="2843" w:type="dxa"/>
            <w:tcBorders>
              <w:top w:val="single" w:sz="8" w:space="0" w:color="000000"/>
              <w:left w:val="single" w:sz="4" w:space="0" w:color="auto"/>
              <w:bottom w:val="single" w:sz="7" w:space="0" w:color="000000"/>
              <w:right w:val="single" w:sz="4" w:space="0" w:color="auto"/>
            </w:tcBorders>
            <w:shd w:val="clear" w:color="auto" w:fill="auto"/>
          </w:tcPr>
          <w:p w14:paraId="10E526F2" w14:textId="01F1D26B" w:rsidR="00DF61BC" w:rsidRPr="00C94C33" w:rsidRDefault="00DF61BC" w:rsidP="006263CF">
            <w:pPr>
              <w:pStyle w:val="TableHeading"/>
              <w:jc w:val="center"/>
            </w:pPr>
            <w:r w:rsidRPr="00C94C33">
              <w:t xml:space="preserve">Placebo </w:t>
            </w:r>
            <w:r w:rsidRPr="00C94C33">
              <w:rPr>
                <w:w w:val="95"/>
              </w:rPr>
              <w:t>(</w:t>
            </w:r>
            <w:r w:rsidR="009C0389" w:rsidRPr="00C94C33">
              <w:rPr>
                <w:w w:val="95"/>
              </w:rPr>
              <w:t xml:space="preserve">N = </w:t>
            </w:r>
            <w:r w:rsidRPr="00C94C33">
              <w:rPr>
                <w:w w:val="95"/>
              </w:rPr>
              <w:t>265)</w:t>
            </w:r>
          </w:p>
        </w:tc>
      </w:tr>
      <w:tr w:rsidR="00DF61BC" w:rsidRPr="00C94C33" w14:paraId="5A74A4A1" w14:textId="77777777" w:rsidTr="001735DA">
        <w:trPr>
          <w:trHeight w:hRule="exact" w:val="306"/>
        </w:trPr>
        <w:tc>
          <w:tcPr>
            <w:tcW w:w="3890" w:type="dxa"/>
            <w:tcBorders>
              <w:top w:val="single" w:sz="7" w:space="0" w:color="000000"/>
              <w:left w:val="single" w:sz="4" w:space="0" w:color="auto"/>
              <w:right w:val="single" w:sz="4" w:space="0" w:color="auto"/>
            </w:tcBorders>
            <w:shd w:val="clear" w:color="auto" w:fill="auto"/>
          </w:tcPr>
          <w:p w14:paraId="0A0CF013" w14:textId="77777777" w:rsidR="00DF61BC" w:rsidRPr="006263CF" w:rsidRDefault="00DF61BC" w:rsidP="006263CF">
            <w:pPr>
              <w:pStyle w:val="Tabletext"/>
              <w:rPr>
                <w:b/>
              </w:rPr>
            </w:pPr>
            <w:r w:rsidRPr="006263CF">
              <w:rPr>
                <w:b/>
              </w:rPr>
              <w:t>Total dose</w:t>
            </w:r>
            <w:r w:rsidRPr="006263CF">
              <w:rPr>
                <w:b/>
                <w:spacing w:val="-2"/>
              </w:rPr>
              <w:t xml:space="preserve"> </w:t>
            </w:r>
            <w:r w:rsidRPr="006263CF">
              <w:rPr>
                <w:b/>
              </w:rPr>
              <w:t>administered, mg/m</w:t>
            </w:r>
            <w:r w:rsidRPr="006263CF">
              <w:rPr>
                <w:b/>
                <w:vertAlign w:val="superscript"/>
              </w:rPr>
              <w:t>2</w:t>
            </w:r>
          </w:p>
        </w:tc>
        <w:tc>
          <w:tcPr>
            <w:tcW w:w="2846" w:type="dxa"/>
            <w:tcBorders>
              <w:top w:val="single" w:sz="7" w:space="0" w:color="000000"/>
              <w:left w:val="single" w:sz="4" w:space="0" w:color="auto"/>
              <w:right w:val="single" w:sz="4" w:space="0" w:color="auto"/>
            </w:tcBorders>
            <w:shd w:val="clear" w:color="auto" w:fill="auto"/>
          </w:tcPr>
          <w:p w14:paraId="2D62C2D3" w14:textId="77777777" w:rsidR="00DF61BC" w:rsidRPr="00C94C33" w:rsidRDefault="00DF61BC" w:rsidP="006263CF">
            <w:pPr>
              <w:pStyle w:val="Tabletext"/>
            </w:pPr>
          </w:p>
        </w:tc>
        <w:tc>
          <w:tcPr>
            <w:tcW w:w="2840" w:type="dxa"/>
            <w:tcBorders>
              <w:top w:val="single" w:sz="7" w:space="0" w:color="000000"/>
              <w:left w:val="single" w:sz="4" w:space="0" w:color="auto"/>
              <w:right w:val="single" w:sz="4" w:space="0" w:color="auto"/>
            </w:tcBorders>
            <w:shd w:val="clear" w:color="auto" w:fill="auto"/>
          </w:tcPr>
          <w:p w14:paraId="40D8DBCA" w14:textId="77777777" w:rsidR="00DF61BC" w:rsidRPr="00C94C33" w:rsidRDefault="00DF61BC" w:rsidP="006263CF">
            <w:pPr>
              <w:pStyle w:val="Tabletext"/>
            </w:pPr>
          </w:p>
        </w:tc>
      </w:tr>
      <w:tr w:rsidR="00DF61BC" w:rsidRPr="00C94C33" w14:paraId="56E3CB00" w14:textId="77777777" w:rsidTr="001735DA">
        <w:trPr>
          <w:trHeight w:hRule="exact" w:val="305"/>
        </w:trPr>
        <w:tc>
          <w:tcPr>
            <w:tcW w:w="3890" w:type="dxa"/>
            <w:tcBorders>
              <w:left w:val="single" w:sz="4" w:space="0" w:color="auto"/>
              <w:right w:val="single" w:sz="4" w:space="0" w:color="auto"/>
            </w:tcBorders>
            <w:shd w:val="clear" w:color="auto" w:fill="auto"/>
          </w:tcPr>
          <w:p w14:paraId="47DCA2EF" w14:textId="77777777" w:rsidR="00DF61BC" w:rsidRPr="00C94C33" w:rsidRDefault="00DF61BC" w:rsidP="006263CF">
            <w:pPr>
              <w:pStyle w:val="Tabletext"/>
            </w:pPr>
            <w:r w:rsidRPr="00C94C33">
              <w:t xml:space="preserve">Mean (SD) </w:t>
            </w:r>
          </w:p>
        </w:tc>
        <w:tc>
          <w:tcPr>
            <w:tcW w:w="2843" w:type="dxa"/>
            <w:tcBorders>
              <w:left w:val="single" w:sz="4" w:space="0" w:color="auto"/>
              <w:right w:val="single" w:sz="4" w:space="0" w:color="auto"/>
            </w:tcBorders>
            <w:shd w:val="clear" w:color="auto" w:fill="auto"/>
          </w:tcPr>
          <w:p w14:paraId="76637A9F" w14:textId="77777777" w:rsidR="00DF61BC" w:rsidRPr="00C94C33" w:rsidRDefault="00DF61BC" w:rsidP="006263CF">
            <w:pPr>
              <w:pStyle w:val="Tabletext"/>
            </w:pPr>
            <w:r w:rsidRPr="00C94C33">
              <w:t>2251.2 (1674.53)</w:t>
            </w:r>
          </w:p>
        </w:tc>
        <w:tc>
          <w:tcPr>
            <w:tcW w:w="2843" w:type="dxa"/>
            <w:tcBorders>
              <w:left w:val="single" w:sz="4" w:space="0" w:color="auto"/>
              <w:right w:val="single" w:sz="4" w:space="0" w:color="auto"/>
            </w:tcBorders>
            <w:shd w:val="clear" w:color="auto" w:fill="auto"/>
          </w:tcPr>
          <w:p w14:paraId="616410C2" w14:textId="77777777" w:rsidR="00DF61BC" w:rsidRPr="00C94C33" w:rsidRDefault="00DF61BC" w:rsidP="006263CF">
            <w:pPr>
              <w:pStyle w:val="Tabletext"/>
            </w:pPr>
            <w:r w:rsidRPr="00C94C33">
              <w:t>1507.2 (1024.17)</w:t>
            </w:r>
          </w:p>
        </w:tc>
      </w:tr>
      <w:tr w:rsidR="00DF61BC" w:rsidRPr="00C94C33" w14:paraId="0ECD6806" w14:textId="77777777" w:rsidTr="001735DA">
        <w:trPr>
          <w:trHeight w:hRule="exact" w:val="305"/>
        </w:trPr>
        <w:tc>
          <w:tcPr>
            <w:tcW w:w="3890" w:type="dxa"/>
            <w:tcBorders>
              <w:left w:val="single" w:sz="4" w:space="0" w:color="auto"/>
              <w:bottom w:val="single" w:sz="7" w:space="0" w:color="000000"/>
              <w:right w:val="single" w:sz="4" w:space="0" w:color="auto"/>
            </w:tcBorders>
            <w:shd w:val="clear" w:color="auto" w:fill="auto"/>
          </w:tcPr>
          <w:p w14:paraId="7BEFA7BF" w14:textId="77777777" w:rsidR="00DF61BC" w:rsidRPr="00C94C33" w:rsidRDefault="00DF61BC" w:rsidP="006263CF">
            <w:pPr>
              <w:pStyle w:val="Tabletext"/>
            </w:pPr>
            <w:r w:rsidRPr="00C94C33">
              <w:t xml:space="preserve">Median (Min, Max) </w:t>
            </w:r>
          </w:p>
        </w:tc>
        <w:tc>
          <w:tcPr>
            <w:tcW w:w="2843" w:type="dxa"/>
            <w:tcBorders>
              <w:left w:val="single" w:sz="4" w:space="0" w:color="auto"/>
              <w:bottom w:val="single" w:sz="7" w:space="0" w:color="000000"/>
              <w:right w:val="single" w:sz="4" w:space="0" w:color="auto"/>
            </w:tcBorders>
            <w:shd w:val="clear" w:color="auto" w:fill="auto"/>
          </w:tcPr>
          <w:p w14:paraId="3403480B" w14:textId="77777777" w:rsidR="00DF61BC" w:rsidRPr="00C94C33" w:rsidRDefault="00DF61BC" w:rsidP="006263CF">
            <w:pPr>
              <w:pStyle w:val="Tabletext"/>
            </w:pPr>
            <w:r w:rsidRPr="00C94C33">
              <w:t>1405.8 (133, 12470)</w:t>
            </w:r>
          </w:p>
        </w:tc>
        <w:tc>
          <w:tcPr>
            <w:tcW w:w="2843" w:type="dxa"/>
            <w:tcBorders>
              <w:left w:val="single" w:sz="4" w:space="0" w:color="auto"/>
              <w:bottom w:val="single" w:sz="7" w:space="0" w:color="000000"/>
              <w:right w:val="single" w:sz="4" w:space="0" w:color="auto"/>
            </w:tcBorders>
            <w:shd w:val="clear" w:color="auto" w:fill="auto"/>
          </w:tcPr>
          <w:p w14:paraId="7CEF98FF" w14:textId="77777777" w:rsidR="00DF61BC" w:rsidRPr="00C94C33" w:rsidRDefault="00DF61BC" w:rsidP="006263CF">
            <w:pPr>
              <w:pStyle w:val="Tabletext"/>
            </w:pPr>
            <w:r w:rsidRPr="00C94C33">
              <w:t>1361.3 (139, 11021)</w:t>
            </w:r>
          </w:p>
        </w:tc>
      </w:tr>
      <w:tr w:rsidR="00DF61BC" w:rsidRPr="00C94C33" w14:paraId="70DD7E63" w14:textId="77777777" w:rsidTr="001735DA">
        <w:trPr>
          <w:trHeight w:hRule="exact" w:val="305"/>
        </w:trPr>
        <w:tc>
          <w:tcPr>
            <w:tcW w:w="3890" w:type="dxa"/>
            <w:tcBorders>
              <w:top w:val="single" w:sz="7" w:space="0" w:color="000000"/>
              <w:left w:val="single" w:sz="4" w:space="0" w:color="auto"/>
              <w:right w:val="single" w:sz="4" w:space="0" w:color="auto"/>
            </w:tcBorders>
            <w:shd w:val="clear" w:color="auto" w:fill="auto"/>
          </w:tcPr>
          <w:p w14:paraId="791C6B8B" w14:textId="77777777" w:rsidR="00DF61BC" w:rsidRPr="00C94C33" w:rsidRDefault="00DF61BC" w:rsidP="006263CF">
            <w:pPr>
              <w:pStyle w:val="Tabletext"/>
            </w:pPr>
            <w:r w:rsidRPr="00C94C33">
              <w:rPr>
                <w:b/>
                <w:bCs/>
              </w:rPr>
              <w:t>Dose intensity, mg/m</w:t>
            </w:r>
            <w:r w:rsidRPr="00C94C33">
              <w:rPr>
                <w:b/>
                <w:bCs/>
                <w:vertAlign w:val="superscript"/>
              </w:rPr>
              <w:t>2</w:t>
            </w:r>
            <w:r w:rsidRPr="00C94C33">
              <w:rPr>
                <w:b/>
                <w:bCs/>
              </w:rPr>
              <w:t xml:space="preserve">/week </w:t>
            </w:r>
          </w:p>
        </w:tc>
        <w:tc>
          <w:tcPr>
            <w:tcW w:w="2846" w:type="dxa"/>
            <w:tcBorders>
              <w:top w:val="single" w:sz="7" w:space="0" w:color="000000"/>
              <w:left w:val="single" w:sz="4" w:space="0" w:color="auto"/>
              <w:right w:val="single" w:sz="4" w:space="0" w:color="auto"/>
            </w:tcBorders>
            <w:shd w:val="clear" w:color="auto" w:fill="auto"/>
          </w:tcPr>
          <w:p w14:paraId="5256AAA2" w14:textId="77777777" w:rsidR="00DF61BC" w:rsidRPr="00C94C33" w:rsidRDefault="00DF61BC" w:rsidP="006263CF">
            <w:pPr>
              <w:pStyle w:val="Tabletext"/>
            </w:pPr>
          </w:p>
        </w:tc>
        <w:tc>
          <w:tcPr>
            <w:tcW w:w="2840" w:type="dxa"/>
            <w:tcBorders>
              <w:top w:val="single" w:sz="7" w:space="0" w:color="000000"/>
              <w:left w:val="single" w:sz="4" w:space="0" w:color="auto"/>
              <w:right w:val="single" w:sz="4" w:space="0" w:color="auto"/>
            </w:tcBorders>
            <w:shd w:val="clear" w:color="auto" w:fill="auto"/>
          </w:tcPr>
          <w:p w14:paraId="61DCDB7F" w14:textId="77777777" w:rsidR="00DF61BC" w:rsidRPr="00C94C33" w:rsidRDefault="00DF61BC" w:rsidP="006263CF">
            <w:pPr>
              <w:pStyle w:val="Tabletext"/>
            </w:pPr>
          </w:p>
        </w:tc>
      </w:tr>
      <w:tr w:rsidR="00DF61BC" w:rsidRPr="00C94C33" w14:paraId="7A92019C" w14:textId="77777777" w:rsidTr="001735DA">
        <w:trPr>
          <w:trHeight w:hRule="exact" w:val="305"/>
        </w:trPr>
        <w:tc>
          <w:tcPr>
            <w:tcW w:w="3890" w:type="dxa"/>
            <w:tcBorders>
              <w:left w:val="single" w:sz="4" w:space="0" w:color="auto"/>
              <w:right w:val="single" w:sz="4" w:space="0" w:color="auto"/>
            </w:tcBorders>
            <w:shd w:val="clear" w:color="auto" w:fill="auto"/>
          </w:tcPr>
          <w:p w14:paraId="7C468157" w14:textId="77777777" w:rsidR="00DF61BC" w:rsidRPr="00C94C33" w:rsidRDefault="00DF61BC" w:rsidP="006263CF">
            <w:pPr>
              <w:pStyle w:val="Tabletext"/>
            </w:pPr>
            <w:r w:rsidRPr="00C94C33">
              <w:t xml:space="preserve">Mean (SD) </w:t>
            </w:r>
          </w:p>
        </w:tc>
        <w:tc>
          <w:tcPr>
            <w:tcW w:w="2843" w:type="dxa"/>
            <w:tcBorders>
              <w:left w:val="single" w:sz="4" w:space="0" w:color="auto"/>
              <w:right w:val="single" w:sz="4" w:space="0" w:color="auto"/>
            </w:tcBorders>
            <w:shd w:val="clear" w:color="auto" w:fill="auto"/>
          </w:tcPr>
          <w:p w14:paraId="37DCDDAB" w14:textId="77777777" w:rsidR="00DF61BC" w:rsidRPr="00C94C33" w:rsidRDefault="00DF61BC" w:rsidP="006263CF">
            <w:pPr>
              <w:pStyle w:val="Tabletext"/>
            </w:pPr>
            <w:r w:rsidRPr="00C94C33">
              <w:t>155.05 (19.965)</w:t>
            </w:r>
          </w:p>
        </w:tc>
        <w:tc>
          <w:tcPr>
            <w:tcW w:w="2843" w:type="dxa"/>
            <w:tcBorders>
              <w:left w:val="single" w:sz="4" w:space="0" w:color="auto"/>
              <w:right w:val="single" w:sz="4" w:space="0" w:color="auto"/>
            </w:tcBorders>
            <w:shd w:val="clear" w:color="auto" w:fill="auto"/>
          </w:tcPr>
          <w:p w14:paraId="2F30B4BA" w14:textId="77777777" w:rsidR="00DF61BC" w:rsidRPr="00C94C33" w:rsidRDefault="00DF61BC" w:rsidP="006263CF">
            <w:pPr>
              <w:pStyle w:val="Tabletext"/>
            </w:pPr>
            <w:r w:rsidRPr="00C94C33">
              <w:t>165.25 (16.517)</w:t>
            </w:r>
          </w:p>
        </w:tc>
      </w:tr>
      <w:tr w:rsidR="00DF61BC" w:rsidRPr="00C94C33" w14:paraId="0841DC6B" w14:textId="77777777" w:rsidTr="001735DA">
        <w:trPr>
          <w:trHeight w:hRule="exact" w:val="305"/>
        </w:trPr>
        <w:tc>
          <w:tcPr>
            <w:tcW w:w="3890" w:type="dxa"/>
            <w:tcBorders>
              <w:left w:val="single" w:sz="4" w:space="0" w:color="auto"/>
              <w:bottom w:val="single" w:sz="7" w:space="0" w:color="000000"/>
              <w:right w:val="single" w:sz="4" w:space="0" w:color="auto"/>
            </w:tcBorders>
            <w:shd w:val="clear" w:color="auto" w:fill="auto"/>
          </w:tcPr>
          <w:p w14:paraId="4E54A6CC" w14:textId="77777777" w:rsidR="00DF61BC" w:rsidRPr="00C94C33" w:rsidRDefault="00DF61BC" w:rsidP="006263CF">
            <w:pPr>
              <w:pStyle w:val="Tabletext"/>
            </w:pPr>
            <w:r w:rsidRPr="00C94C33">
              <w:t xml:space="preserve">Median (Min, Max) </w:t>
            </w:r>
          </w:p>
        </w:tc>
        <w:tc>
          <w:tcPr>
            <w:tcW w:w="2843" w:type="dxa"/>
            <w:tcBorders>
              <w:left w:val="single" w:sz="4" w:space="0" w:color="auto"/>
              <w:bottom w:val="single" w:sz="7" w:space="0" w:color="000000"/>
              <w:right w:val="single" w:sz="4" w:space="0" w:color="auto"/>
            </w:tcBorders>
            <w:shd w:val="clear" w:color="auto" w:fill="auto"/>
          </w:tcPr>
          <w:p w14:paraId="208FB3F5" w14:textId="77777777" w:rsidR="00DF61BC" w:rsidRPr="00C94C33" w:rsidRDefault="00DF61BC" w:rsidP="006263CF">
            <w:pPr>
              <w:pStyle w:val="Tabletext"/>
            </w:pPr>
            <w:r w:rsidRPr="00C94C33">
              <w:t>159.63 (33.1, 189.8)</w:t>
            </w:r>
          </w:p>
        </w:tc>
        <w:tc>
          <w:tcPr>
            <w:tcW w:w="2843" w:type="dxa"/>
            <w:tcBorders>
              <w:left w:val="single" w:sz="4" w:space="0" w:color="auto"/>
              <w:bottom w:val="single" w:sz="7" w:space="0" w:color="000000"/>
              <w:right w:val="single" w:sz="4" w:space="0" w:color="auto"/>
            </w:tcBorders>
            <w:shd w:val="clear" w:color="auto" w:fill="auto"/>
          </w:tcPr>
          <w:p w14:paraId="43F77B4C" w14:textId="77777777" w:rsidR="00DF61BC" w:rsidRPr="00C94C33" w:rsidRDefault="00DF61BC" w:rsidP="006263CF">
            <w:pPr>
              <w:pStyle w:val="Tabletext"/>
            </w:pPr>
            <w:r w:rsidRPr="00C94C33">
              <w:t>169.23 (34.8, 187.5)</w:t>
            </w:r>
          </w:p>
        </w:tc>
      </w:tr>
      <w:tr w:rsidR="00DF61BC" w:rsidRPr="00C94C33" w14:paraId="69B494C4" w14:textId="77777777" w:rsidTr="001735DA">
        <w:trPr>
          <w:trHeight w:hRule="exact" w:val="328"/>
        </w:trPr>
        <w:tc>
          <w:tcPr>
            <w:tcW w:w="3890" w:type="dxa"/>
            <w:tcBorders>
              <w:top w:val="single" w:sz="7" w:space="0" w:color="000000"/>
              <w:left w:val="single" w:sz="4" w:space="0" w:color="auto"/>
              <w:right w:val="single" w:sz="4" w:space="0" w:color="auto"/>
            </w:tcBorders>
            <w:shd w:val="clear" w:color="auto" w:fill="auto"/>
          </w:tcPr>
          <w:p w14:paraId="61B1A520" w14:textId="77777777" w:rsidR="00DF61BC" w:rsidRPr="00C94C33" w:rsidRDefault="00DF61BC" w:rsidP="006263CF">
            <w:pPr>
              <w:pStyle w:val="Tabletext"/>
            </w:pPr>
            <w:r w:rsidRPr="00C94C33">
              <w:rPr>
                <w:b/>
                <w:bCs/>
              </w:rPr>
              <w:t>Relative</w:t>
            </w:r>
            <w:r w:rsidRPr="00C94C33">
              <w:rPr>
                <w:b/>
                <w:bCs/>
                <w:spacing w:val="-2"/>
              </w:rPr>
              <w:t xml:space="preserve"> </w:t>
            </w:r>
            <w:r w:rsidRPr="00C94C33">
              <w:rPr>
                <w:b/>
                <w:bCs/>
              </w:rPr>
              <w:t>dose</w:t>
            </w:r>
            <w:r w:rsidRPr="00C94C33">
              <w:rPr>
                <w:b/>
                <w:bCs/>
                <w:spacing w:val="-2"/>
              </w:rPr>
              <w:t xml:space="preserve"> </w:t>
            </w:r>
            <w:r w:rsidRPr="00C94C33">
              <w:rPr>
                <w:b/>
                <w:bCs/>
              </w:rPr>
              <w:t xml:space="preserve">intensity </w:t>
            </w:r>
            <w:r w:rsidRPr="00C94C33">
              <w:rPr>
                <w:b/>
                <w:bCs/>
                <w:vertAlign w:val="superscript"/>
              </w:rPr>
              <w:t xml:space="preserve">a </w:t>
            </w:r>
          </w:p>
        </w:tc>
        <w:tc>
          <w:tcPr>
            <w:tcW w:w="2846" w:type="dxa"/>
            <w:tcBorders>
              <w:top w:val="single" w:sz="7" w:space="0" w:color="000000"/>
              <w:left w:val="single" w:sz="4" w:space="0" w:color="auto"/>
              <w:right w:val="single" w:sz="4" w:space="0" w:color="auto"/>
            </w:tcBorders>
            <w:shd w:val="clear" w:color="auto" w:fill="auto"/>
          </w:tcPr>
          <w:p w14:paraId="77189590" w14:textId="77777777" w:rsidR="00DF61BC" w:rsidRPr="00C94C33" w:rsidRDefault="00DF61BC" w:rsidP="006263CF">
            <w:pPr>
              <w:pStyle w:val="Tabletext"/>
            </w:pPr>
          </w:p>
        </w:tc>
        <w:tc>
          <w:tcPr>
            <w:tcW w:w="2840" w:type="dxa"/>
            <w:tcBorders>
              <w:top w:val="single" w:sz="7" w:space="0" w:color="000000"/>
              <w:left w:val="single" w:sz="4" w:space="0" w:color="auto"/>
              <w:right w:val="single" w:sz="4" w:space="0" w:color="auto"/>
            </w:tcBorders>
            <w:shd w:val="clear" w:color="auto" w:fill="auto"/>
          </w:tcPr>
          <w:p w14:paraId="052EA675" w14:textId="77777777" w:rsidR="00DF61BC" w:rsidRPr="00C94C33" w:rsidRDefault="00DF61BC" w:rsidP="006263CF">
            <w:pPr>
              <w:pStyle w:val="Tabletext"/>
            </w:pPr>
          </w:p>
        </w:tc>
      </w:tr>
      <w:tr w:rsidR="00DF61BC" w:rsidRPr="00C94C33" w14:paraId="0F9616C1" w14:textId="77777777" w:rsidTr="001735DA">
        <w:trPr>
          <w:trHeight w:hRule="exact" w:val="305"/>
        </w:trPr>
        <w:tc>
          <w:tcPr>
            <w:tcW w:w="3890" w:type="dxa"/>
            <w:tcBorders>
              <w:left w:val="single" w:sz="4" w:space="0" w:color="auto"/>
              <w:right w:val="single" w:sz="4" w:space="0" w:color="auto"/>
            </w:tcBorders>
            <w:shd w:val="clear" w:color="auto" w:fill="auto"/>
          </w:tcPr>
          <w:p w14:paraId="4FBC213B" w14:textId="77777777" w:rsidR="00DF61BC" w:rsidRPr="00C94C33" w:rsidRDefault="00DF61BC" w:rsidP="006263CF">
            <w:pPr>
              <w:pStyle w:val="Tabletext"/>
            </w:pPr>
            <w:r w:rsidRPr="00C94C33">
              <w:t>Mean (SD)</w:t>
            </w:r>
          </w:p>
        </w:tc>
        <w:tc>
          <w:tcPr>
            <w:tcW w:w="2843" w:type="dxa"/>
            <w:tcBorders>
              <w:left w:val="single" w:sz="4" w:space="0" w:color="auto"/>
              <w:right w:val="single" w:sz="4" w:space="0" w:color="auto"/>
            </w:tcBorders>
            <w:shd w:val="clear" w:color="auto" w:fill="auto"/>
          </w:tcPr>
          <w:p w14:paraId="7F53C233" w14:textId="77777777" w:rsidR="00DF61BC" w:rsidRPr="00C94C33" w:rsidRDefault="00DF61BC" w:rsidP="006263CF">
            <w:pPr>
              <w:pStyle w:val="Tabletext"/>
            </w:pPr>
            <w:r w:rsidRPr="00C94C33">
              <w:t>0.886 (0.1141)</w:t>
            </w:r>
          </w:p>
        </w:tc>
        <w:tc>
          <w:tcPr>
            <w:tcW w:w="2843" w:type="dxa"/>
            <w:tcBorders>
              <w:left w:val="single" w:sz="4" w:space="0" w:color="auto"/>
              <w:right w:val="single" w:sz="4" w:space="0" w:color="auto"/>
            </w:tcBorders>
            <w:shd w:val="clear" w:color="auto" w:fill="auto"/>
          </w:tcPr>
          <w:p w14:paraId="4B4E22B3" w14:textId="77777777" w:rsidR="00DF61BC" w:rsidRPr="00C94C33" w:rsidRDefault="00DF61BC" w:rsidP="006263CF">
            <w:pPr>
              <w:pStyle w:val="Tabletext"/>
            </w:pPr>
            <w:r w:rsidRPr="00C94C33">
              <w:t>0.944 (0.0944)</w:t>
            </w:r>
          </w:p>
        </w:tc>
      </w:tr>
      <w:tr w:rsidR="00DF61BC" w:rsidRPr="00C94C33" w14:paraId="4E85962B" w14:textId="77777777" w:rsidTr="001735DA">
        <w:trPr>
          <w:trHeight w:hRule="exact" w:val="305"/>
        </w:trPr>
        <w:tc>
          <w:tcPr>
            <w:tcW w:w="3890" w:type="dxa"/>
            <w:tcBorders>
              <w:left w:val="single" w:sz="4" w:space="0" w:color="auto"/>
              <w:bottom w:val="single" w:sz="8" w:space="0" w:color="000000"/>
              <w:right w:val="single" w:sz="4" w:space="0" w:color="auto"/>
            </w:tcBorders>
            <w:shd w:val="clear" w:color="auto" w:fill="auto"/>
          </w:tcPr>
          <w:p w14:paraId="0BF3A8E8" w14:textId="77777777" w:rsidR="00DF61BC" w:rsidRPr="00C94C33" w:rsidRDefault="00DF61BC" w:rsidP="006263CF">
            <w:pPr>
              <w:pStyle w:val="Tabletext"/>
            </w:pPr>
            <w:r w:rsidRPr="00C94C33">
              <w:t xml:space="preserve">Median (Min, Max) </w:t>
            </w:r>
          </w:p>
        </w:tc>
        <w:tc>
          <w:tcPr>
            <w:tcW w:w="2843" w:type="dxa"/>
            <w:tcBorders>
              <w:left w:val="single" w:sz="4" w:space="0" w:color="auto"/>
              <w:bottom w:val="single" w:sz="8" w:space="0" w:color="000000"/>
              <w:right w:val="single" w:sz="4" w:space="0" w:color="auto"/>
            </w:tcBorders>
            <w:shd w:val="clear" w:color="auto" w:fill="auto"/>
          </w:tcPr>
          <w:p w14:paraId="1DA38800" w14:textId="77777777" w:rsidR="00DF61BC" w:rsidRPr="00C94C33" w:rsidRDefault="00DF61BC" w:rsidP="006263CF">
            <w:pPr>
              <w:pStyle w:val="Tabletext"/>
            </w:pPr>
            <w:r w:rsidRPr="00C94C33">
              <w:t>0.912 (0.19, 1.08)</w:t>
            </w:r>
          </w:p>
        </w:tc>
        <w:tc>
          <w:tcPr>
            <w:tcW w:w="2843" w:type="dxa"/>
            <w:tcBorders>
              <w:left w:val="single" w:sz="4" w:space="0" w:color="auto"/>
              <w:bottom w:val="single" w:sz="8" w:space="0" w:color="000000"/>
              <w:right w:val="single" w:sz="4" w:space="0" w:color="auto"/>
            </w:tcBorders>
            <w:shd w:val="clear" w:color="auto" w:fill="auto"/>
          </w:tcPr>
          <w:p w14:paraId="25A538ED" w14:textId="77777777" w:rsidR="00DF61BC" w:rsidRPr="00C94C33" w:rsidRDefault="00DF61BC" w:rsidP="006263CF">
            <w:pPr>
              <w:pStyle w:val="Tabletext"/>
            </w:pPr>
            <w:r w:rsidRPr="00C94C33">
              <w:t>0.967 (0.20, 1.07)</w:t>
            </w:r>
          </w:p>
        </w:tc>
      </w:tr>
    </w:tbl>
    <w:p w14:paraId="75DEC0B1" w14:textId="35220D2B" w:rsidR="00DF61BC" w:rsidRPr="00C94C33" w:rsidRDefault="00DF61BC" w:rsidP="00AF4AFA">
      <w:pPr>
        <w:pStyle w:val="TableDescription"/>
      </w:pPr>
      <w:r w:rsidRPr="00C94C33">
        <w:t>Actual dose intensity (calculated over entire duration of cycle) divided by planned dose intensity (175</w:t>
      </w:r>
      <w:r w:rsidR="00216FAA">
        <w:t> </w:t>
      </w:r>
      <w:r w:rsidRPr="00C94C33">
        <w:t>mg/m</w:t>
      </w:r>
      <w:r w:rsidRPr="00C94C33">
        <w:rPr>
          <w:vertAlign w:val="superscript"/>
        </w:rPr>
        <w:t>2</w:t>
      </w:r>
      <w:r w:rsidR="00BF565E" w:rsidRPr="00C94C33">
        <w:t>/week).</w:t>
      </w:r>
    </w:p>
    <w:p w14:paraId="7D9334AB" w14:textId="77777777" w:rsidR="00DF61BC" w:rsidRPr="00C94C33" w:rsidRDefault="00DF61BC" w:rsidP="00955252">
      <w:pPr>
        <w:pStyle w:val="Heading4"/>
      </w:pPr>
      <w:bookmarkStart w:id="344" w:name="_Toc470948566"/>
      <w:r w:rsidRPr="00C94C33">
        <w:t>Dose reductions and delays in cycle initiation</w:t>
      </w:r>
      <w:bookmarkEnd w:id="344"/>
    </w:p>
    <w:p w14:paraId="13587365" w14:textId="77777777" w:rsidR="00DF61BC" w:rsidRPr="00C94C33" w:rsidRDefault="00DF61BC" w:rsidP="00BF565E">
      <w:r w:rsidRPr="00C94C33">
        <w:t>In the TAS-102 group, a total of 73 (13.7%) patients had dose reductions, consisting of 53 (9.9%) patients with a single dose reduction, 18 (3.4%) patients with 2 reductions, and 2 (0.4%) patients with 3 reductions. In the TAS-102 group, the median number of cycles until the first dose reduction was 3.0 (range: 2 to 13). In the placebo group, 3 (1.1%) patients had a single dose reduction.</w:t>
      </w:r>
    </w:p>
    <w:p w14:paraId="434F9320" w14:textId="58A9F8CE" w:rsidR="00DF61BC" w:rsidRPr="00C94C33" w:rsidRDefault="00DF61BC" w:rsidP="00BF565E">
      <w:pPr>
        <w:rPr>
          <w:color w:val="000000"/>
        </w:rPr>
      </w:pPr>
      <w:r w:rsidRPr="00C94C33">
        <w:rPr>
          <w:color w:val="000000"/>
        </w:rPr>
        <w:t>Among all TAS-102 cycles initiated (excluding the initial cycle), 45.2% (585/1295) were delayed ≥</w:t>
      </w:r>
      <w:r w:rsidR="00216FAA">
        <w:rPr>
          <w:color w:val="000000"/>
        </w:rPr>
        <w:t> </w:t>
      </w:r>
      <w:r w:rsidRPr="00C94C33">
        <w:rPr>
          <w:color w:val="000000"/>
        </w:rPr>
        <w:t xml:space="preserve">4 days, and 11.7% (151/1295) were delayed ≥ 8 days. In the TAS-102 group, 466 patients initiated at least 2 cycles of treatment. Of these 466 patients, 245 (52.6%) experienced a delay of </w:t>
      </w:r>
      <w:r w:rsidRPr="00C94C33">
        <w:rPr>
          <w:rFonts w:cs="TimesNewRomanPSMT"/>
          <w:color w:val="000000"/>
        </w:rPr>
        <w:t>≥</w:t>
      </w:r>
      <w:r w:rsidR="00216FAA">
        <w:rPr>
          <w:rFonts w:cs="TimesNewRomanPSMT"/>
          <w:color w:val="000000"/>
        </w:rPr>
        <w:t> </w:t>
      </w:r>
      <w:r w:rsidRPr="00C94C33">
        <w:rPr>
          <w:color w:val="000000"/>
        </w:rPr>
        <w:t xml:space="preserve">4 days in initiation of at least 1 cycle, and 108 (23.2%) experienced a delay of </w:t>
      </w:r>
      <w:r w:rsidRPr="00C94C33">
        <w:rPr>
          <w:rFonts w:cs="TimesNewRomanPSMT"/>
          <w:color w:val="000000"/>
        </w:rPr>
        <w:t xml:space="preserve">≥ </w:t>
      </w:r>
      <w:r w:rsidRPr="00C94C33">
        <w:rPr>
          <w:color w:val="000000"/>
        </w:rPr>
        <w:t xml:space="preserve">8 days in initiation of at least 1 cycle. In the TAS-102 group, among the patients with cycle delays, the median number of cycles delayed by </w:t>
      </w:r>
      <w:r w:rsidRPr="00C94C33">
        <w:rPr>
          <w:rFonts w:cs="TimesNewRomanPSMT"/>
          <w:color w:val="000000"/>
        </w:rPr>
        <w:t xml:space="preserve">≥ </w:t>
      </w:r>
      <w:r w:rsidRPr="00C94C33">
        <w:rPr>
          <w:color w:val="000000"/>
        </w:rPr>
        <w:t xml:space="preserve">4 days was 2.0 (range: 1, 14), and the median number of cycles delayed by </w:t>
      </w:r>
      <w:r w:rsidRPr="00C94C33">
        <w:rPr>
          <w:rFonts w:cs="TimesNewRomanPSMT"/>
          <w:color w:val="000000"/>
        </w:rPr>
        <w:t xml:space="preserve">≥ </w:t>
      </w:r>
      <w:r w:rsidRPr="00C94C33">
        <w:rPr>
          <w:color w:val="000000"/>
        </w:rPr>
        <w:t>8 days was 1.0 (range: 1, 6).</w:t>
      </w:r>
    </w:p>
    <w:p w14:paraId="5ECC1D9F" w14:textId="1AE9B73E" w:rsidR="00DF61BC" w:rsidRPr="00C94C33" w:rsidRDefault="00DF61BC" w:rsidP="00BF565E">
      <w:r w:rsidRPr="00C94C33">
        <w:t>Among all placebo cycles initiated (excluding the initial cycle), 4.5% (15/333) were delayed ≥</w:t>
      </w:r>
      <w:r w:rsidR="00216FAA">
        <w:t> </w:t>
      </w:r>
      <w:r w:rsidRPr="00C94C33">
        <w:t>4</w:t>
      </w:r>
      <w:r w:rsidR="00216FAA">
        <w:t> </w:t>
      </w:r>
      <w:r w:rsidRPr="00C94C33">
        <w:t xml:space="preserve">days, and 2.4% (8/333) were delayed ≥ 8 days. In the placebo group, 215 patients initiated at least 2 cycles of treatment. Of these 215 patients, 14 (6.5%) experienced a delay of ≥ 4 days, and 8 (3.7%) experienced a delay of ≥ 8 days. In the placebo group, among patients with cycle delays the median number of cycles delayed by ≥ 4 days was 1.0 (range: 1, 2), and the median number of cycles delayed </w:t>
      </w:r>
      <w:r w:rsidR="00AF4AFA" w:rsidRPr="00C94C33">
        <w:t>≥ 8 days was 1.0 (range: 1, 1).</w:t>
      </w:r>
    </w:p>
    <w:p w14:paraId="0924B1F3" w14:textId="77777777" w:rsidR="00AA7141" w:rsidRDefault="00DF61BC" w:rsidP="00955252">
      <w:pPr>
        <w:pStyle w:val="Heading4"/>
      </w:pPr>
      <w:bookmarkStart w:id="345" w:name="_Toc470948567"/>
      <w:r w:rsidRPr="00C94C33">
        <w:lastRenderedPageBreak/>
        <w:t>Adverse events</w:t>
      </w:r>
      <w:bookmarkEnd w:id="345"/>
    </w:p>
    <w:p w14:paraId="18724F4F" w14:textId="77777777" w:rsidR="00AA7141" w:rsidRDefault="00DF61BC" w:rsidP="00955252">
      <w:pPr>
        <w:pStyle w:val="Heading5"/>
      </w:pPr>
      <w:bookmarkStart w:id="346" w:name="_Toc470948568"/>
      <w:r w:rsidRPr="00C94C33">
        <w:t>Background</w:t>
      </w:r>
      <w:bookmarkEnd w:id="346"/>
    </w:p>
    <w:p w14:paraId="673F305B" w14:textId="5FCB61C3" w:rsidR="00DF61BC" w:rsidRPr="00C94C33" w:rsidRDefault="00DF61BC" w:rsidP="00BF565E">
      <w:r w:rsidRPr="00C94C33">
        <w:t>Safety assessments included recording of AEs and SAEs from the time the patient signed the consent form through to 30 days after the last dose of study medication (</w:t>
      </w:r>
      <w:r w:rsidR="00B2072D" w:rsidRPr="00C94C33">
        <w:t>that is,</w:t>
      </w:r>
      <w:r w:rsidRPr="00C94C33">
        <w:t xml:space="preserve"> 30</w:t>
      </w:r>
      <w:r w:rsidR="009C0389" w:rsidRPr="00C94C33">
        <w:t xml:space="preserve"> day</w:t>
      </w:r>
      <w:r w:rsidRPr="00C94C33">
        <w:t xml:space="preserve"> Safety Follow</w:t>
      </w:r>
      <w:r w:rsidR="00216FAA">
        <w:t xml:space="preserve"> </w:t>
      </w:r>
      <w:r w:rsidRPr="00C94C33">
        <w:t>up Visit) or until the initiation of new anticancer therapy, whichever came first. AEs reported outside of these time intervals were not categorised as AEs, unless considered by the investigator to be causally related to treatment.</w:t>
      </w:r>
    </w:p>
    <w:bookmarkEnd w:id="326"/>
    <w:p w14:paraId="7E2F0459" w14:textId="6B18F4D0" w:rsidR="00DF61BC" w:rsidRPr="00C94C33" w:rsidRDefault="00DF61BC" w:rsidP="00BF565E">
      <w:r w:rsidRPr="00C94C33">
        <w:t>A</w:t>
      </w:r>
      <w:r w:rsidRPr="00C94C33">
        <w:rPr>
          <w:bCs/>
        </w:rPr>
        <w:t xml:space="preserve">dverse events </w:t>
      </w:r>
      <w:r w:rsidRPr="00C94C33">
        <w:t>(AEs) were any untoward medical conditions that occurred in a patient while participating in the clinical study, and did not necessarily have a causal relationship with the use of the product. Treatment emergent adverse events (TEAEs) were AEs that occurred from the initiation of any study medication administration, and did not necessarily have a causal relationship to the use of the study medication. The Common Terminology Criteria for Adverse Events (CTCAE Version 4.03) terms were used to assess severity and provide the grade for each reported AEs.</w:t>
      </w:r>
    </w:p>
    <w:p w14:paraId="6CC6BCBF" w14:textId="3774AEA6" w:rsidR="00DF61BC" w:rsidRPr="00C94C33" w:rsidRDefault="00DF61BC" w:rsidP="00BF565E">
      <w:r w:rsidRPr="00C94C33">
        <w:t>Symptoms or laboratory or instrumental (</w:t>
      </w:r>
      <w:r w:rsidR="00216FAA">
        <w:t>for example,</w:t>
      </w:r>
      <w:r w:rsidRPr="00C94C33">
        <w:t xml:space="preserve"> electrocardiographic) abnormalities of a pre-existing disease, such as cancer or other disease, were not be considered an AE. However, occurrences of new symptoms as well as worsening of pre-existing medical conditions were considered AEs. In addition, a new laboratory or instrumental abnormality that had a clinical impact on a patient (e.g., resulting in study medication dose reduction, treatment delay, treatment discontinuation, required treatment due to abnormal values, or considered medically important by the investigator) was considered an AE, unless it was considered part of a clinical condition that was already reported as an AE.</w:t>
      </w:r>
    </w:p>
    <w:p w14:paraId="1F43D351" w14:textId="125CDD1D" w:rsidR="00DF61BC" w:rsidRPr="00C94C33" w:rsidRDefault="00DF61BC" w:rsidP="00BF565E">
      <w:r w:rsidRPr="00C94C33">
        <w:t>The causal relationship of AEs to treatment were categorised (as defined in the protocol) as related or not-related. The definitions have been reviewed and are considered to be standard for clinical trials. The protocol also provided standard criteria for defining outcomes and included standard requirements for following up AEs.</w:t>
      </w:r>
    </w:p>
    <w:p w14:paraId="080E7B82" w14:textId="326240D2" w:rsidR="00DF61BC" w:rsidRPr="00C94C33" w:rsidRDefault="00DF61BC" w:rsidP="00BF565E">
      <w:r w:rsidRPr="00C94C33">
        <w:t>Serious adverse events (SAEs)</w:t>
      </w:r>
      <w:r w:rsidRPr="00C94C33">
        <w:rPr>
          <w:b/>
        </w:rPr>
        <w:t xml:space="preserve"> </w:t>
      </w:r>
      <w:r w:rsidRPr="00C94C33">
        <w:t xml:space="preserve">were defined in the protocol. SAEs were to be reported by the sponsor </w:t>
      </w:r>
      <w:r w:rsidRPr="00C94C33">
        <w:rPr>
          <w:bCs/>
        </w:rPr>
        <w:t>within 24 hours</w:t>
      </w:r>
      <w:r w:rsidRPr="00C94C33">
        <w:rPr>
          <w:b/>
          <w:bCs/>
        </w:rPr>
        <w:t xml:space="preserve"> </w:t>
      </w:r>
      <w:r w:rsidRPr="00C94C33">
        <w:t xml:space="preserve">from the time the investigator first became aware of the event. All SAEs </w:t>
      </w:r>
      <w:r w:rsidRPr="00C94C33">
        <w:rPr>
          <w:bCs/>
        </w:rPr>
        <w:t>within</w:t>
      </w:r>
      <w:r w:rsidRPr="00C94C33">
        <w:rPr>
          <w:b/>
          <w:bCs/>
        </w:rPr>
        <w:t xml:space="preserve"> </w:t>
      </w:r>
      <w:r w:rsidRPr="00C94C33">
        <w:t>the follow-up window (</w:t>
      </w:r>
      <w:r w:rsidR="00216FAA">
        <w:t>for example,</w:t>
      </w:r>
      <w:r w:rsidRPr="00C94C33">
        <w:t xml:space="preserve"> within 30 days after the last dose of study medication or until the start of new antitumor therapy, whichever is earlier) established in the protocol were to be reported to the sponsor. SAEs reported outside the follow-up window were to be reported to the sponsor if considered by the investigator to be related to treatment. All deaths occurring through the 30</w:t>
      </w:r>
      <w:r w:rsidR="009C0389" w:rsidRPr="00C94C33">
        <w:t xml:space="preserve"> day</w:t>
      </w:r>
      <w:r w:rsidRPr="00C94C33">
        <w:t xml:space="preserve"> follow-up period were to be recorded and reported to the sponsor within 24 hours.</w:t>
      </w:r>
    </w:p>
    <w:p w14:paraId="2EA4DCBB" w14:textId="77777777" w:rsidR="00DF61BC" w:rsidRPr="00C94C33" w:rsidRDefault="00DF61BC" w:rsidP="00955252">
      <w:pPr>
        <w:pStyle w:val="Heading5"/>
      </w:pPr>
      <w:bookmarkStart w:id="347" w:name="_Toc470948569"/>
      <w:r w:rsidRPr="00C94C33">
        <w:t>Overview of adverse events</w:t>
      </w:r>
      <w:bookmarkEnd w:id="347"/>
    </w:p>
    <w:p w14:paraId="05B4B5BF" w14:textId="519DC91D" w:rsidR="00DF61BC" w:rsidRPr="00C94C33" w:rsidRDefault="00DF61BC" w:rsidP="00DF61BC">
      <w:pPr>
        <w:autoSpaceDE w:val="0"/>
        <w:autoSpaceDN w:val="0"/>
        <w:adjustRightInd w:val="0"/>
        <w:rPr>
          <w:rFonts w:asciiTheme="minorHAnsi" w:hAnsiTheme="minorHAnsi"/>
          <w:color w:val="000000"/>
        </w:rPr>
      </w:pPr>
      <w:r w:rsidRPr="00C94C33">
        <w:rPr>
          <w:rFonts w:asciiTheme="minorHAnsi" w:hAnsiTheme="minorHAnsi"/>
          <w:color w:val="000000"/>
        </w:rPr>
        <w:t>The overall incidence of AEs was similar in the TAS-102 and placebo groups (98.3%</w:t>
      </w:r>
      <w:r w:rsidR="00C11183">
        <w:rPr>
          <w:rFonts w:asciiTheme="minorHAnsi" w:hAnsiTheme="minorHAnsi"/>
          <w:color w:val="000000"/>
        </w:rPr>
        <w:t xml:space="preserve"> versus </w:t>
      </w:r>
      <w:r w:rsidRPr="00C94C33">
        <w:rPr>
          <w:rFonts w:asciiTheme="minorHAnsi" w:hAnsiTheme="minorHAnsi"/>
          <w:color w:val="000000"/>
        </w:rPr>
        <w:t>93.2%, respectively), while the incidence of treatment-related AEs was notably higher in the TAS-102 group than in the placebo group (85.7%</w:t>
      </w:r>
      <w:r w:rsidR="00C11183">
        <w:rPr>
          <w:rFonts w:asciiTheme="minorHAnsi" w:hAnsiTheme="minorHAnsi"/>
          <w:color w:val="000000"/>
        </w:rPr>
        <w:t xml:space="preserve"> versus </w:t>
      </w:r>
      <w:r w:rsidRPr="00C94C33">
        <w:rPr>
          <w:rFonts w:asciiTheme="minorHAnsi" w:hAnsiTheme="minorHAnsi"/>
          <w:color w:val="000000"/>
        </w:rPr>
        <w:t xml:space="preserve">54.7% ) as was the incidence of Grade </w:t>
      </w:r>
      <w:r w:rsidRPr="00C94C33">
        <w:rPr>
          <w:rFonts w:asciiTheme="minorHAnsi" w:hAnsiTheme="minorHAnsi" w:cs="TimesNewRomanPSMT"/>
          <w:color w:val="000000"/>
        </w:rPr>
        <w:t xml:space="preserve">≥ </w:t>
      </w:r>
      <w:r w:rsidRPr="00C94C33">
        <w:rPr>
          <w:rFonts w:asciiTheme="minorHAnsi" w:hAnsiTheme="minorHAnsi"/>
          <w:color w:val="000000"/>
        </w:rPr>
        <w:t>3 AEs (69.4%</w:t>
      </w:r>
      <w:r w:rsidR="00C11183">
        <w:rPr>
          <w:rFonts w:asciiTheme="minorHAnsi" w:hAnsiTheme="minorHAnsi"/>
          <w:color w:val="000000"/>
        </w:rPr>
        <w:t xml:space="preserve"> versus </w:t>
      </w:r>
      <w:r w:rsidRPr="00C94C33">
        <w:rPr>
          <w:rFonts w:asciiTheme="minorHAnsi" w:hAnsiTheme="minorHAnsi"/>
          <w:color w:val="000000"/>
        </w:rPr>
        <w:t>51.7%) and treatment-related SAEs (49.0%</w:t>
      </w:r>
      <w:r w:rsidR="00C11183">
        <w:rPr>
          <w:rFonts w:asciiTheme="minorHAnsi" w:hAnsiTheme="minorHAnsi"/>
          <w:color w:val="000000"/>
        </w:rPr>
        <w:t xml:space="preserve"> versus </w:t>
      </w:r>
      <w:r w:rsidRPr="00C94C33">
        <w:rPr>
          <w:rFonts w:asciiTheme="minorHAnsi" w:hAnsiTheme="minorHAnsi"/>
          <w:color w:val="000000"/>
        </w:rPr>
        <w:t>9.8%). However, SAEs were reported more frequently in the placebo group than in the TAS-102 group (33.6%</w:t>
      </w:r>
      <w:r w:rsidR="00C11183">
        <w:rPr>
          <w:rFonts w:asciiTheme="minorHAnsi" w:hAnsiTheme="minorHAnsi"/>
          <w:color w:val="000000"/>
        </w:rPr>
        <w:t xml:space="preserve"> versus </w:t>
      </w:r>
      <w:r w:rsidRPr="00C94C33">
        <w:rPr>
          <w:rFonts w:asciiTheme="minorHAnsi" w:hAnsiTheme="minorHAnsi"/>
          <w:color w:val="000000"/>
        </w:rPr>
        <w:t>29.6%), as were AEs leading to discontinuation (13.6%</w:t>
      </w:r>
      <w:r w:rsidR="00C11183">
        <w:rPr>
          <w:rFonts w:asciiTheme="minorHAnsi" w:hAnsiTheme="minorHAnsi"/>
          <w:color w:val="000000"/>
        </w:rPr>
        <w:t xml:space="preserve"> versus </w:t>
      </w:r>
      <w:r w:rsidRPr="00C94C33">
        <w:rPr>
          <w:rFonts w:asciiTheme="minorHAnsi" w:hAnsiTheme="minorHAnsi"/>
          <w:color w:val="000000"/>
        </w:rPr>
        <w:t>10.3%) and fatal AEs (11.3%</w:t>
      </w:r>
      <w:r w:rsidR="00C11183">
        <w:rPr>
          <w:rFonts w:asciiTheme="minorHAnsi" w:hAnsiTheme="minorHAnsi"/>
          <w:color w:val="000000"/>
        </w:rPr>
        <w:t xml:space="preserve"> versus </w:t>
      </w:r>
      <w:r w:rsidRPr="00C94C33">
        <w:rPr>
          <w:rFonts w:asciiTheme="minorHAnsi" w:hAnsiTheme="minorHAnsi"/>
          <w:color w:val="000000"/>
        </w:rPr>
        <w:t>3.2%). The high-level summary of AEs is provided below.</w:t>
      </w:r>
    </w:p>
    <w:p w14:paraId="00AD22A1" w14:textId="621A8336" w:rsidR="00DF61BC" w:rsidRPr="00C94C33" w:rsidRDefault="00DF61BC" w:rsidP="0058475B">
      <w:pPr>
        <w:pStyle w:val="Tabletitle"/>
      </w:pPr>
      <w:bookmarkStart w:id="348" w:name="_Toc470948695"/>
      <w:r w:rsidRPr="00C94C33">
        <w:t>Table</w:t>
      </w:r>
      <w:r w:rsidR="00AF4AFA" w:rsidRPr="00C94C33">
        <w:t xml:space="preserve"> 46</w:t>
      </w:r>
      <w:r w:rsidRPr="00C94C33">
        <w:t>: RE</w:t>
      </w:r>
      <w:r w:rsidR="00C526D3" w:rsidRPr="00C94C33">
        <w:t>C</w:t>
      </w:r>
      <w:r w:rsidRPr="00C94C33">
        <w:t>OUR</w:t>
      </w:r>
      <w:r w:rsidR="00C526D3" w:rsidRPr="00C94C33">
        <w:t>S</w:t>
      </w:r>
      <w:r w:rsidRPr="00C94C33">
        <w:t>E</w:t>
      </w:r>
      <w:r w:rsidR="00216FAA">
        <w:t xml:space="preserve">; </w:t>
      </w:r>
      <w:r w:rsidRPr="00C94C33">
        <w:t>Overview of adverse events, AT population</w:t>
      </w:r>
      <w:bookmarkEnd w:id="348"/>
    </w:p>
    <w:tbl>
      <w:tblPr>
        <w:tblW w:w="0" w:type="auto"/>
        <w:tblInd w:w="112" w:type="dxa"/>
        <w:tblBorders>
          <w:top w:val="single" w:sz="8" w:space="0" w:color="000000"/>
          <w:left w:val="single" w:sz="4" w:space="0" w:color="auto"/>
          <w:bottom w:val="single" w:sz="6" w:space="0" w:color="000000"/>
          <w:right w:val="single" w:sz="4" w:space="0" w:color="auto"/>
          <w:insideH w:val="single" w:sz="8" w:space="0" w:color="000000"/>
        </w:tblBorders>
        <w:tblLayout w:type="fixed"/>
        <w:tblCellMar>
          <w:left w:w="0" w:type="dxa"/>
          <w:right w:w="0" w:type="dxa"/>
        </w:tblCellMar>
        <w:tblLook w:val="0000" w:firstRow="0" w:lastRow="0" w:firstColumn="0" w:lastColumn="0" w:noHBand="0" w:noVBand="0"/>
      </w:tblPr>
      <w:tblGrid>
        <w:gridCol w:w="3618"/>
        <w:gridCol w:w="2979"/>
        <w:gridCol w:w="2979"/>
      </w:tblGrid>
      <w:tr w:rsidR="00DF61BC" w:rsidRPr="00C94C33" w14:paraId="0E3E68F8" w14:textId="77777777" w:rsidTr="006263CF">
        <w:trPr>
          <w:trHeight w:hRule="exact" w:val="433"/>
          <w:tblHeader/>
        </w:trPr>
        <w:tc>
          <w:tcPr>
            <w:tcW w:w="3618" w:type="dxa"/>
            <w:tcBorders>
              <w:bottom w:val="single" w:sz="8" w:space="0" w:color="000000"/>
              <w:right w:val="single" w:sz="4" w:space="0" w:color="auto"/>
            </w:tcBorders>
            <w:shd w:val="clear" w:color="auto" w:fill="auto"/>
          </w:tcPr>
          <w:p w14:paraId="0D161D7C" w14:textId="6FCA180A" w:rsidR="00DF61BC" w:rsidRPr="00C94C33" w:rsidRDefault="00DF61BC" w:rsidP="006263CF">
            <w:pPr>
              <w:pStyle w:val="TableHeading"/>
              <w:jc w:val="center"/>
            </w:pPr>
            <w:bookmarkStart w:id="349" w:name="12.1.4._Treatment_Compliance"/>
            <w:bookmarkStart w:id="350" w:name="12.1.5._Concomitant_G-CSF_Usage"/>
            <w:bookmarkStart w:id="351" w:name="12.2._Adverse_Events"/>
            <w:bookmarkStart w:id="352" w:name="12.2.1._Brief_Summary_of_Adverse_Events"/>
            <w:bookmarkStart w:id="353" w:name="Table_35:_Overview_of_Adverse_Events_(AT"/>
            <w:bookmarkEnd w:id="349"/>
            <w:bookmarkEnd w:id="350"/>
            <w:bookmarkEnd w:id="351"/>
            <w:bookmarkEnd w:id="352"/>
            <w:bookmarkEnd w:id="353"/>
            <w:r w:rsidRPr="00C94C33">
              <w:t>Number</w:t>
            </w:r>
            <w:r w:rsidRPr="00C94C33">
              <w:rPr>
                <w:spacing w:val="-7"/>
              </w:rPr>
              <w:t xml:space="preserve"> </w:t>
            </w:r>
            <w:r w:rsidRPr="00C94C33">
              <w:t>(%)</w:t>
            </w:r>
            <w:r w:rsidRPr="00C94C33">
              <w:rPr>
                <w:spacing w:val="-5"/>
              </w:rPr>
              <w:t xml:space="preserve"> </w:t>
            </w:r>
            <w:r w:rsidRPr="00C94C33">
              <w:t>of</w:t>
            </w:r>
            <w:r w:rsidRPr="00C94C33">
              <w:rPr>
                <w:spacing w:val="-7"/>
              </w:rPr>
              <w:t xml:space="preserve"> </w:t>
            </w:r>
            <w:r w:rsidRPr="00C94C33">
              <w:t>patients</w:t>
            </w:r>
          </w:p>
        </w:tc>
        <w:tc>
          <w:tcPr>
            <w:tcW w:w="2979" w:type="dxa"/>
            <w:tcBorders>
              <w:left w:val="single" w:sz="4" w:space="0" w:color="auto"/>
            </w:tcBorders>
            <w:shd w:val="clear" w:color="auto" w:fill="auto"/>
          </w:tcPr>
          <w:p w14:paraId="2475CADB" w14:textId="2E2892DF" w:rsidR="00DF61BC" w:rsidRPr="00C94C33" w:rsidRDefault="00DF61BC" w:rsidP="006263CF">
            <w:pPr>
              <w:pStyle w:val="TableHeading"/>
              <w:jc w:val="center"/>
            </w:pPr>
            <w:r w:rsidRPr="00C94C33">
              <w:rPr>
                <w:w w:val="95"/>
              </w:rPr>
              <w:t>TAS-102</w:t>
            </w:r>
            <w:r w:rsidRPr="00C94C33">
              <w:rPr>
                <w:w w:val="99"/>
              </w:rPr>
              <w:t xml:space="preserve"> </w:t>
            </w:r>
            <w:r w:rsidRPr="00C94C33">
              <w:t>(</w:t>
            </w:r>
            <w:r w:rsidR="009C0389" w:rsidRPr="00C94C33">
              <w:t xml:space="preserve">N = </w:t>
            </w:r>
            <w:r w:rsidRPr="00C94C33">
              <w:t>533)</w:t>
            </w:r>
          </w:p>
        </w:tc>
        <w:tc>
          <w:tcPr>
            <w:tcW w:w="2979" w:type="dxa"/>
            <w:shd w:val="clear" w:color="auto" w:fill="auto"/>
          </w:tcPr>
          <w:p w14:paraId="55F40A5D" w14:textId="65975033" w:rsidR="00DF61BC" w:rsidRPr="00C94C33" w:rsidRDefault="00DF61BC" w:rsidP="006263CF">
            <w:pPr>
              <w:pStyle w:val="TableHeading"/>
              <w:jc w:val="center"/>
            </w:pPr>
            <w:r w:rsidRPr="00C94C33">
              <w:t>Placebo</w:t>
            </w:r>
            <w:r w:rsidRPr="00C94C33">
              <w:rPr>
                <w:w w:val="99"/>
              </w:rPr>
              <w:t xml:space="preserve"> </w:t>
            </w:r>
            <w:r w:rsidRPr="00C94C33">
              <w:rPr>
                <w:w w:val="95"/>
              </w:rPr>
              <w:t>(</w:t>
            </w:r>
            <w:r w:rsidR="009C0389" w:rsidRPr="00C94C33">
              <w:rPr>
                <w:w w:val="95"/>
              </w:rPr>
              <w:t xml:space="preserve">N = </w:t>
            </w:r>
            <w:r w:rsidRPr="00C94C33">
              <w:rPr>
                <w:w w:val="95"/>
              </w:rPr>
              <w:t>265)</w:t>
            </w:r>
          </w:p>
        </w:tc>
      </w:tr>
      <w:tr w:rsidR="00DF61BC" w:rsidRPr="00C94C33" w14:paraId="75A3869E" w14:textId="77777777" w:rsidTr="006263CF">
        <w:trPr>
          <w:trHeight w:hRule="exact" w:val="328"/>
        </w:trPr>
        <w:tc>
          <w:tcPr>
            <w:tcW w:w="3618" w:type="dxa"/>
            <w:tcBorders>
              <w:bottom w:val="single" w:sz="8" w:space="0" w:color="000000"/>
              <w:right w:val="single" w:sz="4" w:space="0" w:color="auto"/>
            </w:tcBorders>
            <w:shd w:val="clear" w:color="auto" w:fill="auto"/>
          </w:tcPr>
          <w:p w14:paraId="0B4D9F5B" w14:textId="77777777" w:rsidR="00DF61BC" w:rsidRPr="00C94C33" w:rsidRDefault="00DF61BC" w:rsidP="006263CF">
            <w:pPr>
              <w:pStyle w:val="Tabletext"/>
            </w:pPr>
            <w:r w:rsidRPr="00C94C33">
              <w:t>Any</w:t>
            </w:r>
            <w:r w:rsidRPr="00C94C33">
              <w:rPr>
                <w:spacing w:val="-5"/>
              </w:rPr>
              <w:t xml:space="preserve"> </w:t>
            </w:r>
            <w:r w:rsidRPr="00C94C33">
              <w:rPr>
                <w:spacing w:val="-1"/>
              </w:rPr>
              <w:t>adverse</w:t>
            </w:r>
            <w:r w:rsidRPr="00C94C33">
              <w:rPr>
                <w:spacing w:val="-7"/>
              </w:rPr>
              <w:t xml:space="preserve"> </w:t>
            </w:r>
            <w:r w:rsidRPr="00C94C33">
              <w:t>event</w:t>
            </w:r>
            <w:r w:rsidRPr="00C94C33">
              <w:rPr>
                <w:spacing w:val="-6"/>
              </w:rPr>
              <w:t xml:space="preserve"> </w:t>
            </w:r>
            <w:r w:rsidRPr="00C94C33">
              <w:t>(AE)</w:t>
            </w:r>
          </w:p>
        </w:tc>
        <w:tc>
          <w:tcPr>
            <w:tcW w:w="2979" w:type="dxa"/>
            <w:tcBorders>
              <w:left w:val="single" w:sz="4" w:space="0" w:color="auto"/>
            </w:tcBorders>
            <w:shd w:val="clear" w:color="auto" w:fill="auto"/>
          </w:tcPr>
          <w:p w14:paraId="3BE70E72" w14:textId="77777777" w:rsidR="00DF61BC" w:rsidRPr="00C94C33" w:rsidRDefault="00DF61BC" w:rsidP="006263CF">
            <w:pPr>
              <w:pStyle w:val="Tabletext"/>
              <w:jc w:val="center"/>
            </w:pPr>
            <w:r w:rsidRPr="00C94C33">
              <w:t>524</w:t>
            </w:r>
            <w:r w:rsidRPr="00C94C33">
              <w:rPr>
                <w:spacing w:val="-9"/>
              </w:rPr>
              <w:t xml:space="preserve"> </w:t>
            </w:r>
            <w:r w:rsidRPr="00C94C33">
              <w:rPr>
                <w:spacing w:val="-1"/>
              </w:rPr>
              <w:t>(98.3)</w:t>
            </w:r>
          </w:p>
        </w:tc>
        <w:tc>
          <w:tcPr>
            <w:tcW w:w="2979" w:type="dxa"/>
            <w:shd w:val="clear" w:color="auto" w:fill="auto"/>
          </w:tcPr>
          <w:p w14:paraId="2A220195" w14:textId="77777777" w:rsidR="00DF61BC" w:rsidRPr="00C94C33" w:rsidRDefault="00DF61BC" w:rsidP="006263CF">
            <w:pPr>
              <w:pStyle w:val="Tabletext"/>
              <w:jc w:val="center"/>
            </w:pPr>
            <w:r w:rsidRPr="00C94C33">
              <w:t>247</w:t>
            </w:r>
            <w:r w:rsidRPr="00C94C33">
              <w:rPr>
                <w:spacing w:val="-9"/>
              </w:rPr>
              <w:t xml:space="preserve"> </w:t>
            </w:r>
            <w:r w:rsidRPr="00C94C33">
              <w:rPr>
                <w:spacing w:val="-1"/>
              </w:rPr>
              <w:t>(93.2)</w:t>
            </w:r>
          </w:p>
        </w:tc>
      </w:tr>
      <w:tr w:rsidR="00DF61BC" w:rsidRPr="00C94C33" w14:paraId="1251BFEB" w14:textId="77777777" w:rsidTr="006263CF">
        <w:trPr>
          <w:trHeight w:hRule="exact" w:val="329"/>
        </w:trPr>
        <w:tc>
          <w:tcPr>
            <w:tcW w:w="3618" w:type="dxa"/>
            <w:tcBorders>
              <w:bottom w:val="single" w:sz="8" w:space="0" w:color="000000"/>
              <w:right w:val="single" w:sz="4" w:space="0" w:color="auto"/>
            </w:tcBorders>
            <w:shd w:val="clear" w:color="auto" w:fill="auto"/>
          </w:tcPr>
          <w:p w14:paraId="1D706545" w14:textId="78EC9089" w:rsidR="00DF61BC" w:rsidRPr="00C94C33" w:rsidRDefault="00DF61BC" w:rsidP="006263CF">
            <w:pPr>
              <w:pStyle w:val="Tabletext"/>
            </w:pPr>
            <w:r w:rsidRPr="00C94C33">
              <w:t>Any</w:t>
            </w:r>
            <w:r w:rsidRPr="00C94C33">
              <w:rPr>
                <w:spacing w:val="-11"/>
              </w:rPr>
              <w:t xml:space="preserve"> </w:t>
            </w:r>
            <w:r w:rsidRPr="00C94C33">
              <w:rPr>
                <w:spacing w:val="-1"/>
              </w:rPr>
              <w:t>treatment</w:t>
            </w:r>
            <w:r w:rsidR="00BF6EFD">
              <w:rPr>
                <w:spacing w:val="-1"/>
              </w:rPr>
              <w:t xml:space="preserve"> </w:t>
            </w:r>
            <w:r w:rsidRPr="00C94C33">
              <w:rPr>
                <w:spacing w:val="-1"/>
              </w:rPr>
              <w:t>related</w:t>
            </w:r>
            <w:r w:rsidRPr="00C94C33">
              <w:rPr>
                <w:spacing w:val="-11"/>
              </w:rPr>
              <w:t xml:space="preserve"> </w:t>
            </w:r>
            <w:r w:rsidRPr="00C94C33">
              <w:t>AE</w:t>
            </w:r>
          </w:p>
        </w:tc>
        <w:tc>
          <w:tcPr>
            <w:tcW w:w="2979" w:type="dxa"/>
            <w:tcBorders>
              <w:left w:val="single" w:sz="4" w:space="0" w:color="auto"/>
            </w:tcBorders>
            <w:shd w:val="clear" w:color="auto" w:fill="auto"/>
          </w:tcPr>
          <w:p w14:paraId="7BE9C3EE" w14:textId="77777777" w:rsidR="00DF61BC" w:rsidRPr="00C94C33" w:rsidRDefault="00DF61BC" w:rsidP="006263CF">
            <w:pPr>
              <w:pStyle w:val="Tabletext"/>
              <w:jc w:val="center"/>
            </w:pPr>
            <w:r w:rsidRPr="00C94C33">
              <w:t>457</w:t>
            </w:r>
            <w:r w:rsidRPr="00C94C33">
              <w:rPr>
                <w:spacing w:val="-9"/>
              </w:rPr>
              <w:t xml:space="preserve"> </w:t>
            </w:r>
            <w:r w:rsidRPr="00C94C33">
              <w:rPr>
                <w:spacing w:val="-1"/>
              </w:rPr>
              <w:t>(85.7)</w:t>
            </w:r>
          </w:p>
        </w:tc>
        <w:tc>
          <w:tcPr>
            <w:tcW w:w="2979" w:type="dxa"/>
            <w:shd w:val="clear" w:color="auto" w:fill="auto"/>
          </w:tcPr>
          <w:p w14:paraId="520E86AF" w14:textId="77777777" w:rsidR="00DF61BC" w:rsidRPr="00C94C33" w:rsidRDefault="00DF61BC" w:rsidP="006263CF">
            <w:pPr>
              <w:pStyle w:val="Tabletext"/>
              <w:jc w:val="center"/>
            </w:pPr>
            <w:r w:rsidRPr="00C94C33">
              <w:t>145</w:t>
            </w:r>
            <w:r w:rsidRPr="00C94C33">
              <w:rPr>
                <w:spacing w:val="-9"/>
              </w:rPr>
              <w:t xml:space="preserve"> </w:t>
            </w:r>
            <w:r w:rsidRPr="00C94C33">
              <w:rPr>
                <w:spacing w:val="-1"/>
              </w:rPr>
              <w:t>(54.7)</w:t>
            </w:r>
          </w:p>
        </w:tc>
      </w:tr>
      <w:tr w:rsidR="00DF61BC" w:rsidRPr="00C94C33" w14:paraId="479408DB" w14:textId="77777777" w:rsidTr="006263CF">
        <w:trPr>
          <w:trHeight w:hRule="exact" w:val="328"/>
        </w:trPr>
        <w:tc>
          <w:tcPr>
            <w:tcW w:w="3618" w:type="dxa"/>
            <w:tcBorders>
              <w:bottom w:val="single" w:sz="8" w:space="0" w:color="000000"/>
              <w:right w:val="single" w:sz="4" w:space="0" w:color="auto"/>
            </w:tcBorders>
            <w:shd w:val="clear" w:color="auto" w:fill="auto"/>
          </w:tcPr>
          <w:p w14:paraId="653C53C4" w14:textId="1881BD46" w:rsidR="00DF61BC" w:rsidRPr="00C94C33" w:rsidRDefault="00DF61BC" w:rsidP="006263CF">
            <w:pPr>
              <w:pStyle w:val="Tabletext"/>
            </w:pPr>
            <w:r w:rsidRPr="00C94C33">
              <w:t>Any</w:t>
            </w:r>
            <w:r w:rsidRPr="00C94C33">
              <w:rPr>
                <w:spacing w:val="-3"/>
              </w:rPr>
              <w:t xml:space="preserve"> </w:t>
            </w:r>
            <w:r w:rsidRPr="00C94C33">
              <w:rPr>
                <w:spacing w:val="-1"/>
              </w:rPr>
              <w:t>≥</w:t>
            </w:r>
            <w:r w:rsidR="00BF6EFD">
              <w:rPr>
                <w:spacing w:val="-1"/>
              </w:rPr>
              <w:t xml:space="preserve"> </w:t>
            </w:r>
            <w:r w:rsidRPr="00C94C33">
              <w:rPr>
                <w:spacing w:val="-1"/>
              </w:rPr>
              <w:t>Grade</w:t>
            </w:r>
            <w:r w:rsidRPr="00C94C33">
              <w:rPr>
                <w:spacing w:val="-5"/>
              </w:rPr>
              <w:t xml:space="preserve"> </w:t>
            </w:r>
            <w:r w:rsidRPr="00C94C33">
              <w:t>3</w:t>
            </w:r>
            <w:r w:rsidRPr="00C94C33">
              <w:rPr>
                <w:spacing w:val="-5"/>
              </w:rPr>
              <w:t xml:space="preserve"> </w:t>
            </w:r>
            <w:r w:rsidRPr="00C94C33">
              <w:t>AE</w:t>
            </w:r>
          </w:p>
        </w:tc>
        <w:tc>
          <w:tcPr>
            <w:tcW w:w="2979" w:type="dxa"/>
            <w:tcBorders>
              <w:left w:val="single" w:sz="4" w:space="0" w:color="auto"/>
            </w:tcBorders>
            <w:shd w:val="clear" w:color="auto" w:fill="auto"/>
          </w:tcPr>
          <w:p w14:paraId="56666549" w14:textId="77777777" w:rsidR="00DF61BC" w:rsidRPr="00C94C33" w:rsidRDefault="00DF61BC" w:rsidP="006263CF">
            <w:pPr>
              <w:pStyle w:val="Tabletext"/>
              <w:jc w:val="center"/>
            </w:pPr>
            <w:r w:rsidRPr="00C94C33">
              <w:t>370</w:t>
            </w:r>
            <w:r w:rsidRPr="00C94C33">
              <w:rPr>
                <w:spacing w:val="-9"/>
              </w:rPr>
              <w:t xml:space="preserve"> </w:t>
            </w:r>
            <w:r w:rsidRPr="00C94C33">
              <w:rPr>
                <w:spacing w:val="-1"/>
              </w:rPr>
              <w:t>(69.4)</w:t>
            </w:r>
          </w:p>
        </w:tc>
        <w:tc>
          <w:tcPr>
            <w:tcW w:w="2979" w:type="dxa"/>
            <w:shd w:val="clear" w:color="auto" w:fill="auto"/>
          </w:tcPr>
          <w:p w14:paraId="31488E9E" w14:textId="77777777" w:rsidR="00DF61BC" w:rsidRPr="00C94C33" w:rsidRDefault="00DF61BC" w:rsidP="006263CF">
            <w:pPr>
              <w:pStyle w:val="Tabletext"/>
              <w:jc w:val="center"/>
            </w:pPr>
            <w:r w:rsidRPr="00C94C33">
              <w:t>137</w:t>
            </w:r>
            <w:r w:rsidRPr="00C94C33">
              <w:rPr>
                <w:spacing w:val="-9"/>
              </w:rPr>
              <w:t xml:space="preserve"> </w:t>
            </w:r>
            <w:r w:rsidRPr="00C94C33">
              <w:rPr>
                <w:spacing w:val="-1"/>
              </w:rPr>
              <w:t>(51.7)</w:t>
            </w:r>
          </w:p>
        </w:tc>
      </w:tr>
      <w:tr w:rsidR="00DF61BC" w:rsidRPr="00C94C33" w14:paraId="1B3EE422" w14:textId="77777777" w:rsidTr="006263CF">
        <w:trPr>
          <w:trHeight w:hRule="exact" w:val="328"/>
        </w:trPr>
        <w:tc>
          <w:tcPr>
            <w:tcW w:w="3618" w:type="dxa"/>
            <w:tcBorders>
              <w:bottom w:val="single" w:sz="8" w:space="0" w:color="000000"/>
              <w:right w:val="single" w:sz="4" w:space="0" w:color="auto"/>
            </w:tcBorders>
            <w:shd w:val="clear" w:color="auto" w:fill="auto"/>
          </w:tcPr>
          <w:p w14:paraId="1524A203" w14:textId="77777777" w:rsidR="00DF61BC" w:rsidRPr="00C94C33" w:rsidRDefault="00DF61BC" w:rsidP="006263CF">
            <w:pPr>
              <w:pStyle w:val="Tabletext"/>
            </w:pPr>
            <w:r w:rsidRPr="00C94C33">
              <w:lastRenderedPageBreak/>
              <w:t>Any</w:t>
            </w:r>
            <w:r w:rsidRPr="00C94C33">
              <w:rPr>
                <w:spacing w:val="-8"/>
              </w:rPr>
              <w:t xml:space="preserve"> </w:t>
            </w:r>
            <w:r w:rsidRPr="00C94C33">
              <w:rPr>
                <w:spacing w:val="-1"/>
              </w:rPr>
              <w:t>treatment-related</w:t>
            </w:r>
            <w:r w:rsidRPr="00C94C33">
              <w:rPr>
                <w:spacing w:val="-8"/>
              </w:rPr>
              <w:t xml:space="preserve"> </w:t>
            </w:r>
            <w:r w:rsidRPr="00C94C33">
              <w:t>≥Grade</w:t>
            </w:r>
            <w:r w:rsidRPr="00C94C33">
              <w:rPr>
                <w:spacing w:val="-8"/>
              </w:rPr>
              <w:t xml:space="preserve"> </w:t>
            </w:r>
            <w:r w:rsidRPr="00C94C33">
              <w:t>3</w:t>
            </w:r>
            <w:r w:rsidRPr="00C94C33">
              <w:rPr>
                <w:spacing w:val="-7"/>
              </w:rPr>
              <w:t xml:space="preserve"> </w:t>
            </w:r>
            <w:r w:rsidRPr="00C94C33">
              <w:t>AE</w:t>
            </w:r>
          </w:p>
        </w:tc>
        <w:tc>
          <w:tcPr>
            <w:tcW w:w="2979" w:type="dxa"/>
            <w:tcBorders>
              <w:left w:val="single" w:sz="4" w:space="0" w:color="auto"/>
            </w:tcBorders>
            <w:shd w:val="clear" w:color="auto" w:fill="auto"/>
          </w:tcPr>
          <w:p w14:paraId="39680882" w14:textId="77777777" w:rsidR="00DF61BC" w:rsidRPr="00C94C33" w:rsidRDefault="00DF61BC" w:rsidP="006263CF">
            <w:pPr>
              <w:pStyle w:val="Tabletext"/>
              <w:jc w:val="center"/>
            </w:pPr>
            <w:r w:rsidRPr="00C94C33">
              <w:t>261</w:t>
            </w:r>
            <w:r w:rsidRPr="00C94C33">
              <w:rPr>
                <w:spacing w:val="-9"/>
              </w:rPr>
              <w:t xml:space="preserve"> </w:t>
            </w:r>
            <w:r w:rsidRPr="00C94C33">
              <w:rPr>
                <w:spacing w:val="-1"/>
              </w:rPr>
              <w:t>(49.0)</w:t>
            </w:r>
          </w:p>
        </w:tc>
        <w:tc>
          <w:tcPr>
            <w:tcW w:w="2979" w:type="dxa"/>
            <w:shd w:val="clear" w:color="auto" w:fill="auto"/>
          </w:tcPr>
          <w:p w14:paraId="671B3EA3" w14:textId="77777777" w:rsidR="00DF61BC" w:rsidRPr="00C94C33" w:rsidRDefault="00DF61BC" w:rsidP="006263CF">
            <w:pPr>
              <w:pStyle w:val="Tabletext"/>
              <w:jc w:val="center"/>
            </w:pPr>
            <w:r w:rsidRPr="00C94C33">
              <w:t>26</w:t>
            </w:r>
            <w:r w:rsidRPr="00C94C33">
              <w:rPr>
                <w:spacing w:val="-7"/>
              </w:rPr>
              <w:t xml:space="preserve"> </w:t>
            </w:r>
            <w:r w:rsidRPr="00C94C33">
              <w:rPr>
                <w:spacing w:val="-1"/>
              </w:rPr>
              <w:t>(9.8)</w:t>
            </w:r>
          </w:p>
        </w:tc>
      </w:tr>
      <w:tr w:rsidR="00DF61BC" w:rsidRPr="00C94C33" w14:paraId="155D76C8" w14:textId="77777777" w:rsidTr="006263CF">
        <w:trPr>
          <w:trHeight w:hRule="exact" w:val="329"/>
        </w:trPr>
        <w:tc>
          <w:tcPr>
            <w:tcW w:w="3618" w:type="dxa"/>
            <w:tcBorders>
              <w:bottom w:val="single" w:sz="8" w:space="0" w:color="000000"/>
              <w:right w:val="single" w:sz="4" w:space="0" w:color="auto"/>
            </w:tcBorders>
            <w:shd w:val="clear" w:color="auto" w:fill="auto"/>
          </w:tcPr>
          <w:p w14:paraId="56C2BBED" w14:textId="77777777" w:rsidR="00DF61BC" w:rsidRPr="00C94C33" w:rsidRDefault="00DF61BC" w:rsidP="006263CF">
            <w:pPr>
              <w:pStyle w:val="Tabletext"/>
            </w:pPr>
            <w:r w:rsidRPr="00C94C33">
              <w:t>Any</w:t>
            </w:r>
            <w:r w:rsidRPr="00C94C33">
              <w:rPr>
                <w:spacing w:val="-5"/>
              </w:rPr>
              <w:t xml:space="preserve"> </w:t>
            </w:r>
            <w:r w:rsidRPr="00C94C33">
              <w:t>serious</w:t>
            </w:r>
            <w:r w:rsidRPr="00C94C33">
              <w:rPr>
                <w:spacing w:val="-8"/>
              </w:rPr>
              <w:t xml:space="preserve"> </w:t>
            </w:r>
            <w:r w:rsidRPr="00C94C33">
              <w:t>AE</w:t>
            </w:r>
            <w:r w:rsidRPr="00C94C33">
              <w:rPr>
                <w:spacing w:val="-6"/>
              </w:rPr>
              <w:t xml:space="preserve"> </w:t>
            </w:r>
            <w:r w:rsidRPr="00C94C33">
              <w:t>(SAE)</w:t>
            </w:r>
            <w:r w:rsidRPr="00C94C33">
              <w:rPr>
                <w:position w:val="10"/>
              </w:rPr>
              <w:t>a</w:t>
            </w:r>
          </w:p>
        </w:tc>
        <w:tc>
          <w:tcPr>
            <w:tcW w:w="2979" w:type="dxa"/>
            <w:tcBorders>
              <w:left w:val="single" w:sz="4" w:space="0" w:color="auto"/>
            </w:tcBorders>
            <w:shd w:val="clear" w:color="auto" w:fill="auto"/>
          </w:tcPr>
          <w:p w14:paraId="07B04932" w14:textId="77777777" w:rsidR="00DF61BC" w:rsidRPr="00C94C33" w:rsidRDefault="00DF61BC" w:rsidP="006263CF">
            <w:pPr>
              <w:pStyle w:val="Tabletext"/>
              <w:jc w:val="center"/>
            </w:pPr>
            <w:r w:rsidRPr="00C94C33">
              <w:t>158</w:t>
            </w:r>
            <w:r w:rsidRPr="00C94C33">
              <w:rPr>
                <w:spacing w:val="-9"/>
              </w:rPr>
              <w:t xml:space="preserve"> </w:t>
            </w:r>
            <w:r w:rsidRPr="00C94C33">
              <w:rPr>
                <w:spacing w:val="-1"/>
              </w:rPr>
              <w:t>(29.6)</w:t>
            </w:r>
          </w:p>
        </w:tc>
        <w:tc>
          <w:tcPr>
            <w:tcW w:w="2979" w:type="dxa"/>
            <w:shd w:val="clear" w:color="auto" w:fill="auto"/>
          </w:tcPr>
          <w:p w14:paraId="10F4AB54" w14:textId="77777777" w:rsidR="00DF61BC" w:rsidRPr="00C94C33" w:rsidRDefault="00DF61BC" w:rsidP="006263CF">
            <w:pPr>
              <w:pStyle w:val="Tabletext"/>
              <w:jc w:val="center"/>
            </w:pPr>
            <w:r w:rsidRPr="00C94C33">
              <w:t>89</w:t>
            </w:r>
            <w:r w:rsidRPr="00C94C33">
              <w:rPr>
                <w:spacing w:val="-8"/>
              </w:rPr>
              <w:t xml:space="preserve"> </w:t>
            </w:r>
            <w:r w:rsidRPr="00C94C33">
              <w:rPr>
                <w:spacing w:val="-1"/>
              </w:rPr>
              <w:t>(33.6)</w:t>
            </w:r>
          </w:p>
        </w:tc>
      </w:tr>
      <w:tr w:rsidR="00DF61BC" w:rsidRPr="00C94C33" w14:paraId="593003F6" w14:textId="77777777" w:rsidTr="006263CF">
        <w:trPr>
          <w:trHeight w:hRule="exact" w:val="328"/>
        </w:trPr>
        <w:tc>
          <w:tcPr>
            <w:tcW w:w="3618" w:type="dxa"/>
            <w:tcBorders>
              <w:bottom w:val="single" w:sz="8" w:space="0" w:color="000000"/>
              <w:right w:val="single" w:sz="4" w:space="0" w:color="auto"/>
            </w:tcBorders>
            <w:shd w:val="clear" w:color="auto" w:fill="auto"/>
          </w:tcPr>
          <w:p w14:paraId="3DA29226" w14:textId="77777777" w:rsidR="00DF61BC" w:rsidRPr="00C94C33" w:rsidRDefault="00DF61BC" w:rsidP="006263CF">
            <w:pPr>
              <w:pStyle w:val="Tabletext"/>
            </w:pPr>
            <w:r w:rsidRPr="00C94C33">
              <w:t>Any</w:t>
            </w:r>
            <w:r w:rsidRPr="00C94C33">
              <w:rPr>
                <w:spacing w:val="-6"/>
              </w:rPr>
              <w:t xml:space="preserve"> </w:t>
            </w:r>
            <w:r w:rsidRPr="00C94C33">
              <w:t>AE</w:t>
            </w:r>
            <w:r w:rsidRPr="00C94C33">
              <w:rPr>
                <w:spacing w:val="-8"/>
              </w:rPr>
              <w:t xml:space="preserve"> </w:t>
            </w:r>
            <w:r w:rsidRPr="00C94C33">
              <w:rPr>
                <w:spacing w:val="-1"/>
              </w:rPr>
              <w:t>resulting</w:t>
            </w:r>
            <w:r w:rsidRPr="00C94C33">
              <w:rPr>
                <w:spacing w:val="-7"/>
              </w:rPr>
              <w:t xml:space="preserve"> </w:t>
            </w:r>
            <w:r w:rsidRPr="00C94C33">
              <w:t>in</w:t>
            </w:r>
            <w:r w:rsidRPr="00C94C33">
              <w:rPr>
                <w:spacing w:val="-8"/>
              </w:rPr>
              <w:t xml:space="preserve"> </w:t>
            </w:r>
            <w:r w:rsidRPr="00C94C33">
              <w:rPr>
                <w:spacing w:val="-1"/>
              </w:rPr>
              <w:t>discontinuation</w:t>
            </w:r>
          </w:p>
        </w:tc>
        <w:tc>
          <w:tcPr>
            <w:tcW w:w="2979" w:type="dxa"/>
            <w:tcBorders>
              <w:left w:val="single" w:sz="4" w:space="0" w:color="auto"/>
            </w:tcBorders>
            <w:shd w:val="clear" w:color="auto" w:fill="auto"/>
          </w:tcPr>
          <w:p w14:paraId="20CD9E30" w14:textId="77777777" w:rsidR="00DF61BC" w:rsidRPr="00C94C33" w:rsidRDefault="00DF61BC" w:rsidP="006263CF">
            <w:pPr>
              <w:pStyle w:val="Tabletext"/>
              <w:jc w:val="center"/>
            </w:pPr>
            <w:r w:rsidRPr="00C94C33">
              <w:t>55</w:t>
            </w:r>
            <w:r w:rsidRPr="00C94C33">
              <w:rPr>
                <w:spacing w:val="-8"/>
              </w:rPr>
              <w:t xml:space="preserve"> </w:t>
            </w:r>
            <w:r w:rsidRPr="00C94C33">
              <w:rPr>
                <w:spacing w:val="-1"/>
              </w:rPr>
              <w:t>(10.3)</w:t>
            </w:r>
          </w:p>
        </w:tc>
        <w:tc>
          <w:tcPr>
            <w:tcW w:w="2979" w:type="dxa"/>
            <w:shd w:val="clear" w:color="auto" w:fill="auto"/>
          </w:tcPr>
          <w:p w14:paraId="0B3A5DE0" w14:textId="77777777" w:rsidR="00DF61BC" w:rsidRPr="00C94C33" w:rsidRDefault="00DF61BC" w:rsidP="006263CF">
            <w:pPr>
              <w:pStyle w:val="Tabletext"/>
              <w:jc w:val="center"/>
            </w:pPr>
            <w:r w:rsidRPr="00C94C33">
              <w:t>36</w:t>
            </w:r>
            <w:r w:rsidRPr="00C94C33">
              <w:rPr>
                <w:spacing w:val="-8"/>
              </w:rPr>
              <w:t xml:space="preserve"> </w:t>
            </w:r>
            <w:r w:rsidRPr="00C94C33">
              <w:rPr>
                <w:spacing w:val="-1"/>
              </w:rPr>
              <w:t>(13.6)</w:t>
            </w:r>
          </w:p>
        </w:tc>
      </w:tr>
      <w:tr w:rsidR="00DF61BC" w:rsidRPr="00C94C33" w14:paraId="737346F7" w14:textId="77777777" w:rsidTr="006263CF">
        <w:trPr>
          <w:trHeight w:hRule="exact" w:val="327"/>
        </w:trPr>
        <w:tc>
          <w:tcPr>
            <w:tcW w:w="3618" w:type="dxa"/>
            <w:tcBorders>
              <w:bottom w:val="single" w:sz="6" w:space="0" w:color="000000"/>
              <w:right w:val="single" w:sz="4" w:space="0" w:color="auto"/>
            </w:tcBorders>
            <w:shd w:val="clear" w:color="auto" w:fill="auto"/>
          </w:tcPr>
          <w:p w14:paraId="2214C6F1" w14:textId="77777777" w:rsidR="00DF61BC" w:rsidRPr="00C94C33" w:rsidRDefault="00DF61BC" w:rsidP="006263CF">
            <w:pPr>
              <w:pStyle w:val="Tabletext"/>
            </w:pPr>
            <w:r w:rsidRPr="00C94C33">
              <w:t>Any</w:t>
            </w:r>
            <w:r w:rsidRPr="00C94C33">
              <w:rPr>
                <w:spacing w:val="-4"/>
              </w:rPr>
              <w:t xml:space="preserve"> </w:t>
            </w:r>
            <w:r w:rsidRPr="00C94C33">
              <w:t>AE</w:t>
            </w:r>
            <w:r w:rsidRPr="00C94C33">
              <w:rPr>
                <w:spacing w:val="-5"/>
              </w:rPr>
              <w:t xml:space="preserve"> </w:t>
            </w:r>
            <w:r w:rsidRPr="00C94C33">
              <w:t>with</w:t>
            </w:r>
            <w:r w:rsidRPr="00C94C33">
              <w:rPr>
                <w:spacing w:val="-5"/>
              </w:rPr>
              <w:t xml:space="preserve"> </w:t>
            </w:r>
            <w:r w:rsidRPr="00C94C33">
              <w:rPr>
                <w:spacing w:val="-1"/>
              </w:rPr>
              <w:t>outcome</w:t>
            </w:r>
            <w:r w:rsidRPr="00C94C33">
              <w:rPr>
                <w:spacing w:val="-6"/>
              </w:rPr>
              <w:t xml:space="preserve"> </w:t>
            </w:r>
            <w:r w:rsidRPr="00C94C33">
              <w:t>of</w:t>
            </w:r>
            <w:r w:rsidRPr="00C94C33">
              <w:rPr>
                <w:spacing w:val="-5"/>
              </w:rPr>
              <w:t xml:space="preserve"> </w:t>
            </w:r>
            <w:r w:rsidRPr="00C94C33">
              <w:t>death</w:t>
            </w:r>
          </w:p>
        </w:tc>
        <w:tc>
          <w:tcPr>
            <w:tcW w:w="2979" w:type="dxa"/>
            <w:tcBorders>
              <w:left w:val="single" w:sz="4" w:space="0" w:color="auto"/>
            </w:tcBorders>
            <w:shd w:val="clear" w:color="auto" w:fill="auto"/>
          </w:tcPr>
          <w:p w14:paraId="1220C579" w14:textId="77777777" w:rsidR="00DF61BC" w:rsidRPr="00C94C33" w:rsidRDefault="00DF61BC" w:rsidP="006263CF">
            <w:pPr>
              <w:pStyle w:val="Tabletext"/>
              <w:jc w:val="center"/>
            </w:pPr>
            <w:r w:rsidRPr="00C94C33">
              <w:t>17</w:t>
            </w:r>
            <w:r w:rsidRPr="00C94C33">
              <w:rPr>
                <w:spacing w:val="-7"/>
              </w:rPr>
              <w:t xml:space="preserve"> </w:t>
            </w:r>
            <w:r w:rsidRPr="00C94C33">
              <w:rPr>
                <w:spacing w:val="-1"/>
              </w:rPr>
              <w:t>(3.2)</w:t>
            </w:r>
          </w:p>
        </w:tc>
        <w:tc>
          <w:tcPr>
            <w:tcW w:w="2979" w:type="dxa"/>
            <w:shd w:val="clear" w:color="auto" w:fill="auto"/>
          </w:tcPr>
          <w:p w14:paraId="0E447619" w14:textId="77777777" w:rsidR="00DF61BC" w:rsidRPr="00C94C33" w:rsidRDefault="00DF61BC" w:rsidP="006263CF">
            <w:pPr>
              <w:pStyle w:val="Tabletext"/>
              <w:jc w:val="center"/>
            </w:pPr>
            <w:r w:rsidRPr="00C94C33">
              <w:t>30</w:t>
            </w:r>
            <w:r w:rsidRPr="00C94C33">
              <w:rPr>
                <w:spacing w:val="-8"/>
              </w:rPr>
              <w:t xml:space="preserve"> </w:t>
            </w:r>
            <w:r w:rsidRPr="00C94C33">
              <w:rPr>
                <w:spacing w:val="-1"/>
              </w:rPr>
              <w:t>(11.3)</w:t>
            </w:r>
          </w:p>
        </w:tc>
      </w:tr>
    </w:tbl>
    <w:p w14:paraId="2876602D" w14:textId="77777777" w:rsidR="00DF61BC" w:rsidRPr="00C94C33" w:rsidRDefault="00AF4AFA" w:rsidP="00AF4AFA">
      <w:pPr>
        <w:pStyle w:val="TableDescription"/>
      </w:pPr>
      <w:r w:rsidRPr="00C94C33">
        <w:t xml:space="preserve">a. </w:t>
      </w:r>
      <w:r w:rsidR="00DF61BC" w:rsidRPr="00C94C33">
        <w:t>Per-protocol, death due to disease progression was not reported as an SAE.</w:t>
      </w:r>
    </w:p>
    <w:p w14:paraId="1DDA810A" w14:textId="77777777" w:rsidR="00AA7141" w:rsidRDefault="00DF61BC" w:rsidP="00955252">
      <w:pPr>
        <w:pStyle w:val="Heading5"/>
      </w:pPr>
      <w:bookmarkStart w:id="354" w:name="_Toc470948570"/>
      <w:r w:rsidRPr="00C94C33">
        <w:t>Adverse events by system organ class (SOC)</w:t>
      </w:r>
      <w:bookmarkEnd w:id="354"/>
    </w:p>
    <w:p w14:paraId="1463C0FF" w14:textId="74593887" w:rsidR="00125D77" w:rsidRPr="00C94C33" w:rsidRDefault="00DF61BC" w:rsidP="005C2FCA">
      <w:pPr>
        <w:rPr>
          <w:rFonts w:cstheme="minorBidi"/>
          <w:b/>
        </w:rPr>
      </w:pPr>
      <w:r w:rsidRPr="00C94C33">
        <w:t>AEs reported in ≥ 10% of patients in the TAS-102 group compared to the placebo group by MedDRA</w:t>
      </w:r>
      <w:r w:rsidR="00125D77" w:rsidRPr="00C94C33">
        <w:t xml:space="preserve"> SOC group are summarised below</w:t>
      </w:r>
      <w:r w:rsidRPr="00C94C33">
        <w:t>.</w:t>
      </w:r>
      <w:bookmarkStart w:id="355" w:name="_Toc470948696"/>
    </w:p>
    <w:p w14:paraId="51EFB9C6" w14:textId="61AEAE84" w:rsidR="00DF61BC" w:rsidRPr="00C94C33" w:rsidRDefault="00DF61BC" w:rsidP="0058475B">
      <w:pPr>
        <w:pStyle w:val="Tabletitle"/>
      </w:pPr>
      <w:r w:rsidRPr="00C94C33">
        <w:t>Table</w:t>
      </w:r>
      <w:r w:rsidR="00125D77" w:rsidRPr="00C94C33">
        <w:t xml:space="preserve"> 47</w:t>
      </w:r>
      <w:r w:rsidRPr="00C94C33">
        <w:t>: RE</w:t>
      </w:r>
      <w:r w:rsidR="00C526D3" w:rsidRPr="00C94C33">
        <w:t>C</w:t>
      </w:r>
      <w:r w:rsidRPr="00C94C33">
        <w:t>OUR</w:t>
      </w:r>
      <w:r w:rsidR="00C526D3" w:rsidRPr="00C94C33">
        <w:t>S</w:t>
      </w:r>
      <w:r w:rsidRPr="00C94C33">
        <w:t>E</w:t>
      </w:r>
      <w:r w:rsidR="00BF6EFD">
        <w:t xml:space="preserve">; </w:t>
      </w:r>
      <w:r w:rsidRPr="00C94C33">
        <w:t>Adverse events by system, organ, class, AT population</w:t>
      </w:r>
      <w:bookmarkEnd w:id="355"/>
    </w:p>
    <w:tbl>
      <w:tblPr>
        <w:tblStyle w:val="TableGrid"/>
        <w:tblW w:w="9422" w:type="dxa"/>
        <w:tblLook w:val="04A0" w:firstRow="1" w:lastRow="0" w:firstColumn="1" w:lastColumn="0" w:noHBand="0" w:noVBand="1"/>
        <w:tblDescription w:val="Table 47: RECOURSE; Adverse events by system, organ, class, AT population"/>
      </w:tblPr>
      <w:tblGrid>
        <w:gridCol w:w="2943"/>
        <w:gridCol w:w="1701"/>
        <w:gridCol w:w="1376"/>
        <w:gridCol w:w="1701"/>
        <w:gridCol w:w="1701"/>
      </w:tblGrid>
      <w:tr w:rsidR="006263CF" w:rsidRPr="00C94C33" w14:paraId="2DE9313B" w14:textId="77777777" w:rsidTr="006263CF">
        <w:trPr>
          <w:tblHeader/>
        </w:trPr>
        <w:tc>
          <w:tcPr>
            <w:tcW w:w="2943" w:type="dxa"/>
            <w:tcBorders>
              <w:left w:val="single" w:sz="4" w:space="0" w:color="auto"/>
              <w:bottom w:val="nil"/>
            </w:tcBorders>
            <w:shd w:val="clear" w:color="auto" w:fill="auto"/>
          </w:tcPr>
          <w:p w14:paraId="74B6B12D" w14:textId="77777777" w:rsidR="006263CF" w:rsidRPr="00C94C33" w:rsidRDefault="006263CF" w:rsidP="006263CF">
            <w:pPr>
              <w:pStyle w:val="TableHeading"/>
            </w:pPr>
            <w:r w:rsidRPr="00C94C33">
              <w:t>MedDRA SOC</w:t>
            </w:r>
          </w:p>
        </w:tc>
        <w:tc>
          <w:tcPr>
            <w:tcW w:w="3077" w:type="dxa"/>
            <w:gridSpan w:val="2"/>
            <w:tcBorders>
              <w:bottom w:val="nil"/>
              <w:right w:val="nil"/>
            </w:tcBorders>
            <w:shd w:val="clear" w:color="auto" w:fill="auto"/>
          </w:tcPr>
          <w:p w14:paraId="1FB7F9CB" w14:textId="0569EB47" w:rsidR="006263CF" w:rsidRPr="00C94C33" w:rsidRDefault="006263CF" w:rsidP="006263CF">
            <w:pPr>
              <w:pStyle w:val="TableHeading"/>
            </w:pPr>
            <w:r w:rsidRPr="00C94C33">
              <w:t>TAS-102 (n = 533); n (%)</w:t>
            </w:r>
          </w:p>
        </w:tc>
        <w:tc>
          <w:tcPr>
            <w:tcW w:w="3402" w:type="dxa"/>
            <w:gridSpan w:val="2"/>
            <w:tcBorders>
              <w:left w:val="nil"/>
              <w:bottom w:val="nil"/>
              <w:right w:val="single" w:sz="4" w:space="0" w:color="auto"/>
            </w:tcBorders>
            <w:shd w:val="clear" w:color="auto" w:fill="auto"/>
          </w:tcPr>
          <w:p w14:paraId="65E56F3C" w14:textId="4B73B6CB" w:rsidR="006263CF" w:rsidRPr="00C94C33" w:rsidRDefault="006263CF" w:rsidP="006263CF">
            <w:pPr>
              <w:pStyle w:val="TableHeading"/>
            </w:pPr>
            <w:r w:rsidRPr="00C94C33">
              <w:t>Placebo (n = 265); n (%)</w:t>
            </w:r>
          </w:p>
        </w:tc>
      </w:tr>
      <w:tr w:rsidR="006263CF" w:rsidRPr="00C94C33" w14:paraId="4C1C6B02" w14:textId="77777777" w:rsidTr="006263CF">
        <w:trPr>
          <w:tblHeader/>
        </w:trPr>
        <w:tc>
          <w:tcPr>
            <w:tcW w:w="2943" w:type="dxa"/>
            <w:tcBorders>
              <w:top w:val="nil"/>
              <w:left w:val="single" w:sz="4" w:space="0" w:color="auto"/>
            </w:tcBorders>
            <w:shd w:val="clear" w:color="auto" w:fill="auto"/>
          </w:tcPr>
          <w:p w14:paraId="66127581" w14:textId="77777777" w:rsidR="006263CF" w:rsidRPr="00C94C33" w:rsidRDefault="006263CF" w:rsidP="006263CF">
            <w:pPr>
              <w:pStyle w:val="TableHeading"/>
            </w:pPr>
          </w:p>
        </w:tc>
        <w:tc>
          <w:tcPr>
            <w:tcW w:w="1701" w:type="dxa"/>
            <w:tcBorders>
              <w:top w:val="nil"/>
              <w:right w:val="nil"/>
            </w:tcBorders>
            <w:shd w:val="clear" w:color="auto" w:fill="auto"/>
          </w:tcPr>
          <w:p w14:paraId="6D32C43B" w14:textId="77777777" w:rsidR="006263CF" w:rsidRPr="00C94C33" w:rsidRDefault="006263CF" w:rsidP="006263CF">
            <w:pPr>
              <w:pStyle w:val="TableHeading"/>
            </w:pPr>
            <w:r w:rsidRPr="00C94C33">
              <w:t>All grades</w:t>
            </w:r>
          </w:p>
        </w:tc>
        <w:tc>
          <w:tcPr>
            <w:tcW w:w="1376" w:type="dxa"/>
            <w:tcBorders>
              <w:top w:val="nil"/>
              <w:left w:val="nil"/>
              <w:right w:val="single" w:sz="4" w:space="0" w:color="auto"/>
            </w:tcBorders>
            <w:shd w:val="clear" w:color="auto" w:fill="auto"/>
          </w:tcPr>
          <w:p w14:paraId="4F9EFAA0" w14:textId="77777777" w:rsidR="006263CF" w:rsidRPr="00C94C33" w:rsidRDefault="006263CF" w:rsidP="006263CF">
            <w:pPr>
              <w:pStyle w:val="TableHeading"/>
            </w:pPr>
            <w:r w:rsidRPr="00C94C33">
              <w:t xml:space="preserve">≥ Grade 3 </w:t>
            </w:r>
          </w:p>
        </w:tc>
        <w:tc>
          <w:tcPr>
            <w:tcW w:w="1701" w:type="dxa"/>
            <w:tcBorders>
              <w:top w:val="nil"/>
              <w:left w:val="nil"/>
              <w:right w:val="nil"/>
            </w:tcBorders>
            <w:shd w:val="clear" w:color="auto" w:fill="auto"/>
          </w:tcPr>
          <w:p w14:paraId="5A7921AC" w14:textId="77777777" w:rsidR="006263CF" w:rsidRPr="00C94C33" w:rsidRDefault="006263CF" w:rsidP="006263CF">
            <w:pPr>
              <w:pStyle w:val="TableHeading"/>
            </w:pPr>
            <w:r w:rsidRPr="00C94C33">
              <w:t xml:space="preserve">All grades </w:t>
            </w:r>
          </w:p>
        </w:tc>
        <w:tc>
          <w:tcPr>
            <w:tcW w:w="1701" w:type="dxa"/>
            <w:tcBorders>
              <w:top w:val="nil"/>
              <w:left w:val="nil"/>
              <w:right w:val="single" w:sz="4" w:space="0" w:color="auto"/>
            </w:tcBorders>
            <w:shd w:val="clear" w:color="auto" w:fill="auto"/>
          </w:tcPr>
          <w:p w14:paraId="740DAFC1" w14:textId="77777777" w:rsidR="006263CF" w:rsidRPr="00C94C33" w:rsidRDefault="006263CF" w:rsidP="006263CF">
            <w:pPr>
              <w:pStyle w:val="TableHeading"/>
            </w:pPr>
            <w:r w:rsidRPr="00C94C33">
              <w:t xml:space="preserve">≥ Grade 3 </w:t>
            </w:r>
          </w:p>
        </w:tc>
      </w:tr>
      <w:tr w:rsidR="006263CF" w:rsidRPr="00C94C33" w14:paraId="20068ED5" w14:textId="77777777" w:rsidTr="006263CF">
        <w:tc>
          <w:tcPr>
            <w:tcW w:w="2943" w:type="dxa"/>
            <w:tcBorders>
              <w:left w:val="single" w:sz="4" w:space="0" w:color="auto"/>
            </w:tcBorders>
            <w:shd w:val="clear" w:color="auto" w:fill="auto"/>
          </w:tcPr>
          <w:p w14:paraId="79421B24" w14:textId="77777777" w:rsidR="006263CF" w:rsidRPr="00C94C33" w:rsidRDefault="006263CF" w:rsidP="006263CF">
            <w:pPr>
              <w:pStyle w:val="Tabletext"/>
            </w:pPr>
            <w:r w:rsidRPr="00C94C33">
              <w:t xml:space="preserve">Any adverse event </w:t>
            </w:r>
          </w:p>
        </w:tc>
        <w:tc>
          <w:tcPr>
            <w:tcW w:w="1701" w:type="dxa"/>
            <w:tcBorders>
              <w:right w:val="nil"/>
            </w:tcBorders>
            <w:shd w:val="clear" w:color="auto" w:fill="auto"/>
          </w:tcPr>
          <w:p w14:paraId="78183819" w14:textId="4E9574DE" w:rsidR="006263CF" w:rsidRPr="00C94C33" w:rsidRDefault="006263CF" w:rsidP="006263CF">
            <w:pPr>
              <w:pStyle w:val="Tabletext"/>
              <w:rPr>
                <w:rFonts w:eastAsia="TimesNewRoman"/>
              </w:rPr>
            </w:pPr>
            <w:r>
              <w:rPr>
                <w:rFonts w:eastAsia="TimesNewRoman"/>
              </w:rPr>
              <w:t>524 (98.3)</w:t>
            </w:r>
          </w:p>
        </w:tc>
        <w:tc>
          <w:tcPr>
            <w:tcW w:w="1376" w:type="dxa"/>
            <w:tcBorders>
              <w:left w:val="nil"/>
              <w:right w:val="single" w:sz="4" w:space="0" w:color="auto"/>
            </w:tcBorders>
            <w:shd w:val="clear" w:color="auto" w:fill="auto"/>
          </w:tcPr>
          <w:p w14:paraId="542D1962" w14:textId="77777777" w:rsidR="006263CF" w:rsidRPr="00C94C33" w:rsidRDefault="006263CF" w:rsidP="006263CF">
            <w:pPr>
              <w:pStyle w:val="Tabletext"/>
              <w:rPr>
                <w:rFonts w:eastAsia="TimesNewRoman"/>
              </w:rPr>
            </w:pPr>
            <w:r w:rsidRPr="00C94C33">
              <w:rPr>
                <w:rFonts w:eastAsia="TimesNewRoman"/>
              </w:rPr>
              <w:t>370 (69.4)</w:t>
            </w:r>
          </w:p>
        </w:tc>
        <w:tc>
          <w:tcPr>
            <w:tcW w:w="1701" w:type="dxa"/>
            <w:tcBorders>
              <w:left w:val="nil"/>
              <w:right w:val="nil"/>
            </w:tcBorders>
            <w:shd w:val="clear" w:color="auto" w:fill="auto"/>
          </w:tcPr>
          <w:p w14:paraId="139A2F01" w14:textId="77777777" w:rsidR="006263CF" w:rsidRPr="00C94C33" w:rsidRDefault="006263CF" w:rsidP="006263CF">
            <w:pPr>
              <w:pStyle w:val="Tabletext"/>
              <w:rPr>
                <w:rFonts w:eastAsia="TimesNewRoman"/>
              </w:rPr>
            </w:pPr>
            <w:r w:rsidRPr="00C94C33">
              <w:rPr>
                <w:rFonts w:eastAsia="TimesNewRoman"/>
              </w:rPr>
              <w:t>247 (93.2)</w:t>
            </w:r>
          </w:p>
        </w:tc>
        <w:tc>
          <w:tcPr>
            <w:tcW w:w="1701" w:type="dxa"/>
            <w:tcBorders>
              <w:left w:val="nil"/>
              <w:right w:val="single" w:sz="4" w:space="0" w:color="auto"/>
            </w:tcBorders>
            <w:shd w:val="clear" w:color="auto" w:fill="auto"/>
          </w:tcPr>
          <w:p w14:paraId="1D09E799" w14:textId="77777777" w:rsidR="006263CF" w:rsidRPr="00C94C33" w:rsidRDefault="006263CF" w:rsidP="006263CF">
            <w:pPr>
              <w:pStyle w:val="Tabletext"/>
              <w:rPr>
                <w:rFonts w:eastAsia="TimesNewRoman"/>
              </w:rPr>
            </w:pPr>
            <w:r w:rsidRPr="00C94C33">
              <w:rPr>
                <w:rFonts w:eastAsia="TimesNewRoman"/>
              </w:rPr>
              <w:t>137 (51.7)</w:t>
            </w:r>
          </w:p>
        </w:tc>
      </w:tr>
      <w:tr w:rsidR="006263CF" w:rsidRPr="00C94C33" w14:paraId="477649CA" w14:textId="77777777" w:rsidTr="006263CF">
        <w:tc>
          <w:tcPr>
            <w:tcW w:w="2943" w:type="dxa"/>
            <w:tcBorders>
              <w:left w:val="single" w:sz="4" w:space="0" w:color="auto"/>
            </w:tcBorders>
            <w:shd w:val="clear" w:color="auto" w:fill="auto"/>
          </w:tcPr>
          <w:p w14:paraId="36A24856" w14:textId="77777777" w:rsidR="006263CF" w:rsidRPr="00C94C33" w:rsidRDefault="006263CF" w:rsidP="006263CF">
            <w:pPr>
              <w:pStyle w:val="Tabletext"/>
            </w:pPr>
            <w:r w:rsidRPr="00C94C33">
              <w:t>Gastrointestinal disorders</w:t>
            </w:r>
          </w:p>
        </w:tc>
        <w:tc>
          <w:tcPr>
            <w:tcW w:w="1701" w:type="dxa"/>
            <w:tcBorders>
              <w:right w:val="nil"/>
            </w:tcBorders>
            <w:shd w:val="clear" w:color="auto" w:fill="auto"/>
          </w:tcPr>
          <w:p w14:paraId="0ABDE59C" w14:textId="56B145C9" w:rsidR="006263CF" w:rsidRPr="00C94C33" w:rsidRDefault="006263CF" w:rsidP="006263CF">
            <w:pPr>
              <w:pStyle w:val="Tabletext"/>
            </w:pPr>
            <w:r w:rsidRPr="00C94C33">
              <w:rPr>
                <w:rFonts w:eastAsia="TimesNewRoman"/>
              </w:rPr>
              <w:t>413 (77.5)</w:t>
            </w:r>
          </w:p>
        </w:tc>
        <w:tc>
          <w:tcPr>
            <w:tcW w:w="1376" w:type="dxa"/>
            <w:tcBorders>
              <w:left w:val="nil"/>
              <w:right w:val="single" w:sz="4" w:space="0" w:color="auto"/>
            </w:tcBorders>
            <w:shd w:val="clear" w:color="auto" w:fill="auto"/>
          </w:tcPr>
          <w:p w14:paraId="321E4766" w14:textId="77777777" w:rsidR="006263CF" w:rsidRPr="00C94C33" w:rsidRDefault="006263CF" w:rsidP="006263CF">
            <w:pPr>
              <w:pStyle w:val="Tabletext"/>
            </w:pPr>
            <w:r w:rsidRPr="00C94C33">
              <w:rPr>
                <w:rFonts w:eastAsia="TimesNewRoman"/>
              </w:rPr>
              <w:t>64 (12.0)</w:t>
            </w:r>
          </w:p>
        </w:tc>
        <w:tc>
          <w:tcPr>
            <w:tcW w:w="1701" w:type="dxa"/>
            <w:tcBorders>
              <w:left w:val="nil"/>
              <w:right w:val="nil"/>
            </w:tcBorders>
            <w:shd w:val="clear" w:color="auto" w:fill="auto"/>
          </w:tcPr>
          <w:p w14:paraId="4A404E6E" w14:textId="77777777" w:rsidR="006263CF" w:rsidRPr="00C94C33" w:rsidRDefault="006263CF" w:rsidP="006263CF">
            <w:pPr>
              <w:pStyle w:val="Tabletext"/>
            </w:pPr>
            <w:r w:rsidRPr="00C94C33">
              <w:rPr>
                <w:rFonts w:eastAsia="TimesNewRoman"/>
              </w:rPr>
              <w:t>161 (60.8)</w:t>
            </w:r>
          </w:p>
        </w:tc>
        <w:tc>
          <w:tcPr>
            <w:tcW w:w="1701" w:type="dxa"/>
            <w:tcBorders>
              <w:left w:val="nil"/>
              <w:right w:val="single" w:sz="4" w:space="0" w:color="auto"/>
            </w:tcBorders>
            <w:shd w:val="clear" w:color="auto" w:fill="auto"/>
          </w:tcPr>
          <w:p w14:paraId="200DAB6D" w14:textId="77777777" w:rsidR="006263CF" w:rsidRPr="00C94C33" w:rsidRDefault="006263CF" w:rsidP="006263CF">
            <w:pPr>
              <w:pStyle w:val="Tabletext"/>
            </w:pPr>
            <w:r w:rsidRPr="00C94C33">
              <w:rPr>
                <w:rFonts w:eastAsia="TimesNewRoman"/>
              </w:rPr>
              <w:t>36 (13.6)</w:t>
            </w:r>
          </w:p>
        </w:tc>
      </w:tr>
      <w:tr w:rsidR="006263CF" w:rsidRPr="00C94C33" w14:paraId="330D4B5D" w14:textId="77777777" w:rsidTr="006263CF">
        <w:tc>
          <w:tcPr>
            <w:tcW w:w="2943" w:type="dxa"/>
            <w:tcBorders>
              <w:left w:val="single" w:sz="4" w:space="0" w:color="auto"/>
            </w:tcBorders>
            <w:shd w:val="clear" w:color="auto" w:fill="auto"/>
          </w:tcPr>
          <w:p w14:paraId="1FF9B861" w14:textId="77777777" w:rsidR="006263CF" w:rsidRPr="00C94C33" w:rsidRDefault="006263CF" w:rsidP="006263CF">
            <w:pPr>
              <w:pStyle w:val="Tabletext"/>
            </w:pPr>
            <w:r w:rsidRPr="00C94C33">
              <w:t xml:space="preserve">General disorders and administration site conditions </w:t>
            </w:r>
          </w:p>
        </w:tc>
        <w:tc>
          <w:tcPr>
            <w:tcW w:w="1701" w:type="dxa"/>
            <w:tcBorders>
              <w:right w:val="nil"/>
            </w:tcBorders>
            <w:shd w:val="clear" w:color="auto" w:fill="auto"/>
          </w:tcPr>
          <w:p w14:paraId="4A232D97" w14:textId="69CF0164" w:rsidR="006263CF" w:rsidRPr="00C94C33" w:rsidRDefault="006263CF" w:rsidP="006263CF">
            <w:pPr>
              <w:pStyle w:val="Tabletext"/>
              <w:rPr>
                <w:rFonts w:eastAsia="TimesNewRoman"/>
              </w:rPr>
            </w:pPr>
            <w:r w:rsidRPr="00C94C33">
              <w:rPr>
                <w:rFonts w:eastAsia="TimesNewRoman"/>
              </w:rPr>
              <w:t>373 (70.0)</w:t>
            </w:r>
          </w:p>
        </w:tc>
        <w:tc>
          <w:tcPr>
            <w:tcW w:w="1376" w:type="dxa"/>
            <w:tcBorders>
              <w:left w:val="nil"/>
              <w:right w:val="single" w:sz="4" w:space="0" w:color="auto"/>
            </w:tcBorders>
            <w:shd w:val="clear" w:color="auto" w:fill="auto"/>
          </w:tcPr>
          <w:p w14:paraId="4298D737" w14:textId="77777777" w:rsidR="006263CF" w:rsidRPr="00C94C33" w:rsidRDefault="006263CF" w:rsidP="006263CF">
            <w:pPr>
              <w:pStyle w:val="Tabletext"/>
              <w:rPr>
                <w:rFonts w:eastAsia="TimesNewRoman"/>
              </w:rPr>
            </w:pPr>
            <w:r w:rsidRPr="00C94C33">
              <w:rPr>
                <w:rFonts w:eastAsia="TimesNewRoman"/>
              </w:rPr>
              <w:t>141 (53.2)</w:t>
            </w:r>
          </w:p>
        </w:tc>
        <w:tc>
          <w:tcPr>
            <w:tcW w:w="1701" w:type="dxa"/>
            <w:tcBorders>
              <w:left w:val="nil"/>
              <w:right w:val="nil"/>
            </w:tcBorders>
            <w:shd w:val="clear" w:color="auto" w:fill="auto"/>
          </w:tcPr>
          <w:p w14:paraId="1ED89E7F" w14:textId="77777777" w:rsidR="006263CF" w:rsidRPr="00C94C33" w:rsidRDefault="006263CF" w:rsidP="006263CF">
            <w:pPr>
              <w:pStyle w:val="Tabletext"/>
              <w:rPr>
                <w:rFonts w:eastAsia="TimesNewRoman"/>
              </w:rPr>
            </w:pPr>
            <w:r w:rsidRPr="00C94C33">
              <w:rPr>
                <w:rFonts w:eastAsia="TimesNewRoman"/>
              </w:rPr>
              <w:t>69 (12.9)</w:t>
            </w:r>
          </w:p>
        </w:tc>
        <w:tc>
          <w:tcPr>
            <w:tcW w:w="1701" w:type="dxa"/>
            <w:tcBorders>
              <w:left w:val="nil"/>
              <w:right w:val="single" w:sz="4" w:space="0" w:color="auto"/>
            </w:tcBorders>
            <w:shd w:val="clear" w:color="auto" w:fill="auto"/>
          </w:tcPr>
          <w:p w14:paraId="7745279B" w14:textId="77777777" w:rsidR="006263CF" w:rsidRPr="00C94C33" w:rsidRDefault="006263CF" w:rsidP="006263CF">
            <w:pPr>
              <w:pStyle w:val="Tabletext"/>
              <w:rPr>
                <w:rFonts w:eastAsia="TimesNewRoman"/>
              </w:rPr>
            </w:pPr>
            <w:r w:rsidRPr="00C94C33">
              <w:rPr>
                <w:rFonts w:eastAsia="TimesNewRoman"/>
              </w:rPr>
              <w:t>36 (13.6)</w:t>
            </w:r>
          </w:p>
        </w:tc>
      </w:tr>
      <w:tr w:rsidR="006263CF" w:rsidRPr="00C94C33" w14:paraId="0AA7B04D" w14:textId="77777777" w:rsidTr="006263CF">
        <w:tc>
          <w:tcPr>
            <w:tcW w:w="2943" w:type="dxa"/>
            <w:tcBorders>
              <w:left w:val="single" w:sz="4" w:space="0" w:color="auto"/>
            </w:tcBorders>
            <w:shd w:val="clear" w:color="auto" w:fill="auto"/>
          </w:tcPr>
          <w:p w14:paraId="2010F18C" w14:textId="77777777" w:rsidR="006263CF" w:rsidRPr="00C94C33" w:rsidRDefault="006263CF" w:rsidP="006263CF">
            <w:pPr>
              <w:pStyle w:val="Tabletext"/>
            </w:pPr>
            <w:r w:rsidRPr="00C94C33">
              <w:t>Blood and lymphatic tissue disorders</w:t>
            </w:r>
          </w:p>
        </w:tc>
        <w:tc>
          <w:tcPr>
            <w:tcW w:w="1701" w:type="dxa"/>
            <w:tcBorders>
              <w:right w:val="nil"/>
            </w:tcBorders>
            <w:shd w:val="clear" w:color="auto" w:fill="auto"/>
          </w:tcPr>
          <w:p w14:paraId="450F5BA1" w14:textId="45753D35" w:rsidR="006263CF" w:rsidRPr="00C94C33" w:rsidRDefault="006263CF" w:rsidP="006263CF">
            <w:pPr>
              <w:pStyle w:val="Tabletext"/>
            </w:pPr>
            <w:r w:rsidRPr="00C94C33">
              <w:rPr>
                <w:rFonts w:eastAsia="TimesNewRoman"/>
              </w:rPr>
              <w:t>304 (57.0)</w:t>
            </w:r>
          </w:p>
        </w:tc>
        <w:tc>
          <w:tcPr>
            <w:tcW w:w="1376" w:type="dxa"/>
            <w:tcBorders>
              <w:left w:val="nil"/>
              <w:right w:val="single" w:sz="4" w:space="0" w:color="auto"/>
            </w:tcBorders>
            <w:shd w:val="clear" w:color="auto" w:fill="auto"/>
          </w:tcPr>
          <w:p w14:paraId="793B0C2C" w14:textId="77777777" w:rsidR="006263CF" w:rsidRPr="00C94C33" w:rsidRDefault="006263CF" w:rsidP="006263CF">
            <w:pPr>
              <w:pStyle w:val="Tabletext"/>
            </w:pPr>
            <w:r w:rsidRPr="00C94C33">
              <w:rPr>
                <w:rFonts w:eastAsia="TimesNewRoman"/>
              </w:rPr>
              <w:t>189 (35.5)</w:t>
            </w:r>
          </w:p>
        </w:tc>
        <w:tc>
          <w:tcPr>
            <w:tcW w:w="1701" w:type="dxa"/>
            <w:tcBorders>
              <w:left w:val="nil"/>
              <w:right w:val="nil"/>
            </w:tcBorders>
            <w:shd w:val="clear" w:color="auto" w:fill="auto"/>
          </w:tcPr>
          <w:p w14:paraId="13319BAD" w14:textId="77777777" w:rsidR="006263CF" w:rsidRPr="00C94C33" w:rsidRDefault="006263CF" w:rsidP="006263CF">
            <w:pPr>
              <w:pStyle w:val="Tabletext"/>
            </w:pPr>
            <w:r w:rsidRPr="00C94C33">
              <w:rPr>
                <w:rFonts w:eastAsia="TimesNewRoman"/>
              </w:rPr>
              <w:t>29 (10.9)</w:t>
            </w:r>
          </w:p>
        </w:tc>
        <w:tc>
          <w:tcPr>
            <w:tcW w:w="1701" w:type="dxa"/>
            <w:tcBorders>
              <w:left w:val="nil"/>
              <w:right w:val="single" w:sz="4" w:space="0" w:color="auto"/>
            </w:tcBorders>
            <w:shd w:val="clear" w:color="auto" w:fill="auto"/>
          </w:tcPr>
          <w:p w14:paraId="712DF1F1" w14:textId="77777777" w:rsidR="006263CF" w:rsidRPr="00C94C33" w:rsidRDefault="006263CF" w:rsidP="006263CF">
            <w:pPr>
              <w:pStyle w:val="Tabletext"/>
            </w:pPr>
            <w:r w:rsidRPr="00C94C33">
              <w:rPr>
                <w:rFonts w:eastAsia="TimesNewRoman"/>
              </w:rPr>
              <w:t>11 (4.2)</w:t>
            </w:r>
          </w:p>
        </w:tc>
      </w:tr>
      <w:tr w:rsidR="006263CF" w:rsidRPr="00C94C33" w14:paraId="6E7F7AB3" w14:textId="77777777" w:rsidTr="006263CF">
        <w:tc>
          <w:tcPr>
            <w:tcW w:w="2943" w:type="dxa"/>
            <w:tcBorders>
              <w:left w:val="single" w:sz="4" w:space="0" w:color="auto"/>
            </w:tcBorders>
            <w:shd w:val="clear" w:color="auto" w:fill="auto"/>
          </w:tcPr>
          <w:p w14:paraId="5E23364A" w14:textId="77777777" w:rsidR="006263CF" w:rsidRPr="00C94C33" w:rsidRDefault="006263CF" w:rsidP="006263CF">
            <w:pPr>
              <w:pStyle w:val="Tabletext"/>
            </w:pPr>
            <w:r w:rsidRPr="00C94C33">
              <w:t>Investigations</w:t>
            </w:r>
          </w:p>
        </w:tc>
        <w:tc>
          <w:tcPr>
            <w:tcW w:w="1701" w:type="dxa"/>
            <w:tcBorders>
              <w:right w:val="nil"/>
            </w:tcBorders>
            <w:shd w:val="clear" w:color="auto" w:fill="auto"/>
          </w:tcPr>
          <w:p w14:paraId="07E69731" w14:textId="3DB9F8F7" w:rsidR="006263CF" w:rsidRPr="00C94C33" w:rsidRDefault="006263CF" w:rsidP="006263CF">
            <w:pPr>
              <w:pStyle w:val="Tabletext"/>
              <w:rPr>
                <w:rFonts w:eastAsia="TimesNewRoman"/>
              </w:rPr>
            </w:pPr>
            <w:r w:rsidRPr="00C94C33">
              <w:rPr>
                <w:rFonts w:eastAsia="TimesNewRoman"/>
              </w:rPr>
              <w:t>291 (54.6)</w:t>
            </w:r>
          </w:p>
        </w:tc>
        <w:tc>
          <w:tcPr>
            <w:tcW w:w="1376" w:type="dxa"/>
            <w:tcBorders>
              <w:left w:val="nil"/>
              <w:right w:val="single" w:sz="4" w:space="0" w:color="auto"/>
            </w:tcBorders>
            <w:shd w:val="clear" w:color="auto" w:fill="auto"/>
          </w:tcPr>
          <w:p w14:paraId="3442F244" w14:textId="77777777" w:rsidR="006263CF" w:rsidRPr="00C94C33" w:rsidRDefault="006263CF" w:rsidP="006263CF">
            <w:pPr>
              <w:pStyle w:val="Tabletext"/>
              <w:rPr>
                <w:rFonts w:eastAsia="TimesNewRoman"/>
              </w:rPr>
            </w:pPr>
            <w:r w:rsidRPr="00C94C33">
              <w:rPr>
                <w:rFonts w:eastAsia="TimesNewRoman"/>
              </w:rPr>
              <w:t>149 (28.0)</w:t>
            </w:r>
          </w:p>
        </w:tc>
        <w:tc>
          <w:tcPr>
            <w:tcW w:w="1701" w:type="dxa"/>
            <w:tcBorders>
              <w:left w:val="nil"/>
              <w:right w:val="nil"/>
            </w:tcBorders>
            <w:shd w:val="clear" w:color="auto" w:fill="auto"/>
          </w:tcPr>
          <w:p w14:paraId="6058F420" w14:textId="77777777" w:rsidR="006263CF" w:rsidRPr="00C94C33" w:rsidRDefault="006263CF" w:rsidP="006263CF">
            <w:pPr>
              <w:pStyle w:val="Tabletext"/>
              <w:rPr>
                <w:rFonts w:eastAsia="TimesNewRoman"/>
              </w:rPr>
            </w:pPr>
            <w:r w:rsidRPr="00C94C33">
              <w:rPr>
                <w:rFonts w:eastAsia="TimesNewRoman"/>
              </w:rPr>
              <w:t>92 (34.7)</w:t>
            </w:r>
          </w:p>
        </w:tc>
        <w:tc>
          <w:tcPr>
            <w:tcW w:w="1701" w:type="dxa"/>
            <w:tcBorders>
              <w:left w:val="nil"/>
              <w:right w:val="single" w:sz="4" w:space="0" w:color="auto"/>
            </w:tcBorders>
            <w:shd w:val="clear" w:color="auto" w:fill="auto"/>
          </w:tcPr>
          <w:p w14:paraId="4F9A536E" w14:textId="77777777" w:rsidR="006263CF" w:rsidRPr="00C94C33" w:rsidRDefault="006263CF" w:rsidP="006263CF">
            <w:pPr>
              <w:pStyle w:val="Tabletext"/>
              <w:rPr>
                <w:rFonts w:eastAsia="TimesNewRoman"/>
              </w:rPr>
            </w:pPr>
            <w:r w:rsidRPr="00C94C33">
              <w:rPr>
                <w:rFonts w:eastAsia="TimesNewRoman"/>
              </w:rPr>
              <w:t>37 (14.0)</w:t>
            </w:r>
          </w:p>
        </w:tc>
      </w:tr>
      <w:tr w:rsidR="006263CF" w:rsidRPr="00C94C33" w14:paraId="587E4930" w14:textId="77777777" w:rsidTr="006263CF">
        <w:tc>
          <w:tcPr>
            <w:tcW w:w="2943" w:type="dxa"/>
            <w:tcBorders>
              <w:left w:val="single" w:sz="4" w:space="0" w:color="auto"/>
            </w:tcBorders>
            <w:shd w:val="clear" w:color="auto" w:fill="auto"/>
          </w:tcPr>
          <w:p w14:paraId="2B9319C4" w14:textId="77777777" w:rsidR="006263CF" w:rsidRPr="00C94C33" w:rsidRDefault="006263CF" w:rsidP="006263CF">
            <w:pPr>
              <w:pStyle w:val="Tabletext"/>
            </w:pPr>
            <w:r w:rsidRPr="00C94C33">
              <w:t>Metabolism and nutrition disorders</w:t>
            </w:r>
          </w:p>
        </w:tc>
        <w:tc>
          <w:tcPr>
            <w:tcW w:w="1701" w:type="dxa"/>
            <w:tcBorders>
              <w:right w:val="nil"/>
            </w:tcBorders>
            <w:shd w:val="clear" w:color="auto" w:fill="auto"/>
          </w:tcPr>
          <w:p w14:paraId="45504E0B" w14:textId="2290E5FD" w:rsidR="006263CF" w:rsidRPr="00C94C33" w:rsidRDefault="006263CF" w:rsidP="006263CF">
            <w:pPr>
              <w:pStyle w:val="Tabletext"/>
              <w:rPr>
                <w:rFonts w:eastAsia="TimesNewRoman"/>
              </w:rPr>
            </w:pPr>
            <w:r w:rsidRPr="00C94C33">
              <w:rPr>
                <w:rFonts w:eastAsia="TimesNewRoman"/>
              </w:rPr>
              <w:t>248 (46.5)</w:t>
            </w:r>
          </w:p>
        </w:tc>
        <w:tc>
          <w:tcPr>
            <w:tcW w:w="1376" w:type="dxa"/>
            <w:tcBorders>
              <w:left w:val="nil"/>
              <w:right w:val="single" w:sz="4" w:space="0" w:color="auto"/>
            </w:tcBorders>
            <w:shd w:val="clear" w:color="auto" w:fill="auto"/>
          </w:tcPr>
          <w:p w14:paraId="34CECDAB" w14:textId="77777777" w:rsidR="006263CF" w:rsidRPr="00C94C33" w:rsidRDefault="006263CF" w:rsidP="006263CF">
            <w:pPr>
              <w:pStyle w:val="Tabletext"/>
              <w:rPr>
                <w:rFonts w:eastAsia="TimesNewRoman"/>
              </w:rPr>
            </w:pPr>
            <w:r w:rsidRPr="00C94C33">
              <w:rPr>
                <w:rFonts w:eastAsia="TimesNewRoman"/>
              </w:rPr>
              <w:t>53 (9.9)</w:t>
            </w:r>
          </w:p>
        </w:tc>
        <w:tc>
          <w:tcPr>
            <w:tcW w:w="1701" w:type="dxa"/>
            <w:tcBorders>
              <w:left w:val="nil"/>
              <w:right w:val="nil"/>
            </w:tcBorders>
            <w:shd w:val="clear" w:color="auto" w:fill="auto"/>
          </w:tcPr>
          <w:p w14:paraId="44C859D1" w14:textId="77777777" w:rsidR="006263CF" w:rsidRPr="00C94C33" w:rsidRDefault="006263CF" w:rsidP="006263CF">
            <w:pPr>
              <w:pStyle w:val="Tabletext"/>
              <w:rPr>
                <w:rFonts w:eastAsia="TimesNewRoman"/>
              </w:rPr>
            </w:pPr>
            <w:r w:rsidRPr="00C94C33">
              <w:rPr>
                <w:rFonts w:eastAsia="TimesNewRoman"/>
              </w:rPr>
              <w:t>104 (39.2)</w:t>
            </w:r>
          </w:p>
        </w:tc>
        <w:tc>
          <w:tcPr>
            <w:tcW w:w="1701" w:type="dxa"/>
            <w:tcBorders>
              <w:left w:val="nil"/>
              <w:right w:val="single" w:sz="4" w:space="0" w:color="auto"/>
            </w:tcBorders>
            <w:shd w:val="clear" w:color="auto" w:fill="auto"/>
          </w:tcPr>
          <w:p w14:paraId="552A72AD" w14:textId="77777777" w:rsidR="006263CF" w:rsidRPr="00C94C33" w:rsidRDefault="006263CF" w:rsidP="006263CF">
            <w:pPr>
              <w:pStyle w:val="Tabletext"/>
              <w:rPr>
                <w:rFonts w:eastAsia="TimesNewRoman"/>
              </w:rPr>
            </w:pPr>
            <w:r w:rsidRPr="00C94C33">
              <w:rPr>
                <w:rFonts w:eastAsia="TimesNewRoman"/>
              </w:rPr>
              <w:t>27 (10.2)</w:t>
            </w:r>
          </w:p>
        </w:tc>
      </w:tr>
      <w:tr w:rsidR="006263CF" w:rsidRPr="00C94C33" w14:paraId="76565DB2" w14:textId="77777777" w:rsidTr="006263CF">
        <w:tc>
          <w:tcPr>
            <w:tcW w:w="2943" w:type="dxa"/>
            <w:tcBorders>
              <w:left w:val="single" w:sz="4" w:space="0" w:color="auto"/>
            </w:tcBorders>
            <w:shd w:val="clear" w:color="auto" w:fill="auto"/>
          </w:tcPr>
          <w:p w14:paraId="7FCA9751" w14:textId="77777777" w:rsidR="006263CF" w:rsidRPr="00C94C33" w:rsidRDefault="006263CF" w:rsidP="006263CF">
            <w:pPr>
              <w:pStyle w:val="Tabletext"/>
            </w:pPr>
            <w:r w:rsidRPr="00C94C33">
              <w:t>Infections and infestations</w:t>
            </w:r>
          </w:p>
        </w:tc>
        <w:tc>
          <w:tcPr>
            <w:tcW w:w="1701" w:type="dxa"/>
            <w:tcBorders>
              <w:right w:val="nil"/>
            </w:tcBorders>
            <w:shd w:val="clear" w:color="auto" w:fill="auto"/>
          </w:tcPr>
          <w:p w14:paraId="1A1BF950" w14:textId="77777777" w:rsidR="006263CF" w:rsidRPr="00C94C33" w:rsidRDefault="006263CF" w:rsidP="006263CF">
            <w:pPr>
              <w:pStyle w:val="Tabletext"/>
              <w:rPr>
                <w:rFonts w:eastAsia="TimesNewRoman"/>
              </w:rPr>
            </w:pPr>
            <w:r w:rsidRPr="00C94C33">
              <w:rPr>
                <w:rFonts w:eastAsia="TimesNewRoman"/>
              </w:rPr>
              <w:t>144 (27.0)</w:t>
            </w:r>
          </w:p>
        </w:tc>
        <w:tc>
          <w:tcPr>
            <w:tcW w:w="1376" w:type="dxa"/>
            <w:tcBorders>
              <w:left w:val="nil"/>
              <w:right w:val="single" w:sz="4" w:space="0" w:color="auto"/>
            </w:tcBorders>
            <w:shd w:val="clear" w:color="auto" w:fill="auto"/>
          </w:tcPr>
          <w:p w14:paraId="3E382158" w14:textId="77777777" w:rsidR="006263CF" w:rsidRPr="00C94C33" w:rsidRDefault="006263CF" w:rsidP="006263CF">
            <w:pPr>
              <w:pStyle w:val="Tabletext"/>
              <w:rPr>
                <w:rFonts w:eastAsia="TimesNewRoman"/>
              </w:rPr>
            </w:pPr>
            <w:r w:rsidRPr="00C94C33">
              <w:rPr>
                <w:rFonts w:eastAsia="TimesNewRoman"/>
              </w:rPr>
              <w:t>35 (6.6)</w:t>
            </w:r>
          </w:p>
        </w:tc>
        <w:tc>
          <w:tcPr>
            <w:tcW w:w="1701" w:type="dxa"/>
            <w:tcBorders>
              <w:left w:val="nil"/>
              <w:right w:val="nil"/>
            </w:tcBorders>
            <w:shd w:val="clear" w:color="auto" w:fill="auto"/>
          </w:tcPr>
          <w:p w14:paraId="382FBE59" w14:textId="77777777" w:rsidR="006263CF" w:rsidRPr="00C94C33" w:rsidRDefault="006263CF" w:rsidP="006263CF">
            <w:pPr>
              <w:pStyle w:val="Tabletext"/>
              <w:rPr>
                <w:rFonts w:eastAsia="TimesNewRoman"/>
              </w:rPr>
            </w:pPr>
            <w:r w:rsidRPr="00C94C33">
              <w:rPr>
                <w:rFonts w:eastAsia="TimesNewRoman"/>
              </w:rPr>
              <w:t>42 (15.8)</w:t>
            </w:r>
          </w:p>
        </w:tc>
        <w:tc>
          <w:tcPr>
            <w:tcW w:w="1701" w:type="dxa"/>
            <w:tcBorders>
              <w:left w:val="nil"/>
              <w:right w:val="single" w:sz="4" w:space="0" w:color="auto"/>
            </w:tcBorders>
            <w:shd w:val="clear" w:color="auto" w:fill="auto"/>
          </w:tcPr>
          <w:p w14:paraId="1AA63BF1" w14:textId="77777777" w:rsidR="006263CF" w:rsidRPr="00C94C33" w:rsidRDefault="006263CF" w:rsidP="006263CF">
            <w:pPr>
              <w:pStyle w:val="Tabletext"/>
              <w:rPr>
                <w:rFonts w:eastAsia="TimesNewRoman"/>
              </w:rPr>
            </w:pPr>
            <w:r w:rsidRPr="00C94C33">
              <w:rPr>
                <w:rFonts w:eastAsia="TimesNewRoman"/>
              </w:rPr>
              <w:t>13 (4.9)</w:t>
            </w:r>
          </w:p>
        </w:tc>
      </w:tr>
      <w:tr w:rsidR="006263CF" w:rsidRPr="00C94C33" w14:paraId="7C519A57" w14:textId="77777777" w:rsidTr="006263CF">
        <w:tc>
          <w:tcPr>
            <w:tcW w:w="2943" w:type="dxa"/>
            <w:tcBorders>
              <w:left w:val="single" w:sz="4" w:space="0" w:color="auto"/>
            </w:tcBorders>
            <w:shd w:val="clear" w:color="auto" w:fill="auto"/>
          </w:tcPr>
          <w:p w14:paraId="6A556B00" w14:textId="77777777" w:rsidR="006263CF" w:rsidRPr="00C94C33" w:rsidRDefault="006263CF" w:rsidP="006263CF">
            <w:pPr>
              <w:pStyle w:val="Tabletext"/>
            </w:pPr>
            <w:r w:rsidRPr="00C94C33">
              <w:t xml:space="preserve">Respiratory, thoracic, and mediastinal disorders </w:t>
            </w:r>
          </w:p>
        </w:tc>
        <w:tc>
          <w:tcPr>
            <w:tcW w:w="1701" w:type="dxa"/>
            <w:tcBorders>
              <w:right w:val="nil"/>
            </w:tcBorders>
            <w:shd w:val="clear" w:color="auto" w:fill="auto"/>
          </w:tcPr>
          <w:p w14:paraId="69F6CA38" w14:textId="2BD3CE9D" w:rsidR="006263CF" w:rsidRPr="00C94C33" w:rsidRDefault="006263CF" w:rsidP="006263CF">
            <w:pPr>
              <w:pStyle w:val="Tabletext"/>
              <w:rPr>
                <w:rFonts w:eastAsia="TimesNewRoman"/>
              </w:rPr>
            </w:pPr>
            <w:r w:rsidRPr="00C94C33">
              <w:rPr>
                <w:rFonts w:eastAsia="TimesNewRoman"/>
              </w:rPr>
              <w:t>142 (26.6</w:t>
            </w:r>
            <w:r w:rsidRPr="00C94C33">
              <w:rPr>
                <w:rFonts w:eastAsia="TimesNewRoman"/>
                <w:b/>
              </w:rPr>
              <w:t>)</w:t>
            </w:r>
          </w:p>
        </w:tc>
        <w:tc>
          <w:tcPr>
            <w:tcW w:w="1376" w:type="dxa"/>
            <w:tcBorders>
              <w:left w:val="nil"/>
              <w:right w:val="single" w:sz="4" w:space="0" w:color="auto"/>
            </w:tcBorders>
            <w:shd w:val="clear" w:color="auto" w:fill="auto"/>
          </w:tcPr>
          <w:p w14:paraId="3BB8C3C6" w14:textId="77777777" w:rsidR="006263CF" w:rsidRPr="00C94C33" w:rsidRDefault="006263CF" w:rsidP="006263CF">
            <w:pPr>
              <w:pStyle w:val="Tabletext"/>
              <w:rPr>
                <w:rFonts w:eastAsia="TimesNewRoman"/>
              </w:rPr>
            </w:pPr>
            <w:r w:rsidRPr="00C94C33">
              <w:rPr>
                <w:rFonts w:eastAsia="TimesNewRoman"/>
              </w:rPr>
              <w:t>29 (5.4)</w:t>
            </w:r>
          </w:p>
        </w:tc>
        <w:tc>
          <w:tcPr>
            <w:tcW w:w="1701" w:type="dxa"/>
            <w:tcBorders>
              <w:left w:val="nil"/>
              <w:right w:val="nil"/>
            </w:tcBorders>
            <w:shd w:val="clear" w:color="auto" w:fill="auto"/>
          </w:tcPr>
          <w:p w14:paraId="12C47ED8" w14:textId="77777777" w:rsidR="006263CF" w:rsidRPr="00C94C33" w:rsidRDefault="006263CF" w:rsidP="006263CF">
            <w:pPr>
              <w:pStyle w:val="Tabletext"/>
              <w:rPr>
                <w:rFonts w:eastAsia="TimesNewRoman"/>
              </w:rPr>
            </w:pPr>
            <w:r w:rsidRPr="00C94C33">
              <w:rPr>
                <w:rFonts w:eastAsia="TimesNewRoman"/>
              </w:rPr>
              <w:t>80 (30.2)</w:t>
            </w:r>
          </w:p>
        </w:tc>
        <w:tc>
          <w:tcPr>
            <w:tcW w:w="1701" w:type="dxa"/>
            <w:tcBorders>
              <w:left w:val="nil"/>
              <w:right w:val="single" w:sz="4" w:space="0" w:color="auto"/>
            </w:tcBorders>
            <w:shd w:val="clear" w:color="auto" w:fill="auto"/>
          </w:tcPr>
          <w:p w14:paraId="1742E4D6" w14:textId="77777777" w:rsidR="006263CF" w:rsidRPr="00C94C33" w:rsidRDefault="006263CF" w:rsidP="006263CF">
            <w:pPr>
              <w:pStyle w:val="Tabletext"/>
              <w:rPr>
                <w:rFonts w:eastAsia="TimesNewRoman"/>
              </w:rPr>
            </w:pPr>
            <w:r w:rsidRPr="00C94C33">
              <w:rPr>
                <w:rFonts w:eastAsia="TimesNewRoman"/>
              </w:rPr>
              <w:t>18 (6.8)</w:t>
            </w:r>
          </w:p>
        </w:tc>
      </w:tr>
      <w:tr w:rsidR="006263CF" w:rsidRPr="00C94C33" w14:paraId="7D3B6BD3" w14:textId="77777777" w:rsidTr="006263CF">
        <w:tc>
          <w:tcPr>
            <w:tcW w:w="2943" w:type="dxa"/>
            <w:tcBorders>
              <w:left w:val="single" w:sz="4" w:space="0" w:color="auto"/>
            </w:tcBorders>
            <w:shd w:val="clear" w:color="auto" w:fill="auto"/>
          </w:tcPr>
          <w:p w14:paraId="619AE913" w14:textId="77777777" w:rsidR="006263CF" w:rsidRPr="00C94C33" w:rsidRDefault="006263CF" w:rsidP="006263CF">
            <w:pPr>
              <w:pStyle w:val="Tabletext"/>
            </w:pPr>
            <w:r w:rsidRPr="00C94C33">
              <w:t xml:space="preserve">Skin and subcutaneous tissue disorders </w:t>
            </w:r>
          </w:p>
        </w:tc>
        <w:tc>
          <w:tcPr>
            <w:tcW w:w="1701" w:type="dxa"/>
            <w:tcBorders>
              <w:right w:val="nil"/>
            </w:tcBorders>
            <w:shd w:val="clear" w:color="auto" w:fill="auto"/>
          </w:tcPr>
          <w:p w14:paraId="0EEC6648" w14:textId="77AA1D3F" w:rsidR="006263CF" w:rsidRPr="00C94C33" w:rsidRDefault="006263CF" w:rsidP="006263CF">
            <w:pPr>
              <w:pStyle w:val="Tabletext"/>
              <w:rPr>
                <w:rFonts w:eastAsia="TimesNewRoman"/>
              </w:rPr>
            </w:pPr>
            <w:r w:rsidRPr="00C94C33">
              <w:rPr>
                <w:rFonts w:eastAsia="TimesNewRoman"/>
              </w:rPr>
              <w:t>127 (23.8)</w:t>
            </w:r>
          </w:p>
        </w:tc>
        <w:tc>
          <w:tcPr>
            <w:tcW w:w="1376" w:type="dxa"/>
            <w:tcBorders>
              <w:left w:val="nil"/>
              <w:right w:val="single" w:sz="4" w:space="0" w:color="auto"/>
            </w:tcBorders>
            <w:shd w:val="clear" w:color="auto" w:fill="auto"/>
          </w:tcPr>
          <w:p w14:paraId="1E1C8C9C" w14:textId="77777777" w:rsidR="006263CF" w:rsidRPr="00C94C33" w:rsidRDefault="006263CF" w:rsidP="006263CF">
            <w:pPr>
              <w:pStyle w:val="Tabletext"/>
              <w:rPr>
                <w:rFonts w:eastAsia="TimesNewRoman"/>
              </w:rPr>
            </w:pPr>
            <w:r w:rsidRPr="00C94C33">
              <w:rPr>
                <w:rFonts w:eastAsia="TimesNewRoman"/>
              </w:rPr>
              <w:t>2 (0.4)</w:t>
            </w:r>
          </w:p>
        </w:tc>
        <w:tc>
          <w:tcPr>
            <w:tcW w:w="1701" w:type="dxa"/>
            <w:tcBorders>
              <w:left w:val="nil"/>
              <w:right w:val="nil"/>
            </w:tcBorders>
            <w:shd w:val="clear" w:color="auto" w:fill="auto"/>
          </w:tcPr>
          <w:p w14:paraId="7EC629A5" w14:textId="77777777" w:rsidR="006263CF" w:rsidRPr="00C94C33" w:rsidRDefault="006263CF" w:rsidP="006263CF">
            <w:pPr>
              <w:pStyle w:val="Tabletext"/>
              <w:rPr>
                <w:rFonts w:eastAsia="TimesNewRoman"/>
              </w:rPr>
            </w:pPr>
            <w:r w:rsidRPr="00C94C33">
              <w:rPr>
                <w:rFonts w:eastAsia="TimesNewRoman"/>
              </w:rPr>
              <w:t>48 (18.1)</w:t>
            </w:r>
          </w:p>
        </w:tc>
        <w:tc>
          <w:tcPr>
            <w:tcW w:w="1701" w:type="dxa"/>
            <w:tcBorders>
              <w:left w:val="nil"/>
              <w:right w:val="single" w:sz="4" w:space="0" w:color="auto"/>
            </w:tcBorders>
            <w:shd w:val="clear" w:color="auto" w:fill="auto"/>
          </w:tcPr>
          <w:p w14:paraId="13389867" w14:textId="77777777" w:rsidR="006263CF" w:rsidRPr="00C94C33" w:rsidRDefault="006263CF" w:rsidP="006263CF">
            <w:pPr>
              <w:pStyle w:val="Tabletext"/>
              <w:rPr>
                <w:rFonts w:eastAsia="TimesNewRoman"/>
              </w:rPr>
            </w:pPr>
            <w:r w:rsidRPr="00C94C33">
              <w:rPr>
                <w:rFonts w:eastAsia="TimesNewRoman"/>
              </w:rPr>
              <w:t>2 (0.8)</w:t>
            </w:r>
          </w:p>
        </w:tc>
      </w:tr>
      <w:tr w:rsidR="006263CF" w:rsidRPr="00C94C33" w14:paraId="5AD2CD2E" w14:textId="77777777" w:rsidTr="006263CF">
        <w:tc>
          <w:tcPr>
            <w:tcW w:w="2943" w:type="dxa"/>
            <w:tcBorders>
              <w:left w:val="single" w:sz="4" w:space="0" w:color="auto"/>
            </w:tcBorders>
            <w:shd w:val="clear" w:color="auto" w:fill="auto"/>
          </w:tcPr>
          <w:p w14:paraId="6BA477A2" w14:textId="77777777" w:rsidR="006263CF" w:rsidRPr="00C94C33" w:rsidRDefault="006263CF" w:rsidP="006263CF">
            <w:pPr>
              <w:pStyle w:val="Tabletext"/>
            </w:pPr>
            <w:r w:rsidRPr="00C94C33">
              <w:t xml:space="preserve">Musculoskeletal and connective tissue disorders </w:t>
            </w:r>
          </w:p>
        </w:tc>
        <w:tc>
          <w:tcPr>
            <w:tcW w:w="1701" w:type="dxa"/>
            <w:tcBorders>
              <w:right w:val="nil"/>
            </w:tcBorders>
            <w:shd w:val="clear" w:color="auto" w:fill="auto"/>
          </w:tcPr>
          <w:p w14:paraId="1F8E76F7" w14:textId="5430ED46" w:rsidR="006263CF" w:rsidRPr="00C94C33" w:rsidRDefault="006263CF" w:rsidP="006263CF">
            <w:pPr>
              <w:pStyle w:val="Tabletext"/>
              <w:rPr>
                <w:rFonts w:eastAsia="TimesNewRoman"/>
              </w:rPr>
            </w:pPr>
            <w:r w:rsidRPr="00C94C33">
              <w:rPr>
                <w:rFonts w:eastAsia="TimesNewRoman"/>
              </w:rPr>
              <w:t>117 (22.0)</w:t>
            </w:r>
          </w:p>
        </w:tc>
        <w:tc>
          <w:tcPr>
            <w:tcW w:w="1376" w:type="dxa"/>
            <w:tcBorders>
              <w:left w:val="nil"/>
              <w:right w:val="single" w:sz="4" w:space="0" w:color="auto"/>
            </w:tcBorders>
            <w:shd w:val="clear" w:color="auto" w:fill="auto"/>
          </w:tcPr>
          <w:p w14:paraId="3776B7F9" w14:textId="77777777" w:rsidR="006263CF" w:rsidRPr="00C94C33" w:rsidRDefault="006263CF" w:rsidP="006263CF">
            <w:pPr>
              <w:pStyle w:val="Tabletext"/>
              <w:rPr>
                <w:rFonts w:eastAsia="TimesNewRoman"/>
              </w:rPr>
            </w:pPr>
            <w:r w:rsidRPr="00C94C33">
              <w:rPr>
                <w:rFonts w:eastAsia="TimesNewRoman"/>
              </w:rPr>
              <w:t>15 (2.8))</w:t>
            </w:r>
          </w:p>
        </w:tc>
        <w:tc>
          <w:tcPr>
            <w:tcW w:w="1701" w:type="dxa"/>
            <w:tcBorders>
              <w:left w:val="nil"/>
              <w:right w:val="nil"/>
            </w:tcBorders>
            <w:shd w:val="clear" w:color="auto" w:fill="auto"/>
          </w:tcPr>
          <w:p w14:paraId="2942C1C2" w14:textId="77777777" w:rsidR="006263CF" w:rsidRPr="00C94C33" w:rsidRDefault="006263CF" w:rsidP="006263CF">
            <w:pPr>
              <w:pStyle w:val="Tabletext"/>
              <w:rPr>
                <w:rFonts w:eastAsia="TimesNewRoman"/>
              </w:rPr>
            </w:pPr>
            <w:r w:rsidRPr="00C94C33">
              <w:rPr>
                <w:rFonts w:eastAsia="TimesNewRoman"/>
              </w:rPr>
              <w:t>55 (20.8</w:t>
            </w:r>
          </w:p>
        </w:tc>
        <w:tc>
          <w:tcPr>
            <w:tcW w:w="1701" w:type="dxa"/>
            <w:tcBorders>
              <w:left w:val="nil"/>
              <w:right w:val="single" w:sz="4" w:space="0" w:color="auto"/>
            </w:tcBorders>
            <w:shd w:val="clear" w:color="auto" w:fill="auto"/>
          </w:tcPr>
          <w:p w14:paraId="010FEBB9" w14:textId="77777777" w:rsidR="006263CF" w:rsidRPr="00C94C33" w:rsidRDefault="006263CF" w:rsidP="006263CF">
            <w:pPr>
              <w:pStyle w:val="Tabletext"/>
              <w:rPr>
                <w:rFonts w:eastAsia="TimesNewRoman"/>
              </w:rPr>
            </w:pPr>
            <w:r w:rsidRPr="00C94C33">
              <w:rPr>
                <w:rFonts w:eastAsia="TimesNewRoman"/>
              </w:rPr>
              <w:t>8 (3.0)</w:t>
            </w:r>
          </w:p>
        </w:tc>
      </w:tr>
      <w:tr w:rsidR="006263CF" w:rsidRPr="00C94C33" w14:paraId="5AED62E8" w14:textId="77777777" w:rsidTr="006263CF">
        <w:tc>
          <w:tcPr>
            <w:tcW w:w="2943" w:type="dxa"/>
            <w:tcBorders>
              <w:left w:val="single" w:sz="4" w:space="0" w:color="auto"/>
            </w:tcBorders>
            <w:shd w:val="clear" w:color="auto" w:fill="auto"/>
          </w:tcPr>
          <w:p w14:paraId="641647A9" w14:textId="77777777" w:rsidR="006263CF" w:rsidRPr="00C94C33" w:rsidRDefault="006263CF" w:rsidP="006263CF">
            <w:pPr>
              <w:pStyle w:val="Tabletext"/>
            </w:pPr>
            <w:r w:rsidRPr="00C94C33">
              <w:t>Nervous system disorders</w:t>
            </w:r>
          </w:p>
        </w:tc>
        <w:tc>
          <w:tcPr>
            <w:tcW w:w="1701" w:type="dxa"/>
            <w:tcBorders>
              <w:right w:val="nil"/>
            </w:tcBorders>
            <w:shd w:val="clear" w:color="auto" w:fill="auto"/>
          </w:tcPr>
          <w:p w14:paraId="45C7FD8E" w14:textId="77777777" w:rsidR="006263CF" w:rsidRPr="00C94C33" w:rsidRDefault="006263CF" w:rsidP="006263CF">
            <w:pPr>
              <w:pStyle w:val="Tabletext"/>
              <w:rPr>
                <w:rFonts w:eastAsia="TimesNewRoman"/>
              </w:rPr>
            </w:pPr>
            <w:r w:rsidRPr="00C94C33">
              <w:rPr>
                <w:rFonts w:eastAsia="TimesNewRoman"/>
              </w:rPr>
              <w:t>113 (21.2)</w:t>
            </w:r>
          </w:p>
        </w:tc>
        <w:tc>
          <w:tcPr>
            <w:tcW w:w="1376" w:type="dxa"/>
            <w:tcBorders>
              <w:left w:val="nil"/>
              <w:right w:val="single" w:sz="4" w:space="0" w:color="auto"/>
            </w:tcBorders>
            <w:shd w:val="clear" w:color="auto" w:fill="auto"/>
          </w:tcPr>
          <w:p w14:paraId="2456FE4A" w14:textId="77777777" w:rsidR="006263CF" w:rsidRPr="00C94C33" w:rsidRDefault="006263CF" w:rsidP="006263CF">
            <w:pPr>
              <w:pStyle w:val="Tabletext"/>
              <w:rPr>
                <w:rFonts w:eastAsia="TimesNewRoman"/>
              </w:rPr>
            </w:pPr>
            <w:r w:rsidRPr="00C94C33">
              <w:rPr>
                <w:rFonts w:eastAsia="TimesNewRoman"/>
              </w:rPr>
              <w:t>11 (2.1)</w:t>
            </w:r>
          </w:p>
        </w:tc>
        <w:tc>
          <w:tcPr>
            <w:tcW w:w="1701" w:type="dxa"/>
            <w:tcBorders>
              <w:left w:val="nil"/>
              <w:right w:val="nil"/>
            </w:tcBorders>
            <w:shd w:val="clear" w:color="auto" w:fill="auto"/>
          </w:tcPr>
          <w:p w14:paraId="40A2332B" w14:textId="77777777" w:rsidR="006263CF" w:rsidRPr="00C94C33" w:rsidRDefault="006263CF" w:rsidP="006263CF">
            <w:pPr>
              <w:pStyle w:val="Tabletext"/>
              <w:rPr>
                <w:rFonts w:eastAsia="TimesNewRoman"/>
              </w:rPr>
            </w:pPr>
            <w:r w:rsidRPr="00C94C33">
              <w:rPr>
                <w:rFonts w:eastAsia="TimesNewRoman"/>
              </w:rPr>
              <w:t>52 (19.6)</w:t>
            </w:r>
          </w:p>
        </w:tc>
        <w:tc>
          <w:tcPr>
            <w:tcW w:w="1701" w:type="dxa"/>
            <w:tcBorders>
              <w:left w:val="nil"/>
              <w:right w:val="single" w:sz="4" w:space="0" w:color="auto"/>
            </w:tcBorders>
            <w:shd w:val="clear" w:color="auto" w:fill="auto"/>
          </w:tcPr>
          <w:p w14:paraId="2991D6E2" w14:textId="77777777" w:rsidR="006263CF" w:rsidRPr="00C94C33" w:rsidRDefault="006263CF" w:rsidP="006263CF">
            <w:pPr>
              <w:pStyle w:val="Tabletext"/>
              <w:rPr>
                <w:rFonts w:eastAsia="TimesNewRoman"/>
              </w:rPr>
            </w:pPr>
            <w:r w:rsidRPr="00C94C33">
              <w:rPr>
                <w:rFonts w:eastAsia="TimesNewRoman"/>
              </w:rPr>
              <w:t>11 (4.2)</w:t>
            </w:r>
          </w:p>
        </w:tc>
      </w:tr>
      <w:tr w:rsidR="006263CF" w:rsidRPr="00C94C33" w14:paraId="2EC2A6C9" w14:textId="77777777" w:rsidTr="006263CF">
        <w:tc>
          <w:tcPr>
            <w:tcW w:w="2943" w:type="dxa"/>
            <w:tcBorders>
              <w:left w:val="single" w:sz="4" w:space="0" w:color="auto"/>
            </w:tcBorders>
            <w:shd w:val="clear" w:color="auto" w:fill="auto"/>
          </w:tcPr>
          <w:p w14:paraId="5FF85112" w14:textId="77777777" w:rsidR="006263CF" w:rsidRPr="00C94C33" w:rsidRDefault="006263CF" w:rsidP="006263CF">
            <w:pPr>
              <w:pStyle w:val="Tabletext"/>
            </w:pPr>
            <w:r w:rsidRPr="00C94C33">
              <w:t>Renal and urinary disorders</w:t>
            </w:r>
          </w:p>
        </w:tc>
        <w:tc>
          <w:tcPr>
            <w:tcW w:w="1701" w:type="dxa"/>
            <w:tcBorders>
              <w:right w:val="nil"/>
            </w:tcBorders>
            <w:shd w:val="clear" w:color="auto" w:fill="auto"/>
          </w:tcPr>
          <w:p w14:paraId="544B03DE" w14:textId="7A0C28A0" w:rsidR="006263CF" w:rsidRPr="00C94C33" w:rsidRDefault="006263CF" w:rsidP="006263CF">
            <w:pPr>
              <w:pStyle w:val="Tabletext"/>
              <w:rPr>
                <w:rFonts w:eastAsia="TimesNewRoman"/>
              </w:rPr>
            </w:pPr>
            <w:r>
              <w:rPr>
                <w:rFonts w:eastAsia="TimesNewRoman"/>
              </w:rPr>
              <w:t>70 (13.1)</w:t>
            </w:r>
          </w:p>
        </w:tc>
        <w:tc>
          <w:tcPr>
            <w:tcW w:w="1376" w:type="dxa"/>
            <w:tcBorders>
              <w:left w:val="nil"/>
              <w:right w:val="single" w:sz="4" w:space="0" w:color="auto"/>
            </w:tcBorders>
            <w:shd w:val="clear" w:color="auto" w:fill="auto"/>
          </w:tcPr>
          <w:p w14:paraId="5CE03DCE" w14:textId="19DFE074" w:rsidR="006263CF" w:rsidRPr="00C94C33" w:rsidRDefault="006263CF" w:rsidP="006263CF">
            <w:pPr>
              <w:pStyle w:val="Tabletext"/>
              <w:rPr>
                <w:rFonts w:eastAsia="TimesNewRoman"/>
              </w:rPr>
            </w:pPr>
            <w:r w:rsidRPr="00C94C33">
              <w:rPr>
                <w:rFonts w:eastAsia="TimesNewRoman"/>
              </w:rPr>
              <w:t>12 (2.3)</w:t>
            </w:r>
          </w:p>
        </w:tc>
        <w:tc>
          <w:tcPr>
            <w:tcW w:w="1701" w:type="dxa"/>
            <w:tcBorders>
              <w:left w:val="nil"/>
              <w:right w:val="nil"/>
            </w:tcBorders>
            <w:shd w:val="clear" w:color="auto" w:fill="auto"/>
          </w:tcPr>
          <w:p w14:paraId="7326BEE1" w14:textId="77777777" w:rsidR="006263CF" w:rsidRPr="00C94C33" w:rsidRDefault="006263CF" w:rsidP="006263CF">
            <w:pPr>
              <w:pStyle w:val="Tabletext"/>
              <w:rPr>
                <w:rFonts w:eastAsia="TimesNewRoman"/>
              </w:rPr>
            </w:pPr>
            <w:r w:rsidRPr="00C94C33">
              <w:rPr>
                <w:rFonts w:eastAsia="TimesNewRoman"/>
              </w:rPr>
              <w:t>30 (11.3)</w:t>
            </w:r>
          </w:p>
        </w:tc>
        <w:tc>
          <w:tcPr>
            <w:tcW w:w="1701" w:type="dxa"/>
            <w:tcBorders>
              <w:left w:val="nil"/>
              <w:right w:val="single" w:sz="4" w:space="0" w:color="auto"/>
            </w:tcBorders>
            <w:shd w:val="clear" w:color="auto" w:fill="auto"/>
          </w:tcPr>
          <w:p w14:paraId="3075B58D" w14:textId="77777777" w:rsidR="006263CF" w:rsidRPr="00C94C33" w:rsidRDefault="006263CF" w:rsidP="006263CF">
            <w:pPr>
              <w:pStyle w:val="Tabletext"/>
              <w:rPr>
                <w:rFonts w:eastAsia="TimesNewRoman"/>
              </w:rPr>
            </w:pPr>
            <w:r w:rsidRPr="00C94C33">
              <w:rPr>
                <w:rFonts w:eastAsia="TimesNewRoman"/>
              </w:rPr>
              <w:t>8 (3.0)</w:t>
            </w:r>
          </w:p>
        </w:tc>
      </w:tr>
      <w:tr w:rsidR="006263CF" w:rsidRPr="00C94C33" w14:paraId="212F8BEE" w14:textId="77777777" w:rsidTr="006263CF">
        <w:tc>
          <w:tcPr>
            <w:tcW w:w="2943" w:type="dxa"/>
            <w:tcBorders>
              <w:left w:val="single" w:sz="4" w:space="0" w:color="auto"/>
            </w:tcBorders>
            <w:shd w:val="clear" w:color="auto" w:fill="auto"/>
          </w:tcPr>
          <w:p w14:paraId="7C852836" w14:textId="77777777" w:rsidR="006263CF" w:rsidRPr="00C94C33" w:rsidRDefault="006263CF" w:rsidP="006263CF">
            <w:pPr>
              <w:pStyle w:val="Tabletext"/>
            </w:pPr>
            <w:r w:rsidRPr="00C94C33">
              <w:t xml:space="preserve">Hepatobiliary disorders </w:t>
            </w:r>
          </w:p>
        </w:tc>
        <w:tc>
          <w:tcPr>
            <w:tcW w:w="1701" w:type="dxa"/>
            <w:tcBorders>
              <w:right w:val="nil"/>
            </w:tcBorders>
            <w:shd w:val="clear" w:color="auto" w:fill="auto"/>
          </w:tcPr>
          <w:p w14:paraId="1B648C7E" w14:textId="3F7F8360" w:rsidR="006263CF" w:rsidRPr="00C94C33" w:rsidRDefault="006263CF" w:rsidP="006263CF">
            <w:pPr>
              <w:pStyle w:val="Tabletext"/>
            </w:pPr>
            <w:r w:rsidRPr="00C94C33">
              <w:rPr>
                <w:rFonts w:eastAsia="TimesNewRoman"/>
              </w:rPr>
              <w:t>55 (10.3)</w:t>
            </w:r>
          </w:p>
        </w:tc>
        <w:tc>
          <w:tcPr>
            <w:tcW w:w="1376" w:type="dxa"/>
            <w:tcBorders>
              <w:left w:val="nil"/>
              <w:right w:val="single" w:sz="4" w:space="0" w:color="auto"/>
            </w:tcBorders>
            <w:shd w:val="clear" w:color="auto" w:fill="auto"/>
          </w:tcPr>
          <w:p w14:paraId="7B6E6E66" w14:textId="77777777" w:rsidR="006263CF" w:rsidRPr="00C94C33" w:rsidRDefault="006263CF" w:rsidP="006263CF">
            <w:pPr>
              <w:pStyle w:val="Tabletext"/>
            </w:pPr>
            <w:r w:rsidRPr="00C94C33">
              <w:rPr>
                <w:rFonts w:eastAsia="TimesNewRoman"/>
              </w:rPr>
              <w:t>33 (6.2)</w:t>
            </w:r>
          </w:p>
        </w:tc>
        <w:tc>
          <w:tcPr>
            <w:tcW w:w="1701" w:type="dxa"/>
            <w:tcBorders>
              <w:left w:val="nil"/>
              <w:right w:val="nil"/>
            </w:tcBorders>
            <w:shd w:val="clear" w:color="auto" w:fill="auto"/>
          </w:tcPr>
          <w:p w14:paraId="29740048" w14:textId="77777777" w:rsidR="006263CF" w:rsidRPr="00C94C33" w:rsidRDefault="006263CF" w:rsidP="006263CF">
            <w:pPr>
              <w:pStyle w:val="Tabletext"/>
            </w:pPr>
            <w:r w:rsidRPr="00C94C33">
              <w:rPr>
                <w:rFonts w:eastAsia="TimesNewRoman"/>
              </w:rPr>
              <w:t>28 (10.6)</w:t>
            </w:r>
          </w:p>
        </w:tc>
        <w:tc>
          <w:tcPr>
            <w:tcW w:w="1701" w:type="dxa"/>
            <w:tcBorders>
              <w:left w:val="nil"/>
              <w:right w:val="single" w:sz="4" w:space="0" w:color="auto"/>
            </w:tcBorders>
            <w:shd w:val="clear" w:color="auto" w:fill="auto"/>
          </w:tcPr>
          <w:p w14:paraId="623B8A25" w14:textId="77777777" w:rsidR="006263CF" w:rsidRPr="00C94C33" w:rsidRDefault="006263CF" w:rsidP="006263CF">
            <w:pPr>
              <w:pStyle w:val="Tabletext"/>
            </w:pPr>
            <w:r w:rsidRPr="00C94C33">
              <w:rPr>
                <w:rFonts w:eastAsia="TimesNewRoman"/>
              </w:rPr>
              <w:t>18 (6.8)</w:t>
            </w:r>
          </w:p>
        </w:tc>
      </w:tr>
    </w:tbl>
    <w:p w14:paraId="3817DED0" w14:textId="5BA77F48" w:rsidR="00DF61BC" w:rsidRPr="00C94C33" w:rsidRDefault="00DF61BC" w:rsidP="005C2FCA">
      <w:pPr>
        <w:pStyle w:val="Comment"/>
      </w:pPr>
      <w:r w:rsidRPr="005C2FCA">
        <w:rPr>
          <w:b/>
        </w:rPr>
        <w:t>Comment:</w:t>
      </w:r>
      <w:r w:rsidR="00BF6EFD" w:rsidRPr="005C2FCA">
        <w:rPr>
          <w:b/>
        </w:rPr>
        <w:t xml:space="preserve"> </w:t>
      </w:r>
      <w:r w:rsidR="00BF565E" w:rsidRPr="005C2FCA">
        <w:rPr>
          <w:b/>
        </w:rPr>
        <w:t xml:space="preserve"> </w:t>
      </w:r>
      <w:r w:rsidRPr="00C94C33">
        <w:t>Of particular note was the high incidence (≥ 50%, any) in the TAS-102 group of gastrointestinal disorders (predominantly nausea, vomiting, diarrhoea, constipation and upper abdominal pain), general disorders and administration site conditions (predominantly fatigue, pyrexia and asthenia), blood and lymphatic disorders (predominantly anaemia and neutro</w:t>
      </w:r>
      <w:r w:rsidR="00B50F67">
        <w:t>paenia</w:t>
      </w:r>
      <w:r w:rsidRPr="00C94C33">
        <w:t>), and investigations (predominantly neutrophil count decreased, white blood cell count decreased, and platelet count decreased).</w:t>
      </w:r>
    </w:p>
    <w:p w14:paraId="06CB91A1" w14:textId="77777777" w:rsidR="00DF61BC" w:rsidRPr="00C94C33" w:rsidRDefault="00DF61BC" w:rsidP="00955252">
      <w:pPr>
        <w:pStyle w:val="Heading5"/>
      </w:pPr>
      <w:bookmarkStart w:id="356" w:name="_Toc470948571"/>
      <w:r w:rsidRPr="00C94C33">
        <w:t>Adverse events (preferred term) regardless of relationship to treatment</w:t>
      </w:r>
      <w:bookmarkEnd w:id="356"/>
    </w:p>
    <w:p w14:paraId="4A9E8C94" w14:textId="43CAE45E" w:rsidR="00DF61BC" w:rsidRPr="00C94C33" w:rsidRDefault="00DF61BC" w:rsidP="00DF61BC">
      <w:pPr>
        <w:autoSpaceDE w:val="0"/>
        <w:autoSpaceDN w:val="0"/>
        <w:adjustRightInd w:val="0"/>
        <w:rPr>
          <w:rFonts w:asciiTheme="minorHAnsi" w:hAnsiTheme="minorHAnsi"/>
          <w:color w:val="000000"/>
        </w:rPr>
      </w:pPr>
      <w:r w:rsidRPr="00C94C33">
        <w:rPr>
          <w:rFonts w:asciiTheme="minorHAnsi" w:hAnsiTheme="minorHAnsi"/>
          <w:color w:val="000000"/>
        </w:rPr>
        <w:t>AEs reported in ≥ 10% of patients in the TAS-102 group compared with the pla</w:t>
      </w:r>
      <w:r w:rsidR="001C03E7" w:rsidRPr="00C94C33">
        <w:rPr>
          <w:rFonts w:asciiTheme="minorHAnsi" w:hAnsiTheme="minorHAnsi"/>
          <w:color w:val="000000"/>
        </w:rPr>
        <w:t xml:space="preserve">cebo group are summarised below, along with the </w:t>
      </w:r>
      <w:r w:rsidRPr="00C94C33">
        <w:rPr>
          <w:rFonts w:asciiTheme="minorHAnsi" w:hAnsiTheme="minorHAnsi"/>
          <w:color w:val="000000"/>
        </w:rPr>
        <w:t>AEs reported by ≥ 2% of p</w:t>
      </w:r>
      <w:r w:rsidR="001C03E7" w:rsidRPr="00C94C33">
        <w:rPr>
          <w:rFonts w:asciiTheme="minorHAnsi" w:hAnsiTheme="minorHAnsi"/>
          <w:color w:val="000000"/>
        </w:rPr>
        <w:t>atients in the TAS-102 group</w:t>
      </w:r>
      <w:r w:rsidRPr="00C94C33">
        <w:rPr>
          <w:rFonts w:asciiTheme="minorHAnsi" w:hAnsiTheme="minorHAnsi"/>
          <w:color w:val="000000"/>
        </w:rPr>
        <w:t>.</w:t>
      </w:r>
    </w:p>
    <w:p w14:paraId="416946DC" w14:textId="5675ADCE" w:rsidR="00DF61BC" w:rsidRPr="00C94C33" w:rsidRDefault="00DF61BC" w:rsidP="00CA232D">
      <w:pPr>
        <w:pStyle w:val="Tabletitle"/>
      </w:pPr>
      <w:bookmarkStart w:id="357" w:name="_Toc470948697"/>
      <w:r w:rsidRPr="00C94C33">
        <w:lastRenderedPageBreak/>
        <w:t>Table</w:t>
      </w:r>
      <w:r w:rsidR="00CA232D" w:rsidRPr="00C94C33">
        <w:t xml:space="preserve"> 48</w:t>
      </w:r>
      <w:r w:rsidRPr="00C94C33">
        <w:t>: RECOURSE</w:t>
      </w:r>
      <w:r w:rsidR="00BF6EFD">
        <w:t xml:space="preserve">; </w:t>
      </w:r>
      <w:r w:rsidRPr="00C94C33">
        <w:t>Adverse events reported in ≥ 10% of patients in the TAS-102 group by descending order of frequency, AT population</w:t>
      </w:r>
      <w:bookmarkEnd w:id="357"/>
    </w:p>
    <w:tbl>
      <w:tblPr>
        <w:tblW w:w="9576" w:type="dxa"/>
        <w:tblInd w:w="112" w:type="dxa"/>
        <w:tblLayout w:type="fixed"/>
        <w:tblCellMar>
          <w:left w:w="0" w:type="dxa"/>
          <w:right w:w="0" w:type="dxa"/>
        </w:tblCellMar>
        <w:tblLook w:val="0000" w:firstRow="0" w:lastRow="0" w:firstColumn="0" w:lastColumn="0" w:noHBand="0" w:noVBand="0"/>
      </w:tblPr>
      <w:tblGrid>
        <w:gridCol w:w="3798"/>
        <w:gridCol w:w="1444"/>
        <w:gridCol w:w="1445"/>
        <w:gridCol w:w="1445"/>
        <w:gridCol w:w="1444"/>
      </w:tblGrid>
      <w:tr w:rsidR="00DF61BC" w:rsidRPr="00C94C33" w14:paraId="0D9B4053" w14:textId="77777777" w:rsidTr="00C844C0">
        <w:trPr>
          <w:trHeight w:hRule="exact" w:val="348"/>
          <w:tblHeader/>
        </w:trPr>
        <w:tc>
          <w:tcPr>
            <w:tcW w:w="3798" w:type="dxa"/>
            <w:vMerge w:val="restart"/>
            <w:tcBorders>
              <w:top w:val="single" w:sz="8" w:space="0" w:color="000000"/>
              <w:left w:val="single" w:sz="4" w:space="0" w:color="auto"/>
              <w:bottom w:val="single" w:sz="8" w:space="0" w:color="000000"/>
              <w:right w:val="single" w:sz="4" w:space="0" w:color="auto"/>
            </w:tcBorders>
            <w:shd w:val="clear" w:color="auto" w:fill="auto"/>
          </w:tcPr>
          <w:p w14:paraId="7ED047DA" w14:textId="654AD9C3" w:rsidR="00DF61BC" w:rsidRPr="00C94C33" w:rsidRDefault="00DF61BC" w:rsidP="00C844C0">
            <w:pPr>
              <w:pStyle w:val="TableHeading"/>
            </w:pPr>
            <w:bookmarkStart w:id="358" w:name="12.2.2._Adverse_Events_Regardless_of_Rel"/>
            <w:bookmarkStart w:id="359" w:name="Table_36:_Most_Frequently_Reported_Adver"/>
            <w:bookmarkEnd w:id="358"/>
            <w:bookmarkEnd w:id="359"/>
            <w:r w:rsidRPr="00C94C33">
              <w:t>Preferred</w:t>
            </w:r>
            <w:r w:rsidRPr="00C94C33">
              <w:rPr>
                <w:spacing w:val="-15"/>
              </w:rPr>
              <w:t xml:space="preserve"> </w:t>
            </w:r>
            <w:r w:rsidRPr="00C94C33">
              <w:t>Term</w:t>
            </w:r>
          </w:p>
        </w:tc>
        <w:tc>
          <w:tcPr>
            <w:tcW w:w="5778" w:type="dxa"/>
            <w:gridSpan w:val="4"/>
            <w:tcBorders>
              <w:top w:val="single" w:sz="8" w:space="0" w:color="000000"/>
              <w:left w:val="single" w:sz="4" w:space="0" w:color="auto"/>
              <w:right w:val="single" w:sz="4" w:space="0" w:color="auto"/>
            </w:tcBorders>
            <w:shd w:val="clear" w:color="auto" w:fill="auto"/>
          </w:tcPr>
          <w:p w14:paraId="17615F8C" w14:textId="77777777" w:rsidR="00DF61BC" w:rsidRPr="00C94C33" w:rsidRDefault="00DF61BC" w:rsidP="00C844C0">
            <w:pPr>
              <w:pStyle w:val="TableHeading"/>
              <w:jc w:val="center"/>
            </w:pPr>
            <w:r w:rsidRPr="00C94C33">
              <w:t>Number</w:t>
            </w:r>
            <w:r w:rsidRPr="00C94C33">
              <w:rPr>
                <w:spacing w:val="-7"/>
              </w:rPr>
              <w:t xml:space="preserve"> </w:t>
            </w:r>
            <w:r w:rsidRPr="00C94C33">
              <w:t>(%)</w:t>
            </w:r>
            <w:r w:rsidRPr="00C94C33">
              <w:rPr>
                <w:spacing w:val="-6"/>
              </w:rPr>
              <w:t xml:space="preserve"> </w:t>
            </w:r>
            <w:r w:rsidRPr="00C94C33">
              <w:t>of</w:t>
            </w:r>
            <w:r w:rsidRPr="00C94C33">
              <w:rPr>
                <w:spacing w:val="-7"/>
              </w:rPr>
              <w:t xml:space="preserve"> </w:t>
            </w:r>
            <w:r w:rsidRPr="00C94C33">
              <w:t>Patients</w:t>
            </w:r>
          </w:p>
        </w:tc>
      </w:tr>
      <w:tr w:rsidR="00DF61BC" w:rsidRPr="00C94C33" w14:paraId="404971B5" w14:textId="77777777" w:rsidTr="00C844C0">
        <w:trPr>
          <w:trHeight w:hRule="exact" w:val="447"/>
          <w:tblHeader/>
        </w:trPr>
        <w:tc>
          <w:tcPr>
            <w:tcW w:w="3798" w:type="dxa"/>
            <w:vMerge/>
            <w:tcBorders>
              <w:top w:val="single" w:sz="8" w:space="0" w:color="000000"/>
              <w:left w:val="single" w:sz="4" w:space="0" w:color="auto"/>
              <w:bottom w:val="single" w:sz="8" w:space="0" w:color="000000"/>
              <w:right w:val="single" w:sz="4" w:space="0" w:color="auto"/>
            </w:tcBorders>
            <w:shd w:val="clear" w:color="auto" w:fill="auto"/>
          </w:tcPr>
          <w:p w14:paraId="17FF680D" w14:textId="77777777" w:rsidR="00DF61BC" w:rsidRPr="00C94C33" w:rsidRDefault="00DF61BC" w:rsidP="00C844C0">
            <w:pPr>
              <w:pStyle w:val="TableHeading"/>
            </w:pPr>
          </w:p>
        </w:tc>
        <w:tc>
          <w:tcPr>
            <w:tcW w:w="2889" w:type="dxa"/>
            <w:gridSpan w:val="2"/>
            <w:tcBorders>
              <w:left w:val="single" w:sz="4" w:space="0" w:color="auto"/>
              <w:bottom w:val="single" w:sz="7" w:space="0" w:color="000000"/>
            </w:tcBorders>
            <w:shd w:val="clear" w:color="auto" w:fill="auto"/>
          </w:tcPr>
          <w:p w14:paraId="3C478188" w14:textId="7C9B2686" w:rsidR="00DF61BC" w:rsidRPr="00C94C33" w:rsidRDefault="00DF61BC" w:rsidP="00C844C0">
            <w:pPr>
              <w:pStyle w:val="TableHeading"/>
              <w:jc w:val="center"/>
            </w:pPr>
            <w:r w:rsidRPr="00C94C33">
              <w:rPr>
                <w:w w:val="95"/>
              </w:rPr>
              <w:t>TAS-102</w:t>
            </w:r>
            <w:r w:rsidRPr="00C94C33">
              <w:rPr>
                <w:w w:val="99"/>
              </w:rPr>
              <w:t xml:space="preserve"> </w:t>
            </w:r>
            <w:r w:rsidRPr="00C94C33">
              <w:t>(</w:t>
            </w:r>
            <w:r w:rsidR="009C0389" w:rsidRPr="00C94C33">
              <w:t xml:space="preserve">N = </w:t>
            </w:r>
            <w:r w:rsidRPr="00C94C33">
              <w:t>533)</w:t>
            </w:r>
          </w:p>
        </w:tc>
        <w:tc>
          <w:tcPr>
            <w:tcW w:w="2889" w:type="dxa"/>
            <w:gridSpan w:val="2"/>
            <w:tcBorders>
              <w:left w:val="nil"/>
              <w:bottom w:val="single" w:sz="7" w:space="0" w:color="000000"/>
              <w:right w:val="single" w:sz="4" w:space="0" w:color="auto"/>
            </w:tcBorders>
            <w:shd w:val="clear" w:color="auto" w:fill="auto"/>
          </w:tcPr>
          <w:p w14:paraId="1E410AD6" w14:textId="6721E667" w:rsidR="00DF61BC" w:rsidRPr="00C94C33" w:rsidRDefault="00DF61BC" w:rsidP="00C844C0">
            <w:pPr>
              <w:pStyle w:val="TableHeading"/>
              <w:jc w:val="center"/>
            </w:pPr>
            <w:r w:rsidRPr="00C94C33">
              <w:t>Placebo</w:t>
            </w:r>
            <w:r w:rsidRPr="00C94C33">
              <w:rPr>
                <w:w w:val="99"/>
              </w:rPr>
              <w:t xml:space="preserve"> </w:t>
            </w:r>
            <w:r w:rsidRPr="00C94C33">
              <w:rPr>
                <w:w w:val="95"/>
              </w:rPr>
              <w:t>(</w:t>
            </w:r>
            <w:r w:rsidR="009C0389" w:rsidRPr="00C94C33">
              <w:rPr>
                <w:w w:val="95"/>
              </w:rPr>
              <w:t xml:space="preserve">N = </w:t>
            </w:r>
            <w:r w:rsidRPr="00C94C33">
              <w:rPr>
                <w:w w:val="95"/>
              </w:rPr>
              <w:t>265)</w:t>
            </w:r>
          </w:p>
        </w:tc>
      </w:tr>
      <w:tr w:rsidR="00DF61BC" w:rsidRPr="00C94C33" w14:paraId="264F9236" w14:textId="77777777" w:rsidTr="001735DA">
        <w:trPr>
          <w:trHeight w:hRule="exact" w:val="306"/>
        </w:trPr>
        <w:tc>
          <w:tcPr>
            <w:tcW w:w="3798" w:type="dxa"/>
            <w:tcBorders>
              <w:top w:val="single" w:sz="8" w:space="0" w:color="000000"/>
              <w:left w:val="single" w:sz="4" w:space="0" w:color="auto"/>
              <w:bottom w:val="single" w:sz="8" w:space="0" w:color="000000"/>
              <w:right w:val="single" w:sz="4" w:space="0" w:color="auto"/>
            </w:tcBorders>
            <w:shd w:val="clear" w:color="auto" w:fill="auto"/>
          </w:tcPr>
          <w:p w14:paraId="5C9C0EE9" w14:textId="77777777" w:rsidR="00DF61BC" w:rsidRPr="00C94C33" w:rsidRDefault="00DF61BC" w:rsidP="00C844C0">
            <w:pPr>
              <w:pStyle w:val="Tabletext"/>
            </w:pPr>
            <w:r w:rsidRPr="00C94C33">
              <w:t>Nausea</w:t>
            </w:r>
          </w:p>
        </w:tc>
        <w:tc>
          <w:tcPr>
            <w:tcW w:w="1444" w:type="dxa"/>
            <w:tcBorders>
              <w:top w:val="single" w:sz="7" w:space="0" w:color="000000"/>
              <w:left w:val="single" w:sz="4" w:space="0" w:color="auto"/>
              <w:bottom w:val="single" w:sz="7" w:space="0" w:color="000000"/>
              <w:right w:val="nil"/>
            </w:tcBorders>
            <w:shd w:val="clear" w:color="auto" w:fill="auto"/>
          </w:tcPr>
          <w:p w14:paraId="69F4D888" w14:textId="77777777" w:rsidR="00DF61BC" w:rsidRPr="00C94C33" w:rsidRDefault="00DF61BC" w:rsidP="00C844C0">
            <w:pPr>
              <w:pStyle w:val="Tabletext"/>
            </w:pPr>
            <w:r w:rsidRPr="00C94C33">
              <w:t>258</w:t>
            </w:r>
          </w:p>
        </w:tc>
        <w:tc>
          <w:tcPr>
            <w:tcW w:w="1445" w:type="dxa"/>
            <w:tcBorders>
              <w:top w:val="single" w:sz="7" w:space="0" w:color="000000"/>
              <w:left w:val="nil"/>
              <w:bottom w:val="single" w:sz="7" w:space="0" w:color="000000"/>
            </w:tcBorders>
            <w:shd w:val="clear" w:color="auto" w:fill="auto"/>
          </w:tcPr>
          <w:p w14:paraId="7123DC14" w14:textId="77777777" w:rsidR="00DF61BC" w:rsidRPr="00C94C33" w:rsidRDefault="00DF61BC" w:rsidP="00C844C0">
            <w:pPr>
              <w:pStyle w:val="Tabletext"/>
            </w:pPr>
            <w:r w:rsidRPr="00C94C33">
              <w:t>(48.4)</w:t>
            </w:r>
          </w:p>
        </w:tc>
        <w:tc>
          <w:tcPr>
            <w:tcW w:w="1445" w:type="dxa"/>
            <w:tcBorders>
              <w:top w:val="single" w:sz="7" w:space="0" w:color="000000"/>
              <w:left w:val="nil"/>
              <w:bottom w:val="single" w:sz="7" w:space="0" w:color="000000"/>
              <w:right w:val="nil"/>
            </w:tcBorders>
            <w:shd w:val="clear" w:color="auto" w:fill="auto"/>
          </w:tcPr>
          <w:p w14:paraId="07BEE314" w14:textId="77777777" w:rsidR="00DF61BC" w:rsidRPr="00C94C33" w:rsidRDefault="00DF61BC" w:rsidP="00C844C0">
            <w:pPr>
              <w:pStyle w:val="Tabletext"/>
            </w:pPr>
            <w:r w:rsidRPr="00C94C33">
              <w:t>63</w:t>
            </w:r>
          </w:p>
        </w:tc>
        <w:tc>
          <w:tcPr>
            <w:tcW w:w="1444" w:type="dxa"/>
            <w:tcBorders>
              <w:top w:val="single" w:sz="7" w:space="0" w:color="000000"/>
              <w:left w:val="nil"/>
              <w:bottom w:val="single" w:sz="7" w:space="0" w:color="000000"/>
              <w:right w:val="single" w:sz="4" w:space="0" w:color="auto"/>
            </w:tcBorders>
            <w:shd w:val="clear" w:color="auto" w:fill="auto"/>
          </w:tcPr>
          <w:p w14:paraId="411A3AD3" w14:textId="77777777" w:rsidR="00DF61BC" w:rsidRPr="00C94C33" w:rsidRDefault="00DF61BC" w:rsidP="00C844C0">
            <w:pPr>
              <w:pStyle w:val="Tabletext"/>
            </w:pPr>
            <w:r w:rsidRPr="00C94C33">
              <w:t>(23.8)</w:t>
            </w:r>
          </w:p>
        </w:tc>
      </w:tr>
      <w:tr w:rsidR="00DF61BC" w:rsidRPr="00C94C33" w14:paraId="6AED3E88" w14:textId="77777777" w:rsidTr="001735DA">
        <w:trPr>
          <w:trHeight w:hRule="exact" w:val="305"/>
        </w:trPr>
        <w:tc>
          <w:tcPr>
            <w:tcW w:w="3798" w:type="dxa"/>
            <w:tcBorders>
              <w:top w:val="single" w:sz="8" w:space="0" w:color="000000"/>
              <w:left w:val="single" w:sz="4" w:space="0" w:color="auto"/>
              <w:bottom w:val="single" w:sz="8" w:space="0" w:color="000000"/>
              <w:right w:val="single" w:sz="4" w:space="0" w:color="auto"/>
            </w:tcBorders>
            <w:shd w:val="clear" w:color="auto" w:fill="auto"/>
          </w:tcPr>
          <w:p w14:paraId="55A8E820" w14:textId="77777777" w:rsidR="00DF61BC" w:rsidRPr="00C94C33" w:rsidRDefault="00DF61BC" w:rsidP="00C844C0">
            <w:pPr>
              <w:pStyle w:val="Tabletext"/>
            </w:pPr>
            <w:r w:rsidRPr="00C94C33">
              <w:t>Anaemia</w:t>
            </w:r>
          </w:p>
        </w:tc>
        <w:tc>
          <w:tcPr>
            <w:tcW w:w="1444" w:type="dxa"/>
            <w:tcBorders>
              <w:top w:val="single" w:sz="7" w:space="0" w:color="000000"/>
              <w:left w:val="single" w:sz="4" w:space="0" w:color="auto"/>
              <w:bottom w:val="single" w:sz="7" w:space="0" w:color="000000"/>
              <w:right w:val="nil"/>
            </w:tcBorders>
            <w:shd w:val="clear" w:color="auto" w:fill="auto"/>
          </w:tcPr>
          <w:p w14:paraId="4BDDEA8B" w14:textId="77777777" w:rsidR="00DF61BC" w:rsidRPr="00C94C33" w:rsidRDefault="00DF61BC" w:rsidP="00C844C0">
            <w:pPr>
              <w:pStyle w:val="Tabletext"/>
            </w:pPr>
            <w:r w:rsidRPr="00C94C33">
              <w:t>214</w:t>
            </w:r>
          </w:p>
        </w:tc>
        <w:tc>
          <w:tcPr>
            <w:tcW w:w="1445" w:type="dxa"/>
            <w:tcBorders>
              <w:top w:val="single" w:sz="7" w:space="0" w:color="000000"/>
              <w:left w:val="nil"/>
              <w:bottom w:val="single" w:sz="7" w:space="0" w:color="000000"/>
            </w:tcBorders>
            <w:shd w:val="clear" w:color="auto" w:fill="auto"/>
          </w:tcPr>
          <w:p w14:paraId="1B7BA4F3" w14:textId="77777777" w:rsidR="00DF61BC" w:rsidRPr="00C94C33" w:rsidRDefault="00DF61BC" w:rsidP="00C844C0">
            <w:pPr>
              <w:pStyle w:val="Tabletext"/>
            </w:pPr>
            <w:r w:rsidRPr="00C94C33">
              <w:t>(40.2)</w:t>
            </w:r>
          </w:p>
        </w:tc>
        <w:tc>
          <w:tcPr>
            <w:tcW w:w="1445" w:type="dxa"/>
            <w:tcBorders>
              <w:top w:val="single" w:sz="7" w:space="0" w:color="000000"/>
              <w:left w:val="nil"/>
              <w:bottom w:val="single" w:sz="7" w:space="0" w:color="000000"/>
              <w:right w:val="nil"/>
            </w:tcBorders>
            <w:shd w:val="clear" w:color="auto" w:fill="auto"/>
          </w:tcPr>
          <w:p w14:paraId="7173B892" w14:textId="77777777" w:rsidR="00DF61BC" w:rsidRPr="00C94C33" w:rsidRDefault="00DF61BC" w:rsidP="00C844C0">
            <w:pPr>
              <w:pStyle w:val="Tabletext"/>
            </w:pPr>
            <w:r w:rsidRPr="00C94C33">
              <w:t>22</w:t>
            </w:r>
          </w:p>
        </w:tc>
        <w:tc>
          <w:tcPr>
            <w:tcW w:w="1444" w:type="dxa"/>
            <w:tcBorders>
              <w:top w:val="single" w:sz="7" w:space="0" w:color="000000"/>
              <w:left w:val="nil"/>
              <w:bottom w:val="single" w:sz="7" w:space="0" w:color="000000"/>
              <w:right w:val="single" w:sz="4" w:space="0" w:color="auto"/>
            </w:tcBorders>
            <w:shd w:val="clear" w:color="auto" w:fill="auto"/>
          </w:tcPr>
          <w:p w14:paraId="7F7C9F03" w14:textId="77777777" w:rsidR="00DF61BC" w:rsidRPr="00C94C33" w:rsidRDefault="00DF61BC" w:rsidP="00C844C0">
            <w:pPr>
              <w:pStyle w:val="Tabletext"/>
            </w:pPr>
            <w:r w:rsidRPr="00C94C33">
              <w:t>(8.3)</w:t>
            </w:r>
          </w:p>
        </w:tc>
      </w:tr>
      <w:tr w:rsidR="00DF61BC" w:rsidRPr="00C94C33" w14:paraId="0402F0D7" w14:textId="77777777" w:rsidTr="001735DA">
        <w:trPr>
          <w:trHeight w:hRule="exact" w:val="305"/>
        </w:trPr>
        <w:tc>
          <w:tcPr>
            <w:tcW w:w="3798" w:type="dxa"/>
            <w:tcBorders>
              <w:top w:val="single" w:sz="8" w:space="0" w:color="000000"/>
              <w:left w:val="single" w:sz="4" w:space="0" w:color="auto"/>
              <w:bottom w:val="single" w:sz="8" w:space="0" w:color="000000"/>
              <w:right w:val="single" w:sz="4" w:space="0" w:color="auto"/>
            </w:tcBorders>
            <w:shd w:val="clear" w:color="auto" w:fill="auto"/>
          </w:tcPr>
          <w:p w14:paraId="2A84DEC5" w14:textId="77777777" w:rsidR="00DF61BC" w:rsidRPr="00C94C33" w:rsidRDefault="00DF61BC" w:rsidP="00C844C0">
            <w:pPr>
              <w:pStyle w:val="Tabletext"/>
            </w:pPr>
            <w:r w:rsidRPr="00C94C33">
              <w:t>Decreased</w:t>
            </w:r>
            <w:r w:rsidRPr="00C94C33">
              <w:rPr>
                <w:spacing w:val="1"/>
              </w:rPr>
              <w:t xml:space="preserve"> </w:t>
            </w:r>
            <w:r w:rsidRPr="00C94C33">
              <w:t>appetite</w:t>
            </w:r>
          </w:p>
        </w:tc>
        <w:tc>
          <w:tcPr>
            <w:tcW w:w="1444" w:type="dxa"/>
            <w:tcBorders>
              <w:top w:val="single" w:sz="7" w:space="0" w:color="000000"/>
              <w:left w:val="single" w:sz="4" w:space="0" w:color="auto"/>
              <w:bottom w:val="single" w:sz="7" w:space="0" w:color="000000"/>
              <w:right w:val="nil"/>
            </w:tcBorders>
            <w:shd w:val="clear" w:color="auto" w:fill="auto"/>
          </w:tcPr>
          <w:p w14:paraId="4662ECAE" w14:textId="77777777" w:rsidR="00DF61BC" w:rsidRPr="00C94C33" w:rsidRDefault="00DF61BC" w:rsidP="00C844C0">
            <w:pPr>
              <w:pStyle w:val="Tabletext"/>
            </w:pPr>
            <w:r w:rsidRPr="00C94C33">
              <w:t>208</w:t>
            </w:r>
          </w:p>
        </w:tc>
        <w:tc>
          <w:tcPr>
            <w:tcW w:w="1445" w:type="dxa"/>
            <w:tcBorders>
              <w:top w:val="single" w:sz="7" w:space="0" w:color="000000"/>
              <w:left w:val="nil"/>
              <w:bottom w:val="single" w:sz="7" w:space="0" w:color="000000"/>
            </w:tcBorders>
            <w:shd w:val="clear" w:color="auto" w:fill="auto"/>
          </w:tcPr>
          <w:p w14:paraId="5C1EA321" w14:textId="77777777" w:rsidR="00DF61BC" w:rsidRPr="00C94C33" w:rsidRDefault="00DF61BC" w:rsidP="00C844C0">
            <w:pPr>
              <w:pStyle w:val="Tabletext"/>
            </w:pPr>
            <w:r w:rsidRPr="00C94C33">
              <w:t>(39.0)</w:t>
            </w:r>
          </w:p>
        </w:tc>
        <w:tc>
          <w:tcPr>
            <w:tcW w:w="1445" w:type="dxa"/>
            <w:tcBorders>
              <w:top w:val="single" w:sz="7" w:space="0" w:color="000000"/>
              <w:left w:val="nil"/>
              <w:bottom w:val="single" w:sz="7" w:space="0" w:color="000000"/>
              <w:right w:val="nil"/>
            </w:tcBorders>
            <w:shd w:val="clear" w:color="auto" w:fill="auto"/>
          </w:tcPr>
          <w:p w14:paraId="1E65139D" w14:textId="77777777" w:rsidR="00DF61BC" w:rsidRPr="00C94C33" w:rsidRDefault="00DF61BC" w:rsidP="00C844C0">
            <w:pPr>
              <w:pStyle w:val="Tabletext"/>
            </w:pPr>
            <w:r w:rsidRPr="00C94C33">
              <w:t>78</w:t>
            </w:r>
          </w:p>
        </w:tc>
        <w:tc>
          <w:tcPr>
            <w:tcW w:w="1444" w:type="dxa"/>
            <w:tcBorders>
              <w:top w:val="single" w:sz="7" w:space="0" w:color="000000"/>
              <w:left w:val="nil"/>
              <w:bottom w:val="single" w:sz="7" w:space="0" w:color="000000"/>
              <w:right w:val="single" w:sz="4" w:space="0" w:color="auto"/>
            </w:tcBorders>
            <w:shd w:val="clear" w:color="auto" w:fill="auto"/>
          </w:tcPr>
          <w:p w14:paraId="26AE33B8" w14:textId="77777777" w:rsidR="00DF61BC" w:rsidRPr="00C94C33" w:rsidRDefault="00DF61BC" w:rsidP="00C844C0">
            <w:pPr>
              <w:pStyle w:val="Tabletext"/>
            </w:pPr>
            <w:r w:rsidRPr="00C94C33">
              <w:t>(29.4)</w:t>
            </w:r>
          </w:p>
        </w:tc>
      </w:tr>
      <w:tr w:rsidR="00DF61BC" w:rsidRPr="00C94C33" w14:paraId="423DCEAB" w14:textId="77777777" w:rsidTr="001735DA">
        <w:trPr>
          <w:trHeight w:hRule="exact" w:val="305"/>
        </w:trPr>
        <w:tc>
          <w:tcPr>
            <w:tcW w:w="3798" w:type="dxa"/>
            <w:tcBorders>
              <w:top w:val="single" w:sz="8" w:space="0" w:color="000000"/>
              <w:left w:val="single" w:sz="4" w:space="0" w:color="auto"/>
              <w:bottom w:val="single" w:sz="8" w:space="0" w:color="000000"/>
              <w:right w:val="single" w:sz="4" w:space="0" w:color="auto"/>
            </w:tcBorders>
            <w:shd w:val="clear" w:color="auto" w:fill="auto"/>
          </w:tcPr>
          <w:p w14:paraId="7FDE1728" w14:textId="77777777" w:rsidR="00DF61BC" w:rsidRPr="00C94C33" w:rsidRDefault="00DF61BC" w:rsidP="00C844C0">
            <w:pPr>
              <w:pStyle w:val="Tabletext"/>
            </w:pPr>
            <w:r w:rsidRPr="00C94C33">
              <w:t>Fatigue</w:t>
            </w:r>
          </w:p>
        </w:tc>
        <w:tc>
          <w:tcPr>
            <w:tcW w:w="1444" w:type="dxa"/>
            <w:tcBorders>
              <w:top w:val="single" w:sz="7" w:space="0" w:color="000000"/>
              <w:left w:val="single" w:sz="4" w:space="0" w:color="auto"/>
              <w:bottom w:val="single" w:sz="7" w:space="0" w:color="000000"/>
              <w:right w:val="nil"/>
            </w:tcBorders>
            <w:shd w:val="clear" w:color="auto" w:fill="auto"/>
          </w:tcPr>
          <w:p w14:paraId="062B5C6F" w14:textId="77777777" w:rsidR="00DF61BC" w:rsidRPr="00C94C33" w:rsidRDefault="00DF61BC" w:rsidP="00C844C0">
            <w:pPr>
              <w:pStyle w:val="Tabletext"/>
            </w:pPr>
            <w:r w:rsidRPr="00C94C33">
              <w:t>188</w:t>
            </w:r>
          </w:p>
        </w:tc>
        <w:tc>
          <w:tcPr>
            <w:tcW w:w="1445" w:type="dxa"/>
            <w:tcBorders>
              <w:top w:val="single" w:sz="7" w:space="0" w:color="000000"/>
              <w:left w:val="nil"/>
              <w:bottom w:val="single" w:sz="7" w:space="0" w:color="000000"/>
            </w:tcBorders>
            <w:shd w:val="clear" w:color="auto" w:fill="auto"/>
          </w:tcPr>
          <w:p w14:paraId="4885CE63" w14:textId="77777777" w:rsidR="00DF61BC" w:rsidRPr="00C94C33" w:rsidRDefault="00DF61BC" w:rsidP="00C844C0">
            <w:pPr>
              <w:pStyle w:val="Tabletext"/>
            </w:pPr>
            <w:r w:rsidRPr="00C94C33">
              <w:t>(35.3)</w:t>
            </w:r>
          </w:p>
        </w:tc>
        <w:tc>
          <w:tcPr>
            <w:tcW w:w="1445" w:type="dxa"/>
            <w:tcBorders>
              <w:top w:val="single" w:sz="7" w:space="0" w:color="000000"/>
              <w:left w:val="nil"/>
              <w:bottom w:val="single" w:sz="7" w:space="0" w:color="000000"/>
              <w:right w:val="nil"/>
            </w:tcBorders>
            <w:shd w:val="clear" w:color="auto" w:fill="auto"/>
          </w:tcPr>
          <w:p w14:paraId="504B916B" w14:textId="77777777" w:rsidR="00DF61BC" w:rsidRPr="00C94C33" w:rsidRDefault="00DF61BC" w:rsidP="00C844C0">
            <w:pPr>
              <w:pStyle w:val="Tabletext"/>
            </w:pPr>
            <w:r w:rsidRPr="00C94C33">
              <w:t>62</w:t>
            </w:r>
          </w:p>
        </w:tc>
        <w:tc>
          <w:tcPr>
            <w:tcW w:w="1444" w:type="dxa"/>
            <w:tcBorders>
              <w:top w:val="single" w:sz="7" w:space="0" w:color="000000"/>
              <w:left w:val="nil"/>
              <w:bottom w:val="single" w:sz="7" w:space="0" w:color="000000"/>
              <w:right w:val="single" w:sz="4" w:space="0" w:color="auto"/>
            </w:tcBorders>
            <w:shd w:val="clear" w:color="auto" w:fill="auto"/>
          </w:tcPr>
          <w:p w14:paraId="7E168D75" w14:textId="77777777" w:rsidR="00DF61BC" w:rsidRPr="00C94C33" w:rsidRDefault="00DF61BC" w:rsidP="00C844C0">
            <w:pPr>
              <w:pStyle w:val="Tabletext"/>
            </w:pPr>
            <w:r w:rsidRPr="00C94C33">
              <w:t>(23.4)</w:t>
            </w:r>
          </w:p>
        </w:tc>
      </w:tr>
      <w:tr w:rsidR="00DF61BC" w:rsidRPr="00C94C33" w14:paraId="5D4CDDA4" w14:textId="77777777" w:rsidTr="001735DA">
        <w:trPr>
          <w:trHeight w:hRule="exact" w:val="305"/>
        </w:trPr>
        <w:tc>
          <w:tcPr>
            <w:tcW w:w="3798" w:type="dxa"/>
            <w:tcBorders>
              <w:top w:val="single" w:sz="8" w:space="0" w:color="000000"/>
              <w:left w:val="single" w:sz="4" w:space="0" w:color="auto"/>
              <w:bottom w:val="single" w:sz="8" w:space="0" w:color="000000"/>
              <w:right w:val="single" w:sz="4" w:space="0" w:color="auto"/>
            </w:tcBorders>
            <w:shd w:val="clear" w:color="auto" w:fill="auto"/>
          </w:tcPr>
          <w:p w14:paraId="582E580D" w14:textId="77777777" w:rsidR="00DF61BC" w:rsidRPr="00C94C33" w:rsidRDefault="00DF61BC" w:rsidP="00C844C0">
            <w:pPr>
              <w:pStyle w:val="Tabletext"/>
            </w:pPr>
            <w:r w:rsidRPr="00C94C33">
              <w:t>Diarrhoea</w:t>
            </w:r>
          </w:p>
        </w:tc>
        <w:tc>
          <w:tcPr>
            <w:tcW w:w="1444" w:type="dxa"/>
            <w:tcBorders>
              <w:top w:val="single" w:sz="7" w:space="0" w:color="000000"/>
              <w:left w:val="single" w:sz="4" w:space="0" w:color="auto"/>
              <w:bottom w:val="single" w:sz="7" w:space="0" w:color="000000"/>
              <w:right w:val="nil"/>
            </w:tcBorders>
            <w:shd w:val="clear" w:color="auto" w:fill="auto"/>
          </w:tcPr>
          <w:p w14:paraId="04F4D413" w14:textId="77777777" w:rsidR="00DF61BC" w:rsidRPr="00C94C33" w:rsidRDefault="00DF61BC" w:rsidP="00C844C0">
            <w:pPr>
              <w:pStyle w:val="Tabletext"/>
            </w:pPr>
            <w:r w:rsidRPr="00C94C33">
              <w:t>170</w:t>
            </w:r>
          </w:p>
        </w:tc>
        <w:tc>
          <w:tcPr>
            <w:tcW w:w="1445" w:type="dxa"/>
            <w:tcBorders>
              <w:top w:val="single" w:sz="7" w:space="0" w:color="000000"/>
              <w:left w:val="nil"/>
              <w:bottom w:val="single" w:sz="7" w:space="0" w:color="000000"/>
            </w:tcBorders>
            <w:shd w:val="clear" w:color="auto" w:fill="auto"/>
          </w:tcPr>
          <w:p w14:paraId="3F789F37" w14:textId="77777777" w:rsidR="00DF61BC" w:rsidRPr="00C94C33" w:rsidRDefault="00DF61BC" w:rsidP="00C844C0">
            <w:pPr>
              <w:pStyle w:val="Tabletext"/>
            </w:pPr>
            <w:r w:rsidRPr="00C94C33">
              <w:t>(31.9)</w:t>
            </w:r>
          </w:p>
        </w:tc>
        <w:tc>
          <w:tcPr>
            <w:tcW w:w="1445" w:type="dxa"/>
            <w:tcBorders>
              <w:top w:val="single" w:sz="7" w:space="0" w:color="000000"/>
              <w:left w:val="nil"/>
              <w:bottom w:val="single" w:sz="7" w:space="0" w:color="000000"/>
              <w:right w:val="nil"/>
            </w:tcBorders>
            <w:shd w:val="clear" w:color="auto" w:fill="auto"/>
          </w:tcPr>
          <w:p w14:paraId="1180D14F" w14:textId="77777777" w:rsidR="00DF61BC" w:rsidRPr="00C94C33" w:rsidRDefault="00DF61BC" w:rsidP="00C844C0">
            <w:pPr>
              <w:pStyle w:val="Tabletext"/>
            </w:pPr>
            <w:r w:rsidRPr="00C94C33">
              <w:t>33</w:t>
            </w:r>
          </w:p>
        </w:tc>
        <w:tc>
          <w:tcPr>
            <w:tcW w:w="1444" w:type="dxa"/>
            <w:tcBorders>
              <w:top w:val="single" w:sz="7" w:space="0" w:color="000000"/>
              <w:left w:val="nil"/>
              <w:bottom w:val="single" w:sz="7" w:space="0" w:color="000000"/>
              <w:right w:val="single" w:sz="4" w:space="0" w:color="auto"/>
            </w:tcBorders>
            <w:shd w:val="clear" w:color="auto" w:fill="auto"/>
          </w:tcPr>
          <w:p w14:paraId="15EA6C63" w14:textId="77777777" w:rsidR="00DF61BC" w:rsidRPr="00C94C33" w:rsidRDefault="00DF61BC" w:rsidP="00C844C0">
            <w:pPr>
              <w:pStyle w:val="Tabletext"/>
            </w:pPr>
            <w:r w:rsidRPr="00C94C33">
              <w:t>(12.5)</w:t>
            </w:r>
          </w:p>
        </w:tc>
      </w:tr>
      <w:tr w:rsidR="00DF61BC" w:rsidRPr="00C94C33" w14:paraId="5B450545" w14:textId="77777777" w:rsidTr="001735DA">
        <w:trPr>
          <w:trHeight w:hRule="exact" w:val="305"/>
        </w:trPr>
        <w:tc>
          <w:tcPr>
            <w:tcW w:w="3798" w:type="dxa"/>
            <w:tcBorders>
              <w:top w:val="single" w:sz="8" w:space="0" w:color="000000"/>
              <w:left w:val="single" w:sz="4" w:space="0" w:color="auto"/>
              <w:bottom w:val="single" w:sz="8" w:space="0" w:color="000000"/>
              <w:right w:val="single" w:sz="4" w:space="0" w:color="auto"/>
            </w:tcBorders>
            <w:shd w:val="clear" w:color="auto" w:fill="auto"/>
          </w:tcPr>
          <w:p w14:paraId="68DFC7F3" w14:textId="1A90E3B3" w:rsidR="00DF61BC" w:rsidRPr="00C94C33" w:rsidRDefault="00DF61BC" w:rsidP="00C844C0">
            <w:pPr>
              <w:pStyle w:val="Tabletext"/>
            </w:pPr>
            <w:r w:rsidRPr="00C94C33">
              <w:t>Neutro</w:t>
            </w:r>
            <w:r w:rsidR="00B50F67">
              <w:t>paenia</w:t>
            </w:r>
          </w:p>
        </w:tc>
        <w:tc>
          <w:tcPr>
            <w:tcW w:w="1444" w:type="dxa"/>
            <w:tcBorders>
              <w:top w:val="single" w:sz="7" w:space="0" w:color="000000"/>
              <w:left w:val="single" w:sz="4" w:space="0" w:color="auto"/>
              <w:bottom w:val="single" w:sz="7" w:space="0" w:color="000000"/>
              <w:right w:val="nil"/>
            </w:tcBorders>
            <w:shd w:val="clear" w:color="auto" w:fill="auto"/>
          </w:tcPr>
          <w:p w14:paraId="6C069A47" w14:textId="77777777" w:rsidR="00DF61BC" w:rsidRPr="00C94C33" w:rsidRDefault="00DF61BC" w:rsidP="00C844C0">
            <w:pPr>
              <w:pStyle w:val="Tabletext"/>
            </w:pPr>
            <w:r w:rsidRPr="00C94C33">
              <w:t>156</w:t>
            </w:r>
          </w:p>
        </w:tc>
        <w:tc>
          <w:tcPr>
            <w:tcW w:w="1445" w:type="dxa"/>
            <w:tcBorders>
              <w:top w:val="single" w:sz="7" w:space="0" w:color="000000"/>
              <w:left w:val="nil"/>
              <w:bottom w:val="single" w:sz="7" w:space="0" w:color="000000"/>
            </w:tcBorders>
            <w:shd w:val="clear" w:color="auto" w:fill="auto"/>
          </w:tcPr>
          <w:p w14:paraId="5459904D" w14:textId="77777777" w:rsidR="00DF61BC" w:rsidRPr="00C94C33" w:rsidRDefault="00DF61BC" w:rsidP="00C844C0">
            <w:pPr>
              <w:pStyle w:val="Tabletext"/>
            </w:pPr>
            <w:r w:rsidRPr="00C94C33">
              <w:t>(29.3)</w:t>
            </w:r>
          </w:p>
        </w:tc>
        <w:tc>
          <w:tcPr>
            <w:tcW w:w="2889" w:type="dxa"/>
            <w:gridSpan w:val="2"/>
            <w:tcBorders>
              <w:top w:val="single" w:sz="7" w:space="0" w:color="000000"/>
              <w:left w:val="nil"/>
              <w:bottom w:val="single" w:sz="7" w:space="0" w:color="000000"/>
              <w:right w:val="single" w:sz="4" w:space="0" w:color="auto"/>
            </w:tcBorders>
            <w:shd w:val="clear" w:color="auto" w:fill="auto"/>
          </w:tcPr>
          <w:p w14:paraId="0B01B337" w14:textId="77777777" w:rsidR="00DF61BC" w:rsidRPr="00C94C33" w:rsidRDefault="00DF61BC" w:rsidP="00C844C0">
            <w:pPr>
              <w:pStyle w:val="Tabletext"/>
            </w:pPr>
            <w:r w:rsidRPr="00C94C33">
              <w:t>0</w:t>
            </w:r>
          </w:p>
        </w:tc>
      </w:tr>
      <w:tr w:rsidR="00DF61BC" w:rsidRPr="00C94C33" w14:paraId="65879263" w14:textId="77777777" w:rsidTr="001735DA">
        <w:trPr>
          <w:trHeight w:hRule="exact" w:val="305"/>
        </w:trPr>
        <w:tc>
          <w:tcPr>
            <w:tcW w:w="3798" w:type="dxa"/>
            <w:tcBorders>
              <w:top w:val="single" w:sz="8" w:space="0" w:color="000000"/>
              <w:left w:val="single" w:sz="4" w:space="0" w:color="auto"/>
              <w:bottom w:val="single" w:sz="8" w:space="0" w:color="000000"/>
              <w:right w:val="single" w:sz="4" w:space="0" w:color="auto"/>
            </w:tcBorders>
            <w:shd w:val="clear" w:color="auto" w:fill="auto"/>
          </w:tcPr>
          <w:p w14:paraId="01E7FC11" w14:textId="77777777" w:rsidR="00DF61BC" w:rsidRPr="00C94C33" w:rsidRDefault="00DF61BC" w:rsidP="00C844C0">
            <w:pPr>
              <w:pStyle w:val="Tabletext"/>
            </w:pPr>
            <w:r w:rsidRPr="00C94C33">
              <w:t>Neutrophil count decreased</w:t>
            </w:r>
          </w:p>
        </w:tc>
        <w:tc>
          <w:tcPr>
            <w:tcW w:w="1444" w:type="dxa"/>
            <w:tcBorders>
              <w:top w:val="single" w:sz="7" w:space="0" w:color="000000"/>
              <w:left w:val="single" w:sz="4" w:space="0" w:color="auto"/>
              <w:bottom w:val="single" w:sz="7" w:space="0" w:color="000000"/>
              <w:right w:val="nil"/>
            </w:tcBorders>
            <w:shd w:val="clear" w:color="auto" w:fill="auto"/>
          </w:tcPr>
          <w:p w14:paraId="3BBDBD0B" w14:textId="77777777" w:rsidR="00DF61BC" w:rsidRPr="00C94C33" w:rsidRDefault="00DF61BC" w:rsidP="00C844C0">
            <w:pPr>
              <w:pStyle w:val="Tabletext"/>
            </w:pPr>
            <w:r w:rsidRPr="00C94C33">
              <w:t>148</w:t>
            </w:r>
          </w:p>
        </w:tc>
        <w:tc>
          <w:tcPr>
            <w:tcW w:w="1445" w:type="dxa"/>
            <w:tcBorders>
              <w:top w:val="single" w:sz="7" w:space="0" w:color="000000"/>
              <w:left w:val="nil"/>
              <w:bottom w:val="single" w:sz="7" w:space="0" w:color="000000"/>
            </w:tcBorders>
            <w:shd w:val="clear" w:color="auto" w:fill="auto"/>
          </w:tcPr>
          <w:p w14:paraId="790A108F" w14:textId="77777777" w:rsidR="00DF61BC" w:rsidRPr="00C94C33" w:rsidRDefault="00DF61BC" w:rsidP="00C844C0">
            <w:pPr>
              <w:pStyle w:val="Tabletext"/>
            </w:pPr>
            <w:r w:rsidRPr="00C94C33">
              <w:t>(27.8)</w:t>
            </w:r>
          </w:p>
        </w:tc>
        <w:tc>
          <w:tcPr>
            <w:tcW w:w="1445" w:type="dxa"/>
            <w:tcBorders>
              <w:top w:val="single" w:sz="7" w:space="0" w:color="000000"/>
              <w:left w:val="nil"/>
              <w:bottom w:val="single" w:sz="7" w:space="0" w:color="000000"/>
              <w:right w:val="nil"/>
            </w:tcBorders>
            <w:shd w:val="clear" w:color="auto" w:fill="auto"/>
          </w:tcPr>
          <w:p w14:paraId="122A2C52" w14:textId="77777777" w:rsidR="00DF61BC" w:rsidRPr="00C94C33" w:rsidRDefault="00DF61BC" w:rsidP="00C844C0">
            <w:pPr>
              <w:pStyle w:val="Tabletext"/>
            </w:pPr>
            <w:r w:rsidRPr="00C94C33">
              <w:t>1</w:t>
            </w:r>
          </w:p>
        </w:tc>
        <w:tc>
          <w:tcPr>
            <w:tcW w:w="1444" w:type="dxa"/>
            <w:tcBorders>
              <w:top w:val="single" w:sz="7" w:space="0" w:color="000000"/>
              <w:left w:val="nil"/>
              <w:bottom w:val="single" w:sz="7" w:space="0" w:color="000000"/>
              <w:right w:val="single" w:sz="4" w:space="0" w:color="auto"/>
            </w:tcBorders>
            <w:shd w:val="clear" w:color="auto" w:fill="auto"/>
          </w:tcPr>
          <w:p w14:paraId="76F30EB1" w14:textId="77777777" w:rsidR="00DF61BC" w:rsidRPr="00C94C33" w:rsidRDefault="00DF61BC" w:rsidP="00C844C0">
            <w:pPr>
              <w:pStyle w:val="Tabletext"/>
            </w:pPr>
            <w:r w:rsidRPr="00C94C33">
              <w:t>(0.4)</w:t>
            </w:r>
          </w:p>
        </w:tc>
      </w:tr>
      <w:tr w:rsidR="00DF61BC" w:rsidRPr="00C94C33" w14:paraId="784DCC10" w14:textId="77777777" w:rsidTr="001735DA">
        <w:trPr>
          <w:trHeight w:hRule="exact" w:val="306"/>
        </w:trPr>
        <w:tc>
          <w:tcPr>
            <w:tcW w:w="3798" w:type="dxa"/>
            <w:tcBorders>
              <w:top w:val="single" w:sz="8" w:space="0" w:color="000000"/>
              <w:left w:val="single" w:sz="4" w:space="0" w:color="auto"/>
              <w:bottom w:val="single" w:sz="8" w:space="0" w:color="000000"/>
              <w:right w:val="single" w:sz="4" w:space="0" w:color="auto"/>
            </w:tcBorders>
            <w:shd w:val="clear" w:color="auto" w:fill="auto"/>
          </w:tcPr>
          <w:p w14:paraId="1D07C3FF" w14:textId="77777777" w:rsidR="00DF61BC" w:rsidRPr="00C94C33" w:rsidRDefault="00DF61BC" w:rsidP="00C844C0">
            <w:pPr>
              <w:pStyle w:val="Tabletext"/>
            </w:pPr>
            <w:r w:rsidRPr="00C94C33">
              <w:t>Vomiting</w:t>
            </w:r>
          </w:p>
        </w:tc>
        <w:tc>
          <w:tcPr>
            <w:tcW w:w="1444" w:type="dxa"/>
            <w:tcBorders>
              <w:top w:val="single" w:sz="7" w:space="0" w:color="000000"/>
              <w:left w:val="single" w:sz="4" w:space="0" w:color="auto"/>
              <w:bottom w:val="single" w:sz="7" w:space="0" w:color="000000"/>
              <w:right w:val="nil"/>
            </w:tcBorders>
            <w:shd w:val="clear" w:color="auto" w:fill="auto"/>
          </w:tcPr>
          <w:p w14:paraId="4DF6D3EB" w14:textId="77777777" w:rsidR="00DF61BC" w:rsidRPr="00C94C33" w:rsidRDefault="00DF61BC" w:rsidP="00C844C0">
            <w:pPr>
              <w:pStyle w:val="Tabletext"/>
            </w:pPr>
            <w:r w:rsidRPr="00C94C33">
              <w:t>148</w:t>
            </w:r>
          </w:p>
        </w:tc>
        <w:tc>
          <w:tcPr>
            <w:tcW w:w="1445" w:type="dxa"/>
            <w:tcBorders>
              <w:top w:val="single" w:sz="7" w:space="0" w:color="000000"/>
              <w:left w:val="nil"/>
              <w:bottom w:val="single" w:sz="7" w:space="0" w:color="000000"/>
            </w:tcBorders>
            <w:shd w:val="clear" w:color="auto" w:fill="auto"/>
          </w:tcPr>
          <w:p w14:paraId="112CC6C0" w14:textId="77777777" w:rsidR="00DF61BC" w:rsidRPr="00C94C33" w:rsidRDefault="00DF61BC" w:rsidP="00C844C0">
            <w:pPr>
              <w:pStyle w:val="Tabletext"/>
            </w:pPr>
            <w:r w:rsidRPr="00C94C33">
              <w:t>(27.8)</w:t>
            </w:r>
          </w:p>
        </w:tc>
        <w:tc>
          <w:tcPr>
            <w:tcW w:w="1445" w:type="dxa"/>
            <w:tcBorders>
              <w:top w:val="single" w:sz="7" w:space="0" w:color="000000"/>
              <w:left w:val="nil"/>
              <w:bottom w:val="single" w:sz="7" w:space="0" w:color="000000"/>
              <w:right w:val="nil"/>
            </w:tcBorders>
            <w:shd w:val="clear" w:color="auto" w:fill="auto"/>
          </w:tcPr>
          <w:p w14:paraId="7DD16832" w14:textId="77777777" w:rsidR="00DF61BC" w:rsidRPr="00C94C33" w:rsidRDefault="00DF61BC" w:rsidP="00C844C0">
            <w:pPr>
              <w:pStyle w:val="Tabletext"/>
            </w:pPr>
            <w:r w:rsidRPr="00C94C33">
              <w:t>38</w:t>
            </w:r>
          </w:p>
        </w:tc>
        <w:tc>
          <w:tcPr>
            <w:tcW w:w="1444" w:type="dxa"/>
            <w:tcBorders>
              <w:top w:val="single" w:sz="7" w:space="0" w:color="000000"/>
              <w:left w:val="nil"/>
              <w:bottom w:val="single" w:sz="7" w:space="0" w:color="000000"/>
              <w:right w:val="single" w:sz="4" w:space="0" w:color="auto"/>
            </w:tcBorders>
            <w:shd w:val="clear" w:color="auto" w:fill="auto"/>
          </w:tcPr>
          <w:p w14:paraId="65974C0F" w14:textId="77777777" w:rsidR="00DF61BC" w:rsidRPr="00C94C33" w:rsidRDefault="00DF61BC" w:rsidP="00C844C0">
            <w:pPr>
              <w:pStyle w:val="Tabletext"/>
            </w:pPr>
            <w:r w:rsidRPr="00C94C33">
              <w:t>(14.3)</w:t>
            </w:r>
          </w:p>
        </w:tc>
      </w:tr>
      <w:tr w:rsidR="00DF61BC" w:rsidRPr="00C94C33" w14:paraId="6C0DBA2A" w14:textId="77777777" w:rsidTr="001735DA">
        <w:trPr>
          <w:trHeight w:hRule="exact" w:val="305"/>
        </w:trPr>
        <w:tc>
          <w:tcPr>
            <w:tcW w:w="3798" w:type="dxa"/>
            <w:tcBorders>
              <w:top w:val="single" w:sz="8" w:space="0" w:color="000000"/>
              <w:left w:val="single" w:sz="4" w:space="0" w:color="auto"/>
              <w:bottom w:val="single" w:sz="8" w:space="0" w:color="000000"/>
              <w:right w:val="single" w:sz="4" w:space="0" w:color="auto"/>
            </w:tcBorders>
            <w:shd w:val="clear" w:color="auto" w:fill="auto"/>
          </w:tcPr>
          <w:p w14:paraId="5B9A823D" w14:textId="77777777" w:rsidR="00DF61BC" w:rsidRPr="00C94C33" w:rsidRDefault="00DF61BC" w:rsidP="00C844C0">
            <w:pPr>
              <w:pStyle w:val="Tabletext"/>
            </w:pPr>
            <w:r w:rsidRPr="00C94C33">
              <w:t>White</w:t>
            </w:r>
            <w:r w:rsidRPr="00C94C33">
              <w:rPr>
                <w:spacing w:val="-2"/>
              </w:rPr>
              <w:t xml:space="preserve"> </w:t>
            </w:r>
            <w:r w:rsidRPr="00C94C33">
              <w:t>blood cell count decreased</w:t>
            </w:r>
          </w:p>
        </w:tc>
        <w:tc>
          <w:tcPr>
            <w:tcW w:w="1444" w:type="dxa"/>
            <w:tcBorders>
              <w:top w:val="single" w:sz="7" w:space="0" w:color="000000"/>
              <w:left w:val="single" w:sz="4" w:space="0" w:color="auto"/>
              <w:bottom w:val="single" w:sz="7" w:space="0" w:color="000000"/>
              <w:right w:val="nil"/>
            </w:tcBorders>
            <w:shd w:val="clear" w:color="auto" w:fill="auto"/>
          </w:tcPr>
          <w:p w14:paraId="518344E3" w14:textId="77777777" w:rsidR="00DF61BC" w:rsidRPr="00C94C33" w:rsidRDefault="00DF61BC" w:rsidP="00C844C0">
            <w:pPr>
              <w:pStyle w:val="Tabletext"/>
            </w:pPr>
            <w:r w:rsidRPr="00C94C33">
              <w:t>146</w:t>
            </w:r>
          </w:p>
        </w:tc>
        <w:tc>
          <w:tcPr>
            <w:tcW w:w="1445" w:type="dxa"/>
            <w:tcBorders>
              <w:top w:val="single" w:sz="7" w:space="0" w:color="000000"/>
              <w:left w:val="nil"/>
              <w:bottom w:val="single" w:sz="7" w:space="0" w:color="000000"/>
            </w:tcBorders>
            <w:shd w:val="clear" w:color="auto" w:fill="auto"/>
          </w:tcPr>
          <w:p w14:paraId="33F6936E" w14:textId="77777777" w:rsidR="00DF61BC" w:rsidRPr="00C94C33" w:rsidRDefault="00DF61BC" w:rsidP="00C844C0">
            <w:pPr>
              <w:pStyle w:val="Tabletext"/>
            </w:pPr>
            <w:r w:rsidRPr="00C94C33">
              <w:t>(27.4)</w:t>
            </w:r>
          </w:p>
        </w:tc>
        <w:tc>
          <w:tcPr>
            <w:tcW w:w="1445" w:type="dxa"/>
            <w:tcBorders>
              <w:top w:val="single" w:sz="7" w:space="0" w:color="000000"/>
              <w:left w:val="nil"/>
              <w:bottom w:val="single" w:sz="7" w:space="0" w:color="000000"/>
              <w:right w:val="nil"/>
            </w:tcBorders>
            <w:shd w:val="clear" w:color="auto" w:fill="auto"/>
          </w:tcPr>
          <w:p w14:paraId="1582AA12" w14:textId="77777777" w:rsidR="00DF61BC" w:rsidRPr="00C94C33" w:rsidRDefault="00DF61BC" w:rsidP="00C844C0">
            <w:pPr>
              <w:pStyle w:val="Tabletext"/>
            </w:pPr>
            <w:r w:rsidRPr="00C94C33">
              <w:t>1</w:t>
            </w:r>
          </w:p>
        </w:tc>
        <w:tc>
          <w:tcPr>
            <w:tcW w:w="1444" w:type="dxa"/>
            <w:tcBorders>
              <w:top w:val="single" w:sz="7" w:space="0" w:color="000000"/>
              <w:left w:val="nil"/>
              <w:bottom w:val="single" w:sz="7" w:space="0" w:color="000000"/>
              <w:right w:val="single" w:sz="4" w:space="0" w:color="auto"/>
            </w:tcBorders>
            <w:shd w:val="clear" w:color="auto" w:fill="auto"/>
          </w:tcPr>
          <w:p w14:paraId="50C3367A" w14:textId="77777777" w:rsidR="00DF61BC" w:rsidRPr="00C94C33" w:rsidRDefault="00DF61BC" w:rsidP="00C844C0">
            <w:pPr>
              <w:pStyle w:val="Tabletext"/>
            </w:pPr>
            <w:r w:rsidRPr="00C94C33">
              <w:t>(0.4)</w:t>
            </w:r>
          </w:p>
        </w:tc>
      </w:tr>
      <w:tr w:rsidR="00DF61BC" w:rsidRPr="00C94C33" w14:paraId="7D619E80" w14:textId="77777777" w:rsidTr="001735DA">
        <w:trPr>
          <w:trHeight w:hRule="exact" w:val="305"/>
        </w:trPr>
        <w:tc>
          <w:tcPr>
            <w:tcW w:w="3798" w:type="dxa"/>
            <w:tcBorders>
              <w:top w:val="single" w:sz="8" w:space="0" w:color="000000"/>
              <w:left w:val="single" w:sz="4" w:space="0" w:color="auto"/>
              <w:bottom w:val="single" w:sz="8" w:space="0" w:color="000000"/>
              <w:right w:val="single" w:sz="4" w:space="0" w:color="auto"/>
            </w:tcBorders>
            <w:shd w:val="clear" w:color="auto" w:fill="auto"/>
          </w:tcPr>
          <w:p w14:paraId="65ABC0E9" w14:textId="77777777" w:rsidR="00DF61BC" w:rsidRPr="00C94C33" w:rsidRDefault="00DF61BC" w:rsidP="00C844C0">
            <w:pPr>
              <w:pStyle w:val="Tabletext"/>
            </w:pPr>
            <w:r w:rsidRPr="00C94C33">
              <w:t>Pyrexia</w:t>
            </w:r>
          </w:p>
        </w:tc>
        <w:tc>
          <w:tcPr>
            <w:tcW w:w="1444" w:type="dxa"/>
            <w:tcBorders>
              <w:top w:val="single" w:sz="7" w:space="0" w:color="000000"/>
              <w:left w:val="single" w:sz="4" w:space="0" w:color="auto"/>
              <w:bottom w:val="single" w:sz="8" w:space="0" w:color="000000"/>
              <w:right w:val="nil"/>
            </w:tcBorders>
            <w:shd w:val="clear" w:color="auto" w:fill="auto"/>
          </w:tcPr>
          <w:p w14:paraId="09149AF7" w14:textId="77777777" w:rsidR="00DF61BC" w:rsidRPr="00C94C33" w:rsidRDefault="00DF61BC" w:rsidP="00C844C0">
            <w:pPr>
              <w:pStyle w:val="Tabletext"/>
            </w:pPr>
            <w:r w:rsidRPr="00C94C33">
              <w:t>98</w:t>
            </w:r>
          </w:p>
        </w:tc>
        <w:tc>
          <w:tcPr>
            <w:tcW w:w="1445" w:type="dxa"/>
            <w:tcBorders>
              <w:top w:val="single" w:sz="7" w:space="0" w:color="000000"/>
              <w:left w:val="nil"/>
              <w:bottom w:val="single" w:sz="8" w:space="0" w:color="000000"/>
            </w:tcBorders>
            <w:shd w:val="clear" w:color="auto" w:fill="auto"/>
          </w:tcPr>
          <w:p w14:paraId="7689B3EB" w14:textId="77777777" w:rsidR="00DF61BC" w:rsidRPr="00C94C33" w:rsidRDefault="00DF61BC" w:rsidP="00C844C0">
            <w:pPr>
              <w:pStyle w:val="Tabletext"/>
            </w:pPr>
            <w:r w:rsidRPr="00C94C33">
              <w:t>(18.4)</w:t>
            </w:r>
          </w:p>
        </w:tc>
        <w:tc>
          <w:tcPr>
            <w:tcW w:w="1445" w:type="dxa"/>
            <w:tcBorders>
              <w:top w:val="single" w:sz="7" w:space="0" w:color="000000"/>
              <w:left w:val="nil"/>
              <w:bottom w:val="single" w:sz="8" w:space="0" w:color="000000"/>
              <w:right w:val="nil"/>
            </w:tcBorders>
            <w:shd w:val="clear" w:color="auto" w:fill="auto"/>
          </w:tcPr>
          <w:p w14:paraId="1BC8356F" w14:textId="77777777" w:rsidR="00DF61BC" w:rsidRPr="00C94C33" w:rsidRDefault="00DF61BC" w:rsidP="00C844C0">
            <w:pPr>
              <w:pStyle w:val="Tabletext"/>
            </w:pPr>
            <w:r w:rsidRPr="00C94C33">
              <w:t>37</w:t>
            </w:r>
          </w:p>
        </w:tc>
        <w:tc>
          <w:tcPr>
            <w:tcW w:w="1444" w:type="dxa"/>
            <w:tcBorders>
              <w:top w:val="single" w:sz="7" w:space="0" w:color="000000"/>
              <w:left w:val="nil"/>
              <w:bottom w:val="single" w:sz="8" w:space="0" w:color="000000"/>
              <w:right w:val="single" w:sz="4" w:space="0" w:color="auto"/>
            </w:tcBorders>
            <w:shd w:val="clear" w:color="auto" w:fill="auto"/>
          </w:tcPr>
          <w:p w14:paraId="6AB6AEED" w14:textId="77777777" w:rsidR="00DF61BC" w:rsidRPr="00C94C33" w:rsidRDefault="00DF61BC" w:rsidP="00C844C0">
            <w:pPr>
              <w:pStyle w:val="Tabletext"/>
            </w:pPr>
            <w:r w:rsidRPr="00C94C33">
              <w:t>(14.0)</w:t>
            </w:r>
          </w:p>
        </w:tc>
      </w:tr>
      <w:tr w:rsidR="00DF61BC" w:rsidRPr="00C94C33" w14:paraId="1F4C27D5" w14:textId="77777777" w:rsidTr="001735DA">
        <w:trPr>
          <w:trHeight w:hRule="exact" w:val="305"/>
        </w:trPr>
        <w:tc>
          <w:tcPr>
            <w:tcW w:w="3798" w:type="dxa"/>
            <w:tcBorders>
              <w:top w:val="single" w:sz="8" w:space="0" w:color="000000"/>
              <w:left w:val="single" w:sz="4" w:space="0" w:color="auto"/>
              <w:bottom w:val="single" w:sz="8" w:space="0" w:color="000000"/>
              <w:right w:val="single" w:sz="4" w:space="0" w:color="auto"/>
            </w:tcBorders>
            <w:shd w:val="clear" w:color="auto" w:fill="auto"/>
          </w:tcPr>
          <w:p w14:paraId="250A7DA0" w14:textId="77777777" w:rsidR="00DF61BC" w:rsidRPr="00C94C33" w:rsidRDefault="00DF61BC" w:rsidP="00C844C0">
            <w:pPr>
              <w:pStyle w:val="Tabletext"/>
            </w:pPr>
            <w:r w:rsidRPr="00C94C33">
              <w:t>Asthenia</w:t>
            </w:r>
          </w:p>
        </w:tc>
        <w:tc>
          <w:tcPr>
            <w:tcW w:w="1444" w:type="dxa"/>
            <w:tcBorders>
              <w:top w:val="single" w:sz="7" w:space="0" w:color="000000"/>
              <w:left w:val="single" w:sz="4" w:space="0" w:color="auto"/>
              <w:bottom w:val="single" w:sz="7" w:space="0" w:color="000000"/>
              <w:right w:val="nil"/>
            </w:tcBorders>
            <w:shd w:val="clear" w:color="auto" w:fill="auto"/>
          </w:tcPr>
          <w:p w14:paraId="1E8236F9" w14:textId="77777777" w:rsidR="00DF61BC" w:rsidRPr="00C94C33" w:rsidRDefault="00DF61BC" w:rsidP="00C844C0">
            <w:pPr>
              <w:pStyle w:val="Tabletext"/>
            </w:pPr>
            <w:r w:rsidRPr="00C94C33">
              <w:t>97</w:t>
            </w:r>
          </w:p>
        </w:tc>
        <w:tc>
          <w:tcPr>
            <w:tcW w:w="1445" w:type="dxa"/>
            <w:tcBorders>
              <w:top w:val="single" w:sz="7" w:space="0" w:color="000000"/>
              <w:left w:val="nil"/>
              <w:bottom w:val="single" w:sz="7" w:space="0" w:color="000000"/>
            </w:tcBorders>
            <w:shd w:val="clear" w:color="auto" w:fill="auto"/>
          </w:tcPr>
          <w:p w14:paraId="0483ABC1" w14:textId="77777777" w:rsidR="00DF61BC" w:rsidRPr="00C94C33" w:rsidRDefault="00DF61BC" w:rsidP="00C844C0">
            <w:pPr>
              <w:pStyle w:val="Tabletext"/>
            </w:pPr>
            <w:r w:rsidRPr="00C94C33">
              <w:t>(18.2)</w:t>
            </w:r>
          </w:p>
        </w:tc>
        <w:tc>
          <w:tcPr>
            <w:tcW w:w="1445" w:type="dxa"/>
            <w:tcBorders>
              <w:top w:val="single" w:sz="7" w:space="0" w:color="000000"/>
              <w:left w:val="nil"/>
              <w:bottom w:val="single" w:sz="7" w:space="0" w:color="000000"/>
              <w:right w:val="nil"/>
            </w:tcBorders>
            <w:shd w:val="clear" w:color="auto" w:fill="auto"/>
          </w:tcPr>
          <w:p w14:paraId="4A60AE8E" w14:textId="77777777" w:rsidR="00DF61BC" w:rsidRPr="00C94C33" w:rsidRDefault="00DF61BC" w:rsidP="00C844C0">
            <w:pPr>
              <w:pStyle w:val="Tabletext"/>
            </w:pPr>
            <w:r w:rsidRPr="00C94C33">
              <w:t>30</w:t>
            </w:r>
          </w:p>
        </w:tc>
        <w:tc>
          <w:tcPr>
            <w:tcW w:w="1444" w:type="dxa"/>
            <w:tcBorders>
              <w:top w:val="single" w:sz="7" w:space="0" w:color="000000"/>
              <w:left w:val="nil"/>
              <w:bottom w:val="single" w:sz="7" w:space="0" w:color="000000"/>
              <w:right w:val="single" w:sz="4" w:space="0" w:color="auto"/>
            </w:tcBorders>
            <w:shd w:val="clear" w:color="auto" w:fill="auto"/>
          </w:tcPr>
          <w:p w14:paraId="7A155433" w14:textId="77777777" w:rsidR="00DF61BC" w:rsidRPr="00C94C33" w:rsidRDefault="00DF61BC" w:rsidP="00C844C0">
            <w:pPr>
              <w:pStyle w:val="Tabletext"/>
            </w:pPr>
            <w:r w:rsidRPr="00C94C33">
              <w:t>(11.3)</w:t>
            </w:r>
          </w:p>
        </w:tc>
      </w:tr>
      <w:tr w:rsidR="00DF61BC" w:rsidRPr="00C94C33" w14:paraId="4F61ABDC" w14:textId="77777777" w:rsidTr="001735DA">
        <w:trPr>
          <w:trHeight w:hRule="exact" w:val="305"/>
        </w:trPr>
        <w:tc>
          <w:tcPr>
            <w:tcW w:w="3798" w:type="dxa"/>
            <w:tcBorders>
              <w:top w:val="single" w:sz="8" w:space="0" w:color="000000"/>
              <w:left w:val="single" w:sz="4" w:space="0" w:color="auto"/>
              <w:bottom w:val="single" w:sz="8" w:space="0" w:color="000000"/>
              <w:right w:val="single" w:sz="4" w:space="0" w:color="auto"/>
            </w:tcBorders>
            <w:shd w:val="clear" w:color="auto" w:fill="auto"/>
          </w:tcPr>
          <w:p w14:paraId="47A0E13B" w14:textId="77777777" w:rsidR="00DF61BC" w:rsidRPr="00C94C33" w:rsidRDefault="00DF61BC" w:rsidP="00C844C0">
            <w:pPr>
              <w:pStyle w:val="Tabletext"/>
            </w:pPr>
            <w:r w:rsidRPr="00C94C33">
              <w:t>Constipation</w:t>
            </w:r>
          </w:p>
        </w:tc>
        <w:tc>
          <w:tcPr>
            <w:tcW w:w="1444" w:type="dxa"/>
            <w:tcBorders>
              <w:top w:val="single" w:sz="7" w:space="0" w:color="000000"/>
              <w:left w:val="single" w:sz="4" w:space="0" w:color="auto"/>
              <w:bottom w:val="single" w:sz="7" w:space="0" w:color="000000"/>
              <w:right w:val="nil"/>
            </w:tcBorders>
            <w:shd w:val="clear" w:color="auto" w:fill="auto"/>
          </w:tcPr>
          <w:p w14:paraId="01ED7FE3" w14:textId="77777777" w:rsidR="00DF61BC" w:rsidRPr="00C94C33" w:rsidRDefault="00DF61BC" w:rsidP="00C844C0">
            <w:pPr>
              <w:pStyle w:val="Tabletext"/>
            </w:pPr>
            <w:r w:rsidRPr="00C94C33">
              <w:t>81</w:t>
            </w:r>
          </w:p>
        </w:tc>
        <w:tc>
          <w:tcPr>
            <w:tcW w:w="1445" w:type="dxa"/>
            <w:tcBorders>
              <w:top w:val="single" w:sz="7" w:space="0" w:color="000000"/>
              <w:left w:val="nil"/>
              <w:bottom w:val="single" w:sz="7" w:space="0" w:color="000000"/>
            </w:tcBorders>
            <w:shd w:val="clear" w:color="auto" w:fill="auto"/>
          </w:tcPr>
          <w:p w14:paraId="0F4FC6B7" w14:textId="77777777" w:rsidR="00DF61BC" w:rsidRPr="00C94C33" w:rsidRDefault="00DF61BC" w:rsidP="00C844C0">
            <w:pPr>
              <w:pStyle w:val="Tabletext"/>
            </w:pPr>
            <w:r w:rsidRPr="00C94C33">
              <w:t>(15.2)</w:t>
            </w:r>
          </w:p>
        </w:tc>
        <w:tc>
          <w:tcPr>
            <w:tcW w:w="1445" w:type="dxa"/>
            <w:tcBorders>
              <w:top w:val="single" w:sz="7" w:space="0" w:color="000000"/>
              <w:left w:val="nil"/>
              <w:bottom w:val="single" w:sz="7" w:space="0" w:color="000000"/>
              <w:right w:val="nil"/>
            </w:tcBorders>
            <w:shd w:val="clear" w:color="auto" w:fill="auto"/>
          </w:tcPr>
          <w:p w14:paraId="02870426" w14:textId="77777777" w:rsidR="00DF61BC" w:rsidRPr="00C94C33" w:rsidRDefault="00DF61BC" w:rsidP="00C844C0">
            <w:pPr>
              <w:pStyle w:val="Tabletext"/>
            </w:pPr>
            <w:r w:rsidRPr="00C94C33">
              <w:t>40</w:t>
            </w:r>
          </w:p>
        </w:tc>
        <w:tc>
          <w:tcPr>
            <w:tcW w:w="1444" w:type="dxa"/>
            <w:tcBorders>
              <w:top w:val="single" w:sz="7" w:space="0" w:color="000000"/>
              <w:left w:val="nil"/>
              <w:bottom w:val="single" w:sz="7" w:space="0" w:color="000000"/>
              <w:right w:val="single" w:sz="4" w:space="0" w:color="auto"/>
            </w:tcBorders>
            <w:shd w:val="clear" w:color="auto" w:fill="auto"/>
          </w:tcPr>
          <w:p w14:paraId="10B6C9A0" w14:textId="77777777" w:rsidR="00DF61BC" w:rsidRPr="00C94C33" w:rsidRDefault="00DF61BC" w:rsidP="00C844C0">
            <w:pPr>
              <w:pStyle w:val="Tabletext"/>
            </w:pPr>
            <w:r w:rsidRPr="00C94C33">
              <w:t>(15.1)</w:t>
            </w:r>
          </w:p>
        </w:tc>
      </w:tr>
      <w:tr w:rsidR="00DF61BC" w:rsidRPr="00C94C33" w14:paraId="636BE824" w14:textId="77777777" w:rsidTr="001735DA">
        <w:trPr>
          <w:trHeight w:hRule="exact" w:val="305"/>
        </w:trPr>
        <w:tc>
          <w:tcPr>
            <w:tcW w:w="3798" w:type="dxa"/>
            <w:tcBorders>
              <w:top w:val="single" w:sz="8" w:space="0" w:color="000000"/>
              <w:left w:val="single" w:sz="4" w:space="0" w:color="auto"/>
              <w:bottom w:val="single" w:sz="8" w:space="0" w:color="000000"/>
              <w:right w:val="single" w:sz="4" w:space="0" w:color="auto"/>
            </w:tcBorders>
            <w:shd w:val="clear" w:color="auto" w:fill="auto"/>
          </w:tcPr>
          <w:p w14:paraId="710AF242" w14:textId="77777777" w:rsidR="00DF61BC" w:rsidRPr="00C94C33" w:rsidRDefault="00DF61BC" w:rsidP="00C844C0">
            <w:pPr>
              <w:pStyle w:val="Tabletext"/>
            </w:pPr>
            <w:r w:rsidRPr="00C94C33">
              <w:t>Platelet count decreased</w:t>
            </w:r>
          </w:p>
        </w:tc>
        <w:tc>
          <w:tcPr>
            <w:tcW w:w="1444" w:type="dxa"/>
            <w:tcBorders>
              <w:top w:val="single" w:sz="7" w:space="0" w:color="000000"/>
              <w:left w:val="single" w:sz="4" w:space="0" w:color="auto"/>
              <w:bottom w:val="single" w:sz="7" w:space="0" w:color="000000"/>
              <w:right w:val="nil"/>
            </w:tcBorders>
            <w:shd w:val="clear" w:color="auto" w:fill="auto"/>
          </w:tcPr>
          <w:p w14:paraId="4BFCB7ED" w14:textId="77777777" w:rsidR="00DF61BC" w:rsidRPr="00C94C33" w:rsidRDefault="00DF61BC" w:rsidP="00C844C0">
            <w:pPr>
              <w:pStyle w:val="Tabletext"/>
            </w:pPr>
            <w:r w:rsidRPr="00C94C33">
              <w:t>81</w:t>
            </w:r>
          </w:p>
        </w:tc>
        <w:tc>
          <w:tcPr>
            <w:tcW w:w="1445" w:type="dxa"/>
            <w:tcBorders>
              <w:top w:val="single" w:sz="7" w:space="0" w:color="000000"/>
              <w:left w:val="nil"/>
              <w:bottom w:val="single" w:sz="7" w:space="0" w:color="000000"/>
            </w:tcBorders>
            <w:shd w:val="clear" w:color="auto" w:fill="auto"/>
          </w:tcPr>
          <w:p w14:paraId="3928D2F1" w14:textId="77777777" w:rsidR="00DF61BC" w:rsidRPr="00C94C33" w:rsidRDefault="00DF61BC" w:rsidP="00C844C0">
            <w:pPr>
              <w:pStyle w:val="Tabletext"/>
            </w:pPr>
            <w:r w:rsidRPr="00C94C33">
              <w:t>(15.2)</w:t>
            </w:r>
          </w:p>
        </w:tc>
        <w:tc>
          <w:tcPr>
            <w:tcW w:w="1445" w:type="dxa"/>
            <w:tcBorders>
              <w:top w:val="single" w:sz="7" w:space="0" w:color="000000"/>
              <w:left w:val="nil"/>
              <w:bottom w:val="single" w:sz="7" w:space="0" w:color="000000"/>
              <w:right w:val="nil"/>
            </w:tcBorders>
            <w:shd w:val="clear" w:color="auto" w:fill="auto"/>
          </w:tcPr>
          <w:p w14:paraId="6E314B34" w14:textId="77777777" w:rsidR="00DF61BC" w:rsidRPr="00C94C33" w:rsidRDefault="00DF61BC" w:rsidP="00C844C0">
            <w:pPr>
              <w:pStyle w:val="Tabletext"/>
            </w:pPr>
            <w:r w:rsidRPr="00C94C33">
              <w:t>6</w:t>
            </w:r>
          </w:p>
        </w:tc>
        <w:tc>
          <w:tcPr>
            <w:tcW w:w="1444" w:type="dxa"/>
            <w:tcBorders>
              <w:top w:val="single" w:sz="7" w:space="0" w:color="000000"/>
              <w:left w:val="nil"/>
              <w:bottom w:val="single" w:sz="7" w:space="0" w:color="000000"/>
              <w:right w:val="single" w:sz="4" w:space="0" w:color="auto"/>
            </w:tcBorders>
            <w:shd w:val="clear" w:color="auto" w:fill="auto"/>
          </w:tcPr>
          <w:p w14:paraId="741EFA0E" w14:textId="77777777" w:rsidR="00DF61BC" w:rsidRPr="00C94C33" w:rsidRDefault="00DF61BC" w:rsidP="00C844C0">
            <w:pPr>
              <w:pStyle w:val="Tabletext"/>
            </w:pPr>
            <w:r w:rsidRPr="00C94C33">
              <w:t>(2.3)</w:t>
            </w:r>
          </w:p>
        </w:tc>
      </w:tr>
      <w:tr w:rsidR="00DF61BC" w:rsidRPr="00C94C33" w14:paraId="4B4048C8" w14:textId="77777777" w:rsidTr="001735DA">
        <w:trPr>
          <w:trHeight w:hRule="exact" w:val="305"/>
        </w:trPr>
        <w:tc>
          <w:tcPr>
            <w:tcW w:w="3798" w:type="dxa"/>
            <w:tcBorders>
              <w:top w:val="single" w:sz="8" w:space="0" w:color="000000"/>
              <w:left w:val="single" w:sz="4" w:space="0" w:color="auto"/>
              <w:bottom w:val="single" w:sz="8" w:space="0" w:color="000000"/>
              <w:right w:val="single" w:sz="4" w:space="0" w:color="auto"/>
            </w:tcBorders>
            <w:shd w:val="clear" w:color="auto" w:fill="auto"/>
          </w:tcPr>
          <w:p w14:paraId="3DB58D10" w14:textId="77777777" w:rsidR="00DF61BC" w:rsidRPr="00C94C33" w:rsidRDefault="00DF61BC" w:rsidP="00C844C0">
            <w:pPr>
              <w:pStyle w:val="Tabletext"/>
            </w:pPr>
            <w:r w:rsidRPr="00C94C33">
              <w:t>Abdominal pain</w:t>
            </w:r>
          </w:p>
        </w:tc>
        <w:tc>
          <w:tcPr>
            <w:tcW w:w="1444" w:type="dxa"/>
            <w:tcBorders>
              <w:top w:val="single" w:sz="7" w:space="0" w:color="000000"/>
              <w:left w:val="single" w:sz="4" w:space="0" w:color="auto"/>
              <w:bottom w:val="single" w:sz="7" w:space="0" w:color="000000"/>
              <w:right w:val="nil"/>
            </w:tcBorders>
            <w:shd w:val="clear" w:color="auto" w:fill="auto"/>
          </w:tcPr>
          <w:p w14:paraId="78F16C6F" w14:textId="77777777" w:rsidR="00DF61BC" w:rsidRPr="00C94C33" w:rsidRDefault="00DF61BC" w:rsidP="00C844C0">
            <w:pPr>
              <w:pStyle w:val="Tabletext"/>
            </w:pPr>
            <w:r w:rsidRPr="00C94C33">
              <w:t>79</w:t>
            </w:r>
          </w:p>
        </w:tc>
        <w:tc>
          <w:tcPr>
            <w:tcW w:w="1445" w:type="dxa"/>
            <w:tcBorders>
              <w:top w:val="single" w:sz="7" w:space="0" w:color="000000"/>
              <w:left w:val="nil"/>
              <w:bottom w:val="single" w:sz="7" w:space="0" w:color="000000"/>
            </w:tcBorders>
            <w:shd w:val="clear" w:color="auto" w:fill="auto"/>
          </w:tcPr>
          <w:p w14:paraId="60D9E56B" w14:textId="77777777" w:rsidR="00DF61BC" w:rsidRPr="00C94C33" w:rsidRDefault="00DF61BC" w:rsidP="00C844C0">
            <w:pPr>
              <w:pStyle w:val="Tabletext"/>
            </w:pPr>
            <w:r w:rsidRPr="00C94C33">
              <w:t>(14.8)</w:t>
            </w:r>
          </w:p>
        </w:tc>
        <w:tc>
          <w:tcPr>
            <w:tcW w:w="1445" w:type="dxa"/>
            <w:tcBorders>
              <w:top w:val="single" w:sz="7" w:space="0" w:color="000000"/>
              <w:left w:val="nil"/>
              <w:bottom w:val="single" w:sz="7" w:space="0" w:color="000000"/>
              <w:right w:val="nil"/>
            </w:tcBorders>
            <w:shd w:val="clear" w:color="auto" w:fill="auto"/>
          </w:tcPr>
          <w:p w14:paraId="224326E5" w14:textId="77777777" w:rsidR="00DF61BC" w:rsidRPr="00C94C33" w:rsidRDefault="00DF61BC" w:rsidP="00C844C0">
            <w:pPr>
              <w:pStyle w:val="Tabletext"/>
            </w:pPr>
            <w:r w:rsidRPr="00C94C33">
              <w:t>36</w:t>
            </w:r>
          </w:p>
        </w:tc>
        <w:tc>
          <w:tcPr>
            <w:tcW w:w="1444" w:type="dxa"/>
            <w:tcBorders>
              <w:top w:val="single" w:sz="7" w:space="0" w:color="000000"/>
              <w:left w:val="nil"/>
              <w:bottom w:val="single" w:sz="7" w:space="0" w:color="000000"/>
              <w:right w:val="single" w:sz="4" w:space="0" w:color="auto"/>
            </w:tcBorders>
            <w:shd w:val="clear" w:color="auto" w:fill="auto"/>
          </w:tcPr>
          <w:p w14:paraId="0537DDAF" w14:textId="77777777" w:rsidR="00DF61BC" w:rsidRPr="00C94C33" w:rsidRDefault="00DF61BC" w:rsidP="00C844C0">
            <w:pPr>
              <w:pStyle w:val="Tabletext"/>
            </w:pPr>
            <w:r w:rsidRPr="00C94C33">
              <w:t>(13.6)</w:t>
            </w:r>
          </w:p>
        </w:tc>
      </w:tr>
      <w:tr w:rsidR="00DF61BC" w:rsidRPr="00C94C33" w14:paraId="5753D655" w14:textId="77777777" w:rsidTr="001735DA">
        <w:trPr>
          <w:trHeight w:hRule="exact" w:val="306"/>
        </w:trPr>
        <w:tc>
          <w:tcPr>
            <w:tcW w:w="3798" w:type="dxa"/>
            <w:tcBorders>
              <w:top w:val="single" w:sz="8" w:space="0" w:color="000000"/>
              <w:left w:val="single" w:sz="4" w:space="0" w:color="auto"/>
              <w:bottom w:val="single" w:sz="8" w:space="0" w:color="000000"/>
              <w:right w:val="single" w:sz="4" w:space="0" w:color="auto"/>
            </w:tcBorders>
            <w:shd w:val="clear" w:color="auto" w:fill="auto"/>
          </w:tcPr>
          <w:p w14:paraId="7C35020F" w14:textId="77777777" w:rsidR="00DF61BC" w:rsidRPr="00C94C33" w:rsidRDefault="00DF61BC" w:rsidP="00C844C0">
            <w:pPr>
              <w:pStyle w:val="Tabletext"/>
            </w:pPr>
            <w:r w:rsidRPr="00C94C33">
              <w:t>Cough</w:t>
            </w:r>
          </w:p>
        </w:tc>
        <w:tc>
          <w:tcPr>
            <w:tcW w:w="1444" w:type="dxa"/>
            <w:tcBorders>
              <w:top w:val="single" w:sz="7" w:space="0" w:color="000000"/>
              <w:left w:val="single" w:sz="4" w:space="0" w:color="auto"/>
              <w:bottom w:val="single" w:sz="7" w:space="0" w:color="000000"/>
              <w:right w:val="nil"/>
            </w:tcBorders>
            <w:shd w:val="clear" w:color="auto" w:fill="auto"/>
          </w:tcPr>
          <w:p w14:paraId="189CFEC0" w14:textId="77777777" w:rsidR="00DF61BC" w:rsidRPr="00C94C33" w:rsidRDefault="00DF61BC" w:rsidP="00C844C0">
            <w:pPr>
              <w:pStyle w:val="Tabletext"/>
            </w:pPr>
            <w:r w:rsidRPr="00C94C33">
              <w:t>57</w:t>
            </w:r>
          </w:p>
        </w:tc>
        <w:tc>
          <w:tcPr>
            <w:tcW w:w="1445" w:type="dxa"/>
            <w:tcBorders>
              <w:top w:val="single" w:sz="7" w:space="0" w:color="000000"/>
              <w:left w:val="nil"/>
              <w:bottom w:val="single" w:sz="7" w:space="0" w:color="000000"/>
            </w:tcBorders>
            <w:shd w:val="clear" w:color="auto" w:fill="auto"/>
          </w:tcPr>
          <w:p w14:paraId="59E5C49F" w14:textId="77777777" w:rsidR="00DF61BC" w:rsidRPr="00C94C33" w:rsidRDefault="00DF61BC" w:rsidP="00C844C0">
            <w:pPr>
              <w:pStyle w:val="Tabletext"/>
            </w:pPr>
            <w:r w:rsidRPr="00C94C33">
              <w:t>(10.7)</w:t>
            </w:r>
          </w:p>
        </w:tc>
        <w:tc>
          <w:tcPr>
            <w:tcW w:w="1445" w:type="dxa"/>
            <w:tcBorders>
              <w:top w:val="single" w:sz="7" w:space="0" w:color="000000"/>
              <w:left w:val="nil"/>
              <w:bottom w:val="single" w:sz="7" w:space="0" w:color="000000"/>
              <w:right w:val="nil"/>
            </w:tcBorders>
            <w:shd w:val="clear" w:color="auto" w:fill="auto"/>
          </w:tcPr>
          <w:p w14:paraId="5EB4DC6E" w14:textId="77777777" w:rsidR="00DF61BC" w:rsidRPr="00C94C33" w:rsidRDefault="00DF61BC" w:rsidP="00C844C0">
            <w:pPr>
              <w:pStyle w:val="Tabletext"/>
            </w:pPr>
            <w:r w:rsidRPr="00C94C33">
              <w:t>30</w:t>
            </w:r>
          </w:p>
        </w:tc>
        <w:tc>
          <w:tcPr>
            <w:tcW w:w="1444" w:type="dxa"/>
            <w:tcBorders>
              <w:top w:val="single" w:sz="7" w:space="0" w:color="000000"/>
              <w:left w:val="nil"/>
              <w:bottom w:val="single" w:sz="7" w:space="0" w:color="000000"/>
              <w:right w:val="single" w:sz="4" w:space="0" w:color="auto"/>
            </w:tcBorders>
            <w:shd w:val="clear" w:color="auto" w:fill="auto"/>
          </w:tcPr>
          <w:p w14:paraId="5B794B8A" w14:textId="77777777" w:rsidR="00DF61BC" w:rsidRPr="00C94C33" w:rsidRDefault="00DF61BC" w:rsidP="00C844C0">
            <w:pPr>
              <w:pStyle w:val="Tabletext"/>
            </w:pPr>
            <w:r w:rsidRPr="00C94C33">
              <w:t>(11.3)</w:t>
            </w:r>
          </w:p>
        </w:tc>
      </w:tr>
      <w:tr w:rsidR="00DF61BC" w:rsidRPr="00C94C33" w14:paraId="1FA6A63A" w14:textId="77777777" w:rsidTr="001735DA">
        <w:trPr>
          <w:trHeight w:hRule="exact" w:val="305"/>
        </w:trPr>
        <w:tc>
          <w:tcPr>
            <w:tcW w:w="3798" w:type="dxa"/>
            <w:tcBorders>
              <w:top w:val="single" w:sz="8" w:space="0" w:color="000000"/>
              <w:left w:val="single" w:sz="4" w:space="0" w:color="auto"/>
              <w:bottom w:val="single" w:sz="8" w:space="0" w:color="000000"/>
              <w:right w:val="single" w:sz="4" w:space="0" w:color="auto"/>
            </w:tcBorders>
            <w:shd w:val="clear" w:color="auto" w:fill="auto"/>
          </w:tcPr>
          <w:p w14:paraId="4652559E" w14:textId="77777777" w:rsidR="00DF61BC" w:rsidRPr="00C94C33" w:rsidRDefault="00DF61BC" w:rsidP="00C844C0">
            <w:pPr>
              <w:pStyle w:val="Tabletext"/>
            </w:pPr>
            <w:r w:rsidRPr="00C94C33">
              <w:t>Dyspnoea</w:t>
            </w:r>
          </w:p>
        </w:tc>
        <w:tc>
          <w:tcPr>
            <w:tcW w:w="1444" w:type="dxa"/>
            <w:tcBorders>
              <w:top w:val="single" w:sz="7" w:space="0" w:color="000000"/>
              <w:left w:val="single" w:sz="4" w:space="0" w:color="auto"/>
              <w:bottom w:val="single" w:sz="8" w:space="0" w:color="000000"/>
              <w:right w:val="nil"/>
            </w:tcBorders>
            <w:shd w:val="clear" w:color="auto" w:fill="auto"/>
          </w:tcPr>
          <w:p w14:paraId="5FAB66F6" w14:textId="77777777" w:rsidR="00DF61BC" w:rsidRPr="00C94C33" w:rsidRDefault="00DF61BC" w:rsidP="00C844C0">
            <w:pPr>
              <w:pStyle w:val="Tabletext"/>
            </w:pPr>
            <w:r w:rsidRPr="00C94C33">
              <w:t>56</w:t>
            </w:r>
          </w:p>
        </w:tc>
        <w:tc>
          <w:tcPr>
            <w:tcW w:w="1445" w:type="dxa"/>
            <w:tcBorders>
              <w:top w:val="single" w:sz="7" w:space="0" w:color="000000"/>
              <w:left w:val="nil"/>
              <w:bottom w:val="single" w:sz="8" w:space="0" w:color="000000"/>
            </w:tcBorders>
            <w:shd w:val="clear" w:color="auto" w:fill="auto"/>
          </w:tcPr>
          <w:p w14:paraId="4D99E008" w14:textId="77777777" w:rsidR="00DF61BC" w:rsidRPr="00C94C33" w:rsidRDefault="00DF61BC" w:rsidP="00C844C0">
            <w:pPr>
              <w:pStyle w:val="Tabletext"/>
            </w:pPr>
            <w:r w:rsidRPr="00C94C33">
              <w:t>(10.5)</w:t>
            </w:r>
          </w:p>
        </w:tc>
        <w:tc>
          <w:tcPr>
            <w:tcW w:w="1445" w:type="dxa"/>
            <w:tcBorders>
              <w:top w:val="single" w:sz="7" w:space="0" w:color="000000"/>
              <w:left w:val="nil"/>
              <w:bottom w:val="single" w:sz="8" w:space="0" w:color="000000"/>
              <w:right w:val="nil"/>
            </w:tcBorders>
            <w:shd w:val="clear" w:color="auto" w:fill="auto"/>
          </w:tcPr>
          <w:p w14:paraId="233465A1" w14:textId="77777777" w:rsidR="00DF61BC" w:rsidRPr="00C94C33" w:rsidRDefault="00DF61BC" w:rsidP="00C844C0">
            <w:pPr>
              <w:pStyle w:val="Tabletext"/>
            </w:pPr>
            <w:r w:rsidRPr="00C94C33">
              <w:t>34</w:t>
            </w:r>
          </w:p>
        </w:tc>
        <w:tc>
          <w:tcPr>
            <w:tcW w:w="1444" w:type="dxa"/>
            <w:tcBorders>
              <w:top w:val="single" w:sz="7" w:space="0" w:color="000000"/>
              <w:left w:val="nil"/>
              <w:bottom w:val="single" w:sz="8" w:space="0" w:color="000000"/>
              <w:right w:val="single" w:sz="4" w:space="0" w:color="auto"/>
            </w:tcBorders>
            <w:shd w:val="clear" w:color="auto" w:fill="auto"/>
          </w:tcPr>
          <w:p w14:paraId="2C2B9959" w14:textId="77777777" w:rsidR="00DF61BC" w:rsidRPr="00C94C33" w:rsidRDefault="00DF61BC" w:rsidP="00C844C0">
            <w:pPr>
              <w:pStyle w:val="Tabletext"/>
            </w:pPr>
            <w:r w:rsidRPr="00C94C33">
              <w:t>(12.8)</w:t>
            </w:r>
          </w:p>
        </w:tc>
      </w:tr>
    </w:tbl>
    <w:p w14:paraId="0F5228E9" w14:textId="77777777" w:rsidR="00AA7141" w:rsidRDefault="00DF61BC" w:rsidP="005C2FCA">
      <w:pPr>
        <w:pStyle w:val="Comment"/>
      </w:pPr>
      <w:r w:rsidRPr="005C2FCA">
        <w:rPr>
          <w:b/>
        </w:rPr>
        <w:t>Comment:</w:t>
      </w:r>
      <w:r w:rsidR="00BF565E" w:rsidRPr="00C94C33">
        <w:t xml:space="preserve"> </w:t>
      </w:r>
      <w:r w:rsidR="00BF6EFD">
        <w:t xml:space="preserve"> </w:t>
      </w:r>
      <w:r w:rsidRPr="00C94C33">
        <w:t>AEs reported in ≥ 5% of patients in the TAS-102 group, and in ≥ 5% more patients than in the placebo group were nausea (48.4%</w:t>
      </w:r>
      <w:r w:rsidR="00C11183">
        <w:t xml:space="preserve"> versus </w:t>
      </w:r>
      <w:r w:rsidRPr="00C94C33">
        <w:t>23.8%), anaemia (40.2%</w:t>
      </w:r>
      <w:r w:rsidR="00C11183">
        <w:t xml:space="preserve"> versus </w:t>
      </w:r>
      <w:r w:rsidRPr="00C94C33">
        <w:t>8.3%), decreased appetite (39.0%</w:t>
      </w:r>
      <w:r w:rsidR="00C11183">
        <w:t xml:space="preserve"> versus </w:t>
      </w:r>
      <w:r w:rsidRPr="00C94C33">
        <w:t>29.4%), fatigue (35.3%</w:t>
      </w:r>
      <w:r w:rsidR="00C11183">
        <w:t xml:space="preserve"> versus </w:t>
      </w:r>
      <w:r w:rsidRPr="00C94C33">
        <w:t>23.4%), diarrhoea (31.9%</w:t>
      </w:r>
      <w:r w:rsidR="00C11183">
        <w:t xml:space="preserve"> versus </w:t>
      </w:r>
      <w:r w:rsidRPr="00C94C33">
        <w:t>12.5%), neutro</w:t>
      </w:r>
      <w:r w:rsidR="00B50F67">
        <w:t>paenia</w:t>
      </w:r>
      <w:r w:rsidRPr="00C94C33">
        <w:t xml:space="preserve"> (29.3%</w:t>
      </w:r>
      <w:r w:rsidR="00C11183">
        <w:t xml:space="preserve"> versus </w:t>
      </w:r>
      <w:r w:rsidRPr="00C94C33">
        <w:t>0%), neutrophil count decreased (27.8%</w:t>
      </w:r>
      <w:r w:rsidR="00C11183">
        <w:t xml:space="preserve"> versus </w:t>
      </w:r>
      <w:r w:rsidRPr="00C94C33">
        <w:t>0.4%), vomiting (27.8%</w:t>
      </w:r>
      <w:r w:rsidR="00C11183">
        <w:t xml:space="preserve"> versus </w:t>
      </w:r>
      <w:r w:rsidRPr="00C94C33">
        <w:t>14.3%), while blood cell count decreased (27.4%</w:t>
      </w:r>
      <w:r w:rsidR="00C11183">
        <w:t xml:space="preserve"> versus </w:t>
      </w:r>
      <w:r w:rsidRPr="00C94C33">
        <w:t>0.4%), asthenia (18.2%</w:t>
      </w:r>
      <w:r w:rsidR="00C11183">
        <w:t xml:space="preserve"> versus </w:t>
      </w:r>
      <w:r w:rsidRPr="00C94C33">
        <w:t>11.3%), platelet cell count decreased (15.2%</w:t>
      </w:r>
      <w:r w:rsidR="00C11183">
        <w:t xml:space="preserve"> versus </w:t>
      </w:r>
      <w:r w:rsidRPr="00C94C33">
        <w:t>2.3%), thrombocyto</w:t>
      </w:r>
      <w:r w:rsidR="00B50F67">
        <w:t>paenia</w:t>
      </w:r>
      <w:r w:rsidRPr="00C94C33">
        <w:t xml:space="preserve"> (6.9%</w:t>
      </w:r>
      <w:r w:rsidR="00C11183">
        <w:t xml:space="preserve"> versus </w:t>
      </w:r>
      <w:r w:rsidRPr="00C94C33">
        <w:t>0.4%), alopecia (6.8%</w:t>
      </w:r>
      <w:r w:rsidR="00C11183">
        <w:t xml:space="preserve"> versus </w:t>
      </w:r>
      <w:r w:rsidRPr="00C94C33">
        <w:t>1.1%), and leuko</w:t>
      </w:r>
      <w:r w:rsidR="00B50F67">
        <w:t>paenia</w:t>
      </w:r>
      <w:r w:rsidRPr="00C94C33">
        <w:t xml:space="preserve"> (5.4%</w:t>
      </w:r>
      <w:r w:rsidR="00C11183">
        <w:t xml:space="preserve"> versus </w:t>
      </w:r>
      <w:r w:rsidRPr="00C94C33">
        <w:t>0%). No AEs were reported in ≥ 5% of patients in the placebo group, and in ≥ 5% more patients than in the TAS-102 group.</w:t>
      </w:r>
    </w:p>
    <w:p w14:paraId="5F920393" w14:textId="629528FC" w:rsidR="00DF61BC" w:rsidRPr="00C94C33" w:rsidRDefault="00DF61BC" w:rsidP="00955252">
      <w:pPr>
        <w:pStyle w:val="Heading5"/>
      </w:pPr>
      <w:bookmarkStart w:id="360" w:name="_Toc470948572"/>
      <w:r w:rsidRPr="00C94C33">
        <w:t>Adverse events by maximum CTC grade</w:t>
      </w:r>
      <w:bookmarkEnd w:id="360"/>
    </w:p>
    <w:p w14:paraId="7FA011B7" w14:textId="7A70B2AA" w:rsidR="00DF61BC" w:rsidRPr="00C94C33" w:rsidRDefault="00DF61BC" w:rsidP="00DF61BC">
      <w:pPr>
        <w:autoSpaceDE w:val="0"/>
        <w:autoSpaceDN w:val="0"/>
        <w:adjustRightInd w:val="0"/>
        <w:spacing w:after="0"/>
        <w:rPr>
          <w:rFonts w:asciiTheme="minorHAnsi" w:hAnsiTheme="minorHAnsi"/>
          <w:color w:val="000000"/>
        </w:rPr>
      </w:pPr>
      <w:r w:rsidRPr="00C94C33">
        <w:rPr>
          <w:rFonts w:asciiTheme="minorHAnsi" w:hAnsiTheme="minorHAnsi"/>
          <w:color w:val="000000"/>
        </w:rPr>
        <w:t>In the TAS-102 group</w:t>
      </w:r>
      <w:r w:rsidR="00C11183">
        <w:rPr>
          <w:rFonts w:asciiTheme="minorHAnsi" w:hAnsiTheme="minorHAnsi"/>
          <w:color w:val="000000"/>
        </w:rPr>
        <w:t xml:space="preserve"> versus </w:t>
      </w:r>
      <w:r w:rsidRPr="00C94C33">
        <w:rPr>
          <w:rFonts w:asciiTheme="minorHAnsi" w:hAnsiTheme="minorHAnsi"/>
          <w:color w:val="000000"/>
        </w:rPr>
        <w:t>the placebo group (respectively), 28.9%</w:t>
      </w:r>
      <w:r w:rsidR="00C11183">
        <w:rPr>
          <w:rFonts w:asciiTheme="minorHAnsi" w:hAnsiTheme="minorHAnsi"/>
          <w:color w:val="000000"/>
        </w:rPr>
        <w:t xml:space="preserve"> versus </w:t>
      </w:r>
      <w:r w:rsidRPr="00C94C33">
        <w:rPr>
          <w:rFonts w:asciiTheme="minorHAnsi" w:hAnsiTheme="minorHAnsi"/>
          <w:color w:val="000000"/>
        </w:rPr>
        <w:t>41.5% of patients had AEs of maximum Grade 1 or 2, 49.5%</w:t>
      </w:r>
      <w:r w:rsidR="00C11183">
        <w:rPr>
          <w:rFonts w:asciiTheme="minorHAnsi" w:hAnsiTheme="minorHAnsi"/>
          <w:color w:val="000000"/>
        </w:rPr>
        <w:t xml:space="preserve"> versus </w:t>
      </w:r>
      <w:r w:rsidRPr="00C94C33">
        <w:rPr>
          <w:rFonts w:asciiTheme="minorHAnsi" w:hAnsiTheme="minorHAnsi"/>
          <w:color w:val="000000"/>
        </w:rPr>
        <w:t>34.3% of patients had AEs of maximum Grade 3, 16.7%</w:t>
      </w:r>
      <w:r w:rsidR="00C11183">
        <w:rPr>
          <w:rFonts w:asciiTheme="minorHAnsi" w:hAnsiTheme="minorHAnsi"/>
          <w:color w:val="000000"/>
        </w:rPr>
        <w:t xml:space="preserve"> versus </w:t>
      </w:r>
      <w:r w:rsidRPr="00C94C33">
        <w:rPr>
          <w:rFonts w:asciiTheme="minorHAnsi" w:hAnsiTheme="minorHAnsi"/>
          <w:color w:val="000000"/>
        </w:rPr>
        <w:t>6.0% of patients had AEs of maximum Grade 4, and 3.2%</w:t>
      </w:r>
      <w:r w:rsidR="00C11183">
        <w:rPr>
          <w:rFonts w:asciiTheme="minorHAnsi" w:hAnsiTheme="minorHAnsi"/>
          <w:color w:val="000000"/>
        </w:rPr>
        <w:t xml:space="preserve"> versus </w:t>
      </w:r>
      <w:r w:rsidRPr="00C94C33">
        <w:rPr>
          <w:rFonts w:asciiTheme="minorHAnsi" w:hAnsiTheme="minorHAnsi"/>
          <w:color w:val="000000"/>
        </w:rPr>
        <w:t>11.3% of patients had fatal AEs. The most frequently reported Grade 3 AEs in the TAS-102 group occurring in ≥ 5% of patients (vs placebo) were anaemia (15.9%</w:t>
      </w:r>
      <w:r w:rsidR="00C11183">
        <w:rPr>
          <w:rFonts w:asciiTheme="minorHAnsi" w:hAnsiTheme="minorHAnsi"/>
          <w:color w:val="000000"/>
        </w:rPr>
        <w:t xml:space="preserve"> versus </w:t>
      </w:r>
      <w:r w:rsidRPr="00C94C33">
        <w:rPr>
          <w:rFonts w:asciiTheme="minorHAnsi" w:hAnsiTheme="minorHAnsi"/>
          <w:color w:val="000000"/>
        </w:rPr>
        <w:t>2.6%), neutro</w:t>
      </w:r>
      <w:r w:rsidR="00B50F67">
        <w:rPr>
          <w:rFonts w:asciiTheme="minorHAnsi" w:hAnsiTheme="minorHAnsi"/>
          <w:color w:val="000000"/>
        </w:rPr>
        <w:t>paenia</w:t>
      </w:r>
      <w:r w:rsidRPr="00C94C33">
        <w:rPr>
          <w:rFonts w:asciiTheme="minorHAnsi" w:hAnsiTheme="minorHAnsi"/>
          <w:color w:val="000000"/>
        </w:rPr>
        <w:t xml:space="preserve"> (13.7%</w:t>
      </w:r>
      <w:r w:rsidR="00C11183">
        <w:rPr>
          <w:rFonts w:asciiTheme="minorHAnsi" w:hAnsiTheme="minorHAnsi"/>
          <w:color w:val="000000"/>
        </w:rPr>
        <w:t xml:space="preserve"> versus </w:t>
      </w:r>
      <w:r w:rsidRPr="00C94C33">
        <w:rPr>
          <w:rFonts w:asciiTheme="minorHAnsi" w:hAnsiTheme="minorHAnsi"/>
          <w:color w:val="000000"/>
        </w:rPr>
        <w:t>0%), neutrophil count decreased (11.8%</w:t>
      </w:r>
      <w:r w:rsidR="00C11183">
        <w:rPr>
          <w:rFonts w:asciiTheme="minorHAnsi" w:hAnsiTheme="minorHAnsi"/>
          <w:color w:val="000000"/>
        </w:rPr>
        <w:t xml:space="preserve"> versus </w:t>
      </w:r>
      <w:r w:rsidRPr="00C94C33">
        <w:rPr>
          <w:rFonts w:asciiTheme="minorHAnsi" w:hAnsiTheme="minorHAnsi"/>
          <w:color w:val="000000"/>
        </w:rPr>
        <w:t>0%), and WBC count decreased (9.2%</w:t>
      </w:r>
      <w:r w:rsidR="00C11183">
        <w:rPr>
          <w:rFonts w:asciiTheme="minorHAnsi" w:hAnsiTheme="minorHAnsi"/>
          <w:color w:val="000000"/>
        </w:rPr>
        <w:t xml:space="preserve"> versus </w:t>
      </w:r>
      <w:r w:rsidRPr="00C94C33">
        <w:rPr>
          <w:rFonts w:asciiTheme="minorHAnsi" w:hAnsiTheme="minorHAnsi"/>
          <w:color w:val="000000"/>
        </w:rPr>
        <w:t>0%). The most frequently reported Grade 4 AEs in the TAS-102 group occurring in ≥ 2% of patients (vs placebo) were neutro</w:t>
      </w:r>
      <w:r w:rsidR="00B50F67">
        <w:rPr>
          <w:rFonts w:asciiTheme="minorHAnsi" w:hAnsiTheme="minorHAnsi"/>
          <w:color w:val="000000"/>
        </w:rPr>
        <w:t>paenia</w:t>
      </w:r>
      <w:r w:rsidRPr="00C94C33">
        <w:rPr>
          <w:rFonts w:asciiTheme="minorHAnsi" w:hAnsiTheme="minorHAnsi"/>
          <w:color w:val="000000"/>
        </w:rPr>
        <w:t xml:space="preserve"> (6.4%</w:t>
      </w:r>
      <w:r w:rsidR="00C11183">
        <w:rPr>
          <w:rFonts w:asciiTheme="minorHAnsi" w:hAnsiTheme="minorHAnsi"/>
          <w:color w:val="000000"/>
        </w:rPr>
        <w:t xml:space="preserve"> versus </w:t>
      </w:r>
      <w:r w:rsidRPr="00C94C33">
        <w:rPr>
          <w:rFonts w:asciiTheme="minorHAnsi" w:hAnsiTheme="minorHAnsi"/>
          <w:color w:val="000000"/>
        </w:rPr>
        <w:t>0%) and neutrophil count decreased (4.1%</w:t>
      </w:r>
      <w:r w:rsidR="00C11183">
        <w:rPr>
          <w:rFonts w:asciiTheme="minorHAnsi" w:hAnsiTheme="minorHAnsi"/>
          <w:color w:val="000000"/>
        </w:rPr>
        <w:t xml:space="preserve"> versus </w:t>
      </w:r>
      <w:r w:rsidRPr="00C94C33">
        <w:rPr>
          <w:rFonts w:asciiTheme="minorHAnsi" w:hAnsiTheme="minorHAnsi"/>
          <w:color w:val="000000"/>
        </w:rPr>
        <w:t>0%). AEs reported in ≥ 5% of patients in either treatment group by maximum CTC grade are summarised</w:t>
      </w:r>
      <w:r w:rsidR="001735DA" w:rsidRPr="00C94C33">
        <w:rPr>
          <w:rFonts w:asciiTheme="minorHAnsi" w:hAnsiTheme="minorHAnsi"/>
          <w:color w:val="000000"/>
        </w:rPr>
        <w:t>.</w:t>
      </w:r>
    </w:p>
    <w:p w14:paraId="3AD4883A" w14:textId="50830AC9" w:rsidR="00DF61BC" w:rsidRPr="00C94C33" w:rsidRDefault="00DF61BC" w:rsidP="00955252">
      <w:pPr>
        <w:pStyle w:val="Heading5"/>
      </w:pPr>
      <w:bookmarkStart w:id="361" w:name="_Toc470948573"/>
      <w:r w:rsidRPr="00C94C33">
        <w:t>Treatment related adverse events</w:t>
      </w:r>
      <w:bookmarkEnd w:id="361"/>
    </w:p>
    <w:p w14:paraId="15B86F78" w14:textId="77777777" w:rsidR="00AA7141" w:rsidRDefault="00DF61BC" w:rsidP="00DF61BC">
      <w:r w:rsidRPr="00C94C33">
        <w:t>Treatment</w:t>
      </w:r>
      <w:r w:rsidR="00BF6EFD">
        <w:t xml:space="preserve"> </w:t>
      </w:r>
      <w:r w:rsidRPr="00C94C33">
        <w:t>related AEs (all grades) were reported notably more frequently in patients in the TAS-102 group than in the placebo group (85.7%</w:t>
      </w:r>
      <w:r w:rsidR="00C11183">
        <w:t xml:space="preserve"> versus </w:t>
      </w:r>
      <w:r w:rsidRPr="00C94C33">
        <w:t>54.7%, respectively). Treatment-related AEs reported in ≥ 10% of patients in the TAS-102 group (vs placebo), in descending order of frequency, were nausea (39.4%</w:t>
      </w:r>
      <w:r w:rsidR="00C11183">
        <w:t xml:space="preserve"> versus </w:t>
      </w:r>
      <w:r w:rsidRPr="00C94C33">
        <w:t>10.9%), anaemia (31.5%</w:t>
      </w:r>
      <w:r w:rsidR="00C11183">
        <w:t xml:space="preserve"> versus </w:t>
      </w:r>
      <w:r w:rsidRPr="00C94C33">
        <w:t>4.5%), neutro</w:t>
      </w:r>
      <w:r w:rsidR="00B50F67">
        <w:t>paenia</w:t>
      </w:r>
      <w:r w:rsidRPr="00C94C33">
        <w:t xml:space="preserve"> (28.7%</w:t>
      </w:r>
      <w:r w:rsidR="00C11183">
        <w:t xml:space="preserve"> versus </w:t>
      </w:r>
      <w:r w:rsidRPr="00C94C33">
        <w:t>0%), neutrophil count decreased (27.2%</w:t>
      </w:r>
      <w:r w:rsidR="00C11183">
        <w:t xml:space="preserve"> versus </w:t>
      </w:r>
      <w:r w:rsidRPr="00C94C33">
        <w:t>0.4%), decreased appetite (26.5%</w:t>
      </w:r>
      <w:r w:rsidR="00C11183">
        <w:t xml:space="preserve"> versus </w:t>
      </w:r>
      <w:r w:rsidRPr="00C94C33">
        <w:t xml:space="preserve">11.3%), </w:t>
      </w:r>
      <w:r w:rsidRPr="00C94C33">
        <w:lastRenderedPageBreak/>
        <w:t>WBC decreased (26.3%</w:t>
      </w:r>
      <w:r w:rsidR="00C11183">
        <w:t xml:space="preserve"> versus </w:t>
      </w:r>
      <w:r w:rsidRPr="00C94C33">
        <w:t>0.4%), fatigue (24.8%</w:t>
      </w:r>
      <w:r w:rsidR="00C11183">
        <w:t xml:space="preserve"> versus </w:t>
      </w:r>
      <w:r w:rsidRPr="00C94C33">
        <w:t>10.2%), diarrhoea (23.6%</w:t>
      </w:r>
      <w:r w:rsidR="00C11183">
        <w:t xml:space="preserve"> versus </w:t>
      </w:r>
      <w:r w:rsidRPr="00C94C33">
        <w:t>9.1%), vomiting (20.1%</w:t>
      </w:r>
      <w:r w:rsidR="00C11183">
        <w:t xml:space="preserve"> versus </w:t>
      </w:r>
      <w:r w:rsidRPr="00C94C33">
        <w:t>4.5%), platelet count decreased (14.4%</w:t>
      </w:r>
      <w:r w:rsidR="00C11183">
        <w:t xml:space="preserve"> versus </w:t>
      </w:r>
      <w:r w:rsidRPr="00C94C33">
        <w:t>1.5%), and asthenia (10.9%</w:t>
      </w:r>
      <w:r w:rsidR="00C11183">
        <w:t xml:space="preserve"> versus </w:t>
      </w:r>
      <w:r w:rsidRPr="00C94C33">
        <w:t>4.5%).</w:t>
      </w:r>
    </w:p>
    <w:p w14:paraId="32B7C97F" w14:textId="5DF8328F" w:rsidR="00DF61BC" w:rsidRPr="00C94C33" w:rsidRDefault="00DF61BC" w:rsidP="00DF61BC">
      <w:r w:rsidRPr="00C94C33">
        <w:t>Treatment-related AEs of ≥ Grade 3 severity were reported notably more frequently in patients in the TAS-102 group than in the placebo group (49.0%</w:t>
      </w:r>
      <w:r w:rsidR="00C11183">
        <w:t xml:space="preserve"> versus </w:t>
      </w:r>
      <w:r w:rsidRPr="00C94C33">
        <w:t>9.8%). Treatment-related AEs of Grade</w:t>
      </w:r>
      <w:r w:rsidR="00B6099B">
        <w:t> </w:t>
      </w:r>
      <w:r w:rsidRPr="00C94C33">
        <w:t>≥ 3 severity reported in ≥ 5% of patients in the TAS-102 group (vs placebo), in descending order of frequency, were neutro</w:t>
      </w:r>
      <w:r w:rsidR="00B50F67">
        <w:t>paenia</w:t>
      </w:r>
      <w:r w:rsidRPr="00C94C33">
        <w:t xml:space="preserve"> (20.1%</w:t>
      </w:r>
      <w:r w:rsidR="00C11183">
        <w:t xml:space="preserve"> versus </w:t>
      </w:r>
      <w:r w:rsidRPr="00C94C33">
        <w:t>0%), neutrophil count decreased (15.6%</w:t>
      </w:r>
      <w:r w:rsidR="00C11183">
        <w:t xml:space="preserve"> versus </w:t>
      </w:r>
      <w:r w:rsidRPr="00C94C33">
        <w:t>0%), anaemia (12.2%</w:t>
      </w:r>
      <w:r w:rsidR="00C11183">
        <w:t xml:space="preserve"> versus </w:t>
      </w:r>
      <w:r w:rsidRPr="00C94C33">
        <w:t>1.9%), and WBC decreased (9.8%</w:t>
      </w:r>
      <w:r w:rsidR="00C11183">
        <w:t xml:space="preserve"> versus </w:t>
      </w:r>
      <w:r w:rsidRPr="00C94C33">
        <w:t>0%).</w:t>
      </w:r>
    </w:p>
    <w:p w14:paraId="4FB9C88E" w14:textId="77777777" w:rsidR="00DF61BC" w:rsidRPr="00C94C33" w:rsidRDefault="00DF61BC" w:rsidP="00955252">
      <w:pPr>
        <w:pStyle w:val="Heading3"/>
      </w:pPr>
      <w:bookmarkStart w:id="362" w:name="_Toc470948574"/>
      <w:bookmarkStart w:id="363" w:name="_Toc510016894"/>
      <w:r w:rsidRPr="00C94C33">
        <w:t>Deaths and other serious AEs</w:t>
      </w:r>
      <w:bookmarkEnd w:id="362"/>
      <w:bookmarkEnd w:id="363"/>
    </w:p>
    <w:p w14:paraId="254FCB00" w14:textId="7CB6EE71" w:rsidR="00DF61BC" w:rsidRPr="00C94C33" w:rsidRDefault="00DF61BC" w:rsidP="00955252">
      <w:pPr>
        <w:pStyle w:val="Heading4"/>
      </w:pPr>
      <w:bookmarkStart w:id="364" w:name="_Toc470948575"/>
      <w:r w:rsidRPr="00C94C33">
        <w:t>Deaths</w:t>
      </w:r>
      <w:bookmarkEnd w:id="364"/>
    </w:p>
    <w:p w14:paraId="012B898F" w14:textId="10E65E23" w:rsidR="00DF61BC" w:rsidRPr="00C94C33" w:rsidRDefault="00DF61BC" w:rsidP="00955252">
      <w:pPr>
        <w:pStyle w:val="Heading5"/>
      </w:pPr>
      <w:r w:rsidRPr="00C94C33">
        <w:t>Fatal AEs</w:t>
      </w:r>
    </w:p>
    <w:p w14:paraId="7E48DC28" w14:textId="3EA96CEC"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Fatal AEs were reported in 3.2% (</w:t>
      </w:r>
      <w:r w:rsidR="009C0389" w:rsidRPr="00C94C33">
        <w:rPr>
          <w:rFonts w:asciiTheme="minorHAnsi" w:hAnsiTheme="minorHAnsi"/>
        </w:rPr>
        <w:t xml:space="preserve">n = </w:t>
      </w:r>
      <w:r w:rsidRPr="00C94C33">
        <w:rPr>
          <w:rFonts w:asciiTheme="minorHAnsi" w:hAnsiTheme="minorHAnsi"/>
        </w:rPr>
        <w:t>17) of patients in the TAS-102 group and 11.3% (</w:t>
      </w:r>
      <w:r w:rsidR="009C0389" w:rsidRPr="00C94C33">
        <w:rPr>
          <w:rFonts w:asciiTheme="minorHAnsi" w:hAnsiTheme="minorHAnsi"/>
        </w:rPr>
        <w:t xml:space="preserve">n = </w:t>
      </w:r>
      <w:r w:rsidRPr="00C94C33">
        <w:rPr>
          <w:rFonts w:asciiTheme="minorHAnsi" w:hAnsiTheme="minorHAnsi"/>
        </w:rPr>
        <w:t>30) of patients in the placebo group. The most frequent fatal AE in both treatment groups was general physical health deterioration, which was reported in 6 patients (1.1%) in the TAS-102 group, and 8</w:t>
      </w:r>
      <w:r w:rsidR="009A7319">
        <w:rPr>
          <w:rFonts w:asciiTheme="minorHAnsi" w:hAnsiTheme="minorHAnsi"/>
        </w:rPr>
        <w:t> </w:t>
      </w:r>
      <w:r w:rsidRPr="00C94C33">
        <w:rPr>
          <w:rFonts w:asciiTheme="minorHAnsi" w:hAnsiTheme="minorHAnsi"/>
        </w:rPr>
        <w:t>(3.0%) patients in the placebo group. In the TAS-102 group, 2 patients died due to hepatic failure, and 2 died due to acute renal failure. In the placebo group, 6 patients died due to hepatic failure, 1</w:t>
      </w:r>
      <w:r w:rsidR="009A7319">
        <w:rPr>
          <w:rFonts w:asciiTheme="minorHAnsi" w:hAnsiTheme="minorHAnsi"/>
        </w:rPr>
        <w:t> </w:t>
      </w:r>
      <w:r w:rsidRPr="00C94C33">
        <w:rPr>
          <w:rFonts w:asciiTheme="minorHAnsi" w:hAnsiTheme="minorHAnsi"/>
        </w:rPr>
        <w:t xml:space="preserve">died due to renal failure and 1 died due to renal impairment. </w:t>
      </w:r>
      <w:r w:rsidR="009A7319">
        <w:rPr>
          <w:rFonts w:asciiTheme="minorHAnsi" w:hAnsiTheme="minorHAnsi"/>
        </w:rPr>
        <w:t>1</w:t>
      </w:r>
      <w:r w:rsidR="009A7319" w:rsidRPr="00C94C33">
        <w:rPr>
          <w:rFonts w:asciiTheme="minorHAnsi" w:hAnsiTheme="minorHAnsi"/>
        </w:rPr>
        <w:t xml:space="preserve"> </w:t>
      </w:r>
      <w:r w:rsidRPr="00C94C33">
        <w:rPr>
          <w:rFonts w:asciiTheme="minorHAnsi" w:hAnsiTheme="minorHAnsi"/>
        </w:rPr>
        <w:t xml:space="preserve">patient in the TAS-102 group and 4 patients in the placebo group had fatal AEs of dyspnoea. All other fatal AEs occurred in 1 patient each. The only treatment-related death was a patient in the TAS-102 group who died due to </w:t>
      </w:r>
      <w:r w:rsidRPr="005C2FCA">
        <w:rPr>
          <w:rFonts w:asciiTheme="minorHAnsi" w:hAnsiTheme="minorHAnsi"/>
          <w:i/>
        </w:rPr>
        <w:t>Klebsiella</w:t>
      </w:r>
      <w:r w:rsidRPr="00C94C33">
        <w:rPr>
          <w:rFonts w:asciiTheme="minorHAnsi" w:hAnsiTheme="minorHAnsi"/>
        </w:rPr>
        <w:t xml:space="preserve"> pneumonia/septic shock.</w:t>
      </w:r>
    </w:p>
    <w:p w14:paraId="4C32E6FD" w14:textId="06C97DFE" w:rsidR="00DF61BC" w:rsidRPr="00C94C33" w:rsidRDefault="00DF61BC" w:rsidP="005C2FCA">
      <w:pPr>
        <w:pStyle w:val="Comment"/>
      </w:pPr>
      <w:r w:rsidRPr="005C2FCA">
        <w:rPr>
          <w:b/>
        </w:rPr>
        <w:t>Comment:</w:t>
      </w:r>
      <w:r w:rsidRPr="00C94C33">
        <w:t xml:space="preserve"> </w:t>
      </w:r>
      <w:r w:rsidR="009A7319">
        <w:t xml:space="preserve"> </w:t>
      </w:r>
      <w:r w:rsidRPr="00C94C33">
        <w:t>The number fatal AEs reported in the TAS-102 groups was consistent for RECOURSE (</w:t>
      </w:r>
      <w:r w:rsidR="009A7319">
        <w:t>n </w:t>
      </w:r>
      <w:r w:rsidR="009C0389" w:rsidRPr="00C94C33">
        <w:t xml:space="preserve">= </w:t>
      </w:r>
      <w:r w:rsidRPr="00C94C33">
        <w:t>17, 3.2%), integrated safety data Group 2 (</w:t>
      </w:r>
      <w:r w:rsidR="009C0389" w:rsidRPr="00C94C33">
        <w:t xml:space="preserve">n = </w:t>
      </w:r>
      <w:r w:rsidRPr="00C94C33">
        <w:t>18, 2.8%) and integrated data group 1 (</w:t>
      </w:r>
      <w:r w:rsidR="009C0389" w:rsidRPr="00C94C33">
        <w:t xml:space="preserve">n = </w:t>
      </w:r>
      <w:r w:rsidRPr="00C94C33">
        <w:t>20, 2.6%). In integrated safety data Group 2, 18 (2.8%) patients in the TAS-102 group and 30 patients (9.3%) in the placebo group experienced fatal adverse events. The most frequent fatal AE in both treatment groups was general physical health deterioration: 6 patients (0.9%) in the TAS-102 group, and 8 (2.5%) patients in the placebo group. In the TAS-102 group, 2 patients died due to hepatic failure, and 2 died due to acute renal failure. In the placebo group, 6 patients died due to hepatic failure, 1</w:t>
      </w:r>
      <w:r w:rsidR="009A7319">
        <w:t> </w:t>
      </w:r>
      <w:r w:rsidRPr="00C94C33">
        <w:t>died due to renal failure, and 1 died due to renal impairment. One patient in the TAS-102 group and 4 patients in the placebo group had fatal AEs of dyspnoea. All other fatal events occurred in 1 patient in either treatment group. One fatal (Grade 5) AE in the TAS-102 group (septic shock) was considered related to study medication. In integrated Safety Data Group 1, fatal AEs were reported for 20 (2.6%) patients in the TAS-102 group. In addition to the fatal AEs reported in the TAS-102 group in Safety Data Group 2, additional fatal AEs reported in Group 1 included haematochezia, staphylococcal infection, and an additional case of septic shock (1 patient each). These additional fatal (Grade 5) AEs were not considered related to study medication.</w:t>
      </w:r>
    </w:p>
    <w:p w14:paraId="57D4520C" w14:textId="77777777" w:rsidR="00DF61BC" w:rsidRPr="00C94C33" w:rsidRDefault="00DF61BC" w:rsidP="00955252">
      <w:pPr>
        <w:pStyle w:val="Heading5"/>
      </w:pPr>
      <w:r w:rsidRPr="00C94C33">
        <w:t>All reported deaths ITT population</w:t>
      </w:r>
    </w:p>
    <w:p w14:paraId="075C83E9" w14:textId="7AF32B79" w:rsidR="00DF61BC" w:rsidRPr="00C94C33" w:rsidRDefault="00DF61BC" w:rsidP="00DF61BC">
      <w:pPr>
        <w:autoSpaceDE w:val="0"/>
        <w:autoSpaceDN w:val="0"/>
        <w:adjustRightInd w:val="0"/>
        <w:rPr>
          <w:rFonts w:asciiTheme="minorHAnsi" w:hAnsiTheme="minorHAnsi"/>
          <w:color w:val="000000"/>
        </w:rPr>
      </w:pPr>
      <w:r w:rsidRPr="00C94C33">
        <w:rPr>
          <w:rFonts w:asciiTheme="minorHAnsi" w:hAnsiTheme="minorHAnsi"/>
          <w:color w:val="000000"/>
        </w:rPr>
        <w:t>Fatal AEs are summarised.</w:t>
      </w:r>
    </w:p>
    <w:p w14:paraId="5BA21529" w14:textId="4E53C190" w:rsidR="00DF61BC" w:rsidRPr="00C94C33" w:rsidRDefault="00DF61BC" w:rsidP="0058475B">
      <w:pPr>
        <w:pStyle w:val="Tabletitle"/>
      </w:pPr>
      <w:bookmarkStart w:id="365" w:name="_Toc470948698"/>
      <w:r w:rsidRPr="00C94C33">
        <w:t>Table</w:t>
      </w:r>
      <w:r w:rsidR="00270871" w:rsidRPr="00C94C33">
        <w:t xml:space="preserve"> 49</w:t>
      </w:r>
      <w:r w:rsidRPr="00C94C33">
        <w:t>: RECOURSE</w:t>
      </w:r>
      <w:r w:rsidR="009A7319">
        <w:t xml:space="preserve">; </w:t>
      </w:r>
      <w:r w:rsidRPr="00C94C33">
        <w:t>Fatal adverse events, AT population</w:t>
      </w:r>
      <w:bookmarkEnd w:id="365"/>
    </w:p>
    <w:tbl>
      <w:tblPr>
        <w:tblW w:w="0" w:type="auto"/>
        <w:tblInd w:w="105" w:type="dxa"/>
        <w:tblLayout w:type="fixed"/>
        <w:tblCellMar>
          <w:left w:w="0" w:type="dxa"/>
          <w:right w:w="0" w:type="dxa"/>
        </w:tblCellMar>
        <w:tblLook w:val="0000" w:firstRow="0" w:lastRow="0" w:firstColumn="0" w:lastColumn="0" w:noHBand="0" w:noVBand="0"/>
      </w:tblPr>
      <w:tblGrid>
        <w:gridCol w:w="3555"/>
        <w:gridCol w:w="1470"/>
        <w:gridCol w:w="1387"/>
        <w:gridCol w:w="1469"/>
        <w:gridCol w:w="1388"/>
      </w:tblGrid>
      <w:tr w:rsidR="00DF61BC" w:rsidRPr="00C94C33" w14:paraId="3F8A5D82" w14:textId="77777777" w:rsidTr="00C844C0">
        <w:trPr>
          <w:trHeight w:val="20"/>
          <w:tblHeader/>
        </w:trPr>
        <w:tc>
          <w:tcPr>
            <w:tcW w:w="3555" w:type="dxa"/>
            <w:vMerge w:val="restart"/>
            <w:tcBorders>
              <w:top w:val="single" w:sz="7" w:space="0" w:color="000000"/>
              <w:left w:val="single" w:sz="6" w:space="0" w:color="000000"/>
              <w:bottom w:val="single" w:sz="7" w:space="0" w:color="000000"/>
              <w:right w:val="single" w:sz="6" w:space="0" w:color="000000"/>
            </w:tcBorders>
            <w:shd w:val="clear" w:color="auto" w:fill="auto"/>
          </w:tcPr>
          <w:p w14:paraId="0B0DC663" w14:textId="77777777" w:rsidR="00DF61BC" w:rsidRPr="00C94C33" w:rsidRDefault="00DF61BC" w:rsidP="00C844C0">
            <w:pPr>
              <w:pStyle w:val="TableHeading"/>
            </w:pPr>
            <w:r w:rsidRPr="00C94C33">
              <w:t>MedDRA SOC</w:t>
            </w:r>
          </w:p>
          <w:p w14:paraId="2A807CFD" w14:textId="77777777" w:rsidR="00DF61BC" w:rsidRPr="00C94C33" w:rsidRDefault="00DF61BC" w:rsidP="00C844C0">
            <w:pPr>
              <w:pStyle w:val="TableHeading"/>
            </w:pPr>
            <w:r w:rsidRPr="00C94C33">
              <w:t>Preferred Term</w:t>
            </w:r>
          </w:p>
        </w:tc>
        <w:tc>
          <w:tcPr>
            <w:tcW w:w="5714" w:type="dxa"/>
            <w:gridSpan w:val="4"/>
            <w:tcBorders>
              <w:top w:val="single" w:sz="7" w:space="0" w:color="000000"/>
              <w:left w:val="single" w:sz="6" w:space="0" w:color="000000"/>
              <w:bottom w:val="single" w:sz="7" w:space="0" w:color="000000"/>
              <w:right w:val="single" w:sz="6" w:space="0" w:color="000000"/>
            </w:tcBorders>
            <w:shd w:val="clear" w:color="auto" w:fill="auto"/>
          </w:tcPr>
          <w:p w14:paraId="1E47B228" w14:textId="77777777" w:rsidR="00DF61BC" w:rsidRPr="00C94C33" w:rsidRDefault="00DF61BC" w:rsidP="00C844C0">
            <w:pPr>
              <w:pStyle w:val="TableHeading"/>
              <w:jc w:val="center"/>
            </w:pPr>
            <w:r w:rsidRPr="00C94C33">
              <w:t xml:space="preserve">Number </w:t>
            </w:r>
            <w:r w:rsidRPr="00C94C33">
              <w:rPr>
                <w:spacing w:val="-2"/>
              </w:rPr>
              <w:t>(%)</w:t>
            </w:r>
            <w:r w:rsidRPr="00C94C33">
              <w:t xml:space="preserve"> of Patients</w:t>
            </w:r>
          </w:p>
        </w:tc>
      </w:tr>
      <w:tr w:rsidR="00DF61BC" w:rsidRPr="00C94C33" w14:paraId="611F0DB5" w14:textId="77777777" w:rsidTr="00C844C0">
        <w:trPr>
          <w:trHeight w:val="20"/>
          <w:tblHeader/>
        </w:trPr>
        <w:tc>
          <w:tcPr>
            <w:tcW w:w="3555" w:type="dxa"/>
            <w:vMerge/>
            <w:tcBorders>
              <w:top w:val="single" w:sz="7" w:space="0" w:color="000000"/>
              <w:left w:val="single" w:sz="6" w:space="0" w:color="000000"/>
              <w:bottom w:val="single" w:sz="7" w:space="0" w:color="000000"/>
              <w:right w:val="single" w:sz="6" w:space="0" w:color="000000"/>
            </w:tcBorders>
            <w:shd w:val="clear" w:color="auto" w:fill="auto"/>
          </w:tcPr>
          <w:p w14:paraId="3A3207D0" w14:textId="77777777" w:rsidR="00DF61BC" w:rsidRPr="00C94C33" w:rsidRDefault="00DF61BC" w:rsidP="00C844C0">
            <w:pPr>
              <w:pStyle w:val="TableHeading"/>
            </w:pPr>
          </w:p>
        </w:tc>
        <w:tc>
          <w:tcPr>
            <w:tcW w:w="2857" w:type="dxa"/>
            <w:gridSpan w:val="2"/>
            <w:tcBorders>
              <w:top w:val="single" w:sz="7" w:space="0" w:color="000000"/>
              <w:left w:val="single" w:sz="6" w:space="0" w:color="000000"/>
              <w:bottom w:val="single" w:sz="7" w:space="0" w:color="000000"/>
              <w:right w:val="single" w:sz="6" w:space="0" w:color="000000"/>
            </w:tcBorders>
            <w:shd w:val="clear" w:color="auto" w:fill="auto"/>
          </w:tcPr>
          <w:p w14:paraId="2C628A42" w14:textId="4D753411" w:rsidR="00DF61BC" w:rsidRPr="005C2FCA" w:rsidRDefault="00DF61BC" w:rsidP="00C844C0">
            <w:pPr>
              <w:pStyle w:val="TableHeading"/>
              <w:jc w:val="center"/>
            </w:pPr>
            <w:r w:rsidRPr="005C2FCA">
              <w:t>TAS-102 (</w:t>
            </w:r>
            <w:r w:rsidR="009C0389" w:rsidRPr="005C2FCA">
              <w:t xml:space="preserve">N = </w:t>
            </w:r>
            <w:r w:rsidRPr="005C2FCA">
              <w:t>533)</w:t>
            </w:r>
          </w:p>
        </w:tc>
        <w:tc>
          <w:tcPr>
            <w:tcW w:w="2857" w:type="dxa"/>
            <w:gridSpan w:val="2"/>
            <w:tcBorders>
              <w:top w:val="single" w:sz="7" w:space="0" w:color="000000"/>
              <w:left w:val="single" w:sz="6" w:space="0" w:color="000000"/>
              <w:bottom w:val="single" w:sz="7" w:space="0" w:color="000000"/>
              <w:right w:val="single" w:sz="6" w:space="0" w:color="000000"/>
            </w:tcBorders>
            <w:shd w:val="clear" w:color="auto" w:fill="auto"/>
          </w:tcPr>
          <w:p w14:paraId="5B5EDBB1" w14:textId="245B418D" w:rsidR="00DF61BC" w:rsidRPr="005C2FCA" w:rsidRDefault="00DF61BC" w:rsidP="00C844C0">
            <w:pPr>
              <w:pStyle w:val="TableHeading"/>
              <w:jc w:val="center"/>
            </w:pPr>
            <w:r w:rsidRPr="005C2FCA">
              <w:t>Placebo (</w:t>
            </w:r>
            <w:r w:rsidR="009C0389" w:rsidRPr="005C2FCA">
              <w:t xml:space="preserve">N = </w:t>
            </w:r>
            <w:r w:rsidRPr="005C2FCA">
              <w:t>265)</w:t>
            </w:r>
          </w:p>
        </w:tc>
      </w:tr>
      <w:tr w:rsidR="00DF61BC" w:rsidRPr="00C94C33" w14:paraId="1430B471" w14:textId="77777777" w:rsidTr="001735DA">
        <w:trPr>
          <w:trHeight w:hRule="exact" w:val="708"/>
        </w:trPr>
        <w:tc>
          <w:tcPr>
            <w:tcW w:w="3555" w:type="dxa"/>
            <w:tcBorders>
              <w:top w:val="single" w:sz="7" w:space="0" w:color="000000"/>
              <w:left w:val="single" w:sz="6" w:space="0" w:color="000000"/>
              <w:bottom w:val="single" w:sz="7" w:space="0" w:color="000000"/>
              <w:right w:val="single" w:sz="6" w:space="0" w:color="000000"/>
            </w:tcBorders>
            <w:shd w:val="clear" w:color="auto" w:fill="auto"/>
          </w:tcPr>
          <w:p w14:paraId="7F5DD4FB" w14:textId="77777777" w:rsidR="00DF61BC" w:rsidRPr="00C94C33" w:rsidRDefault="00DF61BC" w:rsidP="00C844C0">
            <w:pPr>
              <w:pStyle w:val="TableHeading"/>
            </w:pPr>
            <w:r w:rsidRPr="00C94C33">
              <w:t>Respiratory, thoracic and mediastinal</w:t>
            </w:r>
            <w:r w:rsidRPr="00C94C33">
              <w:rPr>
                <w:spacing w:val="35"/>
              </w:rPr>
              <w:t xml:space="preserve"> </w:t>
            </w:r>
            <w:r w:rsidRPr="00C94C33">
              <w:t>disorders</w:t>
            </w:r>
          </w:p>
        </w:tc>
        <w:tc>
          <w:tcPr>
            <w:tcW w:w="1470" w:type="dxa"/>
            <w:tcBorders>
              <w:top w:val="single" w:sz="7" w:space="0" w:color="000000"/>
              <w:left w:val="single" w:sz="6" w:space="0" w:color="000000"/>
              <w:bottom w:val="single" w:sz="7" w:space="0" w:color="000000"/>
              <w:right w:val="nil"/>
            </w:tcBorders>
            <w:shd w:val="clear" w:color="auto" w:fill="auto"/>
          </w:tcPr>
          <w:p w14:paraId="72E7DA1B" w14:textId="77777777" w:rsidR="00DF61BC" w:rsidRPr="00C94C33" w:rsidRDefault="00DF61BC" w:rsidP="00C844C0">
            <w:pPr>
              <w:pStyle w:val="TableHeading"/>
            </w:pPr>
            <w:r w:rsidRPr="00C94C33">
              <w:t>4</w:t>
            </w:r>
          </w:p>
        </w:tc>
        <w:tc>
          <w:tcPr>
            <w:tcW w:w="1387" w:type="dxa"/>
            <w:tcBorders>
              <w:top w:val="single" w:sz="7" w:space="0" w:color="000000"/>
              <w:left w:val="nil"/>
              <w:bottom w:val="single" w:sz="7" w:space="0" w:color="000000"/>
              <w:right w:val="single" w:sz="6" w:space="0" w:color="000000"/>
            </w:tcBorders>
            <w:shd w:val="clear" w:color="auto" w:fill="auto"/>
          </w:tcPr>
          <w:p w14:paraId="7E56D50C" w14:textId="77777777" w:rsidR="00DF61BC" w:rsidRPr="00C94C33" w:rsidRDefault="00DF61BC" w:rsidP="00C844C0">
            <w:pPr>
              <w:pStyle w:val="TableHeading"/>
            </w:pPr>
            <w:r w:rsidRPr="00C94C33">
              <w:t>(0.8)</w:t>
            </w:r>
          </w:p>
        </w:tc>
        <w:tc>
          <w:tcPr>
            <w:tcW w:w="1469" w:type="dxa"/>
            <w:tcBorders>
              <w:top w:val="single" w:sz="7" w:space="0" w:color="000000"/>
              <w:left w:val="single" w:sz="6" w:space="0" w:color="000000"/>
              <w:bottom w:val="single" w:sz="7" w:space="0" w:color="000000"/>
              <w:right w:val="nil"/>
            </w:tcBorders>
            <w:shd w:val="clear" w:color="auto" w:fill="auto"/>
          </w:tcPr>
          <w:p w14:paraId="5AE25781" w14:textId="77777777" w:rsidR="00DF61BC" w:rsidRPr="00C94C33" w:rsidRDefault="00DF61BC" w:rsidP="00C844C0">
            <w:pPr>
              <w:pStyle w:val="TableHeading"/>
            </w:pPr>
            <w:r w:rsidRPr="00C94C33">
              <w:t>7</w:t>
            </w:r>
          </w:p>
        </w:tc>
        <w:tc>
          <w:tcPr>
            <w:tcW w:w="1388" w:type="dxa"/>
            <w:tcBorders>
              <w:top w:val="single" w:sz="7" w:space="0" w:color="000000"/>
              <w:left w:val="nil"/>
              <w:bottom w:val="single" w:sz="7" w:space="0" w:color="000000"/>
              <w:right w:val="single" w:sz="6" w:space="0" w:color="000000"/>
            </w:tcBorders>
            <w:shd w:val="clear" w:color="auto" w:fill="auto"/>
          </w:tcPr>
          <w:p w14:paraId="1BB1EF29" w14:textId="77777777" w:rsidR="00DF61BC" w:rsidRPr="00C94C33" w:rsidRDefault="00DF61BC" w:rsidP="00C844C0">
            <w:pPr>
              <w:pStyle w:val="TableHeading"/>
            </w:pPr>
            <w:r w:rsidRPr="00C94C33">
              <w:t>(2.6)</w:t>
            </w:r>
          </w:p>
        </w:tc>
      </w:tr>
      <w:tr w:rsidR="00DF61BC" w:rsidRPr="00C94C33" w14:paraId="0741311B" w14:textId="77777777" w:rsidTr="00C844C0">
        <w:trPr>
          <w:trHeight w:hRule="exact" w:val="306"/>
        </w:trPr>
        <w:tc>
          <w:tcPr>
            <w:tcW w:w="3555" w:type="dxa"/>
            <w:tcBorders>
              <w:top w:val="single" w:sz="7" w:space="0" w:color="000000"/>
              <w:left w:val="single" w:sz="6" w:space="0" w:color="000000"/>
              <w:bottom w:val="single" w:sz="7" w:space="0" w:color="000000"/>
              <w:right w:val="single" w:sz="6" w:space="0" w:color="000000"/>
            </w:tcBorders>
            <w:shd w:val="clear" w:color="auto" w:fill="auto"/>
          </w:tcPr>
          <w:p w14:paraId="2B86FD89" w14:textId="77777777" w:rsidR="00DF61BC" w:rsidRPr="00C94C33" w:rsidRDefault="00DF61BC" w:rsidP="00C844C0">
            <w:pPr>
              <w:pStyle w:val="Tabletext"/>
            </w:pPr>
            <w:r w:rsidRPr="00C94C33">
              <w:t>Dyspnoea</w:t>
            </w:r>
          </w:p>
        </w:tc>
        <w:tc>
          <w:tcPr>
            <w:tcW w:w="1470" w:type="dxa"/>
            <w:tcBorders>
              <w:top w:val="single" w:sz="7" w:space="0" w:color="000000"/>
              <w:left w:val="single" w:sz="6" w:space="0" w:color="000000"/>
              <w:bottom w:val="single" w:sz="7" w:space="0" w:color="000000"/>
              <w:right w:val="nil"/>
            </w:tcBorders>
            <w:shd w:val="clear" w:color="auto" w:fill="auto"/>
          </w:tcPr>
          <w:p w14:paraId="74B94A3B" w14:textId="77777777" w:rsidR="00DF61BC" w:rsidRPr="00C94C33" w:rsidRDefault="00DF61BC" w:rsidP="00C844C0">
            <w:pPr>
              <w:pStyle w:val="Tabletext"/>
              <w:jc w:val="center"/>
            </w:pPr>
            <w:r w:rsidRPr="00C94C33">
              <w:t>1</w:t>
            </w:r>
          </w:p>
        </w:tc>
        <w:tc>
          <w:tcPr>
            <w:tcW w:w="1387" w:type="dxa"/>
            <w:tcBorders>
              <w:top w:val="single" w:sz="7" w:space="0" w:color="000000"/>
              <w:left w:val="nil"/>
              <w:bottom w:val="single" w:sz="7" w:space="0" w:color="000000"/>
              <w:right w:val="single" w:sz="6" w:space="0" w:color="000000"/>
            </w:tcBorders>
            <w:shd w:val="clear" w:color="auto" w:fill="auto"/>
          </w:tcPr>
          <w:p w14:paraId="0361B4FF" w14:textId="77777777" w:rsidR="00DF61BC" w:rsidRPr="00C94C33" w:rsidRDefault="00DF61BC" w:rsidP="00C844C0">
            <w:pPr>
              <w:pStyle w:val="Tabletext"/>
              <w:jc w:val="center"/>
            </w:pPr>
            <w:r w:rsidRPr="00C94C33">
              <w:t>(0.2)</w:t>
            </w:r>
          </w:p>
        </w:tc>
        <w:tc>
          <w:tcPr>
            <w:tcW w:w="1469" w:type="dxa"/>
            <w:tcBorders>
              <w:top w:val="single" w:sz="7" w:space="0" w:color="000000"/>
              <w:left w:val="single" w:sz="6" w:space="0" w:color="000000"/>
              <w:bottom w:val="single" w:sz="7" w:space="0" w:color="000000"/>
              <w:right w:val="nil"/>
            </w:tcBorders>
            <w:shd w:val="clear" w:color="auto" w:fill="auto"/>
          </w:tcPr>
          <w:p w14:paraId="56693BFB" w14:textId="77777777" w:rsidR="00DF61BC" w:rsidRPr="00C94C33" w:rsidRDefault="00DF61BC" w:rsidP="00C844C0">
            <w:pPr>
              <w:pStyle w:val="Tabletext"/>
              <w:jc w:val="center"/>
            </w:pPr>
            <w:r w:rsidRPr="00C94C33">
              <w:t>4</w:t>
            </w:r>
          </w:p>
        </w:tc>
        <w:tc>
          <w:tcPr>
            <w:tcW w:w="1388" w:type="dxa"/>
            <w:tcBorders>
              <w:top w:val="single" w:sz="7" w:space="0" w:color="000000"/>
              <w:left w:val="nil"/>
              <w:bottom w:val="single" w:sz="7" w:space="0" w:color="000000"/>
              <w:right w:val="single" w:sz="6" w:space="0" w:color="000000"/>
            </w:tcBorders>
            <w:shd w:val="clear" w:color="auto" w:fill="auto"/>
          </w:tcPr>
          <w:p w14:paraId="1E2EDF82" w14:textId="77777777" w:rsidR="00DF61BC" w:rsidRPr="00C94C33" w:rsidRDefault="00DF61BC" w:rsidP="00C844C0">
            <w:pPr>
              <w:pStyle w:val="Tabletext"/>
              <w:jc w:val="center"/>
            </w:pPr>
            <w:r w:rsidRPr="00C94C33">
              <w:t>(1.5)</w:t>
            </w:r>
          </w:p>
        </w:tc>
      </w:tr>
      <w:tr w:rsidR="00DF61BC" w:rsidRPr="00C94C33" w14:paraId="46BD71CB" w14:textId="77777777" w:rsidTr="00C844C0">
        <w:trPr>
          <w:trHeight w:hRule="exact" w:val="305"/>
        </w:trPr>
        <w:tc>
          <w:tcPr>
            <w:tcW w:w="3555" w:type="dxa"/>
            <w:tcBorders>
              <w:top w:val="single" w:sz="7" w:space="0" w:color="000000"/>
              <w:left w:val="single" w:sz="6" w:space="0" w:color="000000"/>
              <w:bottom w:val="single" w:sz="7" w:space="0" w:color="000000"/>
              <w:right w:val="single" w:sz="6" w:space="0" w:color="000000"/>
            </w:tcBorders>
            <w:shd w:val="clear" w:color="auto" w:fill="auto"/>
          </w:tcPr>
          <w:p w14:paraId="6B059918" w14:textId="77777777" w:rsidR="00DF61BC" w:rsidRPr="00C94C33" w:rsidRDefault="00DF61BC" w:rsidP="00C844C0">
            <w:pPr>
              <w:pStyle w:val="Tabletext"/>
            </w:pPr>
            <w:r w:rsidRPr="00C94C33">
              <w:t>Pleural effusion</w:t>
            </w:r>
          </w:p>
        </w:tc>
        <w:tc>
          <w:tcPr>
            <w:tcW w:w="1470" w:type="dxa"/>
            <w:tcBorders>
              <w:top w:val="single" w:sz="7" w:space="0" w:color="000000"/>
              <w:left w:val="single" w:sz="6" w:space="0" w:color="000000"/>
              <w:bottom w:val="single" w:sz="7" w:space="0" w:color="000000"/>
              <w:right w:val="nil"/>
            </w:tcBorders>
            <w:shd w:val="clear" w:color="auto" w:fill="auto"/>
          </w:tcPr>
          <w:p w14:paraId="50CF2813" w14:textId="77777777" w:rsidR="00DF61BC" w:rsidRPr="00C94C33" w:rsidRDefault="00DF61BC" w:rsidP="00C844C0">
            <w:pPr>
              <w:pStyle w:val="Tabletext"/>
              <w:jc w:val="center"/>
            </w:pPr>
            <w:r w:rsidRPr="00C94C33">
              <w:t>1</w:t>
            </w:r>
          </w:p>
        </w:tc>
        <w:tc>
          <w:tcPr>
            <w:tcW w:w="1387" w:type="dxa"/>
            <w:tcBorders>
              <w:top w:val="single" w:sz="7" w:space="0" w:color="000000"/>
              <w:left w:val="nil"/>
              <w:bottom w:val="single" w:sz="7" w:space="0" w:color="000000"/>
              <w:right w:val="single" w:sz="6" w:space="0" w:color="000000"/>
            </w:tcBorders>
            <w:shd w:val="clear" w:color="auto" w:fill="auto"/>
          </w:tcPr>
          <w:p w14:paraId="36415292" w14:textId="77777777" w:rsidR="00DF61BC" w:rsidRPr="00C94C33" w:rsidRDefault="00DF61BC" w:rsidP="00C844C0">
            <w:pPr>
              <w:pStyle w:val="Tabletext"/>
              <w:jc w:val="center"/>
            </w:pPr>
            <w:r w:rsidRPr="00C94C33">
              <w:t>(0.2)</w:t>
            </w:r>
          </w:p>
        </w:tc>
        <w:tc>
          <w:tcPr>
            <w:tcW w:w="1469" w:type="dxa"/>
            <w:tcBorders>
              <w:top w:val="single" w:sz="7" w:space="0" w:color="000000"/>
              <w:left w:val="single" w:sz="6" w:space="0" w:color="000000"/>
              <w:bottom w:val="single" w:sz="7" w:space="0" w:color="000000"/>
              <w:right w:val="nil"/>
            </w:tcBorders>
            <w:shd w:val="clear" w:color="auto" w:fill="auto"/>
          </w:tcPr>
          <w:p w14:paraId="03097393" w14:textId="77777777" w:rsidR="00DF61BC" w:rsidRPr="00C94C33" w:rsidRDefault="00DF61BC" w:rsidP="00C844C0">
            <w:pPr>
              <w:pStyle w:val="Tabletext"/>
              <w:jc w:val="center"/>
            </w:pPr>
            <w:r w:rsidRPr="00C94C33">
              <w:t>1</w:t>
            </w:r>
          </w:p>
        </w:tc>
        <w:tc>
          <w:tcPr>
            <w:tcW w:w="1388" w:type="dxa"/>
            <w:tcBorders>
              <w:top w:val="single" w:sz="7" w:space="0" w:color="000000"/>
              <w:left w:val="nil"/>
              <w:bottom w:val="single" w:sz="7" w:space="0" w:color="000000"/>
              <w:right w:val="single" w:sz="6" w:space="0" w:color="000000"/>
            </w:tcBorders>
            <w:shd w:val="clear" w:color="auto" w:fill="auto"/>
          </w:tcPr>
          <w:p w14:paraId="1CA37B49" w14:textId="77777777" w:rsidR="00DF61BC" w:rsidRPr="00C94C33" w:rsidRDefault="00DF61BC" w:rsidP="00C844C0">
            <w:pPr>
              <w:pStyle w:val="Tabletext"/>
              <w:jc w:val="center"/>
            </w:pPr>
            <w:r w:rsidRPr="00C94C33">
              <w:t>(0.4)</w:t>
            </w:r>
          </w:p>
        </w:tc>
      </w:tr>
      <w:tr w:rsidR="00DF61BC" w:rsidRPr="00C94C33" w14:paraId="293D29CD" w14:textId="77777777" w:rsidTr="00C844C0">
        <w:trPr>
          <w:trHeight w:hRule="exact" w:val="305"/>
        </w:trPr>
        <w:tc>
          <w:tcPr>
            <w:tcW w:w="3555" w:type="dxa"/>
            <w:tcBorders>
              <w:top w:val="single" w:sz="7" w:space="0" w:color="000000"/>
              <w:left w:val="single" w:sz="6" w:space="0" w:color="000000"/>
              <w:bottom w:val="single" w:sz="7" w:space="0" w:color="000000"/>
              <w:right w:val="single" w:sz="6" w:space="0" w:color="000000"/>
            </w:tcBorders>
            <w:shd w:val="clear" w:color="auto" w:fill="auto"/>
          </w:tcPr>
          <w:p w14:paraId="6CC35428" w14:textId="77777777" w:rsidR="00DF61BC" w:rsidRPr="00C94C33" w:rsidRDefault="00DF61BC" w:rsidP="00C844C0">
            <w:pPr>
              <w:pStyle w:val="Tabletext"/>
            </w:pPr>
            <w:r w:rsidRPr="00C94C33">
              <w:lastRenderedPageBreak/>
              <w:t>Pulmonary congestion</w:t>
            </w:r>
          </w:p>
        </w:tc>
        <w:tc>
          <w:tcPr>
            <w:tcW w:w="2857" w:type="dxa"/>
            <w:gridSpan w:val="2"/>
            <w:tcBorders>
              <w:top w:val="single" w:sz="7" w:space="0" w:color="000000"/>
              <w:left w:val="single" w:sz="6" w:space="0" w:color="000000"/>
              <w:bottom w:val="single" w:sz="7" w:space="0" w:color="000000"/>
              <w:right w:val="single" w:sz="6" w:space="0" w:color="000000"/>
            </w:tcBorders>
            <w:shd w:val="clear" w:color="auto" w:fill="auto"/>
          </w:tcPr>
          <w:p w14:paraId="1C807373" w14:textId="77777777" w:rsidR="00DF61BC" w:rsidRPr="00C94C33" w:rsidRDefault="00DF61BC" w:rsidP="00C844C0">
            <w:pPr>
              <w:pStyle w:val="Tabletext"/>
              <w:jc w:val="center"/>
            </w:pPr>
            <w:r w:rsidRPr="00C94C33">
              <w:t>0</w:t>
            </w:r>
          </w:p>
        </w:tc>
        <w:tc>
          <w:tcPr>
            <w:tcW w:w="1469" w:type="dxa"/>
            <w:tcBorders>
              <w:top w:val="single" w:sz="7" w:space="0" w:color="000000"/>
              <w:left w:val="single" w:sz="6" w:space="0" w:color="000000"/>
              <w:bottom w:val="single" w:sz="7" w:space="0" w:color="000000"/>
              <w:right w:val="nil"/>
            </w:tcBorders>
            <w:shd w:val="clear" w:color="auto" w:fill="auto"/>
          </w:tcPr>
          <w:p w14:paraId="06D9D26E" w14:textId="77777777" w:rsidR="00DF61BC" w:rsidRPr="00C94C33" w:rsidRDefault="00DF61BC" w:rsidP="00C844C0">
            <w:pPr>
              <w:pStyle w:val="Tabletext"/>
              <w:jc w:val="center"/>
            </w:pPr>
            <w:r w:rsidRPr="00C94C33">
              <w:t>1</w:t>
            </w:r>
          </w:p>
        </w:tc>
        <w:tc>
          <w:tcPr>
            <w:tcW w:w="1388" w:type="dxa"/>
            <w:tcBorders>
              <w:top w:val="single" w:sz="7" w:space="0" w:color="000000"/>
              <w:left w:val="nil"/>
              <w:bottom w:val="single" w:sz="7" w:space="0" w:color="000000"/>
              <w:right w:val="single" w:sz="6" w:space="0" w:color="000000"/>
            </w:tcBorders>
            <w:shd w:val="clear" w:color="auto" w:fill="auto"/>
          </w:tcPr>
          <w:p w14:paraId="6D6A7CA8" w14:textId="77777777" w:rsidR="00DF61BC" w:rsidRPr="00C94C33" w:rsidRDefault="00DF61BC" w:rsidP="00C844C0">
            <w:pPr>
              <w:pStyle w:val="Tabletext"/>
              <w:jc w:val="center"/>
            </w:pPr>
            <w:r w:rsidRPr="00C94C33">
              <w:t>(0.4)</w:t>
            </w:r>
          </w:p>
        </w:tc>
      </w:tr>
      <w:tr w:rsidR="00DF61BC" w:rsidRPr="00C94C33" w14:paraId="68310231" w14:textId="77777777" w:rsidTr="00C844C0">
        <w:trPr>
          <w:trHeight w:hRule="exact" w:val="305"/>
        </w:trPr>
        <w:tc>
          <w:tcPr>
            <w:tcW w:w="3555" w:type="dxa"/>
            <w:tcBorders>
              <w:top w:val="single" w:sz="7" w:space="0" w:color="000000"/>
              <w:left w:val="single" w:sz="6" w:space="0" w:color="000000"/>
              <w:bottom w:val="single" w:sz="7" w:space="0" w:color="000000"/>
              <w:right w:val="single" w:sz="6" w:space="0" w:color="000000"/>
            </w:tcBorders>
            <w:shd w:val="clear" w:color="auto" w:fill="auto"/>
          </w:tcPr>
          <w:p w14:paraId="2A795F30" w14:textId="77777777" w:rsidR="00DF61BC" w:rsidRPr="00C94C33" w:rsidRDefault="00DF61BC" w:rsidP="00C844C0">
            <w:pPr>
              <w:pStyle w:val="Tabletext"/>
            </w:pPr>
            <w:r w:rsidRPr="00C94C33">
              <w:t>Pulmonary embolism</w:t>
            </w:r>
          </w:p>
        </w:tc>
        <w:tc>
          <w:tcPr>
            <w:tcW w:w="1470" w:type="dxa"/>
            <w:tcBorders>
              <w:top w:val="single" w:sz="7" w:space="0" w:color="000000"/>
              <w:left w:val="single" w:sz="6" w:space="0" w:color="000000"/>
              <w:bottom w:val="single" w:sz="7" w:space="0" w:color="000000"/>
              <w:right w:val="nil"/>
            </w:tcBorders>
            <w:shd w:val="clear" w:color="auto" w:fill="auto"/>
          </w:tcPr>
          <w:p w14:paraId="0D457361" w14:textId="77777777" w:rsidR="00DF61BC" w:rsidRPr="00C94C33" w:rsidRDefault="00DF61BC" w:rsidP="00C844C0">
            <w:pPr>
              <w:pStyle w:val="Tabletext"/>
              <w:jc w:val="center"/>
            </w:pPr>
            <w:r w:rsidRPr="00C94C33">
              <w:t>1</w:t>
            </w:r>
          </w:p>
        </w:tc>
        <w:tc>
          <w:tcPr>
            <w:tcW w:w="1387" w:type="dxa"/>
            <w:tcBorders>
              <w:top w:val="single" w:sz="7" w:space="0" w:color="000000"/>
              <w:left w:val="nil"/>
              <w:bottom w:val="single" w:sz="7" w:space="0" w:color="000000"/>
              <w:right w:val="single" w:sz="6" w:space="0" w:color="000000"/>
            </w:tcBorders>
            <w:shd w:val="clear" w:color="auto" w:fill="auto"/>
          </w:tcPr>
          <w:p w14:paraId="3C6819E5" w14:textId="77777777" w:rsidR="00DF61BC" w:rsidRPr="00C94C33" w:rsidRDefault="00DF61BC" w:rsidP="00C844C0">
            <w:pPr>
              <w:pStyle w:val="Tabletext"/>
              <w:jc w:val="center"/>
            </w:pPr>
            <w:r w:rsidRPr="00C94C33">
              <w:t>(0.2)</w:t>
            </w:r>
          </w:p>
        </w:tc>
        <w:tc>
          <w:tcPr>
            <w:tcW w:w="2857" w:type="dxa"/>
            <w:gridSpan w:val="2"/>
            <w:tcBorders>
              <w:top w:val="single" w:sz="7" w:space="0" w:color="000000"/>
              <w:left w:val="single" w:sz="6" w:space="0" w:color="000000"/>
              <w:bottom w:val="single" w:sz="7" w:space="0" w:color="000000"/>
              <w:right w:val="single" w:sz="6" w:space="0" w:color="000000"/>
            </w:tcBorders>
            <w:shd w:val="clear" w:color="auto" w:fill="auto"/>
          </w:tcPr>
          <w:p w14:paraId="00B62EE0" w14:textId="77777777" w:rsidR="00DF61BC" w:rsidRPr="00C94C33" w:rsidRDefault="00DF61BC" w:rsidP="00C844C0">
            <w:pPr>
              <w:pStyle w:val="Tabletext"/>
              <w:jc w:val="center"/>
            </w:pPr>
            <w:r w:rsidRPr="00C94C33">
              <w:t>0</w:t>
            </w:r>
          </w:p>
        </w:tc>
      </w:tr>
      <w:tr w:rsidR="00DF61BC" w:rsidRPr="00C94C33" w14:paraId="54DCB48D" w14:textId="77777777" w:rsidTr="00C844C0">
        <w:trPr>
          <w:trHeight w:hRule="exact" w:val="305"/>
        </w:trPr>
        <w:tc>
          <w:tcPr>
            <w:tcW w:w="3555" w:type="dxa"/>
            <w:tcBorders>
              <w:top w:val="single" w:sz="7" w:space="0" w:color="000000"/>
              <w:left w:val="single" w:sz="6" w:space="0" w:color="000000"/>
              <w:bottom w:val="single" w:sz="7" w:space="0" w:color="000000"/>
              <w:right w:val="single" w:sz="6" w:space="0" w:color="000000"/>
            </w:tcBorders>
            <w:shd w:val="clear" w:color="auto" w:fill="auto"/>
          </w:tcPr>
          <w:p w14:paraId="3B2E0232" w14:textId="77777777" w:rsidR="00DF61BC" w:rsidRPr="00C94C33" w:rsidRDefault="00DF61BC" w:rsidP="00C844C0">
            <w:pPr>
              <w:pStyle w:val="Tabletext"/>
            </w:pPr>
            <w:r w:rsidRPr="00C94C33">
              <w:t>Pulmonary</w:t>
            </w:r>
            <w:r w:rsidRPr="00C94C33">
              <w:rPr>
                <w:spacing w:val="-2"/>
              </w:rPr>
              <w:t xml:space="preserve"> </w:t>
            </w:r>
            <w:r w:rsidRPr="00C94C33">
              <w:t>oedema</w:t>
            </w:r>
          </w:p>
        </w:tc>
        <w:tc>
          <w:tcPr>
            <w:tcW w:w="1470" w:type="dxa"/>
            <w:tcBorders>
              <w:top w:val="single" w:sz="7" w:space="0" w:color="000000"/>
              <w:left w:val="single" w:sz="6" w:space="0" w:color="000000"/>
              <w:bottom w:val="single" w:sz="7" w:space="0" w:color="000000"/>
              <w:right w:val="nil"/>
            </w:tcBorders>
            <w:shd w:val="clear" w:color="auto" w:fill="auto"/>
          </w:tcPr>
          <w:p w14:paraId="6F1708C9" w14:textId="77777777" w:rsidR="00DF61BC" w:rsidRPr="00C94C33" w:rsidRDefault="00DF61BC" w:rsidP="00C844C0">
            <w:pPr>
              <w:pStyle w:val="Tabletext"/>
              <w:jc w:val="center"/>
            </w:pPr>
            <w:r w:rsidRPr="00C94C33">
              <w:t>1</w:t>
            </w:r>
          </w:p>
        </w:tc>
        <w:tc>
          <w:tcPr>
            <w:tcW w:w="1387" w:type="dxa"/>
            <w:tcBorders>
              <w:top w:val="single" w:sz="7" w:space="0" w:color="000000"/>
              <w:left w:val="nil"/>
              <w:bottom w:val="single" w:sz="7" w:space="0" w:color="000000"/>
              <w:right w:val="single" w:sz="6" w:space="0" w:color="000000"/>
            </w:tcBorders>
            <w:shd w:val="clear" w:color="auto" w:fill="auto"/>
          </w:tcPr>
          <w:p w14:paraId="61B8F1F1" w14:textId="77777777" w:rsidR="00DF61BC" w:rsidRPr="00C94C33" w:rsidRDefault="00DF61BC" w:rsidP="00C844C0">
            <w:pPr>
              <w:pStyle w:val="Tabletext"/>
              <w:jc w:val="center"/>
            </w:pPr>
            <w:r w:rsidRPr="00C94C33">
              <w:t>(0.2)</w:t>
            </w:r>
          </w:p>
        </w:tc>
        <w:tc>
          <w:tcPr>
            <w:tcW w:w="2857" w:type="dxa"/>
            <w:gridSpan w:val="2"/>
            <w:tcBorders>
              <w:top w:val="single" w:sz="7" w:space="0" w:color="000000"/>
              <w:left w:val="single" w:sz="6" w:space="0" w:color="000000"/>
              <w:bottom w:val="single" w:sz="7" w:space="0" w:color="000000"/>
              <w:right w:val="single" w:sz="6" w:space="0" w:color="000000"/>
            </w:tcBorders>
            <w:shd w:val="clear" w:color="auto" w:fill="auto"/>
          </w:tcPr>
          <w:p w14:paraId="0F268C30" w14:textId="77777777" w:rsidR="00DF61BC" w:rsidRPr="00C94C33" w:rsidRDefault="00DF61BC" w:rsidP="00C844C0">
            <w:pPr>
              <w:pStyle w:val="Tabletext"/>
              <w:jc w:val="center"/>
            </w:pPr>
            <w:r w:rsidRPr="00C94C33">
              <w:t>0</w:t>
            </w:r>
          </w:p>
        </w:tc>
      </w:tr>
      <w:tr w:rsidR="00DF61BC" w:rsidRPr="00C94C33" w14:paraId="6A894613" w14:textId="77777777" w:rsidTr="00C844C0">
        <w:trPr>
          <w:trHeight w:hRule="exact" w:val="305"/>
        </w:trPr>
        <w:tc>
          <w:tcPr>
            <w:tcW w:w="3555" w:type="dxa"/>
            <w:tcBorders>
              <w:top w:val="single" w:sz="7" w:space="0" w:color="000000"/>
              <w:left w:val="single" w:sz="6" w:space="0" w:color="000000"/>
              <w:bottom w:val="single" w:sz="6" w:space="0" w:color="000000"/>
              <w:right w:val="single" w:sz="6" w:space="0" w:color="000000"/>
            </w:tcBorders>
            <w:shd w:val="clear" w:color="auto" w:fill="auto"/>
          </w:tcPr>
          <w:p w14:paraId="32075805" w14:textId="77777777" w:rsidR="00DF61BC" w:rsidRPr="00C94C33" w:rsidRDefault="00DF61BC" w:rsidP="00C844C0">
            <w:pPr>
              <w:pStyle w:val="Tabletext"/>
            </w:pPr>
            <w:r w:rsidRPr="00C94C33">
              <w:t>Respiratory arrest</w:t>
            </w:r>
          </w:p>
        </w:tc>
        <w:tc>
          <w:tcPr>
            <w:tcW w:w="2857" w:type="dxa"/>
            <w:gridSpan w:val="2"/>
            <w:tcBorders>
              <w:top w:val="single" w:sz="7" w:space="0" w:color="000000"/>
              <w:left w:val="single" w:sz="6" w:space="0" w:color="000000"/>
              <w:bottom w:val="single" w:sz="6" w:space="0" w:color="000000"/>
              <w:right w:val="single" w:sz="6" w:space="0" w:color="000000"/>
            </w:tcBorders>
            <w:shd w:val="clear" w:color="auto" w:fill="auto"/>
          </w:tcPr>
          <w:p w14:paraId="5EC886A4" w14:textId="77777777" w:rsidR="00DF61BC" w:rsidRPr="00C94C33" w:rsidRDefault="00DF61BC" w:rsidP="00C844C0">
            <w:pPr>
              <w:pStyle w:val="Tabletext"/>
              <w:jc w:val="center"/>
            </w:pPr>
            <w:r w:rsidRPr="00C94C33">
              <w:t>0</w:t>
            </w:r>
          </w:p>
        </w:tc>
        <w:tc>
          <w:tcPr>
            <w:tcW w:w="1469" w:type="dxa"/>
            <w:tcBorders>
              <w:top w:val="single" w:sz="7" w:space="0" w:color="000000"/>
              <w:left w:val="single" w:sz="6" w:space="0" w:color="000000"/>
              <w:bottom w:val="single" w:sz="6" w:space="0" w:color="000000"/>
              <w:right w:val="nil"/>
            </w:tcBorders>
            <w:shd w:val="clear" w:color="auto" w:fill="auto"/>
          </w:tcPr>
          <w:p w14:paraId="4DE21EB7" w14:textId="77777777" w:rsidR="00DF61BC" w:rsidRPr="00C94C33" w:rsidRDefault="00DF61BC" w:rsidP="00C844C0">
            <w:pPr>
              <w:pStyle w:val="Tabletext"/>
              <w:jc w:val="center"/>
            </w:pPr>
            <w:r w:rsidRPr="00C94C33">
              <w:t>1</w:t>
            </w:r>
          </w:p>
        </w:tc>
        <w:tc>
          <w:tcPr>
            <w:tcW w:w="1388" w:type="dxa"/>
            <w:tcBorders>
              <w:top w:val="single" w:sz="7" w:space="0" w:color="000000"/>
              <w:left w:val="nil"/>
              <w:bottom w:val="single" w:sz="6" w:space="0" w:color="000000"/>
              <w:right w:val="single" w:sz="6" w:space="0" w:color="000000"/>
            </w:tcBorders>
            <w:shd w:val="clear" w:color="auto" w:fill="auto"/>
          </w:tcPr>
          <w:p w14:paraId="76C123D9" w14:textId="77777777" w:rsidR="00DF61BC" w:rsidRPr="00C94C33" w:rsidRDefault="00DF61BC" w:rsidP="00C844C0">
            <w:pPr>
              <w:pStyle w:val="Tabletext"/>
              <w:jc w:val="center"/>
            </w:pPr>
            <w:r w:rsidRPr="00C94C33">
              <w:t>(0.4)</w:t>
            </w:r>
          </w:p>
        </w:tc>
      </w:tr>
    </w:tbl>
    <w:p w14:paraId="49C7E20A" w14:textId="63856D13" w:rsidR="00DF61BC" w:rsidRPr="00C94C33" w:rsidRDefault="009A7319" w:rsidP="00270871">
      <w:pPr>
        <w:pStyle w:val="TableDescription"/>
      </w:pPr>
      <w:r>
        <w:t>1</w:t>
      </w:r>
      <w:r w:rsidRPr="00C94C33">
        <w:t xml:space="preserve"> </w:t>
      </w:r>
      <w:r w:rsidR="00270871" w:rsidRPr="00C94C33">
        <w:t>patient</w:t>
      </w:r>
      <w:r w:rsidR="00DF61BC" w:rsidRPr="00C94C33">
        <w:t xml:space="preserve"> had fatal AEs of cardio-respiratory arrest, acidosis, haemorrhage </w:t>
      </w:r>
      <w:r w:rsidR="001735DA" w:rsidRPr="00C94C33">
        <w:t>intracranial and renal failure</w:t>
      </w:r>
      <w:r>
        <w:t>; 1</w:t>
      </w:r>
      <w:r w:rsidR="00270871" w:rsidRPr="00C94C33">
        <w:t xml:space="preserve"> patient</w:t>
      </w:r>
      <w:r w:rsidR="00DF61BC" w:rsidRPr="00C94C33">
        <w:t xml:space="preserve"> had fatal AEs of abdominal pain, hepatic fail</w:t>
      </w:r>
      <w:r w:rsidR="001735DA" w:rsidRPr="00C94C33">
        <w:t>ure and hepatic encephalopathy.</w:t>
      </w:r>
      <w:r>
        <w:t xml:space="preserve"> 1</w:t>
      </w:r>
      <w:r w:rsidR="00270871" w:rsidRPr="00C94C33">
        <w:t xml:space="preserve">patient </w:t>
      </w:r>
      <w:r w:rsidR="00DF61BC" w:rsidRPr="00C94C33">
        <w:t>had fatal AEs of haematemesis and jaundice</w:t>
      </w:r>
      <w:r>
        <w:t xml:space="preserve">; 1 </w:t>
      </w:r>
      <w:r w:rsidR="00270871" w:rsidRPr="00C94C33">
        <w:t xml:space="preserve">patient </w:t>
      </w:r>
      <w:r w:rsidR="00DF61BC" w:rsidRPr="00C94C33">
        <w:t>had fatal AEs of general physical health deterioration and cognitive disorder.</w:t>
      </w:r>
      <w:r>
        <w:t xml:space="preserve">; 1 </w:t>
      </w:r>
      <w:r w:rsidR="00270871" w:rsidRPr="00C94C33">
        <w:t xml:space="preserve">patient </w:t>
      </w:r>
      <w:r w:rsidR="00DF61BC" w:rsidRPr="00C94C33">
        <w:t>had fatal AEs of liver abscess and sepsis.</w:t>
      </w:r>
    </w:p>
    <w:p w14:paraId="1437769F" w14:textId="215C5442" w:rsidR="00DF61BC" w:rsidRPr="00C94C33" w:rsidRDefault="00DF61BC" w:rsidP="00DF61BC">
      <w:pPr>
        <w:autoSpaceDE w:val="0"/>
        <w:autoSpaceDN w:val="0"/>
        <w:adjustRightInd w:val="0"/>
        <w:rPr>
          <w:rFonts w:asciiTheme="minorHAnsi" w:hAnsiTheme="minorHAnsi"/>
          <w:color w:val="000000"/>
        </w:rPr>
      </w:pPr>
      <w:r w:rsidRPr="00C94C33">
        <w:rPr>
          <w:rFonts w:asciiTheme="minorHAnsi" w:hAnsiTheme="minorHAnsi"/>
          <w:color w:val="000000"/>
        </w:rPr>
        <w:t>As of the cut-off date for the non-survival data (31 January 2014), deaths had been reported in 68.9% (</w:t>
      </w:r>
      <w:r w:rsidR="009C0389" w:rsidRPr="00C94C33">
        <w:rPr>
          <w:rFonts w:asciiTheme="minorHAnsi" w:hAnsiTheme="minorHAnsi"/>
          <w:color w:val="000000"/>
        </w:rPr>
        <w:t xml:space="preserve">n = </w:t>
      </w:r>
      <w:r w:rsidRPr="00C94C33">
        <w:rPr>
          <w:rFonts w:asciiTheme="minorHAnsi" w:hAnsiTheme="minorHAnsi"/>
          <w:color w:val="000000"/>
        </w:rPr>
        <w:t>368) of patients in the TAS-102 group and 79.7% (</w:t>
      </w:r>
      <w:r w:rsidR="009C0389" w:rsidRPr="00C94C33">
        <w:rPr>
          <w:rFonts w:asciiTheme="minorHAnsi" w:hAnsiTheme="minorHAnsi"/>
          <w:color w:val="000000"/>
        </w:rPr>
        <w:t xml:space="preserve">n = </w:t>
      </w:r>
      <w:r w:rsidRPr="00C94C33">
        <w:rPr>
          <w:rFonts w:asciiTheme="minorHAnsi" w:hAnsiTheme="minorHAnsi"/>
          <w:color w:val="000000"/>
        </w:rPr>
        <w:t>212) of patients in the placebo group. The reported deaths included 2 patients who were randomised but not treated. In the treatment period (</w:t>
      </w:r>
      <w:r w:rsidR="00B2072D" w:rsidRPr="00C94C33">
        <w:rPr>
          <w:rFonts w:asciiTheme="minorHAnsi" w:hAnsiTheme="minorHAnsi"/>
          <w:color w:val="000000"/>
        </w:rPr>
        <w:t>that is,</w:t>
      </w:r>
      <w:r w:rsidRPr="00C94C33">
        <w:rPr>
          <w:rFonts w:asciiTheme="minorHAnsi" w:hAnsiTheme="minorHAnsi"/>
          <w:color w:val="000000"/>
        </w:rPr>
        <w:t xml:space="preserve"> within 30 days after last dose), there 35 (6.6%) deaths in the TAS-102 group and 33 (12.4%) deaths in the placebo group and these deaths were primarily due to disease progression. As discussed above, the sponsor considered 1 death in the TAS-102 group as being due to drug-related septic shock. All deaths reported in the ITT population are summarised below.</w:t>
      </w:r>
    </w:p>
    <w:p w14:paraId="4172EB49" w14:textId="658A3B76" w:rsidR="00DF61BC" w:rsidRPr="00C94C33" w:rsidRDefault="00DF61BC" w:rsidP="0058475B">
      <w:pPr>
        <w:pStyle w:val="Tabletitle"/>
      </w:pPr>
      <w:bookmarkStart w:id="366" w:name="_Toc470948699"/>
      <w:r w:rsidRPr="00C94C33">
        <w:t>Table</w:t>
      </w:r>
      <w:r w:rsidR="00270871" w:rsidRPr="00C94C33">
        <w:t xml:space="preserve"> 50</w:t>
      </w:r>
      <w:r w:rsidRPr="00C94C33">
        <w:t>: RECOURSE</w:t>
      </w:r>
      <w:r w:rsidR="009A7319">
        <w:t xml:space="preserve">; </w:t>
      </w:r>
      <w:r w:rsidRPr="00C94C33">
        <w:t>All reported deaths, ITT population</w:t>
      </w:r>
      <w:bookmarkEnd w:id="366"/>
    </w:p>
    <w:tbl>
      <w:tblPr>
        <w:tblW w:w="9576" w:type="dxa"/>
        <w:tblInd w:w="112" w:type="dxa"/>
        <w:tblLayout w:type="fixed"/>
        <w:tblCellMar>
          <w:left w:w="0" w:type="dxa"/>
          <w:right w:w="0" w:type="dxa"/>
        </w:tblCellMar>
        <w:tblLook w:val="0000" w:firstRow="0" w:lastRow="0" w:firstColumn="0" w:lastColumn="0" w:noHBand="0" w:noVBand="0"/>
      </w:tblPr>
      <w:tblGrid>
        <w:gridCol w:w="4503"/>
        <w:gridCol w:w="15"/>
        <w:gridCol w:w="1048"/>
        <w:gridCol w:w="216"/>
        <w:gridCol w:w="1261"/>
        <w:gridCol w:w="1269"/>
        <w:gridCol w:w="1264"/>
      </w:tblGrid>
      <w:tr w:rsidR="00DF61BC" w:rsidRPr="00C94C33" w14:paraId="4E57056B" w14:textId="77777777" w:rsidTr="00C844C0">
        <w:trPr>
          <w:trHeight w:hRule="exact" w:val="531"/>
          <w:tblHeader/>
        </w:trPr>
        <w:tc>
          <w:tcPr>
            <w:tcW w:w="4518" w:type="dxa"/>
            <w:gridSpan w:val="2"/>
            <w:tcBorders>
              <w:top w:val="single" w:sz="8" w:space="0" w:color="000000"/>
              <w:left w:val="single" w:sz="4" w:space="0" w:color="auto"/>
              <w:bottom w:val="single" w:sz="7" w:space="0" w:color="000000"/>
              <w:right w:val="single" w:sz="6" w:space="0" w:color="000000"/>
            </w:tcBorders>
            <w:shd w:val="clear" w:color="auto" w:fill="auto"/>
          </w:tcPr>
          <w:p w14:paraId="70B92D7A" w14:textId="379F5939" w:rsidR="00DF61BC" w:rsidRPr="00C94C33" w:rsidRDefault="00DF61BC" w:rsidP="00C844C0">
            <w:pPr>
              <w:pStyle w:val="TableHeading"/>
            </w:pPr>
            <w:bookmarkStart w:id="367" w:name="Table_41:_All_Reported_Deaths_(ITT_Popul"/>
            <w:bookmarkStart w:id="368" w:name="12.3.2._Other_Serious_Adverse_Events"/>
            <w:bookmarkEnd w:id="367"/>
            <w:bookmarkEnd w:id="368"/>
            <w:r w:rsidRPr="00C94C33">
              <w:t xml:space="preserve">Time point category of deaths </w:t>
            </w:r>
          </w:p>
        </w:tc>
        <w:tc>
          <w:tcPr>
            <w:tcW w:w="2525" w:type="dxa"/>
            <w:gridSpan w:val="3"/>
            <w:tcBorders>
              <w:top w:val="single" w:sz="8" w:space="0" w:color="000000"/>
              <w:left w:val="single" w:sz="6" w:space="0" w:color="000000"/>
              <w:bottom w:val="single" w:sz="7" w:space="0" w:color="000000"/>
              <w:right w:val="single" w:sz="10" w:space="0" w:color="000000"/>
            </w:tcBorders>
            <w:shd w:val="clear" w:color="auto" w:fill="auto"/>
          </w:tcPr>
          <w:p w14:paraId="0B1298FC" w14:textId="33BF8AF9" w:rsidR="00DF61BC" w:rsidRPr="00C94C33" w:rsidRDefault="00DF61BC" w:rsidP="00C844C0">
            <w:pPr>
              <w:pStyle w:val="TableHeading"/>
            </w:pPr>
            <w:r w:rsidRPr="00C94C33">
              <w:t>TAS-102 (</w:t>
            </w:r>
            <w:r w:rsidR="009C0389" w:rsidRPr="00C94C33">
              <w:t xml:space="preserve">n = </w:t>
            </w:r>
            <w:r w:rsidRPr="00C94C33">
              <w:t>534); n (%)</w:t>
            </w:r>
          </w:p>
        </w:tc>
        <w:tc>
          <w:tcPr>
            <w:tcW w:w="2533" w:type="dxa"/>
            <w:gridSpan w:val="2"/>
            <w:tcBorders>
              <w:top w:val="single" w:sz="8" w:space="0" w:color="000000"/>
              <w:left w:val="single" w:sz="10" w:space="0" w:color="000000"/>
              <w:bottom w:val="single" w:sz="7" w:space="0" w:color="000000"/>
              <w:right w:val="single" w:sz="4" w:space="0" w:color="auto"/>
            </w:tcBorders>
            <w:shd w:val="clear" w:color="auto" w:fill="auto"/>
          </w:tcPr>
          <w:p w14:paraId="6383B22B" w14:textId="564338AA" w:rsidR="00DF61BC" w:rsidRPr="00C94C33" w:rsidRDefault="00DF61BC" w:rsidP="00C844C0">
            <w:pPr>
              <w:pStyle w:val="TableHeading"/>
            </w:pPr>
            <w:r w:rsidRPr="00C94C33">
              <w:t>Placebo (</w:t>
            </w:r>
            <w:r w:rsidR="009C0389" w:rsidRPr="00C94C33">
              <w:t xml:space="preserve">n = </w:t>
            </w:r>
            <w:r w:rsidRPr="00C94C33">
              <w:t>266); n (%)</w:t>
            </w:r>
          </w:p>
        </w:tc>
      </w:tr>
      <w:tr w:rsidR="00DF61BC" w:rsidRPr="00C94C33" w14:paraId="76EB6212" w14:textId="77777777" w:rsidTr="00C844C0">
        <w:trPr>
          <w:trHeight w:hRule="exact" w:val="305"/>
        </w:trPr>
        <w:tc>
          <w:tcPr>
            <w:tcW w:w="4518" w:type="dxa"/>
            <w:gridSpan w:val="2"/>
            <w:tcBorders>
              <w:top w:val="single" w:sz="7" w:space="0" w:color="000000"/>
              <w:left w:val="single" w:sz="4" w:space="0" w:color="auto"/>
              <w:bottom w:val="single" w:sz="7" w:space="0" w:color="000000"/>
              <w:right w:val="single" w:sz="6" w:space="0" w:color="000000"/>
            </w:tcBorders>
            <w:shd w:val="clear" w:color="auto" w:fill="auto"/>
          </w:tcPr>
          <w:p w14:paraId="7B77C5FD" w14:textId="77777777" w:rsidR="00DF61BC" w:rsidRPr="00C844C0" w:rsidRDefault="00DF61BC" w:rsidP="00C844C0">
            <w:pPr>
              <w:pStyle w:val="Tabletext"/>
              <w:rPr>
                <w:b/>
              </w:rPr>
            </w:pPr>
            <w:r w:rsidRPr="00C844C0">
              <w:rPr>
                <w:b/>
              </w:rPr>
              <w:t>All Deaths</w:t>
            </w:r>
          </w:p>
        </w:tc>
        <w:tc>
          <w:tcPr>
            <w:tcW w:w="1264" w:type="dxa"/>
            <w:gridSpan w:val="2"/>
            <w:tcBorders>
              <w:top w:val="single" w:sz="7" w:space="0" w:color="000000"/>
              <w:left w:val="single" w:sz="6" w:space="0" w:color="000000"/>
              <w:bottom w:val="single" w:sz="7" w:space="0" w:color="000000"/>
              <w:right w:val="nil"/>
            </w:tcBorders>
            <w:shd w:val="clear" w:color="auto" w:fill="auto"/>
          </w:tcPr>
          <w:p w14:paraId="3CF37F3C" w14:textId="77777777" w:rsidR="00DF61BC" w:rsidRPr="00C94C33" w:rsidRDefault="00DF61BC" w:rsidP="00C844C0">
            <w:pPr>
              <w:pStyle w:val="Tabletext"/>
              <w:jc w:val="center"/>
            </w:pPr>
            <w:r w:rsidRPr="00C94C33">
              <w:t>368</w:t>
            </w:r>
          </w:p>
        </w:tc>
        <w:tc>
          <w:tcPr>
            <w:tcW w:w="1261" w:type="dxa"/>
            <w:tcBorders>
              <w:top w:val="single" w:sz="7" w:space="0" w:color="000000"/>
              <w:left w:val="nil"/>
              <w:bottom w:val="single" w:sz="7" w:space="0" w:color="000000"/>
              <w:right w:val="single" w:sz="10" w:space="0" w:color="000000"/>
            </w:tcBorders>
            <w:shd w:val="clear" w:color="auto" w:fill="auto"/>
          </w:tcPr>
          <w:p w14:paraId="6464F23E" w14:textId="77777777" w:rsidR="00DF61BC" w:rsidRPr="00C94C33" w:rsidRDefault="00DF61BC" w:rsidP="00C844C0">
            <w:pPr>
              <w:pStyle w:val="Tabletext"/>
              <w:jc w:val="center"/>
            </w:pPr>
            <w:r w:rsidRPr="00C94C33">
              <w:t>(68.9)</w:t>
            </w:r>
          </w:p>
        </w:tc>
        <w:tc>
          <w:tcPr>
            <w:tcW w:w="1269" w:type="dxa"/>
            <w:tcBorders>
              <w:top w:val="single" w:sz="7" w:space="0" w:color="000000"/>
              <w:left w:val="single" w:sz="10" w:space="0" w:color="000000"/>
              <w:bottom w:val="single" w:sz="7" w:space="0" w:color="000000"/>
              <w:right w:val="nil"/>
            </w:tcBorders>
            <w:shd w:val="clear" w:color="auto" w:fill="auto"/>
          </w:tcPr>
          <w:p w14:paraId="0FAE1F60" w14:textId="77777777" w:rsidR="00DF61BC" w:rsidRPr="00C94C33" w:rsidRDefault="00DF61BC" w:rsidP="00C844C0">
            <w:pPr>
              <w:pStyle w:val="Tabletext"/>
              <w:jc w:val="center"/>
            </w:pPr>
            <w:r w:rsidRPr="00C94C33">
              <w:t>212</w:t>
            </w:r>
          </w:p>
        </w:tc>
        <w:tc>
          <w:tcPr>
            <w:tcW w:w="1264" w:type="dxa"/>
            <w:tcBorders>
              <w:top w:val="single" w:sz="7" w:space="0" w:color="000000"/>
              <w:left w:val="nil"/>
              <w:bottom w:val="single" w:sz="7" w:space="0" w:color="000000"/>
              <w:right w:val="single" w:sz="4" w:space="0" w:color="auto"/>
            </w:tcBorders>
            <w:shd w:val="clear" w:color="auto" w:fill="auto"/>
          </w:tcPr>
          <w:p w14:paraId="25F65A1A" w14:textId="77777777" w:rsidR="00DF61BC" w:rsidRPr="00C94C33" w:rsidRDefault="00DF61BC" w:rsidP="00C844C0">
            <w:pPr>
              <w:pStyle w:val="Tabletext"/>
              <w:jc w:val="center"/>
            </w:pPr>
            <w:r w:rsidRPr="00C94C33">
              <w:t>(79.7)</w:t>
            </w:r>
          </w:p>
        </w:tc>
      </w:tr>
      <w:tr w:rsidR="00DF61BC" w:rsidRPr="00C94C33" w14:paraId="437BCC48" w14:textId="77777777" w:rsidTr="00C844C0">
        <w:trPr>
          <w:trHeight w:hRule="exact" w:val="682"/>
        </w:trPr>
        <w:tc>
          <w:tcPr>
            <w:tcW w:w="4518" w:type="dxa"/>
            <w:gridSpan w:val="2"/>
            <w:tcBorders>
              <w:top w:val="single" w:sz="7" w:space="0" w:color="000000"/>
              <w:left w:val="single" w:sz="4" w:space="0" w:color="auto"/>
              <w:right w:val="single" w:sz="6" w:space="0" w:color="000000"/>
            </w:tcBorders>
            <w:shd w:val="clear" w:color="auto" w:fill="auto"/>
          </w:tcPr>
          <w:p w14:paraId="3F1E4972" w14:textId="4CA33131" w:rsidR="00DF61BC" w:rsidRPr="00C844C0" w:rsidRDefault="00DF61BC" w:rsidP="00C844C0">
            <w:pPr>
              <w:pStyle w:val="Tabletext"/>
              <w:rPr>
                <w:b/>
              </w:rPr>
            </w:pPr>
            <w:r w:rsidRPr="00C844C0">
              <w:rPr>
                <w:b/>
              </w:rPr>
              <w:t xml:space="preserve">Death after </w:t>
            </w:r>
            <w:r w:rsidR="00003E59" w:rsidRPr="00C844C0">
              <w:rPr>
                <w:b/>
              </w:rPr>
              <w:t>first</w:t>
            </w:r>
            <w:r w:rsidRPr="00C844C0">
              <w:rPr>
                <w:b/>
              </w:rPr>
              <w:t xml:space="preserve"> dose and ≤</w:t>
            </w:r>
            <w:r w:rsidR="00003E59" w:rsidRPr="00C844C0">
              <w:rPr>
                <w:b/>
              </w:rPr>
              <w:t xml:space="preserve"> </w:t>
            </w:r>
            <w:r w:rsidRPr="00C844C0">
              <w:rPr>
                <w:b/>
              </w:rPr>
              <w:t>30</w:t>
            </w:r>
            <w:r w:rsidRPr="00C844C0">
              <w:rPr>
                <w:b/>
                <w:spacing w:val="-2"/>
              </w:rPr>
              <w:t xml:space="preserve"> </w:t>
            </w:r>
            <w:r w:rsidRPr="00C844C0">
              <w:rPr>
                <w:b/>
              </w:rPr>
              <w:t>days after last</w:t>
            </w:r>
            <w:r w:rsidRPr="00C844C0">
              <w:rPr>
                <w:b/>
                <w:spacing w:val="-2"/>
              </w:rPr>
              <w:t xml:space="preserve"> </w:t>
            </w:r>
            <w:r w:rsidRPr="00C844C0">
              <w:rPr>
                <w:b/>
              </w:rPr>
              <w:t>dose</w:t>
            </w:r>
          </w:p>
        </w:tc>
        <w:tc>
          <w:tcPr>
            <w:tcW w:w="2525" w:type="dxa"/>
            <w:gridSpan w:val="3"/>
            <w:tcBorders>
              <w:top w:val="single" w:sz="7" w:space="0" w:color="000000"/>
              <w:left w:val="single" w:sz="6" w:space="0" w:color="000000"/>
              <w:right w:val="single" w:sz="10" w:space="0" w:color="000000"/>
            </w:tcBorders>
            <w:shd w:val="clear" w:color="auto" w:fill="auto"/>
          </w:tcPr>
          <w:p w14:paraId="07F46C77" w14:textId="1923B7F5" w:rsidR="00DF61BC" w:rsidRPr="00C94C33" w:rsidRDefault="00DF61BC" w:rsidP="00C844C0">
            <w:pPr>
              <w:pStyle w:val="Tabletext"/>
              <w:jc w:val="center"/>
            </w:pPr>
            <w:r w:rsidRPr="00C94C33">
              <w:t>35 (6.6%)</w:t>
            </w:r>
          </w:p>
        </w:tc>
        <w:tc>
          <w:tcPr>
            <w:tcW w:w="2533" w:type="dxa"/>
            <w:gridSpan w:val="2"/>
            <w:tcBorders>
              <w:top w:val="single" w:sz="7" w:space="0" w:color="000000"/>
              <w:left w:val="single" w:sz="10" w:space="0" w:color="000000"/>
              <w:right w:val="single" w:sz="4" w:space="0" w:color="auto"/>
            </w:tcBorders>
            <w:shd w:val="clear" w:color="auto" w:fill="auto"/>
          </w:tcPr>
          <w:p w14:paraId="46F1C0BC" w14:textId="1775ECAB" w:rsidR="00DF61BC" w:rsidRPr="00C94C33" w:rsidRDefault="00DF61BC" w:rsidP="00C844C0">
            <w:pPr>
              <w:pStyle w:val="Tabletext"/>
              <w:jc w:val="center"/>
            </w:pPr>
            <w:r w:rsidRPr="00C94C33">
              <w:t>33 (12.4%)</w:t>
            </w:r>
          </w:p>
        </w:tc>
      </w:tr>
      <w:tr w:rsidR="00DF61BC" w:rsidRPr="00C94C33" w14:paraId="1806AE89" w14:textId="77777777" w:rsidTr="00C844C0">
        <w:trPr>
          <w:trHeight w:hRule="exact" w:val="305"/>
        </w:trPr>
        <w:tc>
          <w:tcPr>
            <w:tcW w:w="4518" w:type="dxa"/>
            <w:gridSpan w:val="2"/>
            <w:tcBorders>
              <w:left w:val="single" w:sz="4" w:space="0" w:color="auto"/>
              <w:right w:val="single" w:sz="6" w:space="0" w:color="000000"/>
            </w:tcBorders>
            <w:shd w:val="clear" w:color="auto" w:fill="auto"/>
          </w:tcPr>
          <w:p w14:paraId="7F58B3C7" w14:textId="77777777" w:rsidR="00DF61BC" w:rsidRPr="00C94C33" w:rsidRDefault="00DF61BC" w:rsidP="00C844C0">
            <w:pPr>
              <w:pStyle w:val="Tabletext"/>
            </w:pPr>
            <w:r w:rsidRPr="00C94C33">
              <w:t>Radiologic Disease Progression</w:t>
            </w:r>
          </w:p>
        </w:tc>
        <w:tc>
          <w:tcPr>
            <w:tcW w:w="1264" w:type="dxa"/>
            <w:gridSpan w:val="2"/>
            <w:tcBorders>
              <w:left w:val="single" w:sz="6" w:space="0" w:color="000000"/>
              <w:right w:val="nil"/>
            </w:tcBorders>
            <w:shd w:val="clear" w:color="auto" w:fill="auto"/>
          </w:tcPr>
          <w:p w14:paraId="08F5E064" w14:textId="77777777" w:rsidR="00DF61BC" w:rsidRPr="00C94C33" w:rsidRDefault="00DF61BC" w:rsidP="00C844C0">
            <w:pPr>
              <w:pStyle w:val="Tabletext"/>
              <w:jc w:val="center"/>
            </w:pPr>
            <w:r w:rsidRPr="00C94C33">
              <w:t>10</w:t>
            </w:r>
          </w:p>
        </w:tc>
        <w:tc>
          <w:tcPr>
            <w:tcW w:w="1261" w:type="dxa"/>
            <w:tcBorders>
              <w:left w:val="nil"/>
              <w:right w:val="single" w:sz="10" w:space="0" w:color="000000"/>
            </w:tcBorders>
            <w:shd w:val="clear" w:color="auto" w:fill="auto"/>
          </w:tcPr>
          <w:p w14:paraId="5BAE22FC" w14:textId="77777777" w:rsidR="00DF61BC" w:rsidRPr="00C94C33" w:rsidRDefault="00DF61BC" w:rsidP="00C844C0">
            <w:pPr>
              <w:pStyle w:val="Tabletext"/>
              <w:jc w:val="center"/>
            </w:pPr>
            <w:r w:rsidRPr="00C94C33">
              <w:t>(1.9)</w:t>
            </w:r>
          </w:p>
        </w:tc>
        <w:tc>
          <w:tcPr>
            <w:tcW w:w="1269" w:type="dxa"/>
            <w:tcBorders>
              <w:left w:val="single" w:sz="10" w:space="0" w:color="000000"/>
              <w:right w:val="nil"/>
            </w:tcBorders>
            <w:shd w:val="clear" w:color="auto" w:fill="auto"/>
          </w:tcPr>
          <w:p w14:paraId="42810267" w14:textId="77777777" w:rsidR="00DF61BC" w:rsidRPr="00C94C33" w:rsidRDefault="00DF61BC" w:rsidP="00C844C0">
            <w:pPr>
              <w:pStyle w:val="Tabletext"/>
              <w:jc w:val="center"/>
            </w:pPr>
            <w:r w:rsidRPr="00C94C33">
              <w:t>10</w:t>
            </w:r>
          </w:p>
        </w:tc>
        <w:tc>
          <w:tcPr>
            <w:tcW w:w="1264" w:type="dxa"/>
            <w:tcBorders>
              <w:left w:val="nil"/>
              <w:right w:val="single" w:sz="4" w:space="0" w:color="auto"/>
            </w:tcBorders>
            <w:shd w:val="clear" w:color="auto" w:fill="auto"/>
          </w:tcPr>
          <w:p w14:paraId="6A45EFA0" w14:textId="77777777" w:rsidR="00DF61BC" w:rsidRPr="00C94C33" w:rsidRDefault="00DF61BC" w:rsidP="00C844C0">
            <w:pPr>
              <w:pStyle w:val="Tabletext"/>
              <w:jc w:val="center"/>
            </w:pPr>
            <w:r w:rsidRPr="00C94C33">
              <w:t>(3.8)</w:t>
            </w:r>
          </w:p>
        </w:tc>
      </w:tr>
      <w:tr w:rsidR="00DF61BC" w:rsidRPr="00C94C33" w14:paraId="0DA4D5F8" w14:textId="77777777" w:rsidTr="00C844C0">
        <w:trPr>
          <w:trHeight w:hRule="exact" w:val="359"/>
        </w:trPr>
        <w:tc>
          <w:tcPr>
            <w:tcW w:w="4518" w:type="dxa"/>
            <w:gridSpan w:val="2"/>
            <w:tcBorders>
              <w:left w:val="single" w:sz="4" w:space="0" w:color="auto"/>
              <w:right w:val="single" w:sz="6" w:space="0" w:color="000000"/>
            </w:tcBorders>
            <w:shd w:val="clear" w:color="auto" w:fill="auto"/>
          </w:tcPr>
          <w:p w14:paraId="53627657" w14:textId="77777777" w:rsidR="00DF61BC" w:rsidRPr="00C94C33" w:rsidRDefault="00DF61BC" w:rsidP="00C844C0">
            <w:pPr>
              <w:pStyle w:val="Tabletext"/>
            </w:pPr>
            <w:r w:rsidRPr="00C94C33">
              <w:t xml:space="preserve">Clinical Disease </w:t>
            </w:r>
            <w:r w:rsidRPr="00C94C33">
              <w:rPr>
                <w:spacing w:val="-2"/>
              </w:rPr>
              <w:t>Progression</w:t>
            </w:r>
          </w:p>
        </w:tc>
        <w:tc>
          <w:tcPr>
            <w:tcW w:w="1264" w:type="dxa"/>
            <w:gridSpan w:val="2"/>
            <w:tcBorders>
              <w:left w:val="single" w:sz="6" w:space="0" w:color="000000"/>
              <w:right w:val="nil"/>
            </w:tcBorders>
            <w:shd w:val="clear" w:color="auto" w:fill="auto"/>
          </w:tcPr>
          <w:p w14:paraId="0362C6C5" w14:textId="772EB8F2" w:rsidR="00DF61BC" w:rsidRPr="00C94C33" w:rsidRDefault="00DF61BC" w:rsidP="00C844C0">
            <w:pPr>
              <w:pStyle w:val="Tabletext"/>
              <w:jc w:val="center"/>
            </w:pPr>
            <w:r w:rsidRPr="00C94C33">
              <w:t>18</w:t>
            </w:r>
            <w:r w:rsidRPr="00C94C33">
              <w:rPr>
                <w:vertAlign w:val="superscript"/>
              </w:rPr>
              <w:t xml:space="preserve"> a</w:t>
            </w:r>
          </w:p>
        </w:tc>
        <w:tc>
          <w:tcPr>
            <w:tcW w:w="1261" w:type="dxa"/>
            <w:tcBorders>
              <w:left w:val="nil"/>
              <w:right w:val="single" w:sz="10" w:space="0" w:color="000000"/>
            </w:tcBorders>
            <w:shd w:val="clear" w:color="auto" w:fill="auto"/>
          </w:tcPr>
          <w:p w14:paraId="7F701AE6" w14:textId="567A0291" w:rsidR="00DF61BC" w:rsidRPr="00C94C33" w:rsidRDefault="00DF61BC" w:rsidP="00C844C0">
            <w:pPr>
              <w:pStyle w:val="Tabletext"/>
              <w:jc w:val="center"/>
            </w:pPr>
            <w:r w:rsidRPr="00C94C33">
              <w:t>(3.4)</w:t>
            </w:r>
          </w:p>
        </w:tc>
        <w:tc>
          <w:tcPr>
            <w:tcW w:w="1269" w:type="dxa"/>
            <w:tcBorders>
              <w:left w:val="single" w:sz="10" w:space="0" w:color="000000"/>
              <w:right w:val="nil"/>
            </w:tcBorders>
            <w:shd w:val="clear" w:color="auto" w:fill="auto"/>
          </w:tcPr>
          <w:p w14:paraId="0AC4F79F" w14:textId="77777777" w:rsidR="00DF61BC" w:rsidRPr="00C94C33" w:rsidRDefault="00DF61BC" w:rsidP="00C844C0">
            <w:pPr>
              <w:pStyle w:val="Tabletext"/>
              <w:jc w:val="center"/>
            </w:pPr>
            <w:r w:rsidRPr="00C94C33">
              <w:t>21</w:t>
            </w:r>
          </w:p>
        </w:tc>
        <w:tc>
          <w:tcPr>
            <w:tcW w:w="1264" w:type="dxa"/>
            <w:tcBorders>
              <w:left w:val="nil"/>
              <w:right w:val="single" w:sz="4" w:space="0" w:color="auto"/>
            </w:tcBorders>
            <w:shd w:val="clear" w:color="auto" w:fill="auto"/>
          </w:tcPr>
          <w:p w14:paraId="415C5139" w14:textId="77777777" w:rsidR="00DF61BC" w:rsidRPr="00C94C33" w:rsidRDefault="00DF61BC" w:rsidP="00C844C0">
            <w:pPr>
              <w:pStyle w:val="Tabletext"/>
              <w:jc w:val="center"/>
            </w:pPr>
            <w:r w:rsidRPr="00C94C33">
              <w:t>(7.9)</w:t>
            </w:r>
          </w:p>
        </w:tc>
      </w:tr>
      <w:tr w:rsidR="00DF61BC" w:rsidRPr="00C94C33" w14:paraId="318E2F18" w14:textId="77777777" w:rsidTr="00C844C0">
        <w:trPr>
          <w:trHeight w:hRule="exact" w:val="329"/>
        </w:trPr>
        <w:tc>
          <w:tcPr>
            <w:tcW w:w="4518" w:type="dxa"/>
            <w:gridSpan w:val="2"/>
            <w:tcBorders>
              <w:left w:val="single" w:sz="4" w:space="0" w:color="auto"/>
              <w:right w:val="single" w:sz="6" w:space="0" w:color="000000"/>
            </w:tcBorders>
            <w:shd w:val="clear" w:color="auto" w:fill="auto"/>
          </w:tcPr>
          <w:p w14:paraId="07B151E8" w14:textId="77777777" w:rsidR="00DF61BC" w:rsidRPr="00C94C33" w:rsidRDefault="00DF61BC" w:rsidP="00C844C0">
            <w:pPr>
              <w:pStyle w:val="Tabletext"/>
            </w:pPr>
            <w:r w:rsidRPr="00C94C33">
              <w:t>Toxicity</w:t>
            </w:r>
          </w:p>
        </w:tc>
        <w:tc>
          <w:tcPr>
            <w:tcW w:w="1264" w:type="dxa"/>
            <w:gridSpan w:val="2"/>
            <w:tcBorders>
              <w:left w:val="single" w:sz="6" w:space="0" w:color="000000"/>
              <w:right w:val="nil"/>
            </w:tcBorders>
            <w:shd w:val="clear" w:color="auto" w:fill="auto"/>
          </w:tcPr>
          <w:p w14:paraId="389FD758" w14:textId="22F757C5" w:rsidR="00DF61BC" w:rsidRPr="00C94C33" w:rsidRDefault="00DF61BC" w:rsidP="00C844C0">
            <w:pPr>
              <w:pStyle w:val="Tabletext"/>
              <w:jc w:val="center"/>
            </w:pPr>
            <w:r w:rsidRPr="00C94C33">
              <w:t>1</w:t>
            </w:r>
            <w:r w:rsidRPr="00C94C33">
              <w:rPr>
                <w:vertAlign w:val="superscript"/>
              </w:rPr>
              <w:t xml:space="preserve"> a</w:t>
            </w:r>
          </w:p>
        </w:tc>
        <w:tc>
          <w:tcPr>
            <w:tcW w:w="1261" w:type="dxa"/>
            <w:tcBorders>
              <w:left w:val="nil"/>
              <w:right w:val="single" w:sz="10" w:space="0" w:color="000000"/>
            </w:tcBorders>
            <w:shd w:val="clear" w:color="auto" w:fill="auto"/>
          </w:tcPr>
          <w:p w14:paraId="67152F4C" w14:textId="77777777" w:rsidR="00DF61BC" w:rsidRPr="00C94C33" w:rsidRDefault="00DF61BC" w:rsidP="00C844C0">
            <w:pPr>
              <w:pStyle w:val="Tabletext"/>
              <w:jc w:val="center"/>
            </w:pPr>
            <w:r w:rsidRPr="00C94C33">
              <w:t>(0.2)</w:t>
            </w:r>
          </w:p>
        </w:tc>
        <w:tc>
          <w:tcPr>
            <w:tcW w:w="2533" w:type="dxa"/>
            <w:gridSpan w:val="2"/>
            <w:tcBorders>
              <w:left w:val="single" w:sz="10" w:space="0" w:color="000000"/>
              <w:right w:val="single" w:sz="4" w:space="0" w:color="auto"/>
            </w:tcBorders>
            <w:shd w:val="clear" w:color="auto" w:fill="auto"/>
          </w:tcPr>
          <w:p w14:paraId="32C458C4" w14:textId="77777777" w:rsidR="00DF61BC" w:rsidRPr="00C94C33" w:rsidRDefault="00DF61BC" w:rsidP="00C844C0">
            <w:pPr>
              <w:pStyle w:val="Tabletext"/>
              <w:jc w:val="center"/>
            </w:pPr>
            <w:r w:rsidRPr="00C94C33">
              <w:t>0</w:t>
            </w:r>
          </w:p>
        </w:tc>
      </w:tr>
      <w:tr w:rsidR="00DF61BC" w:rsidRPr="00C94C33" w14:paraId="492D1E2D" w14:textId="77777777" w:rsidTr="00C844C0">
        <w:trPr>
          <w:trHeight w:hRule="exact" w:val="305"/>
        </w:trPr>
        <w:tc>
          <w:tcPr>
            <w:tcW w:w="4518" w:type="dxa"/>
            <w:gridSpan w:val="2"/>
            <w:tcBorders>
              <w:left w:val="single" w:sz="4" w:space="0" w:color="auto"/>
              <w:bottom w:val="single" w:sz="7" w:space="0" w:color="000000"/>
              <w:right w:val="single" w:sz="6" w:space="0" w:color="000000"/>
            </w:tcBorders>
            <w:shd w:val="clear" w:color="auto" w:fill="auto"/>
          </w:tcPr>
          <w:p w14:paraId="36B18808" w14:textId="77777777" w:rsidR="00DF61BC" w:rsidRPr="00C94C33" w:rsidRDefault="00DF61BC" w:rsidP="00C844C0">
            <w:pPr>
              <w:pStyle w:val="Tabletext"/>
            </w:pPr>
            <w:r w:rsidRPr="00C94C33">
              <w:t xml:space="preserve">Other </w:t>
            </w:r>
            <w:r w:rsidRPr="00C94C33">
              <w:rPr>
                <w:vertAlign w:val="superscript"/>
              </w:rPr>
              <w:t xml:space="preserve">d </w:t>
            </w:r>
          </w:p>
        </w:tc>
        <w:tc>
          <w:tcPr>
            <w:tcW w:w="1264" w:type="dxa"/>
            <w:gridSpan w:val="2"/>
            <w:tcBorders>
              <w:left w:val="single" w:sz="6" w:space="0" w:color="000000"/>
              <w:bottom w:val="single" w:sz="7" w:space="0" w:color="000000"/>
              <w:right w:val="nil"/>
            </w:tcBorders>
            <w:shd w:val="clear" w:color="auto" w:fill="auto"/>
          </w:tcPr>
          <w:p w14:paraId="53BC6C5A" w14:textId="77777777" w:rsidR="00DF61BC" w:rsidRPr="00C94C33" w:rsidRDefault="00DF61BC" w:rsidP="00C844C0">
            <w:pPr>
              <w:pStyle w:val="Tabletext"/>
              <w:jc w:val="center"/>
            </w:pPr>
            <w:r w:rsidRPr="00C94C33">
              <w:t>6</w:t>
            </w:r>
          </w:p>
        </w:tc>
        <w:tc>
          <w:tcPr>
            <w:tcW w:w="1261" w:type="dxa"/>
            <w:tcBorders>
              <w:left w:val="nil"/>
              <w:bottom w:val="single" w:sz="7" w:space="0" w:color="000000"/>
              <w:right w:val="single" w:sz="10" w:space="0" w:color="000000"/>
            </w:tcBorders>
            <w:shd w:val="clear" w:color="auto" w:fill="auto"/>
          </w:tcPr>
          <w:p w14:paraId="7E95A38A" w14:textId="77777777" w:rsidR="00DF61BC" w:rsidRPr="00C94C33" w:rsidRDefault="00DF61BC" w:rsidP="00C844C0">
            <w:pPr>
              <w:pStyle w:val="Tabletext"/>
              <w:jc w:val="center"/>
            </w:pPr>
            <w:r w:rsidRPr="00C94C33">
              <w:t>(1.1)</w:t>
            </w:r>
          </w:p>
        </w:tc>
        <w:tc>
          <w:tcPr>
            <w:tcW w:w="1269" w:type="dxa"/>
            <w:tcBorders>
              <w:left w:val="single" w:sz="10" w:space="0" w:color="000000"/>
              <w:bottom w:val="single" w:sz="7" w:space="0" w:color="000000"/>
              <w:right w:val="nil"/>
            </w:tcBorders>
            <w:shd w:val="clear" w:color="auto" w:fill="auto"/>
          </w:tcPr>
          <w:p w14:paraId="4DAFE615" w14:textId="77777777" w:rsidR="00DF61BC" w:rsidRPr="00C94C33" w:rsidRDefault="00DF61BC" w:rsidP="00C844C0">
            <w:pPr>
              <w:pStyle w:val="Tabletext"/>
              <w:jc w:val="center"/>
            </w:pPr>
            <w:r w:rsidRPr="00C94C33">
              <w:t>2</w:t>
            </w:r>
          </w:p>
        </w:tc>
        <w:tc>
          <w:tcPr>
            <w:tcW w:w="1264" w:type="dxa"/>
            <w:tcBorders>
              <w:left w:val="nil"/>
              <w:bottom w:val="single" w:sz="7" w:space="0" w:color="000000"/>
              <w:right w:val="single" w:sz="4" w:space="0" w:color="auto"/>
            </w:tcBorders>
            <w:shd w:val="clear" w:color="auto" w:fill="auto"/>
          </w:tcPr>
          <w:p w14:paraId="701AA4B1" w14:textId="21C148AC" w:rsidR="00DF61BC" w:rsidRPr="00C94C33" w:rsidRDefault="00DF61BC" w:rsidP="00C844C0">
            <w:pPr>
              <w:pStyle w:val="Tabletext"/>
              <w:jc w:val="center"/>
            </w:pPr>
            <w:r w:rsidRPr="00C94C33">
              <w:t>(0.8)</w:t>
            </w:r>
          </w:p>
        </w:tc>
      </w:tr>
      <w:tr w:rsidR="00DF61BC" w:rsidRPr="00C94C33" w14:paraId="713A122B" w14:textId="77777777" w:rsidTr="00C844C0">
        <w:trPr>
          <w:trHeight w:hRule="exact" w:val="305"/>
        </w:trPr>
        <w:tc>
          <w:tcPr>
            <w:tcW w:w="4518" w:type="dxa"/>
            <w:gridSpan w:val="2"/>
            <w:tcBorders>
              <w:top w:val="single" w:sz="7" w:space="0" w:color="000000"/>
              <w:left w:val="single" w:sz="4" w:space="0" w:color="auto"/>
              <w:right w:val="single" w:sz="6" w:space="0" w:color="000000"/>
            </w:tcBorders>
            <w:shd w:val="clear" w:color="auto" w:fill="auto"/>
          </w:tcPr>
          <w:p w14:paraId="62EB7232" w14:textId="77777777" w:rsidR="00DF61BC" w:rsidRPr="00C844C0" w:rsidRDefault="00DF61BC" w:rsidP="00C844C0">
            <w:pPr>
              <w:pStyle w:val="Tabletext"/>
              <w:rPr>
                <w:b/>
              </w:rPr>
            </w:pPr>
            <w:r w:rsidRPr="00C844C0">
              <w:rPr>
                <w:b/>
              </w:rPr>
              <w:t>Death of</w:t>
            </w:r>
            <w:r w:rsidRPr="00C844C0">
              <w:rPr>
                <w:b/>
                <w:spacing w:val="-2"/>
              </w:rPr>
              <w:t xml:space="preserve"> </w:t>
            </w:r>
            <w:r w:rsidRPr="00C844C0">
              <w:rPr>
                <w:b/>
              </w:rPr>
              <w:t>patients randomised</w:t>
            </w:r>
            <w:r w:rsidRPr="00C844C0">
              <w:rPr>
                <w:b/>
                <w:spacing w:val="1"/>
              </w:rPr>
              <w:t xml:space="preserve"> </w:t>
            </w:r>
            <w:r w:rsidRPr="00C844C0">
              <w:rPr>
                <w:b/>
              </w:rPr>
              <w:t>but not treated</w:t>
            </w:r>
          </w:p>
        </w:tc>
        <w:tc>
          <w:tcPr>
            <w:tcW w:w="2525" w:type="dxa"/>
            <w:gridSpan w:val="3"/>
            <w:tcBorders>
              <w:top w:val="single" w:sz="7" w:space="0" w:color="000000"/>
              <w:left w:val="single" w:sz="6" w:space="0" w:color="000000"/>
              <w:right w:val="single" w:sz="10" w:space="0" w:color="000000"/>
            </w:tcBorders>
            <w:shd w:val="clear" w:color="auto" w:fill="auto"/>
          </w:tcPr>
          <w:p w14:paraId="7D88DDCC" w14:textId="77777777" w:rsidR="00DF61BC" w:rsidRPr="00C94C33" w:rsidRDefault="00DF61BC" w:rsidP="00C844C0">
            <w:pPr>
              <w:pStyle w:val="Tabletext"/>
              <w:jc w:val="center"/>
            </w:pPr>
          </w:p>
        </w:tc>
        <w:tc>
          <w:tcPr>
            <w:tcW w:w="2533" w:type="dxa"/>
            <w:gridSpan w:val="2"/>
            <w:tcBorders>
              <w:top w:val="single" w:sz="7" w:space="0" w:color="000000"/>
              <w:left w:val="single" w:sz="10" w:space="0" w:color="000000"/>
              <w:right w:val="single" w:sz="4" w:space="0" w:color="auto"/>
            </w:tcBorders>
            <w:shd w:val="clear" w:color="auto" w:fill="auto"/>
          </w:tcPr>
          <w:p w14:paraId="06B1E20F" w14:textId="77777777" w:rsidR="00DF61BC" w:rsidRPr="00C94C33" w:rsidRDefault="00DF61BC" w:rsidP="00C844C0">
            <w:pPr>
              <w:pStyle w:val="Tabletext"/>
              <w:jc w:val="center"/>
            </w:pPr>
          </w:p>
        </w:tc>
      </w:tr>
      <w:tr w:rsidR="00DF61BC" w:rsidRPr="00C94C33" w14:paraId="1FCC6634" w14:textId="77777777" w:rsidTr="00C844C0">
        <w:trPr>
          <w:trHeight w:hRule="exact" w:val="328"/>
        </w:trPr>
        <w:tc>
          <w:tcPr>
            <w:tcW w:w="4503" w:type="dxa"/>
            <w:tcBorders>
              <w:left w:val="single" w:sz="4" w:space="0" w:color="auto"/>
              <w:bottom w:val="single" w:sz="7" w:space="0" w:color="000000"/>
              <w:right w:val="single" w:sz="6" w:space="0" w:color="000000"/>
            </w:tcBorders>
            <w:shd w:val="clear" w:color="auto" w:fill="auto"/>
          </w:tcPr>
          <w:p w14:paraId="5BD7E8B7" w14:textId="77777777" w:rsidR="00DF61BC" w:rsidRPr="00C94C33" w:rsidRDefault="00DF61BC" w:rsidP="00C844C0">
            <w:pPr>
              <w:pStyle w:val="Tabletext"/>
            </w:pPr>
            <w:r w:rsidRPr="00C94C33">
              <w:t>Not Collected</w:t>
            </w:r>
          </w:p>
        </w:tc>
        <w:tc>
          <w:tcPr>
            <w:tcW w:w="1063" w:type="dxa"/>
            <w:gridSpan w:val="2"/>
            <w:tcBorders>
              <w:left w:val="single" w:sz="6" w:space="0" w:color="000000"/>
              <w:bottom w:val="single" w:sz="7" w:space="0" w:color="000000"/>
              <w:right w:val="nil"/>
            </w:tcBorders>
            <w:shd w:val="clear" w:color="auto" w:fill="auto"/>
          </w:tcPr>
          <w:p w14:paraId="0507A04E" w14:textId="05EEE368" w:rsidR="00DF61BC" w:rsidRPr="00C94C33" w:rsidRDefault="00DF61BC" w:rsidP="00C844C0">
            <w:pPr>
              <w:pStyle w:val="Tabletext"/>
              <w:jc w:val="center"/>
            </w:pPr>
          </w:p>
        </w:tc>
        <w:tc>
          <w:tcPr>
            <w:tcW w:w="1477" w:type="dxa"/>
            <w:gridSpan w:val="2"/>
            <w:tcBorders>
              <w:left w:val="nil"/>
              <w:bottom w:val="single" w:sz="7" w:space="0" w:color="000000"/>
              <w:right w:val="single" w:sz="10" w:space="0" w:color="000000"/>
            </w:tcBorders>
            <w:shd w:val="clear" w:color="auto" w:fill="auto"/>
          </w:tcPr>
          <w:p w14:paraId="109D926D" w14:textId="0F0DB9B7" w:rsidR="00DF61BC" w:rsidRPr="00C94C33" w:rsidRDefault="00DF61BC" w:rsidP="00C844C0">
            <w:pPr>
              <w:pStyle w:val="Tabletext"/>
              <w:jc w:val="center"/>
            </w:pPr>
            <w:r w:rsidRPr="00C94C33">
              <w:t xml:space="preserve">1 (0.2) </w:t>
            </w:r>
            <w:r w:rsidRPr="00C94C33">
              <w:rPr>
                <w:vertAlign w:val="superscript"/>
              </w:rPr>
              <w:t>b</w:t>
            </w:r>
          </w:p>
        </w:tc>
        <w:tc>
          <w:tcPr>
            <w:tcW w:w="1269" w:type="dxa"/>
            <w:tcBorders>
              <w:left w:val="single" w:sz="10" w:space="0" w:color="000000"/>
              <w:bottom w:val="single" w:sz="7" w:space="0" w:color="000000"/>
              <w:right w:val="nil"/>
            </w:tcBorders>
            <w:shd w:val="clear" w:color="auto" w:fill="auto"/>
          </w:tcPr>
          <w:p w14:paraId="08071B05" w14:textId="6BED0EE9" w:rsidR="00DF61BC" w:rsidRPr="00C94C33" w:rsidRDefault="00DF61BC" w:rsidP="00C844C0">
            <w:pPr>
              <w:pStyle w:val="Tabletext"/>
              <w:jc w:val="center"/>
            </w:pPr>
            <w:r w:rsidRPr="00C94C33">
              <w:t>1</w:t>
            </w:r>
          </w:p>
        </w:tc>
        <w:tc>
          <w:tcPr>
            <w:tcW w:w="1264" w:type="dxa"/>
            <w:tcBorders>
              <w:left w:val="nil"/>
              <w:bottom w:val="single" w:sz="7" w:space="0" w:color="000000"/>
              <w:right w:val="single" w:sz="4" w:space="0" w:color="auto"/>
            </w:tcBorders>
            <w:shd w:val="clear" w:color="auto" w:fill="auto"/>
          </w:tcPr>
          <w:p w14:paraId="13A443DE" w14:textId="1C9A630C" w:rsidR="00DF61BC" w:rsidRPr="00C94C33" w:rsidRDefault="00DF61BC" w:rsidP="00C844C0">
            <w:pPr>
              <w:pStyle w:val="Tabletext"/>
              <w:jc w:val="center"/>
            </w:pPr>
            <w:r w:rsidRPr="00C94C33">
              <w:t xml:space="preserve">(0.2) </w:t>
            </w:r>
            <w:r w:rsidRPr="00C94C33">
              <w:rPr>
                <w:vertAlign w:val="superscript"/>
              </w:rPr>
              <w:t>c</w:t>
            </w:r>
          </w:p>
        </w:tc>
      </w:tr>
      <w:tr w:rsidR="00DF61BC" w:rsidRPr="00C94C33" w14:paraId="377CC56C" w14:textId="77777777" w:rsidTr="00C844C0">
        <w:trPr>
          <w:trHeight w:hRule="exact" w:val="306"/>
        </w:trPr>
        <w:tc>
          <w:tcPr>
            <w:tcW w:w="4518" w:type="dxa"/>
            <w:gridSpan w:val="2"/>
            <w:tcBorders>
              <w:top w:val="single" w:sz="7" w:space="0" w:color="000000"/>
              <w:left w:val="single" w:sz="4" w:space="0" w:color="auto"/>
              <w:right w:val="single" w:sz="6" w:space="0" w:color="000000"/>
            </w:tcBorders>
            <w:shd w:val="clear" w:color="auto" w:fill="auto"/>
          </w:tcPr>
          <w:p w14:paraId="7F79A876" w14:textId="77777777" w:rsidR="00DF61BC" w:rsidRPr="00C844C0" w:rsidRDefault="00DF61BC" w:rsidP="00C844C0">
            <w:pPr>
              <w:pStyle w:val="Tabletext"/>
              <w:rPr>
                <w:b/>
              </w:rPr>
            </w:pPr>
            <w:r w:rsidRPr="00C844C0">
              <w:rPr>
                <w:b/>
              </w:rPr>
              <w:t>Death &gt; 30 days after last dose</w:t>
            </w:r>
          </w:p>
        </w:tc>
        <w:tc>
          <w:tcPr>
            <w:tcW w:w="2525" w:type="dxa"/>
            <w:gridSpan w:val="3"/>
            <w:tcBorders>
              <w:top w:val="single" w:sz="7" w:space="0" w:color="000000"/>
              <w:left w:val="single" w:sz="6" w:space="0" w:color="000000"/>
              <w:right w:val="single" w:sz="10" w:space="0" w:color="000000"/>
            </w:tcBorders>
            <w:shd w:val="clear" w:color="auto" w:fill="auto"/>
          </w:tcPr>
          <w:p w14:paraId="7940B352" w14:textId="77777777" w:rsidR="00DF61BC" w:rsidRPr="00C94C33" w:rsidRDefault="00DF61BC" w:rsidP="00C844C0">
            <w:pPr>
              <w:pStyle w:val="Tabletext"/>
              <w:jc w:val="center"/>
            </w:pPr>
          </w:p>
        </w:tc>
        <w:tc>
          <w:tcPr>
            <w:tcW w:w="2533" w:type="dxa"/>
            <w:gridSpan w:val="2"/>
            <w:tcBorders>
              <w:top w:val="single" w:sz="7" w:space="0" w:color="000000"/>
              <w:left w:val="single" w:sz="10" w:space="0" w:color="000000"/>
              <w:right w:val="single" w:sz="4" w:space="0" w:color="auto"/>
            </w:tcBorders>
            <w:shd w:val="clear" w:color="auto" w:fill="auto"/>
          </w:tcPr>
          <w:p w14:paraId="422C45C1" w14:textId="77777777" w:rsidR="00DF61BC" w:rsidRPr="00C94C33" w:rsidRDefault="00DF61BC" w:rsidP="00C844C0">
            <w:pPr>
              <w:pStyle w:val="Tabletext"/>
              <w:jc w:val="center"/>
            </w:pPr>
          </w:p>
        </w:tc>
      </w:tr>
      <w:tr w:rsidR="00DF61BC" w:rsidRPr="00C94C33" w14:paraId="2176A1EF" w14:textId="77777777" w:rsidTr="00C844C0">
        <w:trPr>
          <w:trHeight w:hRule="exact" w:val="304"/>
        </w:trPr>
        <w:tc>
          <w:tcPr>
            <w:tcW w:w="4518" w:type="dxa"/>
            <w:gridSpan w:val="2"/>
            <w:tcBorders>
              <w:left w:val="single" w:sz="4" w:space="0" w:color="auto"/>
              <w:bottom w:val="single" w:sz="6" w:space="0" w:color="000000"/>
              <w:right w:val="single" w:sz="6" w:space="0" w:color="000000"/>
            </w:tcBorders>
            <w:shd w:val="clear" w:color="auto" w:fill="auto"/>
          </w:tcPr>
          <w:p w14:paraId="48AE7E93" w14:textId="77777777" w:rsidR="00DF61BC" w:rsidRPr="00C94C33" w:rsidRDefault="00DF61BC" w:rsidP="00C844C0">
            <w:pPr>
              <w:pStyle w:val="Tabletext"/>
            </w:pPr>
            <w:r w:rsidRPr="00C94C33">
              <w:t>Not Collected</w:t>
            </w:r>
          </w:p>
        </w:tc>
        <w:tc>
          <w:tcPr>
            <w:tcW w:w="1264" w:type="dxa"/>
            <w:gridSpan w:val="2"/>
            <w:tcBorders>
              <w:left w:val="single" w:sz="6" w:space="0" w:color="000000"/>
              <w:bottom w:val="single" w:sz="6" w:space="0" w:color="000000"/>
              <w:right w:val="nil"/>
            </w:tcBorders>
            <w:shd w:val="clear" w:color="auto" w:fill="auto"/>
          </w:tcPr>
          <w:p w14:paraId="693AAC09" w14:textId="77777777" w:rsidR="00DF61BC" w:rsidRPr="00C94C33" w:rsidRDefault="00DF61BC" w:rsidP="00C844C0">
            <w:pPr>
              <w:pStyle w:val="Tabletext"/>
              <w:jc w:val="center"/>
            </w:pPr>
            <w:r w:rsidRPr="00C94C33">
              <w:t>332</w:t>
            </w:r>
          </w:p>
        </w:tc>
        <w:tc>
          <w:tcPr>
            <w:tcW w:w="1261" w:type="dxa"/>
            <w:tcBorders>
              <w:left w:val="nil"/>
              <w:bottom w:val="single" w:sz="6" w:space="0" w:color="000000"/>
              <w:right w:val="single" w:sz="10" w:space="0" w:color="000000"/>
            </w:tcBorders>
            <w:shd w:val="clear" w:color="auto" w:fill="auto"/>
          </w:tcPr>
          <w:p w14:paraId="0AE6BEEC" w14:textId="77777777" w:rsidR="00DF61BC" w:rsidRPr="00C94C33" w:rsidRDefault="00DF61BC" w:rsidP="00C844C0">
            <w:pPr>
              <w:pStyle w:val="Tabletext"/>
              <w:jc w:val="center"/>
            </w:pPr>
            <w:r w:rsidRPr="00C94C33">
              <w:t>(62.2)</w:t>
            </w:r>
          </w:p>
        </w:tc>
        <w:tc>
          <w:tcPr>
            <w:tcW w:w="1269" w:type="dxa"/>
            <w:tcBorders>
              <w:left w:val="single" w:sz="10" w:space="0" w:color="000000"/>
              <w:bottom w:val="single" w:sz="6" w:space="0" w:color="000000"/>
              <w:right w:val="nil"/>
            </w:tcBorders>
            <w:shd w:val="clear" w:color="auto" w:fill="auto"/>
          </w:tcPr>
          <w:p w14:paraId="51371B8E" w14:textId="77777777" w:rsidR="00DF61BC" w:rsidRPr="00C94C33" w:rsidRDefault="00DF61BC" w:rsidP="00C844C0">
            <w:pPr>
              <w:pStyle w:val="Tabletext"/>
              <w:jc w:val="center"/>
            </w:pPr>
            <w:r w:rsidRPr="00C94C33">
              <w:t>178</w:t>
            </w:r>
          </w:p>
        </w:tc>
        <w:tc>
          <w:tcPr>
            <w:tcW w:w="1264" w:type="dxa"/>
            <w:tcBorders>
              <w:left w:val="nil"/>
              <w:bottom w:val="single" w:sz="6" w:space="0" w:color="000000"/>
              <w:right w:val="single" w:sz="4" w:space="0" w:color="auto"/>
            </w:tcBorders>
            <w:shd w:val="clear" w:color="auto" w:fill="auto"/>
          </w:tcPr>
          <w:p w14:paraId="4A28FCCA" w14:textId="77777777" w:rsidR="00DF61BC" w:rsidRPr="00C94C33" w:rsidRDefault="00DF61BC" w:rsidP="00C844C0">
            <w:pPr>
              <w:pStyle w:val="Tabletext"/>
              <w:jc w:val="center"/>
            </w:pPr>
            <w:r w:rsidRPr="00C94C33">
              <w:t>(66.9)</w:t>
            </w:r>
          </w:p>
        </w:tc>
      </w:tr>
    </w:tbl>
    <w:p w14:paraId="56D1B57A" w14:textId="633AE5AE" w:rsidR="00DF61BC" w:rsidRPr="00C94C33" w:rsidRDefault="00270871" w:rsidP="00270871">
      <w:pPr>
        <w:pStyle w:val="TableDescription"/>
      </w:pPr>
      <w:r w:rsidRPr="00C94C33">
        <w:t xml:space="preserve">a. </w:t>
      </w:r>
      <w:r w:rsidR="00003E59">
        <w:t>1</w:t>
      </w:r>
      <w:r w:rsidR="00003E59" w:rsidRPr="00C94C33">
        <w:t xml:space="preserve"> </w:t>
      </w:r>
      <w:r w:rsidR="009F5E3D" w:rsidRPr="00C94C33">
        <w:t>patient</w:t>
      </w:r>
      <w:r w:rsidR="00DF61BC" w:rsidRPr="00C94C33">
        <w:t xml:space="preserve"> died due to </w:t>
      </w:r>
      <w:r w:rsidR="00DF61BC" w:rsidRPr="005C2FCA">
        <w:rPr>
          <w:i/>
        </w:rPr>
        <w:t>Klebsiella</w:t>
      </w:r>
      <w:r w:rsidR="00DF61BC" w:rsidRPr="00C94C33">
        <w:t xml:space="preserve"> pneumonia/septic shock considered related to study medication; however, the Investigator indicated clinical disease progression as the primary category of death</w:t>
      </w:r>
      <w:r w:rsidR="00003E59">
        <w:t xml:space="preserve">; </w:t>
      </w:r>
      <w:r w:rsidRPr="00C94C33">
        <w:t xml:space="preserve">b. </w:t>
      </w:r>
      <w:r w:rsidR="00003E59">
        <w:t xml:space="preserve">1 </w:t>
      </w:r>
      <w:r w:rsidR="009F5E3D" w:rsidRPr="00C94C33">
        <w:t>patient</w:t>
      </w:r>
      <w:r w:rsidR="00DF61BC" w:rsidRPr="00C94C33">
        <w:t xml:space="preserve"> discontinued prior to receiving treatment due to an AE of ascites</w:t>
      </w:r>
      <w:r w:rsidR="00003E59">
        <w:t xml:space="preserve">; </w:t>
      </w:r>
      <w:r w:rsidRPr="00C94C33">
        <w:t xml:space="preserve">c. </w:t>
      </w:r>
      <w:r w:rsidR="00003E59">
        <w:t>1</w:t>
      </w:r>
      <w:r w:rsidR="00003E59" w:rsidRPr="00C94C33">
        <w:t xml:space="preserve"> </w:t>
      </w:r>
      <w:r w:rsidR="009F5E3D" w:rsidRPr="00C94C33">
        <w:t>patient</w:t>
      </w:r>
      <w:r w:rsidR="00DF61BC" w:rsidRPr="00C94C33">
        <w:t xml:space="preserve"> was found to be ineligible for the study</w:t>
      </w:r>
      <w:r w:rsidR="00003E59">
        <w:t xml:space="preserve">; </w:t>
      </w:r>
      <w:r w:rsidRPr="00C94C33">
        <w:t xml:space="preserve">d. </w:t>
      </w:r>
      <w:r w:rsidR="00842E8F" w:rsidRPr="00C94C33">
        <w:t>‘</w:t>
      </w:r>
      <w:r w:rsidR="00DF61BC" w:rsidRPr="00C94C33">
        <w:t>Other</w:t>
      </w:r>
      <w:r w:rsidR="00842E8F" w:rsidRPr="00C94C33">
        <w:t>’</w:t>
      </w:r>
      <w:r w:rsidR="00DF61BC" w:rsidRPr="00C94C33">
        <w:t xml:space="preserve"> deaths in the TAS-102 group included: radiologic progression (25 days after discontinuing, 25 days after last dose); ongoing AE of </w:t>
      </w:r>
      <w:r w:rsidR="00003E59" w:rsidRPr="005C2FCA">
        <w:rPr>
          <w:i/>
        </w:rPr>
        <w:t>Staphylococc</w:t>
      </w:r>
      <w:r w:rsidR="00003E59" w:rsidRPr="00003E59">
        <w:rPr>
          <w:i/>
        </w:rPr>
        <w:t>us</w:t>
      </w:r>
      <w:r w:rsidR="00003E59" w:rsidRPr="00C94C33">
        <w:t xml:space="preserve"> </w:t>
      </w:r>
      <w:r w:rsidR="00DF61BC" w:rsidRPr="00C94C33">
        <w:t>pneumonia (not related) at the time of deaths considered by the investigator to be a symptom of disease progression; fata</w:t>
      </w:r>
      <w:r w:rsidR="00003E59">
        <w:t>l</w:t>
      </w:r>
      <w:r w:rsidR="00DF61BC" w:rsidRPr="00C94C33">
        <w:t xml:space="preserve">; </w:t>
      </w:r>
      <w:r w:rsidR="00003E59" w:rsidRPr="005C2FCA">
        <w:rPr>
          <w:i/>
        </w:rPr>
        <w:t>S</w:t>
      </w:r>
      <w:r w:rsidR="00DF61BC" w:rsidRPr="005C2FCA">
        <w:rPr>
          <w:i/>
        </w:rPr>
        <w:t>taphylococc</w:t>
      </w:r>
      <w:r w:rsidR="00003E59" w:rsidRPr="005C2FCA">
        <w:rPr>
          <w:i/>
        </w:rPr>
        <w:t>us</w:t>
      </w:r>
      <w:r w:rsidR="00DF61BC" w:rsidRPr="00C94C33">
        <w:t xml:space="preserve"> pneumonia (not related); </w:t>
      </w:r>
      <w:r w:rsidR="001735DA" w:rsidRPr="00C94C33">
        <w:t>withdrawn</w:t>
      </w:r>
      <w:r w:rsidR="00DF61BC" w:rsidRPr="00C94C33">
        <w:t xml:space="preserve"> consent after Cycle 1, Day 4 (no AE reported, death notified by a family member); fatal AE of pulmonary oedema (not related); fatal AE of pulmonary embolism (not related). </w:t>
      </w:r>
      <w:r w:rsidR="00842E8F" w:rsidRPr="00C94C33">
        <w:t>‘</w:t>
      </w:r>
      <w:r w:rsidR="00DF61BC" w:rsidRPr="00C94C33">
        <w:t>Other</w:t>
      </w:r>
      <w:r w:rsidR="00842E8F" w:rsidRPr="00C94C33">
        <w:t>’</w:t>
      </w:r>
      <w:r w:rsidR="00DF61BC" w:rsidRPr="00C94C33">
        <w:t xml:space="preserve"> deaths in the placebo group were fatal AE respiratory arrest (not related) and fatal AEs cardio-respiratory arrest, acidosis, intracranial haemorrhage, a</w:t>
      </w:r>
      <w:r w:rsidR="00C844C0">
        <w:t>nd renal failure (not related).</w:t>
      </w:r>
    </w:p>
    <w:p w14:paraId="462BEC60" w14:textId="77777777" w:rsidR="00DF61BC" w:rsidRPr="00C94C33" w:rsidRDefault="00DF61BC" w:rsidP="00955252">
      <w:pPr>
        <w:pStyle w:val="Heading4"/>
      </w:pPr>
      <w:bookmarkStart w:id="369" w:name="_Toc470948576"/>
      <w:r w:rsidRPr="00C94C33">
        <w:t>Serious adverse events (SAEs)</w:t>
      </w:r>
      <w:bookmarkEnd w:id="369"/>
    </w:p>
    <w:p w14:paraId="1E17FDA9" w14:textId="1C95CBED"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SAEs were reported in 29.6% (</w:t>
      </w:r>
      <w:r w:rsidR="009C0389" w:rsidRPr="00C94C33">
        <w:rPr>
          <w:rFonts w:asciiTheme="minorHAnsi" w:hAnsiTheme="minorHAnsi"/>
        </w:rPr>
        <w:t xml:space="preserve">n = </w:t>
      </w:r>
      <w:r w:rsidRPr="00C94C33">
        <w:rPr>
          <w:rFonts w:asciiTheme="minorHAnsi" w:hAnsiTheme="minorHAnsi"/>
        </w:rPr>
        <w:t>158) of patients in the TAS-102 group and 33.6% (</w:t>
      </w:r>
      <w:r w:rsidR="009C0389" w:rsidRPr="00C94C33">
        <w:rPr>
          <w:rFonts w:asciiTheme="minorHAnsi" w:hAnsiTheme="minorHAnsi"/>
        </w:rPr>
        <w:t xml:space="preserve">n = </w:t>
      </w:r>
      <w:r w:rsidRPr="00C94C33">
        <w:rPr>
          <w:rFonts w:asciiTheme="minorHAnsi" w:hAnsiTheme="minorHAnsi"/>
        </w:rPr>
        <w:t>89) of patients in the placebo group, while treatment-related SAEs were reported in 9.4% (</w:t>
      </w:r>
      <w:r w:rsidR="009C0389" w:rsidRPr="00C94C33">
        <w:rPr>
          <w:rFonts w:asciiTheme="minorHAnsi" w:hAnsiTheme="minorHAnsi"/>
        </w:rPr>
        <w:t xml:space="preserve">n = </w:t>
      </w:r>
      <w:r w:rsidRPr="00C94C33">
        <w:rPr>
          <w:rFonts w:asciiTheme="minorHAnsi" w:hAnsiTheme="minorHAnsi"/>
        </w:rPr>
        <w:t>50) of patients in the TAS-102 group and 0.4% (</w:t>
      </w:r>
      <w:r w:rsidR="009C0389" w:rsidRPr="00C94C33">
        <w:rPr>
          <w:rFonts w:asciiTheme="minorHAnsi" w:hAnsiTheme="minorHAnsi"/>
        </w:rPr>
        <w:t xml:space="preserve">n = </w:t>
      </w:r>
      <w:r w:rsidRPr="00C94C33">
        <w:rPr>
          <w:rFonts w:asciiTheme="minorHAnsi" w:hAnsiTheme="minorHAnsi"/>
        </w:rPr>
        <w:t>1) of patients in the placebo gro</w:t>
      </w:r>
      <w:r w:rsidR="006A7C10" w:rsidRPr="00C94C33">
        <w:rPr>
          <w:rFonts w:asciiTheme="minorHAnsi" w:hAnsiTheme="minorHAnsi"/>
        </w:rPr>
        <w:t>up.</w:t>
      </w:r>
    </w:p>
    <w:p w14:paraId="196B0D9F" w14:textId="5D6FB4B8"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SAEs reported in ≥ 1% of patients in the TAS-102 group (vs placebo), in descending order of frequency, were general physical health deterioration (2.8%</w:t>
      </w:r>
      <w:r w:rsidR="00C11183">
        <w:rPr>
          <w:rFonts w:asciiTheme="minorHAnsi" w:hAnsiTheme="minorHAnsi"/>
        </w:rPr>
        <w:t xml:space="preserve"> versus </w:t>
      </w:r>
      <w:r w:rsidRPr="00C94C33">
        <w:rPr>
          <w:rFonts w:asciiTheme="minorHAnsi" w:hAnsiTheme="minorHAnsi"/>
        </w:rPr>
        <w:t>4.2%), febrile neutro</w:t>
      </w:r>
      <w:r w:rsidR="00B50F67">
        <w:rPr>
          <w:rFonts w:asciiTheme="minorHAnsi" w:hAnsiTheme="minorHAnsi"/>
        </w:rPr>
        <w:t>paenia</w:t>
      </w:r>
      <w:r w:rsidRPr="00C94C33">
        <w:rPr>
          <w:rFonts w:asciiTheme="minorHAnsi" w:hAnsiTheme="minorHAnsi"/>
        </w:rPr>
        <w:t xml:space="preserve"> </w:t>
      </w:r>
      <w:r w:rsidRPr="00C94C33">
        <w:rPr>
          <w:rFonts w:asciiTheme="minorHAnsi" w:hAnsiTheme="minorHAnsi"/>
        </w:rPr>
        <w:lastRenderedPageBreak/>
        <w:t>(2.6%</w:t>
      </w:r>
      <w:r w:rsidR="00C11183">
        <w:rPr>
          <w:rFonts w:asciiTheme="minorHAnsi" w:hAnsiTheme="minorHAnsi"/>
        </w:rPr>
        <w:t xml:space="preserve"> versus </w:t>
      </w:r>
      <w:r w:rsidRPr="00C94C33">
        <w:rPr>
          <w:rFonts w:asciiTheme="minorHAnsi" w:hAnsiTheme="minorHAnsi"/>
        </w:rPr>
        <w:t>0%), anaemia (1.9%</w:t>
      </w:r>
      <w:r w:rsidR="00C11183">
        <w:rPr>
          <w:rFonts w:asciiTheme="minorHAnsi" w:hAnsiTheme="minorHAnsi"/>
        </w:rPr>
        <w:t xml:space="preserve"> versus </w:t>
      </w:r>
      <w:r w:rsidRPr="00C94C33">
        <w:rPr>
          <w:rFonts w:asciiTheme="minorHAnsi" w:hAnsiTheme="minorHAnsi"/>
        </w:rPr>
        <w:t>0%), abdominal pain (1.5%</w:t>
      </w:r>
      <w:r w:rsidR="00C11183">
        <w:rPr>
          <w:rFonts w:asciiTheme="minorHAnsi" w:hAnsiTheme="minorHAnsi"/>
        </w:rPr>
        <w:t xml:space="preserve"> versus </w:t>
      </w:r>
      <w:r w:rsidRPr="00C94C33">
        <w:rPr>
          <w:rFonts w:asciiTheme="minorHAnsi" w:hAnsiTheme="minorHAnsi"/>
        </w:rPr>
        <w:t>1.9%), vomiting (1.3%</w:t>
      </w:r>
      <w:r w:rsidR="00C11183">
        <w:rPr>
          <w:rFonts w:asciiTheme="minorHAnsi" w:hAnsiTheme="minorHAnsi"/>
        </w:rPr>
        <w:t xml:space="preserve"> versus </w:t>
      </w:r>
      <w:r w:rsidRPr="00C94C33">
        <w:rPr>
          <w:rFonts w:asciiTheme="minorHAnsi" w:hAnsiTheme="minorHAnsi"/>
        </w:rPr>
        <w:t>0%), and pulmonary embolism (1.1%</w:t>
      </w:r>
      <w:r w:rsidR="00C11183">
        <w:rPr>
          <w:rFonts w:asciiTheme="minorHAnsi" w:hAnsiTheme="minorHAnsi"/>
        </w:rPr>
        <w:t xml:space="preserve"> versus </w:t>
      </w:r>
      <w:r w:rsidRPr="00C94C33">
        <w:rPr>
          <w:rFonts w:asciiTheme="minorHAnsi" w:hAnsiTheme="minorHAnsi"/>
        </w:rPr>
        <w:t>0%).</w:t>
      </w:r>
    </w:p>
    <w:p w14:paraId="3AF63C58" w14:textId="01C06718" w:rsidR="00DF61BC" w:rsidRPr="00C94C33" w:rsidRDefault="00DF61BC" w:rsidP="00DF61BC">
      <w:pPr>
        <w:rPr>
          <w:rFonts w:asciiTheme="minorHAnsi" w:hAnsiTheme="minorHAnsi"/>
        </w:rPr>
      </w:pPr>
      <w:r w:rsidRPr="00C94C33">
        <w:rPr>
          <w:rFonts w:asciiTheme="minorHAnsi" w:hAnsiTheme="minorHAnsi"/>
        </w:rPr>
        <w:t>SAEs considered to be treatment-related and reported in ≥ 0.4% (</w:t>
      </w:r>
      <w:r w:rsidR="009C0389" w:rsidRPr="00C94C33">
        <w:rPr>
          <w:rFonts w:asciiTheme="minorHAnsi" w:hAnsiTheme="minorHAnsi"/>
        </w:rPr>
        <w:t xml:space="preserve">n = </w:t>
      </w:r>
      <w:r w:rsidRPr="00C94C33">
        <w:rPr>
          <w:rFonts w:asciiTheme="minorHAnsi" w:hAnsiTheme="minorHAnsi"/>
        </w:rPr>
        <w:t>2) of patients in the TAS-102 group (vs placebo), in descending order of frequency, were febrile neutro</w:t>
      </w:r>
      <w:r w:rsidR="00B50F67">
        <w:rPr>
          <w:rFonts w:asciiTheme="minorHAnsi" w:hAnsiTheme="minorHAnsi"/>
        </w:rPr>
        <w:t>paenia</w:t>
      </w:r>
      <w:r w:rsidRPr="00C94C33">
        <w:rPr>
          <w:rFonts w:asciiTheme="minorHAnsi" w:hAnsiTheme="minorHAnsi"/>
        </w:rPr>
        <w:t xml:space="preserve"> (2.6%</w:t>
      </w:r>
      <w:r w:rsidR="00C11183">
        <w:rPr>
          <w:rFonts w:asciiTheme="minorHAnsi" w:hAnsiTheme="minorHAnsi"/>
        </w:rPr>
        <w:t xml:space="preserve"> versus </w:t>
      </w:r>
      <w:r w:rsidRPr="00C94C33">
        <w:rPr>
          <w:rFonts w:asciiTheme="minorHAnsi" w:hAnsiTheme="minorHAnsi"/>
        </w:rPr>
        <w:t>0%), anaemia (1.5%</w:t>
      </w:r>
      <w:r w:rsidR="00C11183">
        <w:rPr>
          <w:rFonts w:asciiTheme="minorHAnsi" w:hAnsiTheme="minorHAnsi"/>
        </w:rPr>
        <w:t xml:space="preserve"> versus </w:t>
      </w:r>
      <w:r w:rsidRPr="00C94C33">
        <w:rPr>
          <w:rFonts w:asciiTheme="minorHAnsi" w:hAnsiTheme="minorHAnsi"/>
        </w:rPr>
        <w:t>0%), neutro</w:t>
      </w:r>
      <w:r w:rsidR="00B50F67">
        <w:rPr>
          <w:rFonts w:asciiTheme="minorHAnsi" w:hAnsiTheme="minorHAnsi"/>
        </w:rPr>
        <w:t>paenia</w:t>
      </w:r>
      <w:r w:rsidRPr="00C94C33">
        <w:rPr>
          <w:rFonts w:asciiTheme="minorHAnsi" w:hAnsiTheme="minorHAnsi"/>
        </w:rPr>
        <w:t xml:space="preserve"> (0.8%</w:t>
      </w:r>
      <w:r w:rsidR="00C11183">
        <w:rPr>
          <w:rFonts w:asciiTheme="minorHAnsi" w:hAnsiTheme="minorHAnsi"/>
        </w:rPr>
        <w:t xml:space="preserve"> versus </w:t>
      </w:r>
      <w:r w:rsidRPr="00C94C33">
        <w:rPr>
          <w:rFonts w:asciiTheme="minorHAnsi" w:hAnsiTheme="minorHAnsi"/>
        </w:rPr>
        <w:t>0%), vomiting (0.8%</w:t>
      </w:r>
      <w:r w:rsidR="00C11183">
        <w:rPr>
          <w:rFonts w:asciiTheme="minorHAnsi" w:hAnsiTheme="minorHAnsi"/>
        </w:rPr>
        <w:t xml:space="preserve"> versus </w:t>
      </w:r>
      <w:r w:rsidRPr="00C94C33">
        <w:rPr>
          <w:rFonts w:asciiTheme="minorHAnsi" w:hAnsiTheme="minorHAnsi"/>
        </w:rPr>
        <w:t>0%), pneumonia (0.6%</w:t>
      </w:r>
      <w:r w:rsidR="00C11183">
        <w:rPr>
          <w:rFonts w:asciiTheme="minorHAnsi" w:hAnsiTheme="minorHAnsi"/>
        </w:rPr>
        <w:t xml:space="preserve"> versus </w:t>
      </w:r>
      <w:r w:rsidRPr="00C94C33">
        <w:rPr>
          <w:rFonts w:asciiTheme="minorHAnsi" w:hAnsiTheme="minorHAnsi"/>
        </w:rPr>
        <w:t>0%), leuko</w:t>
      </w:r>
      <w:r w:rsidR="00B50F67">
        <w:rPr>
          <w:rFonts w:asciiTheme="minorHAnsi" w:hAnsiTheme="minorHAnsi"/>
        </w:rPr>
        <w:t>paenia</w:t>
      </w:r>
      <w:r w:rsidRPr="00C94C33">
        <w:rPr>
          <w:rFonts w:asciiTheme="minorHAnsi" w:hAnsiTheme="minorHAnsi"/>
        </w:rPr>
        <w:t xml:space="preserve"> (0.4%</w:t>
      </w:r>
      <w:r w:rsidR="00C11183">
        <w:rPr>
          <w:rFonts w:asciiTheme="minorHAnsi" w:hAnsiTheme="minorHAnsi"/>
        </w:rPr>
        <w:t xml:space="preserve"> versus </w:t>
      </w:r>
      <w:r w:rsidRPr="00C94C33">
        <w:rPr>
          <w:rFonts w:asciiTheme="minorHAnsi" w:hAnsiTheme="minorHAnsi"/>
        </w:rPr>
        <w:t>0%), abdominal pain (0.4%</w:t>
      </w:r>
      <w:r w:rsidR="00C11183">
        <w:rPr>
          <w:rFonts w:asciiTheme="minorHAnsi" w:hAnsiTheme="minorHAnsi"/>
        </w:rPr>
        <w:t xml:space="preserve"> versus </w:t>
      </w:r>
      <w:r w:rsidRPr="00C94C33">
        <w:rPr>
          <w:rFonts w:asciiTheme="minorHAnsi" w:hAnsiTheme="minorHAnsi"/>
        </w:rPr>
        <w:t>0%), diarrhoea (0.4%</w:t>
      </w:r>
      <w:r w:rsidR="00C11183">
        <w:rPr>
          <w:rFonts w:asciiTheme="minorHAnsi" w:hAnsiTheme="minorHAnsi"/>
        </w:rPr>
        <w:t xml:space="preserve"> versus </w:t>
      </w:r>
      <w:r w:rsidRPr="00C94C33">
        <w:rPr>
          <w:rFonts w:asciiTheme="minorHAnsi" w:hAnsiTheme="minorHAnsi"/>
        </w:rPr>
        <w:t>0%), fatigue (0.4%</w:t>
      </w:r>
      <w:r w:rsidR="00C11183">
        <w:rPr>
          <w:rFonts w:asciiTheme="minorHAnsi" w:hAnsiTheme="minorHAnsi"/>
        </w:rPr>
        <w:t xml:space="preserve"> versus </w:t>
      </w:r>
      <w:r w:rsidRPr="00C94C33">
        <w:rPr>
          <w:rFonts w:asciiTheme="minorHAnsi" w:hAnsiTheme="minorHAnsi"/>
        </w:rPr>
        <w:t>0%), and decreased appetite (0.4%</w:t>
      </w:r>
      <w:r w:rsidR="00C11183">
        <w:rPr>
          <w:rFonts w:asciiTheme="minorHAnsi" w:hAnsiTheme="minorHAnsi"/>
        </w:rPr>
        <w:t xml:space="preserve"> versus </w:t>
      </w:r>
      <w:r w:rsidR="00C844C0">
        <w:rPr>
          <w:rFonts w:asciiTheme="minorHAnsi" w:hAnsiTheme="minorHAnsi"/>
        </w:rPr>
        <w:t>0%).</w:t>
      </w:r>
    </w:p>
    <w:p w14:paraId="1375BC8F" w14:textId="597CAA19" w:rsidR="00DF61BC" w:rsidRPr="00C94C33" w:rsidRDefault="00DF61BC" w:rsidP="005C2FCA">
      <w:pPr>
        <w:pStyle w:val="Comment"/>
      </w:pPr>
      <w:r w:rsidRPr="005C2FCA">
        <w:rPr>
          <w:b/>
        </w:rPr>
        <w:t xml:space="preserve">Comment: </w:t>
      </w:r>
      <w:r w:rsidR="00003E59" w:rsidRPr="005C2FCA">
        <w:rPr>
          <w:b/>
        </w:rPr>
        <w:t xml:space="preserve"> </w:t>
      </w:r>
      <w:r w:rsidRPr="00C94C33">
        <w:t>The SAE profiles in the TAS-102 groups were consistent in RECOURSE and the integrated safety data Groups 1 and 2. In integrated safety data Group 2, SAEs were reported in 179 (27.7%) patients in the TAS-102 group and 94 (29.2%) patients in the placebo group, with the patient incidence of treatment-related SAEs being 9.8% (</w:t>
      </w:r>
      <w:r w:rsidR="009C0389" w:rsidRPr="00C94C33">
        <w:t xml:space="preserve">n = </w:t>
      </w:r>
      <w:r w:rsidRPr="00C94C33">
        <w:t>63) and 0.6% (</w:t>
      </w:r>
      <w:r w:rsidR="009C0389" w:rsidRPr="00C94C33">
        <w:t xml:space="preserve">n = </w:t>
      </w:r>
      <w:r w:rsidRPr="00C94C33">
        <w:t>2), respectively. In integrated safety data Group 1, SAEs were reported in 202 (26.5%) patients in the TAS-102 group, with the patient incidence of treatment-related SAEs being 9.2% (</w:t>
      </w:r>
      <w:r w:rsidR="009C0389" w:rsidRPr="00C94C33">
        <w:t xml:space="preserve">n = </w:t>
      </w:r>
      <w:r w:rsidRPr="00C94C33">
        <w:t>70).</w:t>
      </w:r>
    </w:p>
    <w:p w14:paraId="26CF8375" w14:textId="1E96766C" w:rsidR="00DF61BC" w:rsidRPr="00C94C33" w:rsidRDefault="00DF61BC" w:rsidP="00955252">
      <w:pPr>
        <w:pStyle w:val="Heading4"/>
      </w:pPr>
      <w:bookmarkStart w:id="370" w:name="_Toc470948577"/>
      <w:r w:rsidRPr="00C94C33">
        <w:t>Adverse events leading to discontinuation</w:t>
      </w:r>
      <w:bookmarkEnd w:id="370"/>
    </w:p>
    <w:p w14:paraId="01F2DA40" w14:textId="1C555C28" w:rsidR="00DF61BC" w:rsidRPr="00C94C33" w:rsidRDefault="00DF61BC" w:rsidP="00DF61BC">
      <w:pPr>
        <w:autoSpaceDE w:val="0"/>
        <w:autoSpaceDN w:val="0"/>
        <w:adjustRightInd w:val="0"/>
        <w:rPr>
          <w:rFonts w:asciiTheme="minorHAnsi" w:eastAsia="TimesNewRoman" w:hAnsiTheme="minorHAnsi" w:cs="TimesNewRoman"/>
        </w:rPr>
      </w:pPr>
      <w:r w:rsidRPr="00C94C33">
        <w:rPr>
          <w:rFonts w:asciiTheme="minorHAnsi" w:hAnsiTheme="minorHAnsi"/>
          <w:color w:val="000000"/>
        </w:rPr>
        <w:t>Based on the AE page of the eCRF, 10.3% (</w:t>
      </w:r>
      <w:r w:rsidR="009C0389" w:rsidRPr="00C94C33">
        <w:rPr>
          <w:rFonts w:asciiTheme="minorHAnsi" w:hAnsiTheme="minorHAnsi"/>
          <w:color w:val="000000"/>
        </w:rPr>
        <w:t xml:space="preserve">n = </w:t>
      </w:r>
      <w:r w:rsidRPr="00C94C33">
        <w:rPr>
          <w:rFonts w:asciiTheme="minorHAnsi" w:hAnsiTheme="minorHAnsi"/>
          <w:color w:val="000000"/>
        </w:rPr>
        <w:t>55) of patients in the TAS-102 group and 13.6% (</w:t>
      </w:r>
      <w:r w:rsidR="009C0389" w:rsidRPr="00C94C33">
        <w:rPr>
          <w:rFonts w:asciiTheme="minorHAnsi" w:hAnsiTheme="minorHAnsi"/>
          <w:color w:val="000000"/>
        </w:rPr>
        <w:t xml:space="preserve">n = </w:t>
      </w:r>
      <w:r w:rsidRPr="00C94C33">
        <w:rPr>
          <w:rFonts w:asciiTheme="minorHAnsi" w:hAnsiTheme="minorHAnsi"/>
          <w:color w:val="000000"/>
        </w:rPr>
        <w:t>36) of patients in the placebo group had AEs leading to discontinuation of study treatment. In contrast to the AE page of the eCRF, based on the treatment discontinuation page of the eCRF only 3.6% (</w:t>
      </w:r>
      <w:r w:rsidR="009C0389" w:rsidRPr="00C94C33">
        <w:rPr>
          <w:rFonts w:asciiTheme="minorHAnsi" w:hAnsiTheme="minorHAnsi"/>
          <w:color w:val="000000"/>
        </w:rPr>
        <w:t xml:space="preserve">n = </w:t>
      </w:r>
      <w:r w:rsidRPr="00C94C33">
        <w:rPr>
          <w:rFonts w:asciiTheme="minorHAnsi" w:hAnsiTheme="minorHAnsi"/>
          <w:color w:val="000000"/>
        </w:rPr>
        <w:t>19) of patients in the TAS-102 group and 1.5% (</w:t>
      </w:r>
      <w:r w:rsidR="009C0389" w:rsidRPr="00C94C33">
        <w:rPr>
          <w:rFonts w:asciiTheme="minorHAnsi" w:hAnsiTheme="minorHAnsi"/>
          <w:color w:val="000000"/>
        </w:rPr>
        <w:t xml:space="preserve">n = </w:t>
      </w:r>
      <w:r w:rsidRPr="00C94C33">
        <w:rPr>
          <w:rFonts w:asciiTheme="minorHAnsi" w:hAnsiTheme="minorHAnsi"/>
          <w:color w:val="000000"/>
        </w:rPr>
        <w:t xml:space="preserve">4) of patients in the placebo group had adverse event/SAE indicated as the primary reason for discontinuation.  The sponsor states that </w:t>
      </w:r>
      <w:r w:rsidRPr="00C94C33">
        <w:rPr>
          <w:rFonts w:asciiTheme="minorHAnsi" w:eastAsia="TimesNewRoman" w:hAnsiTheme="minorHAnsi" w:cs="TimesNewRoman"/>
        </w:rPr>
        <w:t>the discrepancy between the two pages is attributable to the fact that AEs that were symptoms of disease progression were assessed as leading to treatment discontinuation on the AE page of the eCRF, while the patient was reported as</w:t>
      </w:r>
      <w:r w:rsidRPr="00C94C33">
        <w:rPr>
          <w:rFonts w:asciiTheme="minorHAnsi" w:hAnsiTheme="minorHAnsi"/>
          <w:color w:val="000000"/>
        </w:rPr>
        <w:t xml:space="preserve"> </w:t>
      </w:r>
      <w:r w:rsidRPr="00C94C33">
        <w:rPr>
          <w:rFonts w:asciiTheme="minorHAnsi" w:eastAsia="TimesNewRoman" w:hAnsiTheme="minorHAnsi" w:cs="TimesNewRoman"/>
        </w:rPr>
        <w:t>having discontinued due to disease progression on the treatment discontinuation page of the eCRF. The distribution of the 55 patients in the TAS-102 group and the 36 patients in the placebo group reported to have disc</w:t>
      </w:r>
      <w:r w:rsidR="006A7C10" w:rsidRPr="00C94C33">
        <w:rPr>
          <w:rFonts w:asciiTheme="minorHAnsi" w:eastAsia="TimesNewRoman" w:hAnsiTheme="minorHAnsi" w:cs="TimesNewRoman"/>
        </w:rPr>
        <w:t>ontinued are summarised below</w:t>
      </w:r>
      <w:r w:rsidRPr="00C94C33">
        <w:rPr>
          <w:rFonts w:asciiTheme="minorHAnsi" w:eastAsia="TimesNewRoman" w:hAnsiTheme="minorHAnsi" w:cs="TimesNewRoman"/>
        </w:rPr>
        <w:t>. The percentage given for discontinuations due to adverse event/SAE (34.5%, TAS-102; 11.1%, placebo) are based on the total number of patients discontinuing rather than the total number of as-treated patients in the treatment groups.</w:t>
      </w:r>
    </w:p>
    <w:p w14:paraId="5CAB8C4F" w14:textId="1FCD5D8C" w:rsidR="00DF61BC" w:rsidRPr="00C94C33" w:rsidRDefault="00DF61BC" w:rsidP="006A7C10">
      <w:pPr>
        <w:pStyle w:val="Tabletitle"/>
        <w:rPr>
          <w:bCs/>
        </w:rPr>
      </w:pPr>
      <w:bookmarkStart w:id="371" w:name="_Toc470948700"/>
      <w:r w:rsidRPr="00C94C33">
        <w:t>Table</w:t>
      </w:r>
      <w:r w:rsidR="006A7C10" w:rsidRPr="00C94C33">
        <w:t xml:space="preserve"> 51</w:t>
      </w:r>
      <w:r w:rsidRPr="00C94C33">
        <w:t>: RECOURSE</w:t>
      </w:r>
      <w:r w:rsidR="00003E59">
        <w:t xml:space="preserve">; </w:t>
      </w:r>
      <w:r w:rsidRPr="00C94C33">
        <w:t>Number</w:t>
      </w:r>
      <w:r w:rsidRPr="00C94C33">
        <w:rPr>
          <w:spacing w:val="-7"/>
        </w:rPr>
        <w:t xml:space="preserve"> </w:t>
      </w:r>
      <w:r w:rsidRPr="00C94C33">
        <w:t>(%)</w:t>
      </w:r>
      <w:r w:rsidRPr="00C94C33">
        <w:rPr>
          <w:spacing w:val="-6"/>
        </w:rPr>
        <w:t xml:space="preserve"> </w:t>
      </w:r>
      <w:r w:rsidRPr="00C94C33">
        <w:t>of</w:t>
      </w:r>
      <w:r w:rsidRPr="00C94C33">
        <w:rPr>
          <w:spacing w:val="-7"/>
        </w:rPr>
        <w:t xml:space="preserve"> </w:t>
      </w:r>
      <w:r w:rsidRPr="00C94C33">
        <w:t>patients</w:t>
      </w:r>
      <w:r w:rsidRPr="00C94C33">
        <w:rPr>
          <w:spacing w:val="-6"/>
        </w:rPr>
        <w:t xml:space="preserve"> </w:t>
      </w:r>
      <w:r w:rsidRPr="00C94C33">
        <w:t>with</w:t>
      </w:r>
      <w:r w:rsidRPr="00C94C33">
        <w:rPr>
          <w:spacing w:val="-7"/>
        </w:rPr>
        <w:t xml:space="preserve"> </w:t>
      </w:r>
      <w:r w:rsidRPr="00C94C33">
        <w:t>AEs</w:t>
      </w:r>
      <w:r w:rsidRPr="00C94C33">
        <w:rPr>
          <w:spacing w:val="-7"/>
        </w:rPr>
        <w:t xml:space="preserve"> </w:t>
      </w:r>
      <w:r w:rsidRPr="00C94C33">
        <w:t>leading</w:t>
      </w:r>
      <w:r w:rsidRPr="00C94C33">
        <w:rPr>
          <w:spacing w:val="-6"/>
        </w:rPr>
        <w:t xml:space="preserve"> </w:t>
      </w:r>
      <w:r w:rsidRPr="00C94C33">
        <w:t>to</w:t>
      </w:r>
      <w:r w:rsidRPr="00C94C33">
        <w:rPr>
          <w:spacing w:val="-7"/>
        </w:rPr>
        <w:t xml:space="preserve"> </w:t>
      </w:r>
      <w:r w:rsidRPr="00C94C33">
        <w:t>discontinuation (per</w:t>
      </w:r>
      <w:r w:rsidRPr="00C94C33">
        <w:rPr>
          <w:spacing w:val="-8"/>
        </w:rPr>
        <w:t xml:space="preserve"> </w:t>
      </w:r>
      <w:r w:rsidRPr="00C94C33">
        <w:rPr>
          <w:spacing w:val="-1"/>
        </w:rPr>
        <w:t>adverse</w:t>
      </w:r>
      <w:r w:rsidRPr="00C94C33">
        <w:rPr>
          <w:spacing w:val="-7"/>
        </w:rPr>
        <w:t xml:space="preserve"> </w:t>
      </w:r>
      <w:r w:rsidRPr="00C94C33">
        <w:t>event</w:t>
      </w:r>
      <w:r w:rsidRPr="00C94C33">
        <w:rPr>
          <w:spacing w:val="-8"/>
        </w:rPr>
        <w:t xml:space="preserve"> </w:t>
      </w:r>
      <w:r w:rsidRPr="00C94C33">
        <w:t>eCRF), AT population</w:t>
      </w:r>
      <w:bookmarkEnd w:id="371"/>
    </w:p>
    <w:tbl>
      <w:tblPr>
        <w:tblW w:w="9576" w:type="dxa"/>
        <w:tblInd w:w="112" w:type="dxa"/>
        <w:tblLayout w:type="fixed"/>
        <w:tblCellMar>
          <w:left w:w="0" w:type="dxa"/>
          <w:right w:w="0" w:type="dxa"/>
        </w:tblCellMar>
        <w:tblLook w:val="0000" w:firstRow="0" w:lastRow="0" w:firstColumn="0" w:lastColumn="0" w:noHBand="0" w:noVBand="0"/>
      </w:tblPr>
      <w:tblGrid>
        <w:gridCol w:w="2898"/>
        <w:gridCol w:w="1710"/>
        <w:gridCol w:w="1710"/>
        <w:gridCol w:w="1620"/>
        <w:gridCol w:w="1638"/>
      </w:tblGrid>
      <w:tr w:rsidR="00DF61BC" w:rsidRPr="00C94C33" w14:paraId="4CE3F1CF" w14:textId="77777777" w:rsidTr="00C844C0">
        <w:trPr>
          <w:trHeight w:hRule="exact" w:val="329"/>
        </w:trPr>
        <w:tc>
          <w:tcPr>
            <w:tcW w:w="2898" w:type="dxa"/>
            <w:tcBorders>
              <w:top w:val="single" w:sz="8" w:space="0" w:color="000000"/>
              <w:left w:val="single" w:sz="4" w:space="0" w:color="auto"/>
              <w:right w:val="single" w:sz="6" w:space="0" w:color="000000"/>
            </w:tcBorders>
            <w:shd w:val="clear" w:color="auto" w:fill="auto"/>
          </w:tcPr>
          <w:p w14:paraId="3C32A258" w14:textId="77777777" w:rsidR="00DF61BC" w:rsidRPr="00C94C33" w:rsidRDefault="00DF61BC" w:rsidP="00C844C0">
            <w:pPr>
              <w:pStyle w:val="TableHeading"/>
            </w:pPr>
          </w:p>
        </w:tc>
        <w:tc>
          <w:tcPr>
            <w:tcW w:w="3420" w:type="dxa"/>
            <w:gridSpan w:val="2"/>
            <w:tcBorders>
              <w:top w:val="single" w:sz="8" w:space="0" w:color="000000"/>
              <w:left w:val="single" w:sz="6" w:space="0" w:color="000000"/>
              <w:right w:val="single" w:sz="6" w:space="0" w:color="000000"/>
            </w:tcBorders>
            <w:shd w:val="clear" w:color="auto" w:fill="auto"/>
          </w:tcPr>
          <w:p w14:paraId="7D8AED2C" w14:textId="248A82A7" w:rsidR="00DF61BC" w:rsidRPr="00C94C33" w:rsidRDefault="00DF61BC" w:rsidP="00C844C0">
            <w:pPr>
              <w:pStyle w:val="TableHeading"/>
              <w:jc w:val="center"/>
            </w:pPr>
            <w:r w:rsidRPr="00C94C33">
              <w:t>TAS-102 (</w:t>
            </w:r>
            <w:r w:rsidR="009C0389" w:rsidRPr="00C94C33">
              <w:t xml:space="preserve">n = </w:t>
            </w:r>
            <w:r w:rsidRPr="00C94C33">
              <w:t>55); n (%)</w:t>
            </w:r>
          </w:p>
        </w:tc>
        <w:tc>
          <w:tcPr>
            <w:tcW w:w="3258" w:type="dxa"/>
            <w:gridSpan w:val="2"/>
            <w:tcBorders>
              <w:top w:val="single" w:sz="8" w:space="0" w:color="000000"/>
              <w:left w:val="single" w:sz="6" w:space="0" w:color="000000"/>
              <w:right w:val="single" w:sz="4" w:space="0" w:color="auto"/>
            </w:tcBorders>
            <w:shd w:val="clear" w:color="auto" w:fill="auto"/>
          </w:tcPr>
          <w:p w14:paraId="55B99DB4" w14:textId="4D3FAA3B" w:rsidR="00DF61BC" w:rsidRPr="00C94C33" w:rsidRDefault="00DF61BC" w:rsidP="00C844C0">
            <w:pPr>
              <w:pStyle w:val="TableHeading"/>
              <w:jc w:val="center"/>
            </w:pPr>
            <w:r w:rsidRPr="00C94C33">
              <w:t>Placebo (</w:t>
            </w:r>
            <w:r w:rsidR="009C0389" w:rsidRPr="00C94C33">
              <w:t xml:space="preserve">n = </w:t>
            </w:r>
            <w:r w:rsidRPr="00C94C33">
              <w:t>36); n (%)</w:t>
            </w:r>
          </w:p>
        </w:tc>
      </w:tr>
      <w:tr w:rsidR="00DF61BC" w:rsidRPr="00C94C33" w14:paraId="3702A67E" w14:textId="77777777" w:rsidTr="00C844C0">
        <w:trPr>
          <w:trHeight w:hRule="exact" w:val="329"/>
        </w:trPr>
        <w:tc>
          <w:tcPr>
            <w:tcW w:w="2898" w:type="dxa"/>
            <w:tcBorders>
              <w:left w:val="single" w:sz="4" w:space="0" w:color="auto"/>
              <w:bottom w:val="single" w:sz="7" w:space="0" w:color="000000"/>
              <w:right w:val="single" w:sz="6" w:space="0" w:color="000000"/>
            </w:tcBorders>
            <w:shd w:val="clear" w:color="auto" w:fill="auto"/>
          </w:tcPr>
          <w:p w14:paraId="5FC06FDC" w14:textId="77777777" w:rsidR="00DF61BC" w:rsidRPr="00C94C33" w:rsidRDefault="00DF61BC" w:rsidP="00C844C0">
            <w:pPr>
              <w:pStyle w:val="TableHeading"/>
            </w:pPr>
            <w:r w:rsidRPr="00C94C33">
              <w:t xml:space="preserve">Primary reason (per eCRF) </w:t>
            </w:r>
          </w:p>
        </w:tc>
        <w:tc>
          <w:tcPr>
            <w:tcW w:w="1710" w:type="dxa"/>
            <w:tcBorders>
              <w:left w:val="single" w:sz="6" w:space="0" w:color="000000"/>
              <w:bottom w:val="single" w:sz="7" w:space="0" w:color="000000"/>
            </w:tcBorders>
            <w:shd w:val="clear" w:color="auto" w:fill="auto"/>
          </w:tcPr>
          <w:p w14:paraId="749026B5" w14:textId="77777777" w:rsidR="00DF61BC" w:rsidRPr="00C94C33" w:rsidRDefault="00DF61BC" w:rsidP="00C844C0">
            <w:pPr>
              <w:pStyle w:val="TableHeading"/>
              <w:jc w:val="center"/>
            </w:pPr>
            <w:r w:rsidRPr="00C94C33">
              <w:t>All grades</w:t>
            </w:r>
          </w:p>
        </w:tc>
        <w:tc>
          <w:tcPr>
            <w:tcW w:w="1710" w:type="dxa"/>
            <w:tcBorders>
              <w:left w:val="nil"/>
              <w:bottom w:val="single" w:sz="7" w:space="0" w:color="000000"/>
              <w:right w:val="single" w:sz="6" w:space="0" w:color="000000"/>
            </w:tcBorders>
            <w:shd w:val="clear" w:color="auto" w:fill="auto"/>
          </w:tcPr>
          <w:p w14:paraId="5929DB26" w14:textId="1E728137" w:rsidR="00DF61BC" w:rsidRPr="00C94C33" w:rsidRDefault="00DF61BC" w:rsidP="00C844C0">
            <w:pPr>
              <w:pStyle w:val="TableHeading"/>
              <w:jc w:val="center"/>
            </w:pPr>
            <w:r w:rsidRPr="00C94C33">
              <w:t>≥ Grade 3</w:t>
            </w:r>
          </w:p>
        </w:tc>
        <w:tc>
          <w:tcPr>
            <w:tcW w:w="1620" w:type="dxa"/>
            <w:tcBorders>
              <w:left w:val="single" w:sz="6" w:space="0" w:color="000000"/>
              <w:bottom w:val="single" w:sz="7" w:space="0" w:color="000000"/>
            </w:tcBorders>
            <w:shd w:val="clear" w:color="auto" w:fill="auto"/>
          </w:tcPr>
          <w:p w14:paraId="35C92223" w14:textId="77777777" w:rsidR="00DF61BC" w:rsidRPr="00C94C33" w:rsidRDefault="00DF61BC" w:rsidP="00C844C0">
            <w:pPr>
              <w:pStyle w:val="TableHeading"/>
              <w:jc w:val="center"/>
            </w:pPr>
            <w:r w:rsidRPr="00C94C33">
              <w:t>All grades</w:t>
            </w:r>
          </w:p>
        </w:tc>
        <w:tc>
          <w:tcPr>
            <w:tcW w:w="1638" w:type="dxa"/>
            <w:tcBorders>
              <w:left w:val="nil"/>
              <w:bottom w:val="single" w:sz="7" w:space="0" w:color="000000"/>
              <w:right w:val="single" w:sz="4" w:space="0" w:color="auto"/>
            </w:tcBorders>
            <w:shd w:val="clear" w:color="auto" w:fill="auto"/>
          </w:tcPr>
          <w:p w14:paraId="002F70AF" w14:textId="29D3D50D" w:rsidR="00DF61BC" w:rsidRPr="00C94C33" w:rsidRDefault="00DF61BC" w:rsidP="00C844C0">
            <w:pPr>
              <w:pStyle w:val="TableHeading"/>
              <w:jc w:val="center"/>
            </w:pPr>
            <w:r w:rsidRPr="00C94C33">
              <w:t>≥ Grade 3</w:t>
            </w:r>
          </w:p>
        </w:tc>
      </w:tr>
      <w:tr w:rsidR="00DF61BC" w:rsidRPr="00C94C33" w14:paraId="2E94591A" w14:textId="77777777" w:rsidTr="00C844C0">
        <w:trPr>
          <w:trHeight w:hRule="exact" w:val="329"/>
        </w:trPr>
        <w:tc>
          <w:tcPr>
            <w:tcW w:w="2898" w:type="dxa"/>
            <w:tcBorders>
              <w:top w:val="single" w:sz="7" w:space="0" w:color="000000"/>
              <w:left w:val="single" w:sz="4" w:space="0" w:color="auto"/>
              <w:bottom w:val="single" w:sz="7" w:space="0" w:color="000000"/>
              <w:right w:val="single" w:sz="6" w:space="0" w:color="000000"/>
            </w:tcBorders>
            <w:shd w:val="clear" w:color="auto" w:fill="auto"/>
          </w:tcPr>
          <w:p w14:paraId="7BB9FD19" w14:textId="77777777" w:rsidR="00DF61BC" w:rsidRPr="00C94C33" w:rsidRDefault="00DF61BC" w:rsidP="00C844C0">
            <w:pPr>
              <w:pStyle w:val="Tabletext"/>
            </w:pPr>
            <w:r w:rsidRPr="00C94C33">
              <w:t>Adverse</w:t>
            </w:r>
            <w:r w:rsidRPr="00C94C33">
              <w:rPr>
                <w:spacing w:val="-17"/>
              </w:rPr>
              <w:t xml:space="preserve"> </w:t>
            </w:r>
            <w:r w:rsidRPr="00C94C33">
              <w:t>event/SAE</w:t>
            </w:r>
          </w:p>
        </w:tc>
        <w:tc>
          <w:tcPr>
            <w:tcW w:w="1710" w:type="dxa"/>
            <w:tcBorders>
              <w:top w:val="single" w:sz="7" w:space="0" w:color="000000"/>
              <w:left w:val="single" w:sz="6" w:space="0" w:color="000000"/>
              <w:bottom w:val="single" w:sz="7" w:space="0" w:color="000000"/>
            </w:tcBorders>
            <w:shd w:val="clear" w:color="auto" w:fill="auto"/>
          </w:tcPr>
          <w:p w14:paraId="292FA1B1" w14:textId="77777777" w:rsidR="00DF61BC" w:rsidRPr="00C94C33" w:rsidRDefault="00DF61BC" w:rsidP="00C844C0">
            <w:pPr>
              <w:pStyle w:val="Tabletext"/>
              <w:jc w:val="center"/>
            </w:pPr>
            <w:r w:rsidRPr="00C94C33">
              <w:t>19</w:t>
            </w:r>
            <w:r w:rsidRPr="00C94C33">
              <w:rPr>
                <w:spacing w:val="-8"/>
              </w:rPr>
              <w:t xml:space="preserve"> </w:t>
            </w:r>
            <w:r w:rsidRPr="00C94C33">
              <w:rPr>
                <w:spacing w:val="-1"/>
              </w:rPr>
              <w:t>(34.5)</w:t>
            </w:r>
          </w:p>
        </w:tc>
        <w:tc>
          <w:tcPr>
            <w:tcW w:w="1710" w:type="dxa"/>
            <w:tcBorders>
              <w:top w:val="single" w:sz="7" w:space="0" w:color="000000"/>
              <w:left w:val="nil"/>
              <w:bottom w:val="single" w:sz="7" w:space="0" w:color="000000"/>
              <w:right w:val="single" w:sz="6" w:space="0" w:color="000000"/>
            </w:tcBorders>
            <w:shd w:val="clear" w:color="auto" w:fill="auto"/>
          </w:tcPr>
          <w:p w14:paraId="235AD5A6" w14:textId="77777777" w:rsidR="00DF61BC" w:rsidRPr="00C94C33" w:rsidRDefault="00DF61BC" w:rsidP="00C844C0">
            <w:pPr>
              <w:pStyle w:val="Tabletext"/>
              <w:jc w:val="center"/>
            </w:pPr>
            <w:r w:rsidRPr="00C94C33">
              <w:t>15</w:t>
            </w:r>
            <w:r w:rsidRPr="00C94C33">
              <w:rPr>
                <w:spacing w:val="-8"/>
              </w:rPr>
              <w:t xml:space="preserve"> </w:t>
            </w:r>
            <w:r w:rsidRPr="00C94C33">
              <w:rPr>
                <w:spacing w:val="-1"/>
              </w:rPr>
              <w:t>(27.3)</w:t>
            </w:r>
          </w:p>
        </w:tc>
        <w:tc>
          <w:tcPr>
            <w:tcW w:w="1620" w:type="dxa"/>
            <w:tcBorders>
              <w:top w:val="single" w:sz="7" w:space="0" w:color="000000"/>
              <w:left w:val="single" w:sz="6" w:space="0" w:color="000000"/>
              <w:bottom w:val="single" w:sz="7" w:space="0" w:color="000000"/>
            </w:tcBorders>
            <w:shd w:val="clear" w:color="auto" w:fill="auto"/>
          </w:tcPr>
          <w:p w14:paraId="6EC30CAE" w14:textId="77777777" w:rsidR="00DF61BC" w:rsidRPr="00C94C33" w:rsidRDefault="00DF61BC" w:rsidP="00C844C0">
            <w:pPr>
              <w:pStyle w:val="Tabletext"/>
              <w:jc w:val="center"/>
            </w:pPr>
            <w:r w:rsidRPr="00C94C33">
              <w:t>4</w:t>
            </w:r>
            <w:r w:rsidRPr="00C94C33">
              <w:rPr>
                <w:spacing w:val="-7"/>
              </w:rPr>
              <w:t xml:space="preserve"> </w:t>
            </w:r>
            <w:r w:rsidRPr="00C94C33">
              <w:rPr>
                <w:spacing w:val="-1"/>
              </w:rPr>
              <w:t>(11.1)</w:t>
            </w:r>
          </w:p>
        </w:tc>
        <w:tc>
          <w:tcPr>
            <w:tcW w:w="1638" w:type="dxa"/>
            <w:tcBorders>
              <w:top w:val="single" w:sz="7" w:space="0" w:color="000000"/>
              <w:left w:val="nil"/>
              <w:bottom w:val="single" w:sz="7" w:space="0" w:color="000000"/>
              <w:right w:val="single" w:sz="4" w:space="0" w:color="auto"/>
            </w:tcBorders>
            <w:shd w:val="clear" w:color="auto" w:fill="auto"/>
          </w:tcPr>
          <w:p w14:paraId="4BCA6513" w14:textId="77777777" w:rsidR="00DF61BC" w:rsidRPr="00C94C33" w:rsidRDefault="00DF61BC" w:rsidP="00C844C0">
            <w:pPr>
              <w:pStyle w:val="Tabletext"/>
              <w:jc w:val="center"/>
            </w:pPr>
            <w:r w:rsidRPr="00C94C33">
              <w:t>3</w:t>
            </w:r>
            <w:r w:rsidRPr="00C94C33">
              <w:rPr>
                <w:spacing w:val="-6"/>
              </w:rPr>
              <w:t xml:space="preserve"> </w:t>
            </w:r>
            <w:r w:rsidRPr="00C94C33">
              <w:t>(8.3)</w:t>
            </w:r>
          </w:p>
        </w:tc>
      </w:tr>
      <w:tr w:rsidR="00DF61BC" w:rsidRPr="00C94C33" w14:paraId="1A1E4386" w14:textId="77777777" w:rsidTr="00C844C0">
        <w:trPr>
          <w:trHeight w:hRule="exact" w:val="328"/>
        </w:trPr>
        <w:tc>
          <w:tcPr>
            <w:tcW w:w="2898" w:type="dxa"/>
            <w:tcBorders>
              <w:top w:val="single" w:sz="7" w:space="0" w:color="000000"/>
              <w:left w:val="single" w:sz="4" w:space="0" w:color="auto"/>
              <w:bottom w:val="single" w:sz="7" w:space="0" w:color="000000"/>
              <w:right w:val="single" w:sz="6" w:space="0" w:color="000000"/>
            </w:tcBorders>
            <w:shd w:val="clear" w:color="auto" w:fill="auto"/>
          </w:tcPr>
          <w:p w14:paraId="0C2B1410" w14:textId="77777777" w:rsidR="00DF61BC" w:rsidRPr="00C94C33" w:rsidRDefault="00DF61BC" w:rsidP="00C844C0">
            <w:pPr>
              <w:pStyle w:val="Tabletext"/>
            </w:pPr>
            <w:r w:rsidRPr="00C94C33">
              <w:t>Clinical</w:t>
            </w:r>
            <w:r w:rsidRPr="00C94C33">
              <w:rPr>
                <w:spacing w:val="-12"/>
              </w:rPr>
              <w:t xml:space="preserve"> </w:t>
            </w:r>
            <w:r w:rsidRPr="00C94C33">
              <w:t>disease</w:t>
            </w:r>
            <w:r w:rsidRPr="00C94C33">
              <w:rPr>
                <w:spacing w:val="-12"/>
              </w:rPr>
              <w:t xml:space="preserve"> </w:t>
            </w:r>
            <w:r w:rsidRPr="00C94C33">
              <w:t>progression</w:t>
            </w:r>
          </w:p>
        </w:tc>
        <w:tc>
          <w:tcPr>
            <w:tcW w:w="1710" w:type="dxa"/>
            <w:tcBorders>
              <w:top w:val="single" w:sz="7" w:space="0" w:color="000000"/>
              <w:left w:val="single" w:sz="6" w:space="0" w:color="000000"/>
              <w:bottom w:val="single" w:sz="7" w:space="0" w:color="000000"/>
            </w:tcBorders>
            <w:shd w:val="clear" w:color="auto" w:fill="auto"/>
          </w:tcPr>
          <w:p w14:paraId="6BAD6694" w14:textId="77777777" w:rsidR="00DF61BC" w:rsidRPr="00C94C33" w:rsidRDefault="00DF61BC" w:rsidP="00C844C0">
            <w:pPr>
              <w:pStyle w:val="Tabletext"/>
              <w:jc w:val="center"/>
            </w:pPr>
            <w:r w:rsidRPr="00C94C33">
              <w:t>33</w:t>
            </w:r>
            <w:r w:rsidRPr="00C94C33">
              <w:rPr>
                <w:spacing w:val="-8"/>
              </w:rPr>
              <w:t xml:space="preserve"> </w:t>
            </w:r>
            <w:r w:rsidRPr="00C94C33">
              <w:t>(60.0)</w:t>
            </w:r>
          </w:p>
        </w:tc>
        <w:tc>
          <w:tcPr>
            <w:tcW w:w="1710" w:type="dxa"/>
            <w:tcBorders>
              <w:top w:val="single" w:sz="7" w:space="0" w:color="000000"/>
              <w:left w:val="nil"/>
              <w:bottom w:val="single" w:sz="7" w:space="0" w:color="000000"/>
              <w:right w:val="single" w:sz="6" w:space="0" w:color="000000"/>
            </w:tcBorders>
            <w:shd w:val="clear" w:color="auto" w:fill="auto"/>
          </w:tcPr>
          <w:p w14:paraId="76452184" w14:textId="77777777" w:rsidR="00DF61BC" w:rsidRPr="00C94C33" w:rsidRDefault="00DF61BC" w:rsidP="00C844C0">
            <w:pPr>
              <w:pStyle w:val="Tabletext"/>
              <w:jc w:val="center"/>
            </w:pPr>
            <w:r w:rsidRPr="00C94C33">
              <w:t>29</w:t>
            </w:r>
            <w:r w:rsidRPr="00C94C33">
              <w:rPr>
                <w:spacing w:val="-8"/>
              </w:rPr>
              <w:t xml:space="preserve"> </w:t>
            </w:r>
            <w:r w:rsidRPr="00C94C33">
              <w:t>(52.7)</w:t>
            </w:r>
          </w:p>
        </w:tc>
        <w:tc>
          <w:tcPr>
            <w:tcW w:w="1620" w:type="dxa"/>
            <w:tcBorders>
              <w:top w:val="single" w:sz="7" w:space="0" w:color="000000"/>
              <w:left w:val="single" w:sz="6" w:space="0" w:color="000000"/>
              <w:bottom w:val="single" w:sz="7" w:space="0" w:color="000000"/>
            </w:tcBorders>
            <w:shd w:val="clear" w:color="auto" w:fill="auto"/>
          </w:tcPr>
          <w:p w14:paraId="5523B891" w14:textId="77777777" w:rsidR="00DF61BC" w:rsidRPr="00C94C33" w:rsidRDefault="00DF61BC" w:rsidP="00C844C0">
            <w:pPr>
              <w:pStyle w:val="Tabletext"/>
              <w:jc w:val="center"/>
            </w:pPr>
            <w:r w:rsidRPr="00C94C33">
              <w:t>30</w:t>
            </w:r>
            <w:r w:rsidRPr="00C94C33">
              <w:rPr>
                <w:spacing w:val="-8"/>
              </w:rPr>
              <w:t xml:space="preserve"> </w:t>
            </w:r>
            <w:r w:rsidRPr="00C94C33">
              <w:t>(83.3)</w:t>
            </w:r>
          </w:p>
        </w:tc>
        <w:tc>
          <w:tcPr>
            <w:tcW w:w="1638" w:type="dxa"/>
            <w:tcBorders>
              <w:top w:val="single" w:sz="7" w:space="0" w:color="000000"/>
              <w:left w:val="nil"/>
              <w:bottom w:val="single" w:sz="7" w:space="0" w:color="000000"/>
              <w:right w:val="single" w:sz="4" w:space="0" w:color="auto"/>
            </w:tcBorders>
            <w:shd w:val="clear" w:color="auto" w:fill="auto"/>
          </w:tcPr>
          <w:p w14:paraId="566C7701" w14:textId="77777777" w:rsidR="00DF61BC" w:rsidRPr="00C94C33" w:rsidRDefault="00DF61BC" w:rsidP="00C844C0">
            <w:pPr>
              <w:pStyle w:val="Tabletext"/>
              <w:jc w:val="center"/>
            </w:pPr>
            <w:r w:rsidRPr="00C94C33">
              <w:t>27</w:t>
            </w:r>
            <w:r w:rsidRPr="00C94C33">
              <w:rPr>
                <w:spacing w:val="-8"/>
              </w:rPr>
              <w:t xml:space="preserve"> </w:t>
            </w:r>
            <w:r w:rsidRPr="00C94C33">
              <w:t>(75.0)</w:t>
            </w:r>
          </w:p>
        </w:tc>
      </w:tr>
      <w:tr w:rsidR="00DF61BC" w:rsidRPr="00C94C33" w14:paraId="58E46178" w14:textId="77777777" w:rsidTr="00C844C0">
        <w:trPr>
          <w:trHeight w:hRule="exact" w:val="328"/>
        </w:trPr>
        <w:tc>
          <w:tcPr>
            <w:tcW w:w="2898" w:type="dxa"/>
            <w:tcBorders>
              <w:top w:val="single" w:sz="7" w:space="0" w:color="000000"/>
              <w:left w:val="single" w:sz="4" w:space="0" w:color="auto"/>
              <w:bottom w:val="single" w:sz="7" w:space="0" w:color="000000"/>
              <w:right w:val="single" w:sz="6" w:space="0" w:color="000000"/>
            </w:tcBorders>
            <w:shd w:val="clear" w:color="auto" w:fill="auto"/>
          </w:tcPr>
          <w:p w14:paraId="16111D36" w14:textId="77777777" w:rsidR="00DF61BC" w:rsidRPr="00C94C33" w:rsidRDefault="00DF61BC" w:rsidP="00C844C0">
            <w:pPr>
              <w:pStyle w:val="Tabletext"/>
            </w:pPr>
            <w:r w:rsidRPr="00C94C33">
              <w:t>Radiologic</w:t>
            </w:r>
            <w:r w:rsidRPr="00C94C33">
              <w:rPr>
                <w:spacing w:val="-20"/>
              </w:rPr>
              <w:t xml:space="preserve"> </w:t>
            </w:r>
            <w:r w:rsidRPr="00C94C33">
              <w:t>progression</w:t>
            </w:r>
          </w:p>
        </w:tc>
        <w:tc>
          <w:tcPr>
            <w:tcW w:w="1710" w:type="dxa"/>
            <w:tcBorders>
              <w:top w:val="single" w:sz="7" w:space="0" w:color="000000"/>
              <w:left w:val="single" w:sz="6" w:space="0" w:color="000000"/>
              <w:bottom w:val="single" w:sz="7" w:space="0" w:color="000000"/>
            </w:tcBorders>
            <w:shd w:val="clear" w:color="auto" w:fill="auto"/>
          </w:tcPr>
          <w:p w14:paraId="299A5691" w14:textId="77777777" w:rsidR="00DF61BC" w:rsidRPr="00C94C33" w:rsidRDefault="00DF61BC" w:rsidP="00C844C0">
            <w:pPr>
              <w:pStyle w:val="Tabletext"/>
              <w:jc w:val="center"/>
            </w:pPr>
            <w:r w:rsidRPr="00C94C33">
              <w:t>3</w:t>
            </w:r>
            <w:r w:rsidRPr="00C94C33">
              <w:rPr>
                <w:spacing w:val="-6"/>
              </w:rPr>
              <w:t xml:space="preserve"> </w:t>
            </w:r>
            <w:r w:rsidRPr="00C94C33">
              <w:t>(5.5)</w:t>
            </w:r>
          </w:p>
        </w:tc>
        <w:tc>
          <w:tcPr>
            <w:tcW w:w="1710" w:type="dxa"/>
            <w:tcBorders>
              <w:top w:val="single" w:sz="7" w:space="0" w:color="000000"/>
              <w:left w:val="nil"/>
              <w:bottom w:val="single" w:sz="7" w:space="0" w:color="000000"/>
              <w:right w:val="single" w:sz="6" w:space="0" w:color="000000"/>
            </w:tcBorders>
            <w:shd w:val="clear" w:color="auto" w:fill="auto"/>
          </w:tcPr>
          <w:p w14:paraId="20F7CA20" w14:textId="77777777" w:rsidR="00DF61BC" w:rsidRPr="00C94C33" w:rsidRDefault="00DF61BC" w:rsidP="00C844C0">
            <w:pPr>
              <w:pStyle w:val="Tabletext"/>
              <w:jc w:val="center"/>
            </w:pPr>
            <w:r w:rsidRPr="00C94C33">
              <w:t>1</w:t>
            </w:r>
            <w:r w:rsidRPr="00C94C33">
              <w:rPr>
                <w:spacing w:val="-6"/>
              </w:rPr>
              <w:t xml:space="preserve"> </w:t>
            </w:r>
            <w:r w:rsidRPr="00C94C33">
              <w:t>(1.8)</w:t>
            </w:r>
          </w:p>
        </w:tc>
        <w:tc>
          <w:tcPr>
            <w:tcW w:w="1620" w:type="dxa"/>
            <w:tcBorders>
              <w:top w:val="single" w:sz="7" w:space="0" w:color="000000"/>
              <w:left w:val="single" w:sz="6" w:space="0" w:color="000000"/>
              <w:bottom w:val="single" w:sz="7" w:space="0" w:color="000000"/>
            </w:tcBorders>
            <w:shd w:val="clear" w:color="auto" w:fill="auto"/>
          </w:tcPr>
          <w:p w14:paraId="5D11F21C" w14:textId="77777777" w:rsidR="00DF61BC" w:rsidRPr="00C94C33" w:rsidRDefault="00DF61BC" w:rsidP="00C844C0">
            <w:pPr>
              <w:pStyle w:val="Tabletext"/>
              <w:jc w:val="center"/>
            </w:pPr>
            <w:r w:rsidRPr="00C94C33">
              <w:t>2</w:t>
            </w:r>
            <w:r w:rsidRPr="00C94C33">
              <w:rPr>
                <w:spacing w:val="-6"/>
              </w:rPr>
              <w:t xml:space="preserve"> </w:t>
            </w:r>
            <w:r w:rsidRPr="00C94C33">
              <w:t>(5.6)</w:t>
            </w:r>
          </w:p>
        </w:tc>
        <w:tc>
          <w:tcPr>
            <w:tcW w:w="1638" w:type="dxa"/>
            <w:tcBorders>
              <w:top w:val="single" w:sz="7" w:space="0" w:color="000000"/>
              <w:left w:val="nil"/>
              <w:bottom w:val="single" w:sz="7" w:space="0" w:color="000000"/>
              <w:right w:val="single" w:sz="4" w:space="0" w:color="auto"/>
            </w:tcBorders>
            <w:shd w:val="clear" w:color="auto" w:fill="auto"/>
          </w:tcPr>
          <w:p w14:paraId="1481F6C3" w14:textId="77777777" w:rsidR="00DF61BC" w:rsidRPr="00C94C33" w:rsidRDefault="00DF61BC" w:rsidP="00C844C0">
            <w:pPr>
              <w:pStyle w:val="Tabletext"/>
              <w:jc w:val="center"/>
            </w:pPr>
            <w:r w:rsidRPr="00C94C33">
              <w:t>0</w:t>
            </w:r>
          </w:p>
        </w:tc>
      </w:tr>
      <w:tr w:rsidR="00DF61BC" w:rsidRPr="00C94C33" w14:paraId="0EA109E3" w14:textId="77777777" w:rsidTr="00C844C0">
        <w:trPr>
          <w:trHeight w:hRule="exact" w:val="328"/>
        </w:trPr>
        <w:tc>
          <w:tcPr>
            <w:tcW w:w="2898" w:type="dxa"/>
            <w:tcBorders>
              <w:top w:val="single" w:sz="7" w:space="0" w:color="000000"/>
              <w:left w:val="single" w:sz="4" w:space="0" w:color="auto"/>
              <w:bottom w:val="single" w:sz="7" w:space="0" w:color="000000"/>
              <w:right w:val="single" w:sz="6" w:space="0" w:color="000000"/>
            </w:tcBorders>
            <w:shd w:val="clear" w:color="auto" w:fill="auto"/>
          </w:tcPr>
          <w:p w14:paraId="4C7C0F23" w14:textId="77777777" w:rsidR="00DF61BC" w:rsidRPr="00C94C33" w:rsidRDefault="00DF61BC" w:rsidP="00C844C0">
            <w:pPr>
              <w:pStyle w:val="Tabletext"/>
            </w:pPr>
            <w:r w:rsidRPr="00C94C33">
              <w:t>Patient</w:t>
            </w:r>
            <w:r w:rsidRPr="00C94C33">
              <w:rPr>
                <w:spacing w:val="-11"/>
              </w:rPr>
              <w:t xml:space="preserve"> </w:t>
            </w:r>
            <w:r w:rsidRPr="00C94C33">
              <w:t>withdrew</w:t>
            </w:r>
            <w:r w:rsidRPr="00C94C33">
              <w:rPr>
                <w:spacing w:val="-11"/>
              </w:rPr>
              <w:t xml:space="preserve"> </w:t>
            </w:r>
            <w:r w:rsidRPr="00C94C33">
              <w:t>consent</w:t>
            </w:r>
          </w:p>
        </w:tc>
        <w:tc>
          <w:tcPr>
            <w:tcW w:w="1710" w:type="dxa"/>
            <w:tcBorders>
              <w:top w:val="single" w:sz="7" w:space="0" w:color="000000"/>
              <w:left w:val="single" w:sz="6" w:space="0" w:color="000000"/>
              <w:bottom w:val="single" w:sz="7" w:space="0" w:color="000000"/>
            </w:tcBorders>
            <w:shd w:val="clear" w:color="auto" w:fill="auto"/>
          </w:tcPr>
          <w:p w14:paraId="4E5D83B0" w14:textId="77777777" w:rsidR="00DF61BC" w:rsidRPr="00C94C33" w:rsidRDefault="00DF61BC" w:rsidP="00C844C0">
            <w:pPr>
              <w:pStyle w:val="Tabletext"/>
              <w:jc w:val="center"/>
            </w:pPr>
            <w:r w:rsidRPr="00C94C33">
              <w:t>0</w:t>
            </w:r>
          </w:p>
        </w:tc>
        <w:tc>
          <w:tcPr>
            <w:tcW w:w="1710" w:type="dxa"/>
            <w:tcBorders>
              <w:top w:val="single" w:sz="7" w:space="0" w:color="000000"/>
              <w:left w:val="nil"/>
              <w:bottom w:val="single" w:sz="7" w:space="0" w:color="000000"/>
              <w:right w:val="single" w:sz="6" w:space="0" w:color="000000"/>
            </w:tcBorders>
            <w:shd w:val="clear" w:color="auto" w:fill="auto"/>
          </w:tcPr>
          <w:p w14:paraId="7491C5D6" w14:textId="77777777" w:rsidR="00DF61BC" w:rsidRPr="00C94C33" w:rsidRDefault="00DF61BC" w:rsidP="00C844C0">
            <w:pPr>
              <w:pStyle w:val="Tabletext"/>
              <w:jc w:val="center"/>
            </w:pPr>
            <w:r w:rsidRPr="00C94C33">
              <w:t>0</w:t>
            </w:r>
          </w:p>
        </w:tc>
        <w:tc>
          <w:tcPr>
            <w:tcW w:w="1620" w:type="dxa"/>
            <w:tcBorders>
              <w:top w:val="single" w:sz="7" w:space="0" w:color="000000"/>
              <w:left w:val="single" w:sz="6" w:space="0" w:color="000000"/>
              <w:bottom w:val="single" w:sz="7" w:space="0" w:color="000000"/>
            </w:tcBorders>
            <w:shd w:val="clear" w:color="auto" w:fill="auto"/>
          </w:tcPr>
          <w:p w14:paraId="175F86D9" w14:textId="77777777" w:rsidR="00DF61BC" w:rsidRPr="00C94C33" w:rsidRDefault="00DF61BC" w:rsidP="00C844C0">
            <w:pPr>
              <w:pStyle w:val="Tabletext"/>
              <w:jc w:val="center"/>
            </w:pPr>
            <w:r w:rsidRPr="00C94C33">
              <w:t>0</w:t>
            </w:r>
          </w:p>
        </w:tc>
        <w:tc>
          <w:tcPr>
            <w:tcW w:w="1638" w:type="dxa"/>
            <w:tcBorders>
              <w:top w:val="single" w:sz="7" w:space="0" w:color="000000"/>
              <w:left w:val="nil"/>
              <w:bottom w:val="single" w:sz="7" w:space="0" w:color="000000"/>
              <w:right w:val="single" w:sz="4" w:space="0" w:color="auto"/>
            </w:tcBorders>
            <w:shd w:val="clear" w:color="auto" w:fill="auto"/>
          </w:tcPr>
          <w:p w14:paraId="46C50015" w14:textId="77777777" w:rsidR="00DF61BC" w:rsidRPr="00C94C33" w:rsidRDefault="00DF61BC" w:rsidP="00C844C0">
            <w:pPr>
              <w:pStyle w:val="Tabletext"/>
              <w:jc w:val="center"/>
            </w:pPr>
            <w:r w:rsidRPr="00C94C33">
              <w:t>0</w:t>
            </w:r>
          </w:p>
        </w:tc>
      </w:tr>
      <w:tr w:rsidR="00DF61BC" w:rsidRPr="00C94C33" w14:paraId="18719CA6" w14:textId="77777777" w:rsidTr="00C844C0">
        <w:trPr>
          <w:trHeight w:hRule="exact" w:val="329"/>
        </w:trPr>
        <w:tc>
          <w:tcPr>
            <w:tcW w:w="2898" w:type="dxa"/>
            <w:tcBorders>
              <w:top w:val="single" w:sz="7" w:space="0" w:color="000000"/>
              <w:left w:val="single" w:sz="4" w:space="0" w:color="auto"/>
              <w:bottom w:val="single" w:sz="7" w:space="0" w:color="000000"/>
              <w:right w:val="single" w:sz="6" w:space="0" w:color="000000"/>
            </w:tcBorders>
            <w:shd w:val="clear" w:color="auto" w:fill="auto"/>
          </w:tcPr>
          <w:p w14:paraId="5304FE4A" w14:textId="77777777" w:rsidR="00DF61BC" w:rsidRPr="00C94C33" w:rsidRDefault="00DF61BC" w:rsidP="00C844C0">
            <w:pPr>
              <w:pStyle w:val="Tabletext"/>
            </w:pPr>
            <w:r w:rsidRPr="00C94C33">
              <w:t>Death</w:t>
            </w:r>
          </w:p>
        </w:tc>
        <w:tc>
          <w:tcPr>
            <w:tcW w:w="1710" w:type="dxa"/>
            <w:tcBorders>
              <w:top w:val="single" w:sz="7" w:space="0" w:color="000000"/>
              <w:left w:val="single" w:sz="6" w:space="0" w:color="000000"/>
              <w:bottom w:val="single" w:sz="7" w:space="0" w:color="000000"/>
            </w:tcBorders>
            <w:shd w:val="clear" w:color="auto" w:fill="auto"/>
          </w:tcPr>
          <w:p w14:paraId="019C38E6" w14:textId="77777777" w:rsidR="00DF61BC" w:rsidRPr="00C94C33" w:rsidRDefault="00DF61BC" w:rsidP="00C844C0">
            <w:pPr>
              <w:pStyle w:val="Tabletext"/>
              <w:jc w:val="center"/>
            </w:pPr>
            <w:r w:rsidRPr="00C94C33">
              <w:t>0</w:t>
            </w:r>
          </w:p>
        </w:tc>
        <w:tc>
          <w:tcPr>
            <w:tcW w:w="1710" w:type="dxa"/>
            <w:tcBorders>
              <w:top w:val="single" w:sz="7" w:space="0" w:color="000000"/>
              <w:left w:val="nil"/>
              <w:bottom w:val="single" w:sz="7" w:space="0" w:color="000000"/>
              <w:right w:val="single" w:sz="6" w:space="0" w:color="000000"/>
            </w:tcBorders>
            <w:shd w:val="clear" w:color="auto" w:fill="auto"/>
          </w:tcPr>
          <w:p w14:paraId="613F8520" w14:textId="77777777" w:rsidR="00DF61BC" w:rsidRPr="00C94C33" w:rsidRDefault="00DF61BC" w:rsidP="00C844C0">
            <w:pPr>
              <w:pStyle w:val="Tabletext"/>
              <w:jc w:val="center"/>
            </w:pPr>
            <w:r w:rsidRPr="00C94C33">
              <w:t>0</w:t>
            </w:r>
          </w:p>
        </w:tc>
        <w:tc>
          <w:tcPr>
            <w:tcW w:w="1620" w:type="dxa"/>
            <w:tcBorders>
              <w:top w:val="single" w:sz="7" w:space="0" w:color="000000"/>
              <w:left w:val="single" w:sz="6" w:space="0" w:color="000000"/>
              <w:bottom w:val="single" w:sz="7" w:space="0" w:color="000000"/>
            </w:tcBorders>
            <w:shd w:val="clear" w:color="auto" w:fill="auto"/>
          </w:tcPr>
          <w:p w14:paraId="5CE317F5" w14:textId="77777777" w:rsidR="00DF61BC" w:rsidRPr="00C94C33" w:rsidRDefault="00DF61BC" w:rsidP="00C844C0">
            <w:pPr>
              <w:pStyle w:val="Tabletext"/>
              <w:jc w:val="center"/>
            </w:pPr>
            <w:r w:rsidRPr="00C94C33">
              <w:t>0</w:t>
            </w:r>
          </w:p>
        </w:tc>
        <w:tc>
          <w:tcPr>
            <w:tcW w:w="1638" w:type="dxa"/>
            <w:tcBorders>
              <w:top w:val="single" w:sz="7" w:space="0" w:color="000000"/>
              <w:left w:val="nil"/>
              <w:bottom w:val="single" w:sz="7" w:space="0" w:color="000000"/>
              <w:right w:val="single" w:sz="4" w:space="0" w:color="auto"/>
            </w:tcBorders>
            <w:shd w:val="clear" w:color="auto" w:fill="auto"/>
          </w:tcPr>
          <w:p w14:paraId="0F1AF690" w14:textId="77777777" w:rsidR="00DF61BC" w:rsidRPr="00C94C33" w:rsidRDefault="00DF61BC" w:rsidP="00C844C0">
            <w:pPr>
              <w:pStyle w:val="Tabletext"/>
              <w:jc w:val="center"/>
            </w:pPr>
            <w:r w:rsidRPr="00C94C33">
              <w:t>0</w:t>
            </w:r>
          </w:p>
        </w:tc>
      </w:tr>
      <w:tr w:rsidR="00DF61BC" w:rsidRPr="00C94C33" w14:paraId="57AEC621" w14:textId="77777777" w:rsidTr="00C844C0">
        <w:trPr>
          <w:trHeight w:hRule="exact" w:val="327"/>
        </w:trPr>
        <w:tc>
          <w:tcPr>
            <w:tcW w:w="2898" w:type="dxa"/>
            <w:tcBorders>
              <w:top w:val="single" w:sz="7" w:space="0" w:color="000000"/>
              <w:left w:val="single" w:sz="4" w:space="0" w:color="auto"/>
              <w:bottom w:val="single" w:sz="6" w:space="0" w:color="000000"/>
              <w:right w:val="single" w:sz="6" w:space="0" w:color="000000"/>
            </w:tcBorders>
            <w:shd w:val="clear" w:color="auto" w:fill="auto"/>
          </w:tcPr>
          <w:p w14:paraId="599357D5" w14:textId="77777777" w:rsidR="00DF61BC" w:rsidRPr="00C94C33" w:rsidRDefault="00DF61BC" w:rsidP="00C844C0">
            <w:pPr>
              <w:pStyle w:val="Tabletext"/>
            </w:pPr>
            <w:r w:rsidRPr="00C94C33">
              <w:t>Other</w:t>
            </w:r>
          </w:p>
        </w:tc>
        <w:tc>
          <w:tcPr>
            <w:tcW w:w="1710" w:type="dxa"/>
            <w:tcBorders>
              <w:top w:val="single" w:sz="7" w:space="0" w:color="000000"/>
              <w:left w:val="single" w:sz="6" w:space="0" w:color="000000"/>
              <w:bottom w:val="single" w:sz="6" w:space="0" w:color="000000"/>
            </w:tcBorders>
            <w:shd w:val="clear" w:color="auto" w:fill="auto"/>
          </w:tcPr>
          <w:p w14:paraId="049D63D2" w14:textId="77777777" w:rsidR="00DF61BC" w:rsidRPr="00C94C33" w:rsidRDefault="00DF61BC" w:rsidP="00C844C0">
            <w:pPr>
              <w:pStyle w:val="Tabletext"/>
              <w:jc w:val="center"/>
            </w:pPr>
            <w:r w:rsidRPr="00C94C33">
              <w:t>0</w:t>
            </w:r>
          </w:p>
        </w:tc>
        <w:tc>
          <w:tcPr>
            <w:tcW w:w="1710" w:type="dxa"/>
            <w:tcBorders>
              <w:top w:val="single" w:sz="7" w:space="0" w:color="000000"/>
              <w:left w:val="nil"/>
              <w:bottom w:val="single" w:sz="6" w:space="0" w:color="000000"/>
              <w:right w:val="single" w:sz="6" w:space="0" w:color="000000"/>
            </w:tcBorders>
            <w:shd w:val="clear" w:color="auto" w:fill="auto"/>
          </w:tcPr>
          <w:p w14:paraId="250B0FCF" w14:textId="77777777" w:rsidR="00DF61BC" w:rsidRPr="00C94C33" w:rsidRDefault="00DF61BC" w:rsidP="00C844C0">
            <w:pPr>
              <w:pStyle w:val="Tabletext"/>
              <w:jc w:val="center"/>
            </w:pPr>
            <w:r w:rsidRPr="00C94C33">
              <w:t>0</w:t>
            </w:r>
          </w:p>
        </w:tc>
        <w:tc>
          <w:tcPr>
            <w:tcW w:w="1620" w:type="dxa"/>
            <w:tcBorders>
              <w:top w:val="single" w:sz="7" w:space="0" w:color="000000"/>
              <w:left w:val="single" w:sz="6" w:space="0" w:color="000000"/>
              <w:bottom w:val="single" w:sz="6" w:space="0" w:color="000000"/>
            </w:tcBorders>
            <w:shd w:val="clear" w:color="auto" w:fill="auto"/>
          </w:tcPr>
          <w:p w14:paraId="346A4B98" w14:textId="77777777" w:rsidR="00DF61BC" w:rsidRPr="00C94C33" w:rsidRDefault="00DF61BC" w:rsidP="00C844C0">
            <w:pPr>
              <w:pStyle w:val="Tabletext"/>
              <w:jc w:val="center"/>
            </w:pPr>
            <w:r w:rsidRPr="00C94C33">
              <w:t>0</w:t>
            </w:r>
          </w:p>
        </w:tc>
        <w:tc>
          <w:tcPr>
            <w:tcW w:w="1638" w:type="dxa"/>
            <w:tcBorders>
              <w:top w:val="single" w:sz="7" w:space="0" w:color="000000"/>
              <w:left w:val="nil"/>
              <w:bottom w:val="single" w:sz="6" w:space="0" w:color="000000"/>
              <w:right w:val="single" w:sz="4" w:space="0" w:color="auto"/>
            </w:tcBorders>
            <w:shd w:val="clear" w:color="auto" w:fill="auto"/>
          </w:tcPr>
          <w:p w14:paraId="6CE2E66D" w14:textId="77777777" w:rsidR="00DF61BC" w:rsidRPr="00C94C33" w:rsidRDefault="00DF61BC" w:rsidP="00C844C0">
            <w:pPr>
              <w:pStyle w:val="Tabletext"/>
              <w:jc w:val="center"/>
            </w:pPr>
            <w:r w:rsidRPr="00C94C33">
              <w:t>0</w:t>
            </w:r>
          </w:p>
        </w:tc>
      </w:tr>
    </w:tbl>
    <w:p w14:paraId="66F3B46E" w14:textId="7EB5D8E9" w:rsidR="00DF61BC" w:rsidRPr="00C94C33" w:rsidRDefault="00DF61BC" w:rsidP="00983724">
      <w:pPr>
        <w:autoSpaceDE w:val="0"/>
        <w:autoSpaceDN w:val="0"/>
        <w:adjustRightInd w:val="0"/>
        <w:rPr>
          <w:rFonts w:asciiTheme="minorHAnsi" w:hAnsiTheme="minorHAnsi"/>
          <w:color w:val="000000"/>
        </w:rPr>
      </w:pPr>
      <w:r w:rsidRPr="00C94C33">
        <w:rPr>
          <w:rFonts w:asciiTheme="minorHAnsi" w:eastAsia="TimesNewRoman" w:hAnsiTheme="minorHAnsi" w:cs="TimesNewRoman"/>
        </w:rPr>
        <w:t xml:space="preserve">Adverse events/SAEs reported as the </w:t>
      </w:r>
      <w:r w:rsidRPr="005C2FCA">
        <w:rPr>
          <w:rFonts w:asciiTheme="minorHAnsi" w:eastAsia="TimesNewRoman" w:hAnsiTheme="minorHAnsi" w:cs="TimesNewRoman"/>
        </w:rPr>
        <w:t>primary reason for discontinuation</w:t>
      </w:r>
      <w:r w:rsidRPr="00C94C33">
        <w:rPr>
          <w:rFonts w:asciiTheme="minorHAnsi" w:eastAsia="TimesNewRoman" w:hAnsiTheme="minorHAnsi" w:cs="TimesNewRoman"/>
        </w:rPr>
        <w:t xml:space="preserve"> in ≥ 2 patients </w:t>
      </w:r>
      <w:r w:rsidR="00A0007E" w:rsidRPr="00C94C33">
        <w:rPr>
          <w:rFonts w:asciiTheme="minorHAnsi" w:eastAsia="TimesNewRoman" w:hAnsiTheme="minorHAnsi" w:cs="TimesNewRoman"/>
        </w:rPr>
        <w:t>(</w:t>
      </w:r>
      <w:r w:rsidRPr="00C94C33">
        <w:rPr>
          <w:rFonts w:asciiTheme="minorHAnsi" w:eastAsia="TimesNewRoman" w:hAnsiTheme="minorHAnsi" w:cs="TimesNewRoman"/>
        </w:rPr>
        <w:t>≥ 0.4%</w:t>
      </w:r>
      <w:r w:rsidR="00A0007E" w:rsidRPr="00C94C33">
        <w:rPr>
          <w:rFonts w:asciiTheme="minorHAnsi" w:eastAsia="TimesNewRoman" w:hAnsiTheme="minorHAnsi" w:cs="TimesNewRoman"/>
        </w:rPr>
        <w:t>)</w:t>
      </w:r>
      <w:r w:rsidRPr="00C94C33">
        <w:rPr>
          <w:rFonts w:asciiTheme="minorHAnsi" w:eastAsia="TimesNewRoman" w:hAnsiTheme="minorHAnsi" w:cs="TimesNewRoman"/>
        </w:rPr>
        <w:t xml:space="preserve"> in the TAS-102 group (</w:t>
      </w:r>
      <w:r w:rsidR="009C0389" w:rsidRPr="00C94C33">
        <w:rPr>
          <w:rFonts w:asciiTheme="minorHAnsi" w:eastAsia="TimesNewRoman" w:hAnsiTheme="minorHAnsi" w:cs="TimesNewRoman"/>
        </w:rPr>
        <w:t xml:space="preserve">n = </w:t>
      </w:r>
      <w:r w:rsidRPr="00C94C33">
        <w:rPr>
          <w:rFonts w:asciiTheme="minorHAnsi" w:eastAsia="TimesNewRoman" w:hAnsiTheme="minorHAnsi" w:cs="TimesNewRoman"/>
        </w:rPr>
        <w:t>533) compared to the placebo group (</w:t>
      </w:r>
      <w:r w:rsidR="009C0389" w:rsidRPr="00C94C33">
        <w:rPr>
          <w:rFonts w:asciiTheme="minorHAnsi" w:eastAsia="TimesNewRoman" w:hAnsiTheme="minorHAnsi" w:cs="TimesNewRoman"/>
        </w:rPr>
        <w:t xml:space="preserve">n = </w:t>
      </w:r>
      <w:r w:rsidRPr="00C94C33">
        <w:rPr>
          <w:rFonts w:asciiTheme="minorHAnsi" w:eastAsia="TimesNewRoman" w:hAnsiTheme="minorHAnsi" w:cs="TimesNewRoman"/>
        </w:rPr>
        <w:t xml:space="preserve">265), were </w:t>
      </w:r>
      <w:r w:rsidRPr="00C94C33">
        <w:rPr>
          <w:rFonts w:asciiTheme="minorHAnsi" w:hAnsiTheme="minorHAnsi"/>
          <w:color w:val="000000"/>
        </w:rPr>
        <w:t xml:space="preserve">fatigue (0.8% </w:t>
      </w:r>
      <w:r w:rsidR="00A0007E" w:rsidRPr="00C94C33">
        <w:rPr>
          <w:rFonts w:asciiTheme="minorHAnsi" w:hAnsiTheme="minorHAnsi"/>
          <w:color w:val="000000"/>
        </w:rPr>
        <w:t>(</w:t>
      </w:r>
      <w:r w:rsidR="00744EDB">
        <w:rPr>
          <w:rFonts w:asciiTheme="minorHAnsi" w:hAnsiTheme="minorHAnsi"/>
          <w:color w:val="000000"/>
        </w:rPr>
        <w:t>n </w:t>
      </w:r>
      <w:r w:rsidR="009C0389" w:rsidRPr="00C94C33">
        <w:rPr>
          <w:rFonts w:asciiTheme="minorHAnsi" w:hAnsiTheme="minorHAnsi"/>
          <w:color w:val="000000"/>
        </w:rPr>
        <w:t>=</w:t>
      </w:r>
      <w:r w:rsidR="00744EDB">
        <w:rPr>
          <w:rFonts w:asciiTheme="minorHAnsi" w:hAnsiTheme="minorHAnsi"/>
          <w:color w:val="000000"/>
        </w:rPr>
        <w:t> </w:t>
      </w:r>
      <w:r w:rsidRPr="00C94C33">
        <w:rPr>
          <w:rFonts w:asciiTheme="minorHAnsi" w:hAnsiTheme="minorHAnsi"/>
          <w:color w:val="000000"/>
        </w:rPr>
        <w:t>4</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0%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0</w:t>
      </w:r>
      <w:r w:rsidR="00A0007E" w:rsidRPr="00C94C33">
        <w:rPr>
          <w:rFonts w:asciiTheme="minorHAnsi" w:hAnsiTheme="minorHAnsi"/>
          <w:color w:val="000000"/>
        </w:rPr>
        <w:t>)</w:t>
      </w:r>
      <w:r w:rsidRPr="00C94C33">
        <w:rPr>
          <w:rFonts w:asciiTheme="minorHAnsi" w:hAnsiTheme="minorHAnsi"/>
          <w:color w:val="000000"/>
        </w:rPr>
        <w:t xml:space="preserve">), anaemia (0.4%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2</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0%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0</w:t>
      </w:r>
      <w:r w:rsidR="00A0007E" w:rsidRPr="00C94C33">
        <w:rPr>
          <w:rFonts w:asciiTheme="minorHAnsi" w:hAnsiTheme="minorHAnsi"/>
          <w:color w:val="000000"/>
        </w:rPr>
        <w:t>)</w:t>
      </w:r>
      <w:r w:rsidRPr="00C94C33">
        <w:rPr>
          <w:rFonts w:asciiTheme="minorHAnsi" w:hAnsiTheme="minorHAnsi"/>
          <w:color w:val="000000"/>
        </w:rPr>
        <w:t xml:space="preserve">), diarrhoea (0.4%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2</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0%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0</w:t>
      </w:r>
      <w:r w:rsidR="00A0007E" w:rsidRPr="00C94C33">
        <w:rPr>
          <w:rFonts w:asciiTheme="minorHAnsi" w:hAnsiTheme="minorHAnsi"/>
          <w:color w:val="000000"/>
        </w:rPr>
        <w:t>)</w:t>
      </w:r>
      <w:r w:rsidRPr="00C94C33">
        <w:rPr>
          <w:rFonts w:asciiTheme="minorHAnsi" w:hAnsiTheme="minorHAnsi"/>
          <w:color w:val="000000"/>
        </w:rPr>
        <w:t xml:space="preserve">), ileus (0.4%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2</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0%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0</w:t>
      </w:r>
      <w:r w:rsidR="00A0007E" w:rsidRPr="00C94C33">
        <w:rPr>
          <w:rFonts w:asciiTheme="minorHAnsi" w:hAnsiTheme="minorHAnsi"/>
          <w:color w:val="000000"/>
        </w:rPr>
        <w:t>)</w:t>
      </w:r>
      <w:r w:rsidRPr="00C94C33">
        <w:rPr>
          <w:rFonts w:asciiTheme="minorHAnsi" w:hAnsiTheme="minorHAnsi"/>
          <w:color w:val="000000"/>
        </w:rPr>
        <w:t>), general physical health deterioration (</w:t>
      </w:r>
      <w:r w:rsidR="00744EDB">
        <w:rPr>
          <w:rFonts w:asciiTheme="minorHAnsi" w:hAnsiTheme="minorHAnsi"/>
          <w:color w:val="000000"/>
        </w:rPr>
        <w:t>n </w:t>
      </w:r>
      <w:r w:rsidR="009C0389" w:rsidRPr="00C94C33">
        <w:rPr>
          <w:rFonts w:asciiTheme="minorHAnsi" w:hAnsiTheme="minorHAnsi"/>
          <w:color w:val="000000"/>
        </w:rPr>
        <w:t xml:space="preserve">= </w:t>
      </w:r>
      <w:r w:rsidRPr="00C94C33">
        <w:rPr>
          <w:rFonts w:asciiTheme="minorHAnsi" w:hAnsiTheme="minorHAnsi"/>
          <w:color w:val="000000"/>
        </w:rPr>
        <w:t xml:space="preserve">2 </w:t>
      </w:r>
      <w:r w:rsidR="00A0007E" w:rsidRPr="00C94C33">
        <w:rPr>
          <w:rFonts w:asciiTheme="minorHAnsi" w:hAnsiTheme="minorHAnsi"/>
          <w:color w:val="000000"/>
        </w:rPr>
        <w:t>(</w:t>
      </w:r>
      <w:r w:rsidRPr="00C94C33">
        <w:rPr>
          <w:rFonts w:asciiTheme="minorHAnsi" w:hAnsiTheme="minorHAnsi"/>
          <w:color w:val="000000"/>
        </w:rPr>
        <w:t>0.4%</w:t>
      </w:r>
      <w:r w:rsidR="00C11183">
        <w:rPr>
          <w:rFonts w:asciiTheme="minorHAnsi" w:hAnsiTheme="minorHAnsi"/>
          <w:color w:val="000000"/>
        </w:rPr>
        <w:t xml:space="preserve"> versus </w:t>
      </w:r>
      <w:r w:rsidR="009C0389" w:rsidRPr="00C94C33">
        <w:rPr>
          <w:rFonts w:asciiTheme="minorHAnsi" w:hAnsiTheme="minorHAnsi"/>
          <w:color w:val="000000"/>
        </w:rPr>
        <w:t xml:space="preserve">n = </w:t>
      </w:r>
      <w:r w:rsidRPr="00C94C33">
        <w:rPr>
          <w:rFonts w:asciiTheme="minorHAnsi" w:hAnsiTheme="minorHAnsi"/>
          <w:color w:val="000000"/>
        </w:rPr>
        <w:t xml:space="preserve">1 </w:t>
      </w:r>
      <w:r w:rsidR="00A0007E" w:rsidRPr="00C94C33">
        <w:rPr>
          <w:rFonts w:asciiTheme="minorHAnsi" w:hAnsiTheme="minorHAnsi"/>
          <w:color w:val="000000"/>
        </w:rPr>
        <w:t>(</w:t>
      </w:r>
      <w:r w:rsidRPr="00C94C33">
        <w:rPr>
          <w:rFonts w:asciiTheme="minorHAnsi" w:hAnsiTheme="minorHAnsi"/>
          <w:color w:val="000000"/>
        </w:rPr>
        <w:t>0.4%</w:t>
      </w:r>
      <w:r w:rsidR="00A0007E" w:rsidRPr="00C94C33">
        <w:rPr>
          <w:rFonts w:asciiTheme="minorHAnsi" w:hAnsiTheme="minorHAnsi"/>
          <w:color w:val="000000"/>
        </w:rPr>
        <w:t>)</w:t>
      </w:r>
      <w:r w:rsidRPr="00C94C33">
        <w:rPr>
          <w:rFonts w:asciiTheme="minorHAnsi" w:hAnsiTheme="minorHAnsi"/>
          <w:color w:val="000000"/>
        </w:rPr>
        <w:t xml:space="preserve">). Discontinuations with the primary reason given as adverse event/SAE in patients in the TAS-102 group (3.6% </w:t>
      </w:r>
      <w:r w:rsidR="00A0007E" w:rsidRPr="00C94C33">
        <w:rPr>
          <w:rFonts w:asciiTheme="minorHAnsi" w:hAnsiTheme="minorHAnsi"/>
          <w:color w:val="000000"/>
        </w:rPr>
        <w:t>(</w:t>
      </w:r>
      <w:r w:rsidRPr="00C94C33">
        <w:rPr>
          <w:rFonts w:asciiTheme="minorHAnsi" w:hAnsiTheme="minorHAnsi"/>
          <w:color w:val="000000"/>
        </w:rPr>
        <w:t>19/533</w:t>
      </w:r>
      <w:r w:rsidR="00A0007E" w:rsidRPr="00C94C33">
        <w:rPr>
          <w:rFonts w:asciiTheme="minorHAnsi" w:hAnsiTheme="minorHAnsi"/>
          <w:color w:val="000000"/>
        </w:rPr>
        <w:t>)</w:t>
      </w:r>
      <w:r w:rsidRPr="00C94C33">
        <w:rPr>
          <w:rFonts w:asciiTheme="minorHAnsi" w:hAnsiTheme="minorHAnsi"/>
          <w:color w:val="000000"/>
        </w:rPr>
        <w:t xml:space="preserve">) and the placebo group (1.5% </w:t>
      </w:r>
      <w:r w:rsidR="00A0007E" w:rsidRPr="00C94C33">
        <w:rPr>
          <w:rFonts w:asciiTheme="minorHAnsi" w:hAnsiTheme="minorHAnsi"/>
          <w:color w:val="000000"/>
        </w:rPr>
        <w:t>(</w:t>
      </w:r>
      <w:r w:rsidRPr="00C94C33">
        <w:rPr>
          <w:rFonts w:asciiTheme="minorHAnsi" w:hAnsiTheme="minorHAnsi"/>
          <w:color w:val="000000"/>
        </w:rPr>
        <w:t>4/265</w:t>
      </w:r>
      <w:r w:rsidR="00A0007E" w:rsidRPr="00C94C33">
        <w:rPr>
          <w:rFonts w:asciiTheme="minorHAnsi" w:hAnsiTheme="minorHAnsi"/>
          <w:color w:val="000000"/>
        </w:rPr>
        <w:t>)</w:t>
      </w:r>
      <w:r w:rsidRPr="00C94C33">
        <w:rPr>
          <w:rFonts w:asciiTheme="minorHAnsi" w:hAnsiTheme="minorHAnsi"/>
          <w:color w:val="000000"/>
        </w:rPr>
        <w:t>) are summarised. It should be noted that the percentages provided for discontinuations due to adverse event/SAE presented, are based on the total number of patients discontinuing rather than the total number as-treated patients.</w:t>
      </w:r>
    </w:p>
    <w:p w14:paraId="2E5DD500" w14:textId="77777777" w:rsidR="00DF61BC" w:rsidRPr="00C94C33" w:rsidRDefault="00DF61BC" w:rsidP="00955252">
      <w:pPr>
        <w:pStyle w:val="Heading4"/>
      </w:pPr>
      <w:bookmarkStart w:id="372" w:name="_Toc470948578"/>
      <w:r w:rsidRPr="00C94C33">
        <w:lastRenderedPageBreak/>
        <w:t>Adverse events leading to interruption/delay or reduction of study medication</w:t>
      </w:r>
      <w:bookmarkEnd w:id="372"/>
    </w:p>
    <w:p w14:paraId="60C13033" w14:textId="7A295DDF" w:rsidR="00DF61BC" w:rsidRPr="00C94C33" w:rsidRDefault="00DF61BC" w:rsidP="00DF61BC">
      <w:pPr>
        <w:autoSpaceDE w:val="0"/>
        <w:autoSpaceDN w:val="0"/>
        <w:adjustRightInd w:val="0"/>
        <w:rPr>
          <w:rFonts w:asciiTheme="minorHAnsi" w:hAnsiTheme="minorHAnsi"/>
          <w:color w:val="000000"/>
        </w:rPr>
      </w:pPr>
      <w:r w:rsidRPr="00C94C33">
        <w:rPr>
          <w:rFonts w:asciiTheme="minorHAnsi" w:hAnsiTheme="minorHAnsi"/>
          <w:color w:val="000000"/>
        </w:rPr>
        <w:t>AEs (all Grades) resulting in dose reduction were reported in 13.5% (</w:t>
      </w:r>
      <w:r w:rsidR="009C0389" w:rsidRPr="00C94C33">
        <w:rPr>
          <w:rFonts w:asciiTheme="minorHAnsi" w:hAnsiTheme="minorHAnsi"/>
          <w:color w:val="000000"/>
        </w:rPr>
        <w:t xml:space="preserve">n = </w:t>
      </w:r>
      <w:r w:rsidRPr="00C94C33">
        <w:rPr>
          <w:rFonts w:asciiTheme="minorHAnsi" w:hAnsiTheme="minorHAnsi"/>
          <w:color w:val="000000"/>
        </w:rPr>
        <w:t>72) of patients in the TAS-102 group and 0.8% (</w:t>
      </w:r>
      <w:r w:rsidR="009C0389" w:rsidRPr="00C94C33">
        <w:rPr>
          <w:rFonts w:asciiTheme="minorHAnsi" w:hAnsiTheme="minorHAnsi"/>
          <w:color w:val="000000"/>
        </w:rPr>
        <w:t xml:space="preserve">n = </w:t>
      </w:r>
      <w:r w:rsidRPr="00C94C33">
        <w:rPr>
          <w:rFonts w:asciiTheme="minorHAnsi" w:hAnsiTheme="minorHAnsi"/>
          <w:color w:val="000000"/>
        </w:rPr>
        <w:t xml:space="preserve">2) of patients in the placebo group, with the majority of events being characterised as Grade ≥ 3 AEs (12.0%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64</w:t>
      </w:r>
      <w:r w:rsidR="00A0007E" w:rsidRPr="00C94C33">
        <w:rPr>
          <w:rFonts w:asciiTheme="minorHAnsi" w:hAnsiTheme="minorHAnsi"/>
          <w:color w:val="000000"/>
        </w:rPr>
        <w:t>)</w:t>
      </w:r>
      <w:r w:rsidRPr="00C94C33">
        <w:rPr>
          <w:rFonts w:asciiTheme="minorHAnsi" w:hAnsiTheme="minorHAnsi"/>
          <w:color w:val="000000"/>
        </w:rPr>
        <w:t xml:space="preserve"> in the TAS-102 group</w:t>
      </w:r>
      <w:r w:rsidR="00C11183">
        <w:rPr>
          <w:rFonts w:asciiTheme="minorHAnsi" w:hAnsiTheme="minorHAnsi"/>
          <w:color w:val="000000"/>
        </w:rPr>
        <w:t xml:space="preserve"> versus </w:t>
      </w:r>
      <w:r w:rsidRPr="00C94C33">
        <w:rPr>
          <w:rFonts w:asciiTheme="minorHAnsi" w:hAnsiTheme="minorHAnsi"/>
          <w:color w:val="000000"/>
        </w:rPr>
        <w:t xml:space="preserve">0.8%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2</w:t>
      </w:r>
      <w:r w:rsidR="00A0007E" w:rsidRPr="00C94C33">
        <w:rPr>
          <w:rFonts w:asciiTheme="minorHAnsi" w:hAnsiTheme="minorHAnsi"/>
          <w:color w:val="000000"/>
        </w:rPr>
        <w:t>)</w:t>
      </w:r>
      <w:r w:rsidRPr="00C94C33">
        <w:rPr>
          <w:rFonts w:asciiTheme="minorHAnsi" w:hAnsiTheme="minorHAnsi"/>
          <w:color w:val="000000"/>
        </w:rPr>
        <w:t xml:space="preserve"> in the placebo group). AEs (all Grades) resulting in dose reduction reported in ≥ 1% of patients in the TAS-102 group (vs placebo), in descending order of frequency, were neutro</w:t>
      </w:r>
      <w:r w:rsidR="00B50F67">
        <w:rPr>
          <w:rFonts w:asciiTheme="minorHAnsi" w:hAnsiTheme="minorHAnsi"/>
          <w:color w:val="000000"/>
        </w:rPr>
        <w:t>paenia</w:t>
      </w:r>
      <w:r w:rsidRPr="00C94C33">
        <w:rPr>
          <w:rFonts w:asciiTheme="minorHAnsi" w:hAnsiTheme="minorHAnsi"/>
          <w:color w:val="000000"/>
        </w:rPr>
        <w:t xml:space="preserve"> (3.2%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17</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0%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0</w:t>
      </w:r>
      <w:r w:rsidR="00A0007E" w:rsidRPr="00C94C33">
        <w:rPr>
          <w:rFonts w:asciiTheme="minorHAnsi" w:hAnsiTheme="minorHAnsi"/>
          <w:color w:val="000000"/>
        </w:rPr>
        <w:t>)</w:t>
      </w:r>
      <w:r w:rsidRPr="00C94C33">
        <w:rPr>
          <w:rFonts w:asciiTheme="minorHAnsi" w:hAnsiTheme="minorHAnsi"/>
          <w:color w:val="000000"/>
        </w:rPr>
        <w:t xml:space="preserve">), anaemia (2.1%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11</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0.4%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1</w:t>
      </w:r>
      <w:r w:rsidR="00A0007E" w:rsidRPr="00C94C33">
        <w:rPr>
          <w:rFonts w:asciiTheme="minorHAnsi" w:hAnsiTheme="minorHAnsi"/>
          <w:color w:val="000000"/>
        </w:rPr>
        <w:t>)</w:t>
      </w:r>
      <w:r w:rsidRPr="00C94C33">
        <w:rPr>
          <w:rFonts w:asciiTheme="minorHAnsi" w:hAnsiTheme="minorHAnsi"/>
          <w:color w:val="000000"/>
        </w:rPr>
        <w:t>), febrile neutro</w:t>
      </w:r>
      <w:r w:rsidR="00B50F67">
        <w:rPr>
          <w:rFonts w:asciiTheme="minorHAnsi" w:hAnsiTheme="minorHAnsi"/>
          <w:color w:val="000000"/>
        </w:rPr>
        <w:t>paenia</w:t>
      </w:r>
      <w:r w:rsidRPr="00C94C33">
        <w:rPr>
          <w:rFonts w:asciiTheme="minorHAnsi" w:hAnsiTheme="minorHAnsi"/>
          <w:color w:val="000000"/>
        </w:rPr>
        <w:t xml:space="preserve"> (1.9% </w:t>
      </w:r>
      <w:r w:rsidR="00A0007E" w:rsidRPr="00C94C33">
        <w:rPr>
          <w:rFonts w:asciiTheme="minorHAnsi" w:hAnsiTheme="minorHAnsi"/>
          <w:color w:val="000000"/>
        </w:rPr>
        <w:t>(</w:t>
      </w:r>
      <w:r w:rsidR="00744EDB">
        <w:rPr>
          <w:rFonts w:asciiTheme="minorHAnsi" w:hAnsiTheme="minorHAnsi"/>
          <w:color w:val="000000"/>
        </w:rPr>
        <w:t>n </w:t>
      </w:r>
      <w:r w:rsidR="009C0389" w:rsidRPr="00C94C33">
        <w:rPr>
          <w:rFonts w:asciiTheme="minorHAnsi" w:hAnsiTheme="minorHAnsi"/>
          <w:color w:val="000000"/>
        </w:rPr>
        <w:t>=</w:t>
      </w:r>
      <w:r w:rsidR="00744EDB">
        <w:rPr>
          <w:rFonts w:asciiTheme="minorHAnsi" w:hAnsiTheme="minorHAnsi"/>
          <w:color w:val="000000"/>
        </w:rPr>
        <w:t> </w:t>
      </w:r>
      <w:r w:rsidRPr="00C94C33">
        <w:rPr>
          <w:rFonts w:asciiTheme="minorHAnsi" w:hAnsiTheme="minorHAnsi"/>
          <w:color w:val="000000"/>
        </w:rPr>
        <w:t>10</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0%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0</w:t>
      </w:r>
      <w:r w:rsidR="00A0007E" w:rsidRPr="00C94C33">
        <w:rPr>
          <w:rFonts w:asciiTheme="minorHAnsi" w:hAnsiTheme="minorHAnsi"/>
          <w:color w:val="000000"/>
        </w:rPr>
        <w:t>)</w:t>
      </w:r>
      <w:r w:rsidRPr="00C94C33">
        <w:rPr>
          <w:rFonts w:asciiTheme="minorHAnsi" w:hAnsiTheme="minorHAnsi"/>
          <w:color w:val="000000"/>
        </w:rPr>
        <w:t xml:space="preserve">), neutrophil count decreased (1.9%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10</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0%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0</w:t>
      </w:r>
      <w:r w:rsidR="00A0007E" w:rsidRPr="00C94C33">
        <w:rPr>
          <w:rFonts w:asciiTheme="minorHAnsi" w:hAnsiTheme="minorHAnsi"/>
          <w:color w:val="000000"/>
        </w:rPr>
        <w:t>)</w:t>
      </w:r>
      <w:r w:rsidRPr="00C94C33">
        <w:rPr>
          <w:rFonts w:asciiTheme="minorHAnsi" w:hAnsiTheme="minorHAnsi"/>
          <w:color w:val="000000"/>
        </w:rPr>
        <w:t xml:space="preserve">), fatigue (1.5%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8</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0%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0</w:t>
      </w:r>
      <w:r w:rsidR="00A0007E" w:rsidRPr="00C94C33">
        <w:rPr>
          <w:rFonts w:asciiTheme="minorHAnsi" w:hAnsiTheme="minorHAnsi"/>
          <w:color w:val="000000"/>
        </w:rPr>
        <w:t>)</w:t>
      </w:r>
      <w:r w:rsidRPr="00C94C33">
        <w:rPr>
          <w:rFonts w:asciiTheme="minorHAnsi" w:hAnsiTheme="minorHAnsi"/>
          <w:color w:val="000000"/>
        </w:rPr>
        <w:t xml:space="preserve">), and diarrhoea (1.3%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7</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0%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0</w:t>
      </w:r>
      <w:r w:rsidR="00A0007E" w:rsidRPr="00C94C33">
        <w:rPr>
          <w:rFonts w:asciiTheme="minorHAnsi" w:hAnsiTheme="minorHAnsi"/>
          <w:color w:val="000000"/>
        </w:rPr>
        <w:t>)</w:t>
      </w:r>
      <w:r w:rsidRPr="00C94C33">
        <w:rPr>
          <w:rFonts w:asciiTheme="minorHAnsi" w:hAnsiTheme="minorHAnsi"/>
          <w:color w:val="000000"/>
        </w:rPr>
        <w:t>).</w:t>
      </w:r>
    </w:p>
    <w:p w14:paraId="6E62EE24" w14:textId="470D6E1E" w:rsidR="00DF61BC" w:rsidRPr="00C94C33" w:rsidRDefault="00DF61BC" w:rsidP="00DF61BC">
      <w:pPr>
        <w:tabs>
          <w:tab w:val="left" w:pos="6034"/>
        </w:tabs>
        <w:autoSpaceDE w:val="0"/>
        <w:autoSpaceDN w:val="0"/>
        <w:adjustRightInd w:val="0"/>
        <w:rPr>
          <w:rFonts w:asciiTheme="minorHAnsi" w:hAnsiTheme="minorHAnsi"/>
          <w:color w:val="000000"/>
        </w:rPr>
      </w:pPr>
      <w:r w:rsidRPr="00C94C33">
        <w:rPr>
          <w:rFonts w:asciiTheme="minorHAnsi" w:hAnsiTheme="minorHAnsi"/>
          <w:color w:val="000000"/>
        </w:rPr>
        <w:t>AEs resulting in interruption/delay or reduction of study medication were reported in 54.2% (</w:t>
      </w:r>
      <w:r w:rsidR="00744EDB">
        <w:rPr>
          <w:rFonts w:asciiTheme="minorHAnsi" w:hAnsiTheme="minorHAnsi"/>
          <w:color w:val="000000"/>
        </w:rPr>
        <w:t>n </w:t>
      </w:r>
      <w:r w:rsidR="009C0389" w:rsidRPr="00C94C33">
        <w:rPr>
          <w:rFonts w:asciiTheme="minorHAnsi" w:hAnsiTheme="minorHAnsi"/>
          <w:color w:val="000000"/>
        </w:rPr>
        <w:t>=</w:t>
      </w:r>
      <w:r w:rsidR="00744EDB">
        <w:rPr>
          <w:rFonts w:asciiTheme="minorHAnsi" w:hAnsiTheme="minorHAnsi"/>
          <w:color w:val="000000"/>
        </w:rPr>
        <w:t> </w:t>
      </w:r>
      <w:r w:rsidRPr="00C94C33">
        <w:rPr>
          <w:rFonts w:asciiTheme="minorHAnsi" w:hAnsiTheme="minorHAnsi"/>
          <w:color w:val="000000"/>
        </w:rPr>
        <w:t>289) of patients in the TAS-102 group and 13.6% (</w:t>
      </w:r>
      <w:r w:rsidR="009C0389" w:rsidRPr="00C94C33">
        <w:rPr>
          <w:rFonts w:asciiTheme="minorHAnsi" w:hAnsiTheme="minorHAnsi"/>
          <w:color w:val="000000"/>
        </w:rPr>
        <w:t xml:space="preserve">n = </w:t>
      </w:r>
      <w:r w:rsidRPr="00C94C33">
        <w:rPr>
          <w:rFonts w:asciiTheme="minorHAnsi" w:hAnsiTheme="minorHAnsi"/>
          <w:color w:val="000000"/>
        </w:rPr>
        <w:t xml:space="preserve">36) of patients in the placebo group, with the majority of events in both treatment groups being characterised as Grade ≥ 3 AEs (38.5%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205</w:t>
      </w:r>
      <w:r w:rsidR="00A0007E" w:rsidRPr="00C94C33">
        <w:rPr>
          <w:rFonts w:asciiTheme="minorHAnsi" w:hAnsiTheme="minorHAnsi"/>
          <w:color w:val="000000"/>
        </w:rPr>
        <w:t>)</w:t>
      </w:r>
      <w:r w:rsidRPr="00C94C33">
        <w:rPr>
          <w:rFonts w:asciiTheme="minorHAnsi" w:hAnsiTheme="minorHAnsi"/>
          <w:color w:val="000000"/>
        </w:rPr>
        <w:t xml:space="preserve"> in the TAS-102 group</w:t>
      </w:r>
      <w:r w:rsidR="00C11183">
        <w:rPr>
          <w:rFonts w:asciiTheme="minorHAnsi" w:hAnsiTheme="minorHAnsi"/>
          <w:color w:val="000000"/>
        </w:rPr>
        <w:t xml:space="preserve"> versus </w:t>
      </w:r>
      <w:r w:rsidRPr="00C94C33">
        <w:rPr>
          <w:rFonts w:asciiTheme="minorHAnsi" w:hAnsiTheme="minorHAnsi"/>
          <w:color w:val="000000"/>
        </w:rPr>
        <w:t xml:space="preserve">8.7%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23</w:t>
      </w:r>
      <w:r w:rsidR="00A0007E" w:rsidRPr="00C94C33">
        <w:rPr>
          <w:rFonts w:asciiTheme="minorHAnsi" w:hAnsiTheme="minorHAnsi"/>
          <w:color w:val="000000"/>
        </w:rPr>
        <w:t>)</w:t>
      </w:r>
      <w:r w:rsidRPr="00C94C33">
        <w:rPr>
          <w:rFonts w:asciiTheme="minorHAnsi" w:hAnsiTheme="minorHAnsi"/>
          <w:color w:val="000000"/>
        </w:rPr>
        <w:t xml:space="preserve"> in the placebo group). AEs (all Grades) resulting in interruption/delay or reduction of study medication reported in ≥ 1% of patients in the TAS-102 group (vs placebo), in descending order of frequency, were neutrophil count decreased (20.5%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109</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0.4% </w:t>
      </w:r>
      <w:r w:rsidR="009C0389" w:rsidRPr="00C94C33">
        <w:rPr>
          <w:rFonts w:asciiTheme="minorHAnsi" w:hAnsiTheme="minorHAnsi"/>
          <w:color w:val="000000"/>
        </w:rPr>
        <w:t xml:space="preserve">n = </w:t>
      </w:r>
      <w:r w:rsidRPr="00C94C33">
        <w:rPr>
          <w:rFonts w:asciiTheme="minorHAnsi" w:hAnsiTheme="minorHAnsi"/>
          <w:color w:val="000000"/>
        </w:rPr>
        <w:t>1</w:t>
      </w:r>
      <w:r w:rsidR="00A0007E" w:rsidRPr="00C94C33">
        <w:rPr>
          <w:rFonts w:asciiTheme="minorHAnsi" w:hAnsiTheme="minorHAnsi"/>
          <w:color w:val="000000"/>
        </w:rPr>
        <w:t>)</w:t>
      </w:r>
      <w:r w:rsidRPr="00C94C33">
        <w:rPr>
          <w:rFonts w:asciiTheme="minorHAnsi" w:hAnsiTheme="minorHAnsi"/>
          <w:color w:val="000000"/>
        </w:rPr>
        <w:t>), neutro</w:t>
      </w:r>
      <w:r w:rsidR="00B50F67">
        <w:rPr>
          <w:rFonts w:asciiTheme="minorHAnsi" w:hAnsiTheme="minorHAnsi"/>
          <w:color w:val="000000"/>
        </w:rPr>
        <w:t>paenia</w:t>
      </w:r>
      <w:r w:rsidRPr="00C94C33">
        <w:rPr>
          <w:rFonts w:asciiTheme="minorHAnsi" w:hAnsiTheme="minorHAnsi"/>
          <w:color w:val="000000"/>
        </w:rPr>
        <w:t xml:space="preserve"> (19.9%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106</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0%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0</w:t>
      </w:r>
      <w:r w:rsidR="00A0007E" w:rsidRPr="00C94C33">
        <w:rPr>
          <w:rFonts w:asciiTheme="minorHAnsi" w:hAnsiTheme="minorHAnsi"/>
          <w:color w:val="000000"/>
        </w:rPr>
        <w:t>)</w:t>
      </w:r>
      <w:r w:rsidRPr="00C94C33">
        <w:rPr>
          <w:rFonts w:asciiTheme="minorHAnsi" w:hAnsiTheme="minorHAnsi"/>
          <w:color w:val="000000"/>
        </w:rPr>
        <w:t xml:space="preserve">),  anaemia (5.4%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29</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0.8%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2</w:t>
      </w:r>
      <w:r w:rsidR="00A0007E" w:rsidRPr="00C94C33">
        <w:rPr>
          <w:rFonts w:asciiTheme="minorHAnsi" w:hAnsiTheme="minorHAnsi"/>
          <w:color w:val="000000"/>
        </w:rPr>
        <w:t>)</w:t>
      </w:r>
      <w:r w:rsidRPr="00C94C33">
        <w:rPr>
          <w:rFonts w:asciiTheme="minorHAnsi" w:hAnsiTheme="minorHAnsi"/>
          <w:color w:val="000000"/>
        </w:rPr>
        <w:t xml:space="preserve">), fatigue (3.0%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16</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0.4%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1</w:t>
      </w:r>
      <w:r w:rsidR="00A0007E" w:rsidRPr="00C94C33">
        <w:rPr>
          <w:rFonts w:asciiTheme="minorHAnsi" w:hAnsiTheme="minorHAnsi"/>
          <w:color w:val="000000"/>
        </w:rPr>
        <w:t>)</w:t>
      </w:r>
      <w:r w:rsidRPr="00C94C33">
        <w:rPr>
          <w:rFonts w:asciiTheme="minorHAnsi" w:hAnsiTheme="minorHAnsi"/>
          <w:color w:val="000000"/>
        </w:rPr>
        <w:t xml:space="preserve">), pyrexia (2.8% </w:t>
      </w:r>
      <w:r w:rsidR="00A0007E" w:rsidRPr="00C94C33">
        <w:rPr>
          <w:rFonts w:asciiTheme="minorHAnsi" w:hAnsiTheme="minorHAnsi"/>
          <w:color w:val="000000"/>
        </w:rPr>
        <w:t>(</w:t>
      </w:r>
      <w:r w:rsidR="00744EDB">
        <w:rPr>
          <w:rFonts w:asciiTheme="minorHAnsi" w:hAnsiTheme="minorHAnsi"/>
          <w:color w:val="000000"/>
        </w:rPr>
        <w:t>n </w:t>
      </w:r>
      <w:r w:rsidR="009C0389" w:rsidRPr="00C94C33">
        <w:rPr>
          <w:rFonts w:asciiTheme="minorHAnsi" w:hAnsiTheme="minorHAnsi"/>
          <w:color w:val="000000"/>
        </w:rPr>
        <w:t>=</w:t>
      </w:r>
      <w:r w:rsidR="00744EDB">
        <w:rPr>
          <w:rFonts w:asciiTheme="minorHAnsi" w:hAnsiTheme="minorHAnsi"/>
          <w:color w:val="000000"/>
        </w:rPr>
        <w:t> </w:t>
      </w:r>
      <w:r w:rsidRPr="00C94C33">
        <w:rPr>
          <w:rFonts w:asciiTheme="minorHAnsi" w:hAnsiTheme="minorHAnsi"/>
          <w:color w:val="000000"/>
        </w:rPr>
        <w:t>15</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1.1%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3</w:t>
      </w:r>
      <w:r w:rsidR="00A0007E" w:rsidRPr="00C94C33">
        <w:rPr>
          <w:rFonts w:asciiTheme="minorHAnsi" w:hAnsiTheme="minorHAnsi"/>
          <w:color w:val="000000"/>
        </w:rPr>
        <w:t>)</w:t>
      </w:r>
      <w:r w:rsidRPr="00C94C33">
        <w:rPr>
          <w:rFonts w:asciiTheme="minorHAnsi" w:hAnsiTheme="minorHAnsi"/>
          <w:color w:val="000000"/>
        </w:rPr>
        <w:t xml:space="preserve">), diarrhoea (2.4%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13</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0%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0</w:t>
      </w:r>
      <w:r w:rsidR="00A0007E" w:rsidRPr="00C94C33">
        <w:rPr>
          <w:rFonts w:asciiTheme="minorHAnsi" w:hAnsiTheme="minorHAnsi"/>
          <w:color w:val="000000"/>
        </w:rPr>
        <w:t>)</w:t>
      </w:r>
      <w:r w:rsidRPr="00C94C33">
        <w:rPr>
          <w:rFonts w:asciiTheme="minorHAnsi" w:hAnsiTheme="minorHAnsi"/>
          <w:color w:val="000000"/>
        </w:rPr>
        <w:t>), febrile neutro</w:t>
      </w:r>
      <w:r w:rsidR="00B50F67">
        <w:rPr>
          <w:rFonts w:asciiTheme="minorHAnsi" w:hAnsiTheme="minorHAnsi"/>
          <w:color w:val="000000"/>
        </w:rPr>
        <w:t>paenia</w:t>
      </w:r>
      <w:r w:rsidRPr="00C94C33">
        <w:rPr>
          <w:rFonts w:asciiTheme="minorHAnsi" w:hAnsiTheme="minorHAnsi"/>
          <w:color w:val="000000"/>
        </w:rPr>
        <w:t xml:space="preserve"> (2.1%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11</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0%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0</w:t>
      </w:r>
      <w:r w:rsidR="00A0007E" w:rsidRPr="00C94C33">
        <w:rPr>
          <w:rFonts w:asciiTheme="minorHAnsi" w:hAnsiTheme="minorHAnsi"/>
          <w:color w:val="000000"/>
        </w:rPr>
        <w:t>)</w:t>
      </w:r>
      <w:r w:rsidRPr="00C94C33">
        <w:rPr>
          <w:rFonts w:asciiTheme="minorHAnsi" w:hAnsiTheme="minorHAnsi"/>
          <w:color w:val="000000"/>
        </w:rPr>
        <w:t xml:space="preserve">), nausea (1.9%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10</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0.4%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1</w:t>
      </w:r>
      <w:r w:rsidR="00A0007E" w:rsidRPr="00C94C33">
        <w:rPr>
          <w:rFonts w:asciiTheme="minorHAnsi" w:hAnsiTheme="minorHAnsi"/>
          <w:color w:val="000000"/>
        </w:rPr>
        <w:t>)</w:t>
      </w:r>
      <w:r w:rsidRPr="00C94C33">
        <w:rPr>
          <w:rFonts w:asciiTheme="minorHAnsi" w:hAnsiTheme="minorHAnsi"/>
          <w:color w:val="000000"/>
        </w:rPr>
        <w:t xml:space="preserve">), vomiting (1.9% </w:t>
      </w:r>
      <w:r w:rsidR="00A0007E" w:rsidRPr="00C94C33">
        <w:rPr>
          <w:rFonts w:asciiTheme="minorHAnsi" w:hAnsiTheme="minorHAnsi"/>
          <w:color w:val="000000"/>
        </w:rPr>
        <w:t>(</w:t>
      </w:r>
      <w:r w:rsidR="00744EDB">
        <w:rPr>
          <w:rFonts w:asciiTheme="minorHAnsi" w:hAnsiTheme="minorHAnsi"/>
          <w:color w:val="000000"/>
        </w:rPr>
        <w:t>n </w:t>
      </w:r>
      <w:r w:rsidR="009C0389" w:rsidRPr="00C94C33">
        <w:rPr>
          <w:rFonts w:asciiTheme="minorHAnsi" w:hAnsiTheme="minorHAnsi"/>
          <w:color w:val="000000"/>
        </w:rPr>
        <w:t>=</w:t>
      </w:r>
      <w:r w:rsidR="00744EDB">
        <w:rPr>
          <w:rFonts w:asciiTheme="minorHAnsi" w:hAnsiTheme="minorHAnsi"/>
          <w:color w:val="000000"/>
        </w:rPr>
        <w:t> </w:t>
      </w:r>
      <w:r w:rsidRPr="00C94C33">
        <w:rPr>
          <w:rFonts w:asciiTheme="minorHAnsi" w:hAnsiTheme="minorHAnsi"/>
          <w:color w:val="000000"/>
        </w:rPr>
        <w:t>10</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0%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0</w:t>
      </w:r>
      <w:r w:rsidR="00A0007E" w:rsidRPr="00C94C33">
        <w:rPr>
          <w:rFonts w:asciiTheme="minorHAnsi" w:hAnsiTheme="minorHAnsi"/>
          <w:color w:val="000000"/>
        </w:rPr>
        <w:t>)</w:t>
      </w:r>
      <w:r w:rsidRPr="00C94C33">
        <w:rPr>
          <w:rFonts w:asciiTheme="minorHAnsi" w:hAnsiTheme="minorHAnsi"/>
          <w:color w:val="000000"/>
        </w:rPr>
        <w:t xml:space="preserve">), decreased appetite (1.7%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9</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1.9%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5</w:t>
      </w:r>
      <w:r w:rsidR="00A0007E" w:rsidRPr="00C94C33">
        <w:rPr>
          <w:rFonts w:asciiTheme="minorHAnsi" w:hAnsiTheme="minorHAnsi"/>
          <w:color w:val="000000"/>
        </w:rPr>
        <w:t>)</w:t>
      </w:r>
      <w:r w:rsidRPr="00C94C33">
        <w:rPr>
          <w:rFonts w:asciiTheme="minorHAnsi" w:hAnsiTheme="minorHAnsi"/>
          <w:color w:val="000000"/>
        </w:rPr>
        <w:t xml:space="preserve">), WBC decreased (1.5%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8</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0%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0</w:t>
      </w:r>
      <w:r w:rsidR="00A0007E" w:rsidRPr="00C94C33">
        <w:rPr>
          <w:rFonts w:asciiTheme="minorHAnsi" w:hAnsiTheme="minorHAnsi"/>
          <w:color w:val="000000"/>
        </w:rPr>
        <w:t>)</w:t>
      </w:r>
      <w:r w:rsidRPr="00C94C33">
        <w:rPr>
          <w:rFonts w:asciiTheme="minorHAnsi" w:hAnsiTheme="minorHAnsi"/>
          <w:color w:val="000000"/>
        </w:rPr>
        <w:t xml:space="preserve">), asthenia (1.3%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7</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0.8%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2</w:t>
      </w:r>
      <w:r w:rsidR="00A0007E" w:rsidRPr="00C94C33">
        <w:rPr>
          <w:rFonts w:asciiTheme="minorHAnsi" w:hAnsiTheme="minorHAnsi"/>
          <w:color w:val="000000"/>
        </w:rPr>
        <w:t>)</w:t>
      </w:r>
      <w:r w:rsidRPr="00C94C33">
        <w:rPr>
          <w:rFonts w:asciiTheme="minorHAnsi" w:hAnsiTheme="minorHAnsi"/>
          <w:color w:val="000000"/>
        </w:rPr>
        <w:t xml:space="preserve">), platelet count decreased (1.3%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7</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0%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0</w:t>
      </w:r>
      <w:r w:rsidR="00A0007E" w:rsidRPr="00C94C33">
        <w:rPr>
          <w:rFonts w:asciiTheme="minorHAnsi" w:hAnsiTheme="minorHAnsi"/>
          <w:color w:val="000000"/>
        </w:rPr>
        <w:t>)</w:t>
      </w:r>
      <w:r w:rsidRPr="00C94C33">
        <w:rPr>
          <w:rFonts w:asciiTheme="minorHAnsi" w:hAnsiTheme="minorHAnsi"/>
          <w:color w:val="000000"/>
        </w:rPr>
        <w:t xml:space="preserve">), and abdominal pain (1.1%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6</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0.8%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2</w:t>
      </w:r>
      <w:r w:rsidR="00A0007E" w:rsidRPr="00C94C33">
        <w:rPr>
          <w:rFonts w:asciiTheme="minorHAnsi" w:hAnsiTheme="minorHAnsi"/>
          <w:color w:val="000000"/>
        </w:rPr>
        <w:t>)</w:t>
      </w:r>
      <w:r w:rsidR="00C844C0">
        <w:rPr>
          <w:rFonts w:asciiTheme="minorHAnsi" w:hAnsiTheme="minorHAnsi"/>
          <w:color w:val="000000"/>
        </w:rPr>
        <w:t>).</w:t>
      </w:r>
    </w:p>
    <w:p w14:paraId="6456BE35" w14:textId="77777777" w:rsidR="00DF61BC" w:rsidRPr="00C94C33" w:rsidRDefault="00DF61BC" w:rsidP="00955252">
      <w:pPr>
        <w:pStyle w:val="Heading4"/>
      </w:pPr>
      <w:bookmarkStart w:id="373" w:name="_Toc470948579"/>
      <w:r w:rsidRPr="00C94C33">
        <w:t>Other adverse events of interest</w:t>
      </w:r>
      <w:bookmarkEnd w:id="373"/>
    </w:p>
    <w:p w14:paraId="6ECBDD14" w14:textId="69463DBA" w:rsidR="00DF61BC" w:rsidRPr="00C94C33" w:rsidRDefault="00DF61BC" w:rsidP="00955252">
      <w:pPr>
        <w:pStyle w:val="Heading5"/>
      </w:pPr>
      <w:bookmarkStart w:id="374" w:name="_Toc470948580"/>
      <w:r w:rsidRPr="00C94C33">
        <w:t>Background</w:t>
      </w:r>
      <w:bookmarkEnd w:id="374"/>
    </w:p>
    <w:p w14:paraId="1DED42B3" w14:textId="14F66FFE"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 xml:space="preserve">Additional pre-specified analyses of AEs were performed by the sponsor for the following events of interest, hepatobiliary abnormality-related AEs, renal abnormality-related AEs, haematologic impairment-related AEs, and infection-related AEs. These analyses were based on a list of MedDRA terms selected </w:t>
      </w:r>
      <w:r w:rsidRPr="00C94C33">
        <w:rPr>
          <w:rFonts w:asciiTheme="minorHAnsi" w:hAnsiTheme="minorHAnsi"/>
          <w:i/>
        </w:rPr>
        <w:t>a priori</w:t>
      </w:r>
      <w:r w:rsidRPr="00C94C33">
        <w:rPr>
          <w:rFonts w:asciiTheme="minorHAnsi" w:hAnsiTheme="minorHAnsi"/>
        </w:rPr>
        <w:t xml:space="preserve"> by the sponsor. In addition to pre-specified AEs of interest, the sponsor also examined </w:t>
      </w:r>
      <w:r w:rsidRPr="00C94C33">
        <w:rPr>
          <w:rFonts w:asciiTheme="minorHAnsi" w:hAnsiTheme="minorHAnsi"/>
          <w:i/>
        </w:rPr>
        <w:t>ad hoc</w:t>
      </w:r>
      <w:r w:rsidRPr="00C94C33">
        <w:rPr>
          <w:rFonts w:asciiTheme="minorHAnsi" w:hAnsiTheme="minorHAnsi"/>
        </w:rPr>
        <w:t xml:space="preserve"> AEs of interest consisting of bleeding events, thromboembolic events, cardiac events, and diarrhoea, nausea and vomiting.</w:t>
      </w:r>
    </w:p>
    <w:p w14:paraId="32249F60" w14:textId="77777777" w:rsidR="00DF61BC" w:rsidRPr="00C94C33" w:rsidRDefault="00DF61BC" w:rsidP="00955252">
      <w:pPr>
        <w:pStyle w:val="Heading5"/>
      </w:pPr>
      <w:bookmarkStart w:id="375" w:name="_Toc470948581"/>
      <w:r w:rsidRPr="00C94C33">
        <w:t>Hepatobiliary abnormality related adverse events</w:t>
      </w:r>
      <w:bookmarkEnd w:id="375"/>
    </w:p>
    <w:p w14:paraId="4202F141" w14:textId="0AC1A98C" w:rsidR="00DF61BC" w:rsidRPr="00C94C33" w:rsidRDefault="00DF61BC" w:rsidP="00DF61BC">
      <w:pPr>
        <w:autoSpaceDE w:val="0"/>
        <w:autoSpaceDN w:val="0"/>
        <w:adjustRightInd w:val="0"/>
        <w:rPr>
          <w:rFonts w:asciiTheme="minorHAnsi" w:hAnsiTheme="minorHAnsi"/>
          <w:color w:val="000000"/>
        </w:rPr>
      </w:pPr>
      <w:r w:rsidRPr="00C94C33">
        <w:rPr>
          <w:rFonts w:asciiTheme="minorHAnsi" w:hAnsiTheme="minorHAnsi"/>
          <w:color w:val="000000"/>
        </w:rPr>
        <w:t>Hepatobiliary abnormality-related AEs (all Grades) were reported in a similar proportion of patients in the TAS-102 group and in the placebo group (28.1%</w:t>
      </w:r>
      <w:r w:rsidR="00C11183">
        <w:rPr>
          <w:rFonts w:asciiTheme="minorHAnsi" w:hAnsiTheme="minorHAnsi"/>
          <w:color w:val="000000"/>
        </w:rPr>
        <w:t xml:space="preserve"> versus </w:t>
      </w:r>
      <w:r w:rsidRPr="00C94C33">
        <w:rPr>
          <w:rFonts w:asciiTheme="minorHAnsi" w:hAnsiTheme="minorHAnsi"/>
          <w:color w:val="000000"/>
        </w:rPr>
        <w:t>29.8%). The percentage of patients who discontinued treatment due to hepatobiliary related AEs was higher in the placebo group than in the TAS-102 group (1.5%</w:t>
      </w:r>
      <w:r w:rsidR="00C11183">
        <w:rPr>
          <w:rFonts w:asciiTheme="minorHAnsi" w:hAnsiTheme="minorHAnsi"/>
          <w:color w:val="000000"/>
        </w:rPr>
        <w:t xml:space="preserve"> versus </w:t>
      </w:r>
      <w:r w:rsidRPr="00C94C33">
        <w:rPr>
          <w:rFonts w:asciiTheme="minorHAnsi" w:hAnsiTheme="minorHAnsi"/>
          <w:color w:val="000000"/>
        </w:rPr>
        <w:t>6.0%, respectively), as was the percentage of patients with fatal AEs in this grouping (2.6%</w:t>
      </w:r>
      <w:r w:rsidR="00C11183">
        <w:rPr>
          <w:rFonts w:asciiTheme="minorHAnsi" w:hAnsiTheme="minorHAnsi"/>
          <w:color w:val="000000"/>
        </w:rPr>
        <w:t xml:space="preserve"> versus </w:t>
      </w:r>
      <w:r w:rsidRPr="00C94C33">
        <w:rPr>
          <w:rFonts w:asciiTheme="minorHAnsi" w:hAnsiTheme="minorHAnsi"/>
          <w:color w:val="000000"/>
        </w:rPr>
        <w:t>0.6%, respectively). Hepatobiliary abnormality related AEs are summarised below.</w:t>
      </w:r>
    </w:p>
    <w:p w14:paraId="05EE1A1E" w14:textId="7886C137" w:rsidR="00DF61BC" w:rsidRPr="00C94C33" w:rsidRDefault="00DF61BC" w:rsidP="006A7C10">
      <w:pPr>
        <w:pStyle w:val="Tabletitle"/>
      </w:pPr>
      <w:bookmarkStart w:id="376" w:name="_Toc470948701"/>
      <w:r w:rsidRPr="00C94C33">
        <w:t>Table</w:t>
      </w:r>
      <w:r w:rsidR="006A7C10" w:rsidRPr="00C94C33">
        <w:t xml:space="preserve"> 52</w:t>
      </w:r>
      <w:r w:rsidRPr="00C94C33">
        <w:t>: RECOURSE</w:t>
      </w:r>
      <w:r w:rsidR="00744EDB">
        <w:t xml:space="preserve">; </w:t>
      </w:r>
      <w:r w:rsidRPr="00C94C33">
        <w:t>Sponsor-defined hepatobiliary abnormality-related adverse events, AT population.</w:t>
      </w:r>
      <w:bookmarkEnd w:id="376"/>
    </w:p>
    <w:tbl>
      <w:tblPr>
        <w:tblW w:w="9576" w:type="dxa"/>
        <w:tblInd w:w="112" w:type="dxa"/>
        <w:tblLayout w:type="fixed"/>
        <w:tblCellMar>
          <w:left w:w="0" w:type="dxa"/>
          <w:right w:w="0" w:type="dxa"/>
        </w:tblCellMar>
        <w:tblLook w:val="0000" w:firstRow="0" w:lastRow="0" w:firstColumn="0" w:lastColumn="0" w:noHBand="0" w:noVBand="0"/>
      </w:tblPr>
      <w:tblGrid>
        <w:gridCol w:w="4244"/>
        <w:gridCol w:w="1330"/>
        <w:gridCol w:w="1335"/>
        <w:gridCol w:w="1332"/>
        <w:gridCol w:w="1335"/>
      </w:tblGrid>
      <w:tr w:rsidR="00DF61BC" w:rsidRPr="00C94C33" w14:paraId="5E36A47A" w14:textId="77777777" w:rsidTr="00C844C0">
        <w:trPr>
          <w:trHeight w:hRule="exact" w:val="491"/>
          <w:tblHeader/>
        </w:trPr>
        <w:tc>
          <w:tcPr>
            <w:tcW w:w="4244" w:type="dxa"/>
            <w:tcBorders>
              <w:top w:val="single" w:sz="8" w:space="0" w:color="000000"/>
              <w:left w:val="single" w:sz="4" w:space="0" w:color="auto"/>
              <w:right w:val="single" w:sz="6" w:space="0" w:color="000000"/>
            </w:tcBorders>
            <w:shd w:val="clear" w:color="auto" w:fill="auto"/>
          </w:tcPr>
          <w:p w14:paraId="1A6C99A9" w14:textId="77777777" w:rsidR="00DF61BC" w:rsidRPr="00C94C33" w:rsidRDefault="00DF61BC" w:rsidP="00C844C0">
            <w:pPr>
              <w:pStyle w:val="TableHeading"/>
            </w:pPr>
          </w:p>
        </w:tc>
        <w:tc>
          <w:tcPr>
            <w:tcW w:w="2665" w:type="dxa"/>
            <w:gridSpan w:val="2"/>
            <w:tcBorders>
              <w:top w:val="single" w:sz="8" w:space="0" w:color="000000"/>
              <w:left w:val="single" w:sz="6" w:space="0" w:color="000000"/>
              <w:right w:val="single" w:sz="6" w:space="0" w:color="000000"/>
            </w:tcBorders>
            <w:shd w:val="clear" w:color="auto" w:fill="auto"/>
          </w:tcPr>
          <w:p w14:paraId="534FBB0A" w14:textId="64AF43E1" w:rsidR="00DF61BC" w:rsidRPr="00C94C33" w:rsidRDefault="00DF61BC" w:rsidP="00C844C0">
            <w:pPr>
              <w:pStyle w:val="TableHeading"/>
              <w:jc w:val="center"/>
            </w:pPr>
            <w:r w:rsidRPr="00C94C33">
              <w:t>TAS-102 (</w:t>
            </w:r>
            <w:r w:rsidR="009C0389" w:rsidRPr="00C94C33">
              <w:t xml:space="preserve">n = </w:t>
            </w:r>
            <w:r w:rsidRPr="00C94C33">
              <w:t>533), n (%)</w:t>
            </w:r>
          </w:p>
        </w:tc>
        <w:tc>
          <w:tcPr>
            <w:tcW w:w="2667" w:type="dxa"/>
            <w:gridSpan w:val="2"/>
            <w:tcBorders>
              <w:top w:val="single" w:sz="8" w:space="0" w:color="000000"/>
              <w:left w:val="single" w:sz="6" w:space="0" w:color="000000"/>
              <w:right w:val="single" w:sz="4" w:space="0" w:color="auto"/>
            </w:tcBorders>
            <w:shd w:val="clear" w:color="auto" w:fill="auto"/>
          </w:tcPr>
          <w:p w14:paraId="34C755E3" w14:textId="32CBF3F8" w:rsidR="00DF61BC" w:rsidRPr="00C94C33" w:rsidRDefault="00DF61BC" w:rsidP="00C844C0">
            <w:pPr>
              <w:pStyle w:val="TableHeading"/>
              <w:jc w:val="center"/>
            </w:pPr>
            <w:r w:rsidRPr="00C94C33">
              <w:t>Placebo (</w:t>
            </w:r>
            <w:r w:rsidR="009C0389" w:rsidRPr="00C94C33">
              <w:t xml:space="preserve">n = </w:t>
            </w:r>
            <w:r w:rsidRPr="00C94C33">
              <w:t>265); n (%)</w:t>
            </w:r>
          </w:p>
        </w:tc>
      </w:tr>
      <w:tr w:rsidR="00DF61BC" w:rsidRPr="00C94C33" w14:paraId="4A68AFC5" w14:textId="77777777" w:rsidTr="00C844C0">
        <w:trPr>
          <w:trHeight w:hRule="exact" w:val="305"/>
          <w:tblHeader/>
        </w:trPr>
        <w:tc>
          <w:tcPr>
            <w:tcW w:w="4244" w:type="dxa"/>
            <w:tcBorders>
              <w:left w:val="single" w:sz="4" w:space="0" w:color="auto"/>
              <w:bottom w:val="single" w:sz="7" w:space="0" w:color="000000"/>
              <w:right w:val="single" w:sz="6" w:space="0" w:color="000000"/>
            </w:tcBorders>
            <w:shd w:val="clear" w:color="auto" w:fill="auto"/>
          </w:tcPr>
          <w:p w14:paraId="7150D34E" w14:textId="77777777" w:rsidR="00DF61BC" w:rsidRPr="00C94C33" w:rsidRDefault="00DF61BC" w:rsidP="00C844C0">
            <w:pPr>
              <w:pStyle w:val="TableHeading"/>
              <w:rPr>
                <w:bCs/>
                <w:spacing w:val="-1"/>
              </w:rPr>
            </w:pPr>
            <w:r w:rsidRPr="00C94C33">
              <w:rPr>
                <w:bCs/>
                <w:spacing w:val="-1"/>
              </w:rPr>
              <w:t>Category – Preferred term</w:t>
            </w:r>
          </w:p>
        </w:tc>
        <w:tc>
          <w:tcPr>
            <w:tcW w:w="1330" w:type="dxa"/>
            <w:tcBorders>
              <w:left w:val="single" w:sz="6" w:space="0" w:color="000000"/>
              <w:bottom w:val="single" w:sz="7" w:space="0" w:color="000000"/>
            </w:tcBorders>
            <w:shd w:val="clear" w:color="auto" w:fill="auto"/>
          </w:tcPr>
          <w:p w14:paraId="44C74242" w14:textId="77777777" w:rsidR="00DF61BC" w:rsidRPr="00C94C33" w:rsidRDefault="00DF61BC" w:rsidP="00C844C0">
            <w:pPr>
              <w:pStyle w:val="TableHeading"/>
              <w:jc w:val="center"/>
              <w:rPr>
                <w:spacing w:val="-1"/>
              </w:rPr>
            </w:pPr>
            <w:r w:rsidRPr="00C94C33">
              <w:rPr>
                <w:spacing w:val="-1"/>
              </w:rPr>
              <w:t>All Grades</w:t>
            </w:r>
          </w:p>
        </w:tc>
        <w:tc>
          <w:tcPr>
            <w:tcW w:w="1335" w:type="dxa"/>
            <w:tcBorders>
              <w:left w:val="nil"/>
              <w:bottom w:val="single" w:sz="7" w:space="0" w:color="000000"/>
              <w:right w:val="single" w:sz="6" w:space="0" w:color="000000"/>
            </w:tcBorders>
            <w:shd w:val="clear" w:color="auto" w:fill="auto"/>
          </w:tcPr>
          <w:p w14:paraId="2B45BF9C" w14:textId="77777777" w:rsidR="00DF61BC" w:rsidRPr="00C94C33" w:rsidRDefault="00DF61BC" w:rsidP="00C844C0">
            <w:pPr>
              <w:pStyle w:val="TableHeading"/>
              <w:jc w:val="center"/>
            </w:pPr>
            <w:r w:rsidRPr="00C94C33">
              <w:t>≥ Grade 3</w:t>
            </w:r>
          </w:p>
        </w:tc>
        <w:tc>
          <w:tcPr>
            <w:tcW w:w="1332" w:type="dxa"/>
            <w:tcBorders>
              <w:left w:val="single" w:sz="6" w:space="0" w:color="000000"/>
              <w:bottom w:val="single" w:sz="7" w:space="0" w:color="000000"/>
            </w:tcBorders>
            <w:shd w:val="clear" w:color="auto" w:fill="auto"/>
          </w:tcPr>
          <w:p w14:paraId="2DD49126" w14:textId="46BAF7B0" w:rsidR="00DF61BC" w:rsidRPr="00C94C33" w:rsidRDefault="00DF61BC" w:rsidP="00C844C0">
            <w:pPr>
              <w:pStyle w:val="TableHeading"/>
              <w:jc w:val="center"/>
            </w:pPr>
            <w:r w:rsidRPr="00C94C33">
              <w:t>All Grades</w:t>
            </w:r>
          </w:p>
        </w:tc>
        <w:tc>
          <w:tcPr>
            <w:tcW w:w="1335" w:type="dxa"/>
            <w:tcBorders>
              <w:left w:val="nil"/>
              <w:bottom w:val="single" w:sz="7" w:space="0" w:color="000000"/>
              <w:right w:val="single" w:sz="4" w:space="0" w:color="auto"/>
            </w:tcBorders>
            <w:shd w:val="clear" w:color="auto" w:fill="auto"/>
          </w:tcPr>
          <w:p w14:paraId="4ED1319A" w14:textId="0DBD0317" w:rsidR="00DF61BC" w:rsidRPr="00C94C33" w:rsidRDefault="00DF61BC" w:rsidP="00C844C0">
            <w:pPr>
              <w:pStyle w:val="TableHeading"/>
              <w:jc w:val="center"/>
            </w:pPr>
            <w:r w:rsidRPr="00C94C33">
              <w:t>≥ Grade 3</w:t>
            </w:r>
          </w:p>
        </w:tc>
      </w:tr>
      <w:tr w:rsidR="00DF61BC" w:rsidRPr="00C94C33" w14:paraId="11533F2C" w14:textId="77777777" w:rsidTr="00C844C0">
        <w:trPr>
          <w:trHeight w:hRule="exact" w:val="305"/>
        </w:trPr>
        <w:tc>
          <w:tcPr>
            <w:tcW w:w="4244" w:type="dxa"/>
            <w:tcBorders>
              <w:top w:val="single" w:sz="7" w:space="0" w:color="000000"/>
              <w:left w:val="single" w:sz="4" w:space="0" w:color="auto"/>
              <w:bottom w:val="single" w:sz="7" w:space="0" w:color="000000"/>
              <w:right w:val="single" w:sz="6" w:space="0" w:color="000000"/>
            </w:tcBorders>
            <w:shd w:val="clear" w:color="auto" w:fill="auto"/>
          </w:tcPr>
          <w:p w14:paraId="2D2BF5B4" w14:textId="77777777" w:rsidR="00DF61BC" w:rsidRPr="00C94C33" w:rsidRDefault="00DF61BC" w:rsidP="00C844C0">
            <w:pPr>
              <w:pStyle w:val="TableHeading"/>
            </w:pPr>
            <w:bookmarkStart w:id="377" w:name="Table_44:_Sponsor-defined_Hepatobiliary_"/>
            <w:bookmarkStart w:id="378" w:name="12.3.6.2._Renal_Abnormality-related_AEs"/>
            <w:bookmarkEnd w:id="377"/>
            <w:bookmarkEnd w:id="378"/>
            <w:r w:rsidRPr="00C94C33">
              <w:t>Any hepatobiliary abnormality-related</w:t>
            </w:r>
            <w:r w:rsidRPr="00C94C33">
              <w:rPr>
                <w:spacing w:val="-2"/>
              </w:rPr>
              <w:t xml:space="preserve"> </w:t>
            </w:r>
            <w:r w:rsidRPr="00C94C33">
              <w:t>AE</w:t>
            </w:r>
          </w:p>
        </w:tc>
        <w:tc>
          <w:tcPr>
            <w:tcW w:w="1330" w:type="dxa"/>
            <w:tcBorders>
              <w:top w:val="single" w:sz="7" w:space="0" w:color="000000"/>
              <w:left w:val="single" w:sz="6" w:space="0" w:color="000000"/>
              <w:bottom w:val="single" w:sz="7" w:space="0" w:color="000000"/>
            </w:tcBorders>
            <w:shd w:val="clear" w:color="auto" w:fill="auto"/>
          </w:tcPr>
          <w:p w14:paraId="0A7DCBC4" w14:textId="77777777" w:rsidR="00DF61BC" w:rsidRPr="00C94C33" w:rsidRDefault="00DF61BC" w:rsidP="00C844C0">
            <w:pPr>
              <w:pStyle w:val="TableHeading"/>
              <w:jc w:val="center"/>
            </w:pPr>
            <w:r w:rsidRPr="00C94C33">
              <w:t>150 (28.1)</w:t>
            </w:r>
          </w:p>
        </w:tc>
        <w:tc>
          <w:tcPr>
            <w:tcW w:w="1335" w:type="dxa"/>
            <w:tcBorders>
              <w:top w:val="single" w:sz="7" w:space="0" w:color="000000"/>
              <w:left w:val="nil"/>
              <w:bottom w:val="single" w:sz="7" w:space="0" w:color="000000"/>
              <w:right w:val="single" w:sz="6" w:space="0" w:color="000000"/>
            </w:tcBorders>
            <w:shd w:val="clear" w:color="auto" w:fill="auto"/>
          </w:tcPr>
          <w:p w14:paraId="16FEDBB9" w14:textId="77777777" w:rsidR="00DF61BC" w:rsidRPr="00C94C33" w:rsidRDefault="00DF61BC" w:rsidP="00C844C0">
            <w:pPr>
              <w:pStyle w:val="TableHeading"/>
              <w:jc w:val="center"/>
            </w:pPr>
            <w:r w:rsidRPr="00C94C33">
              <w:t>75 (14.1)</w:t>
            </w:r>
          </w:p>
        </w:tc>
        <w:tc>
          <w:tcPr>
            <w:tcW w:w="1332" w:type="dxa"/>
            <w:tcBorders>
              <w:top w:val="single" w:sz="7" w:space="0" w:color="000000"/>
              <w:left w:val="single" w:sz="6" w:space="0" w:color="000000"/>
              <w:bottom w:val="single" w:sz="7" w:space="0" w:color="000000"/>
            </w:tcBorders>
            <w:shd w:val="clear" w:color="auto" w:fill="auto"/>
          </w:tcPr>
          <w:p w14:paraId="4A40008E" w14:textId="77777777" w:rsidR="00DF61BC" w:rsidRPr="00C94C33" w:rsidRDefault="00DF61BC" w:rsidP="00C844C0">
            <w:pPr>
              <w:pStyle w:val="TableHeading"/>
              <w:jc w:val="center"/>
            </w:pPr>
            <w:r w:rsidRPr="00C94C33">
              <w:t>79 (29.8)</w:t>
            </w:r>
          </w:p>
        </w:tc>
        <w:tc>
          <w:tcPr>
            <w:tcW w:w="1335" w:type="dxa"/>
            <w:tcBorders>
              <w:top w:val="single" w:sz="7" w:space="0" w:color="000000"/>
              <w:left w:val="nil"/>
              <w:bottom w:val="single" w:sz="7" w:space="0" w:color="000000"/>
              <w:right w:val="single" w:sz="4" w:space="0" w:color="auto"/>
            </w:tcBorders>
            <w:shd w:val="clear" w:color="auto" w:fill="auto"/>
          </w:tcPr>
          <w:p w14:paraId="146211D8" w14:textId="77777777" w:rsidR="00DF61BC" w:rsidRPr="00C94C33" w:rsidRDefault="00DF61BC" w:rsidP="00C844C0">
            <w:pPr>
              <w:pStyle w:val="TableHeading"/>
              <w:jc w:val="center"/>
            </w:pPr>
            <w:r w:rsidRPr="00C94C33">
              <w:t>48 (18.1)</w:t>
            </w:r>
          </w:p>
        </w:tc>
      </w:tr>
      <w:tr w:rsidR="00DF61BC" w:rsidRPr="00C94C33" w14:paraId="7D16CE14" w14:textId="77777777" w:rsidTr="00C844C0">
        <w:trPr>
          <w:trHeight w:hRule="exact" w:val="305"/>
        </w:trPr>
        <w:tc>
          <w:tcPr>
            <w:tcW w:w="4244" w:type="dxa"/>
            <w:tcBorders>
              <w:top w:val="single" w:sz="7" w:space="0" w:color="000000"/>
              <w:left w:val="single" w:sz="4" w:space="0" w:color="auto"/>
              <w:bottom w:val="single" w:sz="7" w:space="0" w:color="000000"/>
              <w:right w:val="single" w:sz="6" w:space="0" w:color="000000"/>
            </w:tcBorders>
            <w:shd w:val="clear" w:color="auto" w:fill="auto"/>
          </w:tcPr>
          <w:p w14:paraId="41AB3B33" w14:textId="77777777" w:rsidR="00DF61BC" w:rsidRPr="00C94C33" w:rsidRDefault="00DF61BC" w:rsidP="00C844C0">
            <w:pPr>
              <w:pStyle w:val="TableHeading"/>
            </w:pPr>
            <w:r w:rsidRPr="00C94C33">
              <w:t>AEs resulting</w:t>
            </w:r>
            <w:r w:rsidRPr="00C94C33">
              <w:rPr>
                <w:spacing w:val="-2"/>
              </w:rPr>
              <w:t xml:space="preserve"> </w:t>
            </w:r>
            <w:r w:rsidRPr="00C94C33">
              <w:t>in treatment discontinuation</w:t>
            </w:r>
          </w:p>
        </w:tc>
        <w:tc>
          <w:tcPr>
            <w:tcW w:w="1330" w:type="dxa"/>
            <w:tcBorders>
              <w:top w:val="single" w:sz="7" w:space="0" w:color="000000"/>
              <w:left w:val="single" w:sz="6" w:space="0" w:color="000000"/>
              <w:bottom w:val="single" w:sz="7" w:space="0" w:color="000000"/>
            </w:tcBorders>
            <w:shd w:val="clear" w:color="auto" w:fill="auto"/>
          </w:tcPr>
          <w:p w14:paraId="610AE08D" w14:textId="77777777" w:rsidR="00DF61BC" w:rsidRPr="00C94C33" w:rsidRDefault="00DF61BC" w:rsidP="00C844C0">
            <w:pPr>
              <w:pStyle w:val="TableHeading"/>
              <w:jc w:val="center"/>
            </w:pPr>
            <w:r w:rsidRPr="00C94C33">
              <w:t>8 (1.5)</w:t>
            </w:r>
          </w:p>
        </w:tc>
        <w:tc>
          <w:tcPr>
            <w:tcW w:w="1335" w:type="dxa"/>
            <w:tcBorders>
              <w:top w:val="single" w:sz="7" w:space="0" w:color="000000"/>
              <w:left w:val="nil"/>
              <w:bottom w:val="single" w:sz="7" w:space="0" w:color="000000"/>
              <w:right w:val="single" w:sz="6" w:space="0" w:color="000000"/>
            </w:tcBorders>
            <w:shd w:val="clear" w:color="auto" w:fill="auto"/>
          </w:tcPr>
          <w:p w14:paraId="795576EF" w14:textId="77777777" w:rsidR="00DF61BC" w:rsidRPr="00C94C33" w:rsidRDefault="00DF61BC" w:rsidP="00C844C0">
            <w:pPr>
              <w:pStyle w:val="TableHeading"/>
              <w:jc w:val="center"/>
            </w:pPr>
            <w:r w:rsidRPr="00C94C33">
              <w:t>6 (1.1)</w:t>
            </w:r>
          </w:p>
        </w:tc>
        <w:tc>
          <w:tcPr>
            <w:tcW w:w="1332" w:type="dxa"/>
            <w:tcBorders>
              <w:top w:val="single" w:sz="7" w:space="0" w:color="000000"/>
              <w:left w:val="single" w:sz="6" w:space="0" w:color="000000"/>
              <w:bottom w:val="single" w:sz="7" w:space="0" w:color="000000"/>
            </w:tcBorders>
            <w:shd w:val="clear" w:color="auto" w:fill="auto"/>
          </w:tcPr>
          <w:p w14:paraId="5EC09660" w14:textId="77777777" w:rsidR="00DF61BC" w:rsidRPr="00C94C33" w:rsidRDefault="00DF61BC" w:rsidP="00C844C0">
            <w:pPr>
              <w:pStyle w:val="TableHeading"/>
              <w:jc w:val="center"/>
            </w:pPr>
            <w:r w:rsidRPr="00C94C33">
              <w:t>16 (6.0)</w:t>
            </w:r>
          </w:p>
        </w:tc>
        <w:tc>
          <w:tcPr>
            <w:tcW w:w="1335" w:type="dxa"/>
            <w:tcBorders>
              <w:top w:val="single" w:sz="7" w:space="0" w:color="000000"/>
              <w:left w:val="nil"/>
              <w:bottom w:val="single" w:sz="7" w:space="0" w:color="000000"/>
              <w:right w:val="single" w:sz="4" w:space="0" w:color="auto"/>
            </w:tcBorders>
            <w:shd w:val="clear" w:color="auto" w:fill="auto"/>
          </w:tcPr>
          <w:p w14:paraId="1D55BBEA" w14:textId="77777777" w:rsidR="00DF61BC" w:rsidRPr="00C94C33" w:rsidRDefault="00DF61BC" w:rsidP="00C844C0">
            <w:pPr>
              <w:pStyle w:val="TableHeading"/>
              <w:jc w:val="center"/>
            </w:pPr>
            <w:r w:rsidRPr="00C94C33">
              <w:t>13 (4.9)</w:t>
            </w:r>
          </w:p>
        </w:tc>
      </w:tr>
      <w:tr w:rsidR="00DF61BC" w:rsidRPr="00C94C33" w14:paraId="1BFEEDC3" w14:textId="77777777" w:rsidTr="00C844C0">
        <w:trPr>
          <w:trHeight w:hRule="exact" w:val="305"/>
        </w:trPr>
        <w:tc>
          <w:tcPr>
            <w:tcW w:w="4244" w:type="dxa"/>
            <w:tcBorders>
              <w:top w:val="single" w:sz="7" w:space="0" w:color="000000"/>
              <w:left w:val="single" w:sz="4" w:space="0" w:color="auto"/>
              <w:right w:val="single" w:sz="6" w:space="0" w:color="000000"/>
            </w:tcBorders>
            <w:shd w:val="clear" w:color="auto" w:fill="auto"/>
          </w:tcPr>
          <w:p w14:paraId="6EECDFCE" w14:textId="77777777" w:rsidR="00DF61BC" w:rsidRPr="00C844C0" w:rsidRDefault="00DF61BC" w:rsidP="00C844C0">
            <w:pPr>
              <w:pStyle w:val="Tabletext"/>
              <w:rPr>
                <w:b/>
              </w:rPr>
            </w:pPr>
            <w:r w:rsidRPr="00C844C0">
              <w:rPr>
                <w:b/>
              </w:rPr>
              <w:t>Fatal AEs</w:t>
            </w:r>
          </w:p>
        </w:tc>
        <w:tc>
          <w:tcPr>
            <w:tcW w:w="1330" w:type="dxa"/>
            <w:tcBorders>
              <w:top w:val="single" w:sz="7" w:space="0" w:color="000000"/>
              <w:left w:val="single" w:sz="6" w:space="0" w:color="000000"/>
            </w:tcBorders>
            <w:shd w:val="clear" w:color="auto" w:fill="auto"/>
          </w:tcPr>
          <w:p w14:paraId="1052DC7F" w14:textId="77777777" w:rsidR="00DF61BC" w:rsidRPr="00C94C33" w:rsidRDefault="00DF61BC" w:rsidP="00C844C0">
            <w:pPr>
              <w:pStyle w:val="Tabletext"/>
              <w:jc w:val="center"/>
            </w:pPr>
            <w:r w:rsidRPr="00C94C33">
              <w:t>3 (0.6)</w:t>
            </w:r>
          </w:p>
        </w:tc>
        <w:tc>
          <w:tcPr>
            <w:tcW w:w="1335" w:type="dxa"/>
            <w:tcBorders>
              <w:top w:val="single" w:sz="7" w:space="0" w:color="000000"/>
              <w:left w:val="nil"/>
              <w:right w:val="single" w:sz="6" w:space="0" w:color="000000"/>
            </w:tcBorders>
            <w:shd w:val="clear" w:color="auto" w:fill="auto"/>
          </w:tcPr>
          <w:p w14:paraId="55E1B4F3" w14:textId="77777777" w:rsidR="00DF61BC" w:rsidRPr="00C94C33" w:rsidRDefault="00DF61BC" w:rsidP="00C844C0">
            <w:pPr>
              <w:pStyle w:val="Tabletext"/>
              <w:jc w:val="center"/>
            </w:pPr>
            <w:r w:rsidRPr="00C94C33">
              <w:t>3 (0.6)</w:t>
            </w:r>
          </w:p>
        </w:tc>
        <w:tc>
          <w:tcPr>
            <w:tcW w:w="1332" w:type="dxa"/>
            <w:tcBorders>
              <w:top w:val="single" w:sz="7" w:space="0" w:color="000000"/>
              <w:left w:val="single" w:sz="6" w:space="0" w:color="000000"/>
            </w:tcBorders>
            <w:shd w:val="clear" w:color="auto" w:fill="auto"/>
          </w:tcPr>
          <w:p w14:paraId="4EE7ACB0" w14:textId="77777777" w:rsidR="00DF61BC" w:rsidRPr="00C94C33" w:rsidRDefault="00DF61BC" w:rsidP="00C844C0">
            <w:pPr>
              <w:pStyle w:val="Tabletext"/>
              <w:jc w:val="center"/>
            </w:pPr>
            <w:r w:rsidRPr="00C94C33">
              <w:t>7 (2.6)</w:t>
            </w:r>
          </w:p>
        </w:tc>
        <w:tc>
          <w:tcPr>
            <w:tcW w:w="1335" w:type="dxa"/>
            <w:tcBorders>
              <w:top w:val="single" w:sz="7" w:space="0" w:color="000000"/>
              <w:left w:val="nil"/>
              <w:right w:val="single" w:sz="4" w:space="0" w:color="auto"/>
            </w:tcBorders>
            <w:shd w:val="clear" w:color="auto" w:fill="auto"/>
          </w:tcPr>
          <w:p w14:paraId="28D8B0AF" w14:textId="77777777" w:rsidR="00DF61BC" w:rsidRPr="00C94C33" w:rsidRDefault="00DF61BC" w:rsidP="00C844C0">
            <w:pPr>
              <w:pStyle w:val="Tabletext"/>
              <w:jc w:val="center"/>
            </w:pPr>
            <w:r w:rsidRPr="00C94C33">
              <w:t>7 (2.6)</w:t>
            </w:r>
          </w:p>
        </w:tc>
      </w:tr>
      <w:tr w:rsidR="00DF61BC" w:rsidRPr="00C94C33" w14:paraId="662590F5" w14:textId="77777777" w:rsidTr="00C844C0">
        <w:trPr>
          <w:trHeight w:hRule="exact" w:val="305"/>
        </w:trPr>
        <w:tc>
          <w:tcPr>
            <w:tcW w:w="4244" w:type="dxa"/>
            <w:tcBorders>
              <w:left w:val="single" w:sz="4" w:space="0" w:color="auto"/>
              <w:right w:val="single" w:sz="6" w:space="0" w:color="000000"/>
            </w:tcBorders>
            <w:shd w:val="clear" w:color="auto" w:fill="auto"/>
          </w:tcPr>
          <w:p w14:paraId="1DF4108F" w14:textId="77777777" w:rsidR="00DF61BC" w:rsidRPr="00C94C33" w:rsidRDefault="00DF61BC" w:rsidP="00C844C0">
            <w:pPr>
              <w:pStyle w:val="Tabletext"/>
            </w:pPr>
            <w:r w:rsidRPr="00C94C33">
              <w:t>Hepatic failure</w:t>
            </w:r>
          </w:p>
        </w:tc>
        <w:tc>
          <w:tcPr>
            <w:tcW w:w="1330" w:type="dxa"/>
            <w:tcBorders>
              <w:left w:val="single" w:sz="6" w:space="0" w:color="000000"/>
            </w:tcBorders>
            <w:shd w:val="clear" w:color="auto" w:fill="auto"/>
          </w:tcPr>
          <w:p w14:paraId="372BF2B3" w14:textId="77777777" w:rsidR="00DF61BC" w:rsidRPr="00C94C33" w:rsidRDefault="00DF61BC" w:rsidP="00C844C0">
            <w:pPr>
              <w:pStyle w:val="Tabletext"/>
              <w:jc w:val="center"/>
            </w:pPr>
            <w:r w:rsidRPr="00C94C33">
              <w:t>2 (0.4)</w:t>
            </w:r>
          </w:p>
        </w:tc>
        <w:tc>
          <w:tcPr>
            <w:tcW w:w="1335" w:type="dxa"/>
            <w:tcBorders>
              <w:left w:val="nil"/>
              <w:right w:val="single" w:sz="6" w:space="0" w:color="000000"/>
            </w:tcBorders>
            <w:shd w:val="clear" w:color="auto" w:fill="auto"/>
          </w:tcPr>
          <w:p w14:paraId="2C0A9213" w14:textId="77777777" w:rsidR="00DF61BC" w:rsidRPr="00C94C33" w:rsidRDefault="00DF61BC" w:rsidP="00C844C0">
            <w:pPr>
              <w:pStyle w:val="Tabletext"/>
              <w:jc w:val="center"/>
            </w:pPr>
            <w:r w:rsidRPr="00C94C33">
              <w:t>2 (0.4)</w:t>
            </w:r>
          </w:p>
        </w:tc>
        <w:tc>
          <w:tcPr>
            <w:tcW w:w="1332" w:type="dxa"/>
            <w:tcBorders>
              <w:left w:val="single" w:sz="6" w:space="0" w:color="000000"/>
            </w:tcBorders>
            <w:shd w:val="clear" w:color="auto" w:fill="auto"/>
          </w:tcPr>
          <w:p w14:paraId="2C929C99" w14:textId="77777777" w:rsidR="00DF61BC" w:rsidRPr="00C94C33" w:rsidRDefault="00DF61BC" w:rsidP="00C844C0">
            <w:pPr>
              <w:pStyle w:val="Tabletext"/>
              <w:jc w:val="center"/>
            </w:pPr>
            <w:r w:rsidRPr="00C94C33">
              <w:t>6 (2.3)</w:t>
            </w:r>
          </w:p>
        </w:tc>
        <w:tc>
          <w:tcPr>
            <w:tcW w:w="1335" w:type="dxa"/>
            <w:tcBorders>
              <w:left w:val="nil"/>
              <w:right w:val="single" w:sz="4" w:space="0" w:color="auto"/>
            </w:tcBorders>
            <w:shd w:val="clear" w:color="auto" w:fill="auto"/>
          </w:tcPr>
          <w:p w14:paraId="0F8E6E2E" w14:textId="77777777" w:rsidR="00DF61BC" w:rsidRPr="00C94C33" w:rsidRDefault="00DF61BC" w:rsidP="00C844C0">
            <w:pPr>
              <w:pStyle w:val="Tabletext"/>
              <w:jc w:val="center"/>
            </w:pPr>
            <w:r w:rsidRPr="00C94C33">
              <w:t>6 (2.3)</w:t>
            </w:r>
          </w:p>
        </w:tc>
      </w:tr>
      <w:tr w:rsidR="00DF61BC" w:rsidRPr="00C94C33" w14:paraId="11F4B0BA" w14:textId="77777777" w:rsidTr="00C844C0">
        <w:trPr>
          <w:trHeight w:hRule="exact" w:val="305"/>
        </w:trPr>
        <w:tc>
          <w:tcPr>
            <w:tcW w:w="4244" w:type="dxa"/>
            <w:tcBorders>
              <w:left w:val="single" w:sz="4" w:space="0" w:color="auto"/>
              <w:right w:val="single" w:sz="6" w:space="0" w:color="000000"/>
            </w:tcBorders>
            <w:shd w:val="clear" w:color="auto" w:fill="auto"/>
          </w:tcPr>
          <w:p w14:paraId="4A36F453" w14:textId="77777777" w:rsidR="00DF61BC" w:rsidRPr="00C94C33" w:rsidRDefault="00DF61BC" w:rsidP="00C844C0">
            <w:pPr>
              <w:pStyle w:val="Tabletext"/>
            </w:pPr>
            <w:r w:rsidRPr="00C94C33">
              <w:t>Jaundice</w:t>
            </w:r>
          </w:p>
        </w:tc>
        <w:tc>
          <w:tcPr>
            <w:tcW w:w="1330" w:type="dxa"/>
            <w:tcBorders>
              <w:left w:val="single" w:sz="6" w:space="0" w:color="000000"/>
            </w:tcBorders>
            <w:shd w:val="clear" w:color="auto" w:fill="auto"/>
          </w:tcPr>
          <w:p w14:paraId="3947EE84" w14:textId="77777777" w:rsidR="00DF61BC" w:rsidRPr="00C94C33" w:rsidRDefault="00DF61BC" w:rsidP="00C844C0">
            <w:pPr>
              <w:pStyle w:val="Tabletext"/>
              <w:jc w:val="center"/>
            </w:pPr>
            <w:r w:rsidRPr="00C94C33">
              <w:t>0</w:t>
            </w:r>
          </w:p>
        </w:tc>
        <w:tc>
          <w:tcPr>
            <w:tcW w:w="1335" w:type="dxa"/>
            <w:tcBorders>
              <w:left w:val="nil"/>
              <w:right w:val="single" w:sz="6" w:space="0" w:color="000000"/>
            </w:tcBorders>
            <w:shd w:val="clear" w:color="auto" w:fill="auto"/>
          </w:tcPr>
          <w:p w14:paraId="17961A0B" w14:textId="77777777" w:rsidR="00DF61BC" w:rsidRPr="00C94C33" w:rsidRDefault="00DF61BC" w:rsidP="00C844C0">
            <w:pPr>
              <w:pStyle w:val="Tabletext"/>
              <w:jc w:val="center"/>
            </w:pPr>
            <w:r w:rsidRPr="00C94C33">
              <w:t>0</w:t>
            </w:r>
          </w:p>
        </w:tc>
        <w:tc>
          <w:tcPr>
            <w:tcW w:w="1332" w:type="dxa"/>
            <w:tcBorders>
              <w:left w:val="single" w:sz="6" w:space="0" w:color="000000"/>
            </w:tcBorders>
            <w:shd w:val="clear" w:color="auto" w:fill="auto"/>
          </w:tcPr>
          <w:p w14:paraId="7471D489" w14:textId="77777777" w:rsidR="00DF61BC" w:rsidRPr="00C94C33" w:rsidRDefault="00DF61BC" w:rsidP="00C844C0">
            <w:pPr>
              <w:pStyle w:val="Tabletext"/>
              <w:jc w:val="center"/>
            </w:pPr>
            <w:r w:rsidRPr="00C94C33">
              <w:t>1 (0.4)</w:t>
            </w:r>
          </w:p>
        </w:tc>
        <w:tc>
          <w:tcPr>
            <w:tcW w:w="1335" w:type="dxa"/>
            <w:tcBorders>
              <w:left w:val="nil"/>
              <w:right w:val="single" w:sz="4" w:space="0" w:color="auto"/>
            </w:tcBorders>
            <w:shd w:val="clear" w:color="auto" w:fill="auto"/>
          </w:tcPr>
          <w:p w14:paraId="4DF382FB" w14:textId="77777777" w:rsidR="00DF61BC" w:rsidRPr="00C94C33" w:rsidRDefault="00DF61BC" w:rsidP="00C844C0">
            <w:pPr>
              <w:pStyle w:val="Tabletext"/>
              <w:jc w:val="center"/>
            </w:pPr>
            <w:r w:rsidRPr="00C94C33">
              <w:t>1 (0.4)</w:t>
            </w:r>
          </w:p>
        </w:tc>
      </w:tr>
      <w:tr w:rsidR="00DF61BC" w:rsidRPr="00C94C33" w14:paraId="13A4816B" w14:textId="77777777" w:rsidTr="00C844C0">
        <w:trPr>
          <w:trHeight w:hRule="exact" w:val="306"/>
        </w:trPr>
        <w:tc>
          <w:tcPr>
            <w:tcW w:w="4244" w:type="dxa"/>
            <w:tcBorders>
              <w:left w:val="single" w:sz="4" w:space="0" w:color="auto"/>
              <w:right w:val="single" w:sz="6" w:space="0" w:color="000000"/>
            </w:tcBorders>
            <w:shd w:val="clear" w:color="auto" w:fill="auto"/>
          </w:tcPr>
          <w:p w14:paraId="732C855E" w14:textId="77777777" w:rsidR="00DF61BC" w:rsidRPr="00C94C33" w:rsidRDefault="00DF61BC" w:rsidP="00C844C0">
            <w:pPr>
              <w:pStyle w:val="Tabletext"/>
            </w:pPr>
            <w:r w:rsidRPr="00C94C33">
              <w:t>Liver abscess</w:t>
            </w:r>
          </w:p>
        </w:tc>
        <w:tc>
          <w:tcPr>
            <w:tcW w:w="1330" w:type="dxa"/>
            <w:tcBorders>
              <w:left w:val="single" w:sz="6" w:space="0" w:color="000000"/>
            </w:tcBorders>
            <w:shd w:val="clear" w:color="auto" w:fill="auto"/>
          </w:tcPr>
          <w:p w14:paraId="0E055107" w14:textId="77777777" w:rsidR="00DF61BC" w:rsidRPr="00C94C33" w:rsidRDefault="00DF61BC" w:rsidP="00C844C0">
            <w:pPr>
              <w:pStyle w:val="Tabletext"/>
              <w:jc w:val="center"/>
            </w:pPr>
            <w:r w:rsidRPr="00C94C33">
              <w:t>1 (0.2)</w:t>
            </w:r>
          </w:p>
        </w:tc>
        <w:tc>
          <w:tcPr>
            <w:tcW w:w="1335" w:type="dxa"/>
            <w:tcBorders>
              <w:left w:val="nil"/>
              <w:right w:val="single" w:sz="6" w:space="0" w:color="000000"/>
            </w:tcBorders>
            <w:shd w:val="clear" w:color="auto" w:fill="auto"/>
          </w:tcPr>
          <w:p w14:paraId="7D021FFA" w14:textId="77777777" w:rsidR="00DF61BC" w:rsidRPr="00C94C33" w:rsidRDefault="00DF61BC" w:rsidP="00C844C0">
            <w:pPr>
              <w:pStyle w:val="Tabletext"/>
              <w:jc w:val="center"/>
            </w:pPr>
            <w:r w:rsidRPr="00C94C33">
              <w:t>1 (0.2)</w:t>
            </w:r>
          </w:p>
        </w:tc>
        <w:tc>
          <w:tcPr>
            <w:tcW w:w="1332" w:type="dxa"/>
            <w:tcBorders>
              <w:left w:val="single" w:sz="6" w:space="0" w:color="000000"/>
            </w:tcBorders>
            <w:shd w:val="clear" w:color="auto" w:fill="auto"/>
          </w:tcPr>
          <w:p w14:paraId="5591C0FD" w14:textId="77777777" w:rsidR="00DF61BC" w:rsidRPr="00C94C33" w:rsidRDefault="00DF61BC" w:rsidP="00C844C0">
            <w:pPr>
              <w:pStyle w:val="Tabletext"/>
              <w:jc w:val="center"/>
            </w:pPr>
            <w:r w:rsidRPr="00C94C33">
              <w:t>0</w:t>
            </w:r>
          </w:p>
        </w:tc>
        <w:tc>
          <w:tcPr>
            <w:tcW w:w="1335" w:type="dxa"/>
            <w:tcBorders>
              <w:left w:val="nil"/>
              <w:right w:val="single" w:sz="4" w:space="0" w:color="auto"/>
            </w:tcBorders>
            <w:shd w:val="clear" w:color="auto" w:fill="auto"/>
          </w:tcPr>
          <w:p w14:paraId="53A59DD3" w14:textId="77777777" w:rsidR="00DF61BC" w:rsidRPr="00C94C33" w:rsidRDefault="00DF61BC" w:rsidP="00C844C0">
            <w:pPr>
              <w:pStyle w:val="Tabletext"/>
              <w:jc w:val="center"/>
            </w:pPr>
            <w:r w:rsidRPr="00C94C33">
              <w:t>0</w:t>
            </w:r>
          </w:p>
        </w:tc>
      </w:tr>
      <w:tr w:rsidR="00DF61BC" w:rsidRPr="00C94C33" w14:paraId="737B4D65" w14:textId="77777777" w:rsidTr="00C844C0">
        <w:trPr>
          <w:trHeight w:hRule="exact" w:val="303"/>
        </w:trPr>
        <w:tc>
          <w:tcPr>
            <w:tcW w:w="4244" w:type="dxa"/>
            <w:tcBorders>
              <w:left w:val="single" w:sz="4" w:space="0" w:color="auto"/>
              <w:bottom w:val="single" w:sz="6" w:space="0" w:color="000000"/>
              <w:right w:val="single" w:sz="6" w:space="0" w:color="000000"/>
            </w:tcBorders>
            <w:shd w:val="clear" w:color="auto" w:fill="auto"/>
          </w:tcPr>
          <w:p w14:paraId="2905B094" w14:textId="77777777" w:rsidR="00DF61BC" w:rsidRPr="00C94C33" w:rsidRDefault="00DF61BC" w:rsidP="00C844C0">
            <w:pPr>
              <w:pStyle w:val="Tabletext"/>
            </w:pPr>
            <w:r w:rsidRPr="00C94C33">
              <w:lastRenderedPageBreak/>
              <w:t>Hepatic encephalopathy</w:t>
            </w:r>
          </w:p>
        </w:tc>
        <w:tc>
          <w:tcPr>
            <w:tcW w:w="1330" w:type="dxa"/>
            <w:tcBorders>
              <w:left w:val="single" w:sz="6" w:space="0" w:color="000000"/>
              <w:bottom w:val="single" w:sz="6" w:space="0" w:color="000000"/>
            </w:tcBorders>
            <w:shd w:val="clear" w:color="auto" w:fill="auto"/>
          </w:tcPr>
          <w:p w14:paraId="5A53D4E9" w14:textId="77777777" w:rsidR="00DF61BC" w:rsidRPr="00C94C33" w:rsidRDefault="00DF61BC" w:rsidP="00C844C0">
            <w:pPr>
              <w:pStyle w:val="Tabletext"/>
              <w:jc w:val="center"/>
            </w:pPr>
            <w:r w:rsidRPr="00C94C33">
              <w:t>0</w:t>
            </w:r>
          </w:p>
        </w:tc>
        <w:tc>
          <w:tcPr>
            <w:tcW w:w="1335" w:type="dxa"/>
            <w:tcBorders>
              <w:left w:val="nil"/>
              <w:bottom w:val="single" w:sz="6" w:space="0" w:color="000000"/>
              <w:right w:val="single" w:sz="6" w:space="0" w:color="000000"/>
            </w:tcBorders>
            <w:shd w:val="clear" w:color="auto" w:fill="auto"/>
          </w:tcPr>
          <w:p w14:paraId="5D1BE2DB" w14:textId="77777777" w:rsidR="00DF61BC" w:rsidRPr="00C94C33" w:rsidRDefault="00DF61BC" w:rsidP="00C844C0">
            <w:pPr>
              <w:pStyle w:val="Tabletext"/>
              <w:jc w:val="center"/>
            </w:pPr>
            <w:r w:rsidRPr="00C94C33">
              <w:t>0</w:t>
            </w:r>
          </w:p>
        </w:tc>
        <w:tc>
          <w:tcPr>
            <w:tcW w:w="1332" w:type="dxa"/>
            <w:tcBorders>
              <w:left w:val="single" w:sz="6" w:space="0" w:color="000000"/>
              <w:bottom w:val="single" w:sz="6" w:space="0" w:color="000000"/>
            </w:tcBorders>
            <w:shd w:val="clear" w:color="auto" w:fill="auto"/>
          </w:tcPr>
          <w:p w14:paraId="11DAE133" w14:textId="77777777" w:rsidR="00DF61BC" w:rsidRPr="00C94C33" w:rsidRDefault="00DF61BC" w:rsidP="00C844C0">
            <w:pPr>
              <w:pStyle w:val="Tabletext"/>
              <w:jc w:val="center"/>
            </w:pPr>
            <w:r w:rsidRPr="00C94C33">
              <w:t>1 (0.4)</w:t>
            </w:r>
          </w:p>
        </w:tc>
        <w:tc>
          <w:tcPr>
            <w:tcW w:w="1335" w:type="dxa"/>
            <w:tcBorders>
              <w:left w:val="nil"/>
              <w:bottom w:val="single" w:sz="6" w:space="0" w:color="000000"/>
              <w:right w:val="single" w:sz="4" w:space="0" w:color="auto"/>
            </w:tcBorders>
            <w:shd w:val="clear" w:color="auto" w:fill="auto"/>
          </w:tcPr>
          <w:p w14:paraId="14FE1BC0" w14:textId="77777777" w:rsidR="00DF61BC" w:rsidRPr="00C94C33" w:rsidRDefault="00DF61BC" w:rsidP="00C844C0">
            <w:pPr>
              <w:pStyle w:val="Tabletext"/>
              <w:jc w:val="center"/>
            </w:pPr>
            <w:r w:rsidRPr="00C94C33">
              <w:t>1 (0.4)</w:t>
            </w:r>
          </w:p>
        </w:tc>
      </w:tr>
    </w:tbl>
    <w:p w14:paraId="0CD733DE" w14:textId="77777777" w:rsidR="00AA7141" w:rsidRDefault="00DF61BC" w:rsidP="00983724">
      <w:pPr>
        <w:pStyle w:val="Heading5"/>
      </w:pPr>
      <w:bookmarkStart w:id="379" w:name="_Toc470948582"/>
      <w:r w:rsidRPr="00C94C33">
        <w:t>Renal abnormality-related adverse events</w:t>
      </w:r>
      <w:bookmarkEnd w:id="379"/>
    </w:p>
    <w:p w14:paraId="0B657299" w14:textId="5F990810" w:rsidR="006A7C10" w:rsidRPr="00C94C33" w:rsidRDefault="00DF61BC" w:rsidP="005C2FCA">
      <w:pPr>
        <w:autoSpaceDE w:val="0"/>
        <w:autoSpaceDN w:val="0"/>
        <w:adjustRightInd w:val="0"/>
        <w:rPr>
          <w:rFonts w:cstheme="minorBidi"/>
          <w:b/>
        </w:rPr>
      </w:pPr>
      <w:r w:rsidRPr="00C94C33">
        <w:rPr>
          <w:rFonts w:asciiTheme="minorHAnsi" w:hAnsiTheme="minorHAnsi"/>
        </w:rPr>
        <w:t>Renal abnormality-related AEs (all Grades) were reported more frequently in the TAS-102 group than in the placebo group (9.0%</w:t>
      </w:r>
      <w:r w:rsidR="00C11183">
        <w:rPr>
          <w:rFonts w:asciiTheme="minorHAnsi" w:hAnsiTheme="minorHAnsi"/>
        </w:rPr>
        <w:t xml:space="preserve"> versus </w:t>
      </w:r>
      <w:r w:rsidRPr="00C94C33">
        <w:rPr>
          <w:rFonts w:asciiTheme="minorHAnsi" w:hAnsiTheme="minorHAnsi"/>
        </w:rPr>
        <w:t xml:space="preserve">4.9%, respectively). Renal abnormality-related AEs resulting in treatment discontinuation occurred infrequently in both treatment groups (0.4% both groups), as did fatal AEs (0.4% </w:t>
      </w:r>
      <w:r w:rsidR="00A0007E" w:rsidRPr="00C94C33">
        <w:rPr>
          <w:rFonts w:asciiTheme="minorHAnsi" w:hAnsiTheme="minorHAnsi"/>
        </w:rPr>
        <w:t>(</w:t>
      </w:r>
      <w:r w:rsidRPr="00C94C33">
        <w:rPr>
          <w:rFonts w:asciiTheme="minorHAnsi" w:hAnsiTheme="minorHAnsi"/>
        </w:rPr>
        <w:t>TAS-102</w:t>
      </w:r>
      <w:r w:rsidR="00A0007E" w:rsidRPr="00C94C33">
        <w:rPr>
          <w:rFonts w:asciiTheme="minorHAnsi" w:hAnsiTheme="minorHAnsi"/>
        </w:rPr>
        <w:t>)</w:t>
      </w:r>
      <w:r w:rsidRPr="00C94C33">
        <w:rPr>
          <w:rFonts w:asciiTheme="minorHAnsi" w:hAnsiTheme="minorHAnsi"/>
        </w:rPr>
        <w:t xml:space="preserve">; 0.8% </w:t>
      </w:r>
      <w:r w:rsidR="00A0007E" w:rsidRPr="00C94C33">
        <w:rPr>
          <w:rFonts w:asciiTheme="minorHAnsi" w:hAnsiTheme="minorHAnsi"/>
        </w:rPr>
        <w:t>(</w:t>
      </w:r>
      <w:r w:rsidRPr="00C94C33">
        <w:rPr>
          <w:rFonts w:asciiTheme="minorHAnsi" w:hAnsiTheme="minorHAnsi"/>
        </w:rPr>
        <w:t>placebo</w:t>
      </w:r>
      <w:r w:rsidR="00A0007E" w:rsidRPr="00C94C33">
        <w:rPr>
          <w:rFonts w:asciiTheme="minorHAnsi" w:hAnsiTheme="minorHAnsi"/>
        </w:rPr>
        <w:t>)</w:t>
      </w:r>
      <w:r w:rsidRPr="00C94C33">
        <w:rPr>
          <w:rFonts w:asciiTheme="minorHAnsi" w:hAnsiTheme="minorHAnsi"/>
        </w:rPr>
        <w:t xml:space="preserve">). </w:t>
      </w:r>
      <w:r w:rsidRPr="00C94C33">
        <w:rPr>
          <w:rFonts w:asciiTheme="minorHAnsi" w:hAnsiTheme="minorHAnsi"/>
          <w:color w:val="000000"/>
        </w:rPr>
        <w:t>Renal abnormality-related AEs are summarised below.</w:t>
      </w:r>
      <w:bookmarkStart w:id="380" w:name="_Toc470948702"/>
    </w:p>
    <w:p w14:paraId="4DEA1266" w14:textId="4C274E2A" w:rsidR="00DF61BC" w:rsidRPr="00C94C33" w:rsidRDefault="00DF61BC" w:rsidP="00744EDB">
      <w:pPr>
        <w:pStyle w:val="Tabletitle"/>
      </w:pPr>
      <w:r w:rsidRPr="00C94C33">
        <w:t>Table</w:t>
      </w:r>
      <w:r w:rsidR="006A7C10" w:rsidRPr="00C94C33">
        <w:t xml:space="preserve"> 53</w:t>
      </w:r>
      <w:r w:rsidRPr="00C94C33">
        <w:t>: RECOURSE</w:t>
      </w:r>
      <w:r w:rsidR="00744EDB">
        <w:t>;</w:t>
      </w:r>
      <w:r w:rsidRPr="00C94C33">
        <w:t xml:space="preserve"> Sponsor</w:t>
      </w:r>
      <w:r w:rsidR="00744EDB">
        <w:t xml:space="preserve"> </w:t>
      </w:r>
      <w:r w:rsidRPr="00C94C33">
        <w:t>defined renal abnormality-related adverse events, AT</w:t>
      </w:r>
      <w:r w:rsidR="00744EDB">
        <w:t> </w:t>
      </w:r>
      <w:r w:rsidRPr="00C94C33">
        <w:t>population</w:t>
      </w:r>
      <w:bookmarkEnd w:id="380"/>
    </w:p>
    <w:tbl>
      <w:tblPr>
        <w:tblW w:w="9584" w:type="dxa"/>
        <w:tblInd w:w="104" w:type="dxa"/>
        <w:tblLayout w:type="fixed"/>
        <w:tblCellMar>
          <w:left w:w="0" w:type="dxa"/>
          <w:right w:w="0" w:type="dxa"/>
        </w:tblCellMar>
        <w:tblLook w:val="0000" w:firstRow="0" w:lastRow="0" w:firstColumn="0" w:lastColumn="0" w:noHBand="0" w:noVBand="0"/>
      </w:tblPr>
      <w:tblGrid>
        <w:gridCol w:w="7"/>
        <w:gridCol w:w="4239"/>
        <w:gridCol w:w="1331"/>
        <w:gridCol w:w="1336"/>
        <w:gridCol w:w="1332"/>
        <w:gridCol w:w="1331"/>
        <w:gridCol w:w="8"/>
      </w:tblGrid>
      <w:tr w:rsidR="00DF61BC" w:rsidRPr="00C94C33" w14:paraId="41CCD11B" w14:textId="77777777" w:rsidTr="00C844C0">
        <w:trPr>
          <w:gridBefore w:val="1"/>
          <w:wBefore w:w="8" w:type="dxa"/>
          <w:trHeight w:hRule="exact" w:val="447"/>
          <w:tblHeader/>
        </w:trPr>
        <w:tc>
          <w:tcPr>
            <w:tcW w:w="4241" w:type="dxa"/>
            <w:tcBorders>
              <w:top w:val="single" w:sz="8" w:space="0" w:color="000000"/>
              <w:left w:val="single" w:sz="4" w:space="0" w:color="auto"/>
              <w:right w:val="single" w:sz="6" w:space="0" w:color="000000"/>
            </w:tcBorders>
            <w:shd w:val="clear" w:color="auto" w:fill="auto"/>
          </w:tcPr>
          <w:p w14:paraId="27D0C373" w14:textId="77777777" w:rsidR="00DF61BC" w:rsidRPr="00C94C33" w:rsidRDefault="00DF61BC" w:rsidP="00C844C0">
            <w:pPr>
              <w:pStyle w:val="TableHeading"/>
            </w:pPr>
          </w:p>
        </w:tc>
        <w:tc>
          <w:tcPr>
            <w:tcW w:w="2665" w:type="dxa"/>
            <w:gridSpan w:val="2"/>
            <w:tcBorders>
              <w:top w:val="single" w:sz="8" w:space="0" w:color="000000"/>
              <w:left w:val="single" w:sz="6" w:space="0" w:color="000000"/>
              <w:right w:val="single" w:sz="6" w:space="0" w:color="000000"/>
            </w:tcBorders>
            <w:shd w:val="clear" w:color="auto" w:fill="auto"/>
          </w:tcPr>
          <w:p w14:paraId="0EE6D7F1" w14:textId="5FC4C692" w:rsidR="00DF61BC" w:rsidRPr="00C94C33" w:rsidRDefault="00DF61BC" w:rsidP="00C844C0">
            <w:pPr>
              <w:pStyle w:val="TableHeading"/>
              <w:jc w:val="center"/>
            </w:pPr>
            <w:r w:rsidRPr="00C94C33">
              <w:t>TAS-102 (</w:t>
            </w:r>
            <w:r w:rsidR="009C0389" w:rsidRPr="00C94C33">
              <w:t xml:space="preserve">n = </w:t>
            </w:r>
            <w:r w:rsidRPr="00C94C33">
              <w:t>533), n (%)</w:t>
            </w:r>
          </w:p>
        </w:tc>
        <w:tc>
          <w:tcPr>
            <w:tcW w:w="2670" w:type="dxa"/>
            <w:gridSpan w:val="3"/>
            <w:tcBorders>
              <w:top w:val="single" w:sz="8" w:space="0" w:color="000000"/>
              <w:left w:val="single" w:sz="6" w:space="0" w:color="000000"/>
              <w:right w:val="single" w:sz="4" w:space="0" w:color="auto"/>
            </w:tcBorders>
            <w:shd w:val="clear" w:color="auto" w:fill="auto"/>
          </w:tcPr>
          <w:p w14:paraId="48F6DEC4" w14:textId="1B02B3D2" w:rsidR="00DF61BC" w:rsidRPr="00C94C33" w:rsidRDefault="00DF61BC" w:rsidP="00C844C0">
            <w:pPr>
              <w:pStyle w:val="TableHeading"/>
              <w:jc w:val="center"/>
            </w:pPr>
            <w:r w:rsidRPr="00C94C33">
              <w:t>Placebo (</w:t>
            </w:r>
            <w:r w:rsidR="009C0389" w:rsidRPr="00C94C33">
              <w:t xml:space="preserve">n = </w:t>
            </w:r>
            <w:r w:rsidRPr="00C94C33">
              <w:t>265); n (%)</w:t>
            </w:r>
          </w:p>
        </w:tc>
      </w:tr>
      <w:tr w:rsidR="00DF61BC" w:rsidRPr="00C94C33" w14:paraId="45B12397" w14:textId="77777777" w:rsidTr="00C844C0">
        <w:trPr>
          <w:gridBefore w:val="1"/>
          <w:wBefore w:w="8" w:type="dxa"/>
          <w:trHeight w:hRule="exact" w:val="305"/>
          <w:tblHeader/>
        </w:trPr>
        <w:tc>
          <w:tcPr>
            <w:tcW w:w="4241" w:type="dxa"/>
            <w:tcBorders>
              <w:left w:val="single" w:sz="4" w:space="0" w:color="auto"/>
              <w:bottom w:val="single" w:sz="7" w:space="0" w:color="000000"/>
              <w:right w:val="single" w:sz="6" w:space="0" w:color="000000"/>
            </w:tcBorders>
            <w:shd w:val="clear" w:color="auto" w:fill="auto"/>
          </w:tcPr>
          <w:p w14:paraId="697ED2B8" w14:textId="77777777" w:rsidR="00DF61BC" w:rsidRPr="00C94C33" w:rsidRDefault="00DF61BC" w:rsidP="00C844C0">
            <w:pPr>
              <w:pStyle w:val="TableHeading"/>
              <w:rPr>
                <w:bCs/>
                <w:spacing w:val="-1"/>
              </w:rPr>
            </w:pPr>
            <w:r w:rsidRPr="00C94C33">
              <w:rPr>
                <w:bCs/>
                <w:spacing w:val="-1"/>
              </w:rPr>
              <w:t>Category – Preferred term</w:t>
            </w:r>
          </w:p>
        </w:tc>
        <w:tc>
          <w:tcPr>
            <w:tcW w:w="1331" w:type="dxa"/>
            <w:tcBorders>
              <w:left w:val="single" w:sz="6" w:space="0" w:color="000000"/>
              <w:bottom w:val="single" w:sz="7" w:space="0" w:color="000000"/>
            </w:tcBorders>
            <w:shd w:val="clear" w:color="auto" w:fill="auto"/>
          </w:tcPr>
          <w:p w14:paraId="4166DBD9" w14:textId="77777777" w:rsidR="00DF61BC" w:rsidRPr="00C94C33" w:rsidRDefault="00DF61BC" w:rsidP="00C844C0">
            <w:pPr>
              <w:pStyle w:val="TableHeading"/>
              <w:jc w:val="center"/>
              <w:rPr>
                <w:spacing w:val="-1"/>
              </w:rPr>
            </w:pPr>
            <w:r w:rsidRPr="00C94C33">
              <w:rPr>
                <w:spacing w:val="-1"/>
              </w:rPr>
              <w:t>All Grades</w:t>
            </w:r>
          </w:p>
        </w:tc>
        <w:tc>
          <w:tcPr>
            <w:tcW w:w="1334" w:type="dxa"/>
            <w:tcBorders>
              <w:left w:val="nil"/>
              <w:bottom w:val="single" w:sz="7" w:space="0" w:color="000000"/>
              <w:right w:val="single" w:sz="6" w:space="0" w:color="000000"/>
            </w:tcBorders>
            <w:shd w:val="clear" w:color="auto" w:fill="auto"/>
          </w:tcPr>
          <w:p w14:paraId="220CE91A" w14:textId="77777777" w:rsidR="00DF61BC" w:rsidRPr="00C94C33" w:rsidRDefault="00DF61BC" w:rsidP="00C844C0">
            <w:pPr>
              <w:pStyle w:val="TableHeading"/>
              <w:jc w:val="center"/>
            </w:pPr>
            <w:r w:rsidRPr="00C94C33">
              <w:t>≥ Grade 3</w:t>
            </w:r>
          </w:p>
        </w:tc>
        <w:tc>
          <w:tcPr>
            <w:tcW w:w="1331" w:type="dxa"/>
            <w:tcBorders>
              <w:left w:val="single" w:sz="6" w:space="0" w:color="000000"/>
              <w:bottom w:val="single" w:sz="7" w:space="0" w:color="000000"/>
            </w:tcBorders>
            <w:shd w:val="clear" w:color="auto" w:fill="auto"/>
          </w:tcPr>
          <w:p w14:paraId="6457590B" w14:textId="272C4F44" w:rsidR="00DF61BC" w:rsidRPr="00C94C33" w:rsidRDefault="00DF61BC" w:rsidP="00C844C0">
            <w:pPr>
              <w:pStyle w:val="TableHeading"/>
              <w:jc w:val="center"/>
            </w:pPr>
            <w:r w:rsidRPr="00C94C33">
              <w:t>All Grades</w:t>
            </w:r>
          </w:p>
        </w:tc>
        <w:tc>
          <w:tcPr>
            <w:tcW w:w="1339" w:type="dxa"/>
            <w:gridSpan w:val="2"/>
            <w:tcBorders>
              <w:left w:val="nil"/>
              <w:bottom w:val="single" w:sz="7" w:space="0" w:color="000000"/>
              <w:right w:val="single" w:sz="4" w:space="0" w:color="auto"/>
            </w:tcBorders>
            <w:shd w:val="clear" w:color="auto" w:fill="auto"/>
          </w:tcPr>
          <w:p w14:paraId="05FFE998" w14:textId="69E9A93C" w:rsidR="00DF61BC" w:rsidRPr="00C94C33" w:rsidRDefault="00DF61BC" w:rsidP="00C844C0">
            <w:pPr>
              <w:pStyle w:val="TableHeading"/>
              <w:jc w:val="center"/>
            </w:pPr>
            <w:r w:rsidRPr="00C94C33">
              <w:t>≥ Grade 3</w:t>
            </w:r>
          </w:p>
        </w:tc>
      </w:tr>
      <w:tr w:rsidR="00DF61BC" w:rsidRPr="00C94C33" w14:paraId="3390C8A9" w14:textId="77777777" w:rsidTr="00C844C0">
        <w:trPr>
          <w:gridAfter w:val="1"/>
          <w:wAfter w:w="8" w:type="dxa"/>
          <w:trHeight w:hRule="exact" w:val="305"/>
        </w:trPr>
        <w:tc>
          <w:tcPr>
            <w:tcW w:w="4249" w:type="dxa"/>
            <w:gridSpan w:val="2"/>
            <w:tcBorders>
              <w:top w:val="single" w:sz="7" w:space="0" w:color="000000"/>
              <w:left w:val="single" w:sz="4" w:space="0" w:color="auto"/>
              <w:right w:val="single" w:sz="6" w:space="0" w:color="000000"/>
            </w:tcBorders>
            <w:shd w:val="clear" w:color="auto" w:fill="auto"/>
          </w:tcPr>
          <w:p w14:paraId="37AF3A9D" w14:textId="77777777" w:rsidR="00DF61BC" w:rsidRPr="00C844C0" w:rsidRDefault="00DF61BC" w:rsidP="00C844C0">
            <w:pPr>
              <w:pStyle w:val="Tabletext"/>
              <w:rPr>
                <w:b/>
              </w:rPr>
            </w:pPr>
            <w:bookmarkStart w:id="381" w:name="Table_45:_Sponsor-defined_Renal_Abnormal"/>
            <w:bookmarkStart w:id="382" w:name="12.3.6.3._Haematologic_Impairment-relate"/>
            <w:bookmarkEnd w:id="381"/>
            <w:bookmarkEnd w:id="382"/>
            <w:r w:rsidRPr="00C844C0">
              <w:rPr>
                <w:b/>
              </w:rPr>
              <w:t>Any renal abnormality-related AE</w:t>
            </w:r>
          </w:p>
        </w:tc>
        <w:tc>
          <w:tcPr>
            <w:tcW w:w="1331" w:type="dxa"/>
            <w:tcBorders>
              <w:top w:val="single" w:sz="7" w:space="0" w:color="000000"/>
              <w:left w:val="single" w:sz="6" w:space="0" w:color="000000"/>
            </w:tcBorders>
            <w:shd w:val="clear" w:color="auto" w:fill="auto"/>
          </w:tcPr>
          <w:p w14:paraId="58685BF2" w14:textId="77777777" w:rsidR="00DF61BC" w:rsidRPr="00C94C33" w:rsidRDefault="00DF61BC" w:rsidP="00C844C0">
            <w:pPr>
              <w:pStyle w:val="Tabletext"/>
              <w:jc w:val="center"/>
            </w:pPr>
            <w:r w:rsidRPr="00C94C33">
              <w:t>48 (9.0)</w:t>
            </w:r>
          </w:p>
        </w:tc>
        <w:tc>
          <w:tcPr>
            <w:tcW w:w="1334" w:type="dxa"/>
            <w:tcBorders>
              <w:top w:val="single" w:sz="7" w:space="0" w:color="000000"/>
              <w:left w:val="nil"/>
              <w:right w:val="single" w:sz="6" w:space="0" w:color="000000"/>
            </w:tcBorders>
            <w:shd w:val="clear" w:color="auto" w:fill="auto"/>
          </w:tcPr>
          <w:p w14:paraId="369C349F" w14:textId="77777777" w:rsidR="00DF61BC" w:rsidRPr="00C94C33" w:rsidRDefault="00DF61BC" w:rsidP="00C844C0">
            <w:pPr>
              <w:pStyle w:val="Tabletext"/>
              <w:jc w:val="center"/>
            </w:pPr>
            <w:r w:rsidRPr="00C94C33">
              <w:t>6 (1.1)</w:t>
            </w:r>
          </w:p>
        </w:tc>
        <w:tc>
          <w:tcPr>
            <w:tcW w:w="1331" w:type="dxa"/>
            <w:tcBorders>
              <w:top w:val="single" w:sz="7" w:space="0" w:color="000000"/>
              <w:left w:val="single" w:sz="6" w:space="0" w:color="000000"/>
            </w:tcBorders>
            <w:shd w:val="clear" w:color="auto" w:fill="auto"/>
          </w:tcPr>
          <w:p w14:paraId="219B8C35" w14:textId="77777777" w:rsidR="00DF61BC" w:rsidRPr="00C94C33" w:rsidRDefault="00DF61BC" w:rsidP="00C844C0">
            <w:pPr>
              <w:pStyle w:val="Tabletext"/>
              <w:jc w:val="center"/>
            </w:pPr>
            <w:r w:rsidRPr="00C94C33">
              <w:t>13 (4.9)</w:t>
            </w:r>
          </w:p>
        </w:tc>
        <w:tc>
          <w:tcPr>
            <w:tcW w:w="1331" w:type="dxa"/>
            <w:tcBorders>
              <w:top w:val="single" w:sz="7" w:space="0" w:color="000000"/>
              <w:left w:val="nil"/>
              <w:right w:val="single" w:sz="4" w:space="0" w:color="auto"/>
            </w:tcBorders>
            <w:shd w:val="clear" w:color="auto" w:fill="auto"/>
          </w:tcPr>
          <w:p w14:paraId="675E9BED" w14:textId="77777777" w:rsidR="00DF61BC" w:rsidRPr="00C94C33" w:rsidRDefault="00DF61BC" w:rsidP="00C844C0">
            <w:pPr>
              <w:pStyle w:val="Tabletext"/>
              <w:jc w:val="center"/>
            </w:pPr>
            <w:r w:rsidRPr="00C94C33">
              <w:t>3 (1.1)</w:t>
            </w:r>
          </w:p>
        </w:tc>
      </w:tr>
      <w:tr w:rsidR="00DF61BC" w:rsidRPr="00C94C33" w14:paraId="3E2784B4" w14:textId="77777777" w:rsidTr="00C844C0">
        <w:trPr>
          <w:gridAfter w:val="1"/>
          <w:wAfter w:w="8" w:type="dxa"/>
          <w:trHeight w:hRule="exact" w:val="305"/>
        </w:trPr>
        <w:tc>
          <w:tcPr>
            <w:tcW w:w="4249" w:type="dxa"/>
            <w:gridSpan w:val="2"/>
            <w:tcBorders>
              <w:left w:val="single" w:sz="4" w:space="0" w:color="auto"/>
              <w:right w:val="single" w:sz="6" w:space="0" w:color="000000"/>
            </w:tcBorders>
            <w:shd w:val="clear" w:color="auto" w:fill="auto"/>
          </w:tcPr>
          <w:p w14:paraId="546ED502" w14:textId="77777777" w:rsidR="00DF61BC" w:rsidRPr="00C94C33" w:rsidRDefault="00DF61BC" w:rsidP="00C844C0">
            <w:pPr>
              <w:pStyle w:val="Tabletext"/>
            </w:pPr>
            <w:r w:rsidRPr="00C94C33">
              <w:t>Proteinuria</w:t>
            </w:r>
          </w:p>
        </w:tc>
        <w:tc>
          <w:tcPr>
            <w:tcW w:w="1331" w:type="dxa"/>
            <w:tcBorders>
              <w:left w:val="single" w:sz="6" w:space="0" w:color="000000"/>
            </w:tcBorders>
            <w:shd w:val="clear" w:color="auto" w:fill="auto"/>
          </w:tcPr>
          <w:p w14:paraId="3AEE90DB" w14:textId="77777777" w:rsidR="00DF61BC" w:rsidRPr="00C94C33" w:rsidRDefault="00DF61BC" w:rsidP="00C844C0">
            <w:pPr>
              <w:pStyle w:val="Tabletext"/>
              <w:jc w:val="center"/>
            </w:pPr>
            <w:r w:rsidRPr="00C94C33">
              <w:t>22 (4.1)</w:t>
            </w:r>
          </w:p>
        </w:tc>
        <w:tc>
          <w:tcPr>
            <w:tcW w:w="1334" w:type="dxa"/>
            <w:tcBorders>
              <w:left w:val="nil"/>
              <w:right w:val="single" w:sz="6" w:space="0" w:color="000000"/>
            </w:tcBorders>
            <w:shd w:val="clear" w:color="auto" w:fill="auto"/>
          </w:tcPr>
          <w:p w14:paraId="6D38074F" w14:textId="77777777" w:rsidR="00DF61BC" w:rsidRPr="00C94C33" w:rsidRDefault="00DF61BC" w:rsidP="00C844C0">
            <w:pPr>
              <w:pStyle w:val="Tabletext"/>
              <w:jc w:val="center"/>
            </w:pPr>
            <w:r w:rsidRPr="00C94C33">
              <w:t>0</w:t>
            </w:r>
          </w:p>
        </w:tc>
        <w:tc>
          <w:tcPr>
            <w:tcW w:w="1331" w:type="dxa"/>
            <w:tcBorders>
              <w:left w:val="single" w:sz="6" w:space="0" w:color="000000"/>
            </w:tcBorders>
            <w:shd w:val="clear" w:color="auto" w:fill="auto"/>
          </w:tcPr>
          <w:p w14:paraId="197D552B" w14:textId="77777777" w:rsidR="00DF61BC" w:rsidRPr="00C94C33" w:rsidRDefault="00DF61BC" w:rsidP="00C844C0">
            <w:pPr>
              <w:pStyle w:val="Tabletext"/>
              <w:jc w:val="center"/>
            </w:pPr>
            <w:r w:rsidRPr="00C94C33">
              <w:t>5 (1.9)</w:t>
            </w:r>
          </w:p>
        </w:tc>
        <w:tc>
          <w:tcPr>
            <w:tcW w:w="1331" w:type="dxa"/>
            <w:tcBorders>
              <w:left w:val="nil"/>
              <w:right w:val="single" w:sz="4" w:space="0" w:color="auto"/>
            </w:tcBorders>
            <w:shd w:val="clear" w:color="auto" w:fill="auto"/>
          </w:tcPr>
          <w:p w14:paraId="783902A6" w14:textId="77777777" w:rsidR="00DF61BC" w:rsidRPr="00C94C33" w:rsidRDefault="00DF61BC" w:rsidP="00C844C0">
            <w:pPr>
              <w:pStyle w:val="Tabletext"/>
              <w:jc w:val="center"/>
            </w:pPr>
            <w:r w:rsidRPr="00C94C33">
              <w:t>0</w:t>
            </w:r>
          </w:p>
        </w:tc>
      </w:tr>
      <w:tr w:rsidR="00DF61BC" w:rsidRPr="00C94C33" w14:paraId="602E51FE" w14:textId="77777777" w:rsidTr="00C844C0">
        <w:trPr>
          <w:gridAfter w:val="1"/>
          <w:wAfter w:w="8" w:type="dxa"/>
          <w:trHeight w:hRule="exact" w:val="305"/>
        </w:trPr>
        <w:tc>
          <w:tcPr>
            <w:tcW w:w="4249" w:type="dxa"/>
            <w:gridSpan w:val="2"/>
            <w:tcBorders>
              <w:left w:val="single" w:sz="4" w:space="0" w:color="auto"/>
              <w:right w:val="single" w:sz="6" w:space="0" w:color="000000"/>
            </w:tcBorders>
            <w:shd w:val="clear" w:color="auto" w:fill="auto"/>
          </w:tcPr>
          <w:p w14:paraId="0D1AC489" w14:textId="77777777" w:rsidR="00DF61BC" w:rsidRPr="00C94C33" w:rsidRDefault="00DF61BC" w:rsidP="00C844C0">
            <w:pPr>
              <w:pStyle w:val="Tabletext"/>
            </w:pPr>
            <w:r w:rsidRPr="00C94C33">
              <w:t>Blood creatinine increased</w:t>
            </w:r>
          </w:p>
        </w:tc>
        <w:tc>
          <w:tcPr>
            <w:tcW w:w="1331" w:type="dxa"/>
            <w:tcBorders>
              <w:left w:val="single" w:sz="6" w:space="0" w:color="000000"/>
            </w:tcBorders>
            <w:shd w:val="clear" w:color="auto" w:fill="auto"/>
          </w:tcPr>
          <w:p w14:paraId="56F278C3" w14:textId="77777777" w:rsidR="00DF61BC" w:rsidRPr="00C94C33" w:rsidRDefault="00DF61BC" w:rsidP="00C844C0">
            <w:pPr>
              <w:pStyle w:val="Tabletext"/>
              <w:jc w:val="center"/>
            </w:pPr>
            <w:r w:rsidRPr="00C94C33">
              <w:t>18 (3.4)</w:t>
            </w:r>
          </w:p>
        </w:tc>
        <w:tc>
          <w:tcPr>
            <w:tcW w:w="1334" w:type="dxa"/>
            <w:tcBorders>
              <w:left w:val="nil"/>
              <w:right w:val="single" w:sz="6" w:space="0" w:color="000000"/>
            </w:tcBorders>
            <w:shd w:val="clear" w:color="auto" w:fill="auto"/>
          </w:tcPr>
          <w:p w14:paraId="2F0FA523" w14:textId="77777777" w:rsidR="00DF61BC" w:rsidRPr="00C94C33" w:rsidRDefault="00DF61BC" w:rsidP="00C844C0">
            <w:pPr>
              <w:pStyle w:val="Tabletext"/>
              <w:jc w:val="center"/>
            </w:pPr>
            <w:r w:rsidRPr="00C94C33">
              <w:t>1 (0.2)</w:t>
            </w:r>
          </w:p>
        </w:tc>
        <w:tc>
          <w:tcPr>
            <w:tcW w:w="1331" w:type="dxa"/>
            <w:tcBorders>
              <w:left w:val="single" w:sz="6" w:space="0" w:color="000000"/>
            </w:tcBorders>
            <w:shd w:val="clear" w:color="auto" w:fill="auto"/>
          </w:tcPr>
          <w:p w14:paraId="063EF075" w14:textId="77777777" w:rsidR="00DF61BC" w:rsidRPr="00C94C33" w:rsidRDefault="00DF61BC" w:rsidP="00C844C0">
            <w:pPr>
              <w:pStyle w:val="Tabletext"/>
              <w:jc w:val="center"/>
            </w:pPr>
            <w:r w:rsidRPr="00C94C33">
              <w:t>7 (2.6)</w:t>
            </w:r>
          </w:p>
        </w:tc>
        <w:tc>
          <w:tcPr>
            <w:tcW w:w="1331" w:type="dxa"/>
            <w:tcBorders>
              <w:left w:val="nil"/>
              <w:right w:val="single" w:sz="4" w:space="0" w:color="auto"/>
            </w:tcBorders>
            <w:shd w:val="clear" w:color="auto" w:fill="auto"/>
          </w:tcPr>
          <w:p w14:paraId="379B6995" w14:textId="77777777" w:rsidR="00DF61BC" w:rsidRPr="00C94C33" w:rsidRDefault="00DF61BC" w:rsidP="00C844C0">
            <w:pPr>
              <w:pStyle w:val="Tabletext"/>
              <w:jc w:val="center"/>
            </w:pPr>
            <w:r w:rsidRPr="00C94C33">
              <w:t>1 (0.4)</w:t>
            </w:r>
          </w:p>
        </w:tc>
      </w:tr>
      <w:tr w:rsidR="00DF61BC" w:rsidRPr="00C94C33" w14:paraId="2E8CE075" w14:textId="77777777" w:rsidTr="00C844C0">
        <w:trPr>
          <w:gridAfter w:val="1"/>
          <w:wAfter w:w="8" w:type="dxa"/>
          <w:trHeight w:hRule="exact" w:val="305"/>
        </w:trPr>
        <w:tc>
          <w:tcPr>
            <w:tcW w:w="4249" w:type="dxa"/>
            <w:gridSpan w:val="2"/>
            <w:tcBorders>
              <w:left w:val="single" w:sz="4" w:space="0" w:color="auto"/>
              <w:right w:val="single" w:sz="6" w:space="0" w:color="000000"/>
            </w:tcBorders>
            <w:shd w:val="clear" w:color="auto" w:fill="auto"/>
          </w:tcPr>
          <w:p w14:paraId="6C0C6772" w14:textId="77777777" w:rsidR="00DF61BC" w:rsidRPr="00C94C33" w:rsidRDefault="00DF61BC" w:rsidP="00C844C0">
            <w:pPr>
              <w:pStyle w:val="Tabletext"/>
            </w:pPr>
            <w:r w:rsidRPr="00C94C33">
              <w:t>Renal failure acute</w:t>
            </w:r>
          </w:p>
        </w:tc>
        <w:tc>
          <w:tcPr>
            <w:tcW w:w="1331" w:type="dxa"/>
            <w:tcBorders>
              <w:left w:val="single" w:sz="6" w:space="0" w:color="000000"/>
            </w:tcBorders>
            <w:shd w:val="clear" w:color="auto" w:fill="auto"/>
          </w:tcPr>
          <w:p w14:paraId="32E96904" w14:textId="77777777" w:rsidR="00DF61BC" w:rsidRPr="00C94C33" w:rsidRDefault="00DF61BC" w:rsidP="00C844C0">
            <w:pPr>
              <w:pStyle w:val="Tabletext"/>
              <w:jc w:val="center"/>
            </w:pPr>
            <w:r w:rsidRPr="00C94C33">
              <w:t>5 (0.9)</w:t>
            </w:r>
          </w:p>
        </w:tc>
        <w:tc>
          <w:tcPr>
            <w:tcW w:w="1334" w:type="dxa"/>
            <w:tcBorders>
              <w:left w:val="nil"/>
              <w:right w:val="single" w:sz="6" w:space="0" w:color="000000"/>
            </w:tcBorders>
            <w:shd w:val="clear" w:color="auto" w:fill="auto"/>
          </w:tcPr>
          <w:p w14:paraId="3F6E87CF" w14:textId="77777777" w:rsidR="00DF61BC" w:rsidRPr="00C94C33" w:rsidRDefault="00DF61BC" w:rsidP="00C844C0">
            <w:pPr>
              <w:pStyle w:val="Tabletext"/>
              <w:jc w:val="center"/>
            </w:pPr>
            <w:r w:rsidRPr="00C94C33">
              <w:t>5 (0.9)</w:t>
            </w:r>
          </w:p>
        </w:tc>
        <w:tc>
          <w:tcPr>
            <w:tcW w:w="1331" w:type="dxa"/>
            <w:tcBorders>
              <w:left w:val="single" w:sz="6" w:space="0" w:color="000000"/>
            </w:tcBorders>
            <w:shd w:val="clear" w:color="auto" w:fill="auto"/>
          </w:tcPr>
          <w:p w14:paraId="0E5CE35F" w14:textId="77777777" w:rsidR="00DF61BC" w:rsidRPr="00C94C33" w:rsidRDefault="00DF61BC" w:rsidP="00C844C0">
            <w:pPr>
              <w:pStyle w:val="Tabletext"/>
              <w:jc w:val="center"/>
            </w:pPr>
            <w:r w:rsidRPr="00C94C33">
              <w:t>0</w:t>
            </w:r>
          </w:p>
        </w:tc>
        <w:tc>
          <w:tcPr>
            <w:tcW w:w="1331" w:type="dxa"/>
            <w:tcBorders>
              <w:left w:val="nil"/>
              <w:right w:val="single" w:sz="4" w:space="0" w:color="auto"/>
            </w:tcBorders>
            <w:shd w:val="clear" w:color="auto" w:fill="auto"/>
          </w:tcPr>
          <w:p w14:paraId="1C8B7ED1" w14:textId="77777777" w:rsidR="00DF61BC" w:rsidRPr="00C94C33" w:rsidRDefault="00DF61BC" w:rsidP="00C844C0">
            <w:pPr>
              <w:pStyle w:val="Tabletext"/>
              <w:jc w:val="center"/>
            </w:pPr>
            <w:r w:rsidRPr="00C94C33">
              <w:t>0</w:t>
            </w:r>
          </w:p>
        </w:tc>
      </w:tr>
      <w:tr w:rsidR="00DF61BC" w:rsidRPr="00C94C33" w14:paraId="7DB9211C" w14:textId="77777777" w:rsidTr="00C844C0">
        <w:trPr>
          <w:gridAfter w:val="1"/>
          <w:wAfter w:w="8" w:type="dxa"/>
          <w:trHeight w:hRule="exact" w:val="305"/>
        </w:trPr>
        <w:tc>
          <w:tcPr>
            <w:tcW w:w="4249" w:type="dxa"/>
            <w:gridSpan w:val="2"/>
            <w:tcBorders>
              <w:left w:val="single" w:sz="4" w:space="0" w:color="auto"/>
              <w:right w:val="single" w:sz="6" w:space="0" w:color="000000"/>
            </w:tcBorders>
            <w:shd w:val="clear" w:color="auto" w:fill="auto"/>
          </w:tcPr>
          <w:p w14:paraId="6D8BBBBF" w14:textId="77777777" w:rsidR="00DF61BC" w:rsidRPr="00C94C33" w:rsidRDefault="00DF61BC" w:rsidP="00C844C0">
            <w:pPr>
              <w:pStyle w:val="Tabletext"/>
            </w:pPr>
            <w:r w:rsidRPr="00C94C33">
              <w:t>Blood urea increased</w:t>
            </w:r>
          </w:p>
        </w:tc>
        <w:tc>
          <w:tcPr>
            <w:tcW w:w="1331" w:type="dxa"/>
            <w:tcBorders>
              <w:left w:val="single" w:sz="6" w:space="0" w:color="000000"/>
            </w:tcBorders>
            <w:shd w:val="clear" w:color="auto" w:fill="auto"/>
          </w:tcPr>
          <w:p w14:paraId="24AE8706" w14:textId="77777777" w:rsidR="00DF61BC" w:rsidRPr="00C94C33" w:rsidRDefault="00DF61BC" w:rsidP="00C844C0">
            <w:pPr>
              <w:pStyle w:val="Tabletext"/>
              <w:jc w:val="center"/>
            </w:pPr>
            <w:r w:rsidRPr="00C94C33">
              <w:t>2 (0.4)</w:t>
            </w:r>
          </w:p>
        </w:tc>
        <w:tc>
          <w:tcPr>
            <w:tcW w:w="1334" w:type="dxa"/>
            <w:tcBorders>
              <w:left w:val="nil"/>
              <w:right w:val="single" w:sz="6" w:space="0" w:color="000000"/>
            </w:tcBorders>
            <w:shd w:val="clear" w:color="auto" w:fill="auto"/>
          </w:tcPr>
          <w:p w14:paraId="567EB5BD" w14:textId="77777777" w:rsidR="00DF61BC" w:rsidRPr="00C94C33" w:rsidRDefault="00DF61BC" w:rsidP="00C844C0">
            <w:pPr>
              <w:pStyle w:val="Tabletext"/>
              <w:jc w:val="center"/>
            </w:pPr>
            <w:r w:rsidRPr="00C94C33">
              <w:t>0</w:t>
            </w:r>
          </w:p>
        </w:tc>
        <w:tc>
          <w:tcPr>
            <w:tcW w:w="1331" w:type="dxa"/>
            <w:tcBorders>
              <w:left w:val="single" w:sz="6" w:space="0" w:color="000000"/>
            </w:tcBorders>
            <w:shd w:val="clear" w:color="auto" w:fill="auto"/>
          </w:tcPr>
          <w:p w14:paraId="560EF537" w14:textId="77777777" w:rsidR="00DF61BC" w:rsidRPr="00C94C33" w:rsidRDefault="00DF61BC" w:rsidP="00C844C0">
            <w:pPr>
              <w:pStyle w:val="Tabletext"/>
              <w:jc w:val="center"/>
            </w:pPr>
            <w:r w:rsidRPr="00C94C33">
              <w:t>1 (0.4)</w:t>
            </w:r>
          </w:p>
        </w:tc>
        <w:tc>
          <w:tcPr>
            <w:tcW w:w="1331" w:type="dxa"/>
            <w:tcBorders>
              <w:left w:val="nil"/>
              <w:right w:val="single" w:sz="4" w:space="0" w:color="auto"/>
            </w:tcBorders>
            <w:shd w:val="clear" w:color="auto" w:fill="auto"/>
          </w:tcPr>
          <w:p w14:paraId="16E22BDB" w14:textId="77777777" w:rsidR="00DF61BC" w:rsidRPr="00C94C33" w:rsidRDefault="00DF61BC" w:rsidP="00C844C0">
            <w:pPr>
              <w:pStyle w:val="Tabletext"/>
              <w:jc w:val="center"/>
            </w:pPr>
            <w:r w:rsidRPr="00C94C33">
              <w:t>0</w:t>
            </w:r>
          </w:p>
        </w:tc>
      </w:tr>
      <w:tr w:rsidR="00DF61BC" w:rsidRPr="00C94C33" w14:paraId="67E04240" w14:textId="77777777" w:rsidTr="00C844C0">
        <w:trPr>
          <w:gridAfter w:val="1"/>
          <w:wAfter w:w="8" w:type="dxa"/>
          <w:trHeight w:hRule="exact" w:val="306"/>
        </w:trPr>
        <w:tc>
          <w:tcPr>
            <w:tcW w:w="4249" w:type="dxa"/>
            <w:gridSpan w:val="2"/>
            <w:tcBorders>
              <w:left w:val="single" w:sz="4" w:space="0" w:color="auto"/>
              <w:right w:val="single" w:sz="6" w:space="0" w:color="000000"/>
            </w:tcBorders>
            <w:shd w:val="clear" w:color="auto" w:fill="auto"/>
          </w:tcPr>
          <w:p w14:paraId="423823FC" w14:textId="77777777" w:rsidR="00DF61BC" w:rsidRPr="00C94C33" w:rsidRDefault="00DF61BC" w:rsidP="00C844C0">
            <w:pPr>
              <w:pStyle w:val="Tabletext"/>
            </w:pPr>
            <w:r w:rsidRPr="00C94C33">
              <w:t>Urine output decreased</w:t>
            </w:r>
          </w:p>
        </w:tc>
        <w:tc>
          <w:tcPr>
            <w:tcW w:w="1331" w:type="dxa"/>
            <w:tcBorders>
              <w:left w:val="single" w:sz="6" w:space="0" w:color="000000"/>
            </w:tcBorders>
            <w:shd w:val="clear" w:color="auto" w:fill="auto"/>
          </w:tcPr>
          <w:p w14:paraId="7EC95B47" w14:textId="77777777" w:rsidR="00DF61BC" w:rsidRPr="00C94C33" w:rsidRDefault="00DF61BC" w:rsidP="00C844C0">
            <w:pPr>
              <w:pStyle w:val="Tabletext"/>
              <w:jc w:val="center"/>
            </w:pPr>
            <w:r w:rsidRPr="00C94C33">
              <w:t>1 (0.2)</w:t>
            </w:r>
          </w:p>
        </w:tc>
        <w:tc>
          <w:tcPr>
            <w:tcW w:w="1334" w:type="dxa"/>
            <w:tcBorders>
              <w:left w:val="nil"/>
              <w:right w:val="single" w:sz="6" w:space="0" w:color="000000"/>
            </w:tcBorders>
            <w:shd w:val="clear" w:color="auto" w:fill="auto"/>
          </w:tcPr>
          <w:p w14:paraId="0DBF9FBE" w14:textId="77777777" w:rsidR="00DF61BC" w:rsidRPr="00C94C33" w:rsidRDefault="00DF61BC" w:rsidP="00C844C0">
            <w:pPr>
              <w:pStyle w:val="Tabletext"/>
              <w:jc w:val="center"/>
            </w:pPr>
            <w:r w:rsidRPr="00C94C33">
              <w:t>0</w:t>
            </w:r>
          </w:p>
        </w:tc>
        <w:tc>
          <w:tcPr>
            <w:tcW w:w="1331" w:type="dxa"/>
            <w:tcBorders>
              <w:left w:val="single" w:sz="6" w:space="0" w:color="000000"/>
            </w:tcBorders>
            <w:shd w:val="clear" w:color="auto" w:fill="auto"/>
          </w:tcPr>
          <w:p w14:paraId="0B5FF3B3" w14:textId="77777777" w:rsidR="00DF61BC" w:rsidRPr="00C94C33" w:rsidRDefault="00DF61BC" w:rsidP="00C844C0">
            <w:pPr>
              <w:pStyle w:val="Tabletext"/>
              <w:jc w:val="center"/>
            </w:pPr>
            <w:r w:rsidRPr="00C94C33">
              <w:t>0</w:t>
            </w:r>
          </w:p>
        </w:tc>
        <w:tc>
          <w:tcPr>
            <w:tcW w:w="1331" w:type="dxa"/>
            <w:tcBorders>
              <w:left w:val="nil"/>
              <w:right w:val="single" w:sz="4" w:space="0" w:color="auto"/>
            </w:tcBorders>
            <w:shd w:val="clear" w:color="auto" w:fill="auto"/>
          </w:tcPr>
          <w:p w14:paraId="7B14CBED" w14:textId="77777777" w:rsidR="00DF61BC" w:rsidRPr="00C94C33" w:rsidRDefault="00DF61BC" w:rsidP="00C844C0">
            <w:pPr>
              <w:pStyle w:val="Tabletext"/>
              <w:jc w:val="center"/>
            </w:pPr>
            <w:r w:rsidRPr="00C94C33">
              <w:t>0</w:t>
            </w:r>
          </w:p>
        </w:tc>
      </w:tr>
      <w:tr w:rsidR="00DF61BC" w:rsidRPr="00C94C33" w14:paraId="67ACEB82" w14:textId="77777777" w:rsidTr="00C844C0">
        <w:trPr>
          <w:gridAfter w:val="1"/>
          <w:wAfter w:w="8" w:type="dxa"/>
          <w:trHeight w:hRule="exact" w:val="305"/>
        </w:trPr>
        <w:tc>
          <w:tcPr>
            <w:tcW w:w="4249" w:type="dxa"/>
            <w:gridSpan w:val="2"/>
            <w:tcBorders>
              <w:left w:val="single" w:sz="4" w:space="0" w:color="auto"/>
              <w:right w:val="single" w:sz="6" w:space="0" w:color="000000"/>
            </w:tcBorders>
            <w:shd w:val="clear" w:color="auto" w:fill="auto"/>
          </w:tcPr>
          <w:p w14:paraId="215A7488" w14:textId="77777777" w:rsidR="00DF61BC" w:rsidRPr="00C94C33" w:rsidRDefault="00DF61BC" w:rsidP="00C844C0">
            <w:pPr>
              <w:pStyle w:val="Tabletext"/>
            </w:pPr>
            <w:r w:rsidRPr="00C94C33">
              <w:t>Renal failure</w:t>
            </w:r>
          </w:p>
        </w:tc>
        <w:tc>
          <w:tcPr>
            <w:tcW w:w="1331" w:type="dxa"/>
            <w:tcBorders>
              <w:left w:val="single" w:sz="6" w:space="0" w:color="000000"/>
            </w:tcBorders>
            <w:shd w:val="clear" w:color="auto" w:fill="auto"/>
          </w:tcPr>
          <w:p w14:paraId="263552BC" w14:textId="77777777" w:rsidR="00DF61BC" w:rsidRPr="00C94C33" w:rsidRDefault="00DF61BC" w:rsidP="00C844C0">
            <w:pPr>
              <w:pStyle w:val="Tabletext"/>
              <w:jc w:val="center"/>
            </w:pPr>
            <w:r w:rsidRPr="00C94C33">
              <w:t>1 (0.2)</w:t>
            </w:r>
          </w:p>
        </w:tc>
        <w:tc>
          <w:tcPr>
            <w:tcW w:w="1334" w:type="dxa"/>
            <w:tcBorders>
              <w:left w:val="nil"/>
              <w:right w:val="single" w:sz="6" w:space="0" w:color="000000"/>
            </w:tcBorders>
            <w:shd w:val="clear" w:color="auto" w:fill="auto"/>
          </w:tcPr>
          <w:p w14:paraId="66B3BB27" w14:textId="77777777" w:rsidR="00DF61BC" w:rsidRPr="00C94C33" w:rsidRDefault="00DF61BC" w:rsidP="00C844C0">
            <w:pPr>
              <w:pStyle w:val="Tabletext"/>
              <w:jc w:val="center"/>
            </w:pPr>
            <w:r w:rsidRPr="00C94C33">
              <w:t>1 (0.2)</w:t>
            </w:r>
          </w:p>
        </w:tc>
        <w:tc>
          <w:tcPr>
            <w:tcW w:w="1331" w:type="dxa"/>
            <w:tcBorders>
              <w:left w:val="single" w:sz="6" w:space="0" w:color="000000"/>
            </w:tcBorders>
            <w:shd w:val="clear" w:color="auto" w:fill="auto"/>
          </w:tcPr>
          <w:p w14:paraId="181FC49A" w14:textId="77777777" w:rsidR="00DF61BC" w:rsidRPr="00C94C33" w:rsidRDefault="00DF61BC" w:rsidP="00C844C0">
            <w:pPr>
              <w:pStyle w:val="Tabletext"/>
              <w:jc w:val="center"/>
            </w:pPr>
            <w:r w:rsidRPr="00C94C33">
              <w:t>1 (0.4)</w:t>
            </w:r>
          </w:p>
        </w:tc>
        <w:tc>
          <w:tcPr>
            <w:tcW w:w="1331" w:type="dxa"/>
            <w:tcBorders>
              <w:left w:val="nil"/>
              <w:right w:val="single" w:sz="4" w:space="0" w:color="auto"/>
            </w:tcBorders>
            <w:shd w:val="clear" w:color="auto" w:fill="auto"/>
          </w:tcPr>
          <w:p w14:paraId="15C5FDF9" w14:textId="77777777" w:rsidR="00DF61BC" w:rsidRPr="00C94C33" w:rsidRDefault="00DF61BC" w:rsidP="00C844C0">
            <w:pPr>
              <w:pStyle w:val="Tabletext"/>
              <w:jc w:val="center"/>
            </w:pPr>
            <w:r w:rsidRPr="00C94C33">
              <w:t>1 (0.4)</w:t>
            </w:r>
          </w:p>
        </w:tc>
      </w:tr>
      <w:tr w:rsidR="00DF61BC" w:rsidRPr="00C94C33" w14:paraId="3C71B90F" w14:textId="77777777" w:rsidTr="00C844C0">
        <w:trPr>
          <w:gridAfter w:val="1"/>
          <w:wAfter w:w="8" w:type="dxa"/>
          <w:trHeight w:hRule="exact" w:val="305"/>
        </w:trPr>
        <w:tc>
          <w:tcPr>
            <w:tcW w:w="4249" w:type="dxa"/>
            <w:gridSpan w:val="2"/>
            <w:tcBorders>
              <w:left w:val="single" w:sz="4" w:space="0" w:color="auto"/>
              <w:bottom w:val="single" w:sz="8" w:space="0" w:color="000000"/>
              <w:right w:val="single" w:sz="6" w:space="0" w:color="000000"/>
            </w:tcBorders>
            <w:shd w:val="clear" w:color="auto" w:fill="auto"/>
          </w:tcPr>
          <w:p w14:paraId="6FD3C0F3" w14:textId="77777777" w:rsidR="00DF61BC" w:rsidRPr="00C94C33" w:rsidRDefault="00DF61BC" w:rsidP="00C844C0">
            <w:pPr>
              <w:pStyle w:val="Tabletext"/>
            </w:pPr>
            <w:r w:rsidRPr="00C94C33">
              <w:t>Renal impairment</w:t>
            </w:r>
          </w:p>
        </w:tc>
        <w:tc>
          <w:tcPr>
            <w:tcW w:w="1331" w:type="dxa"/>
            <w:tcBorders>
              <w:left w:val="single" w:sz="6" w:space="0" w:color="000000"/>
              <w:bottom w:val="single" w:sz="8" w:space="0" w:color="000000"/>
            </w:tcBorders>
            <w:shd w:val="clear" w:color="auto" w:fill="auto"/>
          </w:tcPr>
          <w:p w14:paraId="299E2B9B" w14:textId="77777777" w:rsidR="00DF61BC" w:rsidRPr="00C94C33" w:rsidRDefault="00DF61BC" w:rsidP="00C844C0">
            <w:pPr>
              <w:pStyle w:val="Tabletext"/>
              <w:jc w:val="center"/>
            </w:pPr>
            <w:r w:rsidRPr="00C94C33">
              <w:t>1 (0.2)</w:t>
            </w:r>
          </w:p>
        </w:tc>
        <w:tc>
          <w:tcPr>
            <w:tcW w:w="1334" w:type="dxa"/>
            <w:tcBorders>
              <w:left w:val="nil"/>
              <w:bottom w:val="single" w:sz="8" w:space="0" w:color="000000"/>
              <w:right w:val="single" w:sz="6" w:space="0" w:color="000000"/>
            </w:tcBorders>
            <w:shd w:val="clear" w:color="auto" w:fill="auto"/>
          </w:tcPr>
          <w:p w14:paraId="33FBA091" w14:textId="77777777" w:rsidR="00DF61BC" w:rsidRPr="00C94C33" w:rsidRDefault="00DF61BC" w:rsidP="00C844C0">
            <w:pPr>
              <w:pStyle w:val="Tabletext"/>
              <w:jc w:val="center"/>
            </w:pPr>
            <w:r w:rsidRPr="00C94C33">
              <w:t>0</w:t>
            </w:r>
          </w:p>
        </w:tc>
        <w:tc>
          <w:tcPr>
            <w:tcW w:w="1331" w:type="dxa"/>
            <w:tcBorders>
              <w:left w:val="single" w:sz="6" w:space="0" w:color="000000"/>
              <w:bottom w:val="single" w:sz="8" w:space="0" w:color="000000"/>
            </w:tcBorders>
            <w:shd w:val="clear" w:color="auto" w:fill="auto"/>
          </w:tcPr>
          <w:p w14:paraId="574BAA8C" w14:textId="77777777" w:rsidR="00DF61BC" w:rsidRPr="00C94C33" w:rsidRDefault="00DF61BC" w:rsidP="00C844C0">
            <w:pPr>
              <w:pStyle w:val="Tabletext"/>
              <w:jc w:val="center"/>
            </w:pPr>
            <w:r w:rsidRPr="00C94C33">
              <w:t>1 (0.4)</w:t>
            </w:r>
          </w:p>
        </w:tc>
        <w:tc>
          <w:tcPr>
            <w:tcW w:w="1331" w:type="dxa"/>
            <w:tcBorders>
              <w:left w:val="nil"/>
              <w:bottom w:val="single" w:sz="8" w:space="0" w:color="000000"/>
              <w:right w:val="single" w:sz="4" w:space="0" w:color="auto"/>
            </w:tcBorders>
            <w:shd w:val="clear" w:color="auto" w:fill="auto"/>
          </w:tcPr>
          <w:p w14:paraId="0CDAAED4" w14:textId="77777777" w:rsidR="00DF61BC" w:rsidRPr="00C94C33" w:rsidRDefault="00DF61BC" w:rsidP="00C844C0">
            <w:pPr>
              <w:pStyle w:val="Tabletext"/>
              <w:jc w:val="center"/>
            </w:pPr>
            <w:r w:rsidRPr="00C94C33">
              <w:t>1 (0.4)</w:t>
            </w:r>
          </w:p>
        </w:tc>
      </w:tr>
      <w:tr w:rsidR="00DF61BC" w:rsidRPr="00C94C33" w14:paraId="512FE8BC" w14:textId="77777777" w:rsidTr="00C844C0">
        <w:trPr>
          <w:trHeight w:hRule="exact" w:val="305"/>
        </w:trPr>
        <w:tc>
          <w:tcPr>
            <w:tcW w:w="4248" w:type="dxa"/>
            <w:gridSpan w:val="2"/>
            <w:tcBorders>
              <w:top w:val="single" w:sz="7" w:space="0" w:color="000000"/>
              <w:left w:val="single" w:sz="4" w:space="0" w:color="auto"/>
              <w:right w:val="single" w:sz="6" w:space="0" w:color="000000"/>
            </w:tcBorders>
            <w:shd w:val="clear" w:color="auto" w:fill="auto"/>
          </w:tcPr>
          <w:p w14:paraId="71D53735" w14:textId="77777777" w:rsidR="00DF61BC" w:rsidRPr="00C844C0" w:rsidRDefault="00DF61BC" w:rsidP="00C844C0">
            <w:pPr>
              <w:pStyle w:val="Tabletext"/>
              <w:rPr>
                <w:b/>
              </w:rPr>
            </w:pPr>
            <w:r w:rsidRPr="00C844C0">
              <w:rPr>
                <w:b/>
              </w:rPr>
              <w:t>AEs resulting</w:t>
            </w:r>
            <w:r w:rsidRPr="00C844C0">
              <w:rPr>
                <w:b/>
                <w:spacing w:val="-2"/>
              </w:rPr>
              <w:t xml:space="preserve"> </w:t>
            </w:r>
            <w:r w:rsidRPr="00C844C0">
              <w:rPr>
                <w:b/>
              </w:rPr>
              <w:t>in treatment discontinuation</w:t>
            </w:r>
          </w:p>
        </w:tc>
        <w:tc>
          <w:tcPr>
            <w:tcW w:w="1329" w:type="dxa"/>
            <w:tcBorders>
              <w:top w:val="single" w:sz="7" w:space="0" w:color="000000"/>
              <w:left w:val="single" w:sz="6" w:space="0" w:color="000000"/>
            </w:tcBorders>
            <w:shd w:val="clear" w:color="auto" w:fill="auto"/>
          </w:tcPr>
          <w:p w14:paraId="1BB3E664" w14:textId="77777777" w:rsidR="00DF61BC" w:rsidRPr="00C94C33" w:rsidRDefault="00DF61BC" w:rsidP="00C844C0">
            <w:pPr>
              <w:pStyle w:val="Tabletext"/>
              <w:jc w:val="center"/>
            </w:pPr>
            <w:r w:rsidRPr="00C94C33">
              <w:t>2 (0.4)</w:t>
            </w:r>
          </w:p>
        </w:tc>
        <w:tc>
          <w:tcPr>
            <w:tcW w:w="1336" w:type="dxa"/>
            <w:tcBorders>
              <w:top w:val="single" w:sz="7" w:space="0" w:color="000000"/>
              <w:left w:val="nil"/>
              <w:right w:val="single" w:sz="6" w:space="0" w:color="000000"/>
            </w:tcBorders>
            <w:shd w:val="clear" w:color="auto" w:fill="auto"/>
          </w:tcPr>
          <w:p w14:paraId="5F9A40CD" w14:textId="77777777" w:rsidR="00DF61BC" w:rsidRPr="00C94C33" w:rsidRDefault="00DF61BC" w:rsidP="00C844C0">
            <w:pPr>
              <w:pStyle w:val="Tabletext"/>
              <w:jc w:val="center"/>
            </w:pPr>
            <w:r w:rsidRPr="00C94C33">
              <w:t>1 (0.2)</w:t>
            </w:r>
          </w:p>
        </w:tc>
        <w:tc>
          <w:tcPr>
            <w:tcW w:w="1332" w:type="dxa"/>
            <w:tcBorders>
              <w:top w:val="single" w:sz="7" w:space="0" w:color="000000"/>
              <w:left w:val="single" w:sz="6" w:space="0" w:color="000000"/>
            </w:tcBorders>
            <w:shd w:val="clear" w:color="auto" w:fill="auto"/>
          </w:tcPr>
          <w:p w14:paraId="3BB4D456" w14:textId="77777777" w:rsidR="00DF61BC" w:rsidRPr="00C94C33" w:rsidRDefault="00DF61BC" w:rsidP="00C844C0">
            <w:pPr>
              <w:pStyle w:val="Tabletext"/>
              <w:jc w:val="center"/>
            </w:pPr>
            <w:r w:rsidRPr="00C94C33">
              <w:t>1 (0.4)</w:t>
            </w:r>
          </w:p>
        </w:tc>
        <w:tc>
          <w:tcPr>
            <w:tcW w:w="1339" w:type="dxa"/>
            <w:gridSpan w:val="2"/>
            <w:tcBorders>
              <w:top w:val="single" w:sz="7" w:space="0" w:color="000000"/>
              <w:left w:val="nil"/>
              <w:right w:val="single" w:sz="4" w:space="0" w:color="auto"/>
            </w:tcBorders>
            <w:shd w:val="clear" w:color="auto" w:fill="auto"/>
          </w:tcPr>
          <w:p w14:paraId="2342B53F" w14:textId="77777777" w:rsidR="00DF61BC" w:rsidRPr="00C94C33" w:rsidRDefault="00DF61BC" w:rsidP="00C844C0">
            <w:pPr>
              <w:pStyle w:val="Tabletext"/>
              <w:jc w:val="center"/>
            </w:pPr>
            <w:r w:rsidRPr="00C94C33">
              <w:t>1 (0.4)</w:t>
            </w:r>
          </w:p>
        </w:tc>
      </w:tr>
      <w:tr w:rsidR="00DF61BC" w:rsidRPr="00C94C33" w14:paraId="6BD2C547" w14:textId="77777777" w:rsidTr="00C844C0">
        <w:trPr>
          <w:trHeight w:hRule="exact" w:val="305"/>
        </w:trPr>
        <w:tc>
          <w:tcPr>
            <w:tcW w:w="4248" w:type="dxa"/>
            <w:gridSpan w:val="2"/>
            <w:tcBorders>
              <w:left w:val="single" w:sz="4" w:space="0" w:color="auto"/>
              <w:right w:val="single" w:sz="6" w:space="0" w:color="000000"/>
            </w:tcBorders>
            <w:shd w:val="clear" w:color="auto" w:fill="auto"/>
          </w:tcPr>
          <w:p w14:paraId="36004CA3" w14:textId="77777777" w:rsidR="00DF61BC" w:rsidRPr="00C94C33" w:rsidRDefault="00DF61BC" w:rsidP="00C844C0">
            <w:pPr>
              <w:pStyle w:val="Tabletext"/>
            </w:pPr>
            <w:r w:rsidRPr="00C94C33">
              <w:t>Blood creatinine increased</w:t>
            </w:r>
          </w:p>
        </w:tc>
        <w:tc>
          <w:tcPr>
            <w:tcW w:w="1329" w:type="dxa"/>
            <w:tcBorders>
              <w:left w:val="single" w:sz="6" w:space="0" w:color="000000"/>
            </w:tcBorders>
            <w:shd w:val="clear" w:color="auto" w:fill="auto"/>
          </w:tcPr>
          <w:p w14:paraId="4488E8F9" w14:textId="77777777" w:rsidR="00DF61BC" w:rsidRPr="00C94C33" w:rsidRDefault="00DF61BC" w:rsidP="00C844C0">
            <w:pPr>
              <w:pStyle w:val="Tabletext"/>
              <w:jc w:val="center"/>
            </w:pPr>
            <w:r w:rsidRPr="00C94C33">
              <w:t>1 (0.2)</w:t>
            </w:r>
          </w:p>
        </w:tc>
        <w:tc>
          <w:tcPr>
            <w:tcW w:w="1336" w:type="dxa"/>
            <w:tcBorders>
              <w:left w:val="nil"/>
              <w:right w:val="single" w:sz="6" w:space="0" w:color="000000"/>
            </w:tcBorders>
            <w:shd w:val="clear" w:color="auto" w:fill="auto"/>
          </w:tcPr>
          <w:p w14:paraId="535E778A" w14:textId="77777777" w:rsidR="00DF61BC" w:rsidRPr="00C94C33" w:rsidRDefault="00DF61BC" w:rsidP="00C844C0">
            <w:pPr>
              <w:pStyle w:val="Tabletext"/>
              <w:jc w:val="center"/>
            </w:pPr>
            <w:r w:rsidRPr="00C94C33">
              <w:t>0</w:t>
            </w:r>
          </w:p>
        </w:tc>
        <w:tc>
          <w:tcPr>
            <w:tcW w:w="1332" w:type="dxa"/>
            <w:tcBorders>
              <w:left w:val="single" w:sz="6" w:space="0" w:color="000000"/>
            </w:tcBorders>
            <w:shd w:val="clear" w:color="auto" w:fill="auto"/>
          </w:tcPr>
          <w:p w14:paraId="6A1CD63A" w14:textId="77777777" w:rsidR="00DF61BC" w:rsidRPr="00C94C33" w:rsidRDefault="00DF61BC" w:rsidP="00C844C0">
            <w:pPr>
              <w:pStyle w:val="Tabletext"/>
              <w:jc w:val="center"/>
            </w:pPr>
            <w:r w:rsidRPr="00C94C33">
              <w:t>0</w:t>
            </w:r>
          </w:p>
        </w:tc>
        <w:tc>
          <w:tcPr>
            <w:tcW w:w="1339" w:type="dxa"/>
            <w:gridSpan w:val="2"/>
            <w:tcBorders>
              <w:left w:val="nil"/>
              <w:right w:val="single" w:sz="4" w:space="0" w:color="auto"/>
            </w:tcBorders>
            <w:shd w:val="clear" w:color="auto" w:fill="auto"/>
          </w:tcPr>
          <w:p w14:paraId="6F535AE4" w14:textId="77777777" w:rsidR="00DF61BC" w:rsidRPr="00C94C33" w:rsidRDefault="00DF61BC" w:rsidP="00C844C0">
            <w:pPr>
              <w:pStyle w:val="Tabletext"/>
              <w:jc w:val="center"/>
            </w:pPr>
            <w:r w:rsidRPr="00C94C33">
              <w:t>0</w:t>
            </w:r>
          </w:p>
        </w:tc>
      </w:tr>
      <w:tr w:rsidR="00DF61BC" w:rsidRPr="00C94C33" w14:paraId="6AE4A13F" w14:textId="77777777" w:rsidTr="00C844C0">
        <w:trPr>
          <w:trHeight w:hRule="exact" w:val="305"/>
        </w:trPr>
        <w:tc>
          <w:tcPr>
            <w:tcW w:w="4248" w:type="dxa"/>
            <w:gridSpan w:val="2"/>
            <w:tcBorders>
              <w:left w:val="single" w:sz="4" w:space="0" w:color="auto"/>
              <w:right w:val="single" w:sz="6" w:space="0" w:color="000000"/>
            </w:tcBorders>
            <w:shd w:val="clear" w:color="auto" w:fill="auto"/>
          </w:tcPr>
          <w:p w14:paraId="0FE716BA" w14:textId="77777777" w:rsidR="00DF61BC" w:rsidRPr="00C94C33" w:rsidRDefault="00DF61BC" w:rsidP="00C844C0">
            <w:pPr>
              <w:pStyle w:val="Tabletext"/>
            </w:pPr>
            <w:r w:rsidRPr="00C94C33">
              <w:t>Renal failure acute</w:t>
            </w:r>
          </w:p>
        </w:tc>
        <w:tc>
          <w:tcPr>
            <w:tcW w:w="1329" w:type="dxa"/>
            <w:tcBorders>
              <w:left w:val="single" w:sz="6" w:space="0" w:color="000000"/>
            </w:tcBorders>
            <w:shd w:val="clear" w:color="auto" w:fill="auto"/>
          </w:tcPr>
          <w:p w14:paraId="2F5FA0A2" w14:textId="77777777" w:rsidR="00DF61BC" w:rsidRPr="00C94C33" w:rsidRDefault="00DF61BC" w:rsidP="00C844C0">
            <w:pPr>
              <w:pStyle w:val="Tabletext"/>
              <w:jc w:val="center"/>
            </w:pPr>
            <w:r w:rsidRPr="00C94C33">
              <w:t>1 (0.2)</w:t>
            </w:r>
          </w:p>
        </w:tc>
        <w:tc>
          <w:tcPr>
            <w:tcW w:w="1336" w:type="dxa"/>
            <w:tcBorders>
              <w:left w:val="nil"/>
              <w:right w:val="single" w:sz="6" w:space="0" w:color="000000"/>
            </w:tcBorders>
            <w:shd w:val="clear" w:color="auto" w:fill="auto"/>
          </w:tcPr>
          <w:p w14:paraId="02A23023" w14:textId="77777777" w:rsidR="00DF61BC" w:rsidRPr="00C94C33" w:rsidRDefault="00DF61BC" w:rsidP="00C844C0">
            <w:pPr>
              <w:pStyle w:val="Tabletext"/>
              <w:jc w:val="center"/>
            </w:pPr>
            <w:r w:rsidRPr="00C94C33">
              <w:t>1 (0.2)</w:t>
            </w:r>
          </w:p>
        </w:tc>
        <w:tc>
          <w:tcPr>
            <w:tcW w:w="1332" w:type="dxa"/>
            <w:tcBorders>
              <w:left w:val="single" w:sz="6" w:space="0" w:color="000000"/>
            </w:tcBorders>
            <w:shd w:val="clear" w:color="auto" w:fill="auto"/>
          </w:tcPr>
          <w:p w14:paraId="231D548E" w14:textId="77777777" w:rsidR="00DF61BC" w:rsidRPr="00C94C33" w:rsidRDefault="00DF61BC" w:rsidP="00C844C0">
            <w:pPr>
              <w:pStyle w:val="Tabletext"/>
              <w:jc w:val="center"/>
            </w:pPr>
            <w:r w:rsidRPr="00C94C33">
              <w:t>0</w:t>
            </w:r>
          </w:p>
        </w:tc>
        <w:tc>
          <w:tcPr>
            <w:tcW w:w="1339" w:type="dxa"/>
            <w:gridSpan w:val="2"/>
            <w:tcBorders>
              <w:left w:val="nil"/>
              <w:right w:val="single" w:sz="4" w:space="0" w:color="auto"/>
            </w:tcBorders>
            <w:shd w:val="clear" w:color="auto" w:fill="auto"/>
          </w:tcPr>
          <w:p w14:paraId="37419B03" w14:textId="77777777" w:rsidR="00DF61BC" w:rsidRPr="00C94C33" w:rsidRDefault="00DF61BC" w:rsidP="00C844C0">
            <w:pPr>
              <w:pStyle w:val="Tabletext"/>
              <w:jc w:val="center"/>
            </w:pPr>
            <w:r w:rsidRPr="00C94C33">
              <w:t>0</w:t>
            </w:r>
          </w:p>
        </w:tc>
      </w:tr>
      <w:tr w:rsidR="00DF61BC" w:rsidRPr="00C94C33" w14:paraId="2EDFC4D3" w14:textId="77777777" w:rsidTr="00C844C0">
        <w:trPr>
          <w:trHeight w:hRule="exact" w:val="306"/>
        </w:trPr>
        <w:tc>
          <w:tcPr>
            <w:tcW w:w="4248" w:type="dxa"/>
            <w:gridSpan w:val="2"/>
            <w:tcBorders>
              <w:left w:val="single" w:sz="4" w:space="0" w:color="auto"/>
              <w:bottom w:val="single" w:sz="7" w:space="0" w:color="000000"/>
              <w:right w:val="single" w:sz="6" w:space="0" w:color="000000"/>
            </w:tcBorders>
            <w:shd w:val="clear" w:color="auto" w:fill="auto"/>
          </w:tcPr>
          <w:p w14:paraId="600AE1F3" w14:textId="77777777" w:rsidR="00DF61BC" w:rsidRPr="00C94C33" w:rsidRDefault="00DF61BC" w:rsidP="00C844C0">
            <w:pPr>
              <w:pStyle w:val="Tabletext"/>
            </w:pPr>
            <w:r w:rsidRPr="00C94C33">
              <w:t>Renal impairment</w:t>
            </w:r>
          </w:p>
        </w:tc>
        <w:tc>
          <w:tcPr>
            <w:tcW w:w="1329" w:type="dxa"/>
            <w:tcBorders>
              <w:left w:val="single" w:sz="6" w:space="0" w:color="000000"/>
              <w:bottom w:val="single" w:sz="7" w:space="0" w:color="000000"/>
            </w:tcBorders>
            <w:shd w:val="clear" w:color="auto" w:fill="auto"/>
          </w:tcPr>
          <w:p w14:paraId="1C8B0F0E" w14:textId="77777777" w:rsidR="00DF61BC" w:rsidRPr="00C94C33" w:rsidRDefault="00DF61BC" w:rsidP="00C844C0">
            <w:pPr>
              <w:pStyle w:val="Tabletext"/>
              <w:jc w:val="center"/>
            </w:pPr>
            <w:r w:rsidRPr="00C94C33">
              <w:t>0</w:t>
            </w:r>
          </w:p>
        </w:tc>
        <w:tc>
          <w:tcPr>
            <w:tcW w:w="1336" w:type="dxa"/>
            <w:tcBorders>
              <w:left w:val="nil"/>
              <w:bottom w:val="single" w:sz="7" w:space="0" w:color="000000"/>
              <w:right w:val="single" w:sz="6" w:space="0" w:color="000000"/>
            </w:tcBorders>
            <w:shd w:val="clear" w:color="auto" w:fill="auto"/>
          </w:tcPr>
          <w:p w14:paraId="1DCD5585" w14:textId="77777777" w:rsidR="00DF61BC" w:rsidRPr="00C94C33" w:rsidRDefault="00DF61BC" w:rsidP="00C844C0">
            <w:pPr>
              <w:pStyle w:val="Tabletext"/>
              <w:jc w:val="center"/>
            </w:pPr>
            <w:r w:rsidRPr="00C94C33">
              <w:t>0</w:t>
            </w:r>
          </w:p>
        </w:tc>
        <w:tc>
          <w:tcPr>
            <w:tcW w:w="1332" w:type="dxa"/>
            <w:tcBorders>
              <w:left w:val="single" w:sz="6" w:space="0" w:color="000000"/>
              <w:bottom w:val="single" w:sz="7" w:space="0" w:color="000000"/>
            </w:tcBorders>
            <w:shd w:val="clear" w:color="auto" w:fill="auto"/>
          </w:tcPr>
          <w:p w14:paraId="69568317" w14:textId="77777777" w:rsidR="00DF61BC" w:rsidRPr="00C94C33" w:rsidRDefault="00DF61BC" w:rsidP="00C844C0">
            <w:pPr>
              <w:pStyle w:val="Tabletext"/>
              <w:jc w:val="center"/>
            </w:pPr>
            <w:r w:rsidRPr="00C94C33">
              <w:t>1 (0.4)</w:t>
            </w:r>
          </w:p>
        </w:tc>
        <w:tc>
          <w:tcPr>
            <w:tcW w:w="1339" w:type="dxa"/>
            <w:gridSpan w:val="2"/>
            <w:tcBorders>
              <w:left w:val="nil"/>
              <w:bottom w:val="single" w:sz="7" w:space="0" w:color="000000"/>
              <w:right w:val="single" w:sz="4" w:space="0" w:color="auto"/>
            </w:tcBorders>
            <w:shd w:val="clear" w:color="auto" w:fill="auto"/>
          </w:tcPr>
          <w:p w14:paraId="36EFF6E7" w14:textId="77777777" w:rsidR="00DF61BC" w:rsidRPr="00C94C33" w:rsidRDefault="00DF61BC" w:rsidP="00C844C0">
            <w:pPr>
              <w:pStyle w:val="Tabletext"/>
              <w:jc w:val="center"/>
            </w:pPr>
            <w:r w:rsidRPr="00C94C33">
              <w:t>1 (0.4)</w:t>
            </w:r>
          </w:p>
        </w:tc>
      </w:tr>
      <w:tr w:rsidR="00DF61BC" w:rsidRPr="00C94C33" w14:paraId="1AD7C528" w14:textId="77777777" w:rsidTr="00C844C0">
        <w:trPr>
          <w:trHeight w:hRule="exact" w:val="305"/>
        </w:trPr>
        <w:tc>
          <w:tcPr>
            <w:tcW w:w="4248" w:type="dxa"/>
            <w:gridSpan w:val="2"/>
            <w:tcBorders>
              <w:top w:val="single" w:sz="7" w:space="0" w:color="000000"/>
              <w:left w:val="single" w:sz="4" w:space="0" w:color="auto"/>
              <w:right w:val="single" w:sz="6" w:space="0" w:color="000000"/>
            </w:tcBorders>
            <w:shd w:val="clear" w:color="auto" w:fill="auto"/>
          </w:tcPr>
          <w:p w14:paraId="598EA260" w14:textId="77777777" w:rsidR="00DF61BC" w:rsidRPr="00C844C0" w:rsidRDefault="00DF61BC" w:rsidP="00C844C0">
            <w:pPr>
              <w:pStyle w:val="Tabletext"/>
              <w:rPr>
                <w:b/>
              </w:rPr>
            </w:pPr>
            <w:r w:rsidRPr="00C844C0">
              <w:rPr>
                <w:b/>
              </w:rPr>
              <w:t>Fatal AEs</w:t>
            </w:r>
          </w:p>
        </w:tc>
        <w:tc>
          <w:tcPr>
            <w:tcW w:w="1329" w:type="dxa"/>
            <w:tcBorders>
              <w:top w:val="single" w:sz="7" w:space="0" w:color="000000"/>
              <w:left w:val="single" w:sz="6" w:space="0" w:color="000000"/>
            </w:tcBorders>
            <w:shd w:val="clear" w:color="auto" w:fill="auto"/>
          </w:tcPr>
          <w:p w14:paraId="4FF820E7" w14:textId="77777777" w:rsidR="00DF61BC" w:rsidRPr="00C94C33" w:rsidRDefault="00DF61BC" w:rsidP="00C844C0">
            <w:pPr>
              <w:pStyle w:val="Tabletext"/>
              <w:jc w:val="center"/>
            </w:pPr>
            <w:r w:rsidRPr="00C94C33">
              <w:t>2 (0.4)</w:t>
            </w:r>
          </w:p>
        </w:tc>
        <w:tc>
          <w:tcPr>
            <w:tcW w:w="1336" w:type="dxa"/>
            <w:tcBorders>
              <w:top w:val="single" w:sz="7" w:space="0" w:color="000000"/>
              <w:left w:val="nil"/>
              <w:right w:val="single" w:sz="6" w:space="0" w:color="000000"/>
            </w:tcBorders>
            <w:shd w:val="clear" w:color="auto" w:fill="auto"/>
          </w:tcPr>
          <w:p w14:paraId="7D132A90" w14:textId="77777777" w:rsidR="00DF61BC" w:rsidRPr="00C94C33" w:rsidRDefault="00DF61BC" w:rsidP="00C844C0">
            <w:pPr>
              <w:pStyle w:val="Tabletext"/>
              <w:jc w:val="center"/>
            </w:pPr>
            <w:r w:rsidRPr="00C94C33">
              <w:t>2 (0.4)</w:t>
            </w:r>
          </w:p>
        </w:tc>
        <w:tc>
          <w:tcPr>
            <w:tcW w:w="1332" w:type="dxa"/>
            <w:tcBorders>
              <w:top w:val="single" w:sz="7" w:space="0" w:color="000000"/>
              <w:left w:val="single" w:sz="6" w:space="0" w:color="000000"/>
            </w:tcBorders>
            <w:shd w:val="clear" w:color="auto" w:fill="auto"/>
          </w:tcPr>
          <w:p w14:paraId="6354BEB0" w14:textId="77777777" w:rsidR="00DF61BC" w:rsidRPr="00C94C33" w:rsidRDefault="00DF61BC" w:rsidP="00C844C0">
            <w:pPr>
              <w:pStyle w:val="Tabletext"/>
              <w:jc w:val="center"/>
            </w:pPr>
            <w:r w:rsidRPr="00C94C33">
              <w:t>2 (0.8)</w:t>
            </w:r>
          </w:p>
        </w:tc>
        <w:tc>
          <w:tcPr>
            <w:tcW w:w="1339" w:type="dxa"/>
            <w:gridSpan w:val="2"/>
            <w:tcBorders>
              <w:top w:val="single" w:sz="7" w:space="0" w:color="000000"/>
              <w:left w:val="nil"/>
              <w:right w:val="single" w:sz="4" w:space="0" w:color="auto"/>
            </w:tcBorders>
            <w:shd w:val="clear" w:color="auto" w:fill="auto"/>
          </w:tcPr>
          <w:p w14:paraId="452440D3" w14:textId="77777777" w:rsidR="00DF61BC" w:rsidRPr="00C94C33" w:rsidRDefault="00DF61BC" w:rsidP="00C844C0">
            <w:pPr>
              <w:pStyle w:val="Tabletext"/>
              <w:jc w:val="center"/>
            </w:pPr>
            <w:r w:rsidRPr="00C94C33">
              <w:t>2 (0.8)</w:t>
            </w:r>
          </w:p>
        </w:tc>
      </w:tr>
      <w:tr w:rsidR="00DF61BC" w:rsidRPr="00C94C33" w14:paraId="12F346A8" w14:textId="77777777" w:rsidTr="00C844C0">
        <w:trPr>
          <w:trHeight w:hRule="exact" w:val="305"/>
        </w:trPr>
        <w:tc>
          <w:tcPr>
            <w:tcW w:w="4248" w:type="dxa"/>
            <w:gridSpan w:val="2"/>
            <w:tcBorders>
              <w:left w:val="single" w:sz="4" w:space="0" w:color="auto"/>
              <w:right w:val="single" w:sz="6" w:space="0" w:color="000000"/>
            </w:tcBorders>
            <w:shd w:val="clear" w:color="auto" w:fill="auto"/>
          </w:tcPr>
          <w:p w14:paraId="62B35596" w14:textId="77777777" w:rsidR="00DF61BC" w:rsidRPr="00C94C33" w:rsidRDefault="00DF61BC" w:rsidP="00C844C0">
            <w:pPr>
              <w:pStyle w:val="Tabletext"/>
            </w:pPr>
            <w:r w:rsidRPr="00C94C33">
              <w:t>Renal failure</w:t>
            </w:r>
          </w:p>
        </w:tc>
        <w:tc>
          <w:tcPr>
            <w:tcW w:w="1329" w:type="dxa"/>
            <w:tcBorders>
              <w:left w:val="single" w:sz="6" w:space="0" w:color="000000"/>
            </w:tcBorders>
            <w:shd w:val="clear" w:color="auto" w:fill="auto"/>
          </w:tcPr>
          <w:p w14:paraId="14E75554" w14:textId="77777777" w:rsidR="00DF61BC" w:rsidRPr="00C94C33" w:rsidRDefault="00DF61BC" w:rsidP="00C844C0">
            <w:pPr>
              <w:pStyle w:val="Tabletext"/>
              <w:jc w:val="center"/>
            </w:pPr>
            <w:r w:rsidRPr="00C94C33">
              <w:t>0</w:t>
            </w:r>
          </w:p>
        </w:tc>
        <w:tc>
          <w:tcPr>
            <w:tcW w:w="1336" w:type="dxa"/>
            <w:tcBorders>
              <w:left w:val="nil"/>
              <w:right w:val="single" w:sz="6" w:space="0" w:color="000000"/>
            </w:tcBorders>
            <w:shd w:val="clear" w:color="auto" w:fill="auto"/>
          </w:tcPr>
          <w:p w14:paraId="09C13855" w14:textId="77777777" w:rsidR="00DF61BC" w:rsidRPr="00C94C33" w:rsidRDefault="00DF61BC" w:rsidP="00C844C0">
            <w:pPr>
              <w:pStyle w:val="Tabletext"/>
              <w:jc w:val="center"/>
            </w:pPr>
            <w:r w:rsidRPr="00C94C33">
              <w:t>0</w:t>
            </w:r>
          </w:p>
        </w:tc>
        <w:tc>
          <w:tcPr>
            <w:tcW w:w="1332" w:type="dxa"/>
            <w:tcBorders>
              <w:left w:val="single" w:sz="6" w:space="0" w:color="000000"/>
            </w:tcBorders>
            <w:shd w:val="clear" w:color="auto" w:fill="auto"/>
          </w:tcPr>
          <w:p w14:paraId="549ACCED" w14:textId="77777777" w:rsidR="00DF61BC" w:rsidRPr="00C94C33" w:rsidRDefault="00DF61BC" w:rsidP="00C844C0">
            <w:pPr>
              <w:pStyle w:val="Tabletext"/>
              <w:jc w:val="center"/>
            </w:pPr>
            <w:r w:rsidRPr="00C94C33">
              <w:t>1 (0.4)</w:t>
            </w:r>
          </w:p>
        </w:tc>
        <w:tc>
          <w:tcPr>
            <w:tcW w:w="1339" w:type="dxa"/>
            <w:gridSpan w:val="2"/>
            <w:tcBorders>
              <w:left w:val="nil"/>
              <w:right w:val="single" w:sz="4" w:space="0" w:color="auto"/>
            </w:tcBorders>
            <w:shd w:val="clear" w:color="auto" w:fill="auto"/>
          </w:tcPr>
          <w:p w14:paraId="51B474D7" w14:textId="77777777" w:rsidR="00DF61BC" w:rsidRPr="00C94C33" w:rsidRDefault="00DF61BC" w:rsidP="00C844C0">
            <w:pPr>
              <w:pStyle w:val="Tabletext"/>
              <w:jc w:val="center"/>
            </w:pPr>
            <w:r w:rsidRPr="00C94C33">
              <w:t>1 (0.4)</w:t>
            </w:r>
          </w:p>
        </w:tc>
      </w:tr>
      <w:tr w:rsidR="00DF61BC" w:rsidRPr="00C94C33" w14:paraId="37354F53" w14:textId="77777777" w:rsidTr="00C844C0">
        <w:trPr>
          <w:trHeight w:hRule="exact" w:val="305"/>
        </w:trPr>
        <w:tc>
          <w:tcPr>
            <w:tcW w:w="4248" w:type="dxa"/>
            <w:gridSpan w:val="2"/>
            <w:tcBorders>
              <w:left w:val="single" w:sz="4" w:space="0" w:color="auto"/>
              <w:right w:val="single" w:sz="6" w:space="0" w:color="000000"/>
            </w:tcBorders>
            <w:shd w:val="clear" w:color="auto" w:fill="auto"/>
          </w:tcPr>
          <w:p w14:paraId="19EA59C0" w14:textId="77777777" w:rsidR="00DF61BC" w:rsidRPr="00C94C33" w:rsidRDefault="00DF61BC" w:rsidP="00C844C0">
            <w:pPr>
              <w:pStyle w:val="Tabletext"/>
            </w:pPr>
            <w:r w:rsidRPr="00C94C33">
              <w:t>Renal failure acute</w:t>
            </w:r>
          </w:p>
        </w:tc>
        <w:tc>
          <w:tcPr>
            <w:tcW w:w="1329" w:type="dxa"/>
            <w:tcBorders>
              <w:left w:val="single" w:sz="6" w:space="0" w:color="000000"/>
            </w:tcBorders>
            <w:shd w:val="clear" w:color="auto" w:fill="auto"/>
          </w:tcPr>
          <w:p w14:paraId="4E81CF80" w14:textId="77777777" w:rsidR="00DF61BC" w:rsidRPr="00C94C33" w:rsidRDefault="00DF61BC" w:rsidP="00C844C0">
            <w:pPr>
              <w:pStyle w:val="Tabletext"/>
              <w:jc w:val="center"/>
            </w:pPr>
            <w:r w:rsidRPr="00C94C33">
              <w:t>2 (0.4)</w:t>
            </w:r>
          </w:p>
        </w:tc>
        <w:tc>
          <w:tcPr>
            <w:tcW w:w="1336" w:type="dxa"/>
            <w:tcBorders>
              <w:left w:val="nil"/>
              <w:right w:val="single" w:sz="6" w:space="0" w:color="000000"/>
            </w:tcBorders>
            <w:shd w:val="clear" w:color="auto" w:fill="auto"/>
          </w:tcPr>
          <w:p w14:paraId="6502368B" w14:textId="77777777" w:rsidR="00DF61BC" w:rsidRPr="00C94C33" w:rsidRDefault="00DF61BC" w:rsidP="00C844C0">
            <w:pPr>
              <w:pStyle w:val="Tabletext"/>
              <w:jc w:val="center"/>
            </w:pPr>
            <w:r w:rsidRPr="00C94C33">
              <w:t>2 (0.4)</w:t>
            </w:r>
          </w:p>
        </w:tc>
        <w:tc>
          <w:tcPr>
            <w:tcW w:w="1332" w:type="dxa"/>
            <w:tcBorders>
              <w:left w:val="single" w:sz="6" w:space="0" w:color="000000"/>
            </w:tcBorders>
            <w:shd w:val="clear" w:color="auto" w:fill="auto"/>
          </w:tcPr>
          <w:p w14:paraId="20F3528E" w14:textId="77777777" w:rsidR="00DF61BC" w:rsidRPr="00C94C33" w:rsidRDefault="00DF61BC" w:rsidP="00C844C0">
            <w:pPr>
              <w:pStyle w:val="Tabletext"/>
              <w:jc w:val="center"/>
            </w:pPr>
            <w:r w:rsidRPr="00C94C33">
              <w:t>0</w:t>
            </w:r>
          </w:p>
        </w:tc>
        <w:tc>
          <w:tcPr>
            <w:tcW w:w="1339" w:type="dxa"/>
            <w:gridSpan w:val="2"/>
            <w:tcBorders>
              <w:left w:val="nil"/>
              <w:right w:val="single" w:sz="4" w:space="0" w:color="auto"/>
            </w:tcBorders>
            <w:shd w:val="clear" w:color="auto" w:fill="auto"/>
          </w:tcPr>
          <w:p w14:paraId="31B2E62E" w14:textId="77777777" w:rsidR="00DF61BC" w:rsidRPr="00C94C33" w:rsidRDefault="00DF61BC" w:rsidP="00C844C0">
            <w:pPr>
              <w:pStyle w:val="Tabletext"/>
              <w:jc w:val="center"/>
            </w:pPr>
            <w:r w:rsidRPr="00C94C33">
              <w:t>0</w:t>
            </w:r>
          </w:p>
        </w:tc>
      </w:tr>
      <w:tr w:rsidR="00DF61BC" w:rsidRPr="00C94C33" w14:paraId="497AD7BB" w14:textId="77777777" w:rsidTr="00C844C0">
        <w:trPr>
          <w:trHeight w:hRule="exact" w:val="304"/>
        </w:trPr>
        <w:tc>
          <w:tcPr>
            <w:tcW w:w="4248" w:type="dxa"/>
            <w:gridSpan w:val="2"/>
            <w:tcBorders>
              <w:left w:val="single" w:sz="4" w:space="0" w:color="auto"/>
              <w:bottom w:val="single" w:sz="6" w:space="0" w:color="000000"/>
              <w:right w:val="single" w:sz="6" w:space="0" w:color="000000"/>
            </w:tcBorders>
            <w:shd w:val="clear" w:color="auto" w:fill="auto"/>
          </w:tcPr>
          <w:p w14:paraId="1330EA1D" w14:textId="77777777" w:rsidR="00DF61BC" w:rsidRPr="00C94C33" w:rsidRDefault="00DF61BC" w:rsidP="00C844C0">
            <w:pPr>
              <w:pStyle w:val="Tabletext"/>
            </w:pPr>
            <w:r w:rsidRPr="00C94C33">
              <w:t>Renal impairment</w:t>
            </w:r>
          </w:p>
        </w:tc>
        <w:tc>
          <w:tcPr>
            <w:tcW w:w="1329" w:type="dxa"/>
            <w:tcBorders>
              <w:left w:val="single" w:sz="6" w:space="0" w:color="000000"/>
              <w:bottom w:val="single" w:sz="6" w:space="0" w:color="000000"/>
            </w:tcBorders>
            <w:shd w:val="clear" w:color="auto" w:fill="auto"/>
          </w:tcPr>
          <w:p w14:paraId="56920E89" w14:textId="77777777" w:rsidR="00DF61BC" w:rsidRPr="00C94C33" w:rsidRDefault="00DF61BC" w:rsidP="00C844C0">
            <w:pPr>
              <w:pStyle w:val="Tabletext"/>
              <w:jc w:val="center"/>
            </w:pPr>
            <w:r w:rsidRPr="00C94C33">
              <w:t>0</w:t>
            </w:r>
          </w:p>
        </w:tc>
        <w:tc>
          <w:tcPr>
            <w:tcW w:w="1336" w:type="dxa"/>
            <w:tcBorders>
              <w:left w:val="nil"/>
              <w:bottom w:val="single" w:sz="6" w:space="0" w:color="000000"/>
              <w:right w:val="single" w:sz="6" w:space="0" w:color="000000"/>
            </w:tcBorders>
            <w:shd w:val="clear" w:color="auto" w:fill="auto"/>
          </w:tcPr>
          <w:p w14:paraId="3C4479DB" w14:textId="77777777" w:rsidR="00DF61BC" w:rsidRPr="00C94C33" w:rsidRDefault="00DF61BC" w:rsidP="00C844C0">
            <w:pPr>
              <w:pStyle w:val="Tabletext"/>
              <w:jc w:val="center"/>
            </w:pPr>
            <w:r w:rsidRPr="00C94C33">
              <w:t>0</w:t>
            </w:r>
          </w:p>
        </w:tc>
        <w:tc>
          <w:tcPr>
            <w:tcW w:w="1332" w:type="dxa"/>
            <w:tcBorders>
              <w:left w:val="single" w:sz="6" w:space="0" w:color="000000"/>
              <w:bottom w:val="single" w:sz="6" w:space="0" w:color="000000"/>
            </w:tcBorders>
            <w:shd w:val="clear" w:color="auto" w:fill="auto"/>
          </w:tcPr>
          <w:p w14:paraId="2A03A977" w14:textId="77777777" w:rsidR="00DF61BC" w:rsidRPr="00C94C33" w:rsidRDefault="00DF61BC" w:rsidP="00C844C0">
            <w:pPr>
              <w:pStyle w:val="Tabletext"/>
              <w:jc w:val="center"/>
            </w:pPr>
            <w:r w:rsidRPr="00C94C33">
              <w:t>1 (0.4)</w:t>
            </w:r>
          </w:p>
        </w:tc>
        <w:tc>
          <w:tcPr>
            <w:tcW w:w="1339" w:type="dxa"/>
            <w:gridSpan w:val="2"/>
            <w:tcBorders>
              <w:left w:val="nil"/>
              <w:bottom w:val="single" w:sz="6" w:space="0" w:color="000000"/>
              <w:right w:val="single" w:sz="4" w:space="0" w:color="auto"/>
            </w:tcBorders>
            <w:shd w:val="clear" w:color="auto" w:fill="auto"/>
          </w:tcPr>
          <w:p w14:paraId="69890B13" w14:textId="77777777" w:rsidR="00DF61BC" w:rsidRPr="00C94C33" w:rsidRDefault="00DF61BC" w:rsidP="00C844C0">
            <w:pPr>
              <w:pStyle w:val="Tabletext"/>
              <w:jc w:val="center"/>
            </w:pPr>
            <w:r w:rsidRPr="00C94C33">
              <w:t>1 (0.4)</w:t>
            </w:r>
          </w:p>
        </w:tc>
      </w:tr>
    </w:tbl>
    <w:p w14:paraId="08B2F621" w14:textId="51B93E87" w:rsidR="00DF61BC" w:rsidRPr="00C94C33" w:rsidRDefault="00DF61BC" w:rsidP="005C2FCA">
      <w:pPr>
        <w:pStyle w:val="Comment"/>
      </w:pPr>
      <w:r w:rsidRPr="005C2FCA">
        <w:rPr>
          <w:b/>
        </w:rPr>
        <w:t>Comment:</w:t>
      </w:r>
      <w:r w:rsidR="00744EDB">
        <w:t xml:space="preserve"> </w:t>
      </w:r>
      <w:r w:rsidRPr="00C94C33">
        <w:t xml:space="preserve"> The most notable difference in renal abnormality-related AEs related to an increased incidence of proteinuria in the TAS-102 group compared to the placebo group.</w:t>
      </w:r>
    </w:p>
    <w:p w14:paraId="5277662C" w14:textId="77777777" w:rsidR="00AA7141" w:rsidRDefault="00DF61BC" w:rsidP="00955252">
      <w:pPr>
        <w:pStyle w:val="Heading5"/>
      </w:pPr>
      <w:bookmarkStart w:id="383" w:name="_Toc470948583"/>
      <w:r w:rsidRPr="00C94C33">
        <w:t>Haematologic impairment-related adverse events</w:t>
      </w:r>
      <w:bookmarkEnd w:id="383"/>
    </w:p>
    <w:p w14:paraId="024D64E6" w14:textId="36ED8E43" w:rsidR="006A7C10" w:rsidRPr="00C94C33" w:rsidRDefault="00DF61BC" w:rsidP="005C2FCA">
      <w:pPr>
        <w:rPr>
          <w:rFonts w:cstheme="minorBidi"/>
          <w:b/>
        </w:rPr>
      </w:pPr>
      <w:r w:rsidRPr="00C94C33">
        <w:rPr>
          <w:rFonts w:asciiTheme="minorHAnsi" w:hAnsiTheme="minorHAnsi"/>
        </w:rPr>
        <w:t>Haematologic impairment-related AEs (all Grades) were reported notably more frequently in the TAS-102 group than in the placebo group (70.9%</w:t>
      </w:r>
      <w:r w:rsidR="00C11183">
        <w:rPr>
          <w:rFonts w:asciiTheme="minorHAnsi" w:hAnsiTheme="minorHAnsi"/>
        </w:rPr>
        <w:t xml:space="preserve"> versus </w:t>
      </w:r>
      <w:r w:rsidRPr="00C94C33">
        <w:rPr>
          <w:rFonts w:asciiTheme="minorHAnsi" w:hAnsiTheme="minorHAnsi"/>
        </w:rPr>
        <w:t>15.5%), as were Grade ≥ 3 AEs in this grouping (46.5%</w:t>
      </w:r>
      <w:r w:rsidR="00C11183">
        <w:rPr>
          <w:rFonts w:asciiTheme="minorHAnsi" w:hAnsiTheme="minorHAnsi"/>
        </w:rPr>
        <w:t xml:space="preserve"> versus </w:t>
      </w:r>
      <w:r w:rsidRPr="00C94C33">
        <w:rPr>
          <w:rFonts w:asciiTheme="minorHAnsi" w:hAnsiTheme="minorHAnsi"/>
        </w:rPr>
        <w:t xml:space="preserve">5.7%). However, haematologic impairment-related AEs resulting in treatment discontinuation and death were infrequent in both treatment groups. </w:t>
      </w:r>
      <w:r w:rsidRPr="00C94C33">
        <w:rPr>
          <w:rFonts w:asciiTheme="minorHAnsi" w:hAnsiTheme="minorHAnsi"/>
          <w:color w:val="000000"/>
        </w:rPr>
        <w:t>Haematologic impairment-related AEs are summarised below.</w:t>
      </w:r>
      <w:bookmarkStart w:id="384" w:name="_Toc470948703"/>
    </w:p>
    <w:p w14:paraId="6E248B77" w14:textId="6975FFF2" w:rsidR="00DF61BC" w:rsidRPr="00C94C33" w:rsidRDefault="00DF61BC" w:rsidP="003F43B1">
      <w:pPr>
        <w:pStyle w:val="Tabletitle"/>
      </w:pPr>
      <w:r w:rsidRPr="00C94C33">
        <w:t>Table</w:t>
      </w:r>
      <w:r w:rsidR="006A7C10" w:rsidRPr="00C94C33">
        <w:t xml:space="preserve"> 54</w:t>
      </w:r>
      <w:r w:rsidRPr="00C94C33">
        <w:t>: RECOURSE</w:t>
      </w:r>
      <w:r w:rsidR="00744EDB">
        <w:t xml:space="preserve">; </w:t>
      </w:r>
      <w:r w:rsidRPr="00C94C33">
        <w:t>Sponsor</w:t>
      </w:r>
      <w:r w:rsidR="00744EDB">
        <w:t xml:space="preserve"> </w:t>
      </w:r>
      <w:r w:rsidRPr="00C94C33">
        <w:t>defined haematologic impairment-related adverse events, AT</w:t>
      </w:r>
      <w:r w:rsidR="00744EDB">
        <w:t> </w:t>
      </w:r>
      <w:r w:rsidRPr="00C94C33">
        <w:t>population</w:t>
      </w:r>
      <w:bookmarkEnd w:id="384"/>
    </w:p>
    <w:tbl>
      <w:tblPr>
        <w:tblW w:w="9584" w:type="dxa"/>
        <w:tblInd w:w="104" w:type="dxa"/>
        <w:tblLayout w:type="fixed"/>
        <w:tblCellMar>
          <w:left w:w="0" w:type="dxa"/>
          <w:right w:w="0" w:type="dxa"/>
        </w:tblCellMar>
        <w:tblLook w:val="0000" w:firstRow="0" w:lastRow="0" w:firstColumn="0" w:lastColumn="0" w:noHBand="0" w:noVBand="0"/>
      </w:tblPr>
      <w:tblGrid>
        <w:gridCol w:w="7"/>
        <w:gridCol w:w="4239"/>
        <w:gridCol w:w="1332"/>
        <w:gridCol w:w="1334"/>
        <w:gridCol w:w="1332"/>
        <w:gridCol w:w="1332"/>
        <w:gridCol w:w="8"/>
      </w:tblGrid>
      <w:tr w:rsidR="00DF61BC" w:rsidRPr="00C844C0" w14:paraId="593F49CE" w14:textId="77777777" w:rsidTr="00C844C0">
        <w:trPr>
          <w:gridBefore w:val="1"/>
          <w:wBefore w:w="7" w:type="dxa"/>
          <w:trHeight w:hRule="exact" w:val="434"/>
          <w:tblHeader/>
        </w:trPr>
        <w:tc>
          <w:tcPr>
            <w:tcW w:w="4239" w:type="dxa"/>
            <w:tcBorders>
              <w:top w:val="single" w:sz="8" w:space="0" w:color="000000"/>
              <w:left w:val="single" w:sz="4" w:space="0" w:color="auto"/>
              <w:right w:val="single" w:sz="6" w:space="0" w:color="000000"/>
            </w:tcBorders>
            <w:shd w:val="clear" w:color="auto" w:fill="auto"/>
          </w:tcPr>
          <w:p w14:paraId="0B07521E" w14:textId="77777777" w:rsidR="00DF61BC" w:rsidRPr="00C844C0" w:rsidRDefault="00DF61BC" w:rsidP="00C844C0">
            <w:pPr>
              <w:pStyle w:val="TableHeading"/>
            </w:pPr>
          </w:p>
        </w:tc>
        <w:tc>
          <w:tcPr>
            <w:tcW w:w="2666" w:type="dxa"/>
            <w:gridSpan w:val="2"/>
            <w:tcBorders>
              <w:top w:val="single" w:sz="8" w:space="0" w:color="000000"/>
              <w:left w:val="single" w:sz="6" w:space="0" w:color="000000"/>
              <w:right w:val="single" w:sz="6" w:space="0" w:color="000000"/>
            </w:tcBorders>
            <w:shd w:val="clear" w:color="auto" w:fill="auto"/>
          </w:tcPr>
          <w:p w14:paraId="32E5F316" w14:textId="6EE8E504" w:rsidR="00DF61BC" w:rsidRPr="00C844C0" w:rsidRDefault="00DF61BC" w:rsidP="00C844C0">
            <w:pPr>
              <w:pStyle w:val="TableHeading"/>
              <w:jc w:val="center"/>
            </w:pPr>
            <w:r w:rsidRPr="00C844C0">
              <w:t>TAS-102 (</w:t>
            </w:r>
            <w:r w:rsidR="009C0389" w:rsidRPr="00C844C0">
              <w:t xml:space="preserve">n = </w:t>
            </w:r>
            <w:r w:rsidRPr="00C844C0">
              <w:t>533), n (%)</w:t>
            </w:r>
          </w:p>
        </w:tc>
        <w:tc>
          <w:tcPr>
            <w:tcW w:w="2672" w:type="dxa"/>
            <w:gridSpan w:val="3"/>
            <w:tcBorders>
              <w:top w:val="single" w:sz="8" w:space="0" w:color="000000"/>
              <w:left w:val="single" w:sz="6" w:space="0" w:color="000000"/>
              <w:right w:val="single" w:sz="4" w:space="0" w:color="auto"/>
            </w:tcBorders>
            <w:shd w:val="clear" w:color="auto" w:fill="auto"/>
          </w:tcPr>
          <w:p w14:paraId="3AAB5095" w14:textId="77A6BF30" w:rsidR="00DF61BC" w:rsidRPr="00C844C0" w:rsidRDefault="00DF61BC" w:rsidP="00C844C0">
            <w:pPr>
              <w:pStyle w:val="TableHeading"/>
              <w:jc w:val="center"/>
            </w:pPr>
            <w:r w:rsidRPr="00C844C0">
              <w:t>Placebo (</w:t>
            </w:r>
            <w:r w:rsidR="009C0389" w:rsidRPr="00C844C0">
              <w:t xml:space="preserve">n = </w:t>
            </w:r>
            <w:r w:rsidRPr="00C844C0">
              <w:t>265); n (%)</w:t>
            </w:r>
          </w:p>
        </w:tc>
      </w:tr>
      <w:tr w:rsidR="00DF61BC" w:rsidRPr="00C844C0" w14:paraId="114C7E13" w14:textId="77777777" w:rsidTr="00C844C0">
        <w:trPr>
          <w:gridBefore w:val="1"/>
          <w:wBefore w:w="7" w:type="dxa"/>
          <w:trHeight w:hRule="exact" w:val="305"/>
          <w:tblHeader/>
        </w:trPr>
        <w:tc>
          <w:tcPr>
            <w:tcW w:w="4239" w:type="dxa"/>
            <w:tcBorders>
              <w:left w:val="single" w:sz="4" w:space="0" w:color="auto"/>
              <w:bottom w:val="single" w:sz="7" w:space="0" w:color="000000"/>
              <w:right w:val="single" w:sz="6" w:space="0" w:color="000000"/>
            </w:tcBorders>
            <w:shd w:val="clear" w:color="auto" w:fill="auto"/>
          </w:tcPr>
          <w:p w14:paraId="6BFF5054" w14:textId="77777777" w:rsidR="00DF61BC" w:rsidRPr="00C844C0" w:rsidRDefault="00DF61BC" w:rsidP="00C844C0">
            <w:pPr>
              <w:pStyle w:val="TableHeading"/>
            </w:pPr>
            <w:r w:rsidRPr="00C844C0">
              <w:t>Category – Preferred term</w:t>
            </w:r>
          </w:p>
        </w:tc>
        <w:tc>
          <w:tcPr>
            <w:tcW w:w="1332" w:type="dxa"/>
            <w:tcBorders>
              <w:left w:val="single" w:sz="6" w:space="0" w:color="000000"/>
              <w:bottom w:val="single" w:sz="7" w:space="0" w:color="000000"/>
            </w:tcBorders>
            <w:shd w:val="clear" w:color="auto" w:fill="auto"/>
          </w:tcPr>
          <w:p w14:paraId="3CB9A751" w14:textId="77777777" w:rsidR="00DF61BC" w:rsidRPr="00C844C0" w:rsidRDefault="00DF61BC" w:rsidP="00C844C0">
            <w:pPr>
              <w:pStyle w:val="TableHeading"/>
              <w:jc w:val="center"/>
            </w:pPr>
            <w:r w:rsidRPr="00C844C0">
              <w:t>All Grades</w:t>
            </w:r>
          </w:p>
        </w:tc>
        <w:tc>
          <w:tcPr>
            <w:tcW w:w="1334" w:type="dxa"/>
            <w:tcBorders>
              <w:left w:val="nil"/>
              <w:bottom w:val="single" w:sz="7" w:space="0" w:color="000000"/>
              <w:right w:val="single" w:sz="6" w:space="0" w:color="000000"/>
            </w:tcBorders>
            <w:shd w:val="clear" w:color="auto" w:fill="auto"/>
          </w:tcPr>
          <w:p w14:paraId="3954B18F" w14:textId="77777777" w:rsidR="00DF61BC" w:rsidRPr="00C844C0" w:rsidRDefault="00DF61BC" w:rsidP="00C844C0">
            <w:pPr>
              <w:pStyle w:val="TableHeading"/>
              <w:jc w:val="center"/>
            </w:pPr>
            <w:r w:rsidRPr="00C844C0">
              <w:t>≥ Grade 3</w:t>
            </w:r>
          </w:p>
        </w:tc>
        <w:tc>
          <w:tcPr>
            <w:tcW w:w="1332" w:type="dxa"/>
            <w:tcBorders>
              <w:left w:val="single" w:sz="6" w:space="0" w:color="000000"/>
              <w:bottom w:val="single" w:sz="7" w:space="0" w:color="000000"/>
            </w:tcBorders>
            <w:shd w:val="clear" w:color="auto" w:fill="auto"/>
          </w:tcPr>
          <w:p w14:paraId="012C7A58" w14:textId="2614EE04" w:rsidR="00DF61BC" w:rsidRPr="00C844C0" w:rsidRDefault="00DF61BC" w:rsidP="00C844C0">
            <w:pPr>
              <w:pStyle w:val="TableHeading"/>
              <w:jc w:val="center"/>
            </w:pPr>
            <w:r w:rsidRPr="00C844C0">
              <w:t>All Grades</w:t>
            </w:r>
          </w:p>
        </w:tc>
        <w:tc>
          <w:tcPr>
            <w:tcW w:w="1340" w:type="dxa"/>
            <w:gridSpan w:val="2"/>
            <w:tcBorders>
              <w:left w:val="nil"/>
              <w:bottom w:val="single" w:sz="7" w:space="0" w:color="000000"/>
              <w:right w:val="single" w:sz="4" w:space="0" w:color="auto"/>
            </w:tcBorders>
            <w:shd w:val="clear" w:color="auto" w:fill="auto"/>
          </w:tcPr>
          <w:p w14:paraId="225E28B5" w14:textId="0BFBCD0C" w:rsidR="00DF61BC" w:rsidRPr="00C844C0" w:rsidRDefault="00DF61BC" w:rsidP="00C844C0">
            <w:pPr>
              <w:pStyle w:val="TableHeading"/>
              <w:jc w:val="center"/>
            </w:pPr>
            <w:r w:rsidRPr="00C844C0">
              <w:t>≥ Grade 3</w:t>
            </w:r>
          </w:p>
        </w:tc>
      </w:tr>
      <w:tr w:rsidR="00DF61BC" w:rsidRPr="00C94C33" w14:paraId="086ADEDF" w14:textId="77777777" w:rsidTr="00983724">
        <w:trPr>
          <w:gridAfter w:val="1"/>
          <w:wAfter w:w="8" w:type="dxa"/>
          <w:trHeight w:hRule="exact" w:val="312"/>
        </w:trPr>
        <w:tc>
          <w:tcPr>
            <w:tcW w:w="4246" w:type="dxa"/>
            <w:gridSpan w:val="2"/>
            <w:tcBorders>
              <w:top w:val="single" w:sz="12" w:space="0" w:color="000000"/>
              <w:left w:val="single" w:sz="4" w:space="0" w:color="auto"/>
              <w:right w:val="single" w:sz="6" w:space="0" w:color="000000"/>
            </w:tcBorders>
            <w:shd w:val="clear" w:color="auto" w:fill="auto"/>
          </w:tcPr>
          <w:p w14:paraId="3E8D6779" w14:textId="77777777" w:rsidR="00DF61BC" w:rsidRPr="00C844C0" w:rsidRDefault="00DF61BC" w:rsidP="00C844C0">
            <w:pPr>
              <w:pStyle w:val="Tabletext"/>
              <w:rPr>
                <w:b/>
              </w:rPr>
            </w:pPr>
            <w:bookmarkStart w:id="385" w:name="Table_46:_Sponsor-defined_Haematologic_I"/>
            <w:bookmarkStart w:id="386" w:name="12.3.6.4._Infection-related_AEs"/>
            <w:bookmarkEnd w:id="385"/>
            <w:bookmarkEnd w:id="386"/>
            <w:r w:rsidRPr="00C844C0">
              <w:rPr>
                <w:b/>
              </w:rPr>
              <w:t xml:space="preserve">Any haematologic impairment-related AE </w:t>
            </w:r>
            <w:r w:rsidRPr="00C844C0">
              <w:rPr>
                <w:b/>
                <w:vertAlign w:val="superscript"/>
              </w:rPr>
              <w:t xml:space="preserve">a </w:t>
            </w:r>
          </w:p>
        </w:tc>
        <w:tc>
          <w:tcPr>
            <w:tcW w:w="1332" w:type="dxa"/>
            <w:tcBorders>
              <w:top w:val="single" w:sz="12" w:space="0" w:color="000000"/>
              <w:left w:val="single" w:sz="6" w:space="0" w:color="000000"/>
              <w:right w:val="single" w:sz="6" w:space="0" w:color="000000"/>
            </w:tcBorders>
            <w:shd w:val="clear" w:color="auto" w:fill="auto"/>
          </w:tcPr>
          <w:p w14:paraId="51C75081" w14:textId="77777777" w:rsidR="00DF61BC" w:rsidRPr="00C94C33" w:rsidRDefault="00DF61BC" w:rsidP="00C844C0">
            <w:pPr>
              <w:pStyle w:val="Tabletext"/>
            </w:pPr>
            <w:r w:rsidRPr="00C94C33">
              <w:t>378 (70.9)</w:t>
            </w:r>
          </w:p>
        </w:tc>
        <w:tc>
          <w:tcPr>
            <w:tcW w:w="1334" w:type="dxa"/>
            <w:tcBorders>
              <w:top w:val="single" w:sz="12" w:space="0" w:color="000000"/>
              <w:left w:val="single" w:sz="6" w:space="0" w:color="000000"/>
              <w:right w:val="single" w:sz="6" w:space="0" w:color="000000"/>
            </w:tcBorders>
            <w:shd w:val="clear" w:color="auto" w:fill="auto"/>
          </w:tcPr>
          <w:p w14:paraId="66684837" w14:textId="77777777" w:rsidR="00DF61BC" w:rsidRPr="00C94C33" w:rsidRDefault="00DF61BC" w:rsidP="00C844C0">
            <w:pPr>
              <w:pStyle w:val="Tabletext"/>
            </w:pPr>
            <w:r w:rsidRPr="00C94C33">
              <w:t>248 (46.5)</w:t>
            </w:r>
          </w:p>
        </w:tc>
        <w:tc>
          <w:tcPr>
            <w:tcW w:w="1332" w:type="dxa"/>
            <w:tcBorders>
              <w:top w:val="single" w:sz="12" w:space="0" w:color="000000"/>
              <w:left w:val="single" w:sz="6" w:space="0" w:color="000000"/>
              <w:right w:val="single" w:sz="6" w:space="0" w:color="000000"/>
            </w:tcBorders>
            <w:shd w:val="clear" w:color="auto" w:fill="auto"/>
          </w:tcPr>
          <w:p w14:paraId="49A760A3" w14:textId="77777777" w:rsidR="00DF61BC" w:rsidRPr="00C94C33" w:rsidRDefault="00DF61BC" w:rsidP="00C844C0">
            <w:pPr>
              <w:pStyle w:val="Tabletext"/>
            </w:pPr>
            <w:r w:rsidRPr="00C94C33">
              <w:t>41 (15.5)</w:t>
            </w:r>
          </w:p>
        </w:tc>
        <w:tc>
          <w:tcPr>
            <w:tcW w:w="1332" w:type="dxa"/>
            <w:tcBorders>
              <w:top w:val="single" w:sz="12" w:space="0" w:color="000000"/>
              <w:left w:val="single" w:sz="6" w:space="0" w:color="000000"/>
              <w:right w:val="single" w:sz="4" w:space="0" w:color="auto"/>
            </w:tcBorders>
            <w:shd w:val="clear" w:color="auto" w:fill="auto"/>
          </w:tcPr>
          <w:p w14:paraId="35333451" w14:textId="77777777" w:rsidR="00DF61BC" w:rsidRPr="00C94C33" w:rsidRDefault="00DF61BC" w:rsidP="00C844C0">
            <w:pPr>
              <w:pStyle w:val="Tabletext"/>
            </w:pPr>
            <w:r w:rsidRPr="00C94C33">
              <w:t>15 (5.7)</w:t>
            </w:r>
          </w:p>
        </w:tc>
      </w:tr>
      <w:tr w:rsidR="00DF61BC" w:rsidRPr="00C94C33" w14:paraId="2B0922D1" w14:textId="77777777" w:rsidTr="00983724">
        <w:trPr>
          <w:gridAfter w:val="1"/>
          <w:wAfter w:w="8" w:type="dxa"/>
          <w:trHeight w:hRule="exact" w:val="305"/>
        </w:trPr>
        <w:tc>
          <w:tcPr>
            <w:tcW w:w="4246" w:type="dxa"/>
            <w:gridSpan w:val="2"/>
            <w:tcBorders>
              <w:left w:val="single" w:sz="4" w:space="0" w:color="auto"/>
              <w:right w:val="single" w:sz="6" w:space="0" w:color="000000"/>
            </w:tcBorders>
            <w:shd w:val="clear" w:color="auto" w:fill="auto"/>
          </w:tcPr>
          <w:p w14:paraId="06F4C384" w14:textId="0D2E8EEB" w:rsidR="00DF61BC" w:rsidRPr="00C94C33" w:rsidRDefault="00DF61BC" w:rsidP="00C844C0">
            <w:pPr>
              <w:pStyle w:val="Tabletext"/>
            </w:pPr>
            <w:r w:rsidRPr="00C94C33">
              <w:t xml:space="preserve">Anaemia </w:t>
            </w:r>
          </w:p>
        </w:tc>
        <w:tc>
          <w:tcPr>
            <w:tcW w:w="1332" w:type="dxa"/>
            <w:tcBorders>
              <w:left w:val="single" w:sz="6" w:space="0" w:color="000000"/>
              <w:right w:val="single" w:sz="6" w:space="0" w:color="000000"/>
            </w:tcBorders>
            <w:shd w:val="clear" w:color="auto" w:fill="auto"/>
          </w:tcPr>
          <w:p w14:paraId="76FD62C3" w14:textId="77777777" w:rsidR="00DF61BC" w:rsidRPr="00C94C33" w:rsidRDefault="00DF61BC" w:rsidP="00C844C0">
            <w:pPr>
              <w:pStyle w:val="Tabletext"/>
            </w:pPr>
            <w:r w:rsidRPr="00C94C33">
              <w:t>214 (40.2)</w:t>
            </w:r>
          </w:p>
        </w:tc>
        <w:tc>
          <w:tcPr>
            <w:tcW w:w="1334" w:type="dxa"/>
            <w:tcBorders>
              <w:left w:val="single" w:sz="6" w:space="0" w:color="000000"/>
              <w:right w:val="single" w:sz="6" w:space="0" w:color="000000"/>
            </w:tcBorders>
            <w:shd w:val="clear" w:color="auto" w:fill="auto"/>
          </w:tcPr>
          <w:p w14:paraId="71C2BB70" w14:textId="77777777" w:rsidR="00DF61BC" w:rsidRPr="00C94C33" w:rsidRDefault="00DF61BC" w:rsidP="00C844C0">
            <w:pPr>
              <w:pStyle w:val="Tabletext"/>
            </w:pPr>
            <w:r w:rsidRPr="00C94C33">
              <w:t>86 (16.1)</w:t>
            </w:r>
          </w:p>
        </w:tc>
        <w:tc>
          <w:tcPr>
            <w:tcW w:w="1332" w:type="dxa"/>
            <w:tcBorders>
              <w:left w:val="single" w:sz="6" w:space="0" w:color="000000"/>
              <w:right w:val="single" w:sz="6" w:space="0" w:color="000000"/>
            </w:tcBorders>
            <w:shd w:val="clear" w:color="auto" w:fill="auto"/>
          </w:tcPr>
          <w:p w14:paraId="569DA768" w14:textId="77777777" w:rsidR="00DF61BC" w:rsidRPr="00C94C33" w:rsidRDefault="00DF61BC" w:rsidP="00C844C0">
            <w:pPr>
              <w:pStyle w:val="Tabletext"/>
            </w:pPr>
            <w:r w:rsidRPr="00C94C33">
              <w:t>22 (8.3)</w:t>
            </w:r>
          </w:p>
        </w:tc>
        <w:tc>
          <w:tcPr>
            <w:tcW w:w="1332" w:type="dxa"/>
            <w:tcBorders>
              <w:left w:val="single" w:sz="6" w:space="0" w:color="000000"/>
              <w:right w:val="single" w:sz="4" w:space="0" w:color="auto"/>
            </w:tcBorders>
            <w:shd w:val="clear" w:color="auto" w:fill="auto"/>
          </w:tcPr>
          <w:p w14:paraId="792C1406" w14:textId="77777777" w:rsidR="00DF61BC" w:rsidRPr="00C94C33" w:rsidRDefault="00DF61BC" w:rsidP="00C844C0">
            <w:pPr>
              <w:pStyle w:val="Tabletext"/>
            </w:pPr>
            <w:r w:rsidRPr="00C94C33">
              <w:t>7 (2.6)</w:t>
            </w:r>
          </w:p>
        </w:tc>
      </w:tr>
      <w:tr w:rsidR="00DF61BC" w:rsidRPr="00C94C33" w14:paraId="5EF7CBCA" w14:textId="77777777" w:rsidTr="00983724">
        <w:trPr>
          <w:gridAfter w:val="1"/>
          <w:wAfter w:w="8" w:type="dxa"/>
          <w:trHeight w:hRule="exact" w:val="305"/>
        </w:trPr>
        <w:tc>
          <w:tcPr>
            <w:tcW w:w="4246" w:type="dxa"/>
            <w:gridSpan w:val="2"/>
            <w:tcBorders>
              <w:left w:val="single" w:sz="4" w:space="0" w:color="auto"/>
              <w:right w:val="single" w:sz="6" w:space="0" w:color="000000"/>
            </w:tcBorders>
            <w:shd w:val="clear" w:color="auto" w:fill="auto"/>
          </w:tcPr>
          <w:p w14:paraId="1889707D" w14:textId="5301947D" w:rsidR="00DF61BC" w:rsidRPr="00C94C33" w:rsidRDefault="00DF61BC" w:rsidP="00C844C0">
            <w:pPr>
              <w:pStyle w:val="Tabletext"/>
            </w:pPr>
            <w:r w:rsidRPr="00C94C33">
              <w:lastRenderedPageBreak/>
              <w:t>Neutro</w:t>
            </w:r>
            <w:r w:rsidR="00B50F67">
              <w:t>paenia</w:t>
            </w:r>
          </w:p>
        </w:tc>
        <w:tc>
          <w:tcPr>
            <w:tcW w:w="1332" w:type="dxa"/>
            <w:tcBorders>
              <w:left w:val="single" w:sz="6" w:space="0" w:color="000000"/>
              <w:right w:val="single" w:sz="6" w:space="0" w:color="000000"/>
            </w:tcBorders>
            <w:shd w:val="clear" w:color="auto" w:fill="auto"/>
          </w:tcPr>
          <w:p w14:paraId="6BAD269A" w14:textId="77777777" w:rsidR="00DF61BC" w:rsidRPr="00C94C33" w:rsidRDefault="00DF61BC" w:rsidP="00C844C0">
            <w:pPr>
              <w:pStyle w:val="Tabletext"/>
            </w:pPr>
            <w:r w:rsidRPr="00C94C33">
              <w:t>156 (29.3)</w:t>
            </w:r>
          </w:p>
        </w:tc>
        <w:tc>
          <w:tcPr>
            <w:tcW w:w="1334" w:type="dxa"/>
            <w:tcBorders>
              <w:left w:val="single" w:sz="6" w:space="0" w:color="000000"/>
              <w:right w:val="single" w:sz="6" w:space="0" w:color="000000"/>
            </w:tcBorders>
            <w:shd w:val="clear" w:color="auto" w:fill="auto"/>
          </w:tcPr>
          <w:p w14:paraId="6CAECED0" w14:textId="77777777" w:rsidR="00DF61BC" w:rsidRPr="00C94C33" w:rsidRDefault="00DF61BC" w:rsidP="00C844C0">
            <w:pPr>
              <w:pStyle w:val="Tabletext"/>
            </w:pPr>
            <w:r w:rsidRPr="00C94C33">
              <w:t>107 (20.1)</w:t>
            </w:r>
          </w:p>
        </w:tc>
        <w:tc>
          <w:tcPr>
            <w:tcW w:w="1332" w:type="dxa"/>
            <w:tcBorders>
              <w:left w:val="single" w:sz="6" w:space="0" w:color="000000"/>
              <w:right w:val="single" w:sz="6" w:space="0" w:color="000000"/>
            </w:tcBorders>
            <w:shd w:val="clear" w:color="auto" w:fill="auto"/>
          </w:tcPr>
          <w:p w14:paraId="0940FEEC" w14:textId="77777777" w:rsidR="00DF61BC" w:rsidRPr="00C94C33" w:rsidRDefault="00DF61BC" w:rsidP="00C844C0">
            <w:pPr>
              <w:pStyle w:val="Tabletext"/>
            </w:pPr>
            <w:r w:rsidRPr="00C94C33">
              <w:t>0</w:t>
            </w:r>
          </w:p>
        </w:tc>
        <w:tc>
          <w:tcPr>
            <w:tcW w:w="1332" w:type="dxa"/>
            <w:tcBorders>
              <w:left w:val="single" w:sz="6" w:space="0" w:color="000000"/>
              <w:right w:val="single" w:sz="4" w:space="0" w:color="auto"/>
            </w:tcBorders>
            <w:shd w:val="clear" w:color="auto" w:fill="auto"/>
          </w:tcPr>
          <w:p w14:paraId="1D8052DE" w14:textId="77777777" w:rsidR="00DF61BC" w:rsidRPr="00C94C33" w:rsidRDefault="00DF61BC" w:rsidP="00C844C0">
            <w:pPr>
              <w:pStyle w:val="Tabletext"/>
            </w:pPr>
            <w:r w:rsidRPr="00C94C33">
              <w:t>0</w:t>
            </w:r>
          </w:p>
        </w:tc>
      </w:tr>
      <w:tr w:rsidR="00DF61BC" w:rsidRPr="00C94C33" w14:paraId="1FD3D14D" w14:textId="77777777" w:rsidTr="00983724">
        <w:trPr>
          <w:gridAfter w:val="1"/>
          <w:wAfter w:w="8" w:type="dxa"/>
          <w:trHeight w:hRule="exact" w:val="305"/>
        </w:trPr>
        <w:tc>
          <w:tcPr>
            <w:tcW w:w="4246" w:type="dxa"/>
            <w:gridSpan w:val="2"/>
            <w:tcBorders>
              <w:left w:val="single" w:sz="4" w:space="0" w:color="auto"/>
              <w:right w:val="single" w:sz="6" w:space="0" w:color="000000"/>
            </w:tcBorders>
            <w:shd w:val="clear" w:color="auto" w:fill="auto"/>
          </w:tcPr>
          <w:p w14:paraId="6351E69D" w14:textId="7EAA6994" w:rsidR="00DF61BC" w:rsidRPr="00C94C33" w:rsidRDefault="00DF61BC" w:rsidP="00C844C0">
            <w:pPr>
              <w:pStyle w:val="Tabletext"/>
            </w:pPr>
            <w:r w:rsidRPr="00C94C33">
              <w:t>Thrombocyto</w:t>
            </w:r>
            <w:r w:rsidR="00B50F67">
              <w:t>paenia</w:t>
            </w:r>
          </w:p>
        </w:tc>
        <w:tc>
          <w:tcPr>
            <w:tcW w:w="1332" w:type="dxa"/>
            <w:tcBorders>
              <w:left w:val="single" w:sz="6" w:space="0" w:color="000000"/>
              <w:right w:val="single" w:sz="6" w:space="0" w:color="000000"/>
            </w:tcBorders>
            <w:shd w:val="clear" w:color="auto" w:fill="auto"/>
          </w:tcPr>
          <w:p w14:paraId="5808F3E5" w14:textId="77777777" w:rsidR="00DF61BC" w:rsidRPr="00C94C33" w:rsidRDefault="00DF61BC" w:rsidP="00C844C0">
            <w:pPr>
              <w:pStyle w:val="Tabletext"/>
            </w:pPr>
            <w:r w:rsidRPr="00C94C33">
              <w:t>37 (6.9)</w:t>
            </w:r>
          </w:p>
        </w:tc>
        <w:tc>
          <w:tcPr>
            <w:tcW w:w="1334" w:type="dxa"/>
            <w:tcBorders>
              <w:left w:val="single" w:sz="6" w:space="0" w:color="000000"/>
              <w:right w:val="single" w:sz="6" w:space="0" w:color="000000"/>
            </w:tcBorders>
            <w:shd w:val="clear" w:color="auto" w:fill="auto"/>
          </w:tcPr>
          <w:p w14:paraId="6A817061" w14:textId="77777777" w:rsidR="00DF61BC" w:rsidRPr="00C94C33" w:rsidRDefault="00DF61BC" w:rsidP="00C844C0">
            <w:pPr>
              <w:pStyle w:val="Tabletext"/>
            </w:pPr>
            <w:r w:rsidRPr="00C94C33">
              <w:t>11 (2.1)</w:t>
            </w:r>
          </w:p>
        </w:tc>
        <w:tc>
          <w:tcPr>
            <w:tcW w:w="1332" w:type="dxa"/>
            <w:tcBorders>
              <w:left w:val="single" w:sz="6" w:space="0" w:color="000000"/>
              <w:right w:val="single" w:sz="6" w:space="0" w:color="000000"/>
            </w:tcBorders>
            <w:shd w:val="clear" w:color="auto" w:fill="auto"/>
          </w:tcPr>
          <w:p w14:paraId="02C1316D" w14:textId="77777777" w:rsidR="00DF61BC" w:rsidRPr="00C94C33" w:rsidRDefault="00DF61BC" w:rsidP="00C844C0">
            <w:pPr>
              <w:pStyle w:val="Tabletext"/>
            </w:pPr>
            <w:r w:rsidRPr="00C94C33">
              <w:t>1 (0.4)</w:t>
            </w:r>
          </w:p>
        </w:tc>
        <w:tc>
          <w:tcPr>
            <w:tcW w:w="1332" w:type="dxa"/>
            <w:tcBorders>
              <w:left w:val="single" w:sz="6" w:space="0" w:color="000000"/>
              <w:right w:val="single" w:sz="4" w:space="0" w:color="auto"/>
            </w:tcBorders>
            <w:shd w:val="clear" w:color="auto" w:fill="auto"/>
          </w:tcPr>
          <w:p w14:paraId="4891E38F" w14:textId="77777777" w:rsidR="00DF61BC" w:rsidRPr="00C94C33" w:rsidRDefault="00DF61BC" w:rsidP="00C844C0">
            <w:pPr>
              <w:pStyle w:val="Tabletext"/>
            </w:pPr>
            <w:r w:rsidRPr="00C94C33">
              <w:t>1 (0.4)</w:t>
            </w:r>
          </w:p>
        </w:tc>
      </w:tr>
      <w:tr w:rsidR="00DF61BC" w:rsidRPr="00C94C33" w14:paraId="7D1E6C66" w14:textId="77777777" w:rsidTr="00983724">
        <w:trPr>
          <w:gridAfter w:val="1"/>
          <w:wAfter w:w="8" w:type="dxa"/>
          <w:trHeight w:hRule="exact" w:val="305"/>
        </w:trPr>
        <w:tc>
          <w:tcPr>
            <w:tcW w:w="4246" w:type="dxa"/>
            <w:gridSpan w:val="2"/>
            <w:tcBorders>
              <w:left w:val="single" w:sz="4" w:space="0" w:color="auto"/>
              <w:right w:val="single" w:sz="6" w:space="0" w:color="000000"/>
            </w:tcBorders>
            <w:shd w:val="clear" w:color="auto" w:fill="auto"/>
          </w:tcPr>
          <w:p w14:paraId="1C11341E" w14:textId="6AA161BA" w:rsidR="00DF61BC" w:rsidRPr="00C94C33" w:rsidRDefault="00DF61BC" w:rsidP="00C844C0">
            <w:pPr>
              <w:pStyle w:val="Tabletext"/>
            </w:pPr>
            <w:r w:rsidRPr="00C94C33">
              <w:t>Leuko</w:t>
            </w:r>
            <w:r w:rsidR="00B50F67">
              <w:t>paenia</w:t>
            </w:r>
          </w:p>
        </w:tc>
        <w:tc>
          <w:tcPr>
            <w:tcW w:w="1332" w:type="dxa"/>
            <w:tcBorders>
              <w:left w:val="single" w:sz="6" w:space="0" w:color="000000"/>
              <w:right w:val="single" w:sz="6" w:space="0" w:color="000000"/>
            </w:tcBorders>
            <w:shd w:val="clear" w:color="auto" w:fill="auto"/>
          </w:tcPr>
          <w:p w14:paraId="5B091EC4" w14:textId="77777777" w:rsidR="00DF61BC" w:rsidRPr="00C94C33" w:rsidRDefault="00DF61BC" w:rsidP="00C844C0">
            <w:pPr>
              <w:pStyle w:val="Tabletext"/>
            </w:pPr>
            <w:r w:rsidRPr="00C94C33">
              <w:t>29 (5.4)</w:t>
            </w:r>
          </w:p>
        </w:tc>
        <w:tc>
          <w:tcPr>
            <w:tcW w:w="1334" w:type="dxa"/>
            <w:tcBorders>
              <w:left w:val="single" w:sz="6" w:space="0" w:color="000000"/>
              <w:right w:val="single" w:sz="6" w:space="0" w:color="000000"/>
            </w:tcBorders>
            <w:shd w:val="clear" w:color="auto" w:fill="auto"/>
          </w:tcPr>
          <w:p w14:paraId="07EE2411" w14:textId="77777777" w:rsidR="00DF61BC" w:rsidRPr="00C94C33" w:rsidRDefault="00DF61BC" w:rsidP="00C844C0">
            <w:pPr>
              <w:pStyle w:val="Tabletext"/>
            </w:pPr>
            <w:r w:rsidRPr="00C94C33">
              <w:t>13 (2.4)</w:t>
            </w:r>
          </w:p>
        </w:tc>
        <w:tc>
          <w:tcPr>
            <w:tcW w:w="1332" w:type="dxa"/>
            <w:tcBorders>
              <w:left w:val="single" w:sz="6" w:space="0" w:color="000000"/>
              <w:right w:val="single" w:sz="6" w:space="0" w:color="000000"/>
            </w:tcBorders>
            <w:shd w:val="clear" w:color="auto" w:fill="auto"/>
          </w:tcPr>
          <w:p w14:paraId="55EA5201" w14:textId="77777777" w:rsidR="00DF61BC" w:rsidRPr="00C94C33" w:rsidRDefault="00DF61BC" w:rsidP="00C844C0">
            <w:pPr>
              <w:pStyle w:val="Tabletext"/>
            </w:pPr>
            <w:r w:rsidRPr="00C94C33">
              <w:t>0</w:t>
            </w:r>
          </w:p>
        </w:tc>
        <w:tc>
          <w:tcPr>
            <w:tcW w:w="1332" w:type="dxa"/>
            <w:tcBorders>
              <w:left w:val="single" w:sz="6" w:space="0" w:color="000000"/>
              <w:right w:val="single" w:sz="4" w:space="0" w:color="auto"/>
            </w:tcBorders>
            <w:shd w:val="clear" w:color="auto" w:fill="auto"/>
          </w:tcPr>
          <w:p w14:paraId="1958C230" w14:textId="77777777" w:rsidR="00DF61BC" w:rsidRPr="00C94C33" w:rsidRDefault="00DF61BC" w:rsidP="00C844C0">
            <w:pPr>
              <w:pStyle w:val="Tabletext"/>
            </w:pPr>
            <w:r w:rsidRPr="00C94C33">
              <w:t>0</w:t>
            </w:r>
          </w:p>
        </w:tc>
      </w:tr>
      <w:tr w:rsidR="00DF61BC" w:rsidRPr="00C94C33" w14:paraId="4CE00B6B" w14:textId="77777777" w:rsidTr="00983724">
        <w:trPr>
          <w:gridAfter w:val="1"/>
          <w:wAfter w:w="8" w:type="dxa"/>
          <w:trHeight w:hRule="exact" w:val="305"/>
        </w:trPr>
        <w:tc>
          <w:tcPr>
            <w:tcW w:w="4246" w:type="dxa"/>
            <w:gridSpan w:val="2"/>
            <w:tcBorders>
              <w:left w:val="single" w:sz="4" w:space="0" w:color="auto"/>
              <w:bottom w:val="single" w:sz="7" w:space="0" w:color="000000"/>
              <w:right w:val="single" w:sz="6" w:space="0" w:color="000000"/>
            </w:tcBorders>
            <w:shd w:val="clear" w:color="auto" w:fill="auto"/>
          </w:tcPr>
          <w:p w14:paraId="13317167" w14:textId="4C2F0C4A" w:rsidR="00DF61BC" w:rsidRPr="00C94C33" w:rsidRDefault="00DF61BC" w:rsidP="00C844C0">
            <w:pPr>
              <w:pStyle w:val="Tabletext"/>
            </w:pPr>
            <w:r w:rsidRPr="00C94C33">
              <w:t>Febrile neutro</w:t>
            </w:r>
            <w:r w:rsidR="00B50F67">
              <w:t>paenia</w:t>
            </w:r>
          </w:p>
        </w:tc>
        <w:tc>
          <w:tcPr>
            <w:tcW w:w="1332" w:type="dxa"/>
            <w:tcBorders>
              <w:left w:val="single" w:sz="6" w:space="0" w:color="000000"/>
              <w:bottom w:val="single" w:sz="7" w:space="0" w:color="000000"/>
              <w:right w:val="single" w:sz="6" w:space="0" w:color="000000"/>
            </w:tcBorders>
            <w:shd w:val="clear" w:color="auto" w:fill="auto"/>
          </w:tcPr>
          <w:p w14:paraId="6AD84911" w14:textId="77777777" w:rsidR="00DF61BC" w:rsidRPr="00C94C33" w:rsidRDefault="00DF61BC" w:rsidP="00C844C0">
            <w:pPr>
              <w:pStyle w:val="Tabletext"/>
            </w:pPr>
            <w:r w:rsidRPr="00C94C33">
              <w:t xml:space="preserve">20 (3.8) </w:t>
            </w:r>
          </w:p>
        </w:tc>
        <w:tc>
          <w:tcPr>
            <w:tcW w:w="1334" w:type="dxa"/>
            <w:tcBorders>
              <w:left w:val="single" w:sz="6" w:space="0" w:color="000000"/>
              <w:bottom w:val="single" w:sz="7" w:space="0" w:color="000000"/>
              <w:right w:val="single" w:sz="6" w:space="0" w:color="000000"/>
            </w:tcBorders>
            <w:shd w:val="clear" w:color="auto" w:fill="auto"/>
          </w:tcPr>
          <w:p w14:paraId="06780A6A" w14:textId="77777777" w:rsidR="00DF61BC" w:rsidRPr="00C94C33" w:rsidRDefault="00DF61BC" w:rsidP="00C844C0">
            <w:pPr>
              <w:pStyle w:val="Tabletext"/>
            </w:pPr>
            <w:r w:rsidRPr="00C94C33">
              <w:t>20 (3.8)</w:t>
            </w:r>
          </w:p>
        </w:tc>
        <w:tc>
          <w:tcPr>
            <w:tcW w:w="1332" w:type="dxa"/>
            <w:tcBorders>
              <w:left w:val="single" w:sz="6" w:space="0" w:color="000000"/>
              <w:bottom w:val="single" w:sz="7" w:space="0" w:color="000000"/>
              <w:right w:val="single" w:sz="6" w:space="0" w:color="000000"/>
            </w:tcBorders>
            <w:shd w:val="clear" w:color="auto" w:fill="auto"/>
          </w:tcPr>
          <w:p w14:paraId="46343416" w14:textId="77777777" w:rsidR="00DF61BC" w:rsidRPr="00C94C33" w:rsidRDefault="00DF61BC" w:rsidP="00C844C0">
            <w:pPr>
              <w:pStyle w:val="Tabletext"/>
            </w:pPr>
            <w:r w:rsidRPr="00C94C33">
              <w:t>0</w:t>
            </w:r>
          </w:p>
        </w:tc>
        <w:tc>
          <w:tcPr>
            <w:tcW w:w="1332" w:type="dxa"/>
            <w:tcBorders>
              <w:left w:val="single" w:sz="6" w:space="0" w:color="000000"/>
              <w:bottom w:val="single" w:sz="7" w:space="0" w:color="000000"/>
              <w:right w:val="single" w:sz="4" w:space="0" w:color="auto"/>
            </w:tcBorders>
            <w:shd w:val="clear" w:color="auto" w:fill="auto"/>
          </w:tcPr>
          <w:p w14:paraId="5BBF16F1" w14:textId="77777777" w:rsidR="00DF61BC" w:rsidRPr="00C94C33" w:rsidRDefault="00DF61BC" w:rsidP="00C844C0">
            <w:pPr>
              <w:pStyle w:val="Tabletext"/>
            </w:pPr>
            <w:r w:rsidRPr="00C94C33">
              <w:t>0</w:t>
            </w:r>
          </w:p>
        </w:tc>
      </w:tr>
      <w:tr w:rsidR="00DF61BC" w:rsidRPr="00C94C33" w14:paraId="2BDBEC6C" w14:textId="77777777" w:rsidTr="00983724">
        <w:trPr>
          <w:gridAfter w:val="1"/>
          <w:wAfter w:w="8" w:type="dxa"/>
          <w:trHeight w:hRule="exact" w:val="305"/>
        </w:trPr>
        <w:tc>
          <w:tcPr>
            <w:tcW w:w="4246" w:type="dxa"/>
            <w:gridSpan w:val="2"/>
            <w:tcBorders>
              <w:top w:val="single" w:sz="7" w:space="0" w:color="000000"/>
              <w:left w:val="single" w:sz="4" w:space="0" w:color="auto"/>
              <w:right w:val="single" w:sz="6" w:space="0" w:color="000000"/>
            </w:tcBorders>
            <w:shd w:val="clear" w:color="auto" w:fill="auto"/>
          </w:tcPr>
          <w:p w14:paraId="4A22E8FA" w14:textId="77777777" w:rsidR="00DF61BC" w:rsidRPr="00C844C0" w:rsidRDefault="00DF61BC" w:rsidP="00C844C0">
            <w:pPr>
              <w:pStyle w:val="Tabletext"/>
              <w:rPr>
                <w:b/>
              </w:rPr>
            </w:pPr>
            <w:r w:rsidRPr="00C844C0">
              <w:rPr>
                <w:b/>
              </w:rPr>
              <w:t>AEs resulting</w:t>
            </w:r>
            <w:r w:rsidRPr="00C844C0">
              <w:rPr>
                <w:b/>
                <w:spacing w:val="-2"/>
              </w:rPr>
              <w:t xml:space="preserve"> </w:t>
            </w:r>
            <w:r w:rsidRPr="00C844C0">
              <w:rPr>
                <w:b/>
              </w:rPr>
              <w:t>in treatment discontinuation</w:t>
            </w:r>
          </w:p>
        </w:tc>
        <w:tc>
          <w:tcPr>
            <w:tcW w:w="1332" w:type="dxa"/>
            <w:tcBorders>
              <w:top w:val="single" w:sz="7" w:space="0" w:color="000000"/>
              <w:left w:val="single" w:sz="6" w:space="0" w:color="000000"/>
              <w:right w:val="single" w:sz="6" w:space="0" w:color="000000"/>
            </w:tcBorders>
            <w:shd w:val="clear" w:color="auto" w:fill="auto"/>
          </w:tcPr>
          <w:p w14:paraId="3850A83F" w14:textId="77777777" w:rsidR="00DF61BC" w:rsidRPr="00C94C33" w:rsidRDefault="00DF61BC" w:rsidP="00C844C0">
            <w:pPr>
              <w:pStyle w:val="Tabletext"/>
            </w:pPr>
            <w:r w:rsidRPr="00C94C33">
              <w:t>3 (0.6)</w:t>
            </w:r>
          </w:p>
        </w:tc>
        <w:tc>
          <w:tcPr>
            <w:tcW w:w="1334" w:type="dxa"/>
            <w:tcBorders>
              <w:top w:val="single" w:sz="7" w:space="0" w:color="000000"/>
              <w:left w:val="single" w:sz="6" w:space="0" w:color="000000"/>
              <w:right w:val="single" w:sz="6" w:space="0" w:color="000000"/>
            </w:tcBorders>
            <w:shd w:val="clear" w:color="auto" w:fill="auto"/>
          </w:tcPr>
          <w:p w14:paraId="0953422C" w14:textId="77777777" w:rsidR="00DF61BC" w:rsidRPr="00C94C33" w:rsidRDefault="00DF61BC" w:rsidP="00C844C0">
            <w:pPr>
              <w:pStyle w:val="Tabletext"/>
            </w:pPr>
            <w:r w:rsidRPr="00C94C33">
              <w:t>3 (0.6)</w:t>
            </w:r>
          </w:p>
        </w:tc>
        <w:tc>
          <w:tcPr>
            <w:tcW w:w="1332" w:type="dxa"/>
            <w:tcBorders>
              <w:top w:val="single" w:sz="7" w:space="0" w:color="000000"/>
              <w:left w:val="single" w:sz="6" w:space="0" w:color="000000"/>
              <w:right w:val="single" w:sz="6" w:space="0" w:color="000000"/>
            </w:tcBorders>
            <w:shd w:val="clear" w:color="auto" w:fill="auto"/>
          </w:tcPr>
          <w:p w14:paraId="5A1E37D2" w14:textId="77777777" w:rsidR="00DF61BC" w:rsidRPr="00C94C33" w:rsidRDefault="00DF61BC" w:rsidP="00C844C0">
            <w:pPr>
              <w:pStyle w:val="Tabletext"/>
            </w:pPr>
            <w:r w:rsidRPr="00C94C33">
              <w:t>0</w:t>
            </w:r>
          </w:p>
        </w:tc>
        <w:tc>
          <w:tcPr>
            <w:tcW w:w="1332" w:type="dxa"/>
            <w:tcBorders>
              <w:top w:val="single" w:sz="7" w:space="0" w:color="000000"/>
              <w:left w:val="single" w:sz="6" w:space="0" w:color="000000"/>
              <w:right w:val="single" w:sz="4" w:space="0" w:color="auto"/>
            </w:tcBorders>
            <w:shd w:val="clear" w:color="auto" w:fill="auto"/>
          </w:tcPr>
          <w:p w14:paraId="54506913" w14:textId="77777777" w:rsidR="00DF61BC" w:rsidRPr="00C94C33" w:rsidRDefault="00DF61BC" w:rsidP="00C844C0">
            <w:pPr>
              <w:pStyle w:val="Tabletext"/>
            </w:pPr>
            <w:r w:rsidRPr="00C94C33">
              <w:t>0</w:t>
            </w:r>
          </w:p>
        </w:tc>
      </w:tr>
      <w:tr w:rsidR="00DF61BC" w:rsidRPr="00C94C33" w14:paraId="43AAA46E" w14:textId="77777777" w:rsidTr="00983724">
        <w:trPr>
          <w:gridAfter w:val="1"/>
          <w:wAfter w:w="8" w:type="dxa"/>
          <w:trHeight w:hRule="exact" w:val="306"/>
        </w:trPr>
        <w:tc>
          <w:tcPr>
            <w:tcW w:w="4246" w:type="dxa"/>
            <w:gridSpan w:val="2"/>
            <w:tcBorders>
              <w:left w:val="single" w:sz="4" w:space="0" w:color="auto"/>
              <w:right w:val="single" w:sz="6" w:space="0" w:color="000000"/>
            </w:tcBorders>
            <w:shd w:val="clear" w:color="auto" w:fill="auto"/>
          </w:tcPr>
          <w:p w14:paraId="2F09C201" w14:textId="0FAE8157" w:rsidR="00DF61BC" w:rsidRPr="00C94C33" w:rsidRDefault="00DF61BC" w:rsidP="00C844C0">
            <w:pPr>
              <w:pStyle w:val="Tabletext"/>
            </w:pPr>
            <w:r w:rsidRPr="00C94C33">
              <w:t>Anaemia</w:t>
            </w:r>
          </w:p>
        </w:tc>
        <w:tc>
          <w:tcPr>
            <w:tcW w:w="1332" w:type="dxa"/>
            <w:tcBorders>
              <w:left w:val="single" w:sz="6" w:space="0" w:color="000000"/>
              <w:right w:val="single" w:sz="6" w:space="0" w:color="000000"/>
            </w:tcBorders>
            <w:shd w:val="clear" w:color="auto" w:fill="auto"/>
          </w:tcPr>
          <w:p w14:paraId="246460E1" w14:textId="77777777" w:rsidR="00DF61BC" w:rsidRPr="00C94C33" w:rsidRDefault="00DF61BC" w:rsidP="00C844C0">
            <w:pPr>
              <w:pStyle w:val="Tabletext"/>
            </w:pPr>
            <w:r w:rsidRPr="00C94C33">
              <w:t>2 (0.4)</w:t>
            </w:r>
          </w:p>
        </w:tc>
        <w:tc>
          <w:tcPr>
            <w:tcW w:w="1334" w:type="dxa"/>
            <w:tcBorders>
              <w:left w:val="single" w:sz="6" w:space="0" w:color="000000"/>
              <w:right w:val="single" w:sz="6" w:space="0" w:color="000000"/>
            </w:tcBorders>
            <w:shd w:val="clear" w:color="auto" w:fill="auto"/>
          </w:tcPr>
          <w:p w14:paraId="39E55A46" w14:textId="77777777" w:rsidR="00DF61BC" w:rsidRPr="00C94C33" w:rsidRDefault="00DF61BC" w:rsidP="00C844C0">
            <w:pPr>
              <w:pStyle w:val="Tabletext"/>
            </w:pPr>
            <w:r w:rsidRPr="00C94C33">
              <w:t>2 (0.4)</w:t>
            </w:r>
          </w:p>
        </w:tc>
        <w:tc>
          <w:tcPr>
            <w:tcW w:w="1332" w:type="dxa"/>
            <w:tcBorders>
              <w:left w:val="single" w:sz="6" w:space="0" w:color="000000"/>
              <w:right w:val="single" w:sz="6" w:space="0" w:color="000000"/>
            </w:tcBorders>
            <w:shd w:val="clear" w:color="auto" w:fill="auto"/>
          </w:tcPr>
          <w:p w14:paraId="2EC514A9" w14:textId="77777777" w:rsidR="00DF61BC" w:rsidRPr="00C94C33" w:rsidRDefault="00DF61BC" w:rsidP="00C844C0">
            <w:pPr>
              <w:pStyle w:val="Tabletext"/>
            </w:pPr>
            <w:r w:rsidRPr="00C94C33">
              <w:t>0</w:t>
            </w:r>
          </w:p>
        </w:tc>
        <w:tc>
          <w:tcPr>
            <w:tcW w:w="1332" w:type="dxa"/>
            <w:tcBorders>
              <w:left w:val="single" w:sz="6" w:space="0" w:color="000000"/>
              <w:right w:val="single" w:sz="4" w:space="0" w:color="auto"/>
            </w:tcBorders>
            <w:shd w:val="clear" w:color="auto" w:fill="auto"/>
          </w:tcPr>
          <w:p w14:paraId="59B65A14" w14:textId="77777777" w:rsidR="00DF61BC" w:rsidRPr="00C94C33" w:rsidRDefault="00DF61BC" w:rsidP="00C844C0">
            <w:pPr>
              <w:pStyle w:val="Tabletext"/>
            </w:pPr>
            <w:r w:rsidRPr="00C94C33">
              <w:t>0</w:t>
            </w:r>
          </w:p>
        </w:tc>
      </w:tr>
      <w:tr w:rsidR="00DF61BC" w:rsidRPr="00C94C33" w14:paraId="22ED4217" w14:textId="77777777" w:rsidTr="00983724">
        <w:trPr>
          <w:gridAfter w:val="1"/>
          <w:wAfter w:w="8" w:type="dxa"/>
          <w:trHeight w:hRule="exact" w:val="305"/>
        </w:trPr>
        <w:tc>
          <w:tcPr>
            <w:tcW w:w="4246" w:type="dxa"/>
            <w:gridSpan w:val="2"/>
            <w:tcBorders>
              <w:left w:val="single" w:sz="4" w:space="0" w:color="auto"/>
              <w:right w:val="single" w:sz="6" w:space="0" w:color="000000"/>
            </w:tcBorders>
            <w:shd w:val="clear" w:color="auto" w:fill="auto"/>
          </w:tcPr>
          <w:p w14:paraId="0472F0C6" w14:textId="273A309A" w:rsidR="00DF61BC" w:rsidRPr="00C94C33" w:rsidRDefault="00DF61BC" w:rsidP="00C844C0">
            <w:pPr>
              <w:pStyle w:val="Tabletext"/>
            </w:pPr>
            <w:r w:rsidRPr="00C94C33">
              <w:t>Disseminated intravascular coagulation</w:t>
            </w:r>
          </w:p>
        </w:tc>
        <w:tc>
          <w:tcPr>
            <w:tcW w:w="1332" w:type="dxa"/>
            <w:tcBorders>
              <w:left w:val="single" w:sz="6" w:space="0" w:color="000000"/>
              <w:right w:val="single" w:sz="6" w:space="0" w:color="000000"/>
            </w:tcBorders>
            <w:shd w:val="clear" w:color="auto" w:fill="auto"/>
          </w:tcPr>
          <w:p w14:paraId="488B831E" w14:textId="77777777" w:rsidR="00DF61BC" w:rsidRPr="00C94C33" w:rsidRDefault="00DF61BC" w:rsidP="00C844C0">
            <w:pPr>
              <w:pStyle w:val="Tabletext"/>
            </w:pPr>
            <w:r w:rsidRPr="00C94C33">
              <w:t>1 (0.2)</w:t>
            </w:r>
          </w:p>
        </w:tc>
        <w:tc>
          <w:tcPr>
            <w:tcW w:w="1334" w:type="dxa"/>
            <w:tcBorders>
              <w:left w:val="single" w:sz="6" w:space="0" w:color="000000"/>
              <w:right w:val="single" w:sz="6" w:space="0" w:color="000000"/>
            </w:tcBorders>
            <w:shd w:val="clear" w:color="auto" w:fill="auto"/>
          </w:tcPr>
          <w:p w14:paraId="2B31EFAA" w14:textId="77777777" w:rsidR="00DF61BC" w:rsidRPr="00C94C33" w:rsidRDefault="00DF61BC" w:rsidP="00C844C0">
            <w:pPr>
              <w:pStyle w:val="Tabletext"/>
            </w:pPr>
            <w:r w:rsidRPr="00C94C33">
              <w:t>1 (0.2)</w:t>
            </w:r>
          </w:p>
        </w:tc>
        <w:tc>
          <w:tcPr>
            <w:tcW w:w="1332" w:type="dxa"/>
            <w:tcBorders>
              <w:left w:val="single" w:sz="6" w:space="0" w:color="000000"/>
              <w:right w:val="single" w:sz="6" w:space="0" w:color="000000"/>
            </w:tcBorders>
            <w:shd w:val="clear" w:color="auto" w:fill="auto"/>
          </w:tcPr>
          <w:p w14:paraId="35C41776" w14:textId="77777777" w:rsidR="00DF61BC" w:rsidRPr="00C94C33" w:rsidRDefault="00DF61BC" w:rsidP="00C844C0">
            <w:pPr>
              <w:pStyle w:val="Tabletext"/>
            </w:pPr>
            <w:r w:rsidRPr="00C94C33">
              <w:t>0</w:t>
            </w:r>
          </w:p>
        </w:tc>
        <w:tc>
          <w:tcPr>
            <w:tcW w:w="1332" w:type="dxa"/>
            <w:tcBorders>
              <w:left w:val="single" w:sz="6" w:space="0" w:color="000000"/>
              <w:right w:val="single" w:sz="4" w:space="0" w:color="auto"/>
            </w:tcBorders>
            <w:shd w:val="clear" w:color="auto" w:fill="auto"/>
          </w:tcPr>
          <w:p w14:paraId="3EC4E761" w14:textId="77777777" w:rsidR="00DF61BC" w:rsidRPr="00C94C33" w:rsidRDefault="00DF61BC" w:rsidP="00C844C0">
            <w:pPr>
              <w:pStyle w:val="Tabletext"/>
            </w:pPr>
            <w:r w:rsidRPr="00C94C33">
              <w:t>0</w:t>
            </w:r>
          </w:p>
        </w:tc>
      </w:tr>
      <w:tr w:rsidR="00DF61BC" w:rsidRPr="00C94C33" w14:paraId="364CCBEC" w14:textId="77777777" w:rsidTr="00983724">
        <w:trPr>
          <w:gridAfter w:val="1"/>
          <w:wAfter w:w="8" w:type="dxa"/>
          <w:trHeight w:hRule="exact" w:val="305"/>
        </w:trPr>
        <w:tc>
          <w:tcPr>
            <w:tcW w:w="4246" w:type="dxa"/>
            <w:gridSpan w:val="2"/>
            <w:tcBorders>
              <w:left w:val="single" w:sz="4" w:space="0" w:color="auto"/>
              <w:bottom w:val="single" w:sz="7" w:space="0" w:color="000000"/>
              <w:right w:val="single" w:sz="6" w:space="0" w:color="000000"/>
            </w:tcBorders>
            <w:shd w:val="clear" w:color="auto" w:fill="auto"/>
          </w:tcPr>
          <w:p w14:paraId="030D3BA2" w14:textId="09A670C9" w:rsidR="00DF61BC" w:rsidRPr="00C94C33" w:rsidRDefault="00DF61BC" w:rsidP="00C844C0">
            <w:pPr>
              <w:pStyle w:val="Tabletext"/>
            </w:pPr>
            <w:r w:rsidRPr="00C94C33">
              <w:t>Neutro</w:t>
            </w:r>
            <w:r w:rsidR="00B50F67">
              <w:t>paenia</w:t>
            </w:r>
          </w:p>
        </w:tc>
        <w:tc>
          <w:tcPr>
            <w:tcW w:w="1332" w:type="dxa"/>
            <w:tcBorders>
              <w:left w:val="single" w:sz="6" w:space="0" w:color="000000"/>
              <w:bottom w:val="single" w:sz="7" w:space="0" w:color="000000"/>
              <w:right w:val="single" w:sz="6" w:space="0" w:color="000000"/>
            </w:tcBorders>
            <w:shd w:val="clear" w:color="auto" w:fill="auto"/>
          </w:tcPr>
          <w:p w14:paraId="2DB57013" w14:textId="77777777" w:rsidR="00DF61BC" w:rsidRPr="00C94C33" w:rsidRDefault="00DF61BC" w:rsidP="00C844C0">
            <w:pPr>
              <w:pStyle w:val="Tabletext"/>
            </w:pPr>
            <w:r w:rsidRPr="00C94C33">
              <w:t>1 (0.2)</w:t>
            </w:r>
          </w:p>
        </w:tc>
        <w:tc>
          <w:tcPr>
            <w:tcW w:w="1334" w:type="dxa"/>
            <w:tcBorders>
              <w:left w:val="single" w:sz="6" w:space="0" w:color="000000"/>
              <w:bottom w:val="single" w:sz="7" w:space="0" w:color="000000"/>
              <w:right w:val="single" w:sz="6" w:space="0" w:color="000000"/>
            </w:tcBorders>
            <w:shd w:val="clear" w:color="auto" w:fill="auto"/>
          </w:tcPr>
          <w:p w14:paraId="2499418D" w14:textId="77777777" w:rsidR="00DF61BC" w:rsidRPr="00C94C33" w:rsidRDefault="00DF61BC" w:rsidP="00C844C0">
            <w:pPr>
              <w:pStyle w:val="Tabletext"/>
            </w:pPr>
            <w:r w:rsidRPr="00C94C33">
              <w:t>1 (0.2)</w:t>
            </w:r>
          </w:p>
        </w:tc>
        <w:tc>
          <w:tcPr>
            <w:tcW w:w="1332" w:type="dxa"/>
            <w:tcBorders>
              <w:left w:val="single" w:sz="6" w:space="0" w:color="000000"/>
              <w:bottom w:val="single" w:sz="7" w:space="0" w:color="000000"/>
              <w:right w:val="single" w:sz="6" w:space="0" w:color="000000"/>
            </w:tcBorders>
            <w:shd w:val="clear" w:color="auto" w:fill="auto"/>
          </w:tcPr>
          <w:p w14:paraId="267494FE" w14:textId="77777777" w:rsidR="00DF61BC" w:rsidRPr="00C94C33" w:rsidRDefault="00DF61BC" w:rsidP="00C844C0">
            <w:pPr>
              <w:pStyle w:val="Tabletext"/>
            </w:pPr>
            <w:r w:rsidRPr="00C94C33">
              <w:t>0</w:t>
            </w:r>
          </w:p>
        </w:tc>
        <w:tc>
          <w:tcPr>
            <w:tcW w:w="1332" w:type="dxa"/>
            <w:tcBorders>
              <w:left w:val="single" w:sz="6" w:space="0" w:color="000000"/>
              <w:bottom w:val="single" w:sz="7" w:space="0" w:color="000000"/>
              <w:right w:val="single" w:sz="4" w:space="0" w:color="auto"/>
            </w:tcBorders>
            <w:shd w:val="clear" w:color="auto" w:fill="auto"/>
          </w:tcPr>
          <w:p w14:paraId="618494C9" w14:textId="77777777" w:rsidR="00DF61BC" w:rsidRPr="00C94C33" w:rsidRDefault="00DF61BC" w:rsidP="00C844C0">
            <w:pPr>
              <w:pStyle w:val="Tabletext"/>
            </w:pPr>
            <w:r w:rsidRPr="00C94C33">
              <w:t>0</w:t>
            </w:r>
          </w:p>
        </w:tc>
      </w:tr>
      <w:tr w:rsidR="00DF61BC" w:rsidRPr="00C94C33" w14:paraId="645B18C6" w14:textId="77777777" w:rsidTr="00983724">
        <w:trPr>
          <w:gridAfter w:val="1"/>
          <w:wAfter w:w="8" w:type="dxa"/>
          <w:trHeight w:hRule="exact" w:val="305"/>
        </w:trPr>
        <w:tc>
          <w:tcPr>
            <w:tcW w:w="4246" w:type="dxa"/>
            <w:gridSpan w:val="2"/>
            <w:tcBorders>
              <w:top w:val="single" w:sz="7" w:space="0" w:color="000000"/>
              <w:left w:val="single" w:sz="4" w:space="0" w:color="auto"/>
              <w:right w:val="single" w:sz="6" w:space="0" w:color="000000"/>
            </w:tcBorders>
            <w:shd w:val="clear" w:color="auto" w:fill="auto"/>
          </w:tcPr>
          <w:p w14:paraId="3B37DB9A" w14:textId="77777777" w:rsidR="00DF61BC" w:rsidRPr="00C844C0" w:rsidRDefault="00DF61BC" w:rsidP="00C844C0">
            <w:pPr>
              <w:pStyle w:val="Tabletext"/>
              <w:rPr>
                <w:b/>
              </w:rPr>
            </w:pPr>
            <w:r w:rsidRPr="00C844C0">
              <w:rPr>
                <w:b/>
              </w:rPr>
              <w:t>Fatal AEs</w:t>
            </w:r>
          </w:p>
        </w:tc>
        <w:tc>
          <w:tcPr>
            <w:tcW w:w="1332" w:type="dxa"/>
            <w:tcBorders>
              <w:top w:val="single" w:sz="7" w:space="0" w:color="000000"/>
              <w:left w:val="single" w:sz="6" w:space="0" w:color="000000"/>
              <w:right w:val="single" w:sz="6" w:space="0" w:color="000000"/>
            </w:tcBorders>
            <w:shd w:val="clear" w:color="auto" w:fill="auto"/>
          </w:tcPr>
          <w:p w14:paraId="68F065A1" w14:textId="77777777" w:rsidR="00DF61BC" w:rsidRPr="00C94C33" w:rsidRDefault="00DF61BC" w:rsidP="00C844C0">
            <w:pPr>
              <w:pStyle w:val="Tabletext"/>
            </w:pPr>
            <w:r w:rsidRPr="00C94C33">
              <w:t>1 (0.2)</w:t>
            </w:r>
          </w:p>
        </w:tc>
        <w:tc>
          <w:tcPr>
            <w:tcW w:w="1334" w:type="dxa"/>
            <w:tcBorders>
              <w:top w:val="single" w:sz="7" w:space="0" w:color="000000"/>
              <w:left w:val="single" w:sz="6" w:space="0" w:color="000000"/>
              <w:right w:val="single" w:sz="6" w:space="0" w:color="000000"/>
            </w:tcBorders>
            <w:shd w:val="clear" w:color="auto" w:fill="auto"/>
          </w:tcPr>
          <w:p w14:paraId="6977C4A7" w14:textId="77777777" w:rsidR="00DF61BC" w:rsidRPr="00C94C33" w:rsidRDefault="00DF61BC" w:rsidP="00C844C0">
            <w:pPr>
              <w:pStyle w:val="Tabletext"/>
            </w:pPr>
            <w:r w:rsidRPr="00C94C33">
              <w:t>1 (0.2)</w:t>
            </w:r>
          </w:p>
        </w:tc>
        <w:tc>
          <w:tcPr>
            <w:tcW w:w="1332" w:type="dxa"/>
            <w:tcBorders>
              <w:top w:val="single" w:sz="7" w:space="0" w:color="000000"/>
              <w:left w:val="single" w:sz="6" w:space="0" w:color="000000"/>
              <w:right w:val="single" w:sz="6" w:space="0" w:color="000000"/>
            </w:tcBorders>
            <w:shd w:val="clear" w:color="auto" w:fill="auto"/>
          </w:tcPr>
          <w:p w14:paraId="32C01B7A" w14:textId="77777777" w:rsidR="00DF61BC" w:rsidRPr="00C94C33" w:rsidRDefault="00DF61BC" w:rsidP="00C844C0">
            <w:pPr>
              <w:pStyle w:val="Tabletext"/>
            </w:pPr>
            <w:r w:rsidRPr="00C94C33">
              <w:t>0</w:t>
            </w:r>
          </w:p>
        </w:tc>
        <w:tc>
          <w:tcPr>
            <w:tcW w:w="1332" w:type="dxa"/>
            <w:tcBorders>
              <w:top w:val="single" w:sz="7" w:space="0" w:color="000000"/>
              <w:left w:val="single" w:sz="6" w:space="0" w:color="000000"/>
              <w:right w:val="single" w:sz="4" w:space="0" w:color="auto"/>
            </w:tcBorders>
            <w:shd w:val="clear" w:color="auto" w:fill="auto"/>
          </w:tcPr>
          <w:p w14:paraId="0EEAE4E0" w14:textId="77777777" w:rsidR="00DF61BC" w:rsidRPr="00C94C33" w:rsidRDefault="00DF61BC" w:rsidP="00C844C0">
            <w:pPr>
              <w:pStyle w:val="Tabletext"/>
            </w:pPr>
            <w:r w:rsidRPr="00C94C33">
              <w:t>0</w:t>
            </w:r>
          </w:p>
        </w:tc>
      </w:tr>
      <w:tr w:rsidR="00DF61BC" w:rsidRPr="00C94C33" w14:paraId="2316D562" w14:textId="77777777" w:rsidTr="00983724">
        <w:trPr>
          <w:gridAfter w:val="1"/>
          <w:wAfter w:w="8" w:type="dxa"/>
          <w:trHeight w:hRule="exact" w:val="304"/>
        </w:trPr>
        <w:tc>
          <w:tcPr>
            <w:tcW w:w="4246" w:type="dxa"/>
            <w:gridSpan w:val="2"/>
            <w:tcBorders>
              <w:left w:val="single" w:sz="4" w:space="0" w:color="auto"/>
              <w:bottom w:val="single" w:sz="6" w:space="0" w:color="000000"/>
              <w:right w:val="single" w:sz="6" w:space="0" w:color="000000"/>
            </w:tcBorders>
            <w:shd w:val="clear" w:color="auto" w:fill="auto"/>
          </w:tcPr>
          <w:p w14:paraId="15D25500" w14:textId="0ACAEDE4" w:rsidR="00DF61BC" w:rsidRPr="00C94C33" w:rsidRDefault="00DF61BC" w:rsidP="00C844C0">
            <w:pPr>
              <w:pStyle w:val="Tabletext"/>
            </w:pPr>
            <w:r w:rsidRPr="00C94C33">
              <w:t>Septic shock</w:t>
            </w:r>
          </w:p>
        </w:tc>
        <w:tc>
          <w:tcPr>
            <w:tcW w:w="1332" w:type="dxa"/>
            <w:tcBorders>
              <w:left w:val="single" w:sz="6" w:space="0" w:color="000000"/>
              <w:bottom w:val="single" w:sz="6" w:space="0" w:color="000000"/>
              <w:right w:val="single" w:sz="6" w:space="0" w:color="000000"/>
            </w:tcBorders>
            <w:shd w:val="clear" w:color="auto" w:fill="auto"/>
          </w:tcPr>
          <w:p w14:paraId="41139826" w14:textId="77777777" w:rsidR="00DF61BC" w:rsidRPr="00C94C33" w:rsidRDefault="00DF61BC" w:rsidP="00C844C0">
            <w:pPr>
              <w:pStyle w:val="Tabletext"/>
            </w:pPr>
            <w:r w:rsidRPr="00C94C33">
              <w:t>1 (0.2)</w:t>
            </w:r>
          </w:p>
        </w:tc>
        <w:tc>
          <w:tcPr>
            <w:tcW w:w="1334" w:type="dxa"/>
            <w:tcBorders>
              <w:left w:val="single" w:sz="6" w:space="0" w:color="000000"/>
              <w:bottom w:val="single" w:sz="6" w:space="0" w:color="000000"/>
              <w:right w:val="single" w:sz="6" w:space="0" w:color="000000"/>
            </w:tcBorders>
            <w:shd w:val="clear" w:color="auto" w:fill="auto"/>
          </w:tcPr>
          <w:p w14:paraId="27C0B7A8" w14:textId="77777777" w:rsidR="00DF61BC" w:rsidRPr="00C94C33" w:rsidRDefault="00DF61BC" w:rsidP="00C844C0">
            <w:pPr>
              <w:pStyle w:val="Tabletext"/>
            </w:pPr>
            <w:r w:rsidRPr="00C94C33">
              <w:t>1 (0.2)</w:t>
            </w:r>
          </w:p>
        </w:tc>
        <w:tc>
          <w:tcPr>
            <w:tcW w:w="1332" w:type="dxa"/>
            <w:tcBorders>
              <w:left w:val="single" w:sz="6" w:space="0" w:color="000000"/>
              <w:bottom w:val="single" w:sz="6" w:space="0" w:color="000000"/>
              <w:right w:val="single" w:sz="6" w:space="0" w:color="000000"/>
            </w:tcBorders>
            <w:shd w:val="clear" w:color="auto" w:fill="auto"/>
          </w:tcPr>
          <w:p w14:paraId="2752774F" w14:textId="77777777" w:rsidR="00DF61BC" w:rsidRPr="00C94C33" w:rsidRDefault="00DF61BC" w:rsidP="00C844C0">
            <w:pPr>
              <w:pStyle w:val="Tabletext"/>
            </w:pPr>
            <w:r w:rsidRPr="00C94C33">
              <w:t>0</w:t>
            </w:r>
          </w:p>
        </w:tc>
        <w:tc>
          <w:tcPr>
            <w:tcW w:w="1332" w:type="dxa"/>
            <w:tcBorders>
              <w:left w:val="single" w:sz="6" w:space="0" w:color="000000"/>
              <w:bottom w:val="single" w:sz="6" w:space="0" w:color="000000"/>
              <w:right w:val="single" w:sz="4" w:space="0" w:color="auto"/>
            </w:tcBorders>
            <w:shd w:val="clear" w:color="auto" w:fill="auto"/>
          </w:tcPr>
          <w:p w14:paraId="21B7CBEC" w14:textId="77777777" w:rsidR="00DF61BC" w:rsidRPr="00C94C33" w:rsidRDefault="00DF61BC" w:rsidP="00C844C0">
            <w:pPr>
              <w:pStyle w:val="Tabletext"/>
            </w:pPr>
            <w:r w:rsidRPr="00C94C33">
              <w:t>0</w:t>
            </w:r>
          </w:p>
        </w:tc>
      </w:tr>
    </w:tbl>
    <w:p w14:paraId="3E04D05E" w14:textId="5A1E26FB" w:rsidR="00DF61BC" w:rsidRPr="00C94C33" w:rsidRDefault="00DF61BC" w:rsidP="005C2FCA">
      <w:pPr>
        <w:pStyle w:val="TableDescription"/>
        <w:keepNext/>
      </w:pPr>
      <w:r w:rsidRPr="00C94C33">
        <w:t>Haematologic impairment-related AEs (all Grades) reported in ≥ 1% of patients in the TAS-102 group; all other AEs in this grouping in the TAS-1</w:t>
      </w:r>
      <w:r w:rsidR="00C844C0">
        <w:t>02 group were reported in &lt; 1%.</w:t>
      </w:r>
    </w:p>
    <w:p w14:paraId="59BA6FBA" w14:textId="68F4BFAF" w:rsidR="00DF61BC" w:rsidRPr="00C94C33" w:rsidRDefault="00DF61BC" w:rsidP="005C2FCA">
      <w:pPr>
        <w:pStyle w:val="Comment"/>
      </w:pPr>
      <w:r w:rsidRPr="005C2FCA">
        <w:rPr>
          <w:b/>
        </w:rPr>
        <w:t>Comment:</w:t>
      </w:r>
      <w:r w:rsidR="006A7C10" w:rsidRPr="00C94C33">
        <w:t xml:space="preserve"> </w:t>
      </w:r>
      <w:r w:rsidR="00F1327C">
        <w:t xml:space="preserve"> </w:t>
      </w:r>
      <w:r w:rsidRPr="00C94C33">
        <w:t>Haematologic impairment-related AEs are the major safety concern associated with TAS 102 treatment for the proposed indication. However, most of the AEs in this grouping were manageable by dose interruptions/delays or dose reductions rather than treatment discontinuation. Blood transfusions were received by 16.9% (</w:t>
      </w:r>
      <w:r w:rsidR="009C0389" w:rsidRPr="00C94C33">
        <w:t xml:space="preserve">n = </w:t>
      </w:r>
      <w:r w:rsidRPr="00C94C33">
        <w:t>90) of patients in the TAS-102 group and 3.0% (</w:t>
      </w:r>
      <w:r w:rsidR="009C0389" w:rsidRPr="00C94C33">
        <w:t xml:space="preserve">n = </w:t>
      </w:r>
      <w:r w:rsidRPr="00C94C33">
        <w:t>8) of patients in the placebo group. The percentage of patients in the TAS-102 group who received blood transfusions is consistent with the percentage of patients in the group with Grade ≥ 3 anaemia based on haematologic laboratory results. Other anti-anaemic preparations (darbepoetin alfa, epoetin alfa, erythropoietin, livalavin, others) were received by 4.7% (</w:t>
      </w:r>
      <w:r w:rsidR="009C0389" w:rsidRPr="00C94C33">
        <w:t xml:space="preserve">n = </w:t>
      </w:r>
      <w:r w:rsidRPr="00C94C33">
        <w:t>25) of patients in the TAS=102 group and 0.4% (</w:t>
      </w:r>
      <w:r w:rsidR="009C0389" w:rsidRPr="00C94C33">
        <w:t xml:space="preserve">n = </w:t>
      </w:r>
      <w:r w:rsidRPr="00C94C33">
        <w:t>1) patient in the placebo group. Granulocyte colony stimulating factors (G-CSF) were used as supportive therapy during the study in 9.4% (</w:t>
      </w:r>
      <w:r w:rsidR="009C0389" w:rsidRPr="00C94C33">
        <w:t xml:space="preserve">n = </w:t>
      </w:r>
      <w:r w:rsidRPr="00C94C33">
        <w:t>50) patients in the TAS-102 group and no patients in the placebo group. Concentrated platelets/thrombocytes were received by 0.6% (</w:t>
      </w:r>
      <w:r w:rsidR="009C0389" w:rsidRPr="00C94C33">
        <w:t xml:space="preserve">n = </w:t>
      </w:r>
      <w:r w:rsidRPr="00C94C33">
        <w:t>3) of patients in the TAS-102 group during the study and 0.4% (</w:t>
      </w:r>
      <w:r w:rsidR="009C0389" w:rsidRPr="00C94C33">
        <w:t xml:space="preserve">n = </w:t>
      </w:r>
      <w:r w:rsidRPr="00C94C33">
        <w:t>1) of patients in the placebo group.</w:t>
      </w:r>
    </w:p>
    <w:p w14:paraId="605D1AA5" w14:textId="66129DA5" w:rsidR="00DF61BC" w:rsidRPr="00C94C33" w:rsidRDefault="00DF61BC" w:rsidP="00955252">
      <w:pPr>
        <w:pStyle w:val="Heading5"/>
      </w:pPr>
      <w:bookmarkStart w:id="387" w:name="_Toc470948584"/>
      <w:r w:rsidRPr="00C94C33">
        <w:t>Infection-related adverse events</w:t>
      </w:r>
      <w:bookmarkEnd w:id="387"/>
    </w:p>
    <w:p w14:paraId="6ED4113E" w14:textId="3DDDA8F3" w:rsidR="00DF61BC" w:rsidRPr="00C94C33" w:rsidRDefault="00DF61BC" w:rsidP="00DF61BC">
      <w:pPr>
        <w:rPr>
          <w:rFonts w:asciiTheme="minorHAnsi" w:hAnsiTheme="minorHAnsi"/>
          <w:color w:val="000000"/>
        </w:rPr>
      </w:pPr>
      <w:r w:rsidRPr="00C94C33">
        <w:rPr>
          <w:rFonts w:asciiTheme="minorHAnsi" w:hAnsiTheme="minorHAnsi"/>
        </w:rPr>
        <w:t>Infection-related AEs (all Grades) occurred notably more commonly in the TAS-102 group compared to the placebo group (73.7%</w:t>
      </w:r>
      <w:r w:rsidR="00C11183">
        <w:rPr>
          <w:rFonts w:asciiTheme="minorHAnsi" w:hAnsiTheme="minorHAnsi"/>
        </w:rPr>
        <w:t xml:space="preserve"> versus </w:t>
      </w:r>
      <w:r w:rsidRPr="00C94C33">
        <w:rPr>
          <w:rFonts w:asciiTheme="minorHAnsi" w:hAnsiTheme="minorHAnsi"/>
        </w:rPr>
        <w:t>33.2%, respectively), as did Grade ≥ 3 AEs in this grouping (45.2%</w:t>
      </w:r>
      <w:r w:rsidR="00C11183">
        <w:rPr>
          <w:rFonts w:asciiTheme="minorHAnsi" w:hAnsiTheme="minorHAnsi"/>
        </w:rPr>
        <w:t xml:space="preserve"> versus </w:t>
      </w:r>
      <w:r w:rsidRPr="00C94C33">
        <w:rPr>
          <w:rFonts w:asciiTheme="minorHAnsi" w:hAnsiTheme="minorHAnsi"/>
        </w:rPr>
        <w:t xml:space="preserve">14.0%). AEs (all Grades) in this grouping resulting in treatment discontinuation were infrequent in both treatment groups (1.1% </w:t>
      </w:r>
      <w:r w:rsidR="00A0007E" w:rsidRPr="00C94C33">
        <w:rPr>
          <w:rFonts w:asciiTheme="minorHAnsi" w:hAnsiTheme="minorHAnsi"/>
        </w:rPr>
        <w:t>(</w:t>
      </w:r>
      <w:r w:rsidRPr="00C94C33">
        <w:rPr>
          <w:rFonts w:asciiTheme="minorHAnsi" w:hAnsiTheme="minorHAnsi"/>
        </w:rPr>
        <w:t>TAS-102</w:t>
      </w:r>
      <w:r w:rsidR="00A0007E" w:rsidRPr="00C94C33">
        <w:rPr>
          <w:rFonts w:asciiTheme="minorHAnsi" w:hAnsiTheme="minorHAnsi"/>
        </w:rPr>
        <w:t>)</w:t>
      </w:r>
      <w:r w:rsidRPr="00C94C33">
        <w:rPr>
          <w:rFonts w:asciiTheme="minorHAnsi" w:hAnsiTheme="minorHAnsi"/>
        </w:rPr>
        <w:t xml:space="preserve">; 3.0% </w:t>
      </w:r>
      <w:r w:rsidR="00A0007E" w:rsidRPr="00C94C33">
        <w:rPr>
          <w:rFonts w:asciiTheme="minorHAnsi" w:hAnsiTheme="minorHAnsi"/>
        </w:rPr>
        <w:t>(</w:t>
      </w:r>
      <w:r w:rsidRPr="00C94C33">
        <w:rPr>
          <w:rFonts w:asciiTheme="minorHAnsi" w:hAnsiTheme="minorHAnsi"/>
        </w:rPr>
        <w:t>placebo</w:t>
      </w:r>
      <w:r w:rsidR="00A0007E" w:rsidRPr="00C94C33">
        <w:rPr>
          <w:rFonts w:asciiTheme="minorHAnsi" w:hAnsiTheme="minorHAnsi"/>
        </w:rPr>
        <w:t>)</w:t>
      </w:r>
      <w:r w:rsidRPr="00C94C33">
        <w:rPr>
          <w:rFonts w:asciiTheme="minorHAnsi" w:hAnsiTheme="minorHAnsi"/>
        </w:rPr>
        <w:t xml:space="preserve">). There were 3 deaths in the TAS-102 group relating to infection-related AEs and no deaths in the placebo group due to this AE grouping. </w:t>
      </w:r>
      <w:r w:rsidRPr="00C94C33">
        <w:rPr>
          <w:rFonts w:asciiTheme="minorHAnsi" w:hAnsiTheme="minorHAnsi"/>
          <w:color w:val="000000"/>
        </w:rPr>
        <w:t>Infection-related AEs are summarised below.</w:t>
      </w:r>
    </w:p>
    <w:p w14:paraId="02DF0841" w14:textId="1CA55CB4" w:rsidR="00DF61BC" w:rsidRPr="00C94C33" w:rsidRDefault="00DF61BC" w:rsidP="00F1327C">
      <w:pPr>
        <w:pStyle w:val="Tabletitle"/>
      </w:pPr>
      <w:bookmarkStart w:id="388" w:name="_Toc470948704"/>
      <w:r w:rsidRPr="00C94C33">
        <w:lastRenderedPageBreak/>
        <w:t>Table</w:t>
      </w:r>
      <w:r w:rsidR="006A7C10" w:rsidRPr="00C94C33">
        <w:t xml:space="preserve"> 55</w:t>
      </w:r>
      <w:r w:rsidRPr="00C94C33">
        <w:t>: RECOURSE</w:t>
      </w:r>
      <w:r w:rsidR="00F1327C">
        <w:t xml:space="preserve">; </w:t>
      </w:r>
      <w:r w:rsidRPr="00C94C33">
        <w:t>Sponsor</w:t>
      </w:r>
      <w:r w:rsidR="00F1327C">
        <w:t xml:space="preserve"> </w:t>
      </w:r>
      <w:r w:rsidRPr="00C94C33">
        <w:t>defined haematologic impairment-related adverse events, AT population</w:t>
      </w:r>
      <w:bookmarkEnd w:id="388"/>
    </w:p>
    <w:tbl>
      <w:tblPr>
        <w:tblW w:w="10385" w:type="dxa"/>
        <w:tblInd w:w="84" w:type="dxa"/>
        <w:tblLayout w:type="fixed"/>
        <w:tblCellMar>
          <w:left w:w="0" w:type="dxa"/>
          <w:right w:w="0" w:type="dxa"/>
        </w:tblCellMar>
        <w:tblLook w:val="0000" w:firstRow="0" w:lastRow="0" w:firstColumn="0" w:lastColumn="0" w:noHBand="0" w:noVBand="0"/>
      </w:tblPr>
      <w:tblGrid>
        <w:gridCol w:w="26"/>
        <w:gridCol w:w="60"/>
        <w:gridCol w:w="4186"/>
        <w:gridCol w:w="1331"/>
        <w:gridCol w:w="1331"/>
        <w:gridCol w:w="1331"/>
        <w:gridCol w:w="1331"/>
        <w:gridCol w:w="309"/>
        <w:gridCol w:w="480"/>
      </w:tblGrid>
      <w:tr w:rsidR="00DF61BC" w:rsidRPr="00C94C33" w14:paraId="2E52F763" w14:textId="77777777" w:rsidTr="00845512">
        <w:trPr>
          <w:gridAfter w:val="2"/>
          <w:wAfter w:w="789" w:type="dxa"/>
          <w:trHeight w:hRule="exact" w:val="425"/>
          <w:tblHeader/>
        </w:trPr>
        <w:tc>
          <w:tcPr>
            <w:tcW w:w="20" w:type="dxa"/>
            <w:tcBorders>
              <w:left w:val="single" w:sz="4" w:space="0" w:color="auto"/>
            </w:tcBorders>
            <w:shd w:val="clear" w:color="auto" w:fill="A7DDFF" w:themeFill="text2" w:themeFillTint="33"/>
          </w:tcPr>
          <w:p w14:paraId="414C6767" w14:textId="77777777" w:rsidR="00DF61BC" w:rsidRPr="00C94C33" w:rsidRDefault="00DF61BC" w:rsidP="005C2FCA">
            <w:pPr>
              <w:keepNext/>
              <w:rPr>
                <w:rFonts w:asciiTheme="minorHAnsi" w:hAnsiTheme="minorHAnsi" w:cstheme="minorHAnsi"/>
                <w:sz w:val="20"/>
                <w:szCs w:val="20"/>
              </w:rPr>
            </w:pPr>
          </w:p>
        </w:tc>
        <w:tc>
          <w:tcPr>
            <w:tcW w:w="4248" w:type="dxa"/>
            <w:gridSpan w:val="2"/>
            <w:tcBorders>
              <w:top w:val="single" w:sz="4" w:space="0" w:color="auto"/>
              <w:left w:val="nil"/>
              <w:right w:val="single" w:sz="4" w:space="0" w:color="auto"/>
            </w:tcBorders>
            <w:shd w:val="clear" w:color="auto" w:fill="auto"/>
          </w:tcPr>
          <w:p w14:paraId="2B27A054" w14:textId="77777777" w:rsidR="00DF61BC" w:rsidRPr="00C94C33" w:rsidRDefault="00DF61BC" w:rsidP="00845512">
            <w:pPr>
              <w:pStyle w:val="TableHeading"/>
            </w:pPr>
          </w:p>
        </w:tc>
        <w:tc>
          <w:tcPr>
            <w:tcW w:w="2664" w:type="dxa"/>
            <w:gridSpan w:val="2"/>
            <w:tcBorders>
              <w:top w:val="single" w:sz="4" w:space="0" w:color="auto"/>
              <w:left w:val="single" w:sz="4" w:space="0" w:color="auto"/>
              <w:right w:val="single" w:sz="4" w:space="0" w:color="auto"/>
            </w:tcBorders>
            <w:shd w:val="clear" w:color="auto" w:fill="auto"/>
          </w:tcPr>
          <w:p w14:paraId="2A3E930E" w14:textId="0EE21EF0" w:rsidR="00DF61BC" w:rsidRPr="00C94C33" w:rsidRDefault="00DF61BC" w:rsidP="00845512">
            <w:pPr>
              <w:pStyle w:val="TableHeading"/>
              <w:jc w:val="center"/>
            </w:pPr>
            <w:r w:rsidRPr="00C94C33">
              <w:t>TAS-102 (</w:t>
            </w:r>
            <w:r w:rsidR="009C0389" w:rsidRPr="00C94C33">
              <w:t xml:space="preserve">n = </w:t>
            </w:r>
            <w:r w:rsidRPr="00C94C33">
              <w:t>533), n (%)</w:t>
            </w:r>
          </w:p>
        </w:tc>
        <w:tc>
          <w:tcPr>
            <w:tcW w:w="2664" w:type="dxa"/>
            <w:gridSpan w:val="2"/>
            <w:tcBorders>
              <w:top w:val="single" w:sz="4" w:space="0" w:color="auto"/>
              <w:left w:val="single" w:sz="4" w:space="0" w:color="auto"/>
              <w:right w:val="single" w:sz="4" w:space="0" w:color="auto"/>
            </w:tcBorders>
            <w:shd w:val="clear" w:color="auto" w:fill="auto"/>
          </w:tcPr>
          <w:p w14:paraId="3D9C4013" w14:textId="13C9A3D9" w:rsidR="00DF61BC" w:rsidRPr="00C94C33" w:rsidRDefault="00DF61BC" w:rsidP="00845512">
            <w:pPr>
              <w:pStyle w:val="TableHeading"/>
              <w:jc w:val="center"/>
            </w:pPr>
            <w:r w:rsidRPr="00C94C33">
              <w:t>Placebo (</w:t>
            </w:r>
            <w:r w:rsidR="009C0389" w:rsidRPr="00C94C33">
              <w:t xml:space="preserve">n = </w:t>
            </w:r>
            <w:r w:rsidRPr="00C94C33">
              <w:t>265); n (%)</w:t>
            </w:r>
          </w:p>
        </w:tc>
      </w:tr>
      <w:tr w:rsidR="00DF61BC" w:rsidRPr="00C94C33" w14:paraId="0C50C10A" w14:textId="77777777" w:rsidTr="00845512">
        <w:trPr>
          <w:trHeight w:hRule="exact" w:val="306"/>
          <w:tblHeader/>
        </w:trPr>
        <w:tc>
          <w:tcPr>
            <w:tcW w:w="20" w:type="dxa"/>
            <w:vMerge w:val="restart"/>
            <w:tcBorders>
              <w:left w:val="single" w:sz="4" w:space="0" w:color="auto"/>
            </w:tcBorders>
            <w:shd w:val="clear" w:color="auto" w:fill="A7DDFF" w:themeFill="text2" w:themeFillTint="33"/>
          </w:tcPr>
          <w:p w14:paraId="3FE96CAD" w14:textId="77777777" w:rsidR="00DF61BC" w:rsidRPr="00C94C33" w:rsidRDefault="00DF61BC" w:rsidP="005C2FCA">
            <w:pPr>
              <w:keepNext/>
              <w:kinsoku w:val="0"/>
              <w:overflowPunct w:val="0"/>
              <w:autoSpaceDE w:val="0"/>
              <w:autoSpaceDN w:val="0"/>
              <w:adjustRightInd w:val="0"/>
              <w:spacing w:before="17" w:after="40"/>
              <w:ind w:left="99"/>
              <w:rPr>
                <w:rFonts w:asciiTheme="minorHAnsi" w:hAnsiTheme="minorHAnsi" w:cstheme="minorHAnsi"/>
                <w:b/>
                <w:bCs/>
                <w:spacing w:val="-1"/>
                <w:sz w:val="20"/>
                <w:szCs w:val="20"/>
              </w:rPr>
            </w:pPr>
          </w:p>
        </w:tc>
        <w:tc>
          <w:tcPr>
            <w:tcW w:w="4248" w:type="dxa"/>
            <w:gridSpan w:val="2"/>
            <w:tcBorders>
              <w:left w:val="nil"/>
              <w:bottom w:val="single" w:sz="7" w:space="0" w:color="000000"/>
              <w:right w:val="single" w:sz="6" w:space="0" w:color="000000"/>
            </w:tcBorders>
            <w:shd w:val="clear" w:color="auto" w:fill="auto"/>
          </w:tcPr>
          <w:p w14:paraId="78FB0F45" w14:textId="77777777" w:rsidR="00DF61BC" w:rsidRPr="00C94C33" w:rsidRDefault="00DF61BC" w:rsidP="00845512">
            <w:pPr>
              <w:pStyle w:val="TableHeading"/>
              <w:rPr>
                <w:bCs/>
                <w:spacing w:val="-1"/>
              </w:rPr>
            </w:pPr>
            <w:bookmarkStart w:id="389" w:name="Table_47:_Sponsor-defined_Infection-rela"/>
            <w:bookmarkStart w:id="390" w:name="12.3.6.5._Other_Adverse_Events_of_Intere"/>
            <w:bookmarkEnd w:id="389"/>
            <w:bookmarkEnd w:id="390"/>
            <w:r w:rsidRPr="00C94C33">
              <w:rPr>
                <w:bCs/>
                <w:spacing w:val="-1"/>
              </w:rPr>
              <w:t>Category – Preferred term</w:t>
            </w:r>
          </w:p>
        </w:tc>
        <w:tc>
          <w:tcPr>
            <w:tcW w:w="1332" w:type="dxa"/>
            <w:tcBorders>
              <w:left w:val="single" w:sz="6" w:space="0" w:color="000000"/>
              <w:bottom w:val="single" w:sz="7" w:space="0" w:color="000000"/>
            </w:tcBorders>
            <w:shd w:val="clear" w:color="auto" w:fill="auto"/>
          </w:tcPr>
          <w:p w14:paraId="5285D5E2" w14:textId="77777777" w:rsidR="00DF61BC" w:rsidRPr="00C94C33" w:rsidRDefault="00DF61BC" w:rsidP="00845512">
            <w:pPr>
              <w:pStyle w:val="TableHeading"/>
              <w:jc w:val="center"/>
              <w:rPr>
                <w:spacing w:val="-1"/>
              </w:rPr>
            </w:pPr>
            <w:r w:rsidRPr="00C94C33">
              <w:rPr>
                <w:spacing w:val="-1"/>
              </w:rPr>
              <w:t>All Grades</w:t>
            </w:r>
          </w:p>
        </w:tc>
        <w:tc>
          <w:tcPr>
            <w:tcW w:w="1332" w:type="dxa"/>
            <w:tcBorders>
              <w:left w:val="nil"/>
              <w:bottom w:val="single" w:sz="7" w:space="0" w:color="000000"/>
              <w:right w:val="single" w:sz="4" w:space="0" w:color="auto"/>
            </w:tcBorders>
            <w:shd w:val="clear" w:color="auto" w:fill="auto"/>
          </w:tcPr>
          <w:p w14:paraId="736B16D7" w14:textId="77777777" w:rsidR="00DF61BC" w:rsidRPr="00C94C33" w:rsidRDefault="00DF61BC" w:rsidP="00845512">
            <w:pPr>
              <w:pStyle w:val="TableHeading"/>
              <w:jc w:val="center"/>
            </w:pPr>
            <w:r w:rsidRPr="00C94C33">
              <w:t>≥ Grade 3</w:t>
            </w:r>
          </w:p>
        </w:tc>
        <w:tc>
          <w:tcPr>
            <w:tcW w:w="1332" w:type="dxa"/>
            <w:tcBorders>
              <w:left w:val="single" w:sz="4" w:space="0" w:color="auto"/>
              <w:bottom w:val="single" w:sz="7" w:space="0" w:color="000000"/>
            </w:tcBorders>
            <w:shd w:val="clear" w:color="auto" w:fill="auto"/>
          </w:tcPr>
          <w:p w14:paraId="6E582AD7" w14:textId="6F4F3CF3" w:rsidR="00DF61BC" w:rsidRPr="00C94C33" w:rsidRDefault="00DF61BC" w:rsidP="00845512">
            <w:pPr>
              <w:pStyle w:val="TableHeading"/>
              <w:jc w:val="center"/>
            </w:pPr>
            <w:r w:rsidRPr="00C94C33">
              <w:t>All Grades</w:t>
            </w:r>
          </w:p>
        </w:tc>
        <w:tc>
          <w:tcPr>
            <w:tcW w:w="1332" w:type="dxa"/>
            <w:tcBorders>
              <w:left w:val="nil"/>
              <w:bottom w:val="single" w:sz="7" w:space="0" w:color="000000"/>
              <w:right w:val="single" w:sz="4" w:space="0" w:color="auto"/>
            </w:tcBorders>
            <w:shd w:val="clear" w:color="auto" w:fill="auto"/>
          </w:tcPr>
          <w:p w14:paraId="47707A4F" w14:textId="4DE232E2" w:rsidR="00DF61BC" w:rsidRPr="00C94C33" w:rsidRDefault="00DF61BC" w:rsidP="00845512">
            <w:pPr>
              <w:pStyle w:val="TableHeading"/>
              <w:jc w:val="center"/>
            </w:pPr>
            <w:r w:rsidRPr="00C94C33">
              <w:t>≥ Grade 3</w:t>
            </w:r>
          </w:p>
        </w:tc>
        <w:tc>
          <w:tcPr>
            <w:tcW w:w="309" w:type="dxa"/>
            <w:vMerge w:val="restart"/>
            <w:tcBorders>
              <w:left w:val="single" w:sz="4" w:space="0" w:color="auto"/>
            </w:tcBorders>
            <w:shd w:val="clear" w:color="auto" w:fill="auto"/>
          </w:tcPr>
          <w:p w14:paraId="4110FA72" w14:textId="77777777" w:rsidR="00DF61BC" w:rsidRPr="00C94C33" w:rsidRDefault="00DF61BC" w:rsidP="005C2FCA">
            <w:pPr>
              <w:keepNext/>
              <w:spacing w:after="0"/>
              <w:rPr>
                <w:rFonts w:asciiTheme="minorHAnsi" w:hAnsiTheme="minorHAnsi" w:cstheme="minorHAnsi"/>
                <w:sz w:val="20"/>
                <w:szCs w:val="20"/>
              </w:rPr>
            </w:pPr>
          </w:p>
        </w:tc>
        <w:tc>
          <w:tcPr>
            <w:tcW w:w="480" w:type="dxa"/>
            <w:vMerge w:val="restart"/>
            <w:shd w:val="clear" w:color="auto" w:fill="auto"/>
          </w:tcPr>
          <w:p w14:paraId="4364C7C6" w14:textId="77777777" w:rsidR="00DF61BC" w:rsidRPr="00C94C33" w:rsidRDefault="00DF61BC" w:rsidP="005C2FCA">
            <w:pPr>
              <w:keepNext/>
              <w:spacing w:after="0"/>
              <w:rPr>
                <w:rFonts w:asciiTheme="minorHAnsi" w:hAnsiTheme="minorHAnsi" w:cstheme="minorHAnsi"/>
                <w:sz w:val="20"/>
                <w:szCs w:val="20"/>
              </w:rPr>
            </w:pPr>
          </w:p>
        </w:tc>
      </w:tr>
      <w:tr w:rsidR="00DF61BC" w:rsidRPr="00C94C33" w14:paraId="2C728108" w14:textId="77777777" w:rsidTr="00845512">
        <w:trPr>
          <w:trHeight w:hRule="exact" w:val="277"/>
          <w:tblHeader/>
        </w:trPr>
        <w:tc>
          <w:tcPr>
            <w:tcW w:w="20" w:type="dxa"/>
            <w:vMerge/>
            <w:tcBorders>
              <w:left w:val="single" w:sz="4" w:space="0" w:color="auto"/>
            </w:tcBorders>
            <w:shd w:val="clear" w:color="auto" w:fill="auto"/>
          </w:tcPr>
          <w:p w14:paraId="110A4266" w14:textId="77777777" w:rsidR="00DF61BC" w:rsidRPr="00C94C33" w:rsidRDefault="00DF61BC" w:rsidP="005C2FCA">
            <w:pPr>
              <w:keepNext/>
              <w:kinsoku w:val="0"/>
              <w:overflowPunct w:val="0"/>
              <w:autoSpaceDE w:val="0"/>
              <w:autoSpaceDN w:val="0"/>
              <w:adjustRightInd w:val="0"/>
              <w:spacing w:before="18" w:after="0"/>
              <w:ind w:left="99"/>
              <w:rPr>
                <w:rFonts w:asciiTheme="minorHAnsi" w:hAnsiTheme="minorHAnsi" w:cstheme="minorHAnsi"/>
                <w:b/>
                <w:bCs/>
                <w:sz w:val="20"/>
                <w:szCs w:val="20"/>
              </w:rPr>
            </w:pPr>
          </w:p>
        </w:tc>
        <w:tc>
          <w:tcPr>
            <w:tcW w:w="4248" w:type="dxa"/>
            <w:gridSpan w:val="2"/>
            <w:tcBorders>
              <w:top w:val="single" w:sz="7" w:space="0" w:color="000000"/>
              <w:left w:val="nil"/>
              <w:right w:val="single" w:sz="6" w:space="0" w:color="000000"/>
            </w:tcBorders>
            <w:shd w:val="clear" w:color="auto" w:fill="auto"/>
          </w:tcPr>
          <w:p w14:paraId="51A20B82" w14:textId="77777777" w:rsidR="00DF61BC" w:rsidRPr="00C94C33" w:rsidRDefault="00DF61BC" w:rsidP="00845512">
            <w:pPr>
              <w:pStyle w:val="TableHeading"/>
            </w:pPr>
            <w:r w:rsidRPr="00C94C33">
              <w:t xml:space="preserve">Any infection related AE </w:t>
            </w:r>
            <w:r w:rsidRPr="00C94C33">
              <w:rPr>
                <w:vertAlign w:val="superscript"/>
              </w:rPr>
              <w:t xml:space="preserve">a </w:t>
            </w:r>
          </w:p>
        </w:tc>
        <w:tc>
          <w:tcPr>
            <w:tcW w:w="1332" w:type="dxa"/>
            <w:tcBorders>
              <w:top w:val="single" w:sz="7" w:space="0" w:color="000000"/>
              <w:left w:val="single" w:sz="6" w:space="0" w:color="000000"/>
            </w:tcBorders>
            <w:shd w:val="clear" w:color="auto" w:fill="auto"/>
          </w:tcPr>
          <w:p w14:paraId="50A06CDE" w14:textId="77777777" w:rsidR="00DF61BC" w:rsidRPr="00C94C33" w:rsidRDefault="00DF61BC" w:rsidP="00845512">
            <w:pPr>
              <w:pStyle w:val="TableHeading"/>
              <w:jc w:val="center"/>
              <w:rPr>
                <w:spacing w:val="-1"/>
              </w:rPr>
            </w:pPr>
            <w:r w:rsidRPr="00C94C33">
              <w:rPr>
                <w:spacing w:val="-1"/>
              </w:rPr>
              <w:t>393 (73.7)</w:t>
            </w:r>
          </w:p>
        </w:tc>
        <w:tc>
          <w:tcPr>
            <w:tcW w:w="1332" w:type="dxa"/>
            <w:tcBorders>
              <w:top w:val="single" w:sz="7" w:space="0" w:color="000000"/>
              <w:left w:val="nil"/>
              <w:right w:val="single" w:sz="4" w:space="0" w:color="auto"/>
            </w:tcBorders>
            <w:shd w:val="clear" w:color="auto" w:fill="auto"/>
          </w:tcPr>
          <w:p w14:paraId="357D570B" w14:textId="77777777" w:rsidR="00DF61BC" w:rsidRPr="00C94C33" w:rsidRDefault="00DF61BC" w:rsidP="00845512">
            <w:pPr>
              <w:pStyle w:val="TableHeading"/>
              <w:jc w:val="center"/>
              <w:rPr>
                <w:spacing w:val="-1"/>
              </w:rPr>
            </w:pPr>
            <w:r w:rsidRPr="00C94C33">
              <w:rPr>
                <w:spacing w:val="-1"/>
              </w:rPr>
              <w:t>241 (45.2)</w:t>
            </w:r>
          </w:p>
        </w:tc>
        <w:tc>
          <w:tcPr>
            <w:tcW w:w="1332" w:type="dxa"/>
            <w:tcBorders>
              <w:top w:val="single" w:sz="7" w:space="0" w:color="000000"/>
              <w:left w:val="single" w:sz="4" w:space="0" w:color="auto"/>
            </w:tcBorders>
            <w:shd w:val="clear" w:color="auto" w:fill="auto"/>
          </w:tcPr>
          <w:p w14:paraId="24810508" w14:textId="77777777" w:rsidR="00DF61BC" w:rsidRPr="00C94C33" w:rsidRDefault="00DF61BC" w:rsidP="00845512">
            <w:pPr>
              <w:pStyle w:val="TableHeading"/>
              <w:jc w:val="center"/>
            </w:pPr>
            <w:r w:rsidRPr="00C94C33">
              <w:t>88 (33.2)</w:t>
            </w:r>
          </w:p>
        </w:tc>
        <w:tc>
          <w:tcPr>
            <w:tcW w:w="1332" w:type="dxa"/>
            <w:tcBorders>
              <w:top w:val="single" w:sz="7" w:space="0" w:color="000000"/>
              <w:left w:val="nil"/>
              <w:right w:val="single" w:sz="4" w:space="0" w:color="auto"/>
            </w:tcBorders>
            <w:shd w:val="clear" w:color="auto" w:fill="auto"/>
          </w:tcPr>
          <w:p w14:paraId="04AADB0D" w14:textId="77777777" w:rsidR="00DF61BC" w:rsidRPr="00C94C33" w:rsidRDefault="00DF61BC" w:rsidP="00845512">
            <w:pPr>
              <w:pStyle w:val="TableHeading"/>
              <w:jc w:val="center"/>
            </w:pPr>
            <w:r w:rsidRPr="00C94C33">
              <w:t>37 (14.0)</w:t>
            </w:r>
          </w:p>
        </w:tc>
        <w:tc>
          <w:tcPr>
            <w:tcW w:w="309" w:type="dxa"/>
            <w:vMerge/>
            <w:tcBorders>
              <w:left w:val="single" w:sz="4" w:space="0" w:color="auto"/>
            </w:tcBorders>
            <w:shd w:val="clear" w:color="auto" w:fill="auto"/>
          </w:tcPr>
          <w:p w14:paraId="29A23EB7" w14:textId="77777777" w:rsidR="00DF61BC" w:rsidRPr="00C94C33" w:rsidRDefault="00DF61BC" w:rsidP="005C2FCA">
            <w:pPr>
              <w:keepNext/>
              <w:spacing w:after="0"/>
              <w:rPr>
                <w:rFonts w:asciiTheme="minorHAnsi" w:hAnsiTheme="minorHAnsi" w:cstheme="minorHAnsi"/>
                <w:b/>
                <w:sz w:val="20"/>
                <w:szCs w:val="20"/>
              </w:rPr>
            </w:pPr>
          </w:p>
        </w:tc>
        <w:tc>
          <w:tcPr>
            <w:tcW w:w="480" w:type="dxa"/>
            <w:vMerge/>
            <w:shd w:val="clear" w:color="auto" w:fill="auto"/>
          </w:tcPr>
          <w:p w14:paraId="504CC6C6" w14:textId="77777777" w:rsidR="00DF61BC" w:rsidRPr="00C94C33" w:rsidRDefault="00DF61BC" w:rsidP="005C2FCA">
            <w:pPr>
              <w:keepNext/>
              <w:spacing w:after="0"/>
              <w:rPr>
                <w:rFonts w:asciiTheme="minorHAnsi" w:hAnsiTheme="minorHAnsi" w:cstheme="minorHAnsi"/>
                <w:b/>
                <w:sz w:val="20"/>
                <w:szCs w:val="20"/>
              </w:rPr>
            </w:pPr>
          </w:p>
        </w:tc>
      </w:tr>
      <w:tr w:rsidR="00DF61BC" w:rsidRPr="00C94C33" w14:paraId="4BED3404" w14:textId="77777777" w:rsidTr="00845512">
        <w:trPr>
          <w:trHeight w:hRule="exact" w:val="277"/>
          <w:tblHeader/>
        </w:trPr>
        <w:tc>
          <w:tcPr>
            <w:tcW w:w="20" w:type="dxa"/>
            <w:vMerge/>
            <w:tcBorders>
              <w:left w:val="single" w:sz="4" w:space="0" w:color="auto"/>
            </w:tcBorders>
            <w:shd w:val="clear" w:color="auto" w:fill="auto"/>
          </w:tcPr>
          <w:p w14:paraId="3FCCE759" w14:textId="77777777" w:rsidR="00DF61BC" w:rsidRPr="00C94C33" w:rsidRDefault="00DF61BC" w:rsidP="005C2FCA">
            <w:pPr>
              <w:keepNext/>
              <w:kinsoku w:val="0"/>
              <w:overflowPunct w:val="0"/>
              <w:autoSpaceDE w:val="0"/>
              <w:autoSpaceDN w:val="0"/>
              <w:adjustRightInd w:val="0"/>
              <w:spacing w:before="18" w:after="0"/>
              <w:ind w:left="99"/>
              <w:rPr>
                <w:rFonts w:asciiTheme="minorHAnsi" w:hAnsiTheme="minorHAnsi" w:cstheme="minorHAnsi"/>
                <w:bCs/>
                <w:sz w:val="20"/>
                <w:szCs w:val="20"/>
              </w:rPr>
            </w:pPr>
          </w:p>
        </w:tc>
        <w:tc>
          <w:tcPr>
            <w:tcW w:w="4248" w:type="dxa"/>
            <w:gridSpan w:val="2"/>
            <w:tcBorders>
              <w:left w:val="nil"/>
              <w:right w:val="single" w:sz="6" w:space="0" w:color="000000"/>
            </w:tcBorders>
            <w:shd w:val="clear" w:color="auto" w:fill="auto"/>
          </w:tcPr>
          <w:p w14:paraId="32D41A33" w14:textId="1B6B3051" w:rsidR="00DF61BC" w:rsidRPr="00C94C33" w:rsidRDefault="00DF61BC" w:rsidP="00845512">
            <w:pPr>
              <w:pStyle w:val="Tabletext"/>
            </w:pPr>
            <w:r w:rsidRPr="00C94C33">
              <w:t>Nasopharyngitis</w:t>
            </w:r>
          </w:p>
        </w:tc>
        <w:tc>
          <w:tcPr>
            <w:tcW w:w="1332" w:type="dxa"/>
            <w:tcBorders>
              <w:left w:val="single" w:sz="6" w:space="0" w:color="000000"/>
            </w:tcBorders>
            <w:shd w:val="clear" w:color="auto" w:fill="auto"/>
          </w:tcPr>
          <w:p w14:paraId="0DFDDA57" w14:textId="77777777" w:rsidR="00DF61BC" w:rsidRPr="00C94C33" w:rsidRDefault="00DF61BC" w:rsidP="00845512">
            <w:pPr>
              <w:pStyle w:val="Tabletext"/>
              <w:jc w:val="center"/>
              <w:rPr>
                <w:spacing w:val="-1"/>
              </w:rPr>
            </w:pPr>
            <w:r w:rsidRPr="00C94C33">
              <w:rPr>
                <w:spacing w:val="-1"/>
              </w:rPr>
              <w:t>23 (4.3)</w:t>
            </w:r>
          </w:p>
        </w:tc>
        <w:tc>
          <w:tcPr>
            <w:tcW w:w="1332" w:type="dxa"/>
            <w:tcBorders>
              <w:left w:val="nil"/>
              <w:right w:val="single" w:sz="4" w:space="0" w:color="auto"/>
            </w:tcBorders>
            <w:shd w:val="clear" w:color="auto" w:fill="auto"/>
          </w:tcPr>
          <w:p w14:paraId="5EADFDD7" w14:textId="77777777" w:rsidR="00DF61BC" w:rsidRPr="00C94C33" w:rsidRDefault="00DF61BC" w:rsidP="00845512">
            <w:pPr>
              <w:pStyle w:val="Tabletext"/>
              <w:jc w:val="center"/>
              <w:rPr>
                <w:spacing w:val="-1"/>
              </w:rPr>
            </w:pPr>
            <w:r w:rsidRPr="00C94C33">
              <w:rPr>
                <w:spacing w:val="-1"/>
              </w:rPr>
              <w:t>0</w:t>
            </w:r>
          </w:p>
        </w:tc>
        <w:tc>
          <w:tcPr>
            <w:tcW w:w="1332" w:type="dxa"/>
            <w:tcBorders>
              <w:left w:val="single" w:sz="4" w:space="0" w:color="auto"/>
            </w:tcBorders>
            <w:shd w:val="clear" w:color="auto" w:fill="auto"/>
          </w:tcPr>
          <w:p w14:paraId="53F010D3" w14:textId="77777777" w:rsidR="00DF61BC" w:rsidRPr="00C94C33" w:rsidRDefault="00DF61BC" w:rsidP="00845512">
            <w:pPr>
              <w:pStyle w:val="Tabletext"/>
              <w:jc w:val="center"/>
            </w:pPr>
            <w:r w:rsidRPr="00C94C33">
              <w:t>4 (1.5)</w:t>
            </w:r>
          </w:p>
        </w:tc>
        <w:tc>
          <w:tcPr>
            <w:tcW w:w="1332" w:type="dxa"/>
            <w:tcBorders>
              <w:left w:val="nil"/>
              <w:right w:val="single" w:sz="4" w:space="0" w:color="auto"/>
            </w:tcBorders>
            <w:shd w:val="clear" w:color="auto" w:fill="auto"/>
          </w:tcPr>
          <w:p w14:paraId="3BC241D3" w14:textId="77777777" w:rsidR="00DF61BC" w:rsidRPr="00C94C33" w:rsidRDefault="00DF61BC" w:rsidP="00845512">
            <w:pPr>
              <w:pStyle w:val="Tabletext"/>
              <w:jc w:val="center"/>
            </w:pPr>
            <w:r w:rsidRPr="00C94C33">
              <w:t>0</w:t>
            </w:r>
          </w:p>
        </w:tc>
        <w:tc>
          <w:tcPr>
            <w:tcW w:w="309" w:type="dxa"/>
            <w:vMerge/>
            <w:tcBorders>
              <w:left w:val="single" w:sz="4" w:space="0" w:color="auto"/>
            </w:tcBorders>
            <w:shd w:val="clear" w:color="auto" w:fill="auto"/>
          </w:tcPr>
          <w:p w14:paraId="266406F5" w14:textId="77777777" w:rsidR="00DF61BC" w:rsidRPr="00C94C33" w:rsidRDefault="00DF61BC" w:rsidP="005C2FCA">
            <w:pPr>
              <w:keepNext/>
              <w:spacing w:after="0"/>
              <w:rPr>
                <w:rFonts w:asciiTheme="minorHAnsi" w:hAnsiTheme="minorHAnsi" w:cstheme="minorHAnsi"/>
                <w:sz w:val="20"/>
                <w:szCs w:val="20"/>
              </w:rPr>
            </w:pPr>
          </w:p>
        </w:tc>
        <w:tc>
          <w:tcPr>
            <w:tcW w:w="480" w:type="dxa"/>
            <w:vMerge/>
            <w:shd w:val="clear" w:color="auto" w:fill="auto"/>
          </w:tcPr>
          <w:p w14:paraId="666BAD88" w14:textId="77777777" w:rsidR="00DF61BC" w:rsidRPr="00C94C33" w:rsidRDefault="00DF61BC" w:rsidP="005C2FCA">
            <w:pPr>
              <w:keepNext/>
              <w:spacing w:after="0"/>
              <w:rPr>
                <w:rFonts w:asciiTheme="minorHAnsi" w:hAnsiTheme="minorHAnsi" w:cstheme="minorHAnsi"/>
                <w:sz w:val="20"/>
                <w:szCs w:val="20"/>
              </w:rPr>
            </w:pPr>
          </w:p>
        </w:tc>
      </w:tr>
      <w:tr w:rsidR="00DF61BC" w:rsidRPr="00C94C33" w14:paraId="6C2CB2E6" w14:textId="77777777" w:rsidTr="00845512">
        <w:trPr>
          <w:trHeight w:hRule="exact" w:val="277"/>
          <w:tblHeader/>
        </w:trPr>
        <w:tc>
          <w:tcPr>
            <w:tcW w:w="20" w:type="dxa"/>
            <w:vMerge/>
            <w:tcBorders>
              <w:left w:val="single" w:sz="4" w:space="0" w:color="auto"/>
            </w:tcBorders>
            <w:shd w:val="clear" w:color="auto" w:fill="auto"/>
          </w:tcPr>
          <w:p w14:paraId="65F14FB9" w14:textId="77777777" w:rsidR="00DF61BC" w:rsidRPr="00C94C33" w:rsidRDefault="00DF61BC" w:rsidP="005C2FCA">
            <w:pPr>
              <w:keepNext/>
              <w:kinsoku w:val="0"/>
              <w:overflowPunct w:val="0"/>
              <w:autoSpaceDE w:val="0"/>
              <w:autoSpaceDN w:val="0"/>
              <w:adjustRightInd w:val="0"/>
              <w:spacing w:before="18" w:after="0"/>
              <w:ind w:left="99"/>
              <w:rPr>
                <w:rFonts w:asciiTheme="minorHAnsi" w:hAnsiTheme="minorHAnsi" w:cstheme="minorHAnsi"/>
                <w:bCs/>
                <w:sz w:val="20"/>
                <w:szCs w:val="20"/>
              </w:rPr>
            </w:pPr>
          </w:p>
        </w:tc>
        <w:tc>
          <w:tcPr>
            <w:tcW w:w="4248" w:type="dxa"/>
            <w:gridSpan w:val="2"/>
            <w:tcBorders>
              <w:left w:val="nil"/>
              <w:right w:val="single" w:sz="6" w:space="0" w:color="000000"/>
            </w:tcBorders>
            <w:shd w:val="clear" w:color="auto" w:fill="auto"/>
          </w:tcPr>
          <w:p w14:paraId="758C56FA" w14:textId="11560A1B" w:rsidR="00DF61BC" w:rsidRPr="00C94C33" w:rsidRDefault="00DF61BC" w:rsidP="00845512">
            <w:pPr>
              <w:pStyle w:val="Tabletext"/>
            </w:pPr>
            <w:r w:rsidRPr="00C94C33">
              <w:t>Urinary tract infection</w:t>
            </w:r>
          </w:p>
        </w:tc>
        <w:tc>
          <w:tcPr>
            <w:tcW w:w="1332" w:type="dxa"/>
            <w:tcBorders>
              <w:left w:val="single" w:sz="6" w:space="0" w:color="000000"/>
            </w:tcBorders>
            <w:shd w:val="clear" w:color="auto" w:fill="auto"/>
          </w:tcPr>
          <w:p w14:paraId="23F1AECE" w14:textId="77777777" w:rsidR="00DF61BC" w:rsidRPr="00C94C33" w:rsidRDefault="00DF61BC" w:rsidP="00845512">
            <w:pPr>
              <w:pStyle w:val="Tabletext"/>
              <w:jc w:val="center"/>
              <w:rPr>
                <w:spacing w:val="-1"/>
              </w:rPr>
            </w:pPr>
            <w:r w:rsidRPr="00C94C33">
              <w:rPr>
                <w:spacing w:val="-1"/>
              </w:rPr>
              <w:t>18 (3.4)</w:t>
            </w:r>
          </w:p>
        </w:tc>
        <w:tc>
          <w:tcPr>
            <w:tcW w:w="1332" w:type="dxa"/>
            <w:tcBorders>
              <w:left w:val="nil"/>
              <w:right w:val="single" w:sz="4" w:space="0" w:color="auto"/>
            </w:tcBorders>
            <w:shd w:val="clear" w:color="auto" w:fill="auto"/>
          </w:tcPr>
          <w:p w14:paraId="09CBE397" w14:textId="77777777" w:rsidR="00DF61BC" w:rsidRPr="00C94C33" w:rsidRDefault="00DF61BC" w:rsidP="00845512">
            <w:pPr>
              <w:pStyle w:val="Tabletext"/>
              <w:jc w:val="center"/>
              <w:rPr>
                <w:spacing w:val="-1"/>
              </w:rPr>
            </w:pPr>
            <w:r w:rsidRPr="00C94C33">
              <w:rPr>
                <w:spacing w:val="-1"/>
              </w:rPr>
              <w:t>3 (0.6)</w:t>
            </w:r>
          </w:p>
        </w:tc>
        <w:tc>
          <w:tcPr>
            <w:tcW w:w="1332" w:type="dxa"/>
            <w:tcBorders>
              <w:left w:val="single" w:sz="4" w:space="0" w:color="auto"/>
            </w:tcBorders>
            <w:shd w:val="clear" w:color="auto" w:fill="auto"/>
          </w:tcPr>
          <w:p w14:paraId="6DE6C7A8" w14:textId="77777777" w:rsidR="00DF61BC" w:rsidRPr="00C94C33" w:rsidRDefault="00DF61BC" w:rsidP="00845512">
            <w:pPr>
              <w:pStyle w:val="Tabletext"/>
              <w:jc w:val="center"/>
            </w:pPr>
            <w:r w:rsidRPr="00C94C33">
              <w:t>5 (1.9)</w:t>
            </w:r>
          </w:p>
        </w:tc>
        <w:tc>
          <w:tcPr>
            <w:tcW w:w="1332" w:type="dxa"/>
            <w:tcBorders>
              <w:left w:val="nil"/>
              <w:right w:val="single" w:sz="4" w:space="0" w:color="auto"/>
            </w:tcBorders>
            <w:shd w:val="clear" w:color="auto" w:fill="auto"/>
          </w:tcPr>
          <w:p w14:paraId="498673E3" w14:textId="77777777" w:rsidR="00DF61BC" w:rsidRPr="00C94C33" w:rsidRDefault="00DF61BC" w:rsidP="00845512">
            <w:pPr>
              <w:pStyle w:val="Tabletext"/>
              <w:jc w:val="center"/>
            </w:pPr>
            <w:r w:rsidRPr="00C94C33">
              <w:t>3 (1.1)</w:t>
            </w:r>
          </w:p>
        </w:tc>
        <w:tc>
          <w:tcPr>
            <w:tcW w:w="309" w:type="dxa"/>
            <w:vMerge/>
            <w:tcBorders>
              <w:left w:val="single" w:sz="4" w:space="0" w:color="auto"/>
            </w:tcBorders>
            <w:shd w:val="clear" w:color="auto" w:fill="auto"/>
          </w:tcPr>
          <w:p w14:paraId="4618AF0B" w14:textId="77777777" w:rsidR="00DF61BC" w:rsidRPr="00C94C33" w:rsidRDefault="00DF61BC" w:rsidP="005C2FCA">
            <w:pPr>
              <w:keepNext/>
              <w:spacing w:after="0"/>
              <w:rPr>
                <w:rFonts w:asciiTheme="minorHAnsi" w:hAnsiTheme="minorHAnsi" w:cstheme="minorHAnsi"/>
                <w:sz w:val="20"/>
                <w:szCs w:val="20"/>
              </w:rPr>
            </w:pPr>
          </w:p>
        </w:tc>
        <w:tc>
          <w:tcPr>
            <w:tcW w:w="480" w:type="dxa"/>
            <w:vMerge/>
            <w:shd w:val="clear" w:color="auto" w:fill="auto"/>
          </w:tcPr>
          <w:p w14:paraId="3C002232" w14:textId="77777777" w:rsidR="00DF61BC" w:rsidRPr="00C94C33" w:rsidRDefault="00DF61BC" w:rsidP="005C2FCA">
            <w:pPr>
              <w:keepNext/>
              <w:spacing w:after="0"/>
              <w:rPr>
                <w:rFonts w:asciiTheme="minorHAnsi" w:hAnsiTheme="minorHAnsi" w:cstheme="minorHAnsi"/>
                <w:sz w:val="20"/>
                <w:szCs w:val="20"/>
              </w:rPr>
            </w:pPr>
          </w:p>
        </w:tc>
      </w:tr>
      <w:tr w:rsidR="00DF61BC" w:rsidRPr="00C94C33" w14:paraId="1C20309C" w14:textId="77777777" w:rsidTr="00845512">
        <w:trPr>
          <w:trHeight w:hRule="exact" w:val="277"/>
          <w:tblHeader/>
        </w:trPr>
        <w:tc>
          <w:tcPr>
            <w:tcW w:w="20" w:type="dxa"/>
            <w:vMerge/>
            <w:tcBorders>
              <w:left w:val="single" w:sz="4" w:space="0" w:color="auto"/>
            </w:tcBorders>
            <w:shd w:val="clear" w:color="auto" w:fill="auto"/>
          </w:tcPr>
          <w:p w14:paraId="09D8207D" w14:textId="77777777" w:rsidR="00DF61BC" w:rsidRPr="00C94C33" w:rsidRDefault="00DF61BC" w:rsidP="005C2FCA">
            <w:pPr>
              <w:keepNext/>
              <w:kinsoku w:val="0"/>
              <w:overflowPunct w:val="0"/>
              <w:autoSpaceDE w:val="0"/>
              <w:autoSpaceDN w:val="0"/>
              <w:adjustRightInd w:val="0"/>
              <w:spacing w:before="18" w:after="0"/>
              <w:rPr>
                <w:rFonts w:asciiTheme="minorHAnsi" w:hAnsiTheme="minorHAnsi" w:cstheme="minorHAnsi"/>
                <w:bCs/>
                <w:sz w:val="20"/>
                <w:szCs w:val="20"/>
              </w:rPr>
            </w:pPr>
          </w:p>
        </w:tc>
        <w:tc>
          <w:tcPr>
            <w:tcW w:w="4248" w:type="dxa"/>
            <w:gridSpan w:val="2"/>
            <w:tcBorders>
              <w:left w:val="nil"/>
              <w:right w:val="single" w:sz="6" w:space="0" w:color="000000"/>
            </w:tcBorders>
            <w:shd w:val="clear" w:color="auto" w:fill="auto"/>
          </w:tcPr>
          <w:p w14:paraId="4363037F" w14:textId="0D90A8EF" w:rsidR="00DF61BC" w:rsidRPr="00C94C33" w:rsidRDefault="00DF61BC" w:rsidP="00845512">
            <w:pPr>
              <w:pStyle w:val="Tabletext"/>
            </w:pPr>
            <w:r w:rsidRPr="00C94C33">
              <w:t>Upper respiratory tract infection</w:t>
            </w:r>
          </w:p>
        </w:tc>
        <w:tc>
          <w:tcPr>
            <w:tcW w:w="1332" w:type="dxa"/>
            <w:tcBorders>
              <w:left w:val="single" w:sz="6" w:space="0" w:color="000000"/>
            </w:tcBorders>
            <w:shd w:val="clear" w:color="auto" w:fill="auto"/>
          </w:tcPr>
          <w:p w14:paraId="4889FFCB" w14:textId="77777777" w:rsidR="00DF61BC" w:rsidRPr="00C94C33" w:rsidRDefault="00DF61BC" w:rsidP="00845512">
            <w:pPr>
              <w:pStyle w:val="Tabletext"/>
              <w:jc w:val="center"/>
              <w:rPr>
                <w:spacing w:val="-1"/>
              </w:rPr>
            </w:pPr>
            <w:r w:rsidRPr="00C94C33">
              <w:rPr>
                <w:spacing w:val="-1"/>
              </w:rPr>
              <w:t>17 (3.2)</w:t>
            </w:r>
          </w:p>
        </w:tc>
        <w:tc>
          <w:tcPr>
            <w:tcW w:w="1332" w:type="dxa"/>
            <w:tcBorders>
              <w:left w:val="nil"/>
              <w:right w:val="single" w:sz="4" w:space="0" w:color="auto"/>
            </w:tcBorders>
            <w:shd w:val="clear" w:color="auto" w:fill="auto"/>
          </w:tcPr>
          <w:p w14:paraId="7126F4B9" w14:textId="77777777" w:rsidR="00DF61BC" w:rsidRPr="00C94C33" w:rsidRDefault="00DF61BC" w:rsidP="00845512">
            <w:pPr>
              <w:pStyle w:val="Tabletext"/>
              <w:jc w:val="center"/>
              <w:rPr>
                <w:spacing w:val="-1"/>
              </w:rPr>
            </w:pPr>
            <w:r w:rsidRPr="00C94C33">
              <w:rPr>
                <w:spacing w:val="-1"/>
              </w:rPr>
              <w:t>0</w:t>
            </w:r>
          </w:p>
        </w:tc>
        <w:tc>
          <w:tcPr>
            <w:tcW w:w="1332" w:type="dxa"/>
            <w:tcBorders>
              <w:left w:val="single" w:sz="4" w:space="0" w:color="auto"/>
            </w:tcBorders>
            <w:shd w:val="clear" w:color="auto" w:fill="auto"/>
          </w:tcPr>
          <w:p w14:paraId="7E873F36" w14:textId="77777777" w:rsidR="00DF61BC" w:rsidRPr="00C94C33" w:rsidRDefault="00DF61BC" w:rsidP="00845512">
            <w:pPr>
              <w:pStyle w:val="Tabletext"/>
              <w:jc w:val="center"/>
            </w:pPr>
            <w:r w:rsidRPr="00C94C33">
              <w:t>4 (1.5)</w:t>
            </w:r>
          </w:p>
        </w:tc>
        <w:tc>
          <w:tcPr>
            <w:tcW w:w="1332" w:type="dxa"/>
            <w:tcBorders>
              <w:left w:val="nil"/>
              <w:right w:val="single" w:sz="4" w:space="0" w:color="auto"/>
            </w:tcBorders>
            <w:shd w:val="clear" w:color="auto" w:fill="auto"/>
          </w:tcPr>
          <w:p w14:paraId="2590EAF0" w14:textId="77777777" w:rsidR="00DF61BC" w:rsidRPr="00C94C33" w:rsidRDefault="00DF61BC" w:rsidP="00845512">
            <w:pPr>
              <w:pStyle w:val="Tabletext"/>
              <w:jc w:val="center"/>
            </w:pPr>
            <w:r w:rsidRPr="00C94C33">
              <w:t>0</w:t>
            </w:r>
          </w:p>
        </w:tc>
        <w:tc>
          <w:tcPr>
            <w:tcW w:w="309" w:type="dxa"/>
            <w:vMerge/>
            <w:tcBorders>
              <w:left w:val="single" w:sz="4" w:space="0" w:color="auto"/>
            </w:tcBorders>
            <w:shd w:val="clear" w:color="auto" w:fill="auto"/>
          </w:tcPr>
          <w:p w14:paraId="4391B774" w14:textId="77777777" w:rsidR="00DF61BC" w:rsidRPr="00C94C33" w:rsidRDefault="00DF61BC" w:rsidP="005C2FCA">
            <w:pPr>
              <w:keepNext/>
              <w:spacing w:after="0"/>
              <w:rPr>
                <w:rFonts w:asciiTheme="minorHAnsi" w:hAnsiTheme="minorHAnsi" w:cstheme="minorHAnsi"/>
                <w:sz w:val="20"/>
                <w:szCs w:val="20"/>
              </w:rPr>
            </w:pPr>
          </w:p>
        </w:tc>
        <w:tc>
          <w:tcPr>
            <w:tcW w:w="480" w:type="dxa"/>
            <w:vMerge/>
            <w:shd w:val="clear" w:color="auto" w:fill="auto"/>
          </w:tcPr>
          <w:p w14:paraId="4837B4CE" w14:textId="77777777" w:rsidR="00DF61BC" w:rsidRPr="00C94C33" w:rsidRDefault="00DF61BC" w:rsidP="005C2FCA">
            <w:pPr>
              <w:keepNext/>
              <w:spacing w:after="0"/>
              <w:rPr>
                <w:rFonts w:asciiTheme="minorHAnsi" w:hAnsiTheme="minorHAnsi" w:cstheme="minorHAnsi"/>
                <w:sz w:val="20"/>
                <w:szCs w:val="20"/>
              </w:rPr>
            </w:pPr>
          </w:p>
        </w:tc>
      </w:tr>
      <w:tr w:rsidR="00DF61BC" w:rsidRPr="00C94C33" w14:paraId="1031096C" w14:textId="77777777" w:rsidTr="00845512">
        <w:trPr>
          <w:trHeight w:hRule="exact" w:val="277"/>
          <w:tblHeader/>
        </w:trPr>
        <w:tc>
          <w:tcPr>
            <w:tcW w:w="20" w:type="dxa"/>
            <w:vMerge/>
            <w:tcBorders>
              <w:left w:val="single" w:sz="4" w:space="0" w:color="auto"/>
            </w:tcBorders>
            <w:shd w:val="clear" w:color="auto" w:fill="auto"/>
          </w:tcPr>
          <w:p w14:paraId="19F5881F" w14:textId="77777777" w:rsidR="00DF61BC" w:rsidRPr="00C94C33" w:rsidRDefault="00DF61BC" w:rsidP="005C2FCA">
            <w:pPr>
              <w:keepNext/>
              <w:kinsoku w:val="0"/>
              <w:overflowPunct w:val="0"/>
              <w:autoSpaceDE w:val="0"/>
              <w:autoSpaceDN w:val="0"/>
              <w:adjustRightInd w:val="0"/>
              <w:spacing w:before="18" w:after="0"/>
              <w:ind w:left="99"/>
              <w:rPr>
                <w:rFonts w:asciiTheme="minorHAnsi" w:hAnsiTheme="minorHAnsi" w:cstheme="minorHAnsi"/>
                <w:bCs/>
                <w:sz w:val="20"/>
                <w:szCs w:val="20"/>
              </w:rPr>
            </w:pPr>
          </w:p>
        </w:tc>
        <w:tc>
          <w:tcPr>
            <w:tcW w:w="4248" w:type="dxa"/>
            <w:gridSpan w:val="2"/>
            <w:tcBorders>
              <w:left w:val="nil"/>
              <w:right w:val="single" w:sz="6" w:space="0" w:color="000000"/>
            </w:tcBorders>
            <w:shd w:val="clear" w:color="auto" w:fill="auto"/>
          </w:tcPr>
          <w:p w14:paraId="7B73D09E" w14:textId="0A54F431" w:rsidR="00DF61BC" w:rsidRPr="00C94C33" w:rsidRDefault="00DF61BC" w:rsidP="00845512">
            <w:pPr>
              <w:pStyle w:val="Tabletext"/>
            </w:pPr>
            <w:r w:rsidRPr="00C94C33">
              <w:t>Bronchitis</w:t>
            </w:r>
          </w:p>
        </w:tc>
        <w:tc>
          <w:tcPr>
            <w:tcW w:w="1332" w:type="dxa"/>
            <w:tcBorders>
              <w:left w:val="single" w:sz="6" w:space="0" w:color="000000"/>
            </w:tcBorders>
            <w:shd w:val="clear" w:color="auto" w:fill="auto"/>
          </w:tcPr>
          <w:p w14:paraId="251748EB" w14:textId="77777777" w:rsidR="00DF61BC" w:rsidRPr="00C94C33" w:rsidRDefault="00DF61BC" w:rsidP="00845512">
            <w:pPr>
              <w:pStyle w:val="Tabletext"/>
              <w:jc w:val="center"/>
              <w:rPr>
                <w:spacing w:val="-1"/>
              </w:rPr>
            </w:pPr>
            <w:r w:rsidRPr="00C94C33">
              <w:rPr>
                <w:spacing w:val="-1"/>
              </w:rPr>
              <w:t>8 (1.5)</w:t>
            </w:r>
          </w:p>
        </w:tc>
        <w:tc>
          <w:tcPr>
            <w:tcW w:w="1332" w:type="dxa"/>
            <w:tcBorders>
              <w:left w:val="nil"/>
              <w:right w:val="single" w:sz="4" w:space="0" w:color="auto"/>
            </w:tcBorders>
            <w:shd w:val="clear" w:color="auto" w:fill="auto"/>
          </w:tcPr>
          <w:p w14:paraId="09551B3E" w14:textId="77777777" w:rsidR="00DF61BC" w:rsidRPr="00C94C33" w:rsidRDefault="00DF61BC" w:rsidP="00845512">
            <w:pPr>
              <w:pStyle w:val="Tabletext"/>
              <w:jc w:val="center"/>
              <w:rPr>
                <w:spacing w:val="-1"/>
              </w:rPr>
            </w:pPr>
            <w:r w:rsidRPr="00C94C33">
              <w:rPr>
                <w:spacing w:val="-1"/>
              </w:rPr>
              <w:t>1 (0.2)</w:t>
            </w:r>
          </w:p>
        </w:tc>
        <w:tc>
          <w:tcPr>
            <w:tcW w:w="1332" w:type="dxa"/>
            <w:tcBorders>
              <w:left w:val="single" w:sz="4" w:space="0" w:color="auto"/>
            </w:tcBorders>
            <w:shd w:val="clear" w:color="auto" w:fill="auto"/>
          </w:tcPr>
          <w:p w14:paraId="2102D206" w14:textId="77777777" w:rsidR="00DF61BC" w:rsidRPr="00C94C33" w:rsidRDefault="00DF61BC" w:rsidP="00845512">
            <w:pPr>
              <w:pStyle w:val="Tabletext"/>
              <w:jc w:val="center"/>
            </w:pPr>
            <w:r w:rsidRPr="00C94C33">
              <w:t>2 (0.8)</w:t>
            </w:r>
          </w:p>
        </w:tc>
        <w:tc>
          <w:tcPr>
            <w:tcW w:w="1332" w:type="dxa"/>
            <w:tcBorders>
              <w:left w:val="nil"/>
              <w:right w:val="single" w:sz="4" w:space="0" w:color="auto"/>
            </w:tcBorders>
            <w:shd w:val="clear" w:color="auto" w:fill="auto"/>
          </w:tcPr>
          <w:p w14:paraId="043FE203" w14:textId="77777777" w:rsidR="00DF61BC" w:rsidRPr="00C94C33" w:rsidRDefault="00DF61BC" w:rsidP="00845512">
            <w:pPr>
              <w:pStyle w:val="Tabletext"/>
              <w:jc w:val="center"/>
            </w:pPr>
            <w:r w:rsidRPr="00C94C33">
              <w:t>0</w:t>
            </w:r>
          </w:p>
        </w:tc>
        <w:tc>
          <w:tcPr>
            <w:tcW w:w="309" w:type="dxa"/>
            <w:vMerge/>
            <w:tcBorders>
              <w:left w:val="single" w:sz="4" w:space="0" w:color="auto"/>
            </w:tcBorders>
            <w:shd w:val="clear" w:color="auto" w:fill="auto"/>
          </w:tcPr>
          <w:p w14:paraId="21CE388D" w14:textId="77777777" w:rsidR="00DF61BC" w:rsidRPr="00C94C33" w:rsidRDefault="00DF61BC" w:rsidP="005C2FCA">
            <w:pPr>
              <w:keepNext/>
              <w:spacing w:after="0"/>
              <w:rPr>
                <w:rFonts w:asciiTheme="minorHAnsi" w:hAnsiTheme="minorHAnsi" w:cstheme="minorHAnsi"/>
                <w:sz w:val="20"/>
                <w:szCs w:val="20"/>
              </w:rPr>
            </w:pPr>
          </w:p>
        </w:tc>
        <w:tc>
          <w:tcPr>
            <w:tcW w:w="480" w:type="dxa"/>
            <w:vMerge/>
            <w:shd w:val="clear" w:color="auto" w:fill="auto"/>
          </w:tcPr>
          <w:p w14:paraId="7F5C3A2F" w14:textId="77777777" w:rsidR="00DF61BC" w:rsidRPr="00C94C33" w:rsidRDefault="00DF61BC" w:rsidP="005C2FCA">
            <w:pPr>
              <w:keepNext/>
              <w:spacing w:after="0"/>
              <w:rPr>
                <w:rFonts w:asciiTheme="minorHAnsi" w:hAnsiTheme="minorHAnsi" w:cstheme="minorHAnsi"/>
                <w:sz w:val="20"/>
                <w:szCs w:val="20"/>
              </w:rPr>
            </w:pPr>
          </w:p>
        </w:tc>
      </w:tr>
      <w:tr w:rsidR="00DF61BC" w:rsidRPr="00C94C33" w14:paraId="3488BDBD" w14:textId="77777777" w:rsidTr="00845512">
        <w:trPr>
          <w:trHeight w:hRule="exact" w:val="277"/>
          <w:tblHeader/>
        </w:trPr>
        <w:tc>
          <w:tcPr>
            <w:tcW w:w="20" w:type="dxa"/>
            <w:vMerge/>
            <w:tcBorders>
              <w:left w:val="single" w:sz="4" w:space="0" w:color="auto"/>
            </w:tcBorders>
            <w:shd w:val="clear" w:color="auto" w:fill="auto"/>
          </w:tcPr>
          <w:p w14:paraId="444340E3" w14:textId="77777777" w:rsidR="00DF61BC" w:rsidRPr="00C94C33" w:rsidRDefault="00DF61BC" w:rsidP="005C2FCA">
            <w:pPr>
              <w:keepNext/>
              <w:kinsoku w:val="0"/>
              <w:overflowPunct w:val="0"/>
              <w:autoSpaceDE w:val="0"/>
              <w:autoSpaceDN w:val="0"/>
              <w:adjustRightInd w:val="0"/>
              <w:spacing w:before="18" w:after="0"/>
              <w:ind w:left="99"/>
              <w:rPr>
                <w:rFonts w:asciiTheme="minorHAnsi" w:hAnsiTheme="minorHAnsi" w:cstheme="minorHAnsi"/>
                <w:bCs/>
                <w:sz w:val="20"/>
                <w:szCs w:val="20"/>
              </w:rPr>
            </w:pPr>
          </w:p>
        </w:tc>
        <w:tc>
          <w:tcPr>
            <w:tcW w:w="4248" w:type="dxa"/>
            <w:gridSpan w:val="2"/>
            <w:tcBorders>
              <w:left w:val="nil"/>
              <w:right w:val="single" w:sz="6" w:space="0" w:color="000000"/>
            </w:tcBorders>
            <w:shd w:val="clear" w:color="auto" w:fill="auto"/>
          </w:tcPr>
          <w:p w14:paraId="631D1755" w14:textId="024E4169" w:rsidR="00DF61BC" w:rsidRPr="00C94C33" w:rsidRDefault="00DF61BC" w:rsidP="00845512">
            <w:pPr>
              <w:pStyle w:val="Tabletext"/>
            </w:pPr>
            <w:r w:rsidRPr="00C94C33">
              <w:t>Herpes zoster</w:t>
            </w:r>
          </w:p>
        </w:tc>
        <w:tc>
          <w:tcPr>
            <w:tcW w:w="1332" w:type="dxa"/>
            <w:tcBorders>
              <w:left w:val="single" w:sz="6" w:space="0" w:color="000000"/>
            </w:tcBorders>
            <w:shd w:val="clear" w:color="auto" w:fill="auto"/>
          </w:tcPr>
          <w:p w14:paraId="6E151408" w14:textId="77777777" w:rsidR="00DF61BC" w:rsidRPr="00C94C33" w:rsidRDefault="00DF61BC" w:rsidP="00845512">
            <w:pPr>
              <w:pStyle w:val="Tabletext"/>
              <w:jc w:val="center"/>
              <w:rPr>
                <w:spacing w:val="-1"/>
              </w:rPr>
            </w:pPr>
            <w:r w:rsidRPr="00C94C33">
              <w:rPr>
                <w:spacing w:val="-1"/>
              </w:rPr>
              <w:t>8 (1.5)</w:t>
            </w:r>
          </w:p>
        </w:tc>
        <w:tc>
          <w:tcPr>
            <w:tcW w:w="1332" w:type="dxa"/>
            <w:tcBorders>
              <w:left w:val="nil"/>
              <w:right w:val="single" w:sz="4" w:space="0" w:color="auto"/>
            </w:tcBorders>
            <w:shd w:val="clear" w:color="auto" w:fill="auto"/>
          </w:tcPr>
          <w:p w14:paraId="39AE7649" w14:textId="77777777" w:rsidR="00DF61BC" w:rsidRPr="00C94C33" w:rsidRDefault="00DF61BC" w:rsidP="00845512">
            <w:pPr>
              <w:pStyle w:val="Tabletext"/>
              <w:jc w:val="center"/>
              <w:rPr>
                <w:spacing w:val="-1"/>
              </w:rPr>
            </w:pPr>
            <w:r w:rsidRPr="00C94C33">
              <w:rPr>
                <w:spacing w:val="-1"/>
              </w:rPr>
              <w:t>1 (0.2)</w:t>
            </w:r>
          </w:p>
        </w:tc>
        <w:tc>
          <w:tcPr>
            <w:tcW w:w="1332" w:type="dxa"/>
            <w:tcBorders>
              <w:left w:val="single" w:sz="4" w:space="0" w:color="auto"/>
            </w:tcBorders>
            <w:shd w:val="clear" w:color="auto" w:fill="auto"/>
          </w:tcPr>
          <w:p w14:paraId="74FCA043" w14:textId="77777777" w:rsidR="00DF61BC" w:rsidRPr="00C94C33" w:rsidRDefault="00DF61BC" w:rsidP="00845512">
            <w:pPr>
              <w:pStyle w:val="Tabletext"/>
              <w:jc w:val="center"/>
            </w:pPr>
            <w:r w:rsidRPr="00C94C33">
              <w:t>0</w:t>
            </w:r>
          </w:p>
        </w:tc>
        <w:tc>
          <w:tcPr>
            <w:tcW w:w="1332" w:type="dxa"/>
            <w:tcBorders>
              <w:left w:val="nil"/>
              <w:right w:val="single" w:sz="4" w:space="0" w:color="auto"/>
            </w:tcBorders>
            <w:shd w:val="clear" w:color="auto" w:fill="auto"/>
          </w:tcPr>
          <w:p w14:paraId="1A9D3110" w14:textId="77777777" w:rsidR="00DF61BC" w:rsidRPr="00C94C33" w:rsidRDefault="00DF61BC" w:rsidP="00845512">
            <w:pPr>
              <w:pStyle w:val="Tabletext"/>
              <w:jc w:val="center"/>
            </w:pPr>
            <w:r w:rsidRPr="00C94C33">
              <w:t>0</w:t>
            </w:r>
          </w:p>
        </w:tc>
        <w:tc>
          <w:tcPr>
            <w:tcW w:w="309" w:type="dxa"/>
            <w:vMerge/>
            <w:tcBorders>
              <w:left w:val="single" w:sz="4" w:space="0" w:color="auto"/>
            </w:tcBorders>
            <w:shd w:val="clear" w:color="auto" w:fill="auto"/>
          </w:tcPr>
          <w:p w14:paraId="1B6FFD12" w14:textId="77777777" w:rsidR="00DF61BC" w:rsidRPr="00C94C33" w:rsidRDefault="00DF61BC" w:rsidP="005C2FCA">
            <w:pPr>
              <w:keepNext/>
              <w:spacing w:after="0"/>
              <w:rPr>
                <w:rFonts w:asciiTheme="minorHAnsi" w:hAnsiTheme="minorHAnsi" w:cstheme="minorHAnsi"/>
                <w:sz w:val="20"/>
                <w:szCs w:val="20"/>
              </w:rPr>
            </w:pPr>
          </w:p>
        </w:tc>
        <w:tc>
          <w:tcPr>
            <w:tcW w:w="480" w:type="dxa"/>
            <w:vMerge/>
            <w:shd w:val="clear" w:color="auto" w:fill="auto"/>
          </w:tcPr>
          <w:p w14:paraId="324C4F3E" w14:textId="77777777" w:rsidR="00DF61BC" w:rsidRPr="00C94C33" w:rsidRDefault="00DF61BC" w:rsidP="005C2FCA">
            <w:pPr>
              <w:keepNext/>
              <w:spacing w:after="0"/>
              <w:rPr>
                <w:rFonts w:asciiTheme="minorHAnsi" w:hAnsiTheme="minorHAnsi" w:cstheme="minorHAnsi"/>
                <w:sz w:val="20"/>
                <w:szCs w:val="20"/>
              </w:rPr>
            </w:pPr>
          </w:p>
        </w:tc>
      </w:tr>
      <w:tr w:rsidR="00DF61BC" w:rsidRPr="00C94C33" w14:paraId="23FF4AA7" w14:textId="77777777" w:rsidTr="00845512">
        <w:trPr>
          <w:trHeight w:hRule="exact" w:val="277"/>
          <w:tblHeader/>
        </w:trPr>
        <w:tc>
          <w:tcPr>
            <w:tcW w:w="20" w:type="dxa"/>
            <w:vMerge/>
            <w:tcBorders>
              <w:left w:val="single" w:sz="4" w:space="0" w:color="auto"/>
            </w:tcBorders>
            <w:shd w:val="clear" w:color="auto" w:fill="auto"/>
          </w:tcPr>
          <w:p w14:paraId="7CE3C8AF" w14:textId="77777777" w:rsidR="00DF61BC" w:rsidRPr="00C94C33" w:rsidRDefault="00DF61BC" w:rsidP="005C2FCA">
            <w:pPr>
              <w:keepNext/>
              <w:kinsoku w:val="0"/>
              <w:overflowPunct w:val="0"/>
              <w:autoSpaceDE w:val="0"/>
              <w:autoSpaceDN w:val="0"/>
              <w:adjustRightInd w:val="0"/>
              <w:spacing w:before="18" w:after="0"/>
              <w:ind w:left="99"/>
              <w:rPr>
                <w:rFonts w:asciiTheme="minorHAnsi" w:hAnsiTheme="minorHAnsi" w:cstheme="minorHAnsi"/>
                <w:bCs/>
                <w:sz w:val="20"/>
                <w:szCs w:val="20"/>
              </w:rPr>
            </w:pPr>
          </w:p>
        </w:tc>
        <w:tc>
          <w:tcPr>
            <w:tcW w:w="4248" w:type="dxa"/>
            <w:gridSpan w:val="2"/>
            <w:tcBorders>
              <w:left w:val="nil"/>
              <w:right w:val="single" w:sz="6" w:space="0" w:color="000000"/>
            </w:tcBorders>
            <w:shd w:val="clear" w:color="auto" w:fill="auto"/>
          </w:tcPr>
          <w:p w14:paraId="4996D749" w14:textId="02E88A36" w:rsidR="00DF61BC" w:rsidRPr="00C94C33" w:rsidRDefault="00DF61BC" w:rsidP="00845512">
            <w:pPr>
              <w:pStyle w:val="Tabletext"/>
            </w:pPr>
            <w:r w:rsidRPr="00C94C33">
              <w:t>Biliary tract infection</w:t>
            </w:r>
          </w:p>
        </w:tc>
        <w:tc>
          <w:tcPr>
            <w:tcW w:w="1332" w:type="dxa"/>
            <w:tcBorders>
              <w:left w:val="single" w:sz="6" w:space="0" w:color="000000"/>
            </w:tcBorders>
            <w:shd w:val="clear" w:color="auto" w:fill="auto"/>
          </w:tcPr>
          <w:p w14:paraId="3ACDF325" w14:textId="77777777" w:rsidR="00DF61BC" w:rsidRPr="00C94C33" w:rsidRDefault="00DF61BC" w:rsidP="00845512">
            <w:pPr>
              <w:pStyle w:val="Tabletext"/>
              <w:jc w:val="center"/>
              <w:rPr>
                <w:spacing w:val="-1"/>
              </w:rPr>
            </w:pPr>
            <w:r w:rsidRPr="00C94C33">
              <w:rPr>
                <w:spacing w:val="-1"/>
              </w:rPr>
              <w:t>7 (1.3)</w:t>
            </w:r>
          </w:p>
        </w:tc>
        <w:tc>
          <w:tcPr>
            <w:tcW w:w="1332" w:type="dxa"/>
            <w:tcBorders>
              <w:left w:val="nil"/>
              <w:right w:val="single" w:sz="4" w:space="0" w:color="auto"/>
            </w:tcBorders>
            <w:shd w:val="clear" w:color="auto" w:fill="auto"/>
          </w:tcPr>
          <w:p w14:paraId="09F5B44D" w14:textId="77777777" w:rsidR="00DF61BC" w:rsidRPr="00C94C33" w:rsidRDefault="00DF61BC" w:rsidP="00845512">
            <w:pPr>
              <w:pStyle w:val="Tabletext"/>
              <w:jc w:val="center"/>
              <w:rPr>
                <w:spacing w:val="-1"/>
              </w:rPr>
            </w:pPr>
            <w:r w:rsidRPr="00C94C33">
              <w:rPr>
                <w:spacing w:val="-1"/>
              </w:rPr>
              <w:t>5 (0.9)</w:t>
            </w:r>
          </w:p>
        </w:tc>
        <w:tc>
          <w:tcPr>
            <w:tcW w:w="1332" w:type="dxa"/>
            <w:tcBorders>
              <w:left w:val="single" w:sz="4" w:space="0" w:color="auto"/>
            </w:tcBorders>
            <w:shd w:val="clear" w:color="auto" w:fill="auto"/>
          </w:tcPr>
          <w:p w14:paraId="3212A9FE" w14:textId="77777777" w:rsidR="00DF61BC" w:rsidRPr="00C94C33" w:rsidRDefault="00DF61BC" w:rsidP="00845512">
            <w:pPr>
              <w:pStyle w:val="Tabletext"/>
              <w:jc w:val="center"/>
            </w:pPr>
            <w:r w:rsidRPr="00C94C33">
              <w:t>1 (0.4)</w:t>
            </w:r>
          </w:p>
        </w:tc>
        <w:tc>
          <w:tcPr>
            <w:tcW w:w="1332" w:type="dxa"/>
            <w:tcBorders>
              <w:left w:val="nil"/>
              <w:right w:val="single" w:sz="4" w:space="0" w:color="auto"/>
            </w:tcBorders>
            <w:shd w:val="clear" w:color="auto" w:fill="auto"/>
          </w:tcPr>
          <w:p w14:paraId="11103BB6" w14:textId="77777777" w:rsidR="00DF61BC" w:rsidRPr="00C94C33" w:rsidRDefault="00DF61BC" w:rsidP="00845512">
            <w:pPr>
              <w:pStyle w:val="Tabletext"/>
              <w:jc w:val="center"/>
            </w:pPr>
            <w:r w:rsidRPr="00C94C33">
              <w:t>1 (0.4)</w:t>
            </w:r>
          </w:p>
        </w:tc>
        <w:tc>
          <w:tcPr>
            <w:tcW w:w="309" w:type="dxa"/>
            <w:vMerge/>
            <w:tcBorders>
              <w:left w:val="single" w:sz="4" w:space="0" w:color="auto"/>
            </w:tcBorders>
            <w:shd w:val="clear" w:color="auto" w:fill="auto"/>
          </w:tcPr>
          <w:p w14:paraId="36CF5EB4" w14:textId="77777777" w:rsidR="00DF61BC" w:rsidRPr="00C94C33" w:rsidRDefault="00DF61BC" w:rsidP="005C2FCA">
            <w:pPr>
              <w:keepNext/>
              <w:spacing w:after="0"/>
              <w:rPr>
                <w:rFonts w:asciiTheme="minorHAnsi" w:hAnsiTheme="minorHAnsi" w:cstheme="minorHAnsi"/>
                <w:sz w:val="20"/>
                <w:szCs w:val="20"/>
              </w:rPr>
            </w:pPr>
          </w:p>
        </w:tc>
        <w:tc>
          <w:tcPr>
            <w:tcW w:w="480" w:type="dxa"/>
            <w:vMerge/>
            <w:shd w:val="clear" w:color="auto" w:fill="auto"/>
          </w:tcPr>
          <w:p w14:paraId="4C70F1F6" w14:textId="77777777" w:rsidR="00DF61BC" w:rsidRPr="00C94C33" w:rsidRDefault="00DF61BC" w:rsidP="005C2FCA">
            <w:pPr>
              <w:keepNext/>
              <w:spacing w:after="0"/>
              <w:rPr>
                <w:rFonts w:asciiTheme="minorHAnsi" w:hAnsiTheme="minorHAnsi" w:cstheme="minorHAnsi"/>
                <w:sz w:val="20"/>
                <w:szCs w:val="20"/>
              </w:rPr>
            </w:pPr>
          </w:p>
        </w:tc>
      </w:tr>
      <w:tr w:rsidR="00DF61BC" w:rsidRPr="00C94C33" w14:paraId="411FCB71" w14:textId="77777777" w:rsidTr="00845512">
        <w:trPr>
          <w:trHeight w:hRule="exact" w:val="277"/>
          <w:tblHeader/>
        </w:trPr>
        <w:tc>
          <w:tcPr>
            <w:tcW w:w="20" w:type="dxa"/>
            <w:vMerge/>
            <w:tcBorders>
              <w:left w:val="single" w:sz="4" w:space="0" w:color="auto"/>
            </w:tcBorders>
            <w:shd w:val="clear" w:color="auto" w:fill="auto"/>
          </w:tcPr>
          <w:p w14:paraId="13DFABCF" w14:textId="77777777" w:rsidR="00DF61BC" w:rsidRPr="00C94C33" w:rsidRDefault="00DF61BC" w:rsidP="005C2FCA">
            <w:pPr>
              <w:keepNext/>
              <w:kinsoku w:val="0"/>
              <w:overflowPunct w:val="0"/>
              <w:autoSpaceDE w:val="0"/>
              <w:autoSpaceDN w:val="0"/>
              <w:adjustRightInd w:val="0"/>
              <w:spacing w:before="18" w:after="0"/>
              <w:ind w:left="99"/>
              <w:rPr>
                <w:rFonts w:asciiTheme="minorHAnsi" w:hAnsiTheme="minorHAnsi" w:cstheme="minorHAnsi"/>
                <w:bCs/>
                <w:sz w:val="20"/>
                <w:szCs w:val="20"/>
              </w:rPr>
            </w:pPr>
          </w:p>
        </w:tc>
        <w:tc>
          <w:tcPr>
            <w:tcW w:w="4248" w:type="dxa"/>
            <w:gridSpan w:val="2"/>
            <w:tcBorders>
              <w:left w:val="nil"/>
              <w:bottom w:val="single" w:sz="7" w:space="0" w:color="000000"/>
              <w:right w:val="single" w:sz="6" w:space="0" w:color="000000"/>
            </w:tcBorders>
            <w:shd w:val="clear" w:color="auto" w:fill="auto"/>
          </w:tcPr>
          <w:p w14:paraId="06CECE17" w14:textId="711FCE06" w:rsidR="00DF61BC" w:rsidRPr="00C94C33" w:rsidRDefault="00DF61BC" w:rsidP="00845512">
            <w:pPr>
              <w:pStyle w:val="Tabletext"/>
            </w:pPr>
            <w:r w:rsidRPr="00C94C33">
              <w:t>Pneumonia</w:t>
            </w:r>
          </w:p>
        </w:tc>
        <w:tc>
          <w:tcPr>
            <w:tcW w:w="1332" w:type="dxa"/>
            <w:tcBorders>
              <w:left w:val="single" w:sz="6" w:space="0" w:color="000000"/>
              <w:bottom w:val="single" w:sz="7" w:space="0" w:color="000000"/>
            </w:tcBorders>
            <w:shd w:val="clear" w:color="auto" w:fill="auto"/>
          </w:tcPr>
          <w:p w14:paraId="46C4EA13" w14:textId="77777777" w:rsidR="00DF61BC" w:rsidRPr="00C94C33" w:rsidRDefault="00DF61BC" w:rsidP="00845512">
            <w:pPr>
              <w:pStyle w:val="Tabletext"/>
              <w:jc w:val="center"/>
              <w:rPr>
                <w:spacing w:val="-1"/>
              </w:rPr>
            </w:pPr>
            <w:r w:rsidRPr="00C94C33">
              <w:rPr>
                <w:spacing w:val="-1"/>
              </w:rPr>
              <w:t>6 (1.1)</w:t>
            </w:r>
          </w:p>
        </w:tc>
        <w:tc>
          <w:tcPr>
            <w:tcW w:w="1332" w:type="dxa"/>
            <w:tcBorders>
              <w:left w:val="nil"/>
              <w:bottom w:val="single" w:sz="7" w:space="0" w:color="000000"/>
              <w:right w:val="single" w:sz="4" w:space="0" w:color="auto"/>
            </w:tcBorders>
            <w:shd w:val="clear" w:color="auto" w:fill="auto"/>
          </w:tcPr>
          <w:p w14:paraId="0B54AAB4" w14:textId="77777777" w:rsidR="00DF61BC" w:rsidRPr="00C94C33" w:rsidRDefault="00DF61BC" w:rsidP="00845512">
            <w:pPr>
              <w:pStyle w:val="Tabletext"/>
              <w:jc w:val="center"/>
              <w:rPr>
                <w:spacing w:val="-1"/>
              </w:rPr>
            </w:pPr>
            <w:r w:rsidRPr="00C94C33">
              <w:rPr>
                <w:spacing w:val="-1"/>
              </w:rPr>
              <w:t>4 (0.8)</w:t>
            </w:r>
          </w:p>
        </w:tc>
        <w:tc>
          <w:tcPr>
            <w:tcW w:w="1332" w:type="dxa"/>
            <w:tcBorders>
              <w:left w:val="single" w:sz="4" w:space="0" w:color="auto"/>
              <w:bottom w:val="single" w:sz="7" w:space="0" w:color="000000"/>
            </w:tcBorders>
            <w:shd w:val="clear" w:color="auto" w:fill="auto"/>
          </w:tcPr>
          <w:p w14:paraId="4A258006" w14:textId="77777777" w:rsidR="00DF61BC" w:rsidRPr="00C94C33" w:rsidRDefault="00DF61BC" w:rsidP="00845512">
            <w:pPr>
              <w:pStyle w:val="Tabletext"/>
              <w:jc w:val="center"/>
            </w:pPr>
            <w:r w:rsidRPr="00C94C33">
              <w:t>4 (1.5)</w:t>
            </w:r>
          </w:p>
        </w:tc>
        <w:tc>
          <w:tcPr>
            <w:tcW w:w="1332" w:type="dxa"/>
            <w:tcBorders>
              <w:left w:val="nil"/>
              <w:bottom w:val="single" w:sz="7" w:space="0" w:color="000000"/>
              <w:right w:val="single" w:sz="4" w:space="0" w:color="auto"/>
            </w:tcBorders>
            <w:shd w:val="clear" w:color="auto" w:fill="auto"/>
          </w:tcPr>
          <w:p w14:paraId="1BAD4EB5" w14:textId="77777777" w:rsidR="00DF61BC" w:rsidRPr="00C94C33" w:rsidRDefault="00DF61BC" w:rsidP="00845512">
            <w:pPr>
              <w:pStyle w:val="Tabletext"/>
              <w:jc w:val="center"/>
            </w:pPr>
            <w:r w:rsidRPr="00C94C33">
              <w:t>1 (0.4)</w:t>
            </w:r>
          </w:p>
        </w:tc>
        <w:tc>
          <w:tcPr>
            <w:tcW w:w="309" w:type="dxa"/>
            <w:vMerge/>
            <w:tcBorders>
              <w:left w:val="single" w:sz="4" w:space="0" w:color="auto"/>
            </w:tcBorders>
            <w:shd w:val="clear" w:color="auto" w:fill="auto"/>
          </w:tcPr>
          <w:p w14:paraId="62B13823" w14:textId="77777777" w:rsidR="00DF61BC" w:rsidRPr="00C94C33" w:rsidRDefault="00DF61BC" w:rsidP="005C2FCA">
            <w:pPr>
              <w:keepNext/>
              <w:spacing w:after="0"/>
              <w:rPr>
                <w:rFonts w:asciiTheme="minorHAnsi" w:hAnsiTheme="minorHAnsi" w:cstheme="minorHAnsi"/>
                <w:sz w:val="20"/>
                <w:szCs w:val="20"/>
              </w:rPr>
            </w:pPr>
          </w:p>
        </w:tc>
        <w:tc>
          <w:tcPr>
            <w:tcW w:w="480" w:type="dxa"/>
            <w:vMerge/>
            <w:shd w:val="clear" w:color="auto" w:fill="auto"/>
          </w:tcPr>
          <w:p w14:paraId="43C3945F" w14:textId="77777777" w:rsidR="00DF61BC" w:rsidRPr="00C94C33" w:rsidRDefault="00DF61BC" w:rsidP="005C2FCA">
            <w:pPr>
              <w:keepNext/>
              <w:spacing w:after="0"/>
              <w:rPr>
                <w:rFonts w:asciiTheme="minorHAnsi" w:hAnsiTheme="minorHAnsi" w:cstheme="minorHAnsi"/>
                <w:sz w:val="20"/>
                <w:szCs w:val="20"/>
              </w:rPr>
            </w:pPr>
          </w:p>
        </w:tc>
      </w:tr>
      <w:tr w:rsidR="00DF61BC" w:rsidRPr="00C94C33" w14:paraId="7263333A" w14:textId="77777777" w:rsidTr="00845512">
        <w:trPr>
          <w:trHeight w:hRule="exact" w:val="305"/>
          <w:tblHeader/>
        </w:trPr>
        <w:tc>
          <w:tcPr>
            <w:tcW w:w="20" w:type="dxa"/>
            <w:vMerge/>
            <w:tcBorders>
              <w:left w:val="single" w:sz="4" w:space="0" w:color="auto"/>
            </w:tcBorders>
            <w:shd w:val="clear" w:color="auto" w:fill="auto"/>
          </w:tcPr>
          <w:p w14:paraId="7BCC7A1A" w14:textId="77777777" w:rsidR="00DF61BC" w:rsidRPr="00C94C33" w:rsidRDefault="00DF61BC" w:rsidP="005C2FCA">
            <w:pPr>
              <w:keepNext/>
              <w:kinsoku w:val="0"/>
              <w:overflowPunct w:val="0"/>
              <w:autoSpaceDE w:val="0"/>
              <w:autoSpaceDN w:val="0"/>
              <w:adjustRightInd w:val="0"/>
              <w:spacing w:before="17" w:after="0"/>
              <w:ind w:left="99"/>
              <w:rPr>
                <w:rFonts w:asciiTheme="minorHAnsi" w:hAnsiTheme="minorHAnsi" w:cstheme="minorHAnsi"/>
                <w:b/>
                <w:bCs/>
                <w:sz w:val="20"/>
                <w:szCs w:val="20"/>
              </w:rPr>
            </w:pPr>
          </w:p>
        </w:tc>
        <w:tc>
          <w:tcPr>
            <w:tcW w:w="4248" w:type="dxa"/>
            <w:gridSpan w:val="2"/>
            <w:tcBorders>
              <w:top w:val="single" w:sz="7" w:space="0" w:color="000000"/>
              <w:left w:val="nil"/>
              <w:bottom w:val="single" w:sz="7" w:space="0" w:color="000000"/>
              <w:right w:val="single" w:sz="6" w:space="0" w:color="000000"/>
            </w:tcBorders>
            <w:shd w:val="clear" w:color="auto" w:fill="auto"/>
          </w:tcPr>
          <w:p w14:paraId="6E751F4B" w14:textId="77777777" w:rsidR="00DF61BC" w:rsidRPr="00C94C33" w:rsidRDefault="00DF61BC" w:rsidP="00845512">
            <w:pPr>
              <w:pStyle w:val="TableHeading"/>
            </w:pPr>
            <w:r w:rsidRPr="00C94C33">
              <w:t>AEs resulting</w:t>
            </w:r>
            <w:r w:rsidRPr="00C94C33">
              <w:rPr>
                <w:spacing w:val="-2"/>
              </w:rPr>
              <w:t xml:space="preserve"> </w:t>
            </w:r>
            <w:r w:rsidRPr="00C94C33">
              <w:t>in treatment discontinuation</w:t>
            </w:r>
          </w:p>
        </w:tc>
        <w:tc>
          <w:tcPr>
            <w:tcW w:w="1332" w:type="dxa"/>
            <w:tcBorders>
              <w:top w:val="single" w:sz="7" w:space="0" w:color="000000"/>
              <w:left w:val="single" w:sz="6" w:space="0" w:color="000000"/>
              <w:bottom w:val="single" w:sz="7" w:space="0" w:color="000000"/>
            </w:tcBorders>
            <w:shd w:val="clear" w:color="auto" w:fill="auto"/>
          </w:tcPr>
          <w:p w14:paraId="1E3E7729" w14:textId="77777777" w:rsidR="00DF61BC" w:rsidRPr="00C94C33" w:rsidRDefault="00DF61BC" w:rsidP="00845512">
            <w:pPr>
              <w:pStyle w:val="TableHeading"/>
              <w:jc w:val="center"/>
            </w:pPr>
            <w:r w:rsidRPr="00C94C33">
              <w:t>6 (1.1)</w:t>
            </w:r>
          </w:p>
        </w:tc>
        <w:tc>
          <w:tcPr>
            <w:tcW w:w="1332" w:type="dxa"/>
            <w:tcBorders>
              <w:top w:val="single" w:sz="7" w:space="0" w:color="000000"/>
              <w:left w:val="nil"/>
              <w:bottom w:val="single" w:sz="7" w:space="0" w:color="000000"/>
              <w:right w:val="single" w:sz="4" w:space="0" w:color="auto"/>
            </w:tcBorders>
            <w:shd w:val="clear" w:color="auto" w:fill="auto"/>
          </w:tcPr>
          <w:p w14:paraId="5D6E1D8F" w14:textId="77777777" w:rsidR="00DF61BC" w:rsidRPr="00C94C33" w:rsidRDefault="00DF61BC" w:rsidP="00845512">
            <w:pPr>
              <w:pStyle w:val="TableHeading"/>
              <w:jc w:val="center"/>
            </w:pPr>
            <w:r w:rsidRPr="00C94C33">
              <w:t>5 (0.9)</w:t>
            </w:r>
          </w:p>
        </w:tc>
        <w:tc>
          <w:tcPr>
            <w:tcW w:w="1332" w:type="dxa"/>
            <w:tcBorders>
              <w:top w:val="single" w:sz="7" w:space="0" w:color="000000"/>
              <w:left w:val="single" w:sz="4" w:space="0" w:color="auto"/>
              <w:bottom w:val="single" w:sz="7" w:space="0" w:color="000000"/>
            </w:tcBorders>
            <w:shd w:val="clear" w:color="auto" w:fill="auto"/>
          </w:tcPr>
          <w:p w14:paraId="6470E398" w14:textId="77777777" w:rsidR="00DF61BC" w:rsidRPr="00C94C33" w:rsidRDefault="00DF61BC" w:rsidP="00845512">
            <w:pPr>
              <w:pStyle w:val="TableHeading"/>
              <w:jc w:val="center"/>
            </w:pPr>
            <w:r w:rsidRPr="00C94C33">
              <w:t>8 (3.0)</w:t>
            </w:r>
          </w:p>
        </w:tc>
        <w:tc>
          <w:tcPr>
            <w:tcW w:w="1332" w:type="dxa"/>
            <w:tcBorders>
              <w:top w:val="single" w:sz="7" w:space="0" w:color="000000"/>
              <w:left w:val="nil"/>
              <w:bottom w:val="single" w:sz="7" w:space="0" w:color="000000"/>
              <w:right w:val="single" w:sz="4" w:space="0" w:color="auto"/>
            </w:tcBorders>
            <w:shd w:val="clear" w:color="auto" w:fill="auto"/>
          </w:tcPr>
          <w:p w14:paraId="59D82698" w14:textId="77777777" w:rsidR="00DF61BC" w:rsidRPr="00C94C33" w:rsidRDefault="00DF61BC" w:rsidP="00845512">
            <w:pPr>
              <w:pStyle w:val="TableHeading"/>
              <w:jc w:val="center"/>
            </w:pPr>
            <w:r w:rsidRPr="00C94C33">
              <w:t>5 (1.9)</w:t>
            </w:r>
          </w:p>
        </w:tc>
        <w:tc>
          <w:tcPr>
            <w:tcW w:w="309" w:type="dxa"/>
            <w:vMerge/>
            <w:tcBorders>
              <w:left w:val="single" w:sz="4" w:space="0" w:color="auto"/>
            </w:tcBorders>
            <w:shd w:val="clear" w:color="auto" w:fill="auto"/>
          </w:tcPr>
          <w:p w14:paraId="544D7008" w14:textId="77777777" w:rsidR="00DF61BC" w:rsidRPr="00C94C33" w:rsidRDefault="00DF61BC" w:rsidP="005C2FCA">
            <w:pPr>
              <w:keepNext/>
              <w:spacing w:after="0"/>
              <w:rPr>
                <w:rFonts w:asciiTheme="minorHAnsi" w:hAnsiTheme="minorHAnsi" w:cstheme="minorHAnsi"/>
                <w:b/>
                <w:sz w:val="20"/>
                <w:szCs w:val="20"/>
              </w:rPr>
            </w:pPr>
          </w:p>
        </w:tc>
        <w:tc>
          <w:tcPr>
            <w:tcW w:w="480" w:type="dxa"/>
            <w:vMerge/>
            <w:shd w:val="clear" w:color="auto" w:fill="auto"/>
          </w:tcPr>
          <w:p w14:paraId="39CFC271" w14:textId="77777777" w:rsidR="00DF61BC" w:rsidRPr="00C94C33" w:rsidRDefault="00DF61BC" w:rsidP="005C2FCA">
            <w:pPr>
              <w:keepNext/>
              <w:spacing w:after="0"/>
              <w:rPr>
                <w:rFonts w:asciiTheme="minorHAnsi" w:hAnsiTheme="minorHAnsi" w:cstheme="minorHAnsi"/>
                <w:b/>
                <w:sz w:val="20"/>
                <w:szCs w:val="20"/>
              </w:rPr>
            </w:pPr>
          </w:p>
        </w:tc>
      </w:tr>
      <w:tr w:rsidR="00DF61BC" w:rsidRPr="00C94C33" w14:paraId="3C3C1BF6" w14:textId="77777777" w:rsidTr="00845512">
        <w:trPr>
          <w:trHeight w:hRule="exact" w:val="305"/>
          <w:tblHeader/>
        </w:trPr>
        <w:tc>
          <w:tcPr>
            <w:tcW w:w="20" w:type="dxa"/>
            <w:vMerge/>
            <w:tcBorders>
              <w:left w:val="single" w:sz="4" w:space="0" w:color="auto"/>
            </w:tcBorders>
            <w:shd w:val="clear" w:color="auto" w:fill="auto"/>
          </w:tcPr>
          <w:p w14:paraId="62B13187" w14:textId="77777777" w:rsidR="00DF61BC" w:rsidRPr="00C94C33" w:rsidRDefault="00DF61BC" w:rsidP="005C2FCA">
            <w:pPr>
              <w:keepNext/>
              <w:kinsoku w:val="0"/>
              <w:overflowPunct w:val="0"/>
              <w:autoSpaceDE w:val="0"/>
              <w:autoSpaceDN w:val="0"/>
              <w:adjustRightInd w:val="0"/>
              <w:spacing w:before="17" w:after="0"/>
              <w:ind w:left="99"/>
              <w:rPr>
                <w:rFonts w:asciiTheme="minorHAnsi" w:hAnsiTheme="minorHAnsi" w:cstheme="minorHAnsi"/>
                <w:b/>
                <w:bCs/>
                <w:spacing w:val="-1"/>
                <w:sz w:val="20"/>
                <w:szCs w:val="20"/>
              </w:rPr>
            </w:pPr>
          </w:p>
        </w:tc>
        <w:tc>
          <w:tcPr>
            <w:tcW w:w="4248" w:type="dxa"/>
            <w:gridSpan w:val="2"/>
            <w:tcBorders>
              <w:top w:val="single" w:sz="7" w:space="0" w:color="000000"/>
              <w:left w:val="nil"/>
              <w:right w:val="single" w:sz="6" w:space="0" w:color="000000"/>
            </w:tcBorders>
            <w:shd w:val="clear" w:color="auto" w:fill="auto"/>
          </w:tcPr>
          <w:p w14:paraId="42C5F2D1" w14:textId="77777777" w:rsidR="00DF61BC" w:rsidRPr="00845512" w:rsidRDefault="00DF61BC" w:rsidP="00845512">
            <w:pPr>
              <w:pStyle w:val="Tabletext"/>
              <w:rPr>
                <w:b/>
              </w:rPr>
            </w:pPr>
            <w:r w:rsidRPr="00845512">
              <w:rPr>
                <w:b/>
                <w:spacing w:val="-1"/>
              </w:rPr>
              <w:t>Fatal AEs</w:t>
            </w:r>
          </w:p>
        </w:tc>
        <w:tc>
          <w:tcPr>
            <w:tcW w:w="1332" w:type="dxa"/>
            <w:tcBorders>
              <w:top w:val="single" w:sz="7" w:space="0" w:color="000000"/>
              <w:left w:val="single" w:sz="6" w:space="0" w:color="000000"/>
            </w:tcBorders>
            <w:shd w:val="clear" w:color="auto" w:fill="auto"/>
          </w:tcPr>
          <w:p w14:paraId="3F010F8C" w14:textId="77777777" w:rsidR="00DF61BC" w:rsidRPr="00C94C33" w:rsidRDefault="00DF61BC" w:rsidP="00845512">
            <w:pPr>
              <w:pStyle w:val="Tabletext"/>
              <w:jc w:val="center"/>
            </w:pPr>
            <w:r w:rsidRPr="00C94C33">
              <w:t>3</w:t>
            </w:r>
            <w:r w:rsidRPr="00C94C33">
              <w:rPr>
                <w:spacing w:val="-1"/>
              </w:rPr>
              <w:t xml:space="preserve"> (0.6)</w:t>
            </w:r>
          </w:p>
        </w:tc>
        <w:tc>
          <w:tcPr>
            <w:tcW w:w="1332" w:type="dxa"/>
            <w:tcBorders>
              <w:top w:val="single" w:sz="7" w:space="0" w:color="000000"/>
              <w:left w:val="nil"/>
              <w:right w:val="single" w:sz="4" w:space="0" w:color="auto"/>
            </w:tcBorders>
            <w:shd w:val="clear" w:color="auto" w:fill="auto"/>
          </w:tcPr>
          <w:p w14:paraId="26BE3C9C" w14:textId="77777777" w:rsidR="00DF61BC" w:rsidRPr="00C94C33" w:rsidRDefault="00DF61BC" w:rsidP="00845512">
            <w:pPr>
              <w:pStyle w:val="Tabletext"/>
              <w:jc w:val="center"/>
            </w:pPr>
            <w:r w:rsidRPr="00C94C33">
              <w:t>3</w:t>
            </w:r>
            <w:r w:rsidRPr="00C94C33">
              <w:rPr>
                <w:spacing w:val="-1"/>
              </w:rPr>
              <w:t xml:space="preserve"> (0.6)</w:t>
            </w:r>
          </w:p>
        </w:tc>
        <w:tc>
          <w:tcPr>
            <w:tcW w:w="1332" w:type="dxa"/>
            <w:tcBorders>
              <w:top w:val="single" w:sz="7" w:space="0" w:color="000000"/>
              <w:left w:val="single" w:sz="4" w:space="0" w:color="auto"/>
            </w:tcBorders>
            <w:shd w:val="clear" w:color="auto" w:fill="auto"/>
          </w:tcPr>
          <w:p w14:paraId="6B2802D6" w14:textId="77777777" w:rsidR="00DF61BC" w:rsidRPr="00C94C33" w:rsidRDefault="00DF61BC" w:rsidP="00845512">
            <w:pPr>
              <w:pStyle w:val="Tabletext"/>
              <w:jc w:val="center"/>
            </w:pPr>
            <w:r w:rsidRPr="00C94C33">
              <w:t>0</w:t>
            </w:r>
          </w:p>
        </w:tc>
        <w:tc>
          <w:tcPr>
            <w:tcW w:w="1332" w:type="dxa"/>
            <w:vMerge w:val="restart"/>
            <w:tcBorders>
              <w:top w:val="single" w:sz="7" w:space="0" w:color="000000"/>
              <w:left w:val="nil"/>
              <w:right w:val="single" w:sz="4" w:space="0" w:color="auto"/>
            </w:tcBorders>
            <w:shd w:val="clear" w:color="auto" w:fill="auto"/>
          </w:tcPr>
          <w:p w14:paraId="7901C798" w14:textId="77777777" w:rsidR="00DF61BC" w:rsidRPr="00C94C33" w:rsidRDefault="00DF61BC" w:rsidP="00845512">
            <w:pPr>
              <w:pStyle w:val="Tabletext"/>
              <w:jc w:val="center"/>
            </w:pPr>
            <w:r w:rsidRPr="00C94C33">
              <w:t>0</w:t>
            </w:r>
          </w:p>
          <w:p w14:paraId="54531C29" w14:textId="77777777" w:rsidR="00DF61BC" w:rsidRPr="00C94C33" w:rsidRDefault="00DF61BC" w:rsidP="00845512">
            <w:pPr>
              <w:pStyle w:val="Tabletext"/>
              <w:jc w:val="center"/>
            </w:pPr>
            <w:r w:rsidRPr="00C94C33">
              <w:t>0</w:t>
            </w:r>
          </w:p>
        </w:tc>
        <w:tc>
          <w:tcPr>
            <w:tcW w:w="309" w:type="dxa"/>
            <w:vMerge/>
            <w:tcBorders>
              <w:left w:val="single" w:sz="4" w:space="0" w:color="auto"/>
            </w:tcBorders>
            <w:shd w:val="clear" w:color="auto" w:fill="auto"/>
          </w:tcPr>
          <w:p w14:paraId="136C3A2C" w14:textId="77777777" w:rsidR="00DF61BC" w:rsidRPr="00C94C33" w:rsidRDefault="00DF61BC" w:rsidP="005C2FCA">
            <w:pPr>
              <w:keepNext/>
              <w:spacing w:after="0"/>
              <w:rPr>
                <w:rFonts w:asciiTheme="minorHAnsi" w:hAnsiTheme="minorHAnsi" w:cstheme="minorHAnsi"/>
                <w:sz w:val="20"/>
                <w:szCs w:val="20"/>
              </w:rPr>
            </w:pPr>
          </w:p>
        </w:tc>
        <w:tc>
          <w:tcPr>
            <w:tcW w:w="480" w:type="dxa"/>
            <w:vMerge/>
            <w:shd w:val="clear" w:color="auto" w:fill="auto"/>
          </w:tcPr>
          <w:p w14:paraId="3A006554" w14:textId="77777777" w:rsidR="00DF61BC" w:rsidRPr="00C94C33" w:rsidRDefault="00DF61BC" w:rsidP="005C2FCA">
            <w:pPr>
              <w:keepNext/>
              <w:spacing w:after="0"/>
              <w:rPr>
                <w:rFonts w:asciiTheme="minorHAnsi" w:hAnsiTheme="minorHAnsi" w:cstheme="minorHAnsi"/>
                <w:sz w:val="20"/>
                <w:szCs w:val="20"/>
              </w:rPr>
            </w:pPr>
          </w:p>
        </w:tc>
      </w:tr>
      <w:tr w:rsidR="00DF61BC" w:rsidRPr="00C94C33" w14:paraId="6E173FB5" w14:textId="77777777" w:rsidTr="00845512">
        <w:trPr>
          <w:trHeight w:hRule="exact" w:val="305"/>
          <w:tblHeader/>
        </w:trPr>
        <w:tc>
          <w:tcPr>
            <w:tcW w:w="20" w:type="dxa"/>
            <w:vMerge/>
            <w:tcBorders>
              <w:left w:val="single" w:sz="4" w:space="0" w:color="auto"/>
            </w:tcBorders>
            <w:shd w:val="clear" w:color="auto" w:fill="auto"/>
          </w:tcPr>
          <w:p w14:paraId="69097B0A" w14:textId="77777777" w:rsidR="00DF61BC" w:rsidRPr="00C94C33" w:rsidRDefault="00DF61BC" w:rsidP="005C2FCA">
            <w:pPr>
              <w:keepNext/>
              <w:kinsoku w:val="0"/>
              <w:overflowPunct w:val="0"/>
              <w:autoSpaceDE w:val="0"/>
              <w:autoSpaceDN w:val="0"/>
              <w:adjustRightInd w:val="0"/>
              <w:spacing w:before="15" w:after="0"/>
              <w:ind w:left="411"/>
              <w:rPr>
                <w:rFonts w:asciiTheme="minorHAnsi" w:hAnsiTheme="minorHAnsi" w:cstheme="minorHAnsi"/>
                <w:spacing w:val="-1"/>
                <w:sz w:val="20"/>
                <w:szCs w:val="20"/>
              </w:rPr>
            </w:pPr>
          </w:p>
        </w:tc>
        <w:tc>
          <w:tcPr>
            <w:tcW w:w="60" w:type="dxa"/>
            <w:tcBorders>
              <w:left w:val="nil"/>
              <w:right w:val="nil"/>
            </w:tcBorders>
            <w:shd w:val="clear" w:color="auto" w:fill="auto"/>
          </w:tcPr>
          <w:p w14:paraId="2BC22432" w14:textId="77777777" w:rsidR="00DF61BC" w:rsidRPr="00C94C33" w:rsidRDefault="00DF61BC" w:rsidP="00845512">
            <w:pPr>
              <w:pStyle w:val="Tabletext"/>
            </w:pPr>
          </w:p>
        </w:tc>
        <w:tc>
          <w:tcPr>
            <w:tcW w:w="4188" w:type="dxa"/>
            <w:tcBorders>
              <w:left w:val="nil"/>
              <w:right w:val="single" w:sz="6" w:space="0" w:color="000000"/>
            </w:tcBorders>
            <w:shd w:val="clear" w:color="auto" w:fill="auto"/>
          </w:tcPr>
          <w:p w14:paraId="51F36BC7" w14:textId="77777777" w:rsidR="00DF61BC" w:rsidRPr="00C94C33" w:rsidRDefault="00DF61BC" w:rsidP="00845512">
            <w:pPr>
              <w:pStyle w:val="Tabletext"/>
            </w:pPr>
            <w:r w:rsidRPr="00C94C33">
              <w:rPr>
                <w:spacing w:val="-1"/>
              </w:rPr>
              <w:t>Liver</w:t>
            </w:r>
            <w:r w:rsidRPr="00C94C33">
              <w:t xml:space="preserve"> </w:t>
            </w:r>
            <w:r w:rsidRPr="00C94C33">
              <w:rPr>
                <w:spacing w:val="-1"/>
              </w:rPr>
              <w:t>abscess</w:t>
            </w:r>
          </w:p>
        </w:tc>
        <w:tc>
          <w:tcPr>
            <w:tcW w:w="1332" w:type="dxa"/>
            <w:tcBorders>
              <w:left w:val="single" w:sz="6" w:space="0" w:color="000000"/>
            </w:tcBorders>
            <w:shd w:val="clear" w:color="auto" w:fill="auto"/>
          </w:tcPr>
          <w:p w14:paraId="027A946D" w14:textId="77777777" w:rsidR="00DF61BC" w:rsidRPr="00C94C33" w:rsidRDefault="00DF61BC" w:rsidP="00845512">
            <w:pPr>
              <w:pStyle w:val="Tabletext"/>
              <w:jc w:val="center"/>
            </w:pPr>
            <w:r w:rsidRPr="00C94C33">
              <w:t>1</w:t>
            </w:r>
            <w:r w:rsidRPr="00C94C33">
              <w:rPr>
                <w:spacing w:val="-1"/>
              </w:rPr>
              <w:t xml:space="preserve"> (0.2)</w:t>
            </w:r>
          </w:p>
        </w:tc>
        <w:tc>
          <w:tcPr>
            <w:tcW w:w="1332" w:type="dxa"/>
            <w:tcBorders>
              <w:left w:val="nil"/>
              <w:right w:val="single" w:sz="4" w:space="0" w:color="auto"/>
            </w:tcBorders>
            <w:shd w:val="clear" w:color="auto" w:fill="auto"/>
          </w:tcPr>
          <w:p w14:paraId="339CD8FD" w14:textId="77777777" w:rsidR="00DF61BC" w:rsidRPr="00C94C33" w:rsidRDefault="00DF61BC" w:rsidP="00845512">
            <w:pPr>
              <w:pStyle w:val="Tabletext"/>
              <w:jc w:val="center"/>
            </w:pPr>
            <w:r w:rsidRPr="00C94C33">
              <w:t>1</w:t>
            </w:r>
            <w:r w:rsidRPr="00C94C33">
              <w:rPr>
                <w:spacing w:val="-1"/>
              </w:rPr>
              <w:t xml:space="preserve"> (0.2)</w:t>
            </w:r>
          </w:p>
        </w:tc>
        <w:tc>
          <w:tcPr>
            <w:tcW w:w="1332" w:type="dxa"/>
            <w:tcBorders>
              <w:left w:val="single" w:sz="4" w:space="0" w:color="auto"/>
            </w:tcBorders>
            <w:shd w:val="clear" w:color="auto" w:fill="auto"/>
          </w:tcPr>
          <w:p w14:paraId="233D2F04" w14:textId="77777777" w:rsidR="00DF61BC" w:rsidRPr="00C94C33" w:rsidRDefault="00DF61BC" w:rsidP="00845512">
            <w:pPr>
              <w:pStyle w:val="Tabletext"/>
              <w:jc w:val="center"/>
            </w:pPr>
            <w:r w:rsidRPr="00C94C33">
              <w:t>0</w:t>
            </w:r>
          </w:p>
        </w:tc>
        <w:tc>
          <w:tcPr>
            <w:tcW w:w="1332" w:type="dxa"/>
            <w:vMerge/>
            <w:tcBorders>
              <w:left w:val="nil"/>
              <w:right w:val="single" w:sz="4" w:space="0" w:color="auto"/>
            </w:tcBorders>
            <w:shd w:val="clear" w:color="auto" w:fill="auto"/>
          </w:tcPr>
          <w:p w14:paraId="7D417368" w14:textId="77777777" w:rsidR="00DF61BC" w:rsidRPr="00C94C33" w:rsidRDefault="00DF61BC" w:rsidP="00845512">
            <w:pPr>
              <w:pStyle w:val="Tabletext"/>
              <w:jc w:val="center"/>
            </w:pPr>
          </w:p>
        </w:tc>
        <w:tc>
          <w:tcPr>
            <w:tcW w:w="309" w:type="dxa"/>
            <w:vMerge/>
            <w:tcBorders>
              <w:left w:val="single" w:sz="4" w:space="0" w:color="auto"/>
            </w:tcBorders>
            <w:shd w:val="clear" w:color="auto" w:fill="auto"/>
          </w:tcPr>
          <w:p w14:paraId="52F55D82" w14:textId="77777777" w:rsidR="00DF61BC" w:rsidRPr="00C94C33" w:rsidRDefault="00DF61BC" w:rsidP="005C2FCA">
            <w:pPr>
              <w:keepNext/>
              <w:spacing w:after="0"/>
              <w:rPr>
                <w:rFonts w:asciiTheme="minorHAnsi" w:hAnsiTheme="minorHAnsi" w:cstheme="minorHAnsi"/>
                <w:sz w:val="20"/>
                <w:szCs w:val="20"/>
              </w:rPr>
            </w:pPr>
          </w:p>
        </w:tc>
        <w:tc>
          <w:tcPr>
            <w:tcW w:w="480" w:type="dxa"/>
            <w:vMerge/>
            <w:shd w:val="clear" w:color="auto" w:fill="auto"/>
          </w:tcPr>
          <w:p w14:paraId="2A112077" w14:textId="77777777" w:rsidR="00DF61BC" w:rsidRPr="00C94C33" w:rsidRDefault="00DF61BC" w:rsidP="005C2FCA">
            <w:pPr>
              <w:keepNext/>
              <w:spacing w:after="0"/>
              <w:rPr>
                <w:rFonts w:asciiTheme="minorHAnsi" w:hAnsiTheme="minorHAnsi" w:cstheme="minorHAnsi"/>
                <w:sz w:val="20"/>
                <w:szCs w:val="20"/>
              </w:rPr>
            </w:pPr>
          </w:p>
        </w:tc>
      </w:tr>
      <w:tr w:rsidR="00DF61BC" w:rsidRPr="00C94C33" w14:paraId="292F6EE9" w14:textId="77777777" w:rsidTr="00845512">
        <w:trPr>
          <w:trHeight w:hRule="exact" w:val="305"/>
          <w:tblHeader/>
        </w:trPr>
        <w:tc>
          <w:tcPr>
            <w:tcW w:w="20" w:type="dxa"/>
            <w:vMerge/>
            <w:tcBorders>
              <w:left w:val="single" w:sz="4" w:space="0" w:color="auto"/>
            </w:tcBorders>
            <w:shd w:val="clear" w:color="auto" w:fill="auto"/>
          </w:tcPr>
          <w:p w14:paraId="0CF3F1BA" w14:textId="77777777" w:rsidR="00DF61BC" w:rsidRPr="00C94C33" w:rsidRDefault="00DF61BC" w:rsidP="00DF61BC">
            <w:pPr>
              <w:kinsoku w:val="0"/>
              <w:overflowPunct w:val="0"/>
              <w:autoSpaceDE w:val="0"/>
              <w:autoSpaceDN w:val="0"/>
              <w:adjustRightInd w:val="0"/>
              <w:spacing w:before="15" w:after="0"/>
              <w:ind w:left="411"/>
              <w:rPr>
                <w:rFonts w:asciiTheme="minorHAnsi" w:hAnsiTheme="minorHAnsi" w:cstheme="minorHAnsi"/>
                <w:spacing w:val="-2"/>
                <w:sz w:val="20"/>
                <w:szCs w:val="20"/>
              </w:rPr>
            </w:pPr>
          </w:p>
        </w:tc>
        <w:tc>
          <w:tcPr>
            <w:tcW w:w="60" w:type="dxa"/>
            <w:tcBorders>
              <w:left w:val="nil"/>
              <w:right w:val="nil"/>
            </w:tcBorders>
            <w:shd w:val="clear" w:color="auto" w:fill="auto"/>
          </w:tcPr>
          <w:p w14:paraId="058D2080" w14:textId="77777777" w:rsidR="00DF61BC" w:rsidRPr="00C94C33" w:rsidRDefault="00DF61BC" w:rsidP="00845512">
            <w:pPr>
              <w:pStyle w:val="Tabletext"/>
            </w:pPr>
          </w:p>
        </w:tc>
        <w:tc>
          <w:tcPr>
            <w:tcW w:w="4188" w:type="dxa"/>
            <w:tcBorders>
              <w:left w:val="nil"/>
              <w:right w:val="single" w:sz="6" w:space="0" w:color="000000"/>
            </w:tcBorders>
            <w:shd w:val="clear" w:color="auto" w:fill="auto"/>
          </w:tcPr>
          <w:p w14:paraId="12247D42" w14:textId="77777777" w:rsidR="00DF61BC" w:rsidRPr="00C94C33" w:rsidRDefault="00DF61BC" w:rsidP="00845512">
            <w:pPr>
              <w:pStyle w:val="Tabletext"/>
            </w:pPr>
            <w:r w:rsidRPr="00C94C33">
              <w:rPr>
                <w:spacing w:val="-2"/>
              </w:rPr>
              <w:t>Pneumonia</w:t>
            </w:r>
            <w:r w:rsidRPr="00C94C33">
              <w:t xml:space="preserve"> </w:t>
            </w:r>
            <w:r w:rsidRPr="00C94C33">
              <w:rPr>
                <w:spacing w:val="-1"/>
              </w:rPr>
              <w:t>staphylococcal</w:t>
            </w:r>
          </w:p>
        </w:tc>
        <w:tc>
          <w:tcPr>
            <w:tcW w:w="1332" w:type="dxa"/>
            <w:tcBorders>
              <w:left w:val="single" w:sz="6" w:space="0" w:color="000000"/>
            </w:tcBorders>
            <w:shd w:val="clear" w:color="auto" w:fill="auto"/>
          </w:tcPr>
          <w:p w14:paraId="1CE60DA4" w14:textId="77777777" w:rsidR="00DF61BC" w:rsidRPr="00C94C33" w:rsidRDefault="00DF61BC" w:rsidP="00845512">
            <w:pPr>
              <w:pStyle w:val="Tabletext"/>
              <w:jc w:val="center"/>
            </w:pPr>
            <w:r w:rsidRPr="00C94C33">
              <w:t>1</w:t>
            </w:r>
            <w:r w:rsidRPr="00C94C33">
              <w:rPr>
                <w:spacing w:val="-1"/>
              </w:rPr>
              <w:t xml:space="preserve"> (0.2)</w:t>
            </w:r>
          </w:p>
        </w:tc>
        <w:tc>
          <w:tcPr>
            <w:tcW w:w="1332" w:type="dxa"/>
            <w:tcBorders>
              <w:left w:val="nil"/>
              <w:right w:val="single" w:sz="4" w:space="0" w:color="auto"/>
            </w:tcBorders>
            <w:shd w:val="clear" w:color="auto" w:fill="auto"/>
          </w:tcPr>
          <w:p w14:paraId="40A61D0D" w14:textId="77777777" w:rsidR="00DF61BC" w:rsidRPr="00C94C33" w:rsidRDefault="00DF61BC" w:rsidP="00845512">
            <w:pPr>
              <w:pStyle w:val="Tabletext"/>
              <w:jc w:val="center"/>
            </w:pPr>
            <w:r w:rsidRPr="00C94C33">
              <w:t>1</w:t>
            </w:r>
            <w:r w:rsidRPr="00C94C33">
              <w:rPr>
                <w:spacing w:val="-1"/>
              </w:rPr>
              <w:t xml:space="preserve"> (0.2)</w:t>
            </w:r>
          </w:p>
        </w:tc>
        <w:tc>
          <w:tcPr>
            <w:tcW w:w="1332" w:type="dxa"/>
            <w:tcBorders>
              <w:left w:val="single" w:sz="4" w:space="0" w:color="auto"/>
            </w:tcBorders>
            <w:shd w:val="clear" w:color="auto" w:fill="auto"/>
          </w:tcPr>
          <w:p w14:paraId="3FB558B6" w14:textId="77777777" w:rsidR="00DF61BC" w:rsidRPr="00C94C33" w:rsidRDefault="00DF61BC" w:rsidP="00845512">
            <w:pPr>
              <w:pStyle w:val="Tabletext"/>
              <w:jc w:val="center"/>
            </w:pPr>
            <w:r w:rsidRPr="00C94C33">
              <w:t>0</w:t>
            </w:r>
          </w:p>
        </w:tc>
        <w:tc>
          <w:tcPr>
            <w:tcW w:w="1332" w:type="dxa"/>
            <w:tcBorders>
              <w:left w:val="nil"/>
              <w:right w:val="single" w:sz="4" w:space="0" w:color="auto"/>
            </w:tcBorders>
            <w:shd w:val="clear" w:color="auto" w:fill="auto"/>
          </w:tcPr>
          <w:p w14:paraId="2B19018E" w14:textId="77777777" w:rsidR="00DF61BC" w:rsidRPr="00C94C33" w:rsidRDefault="00DF61BC" w:rsidP="00845512">
            <w:pPr>
              <w:pStyle w:val="Tabletext"/>
              <w:jc w:val="center"/>
            </w:pPr>
            <w:r w:rsidRPr="00C94C33">
              <w:t>0</w:t>
            </w:r>
          </w:p>
        </w:tc>
        <w:tc>
          <w:tcPr>
            <w:tcW w:w="309" w:type="dxa"/>
            <w:vMerge/>
            <w:tcBorders>
              <w:left w:val="single" w:sz="4" w:space="0" w:color="auto"/>
            </w:tcBorders>
            <w:shd w:val="clear" w:color="auto" w:fill="auto"/>
          </w:tcPr>
          <w:p w14:paraId="795D6A57" w14:textId="77777777" w:rsidR="00DF61BC" w:rsidRPr="00C94C33" w:rsidRDefault="00DF61BC" w:rsidP="00DF61BC">
            <w:pPr>
              <w:spacing w:after="0"/>
              <w:rPr>
                <w:rFonts w:asciiTheme="minorHAnsi" w:hAnsiTheme="minorHAnsi" w:cstheme="minorHAnsi"/>
                <w:sz w:val="20"/>
                <w:szCs w:val="20"/>
              </w:rPr>
            </w:pPr>
          </w:p>
        </w:tc>
        <w:tc>
          <w:tcPr>
            <w:tcW w:w="480" w:type="dxa"/>
            <w:vMerge/>
            <w:shd w:val="clear" w:color="auto" w:fill="auto"/>
          </w:tcPr>
          <w:p w14:paraId="0FC58FEF" w14:textId="77777777" w:rsidR="00DF61BC" w:rsidRPr="00C94C33" w:rsidRDefault="00DF61BC" w:rsidP="00DF61BC">
            <w:pPr>
              <w:spacing w:after="0"/>
              <w:rPr>
                <w:rFonts w:asciiTheme="minorHAnsi" w:hAnsiTheme="minorHAnsi" w:cstheme="minorHAnsi"/>
                <w:sz w:val="20"/>
                <w:szCs w:val="20"/>
              </w:rPr>
            </w:pPr>
          </w:p>
        </w:tc>
      </w:tr>
      <w:tr w:rsidR="00DF61BC" w:rsidRPr="00C94C33" w14:paraId="0806D808" w14:textId="77777777" w:rsidTr="00845512">
        <w:trPr>
          <w:gridBefore w:val="1"/>
          <w:gridAfter w:val="2"/>
          <w:wBefore w:w="20" w:type="dxa"/>
          <w:wAfter w:w="789" w:type="dxa"/>
          <w:trHeight w:hRule="exact" w:val="412"/>
        </w:trPr>
        <w:tc>
          <w:tcPr>
            <w:tcW w:w="4248" w:type="dxa"/>
            <w:gridSpan w:val="2"/>
            <w:tcBorders>
              <w:left w:val="single" w:sz="4" w:space="0" w:color="auto"/>
              <w:right w:val="single" w:sz="6" w:space="0" w:color="000000"/>
            </w:tcBorders>
            <w:shd w:val="clear" w:color="auto" w:fill="auto"/>
          </w:tcPr>
          <w:p w14:paraId="1BBEA522" w14:textId="7CA450EE" w:rsidR="00DF61BC" w:rsidRPr="00C94C33" w:rsidRDefault="00C960A1" w:rsidP="00845512">
            <w:pPr>
              <w:pStyle w:val="Tabletext"/>
            </w:pPr>
            <w:r>
              <w:t>Sepsis</w:t>
            </w:r>
          </w:p>
          <w:tbl>
            <w:tblPr>
              <w:tblW w:w="0" w:type="auto"/>
              <w:tblLayout w:type="fixed"/>
              <w:tblLook w:val="0000" w:firstRow="0" w:lastRow="0" w:firstColumn="0" w:lastColumn="0" w:noHBand="0" w:noVBand="0"/>
            </w:tblPr>
            <w:tblGrid>
              <w:gridCol w:w="926"/>
            </w:tblGrid>
            <w:tr w:rsidR="00DF61BC" w:rsidRPr="00C94C33" w14:paraId="3862A165" w14:textId="77777777" w:rsidTr="00DF61BC">
              <w:trPr>
                <w:trHeight w:val="240"/>
              </w:trPr>
              <w:tc>
                <w:tcPr>
                  <w:tcW w:w="926" w:type="dxa"/>
                </w:tcPr>
                <w:p w14:paraId="7BD1BD93" w14:textId="77777777" w:rsidR="00DF61BC" w:rsidRPr="00C94C33" w:rsidRDefault="00DF61BC" w:rsidP="00845512">
                  <w:pPr>
                    <w:pStyle w:val="Tabletext"/>
                    <w:rPr>
                      <w:spacing w:val="-1"/>
                    </w:rPr>
                  </w:pPr>
                </w:p>
              </w:tc>
            </w:tr>
          </w:tbl>
          <w:p w14:paraId="3AD6763C" w14:textId="77777777" w:rsidR="00DF61BC" w:rsidRPr="00C94C33" w:rsidRDefault="00DF61BC" w:rsidP="00845512">
            <w:pPr>
              <w:pStyle w:val="Tabletext"/>
            </w:pPr>
            <w:r w:rsidRPr="00C94C33">
              <w:rPr>
                <w:spacing w:val="-1"/>
              </w:rPr>
              <w:t>Sepsis</w:t>
            </w:r>
          </w:p>
        </w:tc>
        <w:tc>
          <w:tcPr>
            <w:tcW w:w="1332" w:type="dxa"/>
            <w:tcBorders>
              <w:left w:val="single" w:sz="6" w:space="0" w:color="000000"/>
            </w:tcBorders>
            <w:shd w:val="clear" w:color="auto" w:fill="auto"/>
          </w:tcPr>
          <w:p w14:paraId="5082ADC5" w14:textId="77777777" w:rsidR="00DF61BC" w:rsidRPr="00C94C33" w:rsidRDefault="00DF61BC" w:rsidP="00845512">
            <w:pPr>
              <w:pStyle w:val="Tabletext"/>
              <w:jc w:val="center"/>
            </w:pPr>
            <w:r w:rsidRPr="00C94C33">
              <w:t>1</w:t>
            </w:r>
            <w:r w:rsidRPr="00C94C33">
              <w:rPr>
                <w:spacing w:val="-1"/>
              </w:rPr>
              <w:t xml:space="preserve"> (0.2)</w:t>
            </w:r>
          </w:p>
        </w:tc>
        <w:tc>
          <w:tcPr>
            <w:tcW w:w="1332" w:type="dxa"/>
            <w:tcBorders>
              <w:left w:val="nil"/>
              <w:right w:val="single" w:sz="4" w:space="0" w:color="auto"/>
            </w:tcBorders>
            <w:shd w:val="clear" w:color="auto" w:fill="auto"/>
          </w:tcPr>
          <w:p w14:paraId="40512D77" w14:textId="77777777" w:rsidR="00DF61BC" w:rsidRPr="00C94C33" w:rsidRDefault="00DF61BC" w:rsidP="00845512">
            <w:pPr>
              <w:pStyle w:val="Tabletext"/>
              <w:jc w:val="center"/>
            </w:pPr>
            <w:r w:rsidRPr="00C94C33">
              <w:t>1</w:t>
            </w:r>
            <w:r w:rsidRPr="00C94C33">
              <w:rPr>
                <w:spacing w:val="-1"/>
              </w:rPr>
              <w:t xml:space="preserve"> (0.2)</w:t>
            </w:r>
          </w:p>
        </w:tc>
        <w:tc>
          <w:tcPr>
            <w:tcW w:w="1332" w:type="dxa"/>
            <w:tcBorders>
              <w:left w:val="single" w:sz="4" w:space="0" w:color="auto"/>
            </w:tcBorders>
            <w:shd w:val="clear" w:color="auto" w:fill="auto"/>
          </w:tcPr>
          <w:p w14:paraId="054A1257" w14:textId="77777777" w:rsidR="00DF61BC" w:rsidRPr="00C94C33" w:rsidRDefault="00DF61BC" w:rsidP="00845512">
            <w:pPr>
              <w:pStyle w:val="Tabletext"/>
              <w:jc w:val="center"/>
            </w:pPr>
            <w:r w:rsidRPr="00C94C33">
              <w:t>0</w:t>
            </w:r>
          </w:p>
        </w:tc>
        <w:tc>
          <w:tcPr>
            <w:tcW w:w="1332" w:type="dxa"/>
            <w:tcBorders>
              <w:left w:val="nil"/>
              <w:right w:val="single" w:sz="4" w:space="0" w:color="auto"/>
            </w:tcBorders>
            <w:shd w:val="clear" w:color="auto" w:fill="auto"/>
          </w:tcPr>
          <w:p w14:paraId="05AE3A7F" w14:textId="77777777" w:rsidR="00DF61BC" w:rsidRPr="00C94C33" w:rsidRDefault="00DF61BC" w:rsidP="00845512">
            <w:pPr>
              <w:pStyle w:val="Tabletext"/>
              <w:jc w:val="center"/>
            </w:pPr>
            <w:r w:rsidRPr="00C94C33">
              <w:t>0</w:t>
            </w:r>
          </w:p>
        </w:tc>
      </w:tr>
      <w:tr w:rsidR="00DF61BC" w:rsidRPr="00C94C33" w14:paraId="41D75A37" w14:textId="77777777" w:rsidTr="00845512">
        <w:trPr>
          <w:gridBefore w:val="1"/>
          <w:gridAfter w:val="2"/>
          <w:wBefore w:w="20" w:type="dxa"/>
          <w:wAfter w:w="789" w:type="dxa"/>
          <w:trHeight w:hRule="exact" w:val="304"/>
        </w:trPr>
        <w:tc>
          <w:tcPr>
            <w:tcW w:w="4248" w:type="dxa"/>
            <w:gridSpan w:val="2"/>
            <w:tcBorders>
              <w:left w:val="single" w:sz="4" w:space="0" w:color="auto"/>
              <w:bottom w:val="single" w:sz="6" w:space="0" w:color="000000"/>
              <w:right w:val="single" w:sz="6" w:space="0" w:color="000000"/>
            </w:tcBorders>
            <w:shd w:val="clear" w:color="auto" w:fill="auto"/>
          </w:tcPr>
          <w:p w14:paraId="099A5FBC" w14:textId="77777777" w:rsidR="00DF61BC" w:rsidRPr="00C94C33" w:rsidRDefault="00DF61BC" w:rsidP="00845512">
            <w:pPr>
              <w:pStyle w:val="Tabletext"/>
            </w:pPr>
            <w:r w:rsidRPr="00C94C33">
              <w:rPr>
                <w:spacing w:val="-1"/>
              </w:rPr>
              <w:t>Septic</w:t>
            </w:r>
            <w:r w:rsidRPr="00C94C33">
              <w:t xml:space="preserve"> </w:t>
            </w:r>
            <w:r w:rsidRPr="00C94C33">
              <w:rPr>
                <w:spacing w:val="-1"/>
              </w:rPr>
              <w:t>shock</w:t>
            </w:r>
          </w:p>
        </w:tc>
        <w:tc>
          <w:tcPr>
            <w:tcW w:w="1332" w:type="dxa"/>
            <w:tcBorders>
              <w:left w:val="single" w:sz="6" w:space="0" w:color="000000"/>
              <w:bottom w:val="single" w:sz="6" w:space="0" w:color="000000"/>
            </w:tcBorders>
            <w:shd w:val="clear" w:color="auto" w:fill="auto"/>
          </w:tcPr>
          <w:p w14:paraId="025764F3" w14:textId="77777777" w:rsidR="00DF61BC" w:rsidRPr="00C94C33" w:rsidRDefault="00DF61BC" w:rsidP="00845512">
            <w:pPr>
              <w:pStyle w:val="Tabletext"/>
              <w:jc w:val="center"/>
            </w:pPr>
            <w:r w:rsidRPr="00C94C33">
              <w:t>1</w:t>
            </w:r>
            <w:r w:rsidRPr="00C94C33">
              <w:rPr>
                <w:spacing w:val="-1"/>
              </w:rPr>
              <w:t xml:space="preserve"> (0.2)</w:t>
            </w:r>
          </w:p>
        </w:tc>
        <w:tc>
          <w:tcPr>
            <w:tcW w:w="1332" w:type="dxa"/>
            <w:tcBorders>
              <w:left w:val="nil"/>
              <w:bottom w:val="single" w:sz="6" w:space="0" w:color="000000"/>
              <w:right w:val="single" w:sz="4" w:space="0" w:color="auto"/>
            </w:tcBorders>
            <w:shd w:val="clear" w:color="auto" w:fill="auto"/>
          </w:tcPr>
          <w:p w14:paraId="6DC873D9" w14:textId="77777777" w:rsidR="00DF61BC" w:rsidRPr="00C94C33" w:rsidRDefault="00DF61BC" w:rsidP="00845512">
            <w:pPr>
              <w:pStyle w:val="Tabletext"/>
              <w:jc w:val="center"/>
            </w:pPr>
            <w:r w:rsidRPr="00C94C33">
              <w:t>1</w:t>
            </w:r>
            <w:r w:rsidRPr="00C94C33">
              <w:rPr>
                <w:spacing w:val="-1"/>
              </w:rPr>
              <w:t xml:space="preserve"> (0.2)</w:t>
            </w:r>
          </w:p>
        </w:tc>
        <w:tc>
          <w:tcPr>
            <w:tcW w:w="1332" w:type="dxa"/>
            <w:tcBorders>
              <w:left w:val="single" w:sz="4" w:space="0" w:color="auto"/>
              <w:bottom w:val="single" w:sz="6" w:space="0" w:color="000000"/>
            </w:tcBorders>
            <w:shd w:val="clear" w:color="auto" w:fill="auto"/>
          </w:tcPr>
          <w:p w14:paraId="3E11472B" w14:textId="77777777" w:rsidR="00DF61BC" w:rsidRPr="00C94C33" w:rsidRDefault="00DF61BC" w:rsidP="00845512">
            <w:pPr>
              <w:pStyle w:val="Tabletext"/>
              <w:jc w:val="center"/>
            </w:pPr>
            <w:r w:rsidRPr="00C94C33">
              <w:t>0</w:t>
            </w:r>
          </w:p>
        </w:tc>
        <w:tc>
          <w:tcPr>
            <w:tcW w:w="1332" w:type="dxa"/>
            <w:tcBorders>
              <w:left w:val="nil"/>
              <w:bottom w:val="single" w:sz="6" w:space="0" w:color="000000"/>
              <w:right w:val="single" w:sz="4" w:space="0" w:color="auto"/>
            </w:tcBorders>
            <w:shd w:val="clear" w:color="auto" w:fill="auto"/>
          </w:tcPr>
          <w:p w14:paraId="37E4066D" w14:textId="77777777" w:rsidR="00DF61BC" w:rsidRPr="00C94C33" w:rsidRDefault="00DF61BC" w:rsidP="00845512">
            <w:pPr>
              <w:pStyle w:val="Tabletext"/>
              <w:jc w:val="center"/>
            </w:pPr>
            <w:r w:rsidRPr="00C94C33">
              <w:t>0</w:t>
            </w:r>
          </w:p>
        </w:tc>
      </w:tr>
    </w:tbl>
    <w:p w14:paraId="7DACC8EB" w14:textId="7BA74332" w:rsidR="00DF61BC" w:rsidRPr="00C94C33" w:rsidRDefault="00DF61BC" w:rsidP="006A7C10">
      <w:pPr>
        <w:pStyle w:val="TableDescription"/>
      </w:pPr>
      <w:r w:rsidRPr="00C94C33">
        <w:t>Infection-related AEs (all Grades) reported in ≥ 1% of patients in the TAS-102 group; all other AEs in this grouping in the TAS-102 group were reported in &lt; 1%.</w:t>
      </w:r>
    </w:p>
    <w:p w14:paraId="55B9002F" w14:textId="77777777" w:rsidR="00AA7141" w:rsidRDefault="00DF61BC" w:rsidP="00955252">
      <w:pPr>
        <w:pStyle w:val="Heading5"/>
      </w:pPr>
      <w:bookmarkStart w:id="391" w:name="_Toc470948585"/>
      <w:r w:rsidRPr="00C94C33">
        <w:t>Bleeding events</w:t>
      </w:r>
      <w:bookmarkEnd w:id="391"/>
    </w:p>
    <w:p w14:paraId="15E01639" w14:textId="49978AEA" w:rsidR="00DF61BC" w:rsidRPr="00C94C33" w:rsidRDefault="00DF61BC" w:rsidP="00DF61BC">
      <w:r w:rsidRPr="00C94C33">
        <w:t>Bleeding AEs (all Grades) were reported in a similar proportion of patients in the TAS-102 and placebo groups (8.1%</w:t>
      </w:r>
      <w:r w:rsidR="00C11183">
        <w:t xml:space="preserve"> versus </w:t>
      </w:r>
      <w:r w:rsidRPr="00C94C33">
        <w:t>8.7%, respectively), while ≥ Grade 3 AEs were reported in 3.0% of patients in the placebo group and 0.6% of patients in the TAS-102 group. The most frequently reported bleeding events (all grades) in patients (≥ 1%) in the TAS-102 group (v</w:t>
      </w:r>
      <w:r w:rsidR="00F1327C">
        <w:t>ersu</w:t>
      </w:r>
      <w:r w:rsidRPr="00C94C33">
        <w:t>s placebo) were rectal haemorrhage (1.3%</w:t>
      </w:r>
      <w:r w:rsidR="00C11183">
        <w:t xml:space="preserve"> versus </w:t>
      </w:r>
      <w:r w:rsidRPr="00C94C33">
        <w:t>0.4%) and epistaxis (1.7%</w:t>
      </w:r>
      <w:r w:rsidR="00C11183">
        <w:t xml:space="preserve"> versus </w:t>
      </w:r>
      <w:r w:rsidRPr="00C94C33">
        <w:t>2.3%). The three Grade ≥ 3 bleeding events reported in the TAS-102 group were 2 of peritoneal haemorrhage and 1 of haematuria, and the eight Grade ≥ 3 bleeding events reported in the placebo group were 3 of haematuria, 2 of haematemesis, and 1 each of gastrointestinal haemorrhage, rectal haemorrhage, and upper gastrointestinal haemorrhage.</w:t>
      </w:r>
    </w:p>
    <w:p w14:paraId="50C13A02" w14:textId="694AAB1D" w:rsidR="00DF61BC" w:rsidRPr="00C94C33" w:rsidRDefault="00DF61BC" w:rsidP="005C2FCA">
      <w:pPr>
        <w:pStyle w:val="Comment"/>
      </w:pPr>
      <w:r w:rsidRPr="005C2FCA">
        <w:rPr>
          <w:b/>
        </w:rPr>
        <w:t>Comment:</w:t>
      </w:r>
      <w:r w:rsidRPr="00C94C33">
        <w:t xml:space="preserve"> </w:t>
      </w:r>
      <w:r w:rsidR="00F1327C">
        <w:t xml:space="preserve"> </w:t>
      </w:r>
      <w:r w:rsidRPr="00C94C33">
        <w:t>The results indicate that the notably higher incidence of anaemia observed in the TAS-102 group compared to the placebo group is due to myelosuppression rather than bleeding.</w:t>
      </w:r>
    </w:p>
    <w:p w14:paraId="1FDB4C80" w14:textId="46C1A9E1" w:rsidR="00DF61BC" w:rsidRPr="00C94C33" w:rsidRDefault="00DF61BC" w:rsidP="00955252">
      <w:pPr>
        <w:pStyle w:val="Heading5"/>
      </w:pPr>
      <w:bookmarkStart w:id="392" w:name="_Toc470948586"/>
      <w:r w:rsidRPr="00C94C33">
        <w:t>Thromboembolic events (arterial or venous)</w:t>
      </w:r>
      <w:bookmarkEnd w:id="392"/>
    </w:p>
    <w:p w14:paraId="3B1281F3" w14:textId="15B8603C" w:rsidR="00DF61BC" w:rsidRPr="00C94C33" w:rsidRDefault="00DF61BC" w:rsidP="00983724">
      <w:r w:rsidRPr="00C94C33">
        <w:t>Thromboembolic events (arterial or venous), all Grades, were reported more frequently in patients in the TAS-102 group than in the placebo group (3.9%</w:t>
      </w:r>
      <w:r w:rsidR="00C11183">
        <w:t xml:space="preserve"> versus </w:t>
      </w:r>
      <w:r w:rsidRPr="00C94C33">
        <w:t>1.5%, respectively), and the majority of events were ≥ Grade 3 in severity (2.1%</w:t>
      </w:r>
      <w:r w:rsidR="00C11183">
        <w:t xml:space="preserve"> versus </w:t>
      </w:r>
      <w:r w:rsidRPr="00C94C33">
        <w:t xml:space="preserve">1.5%, respectively). The major difference between the two treatment groups  was due to the higher incidence of pulmonary embolism (all Grades) in patients in the TAS-102 group compared to the placebo group (1.7% </w:t>
      </w:r>
      <w:r w:rsidR="00A0007E" w:rsidRPr="00C94C33">
        <w:t>(</w:t>
      </w:r>
      <w:r w:rsidR="009C0389" w:rsidRPr="00C94C33">
        <w:t xml:space="preserve">n = </w:t>
      </w:r>
      <w:r w:rsidRPr="00C94C33">
        <w:t>9</w:t>
      </w:r>
      <w:r w:rsidR="00A0007E" w:rsidRPr="00C94C33">
        <w:t>)</w:t>
      </w:r>
      <w:r w:rsidR="00C11183">
        <w:t xml:space="preserve"> versus </w:t>
      </w:r>
      <w:r w:rsidRPr="00C94C33">
        <w:t xml:space="preserve">0% </w:t>
      </w:r>
      <w:r w:rsidR="00A0007E" w:rsidRPr="00C94C33">
        <w:t>(</w:t>
      </w:r>
      <w:r w:rsidR="009C0389" w:rsidRPr="00C94C33">
        <w:t xml:space="preserve">n = </w:t>
      </w:r>
      <w:r w:rsidRPr="00C94C33">
        <w:t>0</w:t>
      </w:r>
      <w:r w:rsidR="00A0007E" w:rsidRPr="00C94C33">
        <w:t>)</w:t>
      </w:r>
      <w:r w:rsidRPr="00C94C33">
        <w:t xml:space="preserve">). </w:t>
      </w:r>
      <w:r w:rsidRPr="00C94C33">
        <w:rPr>
          <w:color w:val="000000"/>
        </w:rPr>
        <w:t xml:space="preserve">All pulmonary embolisms in the TAS-102 group were </w:t>
      </w:r>
      <w:r w:rsidRPr="00C94C33">
        <w:rPr>
          <w:rFonts w:cs="TimesNewRomanPSMT"/>
          <w:color w:val="000000"/>
        </w:rPr>
        <w:t xml:space="preserve">≥ </w:t>
      </w:r>
      <w:r w:rsidRPr="00C94C33">
        <w:rPr>
          <w:color w:val="000000"/>
        </w:rPr>
        <w:t xml:space="preserve">Grade 3 in severity, including one fatal event. Of the 9 events of pulmonary embolism in the TAS-102 group, 7 (including the 1 fatal event) were reported as being unrelated to study medication.  The single death reported by an investigator to be due to pulmonary embolism occurred at home, without documented radiologic diagnosis of DVT or pulmonary embolism and without AEs suggestive of thromboembolism occurring prior to the fatal event. 5 of the 9 cases of pulmonary embolism resolved without ongoing complications. Despite the higher patient incidence of pulmonary embolism in the TAS-102 group </w:t>
      </w:r>
      <w:r w:rsidRPr="00C94C33">
        <w:rPr>
          <w:color w:val="000000"/>
        </w:rPr>
        <w:lastRenderedPageBreak/>
        <w:t xml:space="preserve">compared to the placebo group, deep vein thrombosis </w:t>
      </w:r>
      <w:r w:rsidRPr="00C94C33">
        <w:t xml:space="preserve">(all Grades) was reported in a similar proportion of patients in the two treatment groups (0.6% </w:t>
      </w:r>
      <w:r w:rsidR="00A0007E" w:rsidRPr="00C94C33">
        <w:t>(</w:t>
      </w:r>
      <w:r w:rsidR="009C0389" w:rsidRPr="00C94C33">
        <w:t xml:space="preserve">n = </w:t>
      </w:r>
      <w:r w:rsidRPr="00C94C33">
        <w:t>3</w:t>
      </w:r>
      <w:r w:rsidR="00A0007E" w:rsidRPr="00C94C33">
        <w:t>)</w:t>
      </w:r>
      <w:r w:rsidRPr="00C94C33">
        <w:t xml:space="preserve"> TAS-102; 0.8% </w:t>
      </w:r>
      <w:r w:rsidR="00A0007E" w:rsidRPr="00C94C33">
        <w:t>(</w:t>
      </w:r>
      <w:r w:rsidR="009C0389" w:rsidRPr="00C94C33">
        <w:t xml:space="preserve">n = </w:t>
      </w:r>
      <w:r w:rsidRPr="00C94C33">
        <w:t>2</w:t>
      </w:r>
      <w:r w:rsidR="00A0007E" w:rsidRPr="00C94C33">
        <w:t>)</w:t>
      </w:r>
      <w:r w:rsidRPr="00C94C33">
        <w:t xml:space="preserve"> placebo).</w:t>
      </w:r>
    </w:p>
    <w:p w14:paraId="50100AA3" w14:textId="037FEC4E" w:rsidR="00DF61BC" w:rsidRPr="00C94C33" w:rsidRDefault="00DF61BC" w:rsidP="00983724">
      <w:pPr>
        <w:rPr>
          <w:rFonts w:cstheme="minorHAnsi"/>
        </w:rPr>
      </w:pPr>
      <w:r w:rsidRPr="00C94C33">
        <w:rPr>
          <w:rFonts w:cstheme="minorHAnsi"/>
        </w:rPr>
        <w:t>The sponsor identifies three factors that it considers might have contributed to the imbalance in the patient incidence of pulmonary embolism between the two treatment groups. These were : (1) More chest CT scans were undertaken in the TAS-102 group than in the placebo group, due to more patients in the TAS-102 group remaining on study medication beyond 2 cycles compared to the placebo group (</w:t>
      </w:r>
      <w:r w:rsidR="00B2072D" w:rsidRPr="00C94C33">
        <w:rPr>
          <w:rFonts w:cstheme="minorHAnsi"/>
        </w:rPr>
        <w:t>that is,</w:t>
      </w:r>
      <w:r w:rsidRPr="00C94C33">
        <w:rPr>
          <w:rFonts w:cstheme="minorHAnsi"/>
        </w:rPr>
        <w:t xml:space="preserve"> 43.3%</w:t>
      </w:r>
      <w:r w:rsidR="00C11183">
        <w:rPr>
          <w:rFonts w:cstheme="minorHAnsi"/>
        </w:rPr>
        <w:t xml:space="preserve"> versus </w:t>
      </w:r>
      <w:r w:rsidRPr="00C94C33">
        <w:rPr>
          <w:rFonts w:cstheme="minorHAnsi"/>
        </w:rPr>
        <w:t xml:space="preserve">18.1%, respectively). As chest CT scans were mandated by the protocol to be undertaken every 2 cycles, there were more post-baseline chest CT scans undertaken in the TAS-102 group than in the placebo group increasing the chance of detecting pulmonary embolism. (2) The absence of pulmonary embolism in the placebo arm is inconsistent with the expected frequency of thromboembolic events in patients with colorectal cancer. Therefore, the absence of pulmonary embolism might have been a chance finding. (3) There was no imbalance between the two treatment groups in the proportion of patients with DVT, even though the total time on treatment was nearly 4-fold greater for patients in the TAS-102 group compared to the placebo group. The sponsor comments that a </w:t>
      </w:r>
      <w:r w:rsidR="00842E8F" w:rsidRPr="00C94C33">
        <w:rPr>
          <w:rFonts w:cstheme="minorHAnsi"/>
        </w:rPr>
        <w:t>‘</w:t>
      </w:r>
      <w:r w:rsidRPr="00C94C33">
        <w:rPr>
          <w:rFonts w:cstheme="minorHAnsi"/>
        </w:rPr>
        <w:t xml:space="preserve">true increase in </w:t>
      </w:r>
      <w:r w:rsidR="00A0007E" w:rsidRPr="00C94C33">
        <w:rPr>
          <w:rFonts w:cstheme="minorHAnsi"/>
        </w:rPr>
        <w:t>(</w:t>
      </w:r>
      <w:r w:rsidRPr="00C94C33">
        <w:rPr>
          <w:rFonts w:cstheme="minorHAnsi"/>
        </w:rPr>
        <w:t>pulmonary embolisms</w:t>
      </w:r>
      <w:r w:rsidR="00A0007E" w:rsidRPr="00C94C33">
        <w:rPr>
          <w:rFonts w:cstheme="minorHAnsi"/>
        </w:rPr>
        <w:t>)</w:t>
      </w:r>
      <w:r w:rsidRPr="00C94C33">
        <w:rPr>
          <w:rFonts w:cstheme="minorHAnsi"/>
        </w:rPr>
        <w:t xml:space="preserve"> would be expected to be accompanied by an increase in the rate of DVTs</w:t>
      </w:r>
      <w:r w:rsidR="00842E8F" w:rsidRPr="00C94C33">
        <w:rPr>
          <w:rFonts w:cstheme="minorHAnsi"/>
        </w:rPr>
        <w:t>’</w:t>
      </w:r>
      <w:r w:rsidRPr="00C94C33">
        <w:rPr>
          <w:rFonts w:cstheme="minorHAnsi"/>
        </w:rPr>
        <w:t>.</w:t>
      </w:r>
    </w:p>
    <w:p w14:paraId="4906F0BB" w14:textId="77777777" w:rsidR="00AA7141" w:rsidRDefault="00DF61BC" w:rsidP="00955252">
      <w:pPr>
        <w:pStyle w:val="Heading5"/>
      </w:pPr>
      <w:bookmarkStart w:id="393" w:name="_Toc470948587"/>
      <w:r w:rsidRPr="00C94C33">
        <w:t>Cardiac adverse events</w:t>
      </w:r>
      <w:bookmarkEnd w:id="393"/>
    </w:p>
    <w:p w14:paraId="2BCF9C3B" w14:textId="3548E85C" w:rsidR="00DF61BC" w:rsidRPr="00C94C33" w:rsidRDefault="00DF61BC" w:rsidP="00DF61BC">
      <w:r w:rsidRPr="00C94C33">
        <w:t>The proportion of patients in the two treatment groups with any cardiac arrhythmic or cardiac ischaemic event (all Grades) was similar in the TAS-102 and placebo groups (3.2%</w:t>
      </w:r>
      <w:r w:rsidR="00C11183">
        <w:t xml:space="preserve"> versus </w:t>
      </w:r>
      <w:r w:rsidRPr="00C94C33">
        <w:t>3.8%, respectively), as was the proportion of patients with ≥ Grade 3 AEs (0.6%</w:t>
      </w:r>
      <w:r w:rsidR="00C11183">
        <w:t xml:space="preserve"> versus </w:t>
      </w:r>
      <w:r w:rsidRPr="00C94C33">
        <w:t>0.8%, respectively). There were 15 (2.8%) patients in the TAS-102 group with any arrhythmic event compared to 9 (3.4%) patients in the placebo group. Cardiac AEs (all Grades) reported by ≥</w:t>
      </w:r>
      <w:r w:rsidR="00F1327C">
        <w:t> </w:t>
      </w:r>
      <w:r w:rsidRPr="00C94C33">
        <w:t>2</w:t>
      </w:r>
      <w:r w:rsidR="00F1327C">
        <w:t> </w:t>
      </w:r>
      <w:r w:rsidRPr="00C94C33">
        <w:t>patients in the TAS-102 group (vs placebo) were sinus tachycardia (</w:t>
      </w:r>
      <w:r w:rsidR="009C0389" w:rsidRPr="00C94C33">
        <w:t xml:space="preserve">n = </w:t>
      </w:r>
      <w:r w:rsidRPr="00C94C33">
        <w:t xml:space="preserve">5 </w:t>
      </w:r>
      <w:r w:rsidR="00A0007E" w:rsidRPr="00C94C33">
        <w:t>(</w:t>
      </w:r>
      <w:r w:rsidRPr="00C94C33">
        <w:t>0.9%</w:t>
      </w:r>
      <w:r w:rsidR="00A0007E" w:rsidRPr="00C94C33">
        <w:t>)</w:t>
      </w:r>
      <w:r w:rsidR="00C11183">
        <w:t xml:space="preserve"> versus </w:t>
      </w:r>
      <w:r w:rsidR="009C0389" w:rsidRPr="00C94C33">
        <w:t>n =</w:t>
      </w:r>
      <w:r w:rsidR="00F1327C">
        <w:t> </w:t>
      </w:r>
      <w:r w:rsidRPr="00C94C33">
        <w:t xml:space="preserve">3 </w:t>
      </w:r>
      <w:r w:rsidR="00A0007E" w:rsidRPr="00C94C33">
        <w:t>(</w:t>
      </w:r>
      <w:r w:rsidRPr="00C94C33">
        <w:t>1.1%</w:t>
      </w:r>
      <w:r w:rsidR="00A0007E" w:rsidRPr="00C94C33">
        <w:t>)</w:t>
      </w:r>
      <w:r w:rsidRPr="00C94C33">
        <w:t>), right bundle branch block (</w:t>
      </w:r>
      <w:r w:rsidR="009C0389" w:rsidRPr="00C94C33">
        <w:t xml:space="preserve">n = </w:t>
      </w:r>
      <w:r w:rsidRPr="00C94C33">
        <w:t xml:space="preserve">2 </w:t>
      </w:r>
      <w:r w:rsidR="00A0007E" w:rsidRPr="00C94C33">
        <w:t>(</w:t>
      </w:r>
      <w:r w:rsidRPr="00C94C33">
        <w:t>0.4%</w:t>
      </w:r>
      <w:r w:rsidR="00A0007E" w:rsidRPr="00C94C33">
        <w:t>)</w:t>
      </w:r>
      <w:r w:rsidR="00C11183">
        <w:t xml:space="preserve"> versus </w:t>
      </w:r>
      <w:r w:rsidRPr="00C94C33">
        <w:t xml:space="preserve">0% </w:t>
      </w:r>
      <w:r w:rsidR="00A0007E" w:rsidRPr="00C94C33">
        <w:t>(</w:t>
      </w:r>
      <w:r w:rsidR="009C0389" w:rsidRPr="00C94C33">
        <w:t xml:space="preserve">n = </w:t>
      </w:r>
      <w:r w:rsidRPr="00C94C33">
        <w:t>0</w:t>
      </w:r>
      <w:r w:rsidR="00A0007E" w:rsidRPr="00C94C33">
        <w:t>)</w:t>
      </w:r>
      <w:r w:rsidRPr="00C94C33">
        <w:t>), tachycardia (</w:t>
      </w:r>
      <w:r w:rsidR="009C0389" w:rsidRPr="00C94C33">
        <w:t xml:space="preserve">n = </w:t>
      </w:r>
      <w:r w:rsidRPr="00C94C33">
        <w:t xml:space="preserve">2 </w:t>
      </w:r>
      <w:r w:rsidR="00A0007E" w:rsidRPr="00C94C33">
        <w:t>(</w:t>
      </w:r>
      <w:r w:rsidRPr="00C94C33">
        <w:t>0.4%</w:t>
      </w:r>
      <w:r w:rsidR="00A0007E" w:rsidRPr="00C94C33">
        <w:t>)</w:t>
      </w:r>
      <w:r w:rsidR="00C11183">
        <w:t xml:space="preserve"> versus </w:t>
      </w:r>
      <w:r w:rsidR="009C0389" w:rsidRPr="00C94C33">
        <w:t xml:space="preserve">n = </w:t>
      </w:r>
      <w:r w:rsidRPr="00C94C33">
        <w:t xml:space="preserve">4 </w:t>
      </w:r>
      <w:r w:rsidR="00A0007E" w:rsidRPr="00C94C33">
        <w:t>(</w:t>
      </w:r>
      <w:r w:rsidRPr="00C94C33">
        <w:t>1.5%</w:t>
      </w:r>
      <w:r w:rsidR="00A0007E" w:rsidRPr="00C94C33">
        <w:t>)</w:t>
      </w:r>
      <w:r w:rsidRPr="00C94C33">
        <w:t>), sinus and bradycardia (</w:t>
      </w:r>
      <w:r w:rsidR="009C0389" w:rsidRPr="00C94C33">
        <w:t xml:space="preserve">n = </w:t>
      </w:r>
      <w:r w:rsidRPr="00C94C33">
        <w:t xml:space="preserve">2 </w:t>
      </w:r>
      <w:r w:rsidR="00A0007E" w:rsidRPr="00C94C33">
        <w:t>(</w:t>
      </w:r>
      <w:r w:rsidRPr="00C94C33">
        <w:t>0.4%</w:t>
      </w:r>
      <w:r w:rsidR="00A0007E" w:rsidRPr="00C94C33">
        <w:t>)</w:t>
      </w:r>
      <w:r w:rsidR="00C11183">
        <w:t xml:space="preserve"> versus </w:t>
      </w:r>
      <w:r w:rsidRPr="00C94C33">
        <w:t xml:space="preserve">0% </w:t>
      </w:r>
      <w:r w:rsidR="00A0007E" w:rsidRPr="00C94C33">
        <w:t>(</w:t>
      </w:r>
      <w:r w:rsidR="009C0389" w:rsidRPr="00C94C33">
        <w:t xml:space="preserve">n = </w:t>
      </w:r>
      <w:r w:rsidRPr="00C94C33">
        <w:t>0</w:t>
      </w:r>
      <w:r w:rsidR="00A0007E" w:rsidRPr="00C94C33">
        <w:t>)</w:t>
      </w:r>
      <w:r w:rsidRPr="00C94C33">
        <w:t>). There were 3 (0.6%) patients in the TAS-102 group with ischaemic events (1 each for acute myocardial infarction, angina pectoris, and troponin increased) compared to 1 (0.4%) patient in the placeb</w:t>
      </w:r>
      <w:bookmarkStart w:id="394" w:name="_Ref269204367"/>
      <w:r w:rsidR="00EE3571" w:rsidRPr="00C94C33">
        <w:t>o arm (1</w:t>
      </w:r>
      <w:r w:rsidR="00F1327C">
        <w:t> </w:t>
      </w:r>
      <w:r w:rsidR="00EE3571" w:rsidRPr="00C94C33">
        <w:t>myocardial ischaemia).</w:t>
      </w:r>
    </w:p>
    <w:p w14:paraId="56A9545B" w14:textId="77777777" w:rsidR="00DF61BC" w:rsidRPr="00C94C33" w:rsidRDefault="00DF61BC" w:rsidP="00955252">
      <w:pPr>
        <w:pStyle w:val="Heading5"/>
      </w:pPr>
      <w:bookmarkStart w:id="395" w:name="_Toc470948588"/>
      <w:r w:rsidRPr="00C94C33">
        <w:t>Diarrhoea, nausea and vomiting</w:t>
      </w:r>
      <w:bookmarkEnd w:id="395"/>
    </w:p>
    <w:p w14:paraId="3916077E" w14:textId="39143582" w:rsidR="00DF61BC" w:rsidRPr="00C94C33" w:rsidRDefault="00DF61BC" w:rsidP="00DF61BC">
      <w:r w:rsidRPr="00C94C33">
        <w:t>AEs of diarrhoea, nausea and vomiting (all Grades) occurred notably more frequently in patients in the TAS-102 group than in the placebo group (62.3%</w:t>
      </w:r>
      <w:r w:rsidR="00C11183">
        <w:t xml:space="preserve"> versus </w:t>
      </w:r>
      <w:r w:rsidRPr="00C94C33">
        <w:t>38.1%, respectively), as did ≥ Grade 3 AEs (5.6%</w:t>
      </w:r>
      <w:r w:rsidR="00C11183">
        <w:t xml:space="preserve"> versus </w:t>
      </w:r>
      <w:r w:rsidRPr="00C94C33">
        <w:t>1.9%, respectively). In the TAS-102 group, nausea alone occurred more frequently than diarrhoea alone, which in turn occurred more frequently than vomiting alone. The results for nausea, vomiting and</w:t>
      </w:r>
      <w:r w:rsidR="00EE3571" w:rsidRPr="00C94C33">
        <w:t xml:space="preserve"> diarrhoea are summarised below.</w:t>
      </w:r>
    </w:p>
    <w:p w14:paraId="1D2A3DD9" w14:textId="06460010" w:rsidR="00DF61BC" w:rsidRPr="00C94C33" w:rsidRDefault="00DF61BC" w:rsidP="0058475B">
      <w:pPr>
        <w:pStyle w:val="Tabletitle"/>
      </w:pPr>
      <w:bookmarkStart w:id="396" w:name="_Toc470948705"/>
      <w:r w:rsidRPr="00C94C33">
        <w:t>Table</w:t>
      </w:r>
      <w:r w:rsidR="00AA43B1" w:rsidRPr="00C94C33">
        <w:t xml:space="preserve"> 56</w:t>
      </w:r>
      <w:r w:rsidRPr="00C94C33">
        <w:t>: RECOURS</w:t>
      </w:r>
      <w:r w:rsidR="00F1327C">
        <w:t>E;</w:t>
      </w:r>
      <w:r w:rsidRPr="00C94C33">
        <w:t>Adverse events of diarrhoea, nausea and vomiting, AT population</w:t>
      </w:r>
      <w:bookmarkEnd w:id="396"/>
    </w:p>
    <w:tbl>
      <w:tblPr>
        <w:tblW w:w="9558" w:type="dxa"/>
        <w:tblInd w:w="112" w:type="dxa"/>
        <w:tblLayout w:type="fixed"/>
        <w:tblCellMar>
          <w:left w:w="0" w:type="dxa"/>
          <w:right w:w="0" w:type="dxa"/>
        </w:tblCellMar>
        <w:tblLook w:val="0000" w:firstRow="0" w:lastRow="0" w:firstColumn="0" w:lastColumn="0" w:noHBand="0" w:noVBand="0"/>
      </w:tblPr>
      <w:tblGrid>
        <w:gridCol w:w="3888"/>
        <w:gridCol w:w="632"/>
        <w:gridCol w:w="898"/>
        <w:gridCol w:w="492"/>
        <w:gridCol w:w="858"/>
        <w:gridCol w:w="631"/>
        <w:gridCol w:w="899"/>
        <w:gridCol w:w="581"/>
        <w:gridCol w:w="679"/>
      </w:tblGrid>
      <w:tr w:rsidR="00DF61BC" w:rsidRPr="00C94C33" w14:paraId="44DEB1B3" w14:textId="77777777" w:rsidTr="00C960A1">
        <w:trPr>
          <w:trHeight w:hRule="exact" w:val="463"/>
          <w:tblHeader/>
        </w:trPr>
        <w:tc>
          <w:tcPr>
            <w:tcW w:w="3888" w:type="dxa"/>
            <w:tcBorders>
              <w:top w:val="single" w:sz="8" w:space="0" w:color="000000"/>
              <w:left w:val="single" w:sz="4" w:space="0" w:color="auto"/>
              <w:right w:val="single" w:sz="6" w:space="0" w:color="000000"/>
            </w:tcBorders>
            <w:shd w:val="clear" w:color="auto" w:fill="auto"/>
          </w:tcPr>
          <w:p w14:paraId="789375D6" w14:textId="77777777" w:rsidR="00DF61BC" w:rsidRPr="00C94C33" w:rsidRDefault="00DF61BC" w:rsidP="00C960A1">
            <w:pPr>
              <w:pStyle w:val="TableHeading"/>
            </w:pPr>
          </w:p>
        </w:tc>
        <w:tc>
          <w:tcPr>
            <w:tcW w:w="2880" w:type="dxa"/>
            <w:gridSpan w:val="4"/>
            <w:tcBorders>
              <w:top w:val="single" w:sz="8" w:space="0" w:color="000000"/>
              <w:left w:val="single" w:sz="6" w:space="0" w:color="000000"/>
              <w:right w:val="single" w:sz="6" w:space="0" w:color="000000"/>
            </w:tcBorders>
            <w:shd w:val="clear" w:color="auto" w:fill="auto"/>
          </w:tcPr>
          <w:p w14:paraId="4C1C81EF" w14:textId="5841338C" w:rsidR="00DF61BC" w:rsidRPr="00C94C33" w:rsidRDefault="00DF61BC" w:rsidP="00C960A1">
            <w:pPr>
              <w:pStyle w:val="TableHeading"/>
              <w:jc w:val="center"/>
            </w:pPr>
            <w:r w:rsidRPr="00C94C33">
              <w:t>TAS-102 (</w:t>
            </w:r>
            <w:r w:rsidR="009C0389" w:rsidRPr="00C94C33">
              <w:t xml:space="preserve">n = </w:t>
            </w:r>
            <w:r w:rsidRPr="00C94C33">
              <w:t>533); n (%)</w:t>
            </w:r>
          </w:p>
        </w:tc>
        <w:tc>
          <w:tcPr>
            <w:tcW w:w="2790" w:type="dxa"/>
            <w:gridSpan w:val="4"/>
            <w:tcBorders>
              <w:top w:val="single" w:sz="8" w:space="0" w:color="000000"/>
              <w:left w:val="single" w:sz="6" w:space="0" w:color="000000"/>
              <w:right w:val="single" w:sz="4" w:space="0" w:color="auto"/>
            </w:tcBorders>
            <w:shd w:val="clear" w:color="auto" w:fill="auto"/>
          </w:tcPr>
          <w:p w14:paraId="7CB19CF1" w14:textId="586364FD" w:rsidR="00DF61BC" w:rsidRPr="00C94C33" w:rsidRDefault="00DF61BC" w:rsidP="00C960A1">
            <w:pPr>
              <w:pStyle w:val="TableHeading"/>
              <w:jc w:val="center"/>
            </w:pPr>
            <w:r w:rsidRPr="00C94C33">
              <w:t>Placebo (</w:t>
            </w:r>
            <w:r w:rsidR="009C0389" w:rsidRPr="00C94C33">
              <w:t xml:space="preserve">n = </w:t>
            </w:r>
            <w:r w:rsidRPr="00C94C33">
              <w:t>265); n (%)</w:t>
            </w:r>
          </w:p>
        </w:tc>
      </w:tr>
      <w:tr w:rsidR="00DF61BC" w:rsidRPr="00C94C33" w14:paraId="428E2053" w14:textId="77777777" w:rsidTr="00C960A1">
        <w:trPr>
          <w:trHeight w:hRule="exact" w:val="419"/>
          <w:tblHeader/>
        </w:trPr>
        <w:tc>
          <w:tcPr>
            <w:tcW w:w="3888" w:type="dxa"/>
            <w:tcBorders>
              <w:left w:val="single" w:sz="4" w:space="0" w:color="auto"/>
              <w:bottom w:val="single" w:sz="7" w:space="0" w:color="000000"/>
              <w:right w:val="single" w:sz="6" w:space="0" w:color="000000"/>
            </w:tcBorders>
            <w:shd w:val="clear" w:color="auto" w:fill="auto"/>
          </w:tcPr>
          <w:p w14:paraId="2E540C73" w14:textId="0E9EFA7A" w:rsidR="00DF61BC" w:rsidRPr="00C94C33" w:rsidRDefault="00DF61BC" w:rsidP="00C960A1">
            <w:pPr>
              <w:pStyle w:val="TableHeading"/>
            </w:pPr>
            <w:r w:rsidRPr="00C94C33">
              <w:t>Preferred term</w:t>
            </w:r>
          </w:p>
        </w:tc>
        <w:tc>
          <w:tcPr>
            <w:tcW w:w="1530" w:type="dxa"/>
            <w:gridSpan w:val="2"/>
            <w:tcBorders>
              <w:left w:val="single" w:sz="6" w:space="0" w:color="000000"/>
              <w:bottom w:val="single" w:sz="7" w:space="0" w:color="000000"/>
            </w:tcBorders>
            <w:shd w:val="clear" w:color="auto" w:fill="auto"/>
          </w:tcPr>
          <w:p w14:paraId="696E6B3F" w14:textId="5A7CE8B6" w:rsidR="00DF61BC" w:rsidRPr="00C94C33" w:rsidRDefault="00DF61BC" w:rsidP="00C960A1">
            <w:pPr>
              <w:pStyle w:val="TableHeading"/>
              <w:jc w:val="center"/>
            </w:pPr>
            <w:r w:rsidRPr="00C94C33">
              <w:t>All Grades</w:t>
            </w:r>
          </w:p>
        </w:tc>
        <w:tc>
          <w:tcPr>
            <w:tcW w:w="1350" w:type="dxa"/>
            <w:gridSpan w:val="2"/>
            <w:tcBorders>
              <w:left w:val="nil"/>
              <w:bottom w:val="single" w:sz="7" w:space="0" w:color="000000"/>
              <w:right w:val="single" w:sz="6" w:space="0" w:color="000000"/>
            </w:tcBorders>
            <w:shd w:val="clear" w:color="auto" w:fill="auto"/>
          </w:tcPr>
          <w:p w14:paraId="4C153710" w14:textId="782623A9" w:rsidR="00DF61BC" w:rsidRPr="00C94C33" w:rsidRDefault="00DF61BC" w:rsidP="00C960A1">
            <w:pPr>
              <w:pStyle w:val="TableHeading"/>
              <w:jc w:val="center"/>
            </w:pPr>
            <w:r w:rsidRPr="00C94C33">
              <w:t>≥ Grade 3</w:t>
            </w:r>
          </w:p>
        </w:tc>
        <w:tc>
          <w:tcPr>
            <w:tcW w:w="1530" w:type="dxa"/>
            <w:gridSpan w:val="2"/>
            <w:tcBorders>
              <w:left w:val="single" w:sz="6" w:space="0" w:color="000000"/>
              <w:bottom w:val="single" w:sz="7" w:space="0" w:color="000000"/>
            </w:tcBorders>
            <w:shd w:val="clear" w:color="auto" w:fill="auto"/>
          </w:tcPr>
          <w:p w14:paraId="64EE3F38" w14:textId="4CCC64BB" w:rsidR="00DF61BC" w:rsidRPr="00C94C33" w:rsidRDefault="00DF61BC" w:rsidP="00C960A1">
            <w:pPr>
              <w:pStyle w:val="TableHeading"/>
              <w:jc w:val="center"/>
            </w:pPr>
            <w:r w:rsidRPr="00C94C33">
              <w:t>All Grades</w:t>
            </w:r>
          </w:p>
        </w:tc>
        <w:tc>
          <w:tcPr>
            <w:tcW w:w="1260" w:type="dxa"/>
            <w:gridSpan w:val="2"/>
            <w:tcBorders>
              <w:left w:val="nil"/>
              <w:bottom w:val="single" w:sz="7" w:space="0" w:color="000000"/>
              <w:right w:val="single" w:sz="4" w:space="0" w:color="auto"/>
            </w:tcBorders>
            <w:shd w:val="clear" w:color="auto" w:fill="auto"/>
          </w:tcPr>
          <w:p w14:paraId="22FC4274" w14:textId="6A32FDDB" w:rsidR="00DF61BC" w:rsidRPr="00C94C33" w:rsidRDefault="00DF61BC" w:rsidP="00C960A1">
            <w:pPr>
              <w:pStyle w:val="TableHeading"/>
              <w:jc w:val="center"/>
            </w:pPr>
            <w:r w:rsidRPr="00C94C33">
              <w:t>≥ Grade 3</w:t>
            </w:r>
          </w:p>
        </w:tc>
      </w:tr>
      <w:tr w:rsidR="00DF61BC" w:rsidRPr="00C94C33" w14:paraId="65E60C61" w14:textId="77777777" w:rsidTr="00983724">
        <w:trPr>
          <w:trHeight w:hRule="exact" w:val="305"/>
        </w:trPr>
        <w:tc>
          <w:tcPr>
            <w:tcW w:w="3888" w:type="dxa"/>
            <w:tcBorders>
              <w:top w:val="single" w:sz="7" w:space="0" w:color="000000"/>
              <w:left w:val="single" w:sz="4" w:space="0" w:color="auto"/>
              <w:bottom w:val="single" w:sz="7" w:space="0" w:color="000000"/>
              <w:right w:val="single" w:sz="6" w:space="0" w:color="000000"/>
            </w:tcBorders>
            <w:shd w:val="clear" w:color="auto" w:fill="auto"/>
          </w:tcPr>
          <w:p w14:paraId="617AF53B" w14:textId="77777777" w:rsidR="00DF61BC" w:rsidRPr="00C94C33" w:rsidRDefault="00DF61BC" w:rsidP="00C960A1">
            <w:pPr>
              <w:pStyle w:val="Tabletext"/>
            </w:pPr>
            <w:bookmarkStart w:id="397" w:name="Table_52:_Adverse_Events_of_Diarrhoea,_N"/>
            <w:bookmarkStart w:id="398" w:name="12.3.7._Analysis_and_Discussion_of_Death"/>
            <w:bookmarkEnd w:id="397"/>
            <w:bookmarkEnd w:id="398"/>
            <w:r w:rsidRPr="00C94C33">
              <w:t>Diarrhoea and/or nausea and/or vomiting</w:t>
            </w:r>
          </w:p>
        </w:tc>
        <w:tc>
          <w:tcPr>
            <w:tcW w:w="632" w:type="dxa"/>
            <w:tcBorders>
              <w:top w:val="single" w:sz="7" w:space="0" w:color="000000"/>
              <w:left w:val="single" w:sz="6" w:space="0" w:color="000000"/>
              <w:bottom w:val="single" w:sz="7" w:space="0" w:color="000000"/>
              <w:right w:val="nil"/>
            </w:tcBorders>
            <w:shd w:val="clear" w:color="auto" w:fill="auto"/>
          </w:tcPr>
          <w:p w14:paraId="451EB38C" w14:textId="77777777" w:rsidR="00DF61BC" w:rsidRPr="00C94C33" w:rsidRDefault="00DF61BC" w:rsidP="00C960A1">
            <w:pPr>
              <w:pStyle w:val="Tabletext"/>
            </w:pPr>
            <w:r w:rsidRPr="00C94C33">
              <w:t>332</w:t>
            </w:r>
          </w:p>
        </w:tc>
        <w:tc>
          <w:tcPr>
            <w:tcW w:w="898" w:type="dxa"/>
            <w:tcBorders>
              <w:top w:val="single" w:sz="7" w:space="0" w:color="000000"/>
              <w:left w:val="nil"/>
              <w:bottom w:val="single" w:sz="7" w:space="0" w:color="000000"/>
            </w:tcBorders>
            <w:shd w:val="clear" w:color="auto" w:fill="auto"/>
          </w:tcPr>
          <w:p w14:paraId="45DAD6E7" w14:textId="77777777" w:rsidR="00DF61BC" w:rsidRPr="00C94C33" w:rsidRDefault="00DF61BC" w:rsidP="00C960A1">
            <w:pPr>
              <w:pStyle w:val="Tabletext"/>
            </w:pPr>
            <w:r w:rsidRPr="00C94C33">
              <w:t>(62.3)</w:t>
            </w:r>
          </w:p>
        </w:tc>
        <w:tc>
          <w:tcPr>
            <w:tcW w:w="492" w:type="dxa"/>
            <w:tcBorders>
              <w:top w:val="single" w:sz="7" w:space="0" w:color="000000"/>
              <w:left w:val="nil"/>
              <w:bottom w:val="single" w:sz="7" w:space="0" w:color="000000"/>
              <w:right w:val="nil"/>
            </w:tcBorders>
            <w:shd w:val="clear" w:color="auto" w:fill="auto"/>
          </w:tcPr>
          <w:p w14:paraId="77733BF9" w14:textId="77777777" w:rsidR="00DF61BC" w:rsidRPr="00C94C33" w:rsidRDefault="00DF61BC" w:rsidP="00C960A1">
            <w:pPr>
              <w:pStyle w:val="Tabletext"/>
            </w:pPr>
            <w:r w:rsidRPr="00C94C33">
              <w:t>30</w:t>
            </w:r>
          </w:p>
        </w:tc>
        <w:tc>
          <w:tcPr>
            <w:tcW w:w="858" w:type="dxa"/>
            <w:tcBorders>
              <w:top w:val="single" w:sz="7" w:space="0" w:color="000000"/>
              <w:left w:val="nil"/>
              <w:bottom w:val="single" w:sz="7" w:space="0" w:color="000000"/>
              <w:right w:val="single" w:sz="6" w:space="0" w:color="000000"/>
            </w:tcBorders>
            <w:shd w:val="clear" w:color="auto" w:fill="auto"/>
          </w:tcPr>
          <w:p w14:paraId="1AD0BA6B" w14:textId="77777777" w:rsidR="00DF61BC" w:rsidRPr="00C94C33" w:rsidRDefault="00DF61BC" w:rsidP="00C960A1">
            <w:pPr>
              <w:pStyle w:val="Tabletext"/>
            </w:pPr>
            <w:r w:rsidRPr="00C94C33">
              <w:t>(5.6)</w:t>
            </w:r>
          </w:p>
        </w:tc>
        <w:tc>
          <w:tcPr>
            <w:tcW w:w="631" w:type="dxa"/>
            <w:tcBorders>
              <w:top w:val="single" w:sz="7" w:space="0" w:color="000000"/>
              <w:left w:val="single" w:sz="6" w:space="0" w:color="000000"/>
              <w:bottom w:val="single" w:sz="7" w:space="0" w:color="000000"/>
              <w:right w:val="nil"/>
            </w:tcBorders>
            <w:shd w:val="clear" w:color="auto" w:fill="auto"/>
          </w:tcPr>
          <w:p w14:paraId="548C5131" w14:textId="77777777" w:rsidR="00DF61BC" w:rsidRPr="00C94C33" w:rsidRDefault="00DF61BC" w:rsidP="00C960A1">
            <w:pPr>
              <w:pStyle w:val="Tabletext"/>
            </w:pPr>
            <w:r w:rsidRPr="00C94C33">
              <w:t>101</w:t>
            </w:r>
          </w:p>
        </w:tc>
        <w:tc>
          <w:tcPr>
            <w:tcW w:w="899" w:type="dxa"/>
            <w:tcBorders>
              <w:top w:val="single" w:sz="7" w:space="0" w:color="000000"/>
              <w:left w:val="nil"/>
              <w:bottom w:val="single" w:sz="7" w:space="0" w:color="000000"/>
            </w:tcBorders>
            <w:shd w:val="clear" w:color="auto" w:fill="auto"/>
          </w:tcPr>
          <w:p w14:paraId="2613B917" w14:textId="77777777" w:rsidR="00DF61BC" w:rsidRPr="00C94C33" w:rsidRDefault="00DF61BC" w:rsidP="00C960A1">
            <w:pPr>
              <w:pStyle w:val="Tabletext"/>
            </w:pPr>
            <w:r w:rsidRPr="00C94C33">
              <w:t>(38.1)</w:t>
            </w:r>
          </w:p>
        </w:tc>
        <w:tc>
          <w:tcPr>
            <w:tcW w:w="581" w:type="dxa"/>
            <w:tcBorders>
              <w:top w:val="single" w:sz="7" w:space="0" w:color="000000"/>
              <w:left w:val="nil"/>
              <w:bottom w:val="single" w:sz="7" w:space="0" w:color="000000"/>
              <w:right w:val="nil"/>
            </w:tcBorders>
            <w:shd w:val="clear" w:color="auto" w:fill="auto"/>
          </w:tcPr>
          <w:p w14:paraId="5DB07D99" w14:textId="77777777" w:rsidR="00DF61BC" w:rsidRPr="00C94C33" w:rsidRDefault="00DF61BC" w:rsidP="00C960A1">
            <w:pPr>
              <w:pStyle w:val="Tabletext"/>
            </w:pPr>
            <w:r w:rsidRPr="00C94C33">
              <w:t>5</w:t>
            </w:r>
          </w:p>
        </w:tc>
        <w:tc>
          <w:tcPr>
            <w:tcW w:w="679" w:type="dxa"/>
            <w:tcBorders>
              <w:top w:val="single" w:sz="7" w:space="0" w:color="000000"/>
              <w:left w:val="nil"/>
              <w:bottom w:val="single" w:sz="7" w:space="0" w:color="000000"/>
              <w:right w:val="single" w:sz="4" w:space="0" w:color="auto"/>
            </w:tcBorders>
            <w:shd w:val="clear" w:color="auto" w:fill="auto"/>
          </w:tcPr>
          <w:p w14:paraId="56CF330B" w14:textId="77777777" w:rsidR="00DF61BC" w:rsidRPr="00C94C33" w:rsidRDefault="00DF61BC" w:rsidP="00C960A1">
            <w:pPr>
              <w:pStyle w:val="Tabletext"/>
            </w:pPr>
            <w:r w:rsidRPr="00C94C33">
              <w:t>(1.9)</w:t>
            </w:r>
          </w:p>
        </w:tc>
      </w:tr>
      <w:tr w:rsidR="00DF61BC" w:rsidRPr="00C94C33" w14:paraId="5E60F510" w14:textId="77777777" w:rsidTr="00983724">
        <w:trPr>
          <w:trHeight w:hRule="exact" w:val="305"/>
        </w:trPr>
        <w:tc>
          <w:tcPr>
            <w:tcW w:w="3888" w:type="dxa"/>
            <w:tcBorders>
              <w:top w:val="single" w:sz="7" w:space="0" w:color="000000"/>
              <w:left w:val="single" w:sz="4" w:space="0" w:color="auto"/>
              <w:bottom w:val="single" w:sz="7" w:space="0" w:color="000000"/>
              <w:right w:val="single" w:sz="6" w:space="0" w:color="000000"/>
            </w:tcBorders>
            <w:shd w:val="clear" w:color="auto" w:fill="auto"/>
          </w:tcPr>
          <w:p w14:paraId="4575C7D8" w14:textId="77777777" w:rsidR="00DF61BC" w:rsidRPr="00C94C33" w:rsidRDefault="00DF61BC" w:rsidP="00C960A1">
            <w:pPr>
              <w:pStyle w:val="Tabletext"/>
            </w:pPr>
            <w:r w:rsidRPr="00C94C33">
              <w:t>Diarrhoea alone</w:t>
            </w:r>
          </w:p>
        </w:tc>
        <w:tc>
          <w:tcPr>
            <w:tcW w:w="632" w:type="dxa"/>
            <w:tcBorders>
              <w:top w:val="single" w:sz="7" w:space="0" w:color="000000"/>
              <w:left w:val="single" w:sz="6" w:space="0" w:color="000000"/>
              <w:bottom w:val="single" w:sz="7" w:space="0" w:color="000000"/>
              <w:right w:val="nil"/>
            </w:tcBorders>
            <w:shd w:val="clear" w:color="auto" w:fill="auto"/>
          </w:tcPr>
          <w:p w14:paraId="528084CE" w14:textId="77777777" w:rsidR="00DF61BC" w:rsidRPr="00C94C33" w:rsidRDefault="00DF61BC" w:rsidP="00C960A1">
            <w:pPr>
              <w:pStyle w:val="Tabletext"/>
            </w:pPr>
            <w:r w:rsidRPr="00C94C33">
              <w:t>49</w:t>
            </w:r>
          </w:p>
        </w:tc>
        <w:tc>
          <w:tcPr>
            <w:tcW w:w="898" w:type="dxa"/>
            <w:tcBorders>
              <w:top w:val="single" w:sz="7" w:space="0" w:color="000000"/>
              <w:left w:val="nil"/>
              <w:bottom w:val="single" w:sz="7" w:space="0" w:color="000000"/>
            </w:tcBorders>
            <w:shd w:val="clear" w:color="auto" w:fill="auto"/>
          </w:tcPr>
          <w:p w14:paraId="2773BCC9" w14:textId="77777777" w:rsidR="00DF61BC" w:rsidRPr="00C94C33" w:rsidRDefault="00DF61BC" w:rsidP="00C960A1">
            <w:pPr>
              <w:pStyle w:val="Tabletext"/>
            </w:pPr>
            <w:r w:rsidRPr="00C94C33">
              <w:t>(9.2)</w:t>
            </w:r>
          </w:p>
        </w:tc>
        <w:tc>
          <w:tcPr>
            <w:tcW w:w="492" w:type="dxa"/>
            <w:tcBorders>
              <w:top w:val="single" w:sz="7" w:space="0" w:color="000000"/>
              <w:left w:val="nil"/>
              <w:bottom w:val="single" w:sz="7" w:space="0" w:color="000000"/>
              <w:right w:val="nil"/>
            </w:tcBorders>
            <w:shd w:val="clear" w:color="auto" w:fill="auto"/>
          </w:tcPr>
          <w:p w14:paraId="1E1E3EB8" w14:textId="77777777" w:rsidR="00DF61BC" w:rsidRPr="00C94C33" w:rsidRDefault="00DF61BC" w:rsidP="00C960A1">
            <w:pPr>
              <w:pStyle w:val="Tabletext"/>
            </w:pPr>
            <w:r w:rsidRPr="00C94C33">
              <w:t>15</w:t>
            </w:r>
          </w:p>
        </w:tc>
        <w:tc>
          <w:tcPr>
            <w:tcW w:w="858" w:type="dxa"/>
            <w:tcBorders>
              <w:top w:val="single" w:sz="7" w:space="0" w:color="000000"/>
              <w:left w:val="nil"/>
              <w:bottom w:val="single" w:sz="7" w:space="0" w:color="000000"/>
              <w:right w:val="single" w:sz="6" w:space="0" w:color="000000"/>
            </w:tcBorders>
            <w:shd w:val="clear" w:color="auto" w:fill="auto"/>
          </w:tcPr>
          <w:p w14:paraId="0958C834" w14:textId="77777777" w:rsidR="00DF61BC" w:rsidRPr="00C94C33" w:rsidRDefault="00DF61BC" w:rsidP="00C960A1">
            <w:pPr>
              <w:pStyle w:val="Tabletext"/>
            </w:pPr>
            <w:r w:rsidRPr="00C94C33">
              <w:t>(2.8)</w:t>
            </w:r>
          </w:p>
        </w:tc>
        <w:tc>
          <w:tcPr>
            <w:tcW w:w="631" w:type="dxa"/>
            <w:tcBorders>
              <w:top w:val="single" w:sz="7" w:space="0" w:color="000000"/>
              <w:left w:val="single" w:sz="6" w:space="0" w:color="000000"/>
              <w:bottom w:val="single" w:sz="7" w:space="0" w:color="000000"/>
              <w:right w:val="nil"/>
            </w:tcBorders>
            <w:shd w:val="clear" w:color="auto" w:fill="auto"/>
          </w:tcPr>
          <w:p w14:paraId="2E051E93" w14:textId="77777777" w:rsidR="00DF61BC" w:rsidRPr="00C94C33" w:rsidRDefault="00DF61BC" w:rsidP="00C960A1">
            <w:pPr>
              <w:pStyle w:val="Tabletext"/>
            </w:pPr>
            <w:r w:rsidRPr="00C94C33">
              <w:t>19</w:t>
            </w:r>
          </w:p>
        </w:tc>
        <w:tc>
          <w:tcPr>
            <w:tcW w:w="899" w:type="dxa"/>
            <w:tcBorders>
              <w:top w:val="single" w:sz="7" w:space="0" w:color="000000"/>
              <w:left w:val="nil"/>
              <w:bottom w:val="single" w:sz="7" w:space="0" w:color="000000"/>
            </w:tcBorders>
            <w:shd w:val="clear" w:color="auto" w:fill="auto"/>
          </w:tcPr>
          <w:p w14:paraId="1572C346" w14:textId="77777777" w:rsidR="00DF61BC" w:rsidRPr="00C94C33" w:rsidRDefault="00DF61BC" w:rsidP="00C960A1">
            <w:pPr>
              <w:pStyle w:val="Tabletext"/>
            </w:pPr>
            <w:r w:rsidRPr="00C94C33">
              <w:t>(7.2)</w:t>
            </w:r>
          </w:p>
        </w:tc>
        <w:tc>
          <w:tcPr>
            <w:tcW w:w="581" w:type="dxa"/>
            <w:tcBorders>
              <w:top w:val="single" w:sz="7" w:space="0" w:color="000000"/>
              <w:left w:val="nil"/>
              <w:bottom w:val="single" w:sz="7" w:space="0" w:color="000000"/>
              <w:right w:val="nil"/>
            </w:tcBorders>
            <w:shd w:val="clear" w:color="auto" w:fill="auto"/>
          </w:tcPr>
          <w:p w14:paraId="6EBA0E0C" w14:textId="77777777" w:rsidR="00DF61BC" w:rsidRPr="00C94C33" w:rsidRDefault="00DF61BC" w:rsidP="00C960A1">
            <w:pPr>
              <w:pStyle w:val="Tabletext"/>
            </w:pPr>
            <w:r w:rsidRPr="00C94C33">
              <w:t>1</w:t>
            </w:r>
          </w:p>
        </w:tc>
        <w:tc>
          <w:tcPr>
            <w:tcW w:w="679" w:type="dxa"/>
            <w:tcBorders>
              <w:top w:val="single" w:sz="7" w:space="0" w:color="000000"/>
              <w:left w:val="nil"/>
              <w:bottom w:val="single" w:sz="7" w:space="0" w:color="000000"/>
              <w:right w:val="single" w:sz="4" w:space="0" w:color="auto"/>
            </w:tcBorders>
            <w:shd w:val="clear" w:color="auto" w:fill="auto"/>
          </w:tcPr>
          <w:p w14:paraId="72B9D658" w14:textId="77777777" w:rsidR="00DF61BC" w:rsidRPr="00C94C33" w:rsidRDefault="00DF61BC" w:rsidP="00C960A1">
            <w:pPr>
              <w:pStyle w:val="Tabletext"/>
            </w:pPr>
            <w:r w:rsidRPr="00C94C33">
              <w:t>(0.4)</w:t>
            </w:r>
          </w:p>
        </w:tc>
      </w:tr>
      <w:tr w:rsidR="00DF61BC" w:rsidRPr="00C94C33" w14:paraId="1B2EF1D1" w14:textId="77777777" w:rsidTr="00983724">
        <w:trPr>
          <w:trHeight w:hRule="exact" w:val="305"/>
        </w:trPr>
        <w:tc>
          <w:tcPr>
            <w:tcW w:w="3888" w:type="dxa"/>
            <w:tcBorders>
              <w:top w:val="single" w:sz="7" w:space="0" w:color="000000"/>
              <w:left w:val="single" w:sz="4" w:space="0" w:color="auto"/>
              <w:bottom w:val="single" w:sz="7" w:space="0" w:color="000000"/>
              <w:right w:val="single" w:sz="6" w:space="0" w:color="000000"/>
            </w:tcBorders>
            <w:shd w:val="clear" w:color="auto" w:fill="auto"/>
          </w:tcPr>
          <w:p w14:paraId="48A653D5" w14:textId="77777777" w:rsidR="00DF61BC" w:rsidRPr="00C94C33" w:rsidRDefault="00DF61BC" w:rsidP="00C960A1">
            <w:pPr>
              <w:pStyle w:val="Tabletext"/>
            </w:pPr>
            <w:r w:rsidRPr="00C94C33">
              <w:t>Nausea alone</w:t>
            </w:r>
          </w:p>
        </w:tc>
        <w:tc>
          <w:tcPr>
            <w:tcW w:w="632" w:type="dxa"/>
            <w:tcBorders>
              <w:top w:val="single" w:sz="7" w:space="0" w:color="000000"/>
              <w:left w:val="single" w:sz="6" w:space="0" w:color="000000"/>
              <w:bottom w:val="single" w:sz="7" w:space="0" w:color="000000"/>
              <w:right w:val="nil"/>
            </w:tcBorders>
            <w:shd w:val="clear" w:color="auto" w:fill="auto"/>
          </w:tcPr>
          <w:p w14:paraId="2FEAF73C" w14:textId="77777777" w:rsidR="00DF61BC" w:rsidRPr="00C94C33" w:rsidRDefault="00DF61BC" w:rsidP="00C960A1">
            <w:pPr>
              <w:pStyle w:val="Tabletext"/>
            </w:pPr>
            <w:r w:rsidRPr="00C94C33">
              <w:t>87</w:t>
            </w:r>
          </w:p>
        </w:tc>
        <w:tc>
          <w:tcPr>
            <w:tcW w:w="898" w:type="dxa"/>
            <w:tcBorders>
              <w:top w:val="single" w:sz="7" w:space="0" w:color="000000"/>
              <w:left w:val="nil"/>
              <w:bottom w:val="single" w:sz="7" w:space="0" w:color="000000"/>
            </w:tcBorders>
            <w:shd w:val="clear" w:color="auto" w:fill="auto"/>
          </w:tcPr>
          <w:p w14:paraId="641B7F01" w14:textId="77777777" w:rsidR="00DF61BC" w:rsidRPr="00C94C33" w:rsidRDefault="00DF61BC" w:rsidP="00C960A1">
            <w:pPr>
              <w:pStyle w:val="Tabletext"/>
            </w:pPr>
            <w:r w:rsidRPr="00C94C33">
              <w:t>(16.3)</w:t>
            </w:r>
          </w:p>
        </w:tc>
        <w:tc>
          <w:tcPr>
            <w:tcW w:w="492" w:type="dxa"/>
            <w:tcBorders>
              <w:top w:val="single" w:sz="7" w:space="0" w:color="000000"/>
              <w:left w:val="nil"/>
              <w:bottom w:val="single" w:sz="7" w:space="0" w:color="000000"/>
              <w:right w:val="nil"/>
            </w:tcBorders>
            <w:shd w:val="clear" w:color="auto" w:fill="auto"/>
          </w:tcPr>
          <w:p w14:paraId="0DE42AC6" w14:textId="77777777" w:rsidR="00DF61BC" w:rsidRPr="00C94C33" w:rsidRDefault="00DF61BC" w:rsidP="00C960A1">
            <w:pPr>
              <w:pStyle w:val="Tabletext"/>
            </w:pPr>
            <w:r w:rsidRPr="00C94C33">
              <w:t>4</w:t>
            </w:r>
          </w:p>
        </w:tc>
        <w:tc>
          <w:tcPr>
            <w:tcW w:w="858" w:type="dxa"/>
            <w:tcBorders>
              <w:top w:val="single" w:sz="7" w:space="0" w:color="000000"/>
              <w:left w:val="nil"/>
              <w:bottom w:val="single" w:sz="7" w:space="0" w:color="000000"/>
              <w:right w:val="single" w:sz="6" w:space="0" w:color="000000"/>
            </w:tcBorders>
            <w:shd w:val="clear" w:color="auto" w:fill="auto"/>
          </w:tcPr>
          <w:p w14:paraId="0549A681" w14:textId="77777777" w:rsidR="00DF61BC" w:rsidRPr="00C94C33" w:rsidRDefault="00DF61BC" w:rsidP="00C960A1">
            <w:pPr>
              <w:pStyle w:val="Tabletext"/>
            </w:pPr>
            <w:r w:rsidRPr="00C94C33">
              <w:t>(0.8)</w:t>
            </w:r>
          </w:p>
        </w:tc>
        <w:tc>
          <w:tcPr>
            <w:tcW w:w="631" w:type="dxa"/>
            <w:tcBorders>
              <w:top w:val="single" w:sz="7" w:space="0" w:color="000000"/>
              <w:left w:val="single" w:sz="6" w:space="0" w:color="000000"/>
              <w:bottom w:val="single" w:sz="7" w:space="0" w:color="000000"/>
              <w:right w:val="nil"/>
            </w:tcBorders>
            <w:shd w:val="clear" w:color="auto" w:fill="auto"/>
          </w:tcPr>
          <w:p w14:paraId="75855BA8" w14:textId="77777777" w:rsidR="00DF61BC" w:rsidRPr="00C94C33" w:rsidRDefault="00DF61BC" w:rsidP="00C960A1">
            <w:pPr>
              <w:pStyle w:val="Tabletext"/>
            </w:pPr>
            <w:r w:rsidRPr="00C94C33">
              <w:t>37</w:t>
            </w:r>
          </w:p>
        </w:tc>
        <w:tc>
          <w:tcPr>
            <w:tcW w:w="899" w:type="dxa"/>
            <w:tcBorders>
              <w:top w:val="single" w:sz="7" w:space="0" w:color="000000"/>
              <w:left w:val="nil"/>
              <w:bottom w:val="single" w:sz="7" w:space="0" w:color="000000"/>
            </w:tcBorders>
            <w:shd w:val="clear" w:color="auto" w:fill="auto"/>
          </w:tcPr>
          <w:p w14:paraId="181A3019" w14:textId="77777777" w:rsidR="00DF61BC" w:rsidRPr="00C94C33" w:rsidRDefault="00DF61BC" w:rsidP="00C960A1">
            <w:pPr>
              <w:pStyle w:val="Tabletext"/>
            </w:pPr>
            <w:r w:rsidRPr="00C94C33">
              <w:t>(14.0)</w:t>
            </w:r>
          </w:p>
        </w:tc>
        <w:tc>
          <w:tcPr>
            <w:tcW w:w="581" w:type="dxa"/>
            <w:tcBorders>
              <w:top w:val="single" w:sz="7" w:space="0" w:color="000000"/>
              <w:left w:val="nil"/>
              <w:bottom w:val="single" w:sz="7" w:space="0" w:color="000000"/>
              <w:right w:val="nil"/>
            </w:tcBorders>
            <w:shd w:val="clear" w:color="auto" w:fill="auto"/>
          </w:tcPr>
          <w:p w14:paraId="3FB3F07F" w14:textId="77777777" w:rsidR="00DF61BC" w:rsidRPr="00C94C33" w:rsidRDefault="00DF61BC" w:rsidP="00C960A1">
            <w:pPr>
              <w:pStyle w:val="Tabletext"/>
            </w:pPr>
            <w:r w:rsidRPr="00C94C33">
              <w:t>3</w:t>
            </w:r>
          </w:p>
        </w:tc>
        <w:tc>
          <w:tcPr>
            <w:tcW w:w="679" w:type="dxa"/>
            <w:tcBorders>
              <w:top w:val="single" w:sz="7" w:space="0" w:color="000000"/>
              <w:left w:val="nil"/>
              <w:bottom w:val="single" w:sz="7" w:space="0" w:color="000000"/>
              <w:right w:val="single" w:sz="4" w:space="0" w:color="auto"/>
            </w:tcBorders>
            <w:shd w:val="clear" w:color="auto" w:fill="auto"/>
          </w:tcPr>
          <w:p w14:paraId="751E0190" w14:textId="77777777" w:rsidR="00DF61BC" w:rsidRPr="00C94C33" w:rsidRDefault="00DF61BC" w:rsidP="00C960A1">
            <w:pPr>
              <w:pStyle w:val="Tabletext"/>
            </w:pPr>
            <w:r w:rsidRPr="00C94C33">
              <w:t>(1.1)</w:t>
            </w:r>
          </w:p>
        </w:tc>
      </w:tr>
      <w:tr w:rsidR="00DF61BC" w:rsidRPr="00C94C33" w14:paraId="2B4D3053" w14:textId="77777777" w:rsidTr="00983724">
        <w:trPr>
          <w:trHeight w:hRule="exact" w:val="305"/>
        </w:trPr>
        <w:tc>
          <w:tcPr>
            <w:tcW w:w="3888" w:type="dxa"/>
            <w:tcBorders>
              <w:top w:val="single" w:sz="7" w:space="0" w:color="000000"/>
              <w:left w:val="single" w:sz="4" w:space="0" w:color="auto"/>
              <w:bottom w:val="single" w:sz="7" w:space="0" w:color="000000"/>
              <w:right w:val="single" w:sz="6" w:space="0" w:color="000000"/>
            </w:tcBorders>
            <w:shd w:val="clear" w:color="auto" w:fill="auto"/>
          </w:tcPr>
          <w:p w14:paraId="72FFA62E" w14:textId="77777777" w:rsidR="00DF61BC" w:rsidRPr="00C94C33" w:rsidRDefault="00DF61BC" w:rsidP="00C960A1">
            <w:pPr>
              <w:pStyle w:val="Tabletext"/>
            </w:pPr>
            <w:r w:rsidRPr="00C94C33">
              <w:t>Vomiting alone</w:t>
            </w:r>
          </w:p>
        </w:tc>
        <w:tc>
          <w:tcPr>
            <w:tcW w:w="632" w:type="dxa"/>
            <w:tcBorders>
              <w:top w:val="single" w:sz="7" w:space="0" w:color="000000"/>
              <w:left w:val="single" w:sz="6" w:space="0" w:color="000000"/>
              <w:bottom w:val="single" w:sz="7" w:space="0" w:color="000000"/>
              <w:right w:val="nil"/>
            </w:tcBorders>
            <w:shd w:val="clear" w:color="auto" w:fill="auto"/>
          </w:tcPr>
          <w:p w14:paraId="549728F2" w14:textId="77777777" w:rsidR="00DF61BC" w:rsidRPr="00C94C33" w:rsidRDefault="00DF61BC" w:rsidP="00C960A1">
            <w:pPr>
              <w:pStyle w:val="Tabletext"/>
            </w:pPr>
            <w:r w:rsidRPr="00C94C33">
              <w:t>14</w:t>
            </w:r>
          </w:p>
        </w:tc>
        <w:tc>
          <w:tcPr>
            <w:tcW w:w="898" w:type="dxa"/>
            <w:tcBorders>
              <w:top w:val="single" w:sz="7" w:space="0" w:color="000000"/>
              <w:left w:val="nil"/>
              <w:bottom w:val="single" w:sz="7" w:space="0" w:color="000000"/>
            </w:tcBorders>
            <w:shd w:val="clear" w:color="auto" w:fill="auto"/>
          </w:tcPr>
          <w:p w14:paraId="460ABE08" w14:textId="77777777" w:rsidR="00DF61BC" w:rsidRPr="00C94C33" w:rsidRDefault="00DF61BC" w:rsidP="00C960A1">
            <w:pPr>
              <w:pStyle w:val="Tabletext"/>
            </w:pPr>
            <w:r w:rsidRPr="00C94C33">
              <w:t>(2.6)</w:t>
            </w:r>
          </w:p>
        </w:tc>
        <w:tc>
          <w:tcPr>
            <w:tcW w:w="492" w:type="dxa"/>
            <w:tcBorders>
              <w:top w:val="single" w:sz="7" w:space="0" w:color="000000"/>
              <w:left w:val="nil"/>
              <w:bottom w:val="single" w:sz="7" w:space="0" w:color="000000"/>
              <w:right w:val="nil"/>
            </w:tcBorders>
            <w:shd w:val="clear" w:color="auto" w:fill="auto"/>
          </w:tcPr>
          <w:p w14:paraId="252904E3" w14:textId="77777777" w:rsidR="00DF61BC" w:rsidRPr="00C94C33" w:rsidRDefault="00DF61BC" w:rsidP="00C960A1">
            <w:pPr>
              <w:pStyle w:val="Tabletext"/>
            </w:pPr>
            <w:r w:rsidRPr="00C94C33">
              <w:t>4</w:t>
            </w:r>
          </w:p>
        </w:tc>
        <w:tc>
          <w:tcPr>
            <w:tcW w:w="858" w:type="dxa"/>
            <w:tcBorders>
              <w:top w:val="single" w:sz="7" w:space="0" w:color="000000"/>
              <w:left w:val="nil"/>
              <w:bottom w:val="single" w:sz="7" w:space="0" w:color="000000"/>
              <w:right w:val="single" w:sz="6" w:space="0" w:color="000000"/>
            </w:tcBorders>
            <w:shd w:val="clear" w:color="auto" w:fill="auto"/>
          </w:tcPr>
          <w:p w14:paraId="31AD32FC" w14:textId="77777777" w:rsidR="00DF61BC" w:rsidRPr="00C94C33" w:rsidRDefault="00DF61BC" w:rsidP="00C960A1">
            <w:pPr>
              <w:pStyle w:val="Tabletext"/>
            </w:pPr>
            <w:r w:rsidRPr="00C94C33">
              <w:t>(0.8)</w:t>
            </w:r>
          </w:p>
        </w:tc>
        <w:tc>
          <w:tcPr>
            <w:tcW w:w="631" w:type="dxa"/>
            <w:tcBorders>
              <w:top w:val="single" w:sz="7" w:space="0" w:color="000000"/>
              <w:left w:val="single" w:sz="6" w:space="0" w:color="000000"/>
              <w:bottom w:val="single" w:sz="7" w:space="0" w:color="000000"/>
              <w:right w:val="nil"/>
            </w:tcBorders>
            <w:shd w:val="clear" w:color="auto" w:fill="auto"/>
          </w:tcPr>
          <w:p w14:paraId="5C89C211" w14:textId="77777777" w:rsidR="00DF61BC" w:rsidRPr="00C94C33" w:rsidRDefault="00DF61BC" w:rsidP="00C960A1">
            <w:pPr>
              <w:pStyle w:val="Tabletext"/>
            </w:pPr>
            <w:r w:rsidRPr="00C94C33">
              <w:t>18</w:t>
            </w:r>
          </w:p>
        </w:tc>
        <w:tc>
          <w:tcPr>
            <w:tcW w:w="899" w:type="dxa"/>
            <w:tcBorders>
              <w:top w:val="single" w:sz="7" w:space="0" w:color="000000"/>
              <w:left w:val="nil"/>
              <w:bottom w:val="single" w:sz="7" w:space="0" w:color="000000"/>
            </w:tcBorders>
            <w:shd w:val="clear" w:color="auto" w:fill="auto"/>
          </w:tcPr>
          <w:p w14:paraId="2BE6DBD2" w14:textId="77777777" w:rsidR="00DF61BC" w:rsidRPr="00C94C33" w:rsidRDefault="00DF61BC" w:rsidP="00C960A1">
            <w:pPr>
              <w:pStyle w:val="Tabletext"/>
            </w:pPr>
            <w:r w:rsidRPr="00C94C33">
              <w:t>(6.8)</w:t>
            </w:r>
          </w:p>
        </w:tc>
        <w:tc>
          <w:tcPr>
            <w:tcW w:w="581" w:type="dxa"/>
            <w:tcBorders>
              <w:top w:val="single" w:sz="7" w:space="0" w:color="000000"/>
              <w:left w:val="nil"/>
              <w:bottom w:val="single" w:sz="7" w:space="0" w:color="000000"/>
              <w:right w:val="nil"/>
            </w:tcBorders>
            <w:shd w:val="clear" w:color="auto" w:fill="auto"/>
          </w:tcPr>
          <w:p w14:paraId="528BD25E" w14:textId="77777777" w:rsidR="00DF61BC" w:rsidRPr="00C94C33" w:rsidRDefault="00DF61BC" w:rsidP="00C960A1">
            <w:pPr>
              <w:pStyle w:val="Tabletext"/>
            </w:pPr>
            <w:r w:rsidRPr="00C94C33">
              <w:t>1</w:t>
            </w:r>
          </w:p>
        </w:tc>
        <w:tc>
          <w:tcPr>
            <w:tcW w:w="679" w:type="dxa"/>
            <w:tcBorders>
              <w:top w:val="single" w:sz="7" w:space="0" w:color="000000"/>
              <w:left w:val="nil"/>
              <w:bottom w:val="single" w:sz="7" w:space="0" w:color="000000"/>
              <w:right w:val="single" w:sz="4" w:space="0" w:color="auto"/>
            </w:tcBorders>
            <w:shd w:val="clear" w:color="auto" w:fill="auto"/>
          </w:tcPr>
          <w:p w14:paraId="59123A23" w14:textId="77777777" w:rsidR="00DF61BC" w:rsidRPr="00C94C33" w:rsidRDefault="00DF61BC" w:rsidP="00C960A1">
            <w:pPr>
              <w:pStyle w:val="Tabletext"/>
            </w:pPr>
            <w:r w:rsidRPr="00C94C33">
              <w:t>(0.4)</w:t>
            </w:r>
          </w:p>
        </w:tc>
      </w:tr>
      <w:tr w:rsidR="00DF61BC" w:rsidRPr="00C94C33" w14:paraId="1D6A4D89" w14:textId="77777777" w:rsidTr="00983724">
        <w:trPr>
          <w:trHeight w:hRule="exact" w:val="305"/>
        </w:trPr>
        <w:tc>
          <w:tcPr>
            <w:tcW w:w="3888" w:type="dxa"/>
            <w:tcBorders>
              <w:top w:val="single" w:sz="7" w:space="0" w:color="000000"/>
              <w:left w:val="single" w:sz="4" w:space="0" w:color="auto"/>
              <w:bottom w:val="single" w:sz="7" w:space="0" w:color="000000"/>
              <w:right w:val="single" w:sz="6" w:space="0" w:color="000000"/>
            </w:tcBorders>
            <w:shd w:val="clear" w:color="auto" w:fill="auto"/>
          </w:tcPr>
          <w:p w14:paraId="4B43B14D" w14:textId="77777777" w:rsidR="00DF61BC" w:rsidRPr="00C94C33" w:rsidRDefault="00DF61BC" w:rsidP="00C960A1">
            <w:pPr>
              <w:pStyle w:val="Tabletext"/>
            </w:pPr>
            <w:r w:rsidRPr="00C94C33">
              <w:t>Diarrhoea and</w:t>
            </w:r>
            <w:r w:rsidRPr="00C94C33">
              <w:rPr>
                <w:spacing w:val="-2"/>
              </w:rPr>
              <w:t xml:space="preserve"> </w:t>
            </w:r>
            <w:r w:rsidRPr="00C94C33">
              <w:t>nausea (no vomiting)</w:t>
            </w:r>
          </w:p>
        </w:tc>
        <w:tc>
          <w:tcPr>
            <w:tcW w:w="632" w:type="dxa"/>
            <w:tcBorders>
              <w:top w:val="single" w:sz="7" w:space="0" w:color="000000"/>
              <w:left w:val="single" w:sz="6" w:space="0" w:color="000000"/>
              <w:bottom w:val="single" w:sz="7" w:space="0" w:color="000000"/>
              <w:right w:val="nil"/>
            </w:tcBorders>
            <w:shd w:val="clear" w:color="auto" w:fill="auto"/>
          </w:tcPr>
          <w:p w14:paraId="7EF5A5F2" w14:textId="77777777" w:rsidR="00DF61BC" w:rsidRPr="00C94C33" w:rsidRDefault="00DF61BC" w:rsidP="00C960A1">
            <w:pPr>
              <w:pStyle w:val="Tabletext"/>
            </w:pPr>
            <w:r w:rsidRPr="00C94C33">
              <w:t>48</w:t>
            </w:r>
          </w:p>
        </w:tc>
        <w:tc>
          <w:tcPr>
            <w:tcW w:w="898" w:type="dxa"/>
            <w:tcBorders>
              <w:top w:val="single" w:sz="7" w:space="0" w:color="000000"/>
              <w:left w:val="nil"/>
              <w:bottom w:val="single" w:sz="7" w:space="0" w:color="000000"/>
            </w:tcBorders>
            <w:shd w:val="clear" w:color="auto" w:fill="auto"/>
          </w:tcPr>
          <w:p w14:paraId="30EC1FFD" w14:textId="77777777" w:rsidR="00DF61BC" w:rsidRPr="00C94C33" w:rsidRDefault="00DF61BC" w:rsidP="00C960A1">
            <w:pPr>
              <w:pStyle w:val="Tabletext"/>
            </w:pPr>
            <w:r w:rsidRPr="00C94C33">
              <w:t>(9.0)</w:t>
            </w:r>
          </w:p>
        </w:tc>
        <w:tc>
          <w:tcPr>
            <w:tcW w:w="1350" w:type="dxa"/>
            <w:gridSpan w:val="2"/>
            <w:tcBorders>
              <w:top w:val="single" w:sz="7" w:space="0" w:color="000000"/>
              <w:left w:val="nil"/>
              <w:bottom w:val="single" w:sz="7" w:space="0" w:color="000000"/>
              <w:right w:val="single" w:sz="6" w:space="0" w:color="000000"/>
            </w:tcBorders>
            <w:shd w:val="clear" w:color="auto" w:fill="auto"/>
          </w:tcPr>
          <w:p w14:paraId="6D93F61D" w14:textId="77777777" w:rsidR="00DF61BC" w:rsidRPr="00C94C33" w:rsidRDefault="00DF61BC" w:rsidP="00C960A1">
            <w:pPr>
              <w:pStyle w:val="Tabletext"/>
            </w:pPr>
            <w:r w:rsidRPr="00C94C33">
              <w:t>0</w:t>
            </w:r>
          </w:p>
        </w:tc>
        <w:tc>
          <w:tcPr>
            <w:tcW w:w="631" w:type="dxa"/>
            <w:tcBorders>
              <w:top w:val="single" w:sz="7" w:space="0" w:color="000000"/>
              <w:left w:val="single" w:sz="6" w:space="0" w:color="000000"/>
              <w:bottom w:val="single" w:sz="7" w:space="0" w:color="000000"/>
              <w:right w:val="nil"/>
            </w:tcBorders>
            <w:shd w:val="clear" w:color="auto" w:fill="auto"/>
          </w:tcPr>
          <w:p w14:paraId="6055A221" w14:textId="77777777" w:rsidR="00DF61BC" w:rsidRPr="00C94C33" w:rsidRDefault="00DF61BC" w:rsidP="00C960A1">
            <w:pPr>
              <w:pStyle w:val="Tabletext"/>
            </w:pPr>
            <w:r w:rsidRPr="00C94C33">
              <w:t>7</w:t>
            </w:r>
          </w:p>
        </w:tc>
        <w:tc>
          <w:tcPr>
            <w:tcW w:w="899" w:type="dxa"/>
            <w:tcBorders>
              <w:top w:val="single" w:sz="7" w:space="0" w:color="000000"/>
              <w:left w:val="nil"/>
              <w:bottom w:val="single" w:sz="7" w:space="0" w:color="000000"/>
            </w:tcBorders>
            <w:shd w:val="clear" w:color="auto" w:fill="auto"/>
          </w:tcPr>
          <w:p w14:paraId="5039C5E5" w14:textId="77777777" w:rsidR="00DF61BC" w:rsidRPr="00C94C33" w:rsidRDefault="00DF61BC" w:rsidP="00C960A1">
            <w:pPr>
              <w:pStyle w:val="Tabletext"/>
            </w:pPr>
            <w:r w:rsidRPr="00C94C33">
              <w:t>(2.6)</w:t>
            </w:r>
          </w:p>
        </w:tc>
        <w:tc>
          <w:tcPr>
            <w:tcW w:w="1260" w:type="dxa"/>
            <w:gridSpan w:val="2"/>
            <w:tcBorders>
              <w:top w:val="single" w:sz="7" w:space="0" w:color="000000"/>
              <w:left w:val="nil"/>
              <w:bottom w:val="single" w:sz="7" w:space="0" w:color="000000"/>
              <w:right w:val="single" w:sz="4" w:space="0" w:color="auto"/>
            </w:tcBorders>
            <w:shd w:val="clear" w:color="auto" w:fill="auto"/>
          </w:tcPr>
          <w:p w14:paraId="5369D056" w14:textId="77777777" w:rsidR="00DF61BC" w:rsidRPr="00C94C33" w:rsidRDefault="00DF61BC" w:rsidP="00C960A1">
            <w:pPr>
              <w:pStyle w:val="Tabletext"/>
            </w:pPr>
            <w:r w:rsidRPr="00C94C33">
              <w:t>0</w:t>
            </w:r>
          </w:p>
        </w:tc>
      </w:tr>
      <w:tr w:rsidR="00DF61BC" w:rsidRPr="00C94C33" w14:paraId="4C983AC8" w14:textId="77777777" w:rsidTr="00983724">
        <w:trPr>
          <w:trHeight w:hRule="exact" w:val="306"/>
        </w:trPr>
        <w:tc>
          <w:tcPr>
            <w:tcW w:w="3888" w:type="dxa"/>
            <w:tcBorders>
              <w:top w:val="single" w:sz="7" w:space="0" w:color="000000"/>
              <w:left w:val="single" w:sz="4" w:space="0" w:color="auto"/>
              <w:bottom w:val="single" w:sz="7" w:space="0" w:color="000000"/>
              <w:right w:val="single" w:sz="6" w:space="0" w:color="000000"/>
            </w:tcBorders>
            <w:shd w:val="clear" w:color="auto" w:fill="auto"/>
          </w:tcPr>
          <w:p w14:paraId="122D2F87" w14:textId="77777777" w:rsidR="00DF61BC" w:rsidRPr="00C94C33" w:rsidRDefault="00DF61BC" w:rsidP="00C960A1">
            <w:pPr>
              <w:pStyle w:val="Tabletext"/>
            </w:pPr>
            <w:r w:rsidRPr="00C94C33">
              <w:t>Diarrhoea and</w:t>
            </w:r>
            <w:r w:rsidRPr="00C94C33">
              <w:rPr>
                <w:spacing w:val="-2"/>
              </w:rPr>
              <w:t xml:space="preserve"> </w:t>
            </w:r>
            <w:r w:rsidRPr="00C94C33">
              <w:t>vomiting (no nausea)</w:t>
            </w:r>
          </w:p>
        </w:tc>
        <w:tc>
          <w:tcPr>
            <w:tcW w:w="632" w:type="dxa"/>
            <w:tcBorders>
              <w:top w:val="single" w:sz="7" w:space="0" w:color="000000"/>
              <w:left w:val="single" w:sz="6" w:space="0" w:color="000000"/>
              <w:bottom w:val="single" w:sz="7" w:space="0" w:color="000000"/>
              <w:right w:val="nil"/>
            </w:tcBorders>
            <w:shd w:val="clear" w:color="auto" w:fill="auto"/>
          </w:tcPr>
          <w:p w14:paraId="6A850EB4" w14:textId="77777777" w:rsidR="00DF61BC" w:rsidRPr="00C94C33" w:rsidRDefault="00DF61BC" w:rsidP="00C960A1">
            <w:pPr>
              <w:pStyle w:val="Tabletext"/>
            </w:pPr>
            <w:r w:rsidRPr="00C94C33">
              <w:t>11</w:t>
            </w:r>
          </w:p>
        </w:tc>
        <w:tc>
          <w:tcPr>
            <w:tcW w:w="898" w:type="dxa"/>
            <w:tcBorders>
              <w:top w:val="single" w:sz="7" w:space="0" w:color="000000"/>
              <w:left w:val="nil"/>
              <w:bottom w:val="single" w:sz="7" w:space="0" w:color="000000"/>
            </w:tcBorders>
            <w:shd w:val="clear" w:color="auto" w:fill="auto"/>
          </w:tcPr>
          <w:p w14:paraId="0D92063B" w14:textId="77777777" w:rsidR="00DF61BC" w:rsidRPr="00C94C33" w:rsidRDefault="00DF61BC" w:rsidP="00C960A1">
            <w:pPr>
              <w:pStyle w:val="Tabletext"/>
            </w:pPr>
            <w:r w:rsidRPr="00C94C33">
              <w:t>(2.1)</w:t>
            </w:r>
          </w:p>
        </w:tc>
        <w:tc>
          <w:tcPr>
            <w:tcW w:w="492" w:type="dxa"/>
            <w:tcBorders>
              <w:top w:val="single" w:sz="7" w:space="0" w:color="000000"/>
              <w:left w:val="nil"/>
              <w:bottom w:val="single" w:sz="7" w:space="0" w:color="000000"/>
              <w:right w:val="nil"/>
            </w:tcBorders>
            <w:shd w:val="clear" w:color="auto" w:fill="auto"/>
          </w:tcPr>
          <w:p w14:paraId="3605BC0F" w14:textId="77777777" w:rsidR="00DF61BC" w:rsidRPr="00C94C33" w:rsidRDefault="00DF61BC" w:rsidP="00C960A1">
            <w:pPr>
              <w:pStyle w:val="Tabletext"/>
            </w:pPr>
            <w:r w:rsidRPr="00C94C33">
              <w:t>1</w:t>
            </w:r>
          </w:p>
        </w:tc>
        <w:tc>
          <w:tcPr>
            <w:tcW w:w="858" w:type="dxa"/>
            <w:tcBorders>
              <w:top w:val="single" w:sz="7" w:space="0" w:color="000000"/>
              <w:left w:val="nil"/>
              <w:bottom w:val="single" w:sz="7" w:space="0" w:color="000000"/>
              <w:right w:val="single" w:sz="6" w:space="0" w:color="000000"/>
            </w:tcBorders>
            <w:shd w:val="clear" w:color="auto" w:fill="auto"/>
          </w:tcPr>
          <w:p w14:paraId="150C4EE3" w14:textId="77777777" w:rsidR="00DF61BC" w:rsidRPr="00C94C33" w:rsidRDefault="00DF61BC" w:rsidP="00C960A1">
            <w:pPr>
              <w:pStyle w:val="Tabletext"/>
            </w:pPr>
            <w:r w:rsidRPr="00C94C33">
              <w:t>(0.2)</w:t>
            </w:r>
          </w:p>
        </w:tc>
        <w:tc>
          <w:tcPr>
            <w:tcW w:w="631" w:type="dxa"/>
            <w:tcBorders>
              <w:top w:val="single" w:sz="7" w:space="0" w:color="000000"/>
              <w:left w:val="single" w:sz="6" w:space="0" w:color="000000"/>
              <w:bottom w:val="single" w:sz="7" w:space="0" w:color="000000"/>
              <w:right w:val="nil"/>
            </w:tcBorders>
            <w:shd w:val="clear" w:color="auto" w:fill="auto"/>
          </w:tcPr>
          <w:p w14:paraId="143B203A" w14:textId="77777777" w:rsidR="00DF61BC" w:rsidRPr="00C94C33" w:rsidRDefault="00DF61BC" w:rsidP="00C960A1">
            <w:pPr>
              <w:pStyle w:val="Tabletext"/>
            </w:pPr>
            <w:r w:rsidRPr="00C94C33">
              <w:t>1</w:t>
            </w:r>
          </w:p>
        </w:tc>
        <w:tc>
          <w:tcPr>
            <w:tcW w:w="899" w:type="dxa"/>
            <w:tcBorders>
              <w:top w:val="single" w:sz="7" w:space="0" w:color="000000"/>
              <w:left w:val="nil"/>
              <w:bottom w:val="single" w:sz="7" w:space="0" w:color="000000"/>
            </w:tcBorders>
            <w:shd w:val="clear" w:color="auto" w:fill="auto"/>
          </w:tcPr>
          <w:p w14:paraId="3B5008AB" w14:textId="77777777" w:rsidR="00DF61BC" w:rsidRPr="00C94C33" w:rsidRDefault="00DF61BC" w:rsidP="00C960A1">
            <w:pPr>
              <w:pStyle w:val="Tabletext"/>
            </w:pPr>
            <w:r w:rsidRPr="00C94C33">
              <w:t>(0.4)</w:t>
            </w:r>
          </w:p>
        </w:tc>
        <w:tc>
          <w:tcPr>
            <w:tcW w:w="1260" w:type="dxa"/>
            <w:gridSpan w:val="2"/>
            <w:tcBorders>
              <w:top w:val="single" w:sz="7" w:space="0" w:color="000000"/>
              <w:left w:val="nil"/>
              <w:bottom w:val="single" w:sz="7" w:space="0" w:color="000000"/>
              <w:right w:val="single" w:sz="4" w:space="0" w:color="auto"/>
            </w:tcBorders>
            <w:shd w:val="clear" w:color="auto" w:fill="auto"/>
          </w:tcPr>
          <w:p w14:paraId="0869596C" w14:textId="77777777" w:rsidR="00DF61BC" w:rsidRPr="00C94C33" w:rsidRDefault="00DF61BC" w:rsidP="00C960A1">
            <w:pPr>
              <w:pStyle w:val="Tabletext"/>
            </w:pPr>
            <w:r w:rsidRPr="00C94C33">
              <w:t>0</w:t>
            </w:r>
          </w:p>
        </w:tc>
      </w:tr>
      <w:tr w:rsidR="00DF61BC" w:rsidRPr="00C94C33" w14:paraId="670B5808" w14:textId="77777777" w:rsidTr="00983724">
        <w:trPr>
          <w:trHeight w:hRule="exact" w:val="305"/>
        </w:trPr>
        <w:tc>
          <w:tcPr>
            <w:tcW w:w="3888" w:type="dxa"/>
            <w:tcBorders>
              <w:top w:val="single" w:sz="7" w:space="0" w:color="000000"/>
              <w:left w:val="single" w:sz="4" w:space="0" w:color="auto"/>
              <w:bottom w:val="single" w:sz="7" w:space="0" w:color="000000"/>
              <w:right w:val="single" w:sz="6" w:space="0" w:color="000000"/>
            </w:tcBorders>
            <w:shd w:val="clear" w:color="auto" w:fill="auto"/>
          </w:tcPr>
          <w:p w14:paraId="0713ED7E" w14:textId="77777777" w:rsidR="00DF61BC" w:rsidRPr="00C94C33" w:rsidRDefault="00DF61BC" w:rsidP="00C960A1">
            <w:pPr>
              <w:pStyle w:val="Tabletext"/>
            </w:pPr>
            <w:r w:rsidRPr="00C94C33">
              <w:t>Nausea and vomiting (no diarrhoea)</w:t>
            </w:r>
          </w:p>
        </w:tc>
        <w:tc>
          <w:tcPr>
            <w:tcW w:w="632" w:type="dxa"/>
            <w:tcBorders>
              <w:top w:val="single" w:sz="7" w:space="0" w:color="000000"/>
              <w:left w:val="single" w:sz="6" w:space="0" w:color="000000"/>
              <w:bottom w:val="single" w:sz="7" w:space="0" w:color="000000"/>
              <w:right w:val="nil"/>
            </w:tcBorders>
            <w:shd w:val="clear" w:color="auto" w:fill="auto"/>
          </w:tcPr>
          <w:p w14:paraId="228A9E4B" w14:textId="77777777" w:rsidR="00DF61BC" w:rsidRPr="00C94C33" w:rsidRDefault="00DF61BC" w:rsidP="00C960A1">
            <w:pPr>
              <w:pStyle w:val="Tabletext"/>
            </w:pPr>
            <w:r w:rsidRPr="00C94C33">
              <w:t>61</w:t>
            </w:r>
          </w:p>
        </w:tc>
        <w:tc>
          <w:tcPr>
            <w:tcW w:w="898" w:type="dxa"/>
            <w:tcBorders>
              <w:top w:val="single" w:sz="7" w:space="0" w:color="000000"/>
              <w:left w:val="nil"/>
              <w:bottom w:val="single" w:sz="7" w:space="0" w:color="000000"/>
            </w:tcBorders>
            <w:shd w:val="clear" w:color="auto" w:fill="auto"/>
          </w:tcPr>
          <w:p w14:paraId="3AE75A78" w14:textId="77777777" w:rsidR="00DF61BC" w:rsidRPr="00C94C33" w:rsidRDefault="00DF61BC" w:rsidP="00C960A1">
            <w:pPr>
              <w:pStyle w:val="Tabletext"/>
            </w:pPr>
            <w:r w:rsidRPr="00C94C33">
              <w:t>(11.4)</w:t>
            </w:r>
          </w:p>
        </w:tc>
        <w:tc>
          <w:tcPr>
            <w:tcW w:w="492" w:type="dxa"/>
            <w:tcBorders>
              <w:top w:val="single" w:sz="7" w:space="0" w:color="000000"/>
              <w:left w:val="nil"/>
              <w:bottom w:val="single" w:sz="7" w:space="0" w:color="000000"/>
              <w:right w:val="nil"/>
            </w:tcBorders>
            <w:shd w:val="clear" w:color="auto" w:fill="auto"/>
          </w:tcPr>
          <w:p w14:paraId="58868269" w14:textId="77777777" w:rsidR="00DF61BC" w:rsidRPr="00C94C33" w:rsidRDefault="00DF61BC" w:rsidP="00C960A1">
            <w:pPr>
              <w:pStyle w:val="Tabletext"/>
            </w:pPr>
            <w:r w:rsidRPr="00C94C33">
              <w:t>6</w:t>
            </w:r>
          </w:p>
        </w:tc>
        <w:tc>
          <w:tcPr>
            <w:tcW w:w="858" w:type="dxa"/>
            <w:tcBorders>
              <w:top w:val="single" w:sz="7" w:space="0" w:color="000000"/>
              <w:left w:val="nil"/>
              <w:bottom w:val="single" w:sz="7" w:space="0" w:color="000000"/>
              <w:right w:val="single" w:sz="6" w:space="0" w:color="000000"/>
            </w:tcBorders>
            <w:shd w:val="clear" w:color="auto" w:fill="auto"/>
          </w:tcPr>
          <w:p w14:paraId="3B45E7A9" w14:textId="77777777" w:rsidR="00DF61BC" w:rsidRPr="00C94C33" w:rsidRDefault="00DF61BC" w:rsidP="00C960A1">
            <w:pPr>
              <w:pStyle w:val="Tabletext"/>
            </w:pPr>
            <w:r w:rsidRPr="00C94C33">
              <w:t>(1.1)</w:t>
            </w:r>
          </w:p>
        </w:tc>
        <w:tc>
          <w:tcPr>
            <w:tcW w:w="631" w:type="dxa"/>
            <w:tcBorders>
              <w:top w:val="single" w:sz="7" w:space="0" w:color="000000"/>
              <w:left w:val="single" w:sz="6" w:space="0" w:color="000000"/>
              <w:bottom w:val="single" w:sz="7" w:space="0" w:color="000000"/>
              <w:right w:val="nil"/>
            </w:tcBorders>
            <w:shd w:val="clear" w:color="auto" w:fill="auto"/>
          </w:tcPr>
          <w:p w14:paraId="03D51F5B" w14:textId="77777777" w:rsidR="00DF61BC" w:rsidRPr="00C94C33" w:rsidRDefault="00DF61BC" w:rsidP="00C960A1">
            <w:pPr>
              <w:pStyle w:val="Tabletext"/>
            </w:pPr>
            <w:r w:rsidRPr="00C94C33">
              <w:t>13</w:t>
            </w:r>
          </w:p>
        </w:tc>
        <w:tc>
          <w:tcPr>
            <w:tcW w:w="899" w:type="dxa"/>
            <w:tcBorders>
              <w:top w:val="single" w:sz="7" w:space="0" w:color="000000"/>
              <w:left w:val="nil"/>
              <w:bottom w:val="single" w:sz="7" w:space="0" w:color="000000"/>
            </w:tcBorders>
            <w:shd w:val="clear" w:color="auto" w:fill="auto"/>
          </w:tcPr>
          <w:p w14:paraId="22209B2F" w14:textId="77777777" w:rsidR="00DF61BC" w:rsidRPr="00C94C33" w:rsidRDefault="00DF61BC" w:rsidP="00C960A1">
            <w:pPr>
              <w:pStyle w:val="Tabletext"/>
            </w:pPr>
            <w:r w:rsidRPr="00C94C33">
              <w:t>(4.9)</w:t>
            </w:r>
          </w:p>
        </w:tc>
        <w:tc>
          <w:tcPr>
            <w:tcW w:w="1260" w:type="dxa"/>
            <w:gridSpan w:val="2"/>
            <w:tcBorders>
              <w:top w:val="single" w:sz="7" w:space="0" w:color="000000"/>
              <w:left w:val="nil"/>
              <w:bottom w:val="single" w:sz="7" w:space="0" w:color="000000"/>
              <w:right w:val="single" w:sz="4" w:space="0" w:color="auto"/>
            </w:tcBorders>
            <w:shd w:val="clear" w:color="auto" w:fill="auto"/>
          </w:tcPr>
          <w:p w14:paraId="57EE2B98" w14:textId="77777777" w:rsidR="00DF61BC" w:rsidRPr="00C94C33" w:rsidRDefault="00DF61BC" w:rsidP="00C960A1">
            <w:pPr>
              <w:pStyle w:val="Tabletext"/>
            </w:pPr>
            <w:r w:rsidRPr="00C94C33">
              <w:t>0</w:t>
            </w:r>
          </w:p>
        </w:tc>
      </w:tr>
      <w:tr w:rsidR="00DF61BC" w:rsidRPr="00C94C33" w14:paraId="47F36D89" w14:textId="77777777" w:rsidTr="00983724">
        <w:trPr>
          <w:trHeight w:hRule="exact" w:val="304"/>
        </w:trPr>
        <w:tc>
          <w:tcPr>
            <w:tcW w:w="3888" w:type="dxa"/>
            <w:tcBorders>
              <w:top w:val="single" w:sz="7" w:space="0" w:color="000000"/>
              <w:left w:val="single" w:sz="4" w:space="0" w:color="auto"/>
              <w:bottom w:val="single" w:sz="6" w:space="0" w:color="000000"/>
              <w:right w:val="single" w:sz="6" w:space="0" w:color="000000"/>
            </w:tcBorders>
            <w:shd w:val="clear" w:color="auto" w:fill="auto"/>
          </w:tcPr>
          <w:p w14:paraId="393D27BD" w14:textId="77777777" w:rsidR="00DF61BC" w:rsidRPr="00C94C33" w:rsidRDefault="00DF61BC" w:rsidP="00C960A1">
            <w:pPr>
              <w:pStyle w:val="Tabletext"/>
            </w:pPr>
            <w:r w:rsidRPr="00C94C33">
              <w:t>Diarrhoea, nausea and vomiting (all</w:t>
            </w:r>
            <w:r w:rsidRPr="00C94C33">
              <w:rPr>
                <w:spacing w:val="-2"/>
              </w:rPr>
              <w:t xml:space="preserve"> </w:t>
            </w:r>
            <w:r w:rsidRPr="00C94C33">
              <w:t>3 events)</w:t>
            </w:r>
          </w:p>
        </w:tc>
        <w:tc>
          <w:tcPr>
            <w:tcW w:w="632" w:type="dxa"/>
            <w:tcBorders>
              <w:top w:val="single" w:sz="7" w:space="0" w:color="000000"/>
              <w:left w:val="single" w:sz="6" w:space="0" w:color="000000"/>
              <w:bottom w:val="single" w:sz="6" w:space="0" w:color="000000"/>
              <w:right w:val="nil"/>
            </w:tcBorders>
            <w:shd w:val="clear" w:color="auto" w:fill="auto"/>
          </w:tcPr>
          <w:p w14:paraId="7A2A48A9" w14:textId="77777777" w:rsidR="00DF61BC" w:rsidRPr="00C94C33" w:rsidRDefault="00DF61BC" w:rsidP="00C960A1">
            <w:pPr>
              <w:pStyle w:val="Tabletext"/>
            </w:pPr>
            <w:r w:rsidRPr="00C94C33">
              <w:t>62</w:t>
            </w:r>
          </w:p>
        </w:tc>
        <w:tc>
          <w:tcPr>
            <w:tcW w:w="898" w:type="dxa"/>
            <w:tcBorders>
              <w:top w:val="single" w:sz="7" w:space="0" w:color="000000"/>
              <w:left w:val="nil"/>
              <w:bottom w:val="single" w:sz="6" w:space="0" w:color="000000"/>
            </w:tcBorders>
            <w:shd w:val="clear" w:color="auto" w:fill="auto"/>
          </w:tcPr>
          <w:p w14:paraId="433274C7" w14:textId="77777777" w:rsidR="00DF61BC" w:rsidRPr="00C94C33" w:rsidRDefault="00DF61BC" w:rsidP="00C960A1">
            <w:pPr>
              <w:pStyle w:val="Tabletext"/>
            </w:pPr>
            <w:r w:rsidRPr="00C94C33">
              <w:t>(11.6)</w:t>
            </w:r>
          </w:p>
        </w:tc>
        <w:tc>
          <w:tcPr>
            <w:tcW w:w="1350" w:type="dxa"/>
            <w:gridSpan w:val="2"/>
            <w:tcBorders>
              <w:top w:val="single" w:sz="7" w:space="0" w:color="000000"/>
              <w:left w:val="nil"/>
              <w:bottom w:val="single" w:sz="6" w:space="0" w:color="000000"/>
              <w:right w:val="single" w:sz="6" w:space="0" w:color="000000"/>
            </w:tcBorders>
            <w:shd w:val="clear" w:color="auto" w:fill="auto"/>
          </w:tcPr>
          <w:p w14:paraId="01B6DA07" w14:textId="77777777" w:rsidR="00DF61BC" w:rsidRPr="00C94C33" w:rsidRDefault="00DF61BC" w:rsidP="00C960A1">
            <w:pPr>
              <w:pStyle w:val="Tabletext"/>
            </w:pPr>
            <w:r w:rsidRPr="00C94C33">
              <w:t>0</w:t>
            </w:r>
          </w:p>
        </w:tc>
        <w:tc>
          <w:tcPr>
            <w:tcW w:w="631" w:type="dxa"/>
            <w:tcBorders>
              <w:top w:val="single" w:sz="7" w:space="0" w:color="000000"/>
              <w:left w:val="single" w:sz="6" w:space="0" w:color="000000"/>
              <w:bottom w:val="single" w:sz="6" w:space="0" w:color="000000"/>
              <w:right w:val="nil"/>
            </w:tcBorders>
            <w:shd w:val="clear" w:color="auto" w:fill="auto"/>
          </w:tcPr>
          <w:p w14:paraId="5ED6E8F3" w14:textId="77777777" w:rsidR="00DF61BC" w:rsidRPr="00C94C33" w:rsidRDefault="00DF61BC" w:rsidP="00C960A1">
            <w:pPr>
              <w:pStyle w:val="Tabletext"/>
            </w:pPr>
            <w:r w:rsidRPr="00C94C33">
              <w:t>6</w:t>
            </w:r>
          </w:p>
        </w:tc>
        <w:tc>
          <w:tcPr>
            <w:tcW w:w="899" w:type="dxa"/>
            <w:tcBorders>
              <w:top w:val="single" w:sz="7" w:space="0" w:color="000000"/>
              <w:left w:val="nil"/>
              <w:bottom w:val="single" w:sz="6" w:space="0" w:color="000000"/>
            </w:tcBorders>
            <w:shd w:val="clear" w:color="auto" w:fill="auto"/>
          </w:tcPr>
          <w:p w14:paraId="75B3AB23" w14:textId="77777777" w:rsidR="00DF61BC" w:rsidRPr="00C94C33" w:rsidRDefault="00DF61BC" w:rsidP="00C960A1">
            <w:pPr>
              <w:pStyle w:val="Tabletext"/>
            </w:pPr>
            <w:r w:rsidRPr="00C94C33">
              <w:t>(2.3)</w:t>
            </w:r>
          </w:p>
        </w:tc>
        <w:tc>
          <w:tcPr>
            <w:tcW w:w="1260" w:type="dxa"/>
            <w:gridSpan w:val="2"/>
            <w:tcBorders>
              <w:top w:val="single" w:sz="7" w:space="0" w:color="000000"/>
              <w:left w:val="nil"/>
              <w:bottom w:val="single" w:sz="6" w:space="0" w:color="000000"/>
              <w:right w:val="single" w:sz="4" w:space="0" w:color="auto"/>
            </w:tcBorders>
            <w:shd w:val="clear" w:color="auto" w:fill="auto"/>
          </w:tcPr>
          <w:p w14:paraId="08B94E09" w14:textId="77777777" w:rsidR="00DF61BC" w:rsidRPr="00C94C33" w:rsidRDefault="00DF61BC" w:rsidP="00C960A1">
            <w:pPr>
              <w:pStyle w:val="Tabletext"/>
            </w:pPr>
            <w:r w:rsidRPr="00C94C33">
              <w:t>0</w:t>
            </w:r>
          </w:p>
        </w:tc>
      </w:tr>
    </w:tbl>
    <w:p w14:paraId="60BDF86F" w14:textId="4D1EA117" w:rsidR="00DF61BC" w:rsidRPr="00C94C33" w:rsidRDefault="00DF61BC" w:rsidP="00DF61BC">
      <w:r w:rsidRPr="00C94C33">
        <w:t>Concomitant anti-diarrhoeal therapies were used in 22.9% (</w:t>
      </w:r>
      <w:r w:rsidR="009C0389" w:rsidRPr="00C94C33">
        <w:t xml:space="preserve">n = </w:t>
      </w:r>
      <w:r w:rsidRPr="00C94C33">
        <w:t>122) of patients in the TAS-102 group and 14.0% (</w:t>
      </w:r>
      <w:r w:rsidR="009C0389" w:rsidRPr="00C94C33">
        <w:t xml:space="preserve">n = </w:t>
      </w:r>
      <w:r w:rsidRPr="00C94C33">
        <w:t xml:space="preserve">37) of patients in the placebo, including anti-propulsive medicines </w:t>
      </w:r>
      <w:r w:rsidRPr="00C94C33">
        <w:lastRenderedPageBreak/>
        <w:t>(predominantly loperamide and lomotil) in 18.6% (</w:t>
      </w:r>
      <w:r w:rsidR="009C0389" w:rsidRPr="00C94C33">
        <w:t xml:space="preserve">n = </w:t>
      </w:r>
      <w:r w:rsidRPr="00C94C33">
        <w:t>99) and 8.7% (</w:t>
      </w:r>
      <w:r w:rsidR="009C0389" w:rsidRPr="00C94C33">
        <w:t xml:space="preserve">n = </w:t>
      </w:r>
      <w:r w:rsidRPr="00C94C33">
        <w:t>23) of patients, respectively.  Concomitant anti-emetic therapies were used in 30.4% (</w:t>
      </w:r>
      <w:r w:rsidR="009C0389" w:rsidRPr="00C94C33">
        <w:t xml:space="preserve">n = </w:t>
      </w:r>
      <w:r w:rsidRPr="00C94C33">
        <w:t>162) of patients in the TAS-102 group and 30.6% (</w:t>
      </w:r>
      <w:r w:rsidR="009C0389" w:rsidRPr="00C94C33">
        <w:t xml:space="preserve">n = </w:t>
      </w:r>
      <w:r w:rsidRPr="00C94C33">
        <w:t>81) of patients in the placebo group. Concomitant anti-emetic therapies in patients with nausea/vomiting were used in 40.6% (115/283) of patients in the TAS-102 group and 48.8% (40/82) in the placebo group.</w:t>
      </w:r>
    </w:p>
    <w:p w14:paraId="72F0A817" w14:textId="77777777" w:rsidR="00DF61BC" w:rsidRPr="00C94C33" w:rsidRDefault="00DF61BC" w:rsidP="00955252">
      <w:pPr>
        <w:pStyle w:val="Heading3"/>
      </w:pPr>
      <w:bookmarkStart w:id="399" w:name="_Toc470948589"/>
      <w:bookmarkStart w:id="400" w:name="_Toc510016895"/>
      <w:r w:rsidRPr="00C94C33">
        <w:t>Clinical laboratory tests</w:t>
      </w:r>
      <w:bookmarkEnd w:id="399"/>
      <w:bookmarkEnd w:id="400"/>
    </w:p>
    <w:p w14:paraId="1004ED80" w14:textId="77777777" w:rsidR="00AA7141" w:rsidRDefault="00DF61BC" w:rsidP="00955252">
      <w:pPr>
        <w:pStyle w:val="Heading4"/>
      </w:pPr>
      <w:bookmarkStart w:id="401" w:name="_Toc470948590"/>
      <w:r w:rsidRPr="00C94C33">
        <w:t>Haematology</w:t>
      </w:r>
      <w:bookmarkEnd w:id="401"/>
    </w:p>
    <w:p w14:paraId="3D5FBF56" w14:textId="77777777" w:rsidR="00AA7141" w:rsidRDefault="00DF61BC" w:rsidP="00955252">
      <w:pPr>
        <w:pStyle w:val="Heading5"/>
      </w:pPr>
      <w:r w:rsidRPr="00C94C33">
        <w:t>CTC Grade 3 or 4 abnormalities</w:t>
      </w:r>
    </w:p>
    <w:p w14:paraId="0C8A465C" w14:textId="28180AB6"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Per-protocol, haematology tests were performed at Week 2 (Day 15) and Week 4 (prior to start of next cycle) during each treatment cycle. Based on clinical laboratory assessments, 200 (37.9%) patients in the TAS-102 group experienced Grade 3 or Grade 4 neutro</w:t>
      </w:r>
      <w:r w:rsidR="00B50F67">
        <w:rPr>
          <w:rFonts w:asciiTheme="minorHAnsi" w:hAnsiTheme="minorHAnsi"/>
        </w:rPr>
        <w:t>paenia</w:t>
      </w:r>
      <w:r w:rsidRPr="00C94C33">
        <w:rPr>
          <w:rFonts w:asciiTheme="minorHAnsi" w:hAnsiTheme="minorHAnsi"/>
        </w:rPr>
        <w:t xml:space="preserve"> and 113 (21.4%) patients experienced Grade 3 or 4 leuko</w:t>
      </w:r>
      <w:r w:rsidR="00B50F67">
        <w:rPr>
          <w:rFonts w:asciiTheme="minorHAnsi" w:hAnsiTheme="minorHAnsi"/>
        </w:rPr>
        <w:t>paenia</w:t>
      </w:r>
      <w:r w:rsidRPr="00C94C33">
        <w:rPr>
          <w:rFonts w:asciiTheme="minorHAnsi" w:hAnsiTheme="minorHAnsi"/>
        </w:rPr>
        <w:t xml:space="preserve"> during treatment, while no Grade 3 or 4 AEs were observed for these parameters in the placebo group. Grade 3 or 4 lymphocyto</w:t>
      </w:r>
      <w:r w:rsidR="00B50F67">
        <w:rPr>
          <w:rFonts w:asciiTheme="minorHAnsi" w:hAnsiTheme="minorHAnsi"/>
        </w:rPr>
        <w:t>paenia</w:t>
      </w:r>
      <w:r w:rsidRPr="00C94C33">
        <w:rPr>
          <w:rFonts w:asciiTheme="minorHAnsi" w:hAnsiTheme="minorHAnsi"/>
        </w:rPr>
        <w:t>, anaemia and thrombocyto</w:t>
      </w:r>
      <w:r w:rsidR="00B50F67">
        <w:rPr>
          <w:rFonts w:asciiTheme="minorHAnsi" w:hAnsiTheme="minorHAnsi"/>
        </w:rPr>
        <w:t>paenia</w:t>
      </w:r>
      <w:r w:rsidRPr="00C94C33">
        <w:rPr>
          <w:rFonts w:asciiTheme="minorHAnsi" w:hAnsiTheme="minorHAnsi"/>
        </w:rPr>
        <w:t xml:space="preserve"> were all reported more frequently in the TAS-102 group than in the placebo group. The results for maximum Grade 3 or 4 haematology laboratory test abnormalities are summarised below.</w:t>
      </w:r>
    </w:p>
    <w:p w14:paraId="2FB9F324" w14:textId="1703077D" w:rsidR="00DF61BC" w:rsidRPr="00C94C33" w:rsidRDefault="00DF61BC" w:rsidP="00AA43B1">
      <w:pPr>
        <w:pStyle w:val="Tabletitle"/>
      </w:pPr>
      <w:bookmarkStart w:id="402" w:name="_Toc470948706"/>
      <w:r w:rsidRPr="00C94C33">
        <w:t>Table</w:t>
      </w:r>
      <w:r w:rsidR="00AA43B1" w:rsidRPr="00C94C33">
        <w:t xml:space="preserve"> 57</w:t>
      </w:r>
      <w:r w:rsidRPr="00C94C33">
        <w:t>: RECOURSE</w:t>
      </w:r>
      <w:r w:rsidR="006828C4">
        <w:t xml:space="preserve">; </w:t>
      </w:r>
      <w:r w:rsidRPr="00C94C33">
        <w:t xml:space="preserve">Grade 3 or 4 abnormalities in haematology parameters that worsened from </w:t>
      </w:r>
      <w:r w:rsidR="006828C4">
        <w:t>B</w:t>
      </w:r>
      <w:r w:rsidR="006828C4" w:rsidRPr="00C94C33">
        <w:t>aseline</w:t>
      </w:r>
      <w:r w:rsidRPr="00C94C33">
        <w:t>, AT population</w:t>
      </w:r>
      <w:bookmarkEnd w:id="402"/>
    </w:p>
    <w:tbl>
      <w:tblPr>
        <w:tblW w:w="9576" w:type="dxa"/>
        <w:tblInd w:w="112" w:type="dxa"/>
        <w:tblLayout w:type="fixed"/>
        <w:tblCellMar>
          <w:left w:w="0" w:type="dxa"/>
          <w:right w:w="0" w:type="dxa"/>
        </w:tblCellMar>
        <w:tblLook w:val="0000" w:firstRow="0" w:lastRow="0" w:firstColumn="0" w:lastColumn="0" w:noHBand="0" w:noVBand="0"/>
      </w:tblPr>
      <w:tblGrid>
        <w:gridCol w:w="1998"/>
        <w:gridCol w:w="1300"/>
        <w:gridCol w:w="1226"/>
        <w:gridCol w:w="1263"/>
        <w:gridCol w:w="1263"/>
        <w:gridCol w:w="1263"/>
        <w:gridCol w:w="1263"/>
      </w:tblGrid>
      <w:tr w:rsidR="00DF61BC" w:rsidRPr="00C94C33" w14:paraId="183E69B3" w14:textId="77777777" w:rsidTr="00983724">
        <w:trPr>
          <w:trHeight w:hRule="exact" w:val="479"/>
        </w:trPr>
        <w:tc>
          <w:tcPr>
            <w:tcW w:w="1998" w:type="dxa"/>
            <w:tcBorders>
              <w:top w:val="single" w:sz="8" w:space="0" w:color="000000"/>
              <w:left w:val="single" w:sz="4" w:space="0" w:color="auto"/>
              <w:right w:val="single" w:sz="6" w:space="0" w:color="000000"/>
            </w:tcBorders>
            <w:shd w:val="clear" w:color="auto" w:fill="auto"/>
          </w:tcPr>
          <w:p w14:paraId="0BB17D01" w14:textId="77777777" w:rsidR="00DF61BC" w:rsidRPr="00C94C33" w:rsidRDefault="00DF61BC" w:rsidP="00C960A1">
            <w:pPr>
              <w:pStyle w:val="TableHeading"/>
            </w:pPr>
          </w:p>
        </w:tc>
        <w:tc>
          <w:tcPr>
            <w:tcW w:w="1300" w:type="dxa"/>
            <w:tcBorders>
              <w:top w:val="single" w:sz="8" w:space="0" w:color="000000"/>
              <w:left w:val="single" w:sz="6" w:space="0" w:color="000000"/>
            </w:tcBorders>
            <w:shd w:val="clear" w:color="auto" w:fill="auto"/>
          </w:tcPr>
          <w:p w14:paraId="3315496F" w14:textId="77777777" w:rsidR="00DF61BC" w:rsidRPr="00C94C33" w:rsidRDefault="00DF61BC" w:rsidP="00C960A1">
            <w:pPr>
              <w:pStyle w:val="TableHeading"/>
            </w:pPr>
          </w:p>
        </w:tc>
        <w:tc>
          <w:tcPr>
            <w:tcW w:w="2489" w:type="dxa"/>
            <w:gridSpan w:val="2"/>
            <w:tcBorders>
              <w:top w:val="single" w:sz="8" w:space="0" w:color="000000"/>
              <w:left w:val="nil"/>
              <w:right w:val="single" w:sz="6" w:space="0" w:color="000000"/>
            </w:tcBorders>
            <w:shd w:val="clear" w:color="auto" w:fill="auto"/>
          </w:tcPr>
          <w:p w14:paraId="52AEF865" w14:textId="6A4310D0" w:rsidR="00DF61BC" w:rsidRPr="00C94C33" w:rsidRDefault="00DF61BC" w:rsidP="00C960A1">
            <w:pPr>
              <w:pStyle w:val="TableHeading"/>
            </w:pPr>
            <w:r w:rsidRPr="00C94C33">
              <w:t>TAS-102 (</w:t>
            </w:r>
            <w:r w:rsidR="009C0389" w:rsidRPr="00C94C33">
              <w:t xml:space="preserve">n = </w:t>
            </w:r>
            <w:r w:rsidRPr="00C94C33">
              <w:t>533)</w:t>
            </w:r>
          </w:p>
        </w:tc>
        <w:tc>
          <w:tcPr>
            <w:tcW w:w="1263" w:type="dxa"/>
            <w:tcBorders>
              <w:top w:val="single" w:sz="8" w:space="0" w:color="000000"/>
              <w:left w:val="single" w:sz="6" w:space="0" w:color="000000"/>
            </w:tcBorders>
            <w:shd w:val="clear" w:color="auto" w:fill="auto"/>
          </w:tcPr>
          <w:p w14:paraId="1D7C2910" w14:textId="77777777" w:rsidR="00DF61BC" w:rsidRPr="00C94C33" w:rsidRDefault="00DF61BC" w:rsidP="00C960A1">
            <w:pPr>
              <w:pStyle w:val="TableHeading"/>
            </w:pPr>
          </w:p>
        </w:tc>
        <w:tc>
          <w:tcPr>
            <w:tcW w:w="2526" w:type="dxa"/>
            <w:gridSpan w:val="2"/>
            <w:tcBorders>
              <w:top w:val="single" w:sz="8" w:space="0" w:color="000000"/>
              <w:left w:val="nil"/>
              <w:right w:val="single" w:sz="4" w:space="0" w:color="auto"/>
            </w:tcBorders>
            <w:shd w:val="clear" w:color="auto" w:fill="auto"/>
          </w:tcPr>
          <w:p w14:paraId="3F4013A5" w14:textId="29E8E391" w:rsidR="00DF61BC" w:rsidRPr="00C94C33" w:rsidRDefault="00DF61BC" w:rsidP="00C960A1">
            <w:pPr>
              <w:pStyle w:val="TableHeading"/>
            </w:pPr>
            <w:r w:rsidRPr="00C94C33">
              <w:t>Placebo (</w:t>
            </w:r>
            <w:r w:rsidR="009C0389" w:rsidRPr="00C94C33">
              <w:t xml:space="preserve">n = </w:t>
            </w:r>
            <w:r w:rsidRPr="00C94C33">
              <w:t xml:space="preserve">265) </w:t>
            </w:r>
          </w:p>
        </w:tc>
      </w:tr>
      <w:tr w:rsidR="00DF61BC" w:rsidRPr="00C94C33" w14:paraId="19BCF22D" w14:textId="77777777" w:rsidTr="00983724">
        <w:trPr>
          <w:trHeight w:hRule="exact" w:val="692"/>
        </w:trPr>
        <w:tc>
          <w:tcPr>
            <w:tcW w:w="1998" w:type="dxa"/>
            <w:tcBorders>
              <w:left w:val="single" w:sz="4" w:space="0" w:color="auto"/>
              <w:bottom w:val="single" w:sz="7" w:space="0" w:color="000000"/>
              <w:right w:val="single" w:sz="6" w:space="0" w:color="000000"/>
            </w:tcBorders>
            <w:shd w:val="clear" w:color="auto" w:fill="auto"/>
          </w:tcPr>
          <w:p w14:paraId="2D69B9D1" w14:textId="77777777" w:rsidR="00DF61BC" w:rsidRPr="00C94C33" w:rsidRDefault="00DF61BC" w:rsidP="00C960A1">
            <w:pPr>
              <w:pStyle w:val="TableHeading"/>
            </w:pPr>
            <w:r w:rsidRPr="00C94C33">
              <w:t xml:space="preserve">Abnormality </w:t>
            </w:r>
          </w:p>
        </w:tc>
        <w:tc>
          <w:tcPr>
            <w:tcW w:w="1300" w:type="dxa"/>
            <w:tcBorders>
              <w:left w:val="single" w:sz="6" w:space="0" w:color="000000"/>
              <w:bottom w:val="single" w:sz="7" w:space="0" w:color="000000"/>
            </w:tcBorders>
            <w:shd w:val="clear" w:color="auto" w:fill="auto"/>
          </w:tcPr>
          <w:p w14:paraId="4C0A4CD5" w14:textId="77777777" w:rsidR="00DF61BC" w:rsidRPr="00C94C33" w:rsidRDefault="00DF61BC" w:rsidP="00C960A1">
            <w:pPr>
              <w:pStyle w:val="TableHeading"/>
            </w:pPr>
            <w:r w:rsidRPr="00C94C33">
              <w:t xml:space="preserve">N </w:t>
            </w:r>
            <w:r w:rsidRPr="00C94C33">
              <w:rPr>
                <w:vertAlign w:val="superscript"/>
              </w:rPr>
              <w:t xml:space="preserve">a </w:t>
            </w:r>
          </w:p>
        </w:tc>
        <w:tc>
          <w:tcPr>
            <w:tcW w:w="1226" w:type="dxa"/>
            <w:tcBorders>
              <w:left w:val="nil"/>
              <w:bottom w:val="single" w:sz="7" w:space="0" w:color="000000"/>
            </w:tcBorders>
            <w:shd w:val="clear" w:color="auto" w:fill="auto"/>
          </w:tcPr>
          <w:p w14:paraId="42327347" w14:textId="77777777" w:rsidR="00DF61BC" w:rsidRPr="00C94C33" w:rsidRDefault="00DF61BC" w:rsidP="00C960A1">
            <w:pPr>
              <w:pStyle w:val="TableHeading"/>
            </w:pPr>
            <w:r w:rsidRPr="00C94C33">
              <w:t xml:space="preserve"> Grade 3, n (%)</w:t>
            </w:r>
          </w:p>
        </w:tc>
        <w:tc>
          <w:tcPr>
            <w:tcW w:w="1263" w:type="dxa"/>
            <w:tcBorders>
              <w:left w:val="nil"/>
              <w:bottom w:val="single" w:sz="7" w:space="0" w:color="000000"/>
              <w:right w:val="single" w:sz="6" w:space="0" w:color="000000"/>
            </w:tcBorders>
            <w:shd w:val="clear" w:color="auto" w:fill="auto"/>
          </w:tcPr>
          <w:p w14:paraId="247D33DA" w14:textId="77777777" w:rsidR="00DF61BC" w:rsidRPr="00C94C33" w:rsidRDefault="00DF61BC" w:rsidP="00C960A1">
            <w:pPr>
              <w:pStyle w:val="TableHeading"/>
            </w:pPr>
            <w:r w:rsidRPr="00C94C33">
              <w:t>Grade 4, n (%)</w:t>
            </w:r>
          </w:p>
        </w:tc>
        <w:tc>
          <w:tcPr>
            <w:tcW w:w="1263" w:type="dxa"/>
            <w:tcBorders>
              <w:left w:val="single" w:sz="6" w:space="0" w:color="000000"/>
              <w:bottom w:val="single" w:sz="7" w:space="0" w:color="000000"/>
            </w:tcBorders>
            <w:shd w:val="clear" w:color="auto" w:fill="auto"/>
          </w:tcPr>
          <w:p w14:paraId="723AE97D" w14:textId="77777777" w:rsidR="00DF61BC" w:rsidRPr="00C94C33" w:rsidRDefault="00DF61BC" w:rsidP="00C960A1">
            <w:pPr>
              <w:pStyle w:val="TableHeading"/>
            </w:pPr>
            <w:r w:rsidRPr="00C94C33">
              <w:t xml:space="preserve">N </w:t>
            </w:r>
            <w:r w:rsidRPr="00C94C33">
              <w:rPr>
                <w:vertAlign w:val="superscript"/>
              </w:rPr>
              <w:t>a</w:t>
            </w:r>
          </w:p>
        </w:tc>
        <w:tc>
          <w:tcPr>
            <w:tcW w:w="1263" w:type="dxa"/>
            <w:tcBorders>
              <w:left w:val="nil"/>
              <w:bottom w:val="single" w:sz="7" w:space="0" w:color="000000"/>
            </w:tcBorders>
            <w:shd w:val="clear" w:color="auto" w:fill="auto"/>
          </w:tcPr>
          <w:p w14:paraId="591C628F" w14:textId="77777777" w:rsidR="00DF61BC" w:rsidRPr="00C94C33" w:rsidRDefault="00DF61BC" w:rsidP="00C960A1">
            <w:pPr>
              <w:pStyle w:val="TableHeading"/>
            </w:pPr>
            <w:r w:rsidRPr="00C94C33">
              <w:t>Grade 3, n (%)</w:t>
            </w:r>
          </w:p>
        </w:tc>
        <w:tc>
          <w:tcPr>
            <w:tcW w:w="1263" w:type="dxa"/>
            <w:tcBorders>
              <w:left w:val="nil"/>
              <w:bottom w:val="single" w:sz="7" w:space="0" w:color="000000"/>
              <w:right w:val="single" w:sz="4" w:space="0" w:color="auto"/>
            </w:tcBorders>
            <w:shd w:val="clear" w:color="auto" w:fill="auto"/>
          </w:tcPr>
          <w:p w14:paraId="30FDF56C" w14:textId="77777777" w:rsidR="00DF61BC" w:rsidRPr="00C94C33" w:rsidRDefault="00DF61BC" w:rsidP="00C960A1">
            <w:pPr>
              <w:pStyle w:val="TableHeading"/>
            </w:pPr>
            <w:r w:rsidRPr="00C94C33">
              <w:t>Grade 4, n (%)</w:t>
            </w:r>
          </w:p>
        </w:tc>
      </w:tr>
      <w:tr w:rsidR="00DF61BC" w:rsidRPr="00C94C33" w14:paraId="09B95BF2" w14:textId="77777777" w:rsidTr="00C960A1">
        <w:trPr>
          <w:trHeight w:hRule="exact" w:val="328"/>
        </w:trPr>
        <w:tc>
          <w:tcPr>
            <w:tcW w:w="1998" w:type="dxa"/>
            <w:tcBorders>
              <w:top w:val="single" w:sz="7" w:space="0" w:color="000000"/>
              <w:left w:val="single" w:sz="4" w:space="0" w:color="auto"/>
              <w:bottom w:val="single" w:sz="7" w:space="0" w:color="000000"/>
              <w:right w:val="single" w:sz="6" w:space="0" w:color="000000"/>
            </w:tcBorders>
            <w:shd w:val="clear" w:color="auto" w:fill="auto"/>
          </w:tcPr>
          <w:p w14:paraId="00A355D5" w14:textId="666EE9A5" w:rsidR="00DF61BC" w:rsidRPr="00C94C33" w:rsidRDefault="00DF61BC" w:rsidP="00C960A1">
            <w:pPr>
              <w:pStyle w:val="Tabletext"/>
            </w:pPr>
            <w:bookmarkStart w:id="403" w:name="12.4._Clinical_Laboratory_Evaluation"/>
            <w:bookmarkStart w:id="404" w:name="12.4.1._Listing_of_Individual_Laboratory"/>
            <w:bookmarkStart w:id="405" w:name="12.4.2._Haematology"/>
            <w:bookmarkStart w:id="406" w:name="12.4.2.1._Grade_3-4_Abnormalities"/>
            <w:bookmarkStart w:id="407" w:name="Table_53:_Grade_3_or_4_Abnormalities_in_"/>
            <w:bookmarkStart w:id="408" w:name="12.4.2.2._Haematology_Parameters_of_Inte"/>
            <w:bookmarkEnd w:id="403"/>
            <w:bookmarkEnd w:id="404"/>
            <w:bookmarkEnd w:id="405"/>
            <w:bookmarkEnd w:id="406"/>
            <w:bookmarkEnd w:id="407"/>
            <w:bookmarkEnd w:id="408"/>
            <w:r w:rsidRPr="00C94C33">
              <w:t>Leuko</w:t>
            </w:r>
            <w:r w:rsidR="00B50F67">
              <w:t>paenia</w:t>
            </w:r>
          </w:p>
        </w:tc>
        <w:tc>
          <w:tcPr>
            <w:tcW w:w="1300" w:type="dxa"/>
            <w:tcBorders>
              <w:top w:val="single" w:sz="7" w:space="0" w:color="000000"/>
              <w:left w:val="single" w:sz="6" w:space="0" w:color="000000"/>
              <w:bottom w:val="single" w:sz="7" w:space="0" w:color="000000"/>
            </w:tcBorders>
            <w:shd w:val="clear" w:color="auto" w:fill="auto"/>
          </w:tcPr>
          <w:p w14:paraId="152089AC" w14:textId="77777777" w:rsidR="00DF61BC" w:rsidRPr="00C94C33" w:rsidRDefault="00DF61BC" w:rsidP="00C960A1">
            <w:pPr>
              <w:pStyle w:val="Tabletext"/>
              <w:jc w:val="center"/>
            </w:pPr>
            <w:r w:rsidRPr="00C94C33">
              <w:t>528</w:t>
            </w:r>
          </w:p>
        </w:tc>
        <w:tc>
          <w:tcPr>
            <w:tcW w:w="1226" w:type="dxa"/>
            <w:tcBorders>
              <w:top w:val="single" w:sz="7" w:space="0" w:color="000000"/>
              <w:left w:val="nil"/>
              <w:bottom w:val="single" w:sz="7" w:space="0" w:color="000000"/>
            </w:tcBorders>
            <w:shd w:val="clear" w:color="auto" w:fill="auto"/>
          </w:tcPr>
          <w:p w14:paraId="1C4E554B" w14:textId="77777777" w:rsidR="00DF61BC" w:rsidRPr="00C94C33" w:rsidRDefault="00DF61BC" w:rsidP="00C960A1">
            <w:pPr>
              <w:pStyle w:val="Tabletext"/>
              <w:jc w:val="center"/>
            </w:pPr>
            <w:r w:rsidRPr="00C94C33">
              <w:t>98</w:t>
            </w:r>
            <w:r w:rsidRPr="00C94C33">
              <w:rPr>
                <w:spacing w:val="-8"/>
              </w:rPr>
              <w:t xml:space="preserve"> </w:t>
            </w:r>
            <w:r w:rsidRPr="00C94C33">
              <w:rPr>
                <w:spacing w:val="-1"/>
              </w:rPr>
              <w:t>(18.6)</w:t>
            </w:r>
          </w:p>
        </w:tc>
        <w:tc>
          <w:tcPr>
            <w:tcW w:w="1263" w:type="dxa"/>
            <w:tcBorders>
              <w:top w:val="single" w:sz="7" w:space="0" w:color="000000"/>
              <w:left w:val="nil"/>
              <w:bottom w:val="single" w:sz="7" w:space="0" w:color="000000"/>
              <w:right w:val="single" w:sz="6" w:space="0" w:color="000000"/>
            </w:tcBorders>
            <w:shd w:val="clear" w:color="auto" w:fill="auto"/>
          </w:tcPr>
          <w:p w14:paraId="042ADA01" w14:textId="77777777" w:rsidR="00DF61BC" w:rsidRPr="00C94C33" w:rsidRDefault="00DF61BC" w:rsidP="00C960A1">
            <w:pPr>
              <w:pStyle w:val="Tabletext"/>
              <w:jc w:val="center"/>
            </w:pPr>
            <w:r w:rsidRPr="00C94C33">
              <w:t>15</w:t>
            </w:r>
            <w:r w:rsidRPr="00C94C33">
              <w:rPr>
                <w:spacing w:val="-7"/>
              </w:rPr>
              <w:t xml:space="preserve"> </w:t>
            </w:r>
            <w:r w:rsidRPr="00C94C33">
              <w:rPr>
                <w:spacing w:val="-1"/>
              </w:rPr>
              <w:t>(2.8)</w:t>
            </w:r>
          </w:p>
        </w:tc>
        <w:tc>
          <w:tcPr>
            <w:tcW w:w="1263" w:type="dxa"/>
            <w:tcBorders>
              <w:top w:val="single" w:sz="7" w:space="0" w:color="000000"/>
              <w:left w:val="single" w:sz="6" w:space="0" w:color="000000"/>
              <w:bottom w:val="single" w:sz="7" w:space="0" w:color="000000"/>
            </w:tcBorders>
            <w:shd w:val="clear" w:color="auto" w:fill="auto"/>
          </w:tcPr>
          <w:p w14:paraId="7AFA1996" w14:textId="77777777" w:rsidR="00DF61BC" w:rsidRPr="00C94C33" w:rsidRDefault="00DF61BC" w:rsidP="00C960A1">
            <w:pPr>
              <w:pStyle w:val="Tabletext"/>
              <w:jc w:val="center"/>
            </w:pPr>
            <w:r w:rsidRPr="00C94C33">
              <w:t>263</w:t>
            </w:r>
          </w:p>
        </w:tc>
        <w:tc>
          <w:tcPr>
            <w:tcW w:w="1263" w:type="dxa"/>
            <w:tcBorders>
              <w:top w:val="single" w:sz="7" w:space="0" w:color="000000"/>
              <w:left w:val="nil"/>
              <w:bottom w:val="single" w:sz="7" w:space="0" w:color="000000"/>
            </w:tcBorders>
            <w:shd w:val="clear" w:color="auto" w:fill="auto"/>
          </w:tcPr>
          <w:p w14:paraId="67B4810B" w14:textId="77777777" w:rsidR="00DF61BC" w:rsidRPr="00C94C33" w:rsidRDefault="00DF61BC" w:rsidP="00C960A1">
            <w:pPr>
              <w:pStyle w:val="Tabletext"/>
              <w:jc w:val="center"/>
            </w:pPr>
            <w:r w:rsidRPr="00C94C33">
              <w:t>0</w:t>
            </w:r>
          </w:p>
        </w:tc>
        <w:tc>
          <w:tcPr>
            <w:tcW w:w="1263" w:type="dxa"/>
            <w:tcBorders>
              <w:top w:val="single" w:sz="7" w:space="0" w:color="000000"/>
              <w:left w:val="nil"/>
              <w:bottom w:val="single" w:sz="7" w:space="0" w:color="000000"/>
              <w:right w:val="single" w:sz="4" w:space="0" w:color="auto"/>
            </w:tcBorders>
            <w:shd w:val="clear" w:color="auto" w:fill="auto"/>
          </w:tcPr>
          <w:p w14:paraId="12C77AA9" w14:textId="77777777" w:rsidR="00DF61BC" w:rsidRPr="00C94C33" w:rsidRDefault="00DF61BC" w:rsidP="00C960A1">
            <w:pPr>
              <w:pStyle w:val="Tabletext"/>
              <w:jc w:val="center"/>
            </w:pPr>
            <w:r w:rsidRPr="00C94C33">
              <w:t>0</w:t>
            </w:r>
          </w:p>
        </w:tc>
      </w:tr>
      <w:tr w:rsidR="00DF61BC" w:rsidRPr="00C94C33" w14:paraId="3BFF9E62" w14:textId="77777777" w:rsidTr="00C960A1">
        <w:trPr>
          <w:trHeight w:hRule="exact" w:val="329"/>
        </w:trPr>
        <w:tc>
          <w:tcPr>
            <w:tcW w:w="1998" w:type="dxa"/>
            <w:tcBorders>
              <w:top w:val="single" w:sz="7" w:space="0" w:color="000000"/>
              <w:left w:val="single" w:sz="4" w:space="0" w:color="auto"/>
              <w:bottom w:val="single" w:sz="7" w:space="0" w:color="000000"/>
              <w:right w:val="single" w:sz="6" w:space="0" w:color="000000"/>
            </w:tcBorders>
            <w:shd w:val="clear" w:color="auto" w:fill="auto"/>
          </w:tcPr>
          <w:p w14:paraId="27090F62" w14:textId="48065315" w:rsidR="00DF61BC" w:rsidRPr="00C94C33" w:rsidRDefault="00DF61BC" w:rsidP="00C960A1">
            <w:pPr>
              <w:pStyle w:val="Tabletext"/>
            </w:pPr>
            <w:r w:rsidRPr="00C94C33">
              <w:t>Neutro</w:t>
            </w:r>
            <w:r w:rsidR="00B50F67">
              <w:t>paenia</w:t>
            </w:r>
          </w:p>
        </w:tc>
        <w:tc>
          <w:tcPr>
            <w:tcW w:w="1300" w:type="dxa"/>
            <w:tcBorders>
              <w:top w:val="single" w:sz="7" w:space="0" w:color="000000"/>
              <w:left w:val="single" w:sz="6" w:space="0" w:color="000000"/>
              <w:bottom w:val="single" w:sz="7" w:space="0" w:color="000000"/>
            </w:tcBorders>
            <w:shd w:val="clear" w:color="auto" w:fill="auto"/>
          </w:tcPr>
          <w:p w14:paraId="219FEC7C" w14:textId="77777777" w:rsidR="00DF61BC" w:rsidRPr="00C94C33" w:rsidRDefault="00DF61BC" w:rsidP="00C960A1">
            <w:pPr>
              <w:pStyle w:val="Tabletext"/>
              <w:jc w:val="center"/>
            </w:pPr>
            <w:r w:rsidRPr="00C94C33">
              <w:t>528</w:t>
            </w:r>
          </w:p>
        </w:tc>
        <w:tc>
          <w:tcPr>
            <w:tcW w:w="1226" w:type="dxa"/>
            <w:tcBorders>
              <w:top w:val="single" w:sz="7" w:space="0" w:color="000000"/>
              <w:left w:val="nil"/>
              <w:bottom w:val="single" w:sz="7" w:space="0" w:color="000000"/>
            </w:tcBorders>
            <w:shd w:val="clear" w:color="auto" w:fill="auto"/>
          </w:tcPr>
          <w:p w14:paraId="0F400846" w14:textId="77777777" w:rsidR="00DF61BC" w:rsidRPr="00C94C33" w:rsidRDefault="00DF61BC" w:rsidP="00C960A1">
            <w:pPr>
              <w:pStyle w:val="Tabletext"/>
              <w:jc w:val="center"/>
            </w:pPr>
            <w:r w:rsidRPr="00C94C33">
              <w:t>140</w:t>
            </w:r>
            <w:r w:rsidRPr="00C94C33">
              <w:rPr>
                <w:spacing w:val="-9"/>
              </w:rPr>
              <w:t xml:space="preserve"> </w:t>
            </w:r>
            <w:r w:rsidRPr="00C94C33">
              <w:rPr>
                <w:spacing w:val="-1"/>
              </w:rPr>
              <w:t>(26.5)</w:t>
            </w:r>
          </w:p>
        </w:tc>
        <w:tc>
          <w:tcPr>
            <w:tcW w:w="1263" w:type="dxa"/>
            <w:tcBorders>
              <w:top w:val="single" w:sz="7" w:space="0" w:color="000000"/>
              <w:left w:val="nil"/>
              <w:bottom w:val="single" w:sz="7" w:space="0" w:color="000000"/>
              <w:right w:val="single" w:sz="6" w:space="0" w:color="000000"/>
            </w:tcBorders>
            <w:shd w:val="clear" w:color="auto" w:fill="auto"/>
          </w:tcPr>
          <w:p w14:paraId="268A13E3" w14:textId="77777777" w:rsidR="00DF61BC" w:rsidRPr="00C94C33" w:rsidRDefault="00DF61BC" w:rsidP="00C960A1">
            <w:pPr>
              <w:pStyle w:val="Tabletext"/>
              <w:jc w:val="center"/>
            </w:pPr>
            <w:r w:rsidRPr="00C94C33">
              <w:t>60</w:t>
            </w:r>
            <w:r w:rsidRPr="00C94C33">
              <w:rPr>
                <w:spacing w:val="-8"/>
              </w:rPr>
              <w:t xml:space="preserve"> </w:t>
            </w:r>
            <w:r w:rsidRPr="00C94C33">
              <w:rPr>
                <w:spacing w:val="-1"/>
              </w:rPr>
              <w:t>(11.4)</w:t>
            </w:r>
          </w:p>
        </w:tc>
        <w:tc>
          <w:tcPr>
            <w:tcW w:w="1263" w:type="dxa"/>
            <w:tcBorders>
              <w:top w:val="single" w:sz="7" w:space="0" w:color="000000"/>
              <w:left w:val="single" w:sz="6" w:space="0" w:color="000000"/>
              <w:bottom w:val="single" w:sz="7" w:space="0" w:color="000000"/>
            </w:tcBorders>
            <w:shd w:val="clear" w:color="auto" w:fill="auto"/>
          </w:tcPr>
          <w:p w14:paraId="1A29B69F" w14:textId="77777777" w:rsidR="00DF61BC" w:rsidRPr="00C94C33" w:rsidRDefault="00DF61BC" w:rsidP="00C960A1">
            <w:pPr>
              <w:pStyle w:val="Tabletext"/>
              <w:jc w:val="center"/>
            </w:pPr>
            <w:r w:rsidRPr="00C94C33">
              <w:t>263</w:t>
            </w:r>
          </w:p>
        </w:tc>
        <w:tc>
          <w:tcPr>
            <w:tcW w:w="1263" w:type="dxa"/>
            <w:tcBorders>
              <w:top w:val="single" w:sz="7" w:space="0" w:color="000000"/>
              <w:left w:val="nil"/>
              <w:bottom w:val="single" w:sz="7" w:space="0" w:color="000000"/>
            </w:tcBorders>
            <w:shd w:val="clear" w:color="auto" w:fill="auto"/>
          </w:tcPr>
          <w:p w14:paraId="4D4FAC5B" w14:textId="77777777" w:rsidR="00DF61BC" w:rsidRPr="00C94C33" w:rsidRDefault="00DF61BC" w:rsidP="00C960A1">
            <w:pPr>
              <w:pStyle w:val="Tabletext"/>
              <w:jc w:val="center"/>
            </w:pPr>
            <w:r w:rsidRPr="00C94C33">
              <w:t>0</w:t>
            </w:r>
          </w:p>
        </w:tc>
        <w:tc>
          <w:tcPr>
            <w:tcW w:w="1263" w:type="dxa"/>
            <w:tcBorders>
              <w:top w:val="single" w:sz="7" w:space="0" w:color="000000"/>
              <w:left w:val="nil"/>
              <w:bottom w:val="single" w:sz="7" w:space="0" w:color="000000"/>
              <w:right w:val="single" w:sz="4" w:space="0" w:color="auto"/>
            </w:tcBorders>
            <w:shd w:val="clear" w:color="auto" w:fill="auto"/>
          </w:tcPr>
          <w:p w14:paraId="0493FA8D" w14:textId="77777777" w:rsidR="00DF61BC" w:rsidRPr="00C94C33" w:rsidRDefault="00DF61BC" w:rsidP="00C960A1">
            <w:pPr>
              <w:pStyle w:val="Tabletext"/>
              <w:jc w:val="center"/>
            </w:pPr>
            <w:r w:rsidRPr="00C94C33">
              <w:t>0</w:t>
            </w:r>
          </w:p>
        </w:tc>
      </w:tr>
      <w:tr w:rsidR="00DF61BC" w:rsidRPr="00C94C33" w14:paraId="6F6CFF70" w14:textId="77777777" w:rsidTr="00C960A1">
        <w:trPr>
          <w:trHeight w:hRule="exact" w:val="328"/>
        </w:trPr>
        <w:tc>
          <w:tcPr>
            <w:tcW w:w="1998" w:type="dxa"/>
            <w:tcBorders>
              <w:top w:val="single" w:sz="7" w:space="0" w:color="000000"/>
              <w:left w:val="single" w:sz="4" w:space="0" w:color="auto"/>
              <w:bottom w:val="single" w:sz="7" w:space="0" w:color="000000"/>
              <w:right w:val="single" w:sz="6" w:space="0" w:color="000000"/>
            </w:tcBorders>
            <w:shd w:val="clear" w:color="auto" w:fill="auto"/>
          </w:tcPr>
          <w:p w14:paraId="586BE10E" w14:textId="35AE14F0" w:rsidR="00DF61BC" w:rsidRPr="00C94C33" w:rsidRDefault="00DF61BC" w:rsidP="00C960A1">
            <w:pPr>
              <w:pStyle w:val="Tabletext"/>
            </w:pPr>
            <w:r w:rsidRPr="00C94C33">
              <w:rPr>
                <w:spacing w:val="-1"/>
              </w:rPr>
              <w:t>Lymphocyto</w:t>
            </w:r>
            <w:r w:rsidR="00B50F67">
              <w:rPr>
                <w:spacing w:val="-1"/>
              </w:rPr>
              <w:t>paenia</w:t>
            </w:r>
          </w:p>
        </w:tc>
        <w:tc>
          <w:tcPr>
            <w:tcW w:w="1300" w:type="dxa"/>
            <w:tcBorders>
              <w:top w:val="single" w:sz="7" w:space="0" w:color="000000"/>
              <w:left w:val="single" w:sz="6" w:space="0" w:color="000000"/>
              <w:bottom w:val="single" w:sz="7" w:space="0" w:color="000000"/>
            </w:tcBorders>
            <w:shd w:val="clear" w:color="auto" w:fill="auto"/>
          </w:tcPr>
          <w:p w14:paraId="3DA5AC8E" w14:textId="77777777" w:rsidR="00DF61BC" w:rsidRPr="00C94C33" w:rsidRDefault="00DF61BC" w:rsidP="00C960A1">
            <w:pPr>
              <w:pStyle w:val="Tabletext"/>
              <w:jc w:val="center"/>
            </w:pPr>
            <w:r w:rsidRPr="00C94C33">
              <w:t>522</w:t>
            </w:r>
          </w:p>
        </w:tc>
        <w:tc>
          <w:tcPr>
            <w:tcW w:w="1226" w:type="dxa"/>
            <w:tcBorders>
              <w:top w:val="single" w:sz="7" w:space="0" w:color="000000"/>
              <w:left w:val="nil"/>
              <w:bottom w:val="single" w:sz="7" w:space="0" w:color="000000"/>
            </w:tcBorders>
            <w:shd w:val="clear" w:color="auto" w:fill="auto"/>
          </w:tcPr>
          <w:p w14:paraId="17D98E98" w14:textId="77777777" w:rsidR="00DF61BC" w:rsidRPr="00C94C33" w:rsidRDefault="00DF61BC" w:rsidP="00C960A1">
            <w:pPr>
              <w:pStyle w:val="Tabletext"/>
              <w:jc w:val="center"/>
            </w:pPr>
            <w:r w:rsidRPr="00C94C33">
              <w:t>95</w:t>
            </w:r>
            <w:r w:rsidRPr="00C94C33">
              <w:rPr>
                <w:spacing w:val="-8"/>
              </w:rPr>
              <w:t xml:space="preserve"> </w:t>
            </w:r>
            <w:r w:rsidRPr="00C94C33">
              <w:rPr>
                <w:spacing w:val="-1"/>
              </w:rPr>
              <w:t>(18.2)</w:t>
            </w:r>
          </w:p>
        </w:tc>
        <w:tc>
          <w:tcPr>
            <w:tcW w:w="1263" w:type="dxa"/>
            <w:tcBorders>
              <w:top w:val="single" w:sz="7" w:space="0" w:color="000000"/>
              <w:left w:val="nil"/>
              <w:bottom w:val="single" w:sz="7" w:space="0" w:color="000000"/>
              <w:right w:val="single" w:sz="6" w:space="0" w:color="000000"/>
            </w:tcBorders>
            <w:shd w:val="clear" w:color="auto" w:fill="auto"/>
          </w:tcPr>
          <w:p w14:paraId="104009E1" w14:textId="77777777" w:rsidR="00DF61BC" w:rsidRPr="00C94C33" w:rsidRDefault="00DF61BC" w:rsidP="00C960A1">
            <w:pPr>
              <w:pStyle w:val="Tabletext"/>
              <w:jc w:val="center"/>
            </w:pPr>
            <w:r w:rsidRPr="00C94C33">
              <w:t>17</w:t>
            </w:r>
            <w:r w:rsidRPr="00C94C33">
              <w:rPr>
                <w:spacing w:val="-7"/>
              </w:rPr>
              <w:t xml:space="preserve"> </w:t>
            </w:r>
            <w:r w:rsidRPr="00C94C33">
              <w:rPr>
                <w:spacing w:val="-1"/>
              </w:rPr>
              <w:t>(3.3)</w:t>
            </w:r>
          </w:p>
        </w:tc>
        <w:tc>
          <w:tcPr>
            <w:tcW w:w="1263" w:type="dxa"/>
            <w:tcBorders>
              <w:top w:val="single" w:sz="7" w:space="0" w:color="000000"/>
              <w:left w:val="single" w:sz="6" w:space="0" w:color="000000"/>
              <w:bottom w:val="single" w:sz="7" w:space="0" w:color="000000"/>
            </w:tcBorders>
            <w:shd w:val="clear" w:color="auto" w:fill="auto"/>
          </w:tcPr>
          <w:p w14:paraId="03C7BA1C" w14:textId="77777777" w:rsidR="00DF61BC" w:rsidRPr="00C94C33" w:rsidRDefault="00DF61BC" w:rsidP="00C960A1">
            <w:pPr>
              <w:pStyle w:val="Tabletext"/>
              <w:jc w:val="center"/>
            </w:pPr>
            <w:r w:rsidRPr="00C94C33">
              <w:t>262</w:t>
            </w:r>
          </w:p>
        </w:tc>
        <w:tc>
          <w:tcPr>
            <w:tcW w:w="1263" w:type="dxa"/>
            <w:tcBorders>
              <w:top w:val="single" w:sz="7" w:space="0" w:color="000000"/>
              <w:left w:val="nil"/>
              <w:bottom w:val="single" w:sz="7" w:space="0" w:color="000000"/>
            </w:tcBorders>
            <w:shd w:val="clear" w:color="auto" w:fill="auto"/>
          </w:tcPr>
          <w:p w14:paraId="203B6E95" w14:textId="77777777" w:rsidR="00DF61BC" w:rsidRPr="00C94C33" w:rsidRDefault="00DF61BC" w:rsidP="00C960A1">
            <w:pPr>
              <w:pStyle w:val="Tabletext"/>
              <w:jc w:val="center"/>
            </w:pPr>
            <w:r w:rsidRPr="00C94C33">
              <w:t>24</w:t>
            </w:r>
            <w:r w:rsidRPr="00C94C33">
              <w:rPr>
                <w:spacing w:val="-7"/>
              </w:rPr>
              <w:t xml:space="preserve"> </w:t>
            </w:r>
            <w:r w:rsidRPr="00C94C33">
              <w:rPr>
                <w:spacing w:val="-1"/>
              </w:rPr>
              <w:t>(9.2)</w:t>
            </w:r>
          </w:p>
        </w:tc>
        <w:tc>
          <w:tcPr>
            <w:tcW w:w="1263" w:type="dxa"/>
            <w:tcBorders>
              <w:top w:val="single" w:sz="7" w:space="0" w:color="000000"/>
              <w:left w:val="nil"/>
              <w:bottom w:val="single" w:sz="7" w:space="0" w:color="000000"/>
              <w:right w:val="single" w:sz="4" w:space="0" w:color="auto"/>
            </w:tcBorders>
            <w:shd w:val="clear" w:color="auto" w:fill="auto"/>
          </w:tcPr>
          <w:p w14:paraId="230E1CA1" w14:textId="77777777" w:rsidR="00DF61BC" w:rsidRPr="00C94C33" w:rsidRDefault="00DF61BC" w:rsidP="00C960A1">
            <w:pPr>
              <w:pStyle w:val="Tabletext"/>
              <w:jc w:val="center"/>
            </w:pPr>
            <w:r w:rsidRPr="00C94C33">
              <w:t>2</w:t>
            </w:r>
            <w:r w:rsidRPr="00C94C33">
              <w:rPr>
                <w:spacing w:val="-6"/>
              </w:rPr>
              <w:t xml:space="preserve"> </w:t>
            </w:r>
            <w:r w:rsidRPr="00C94C33">
              <w:t>(0.8)</w:t>
            </w:r>
          </w:p>
        </w:tc>
      </w:tr>
      <w:tr w:rsidR="00DF61BC" w:rsidRPr="00C94C33" w14:paraId="2FF99E56" w14:textId="77777777" w:rsidTr="00C960A1">
        <w:trPr>
          <w:trHeight w:hRule="exact" w:val="328"/>
        </w:trPr>
        <w:tc>
          <w:tcPr>
            <w:tcW w:w="1998" w:type="dxa"/>
            <w:tcBorders>
              <w:top w:val="single" w:sz="7" w:space="0" w:color="000000"/>
              <w:left w:val="single" w:sz="4" w:space="0" w:color="auto"/>
              <w:bottom w:val="single" w:sz="7" w:space="0" w:color="000000"/>
              <w:right w:val="single" w:sz="6" w:space="0" w:color="000000"/>
            </w:tcBorders>
            <w:shd w:val="clear" w:color="auto" w:fill="auto"/>
          </w:tcPr>
          <w:p w14:paraId="4390594F" w14:textId="77777777" w:rsidR="00DF61BC" w:rsidRPr="00C94C33" w:rsidRDefault="00DF61BC" w:rsidP="00C960A1">
            <w:pPr>
              <w:pStyle w:val="Tabletext"/>
            </w:pPr>
            <w:r w:rsidRPr="00C94C33">
              <w:rPr>
                <w:spacing w:val="-1"/>
              </w:rPr>
              <w:t>Anaemia</w:t>
            </w:r>
          </w:p>
        </w:tc>
        <w:tc>
          <w:tcPr>
            <w:tcW w:w="1300" w:type="dxa"/>
            <w:tcBorders>
              <w:top w:val="single" w:sz="7" w:space="0" w:color="000000"/>
              <w:left w:val="single" w:sz="6" w:space="0" w:color="000000"/>
              <w:bottom w:val="single" w:sz="7" w:space="0" w:color="000000"/>
            </w:tcBorders>
            <w:shd w:val="clear" w:color="auto" w:fill="auto"/>
          </w:tcPr>
          <w:p w14:paraId="13BEFBA7" w14:textId="77777777" w:rsidR="00DF61BC" w:rsidRPr="00C94C33" w:rsidRDefault="00DF61BC" w:rsidP="00C960A1">
            <w:pPr>
              <w:pStyle w:val="Tabletext"/>
              <w:jc w:val="center"/>
            </w:pPr>
            <w:r w:rsidRPr="00C94C33">
              <w:t>528</w:t>
            </w:r>
          </w:p>
        </w:tc>
        <w:tc>
          <w:tcPr>
            <w:tcW w:w="1226" w:type="dxa"/>
            <w:tcBorders>
              <w:top w:val="single" w:sz="7" w:space="0" w:color="000000"/>
              <w:left w:val="nil"/>
              <w:bottom w:val="single" w:sz="7" w:space="0" w:color="000000"/>
            </w:tcBorders>
            <w:shd w:val="clear" w:color="auto" w:fill="auto"/>
          </w:tcPr>
          <w:p w14:paraId="20C8E1E1" w14:textId="77777777" w:rsidR="00DF61BC" w:rsidRPr="00C94C33" w:rsidRDefault="00DF61BC" w:rsidP="00C960A1">
            <w:pPr>
              <w:pStyle w:val="Tabletext"/>
              <w:jc w:val="center"/>
            </w:pPr>
            <w:r w:rsidRPr="00C94C33">
              <w:t>96</w:t>
            </w:r>
            <w:r w:rsidRPr="00C94C33">
              <w:rPr>
                <w:spacing w:val="-8"/>
              </w:rPr>
              <w:t xml:space="preserve"> </w:t>
            </w:r>
            <w:r w:rsidRPr="00C94C33">
              <w:rPr>
                <w:spacing w:val="-1"/>
              </w:rPr>
              <w:t>(18.2)</w:t>
            </w:r>
          </w:p>
        </w:tc>
        <w:tc>
          <w:tcPr>
            <w:tcW w:w="1263" w:type="dxa"/>
            <w:tcBorders>
              <w:top w:val="single" w:sz="7" w:space="0" w:color="000000"/>
              <w:left w:val="nil"/>
              <w:bottom w:val="single" w:sz="7" w:space="0" w:color="000000"/>
              <w:right w:val="single" w:sz="6" w:space="0" w:color="000000"/>
            </w:tcBorders>
            <w:shd w:val="clear" w:color="auto" w:fill="auto"/>
          </w:tcPr>
          <w:p w14:paraId="558E2EA8" w14:textId="5E4D8452" w:rsidR="00DF61BC" w:rsidRPr="00C94C33" w:rsidRDefault="00DF61BC" w:rsidP="00C960A1">
            <w:pPr>
              <w:pStyle w:val="Tabletext"/>
              <w:jc w:val="center"/>
            </w:pPr>
            <w:r w:rsidRPr="00C94C33">
              <w:t xml:space="preserve">---  </w:t>
            </w:r>
            <w:r w:rsidRPr="00C94C33">
              <w:rPr>
                <w:vertAlign w:val="superscript"/>
              </w:rPr>
              <w:t>b, c</w:t>
            </w:r>
          </w:p>
        </w:tc>
        <w:tc>
          <w:tcPr>
            <w:tcW w:w="1263" w:type="dxa"/>
            <w:tcBorders>
              <w:top w:val="single" w:sz="7" w:space="0" w:color="000000"/>
              <w:left w:val="single" w:sz="6" w:space="0" w:color="000000"/>
              <w:bottom w:val="single" w:sz="7" w:space="0" w:color="000000"/>
            </w:tcBorders>
            <w:shd w:val="clear" w:color="auto" w:fill="auto"/>
          </w:tcPr>
          <w:p w14:paraId="4AA0CC88" w14:textId="77777777" w:rsidR="00DF61BC" w:rsidRPr="00C94C33" w:rsidRDefault="00DF61BC" w:rsidP="00C960A1">
            <w:pPr>
              <w:pStyle w:val="Tabletext"/>
              <w:jc w:val="center"/>
            </w:pPr>
            <w:r w:rsidRPr="00C94C33">
              <w:t>263</w:t>
            </w:r>
          </w:p>
        </w:tc>
        <w:tc>
          <w:tcPr>
            <w:tcW w:w="1263" w:type="dxa"/>
            <w:tcBorders>
              <w:top w:val="single" w:sz="7" w:space="0" w:color="000000"/>
              <w:left w:val="nil"/>
              <w:bottom w:val="single" w:sz="7" w:space="0" w:color="000000"/>
            </w:tcBorders>
            <w:shd w:val="clear" w:color="auto" w:fill="auto"/>
          </w:tcPr>
          <w:p w14:paraId="15D34DA8" w14:textId="77777777" w:rsidR="00DF61BC" w:rsidRPr="00C94C33" w:rsidRDefault="00DF61BC" w:rsidP="00C960A1">
            <w:pPr>
              <w:pStyle w:val="Tabletext"/>
              <w:jc w:val="center"/>
            </w:pPr>
            <w:r w:rsidRPr="00C94C33">
              <w:t>8</w:t>
            </w:r>
            <w:r w:rsidRPr="00C94C33">
              <w:rPr>
                <w:spacing w:val="-6"/>
              </w:rPr>
              <w:t xml:space="preserve"> </w:t>
            </w:r>
            <w:r w:rsidRPr="00C94C33">
              <w:t>(3.0)</w:t>
            </w:r>
          </w:p>
        </w:tc>
        <w:tc>
          <w:tcPr>
            <w:tcW w:w="1263" w:type="dxa"/>
            <w:tcBorders>
              <w:top w:val="single" w:sz="7" w:space="0" w:color="000000"/>
              <w:left w:val="nil"/>
              <w:bottom w:val="single" w:sz="7" w:space="0" w:color="000000"/>
              <w:right w:val="single" w:sz="4" w:space="0" w:color="auto"/>
            </w:tcBorders>
            <w:shd w:val="clear" w:color="auto" w:fill="auto"/>
          </w:tcPr>
          <w:p w14:paraId="6656EE1C" w14:textId="72C30AE3" w:rsidR="00DF61BC" w:rsidRPr="00C94C33" w:rsidRDefault="00DF61BC" w:rsidP="00C960A1">
            <w:pPr>
              <w:pStyle w:val="Tabletext"/>
              <w:jc w:val="center"/>
            </w:pPr>
            <w:r w:rsidRPr="00C94C33">
              <w:t xml:space="preserve">--- </w:t>
            </w:r>
            <w:r w:rsidRPr="00C94C33">
              <w:rPr>
                <w:vertAlign w:val="superscript"/>
              </w:rPr>
              <w:t>b</w:t>
            </w:r>
          </w:p>
        </w:tc>
      </w:tr>
      <w:tr w:rsidR="00DF61BC" w:rsidRPr="00C94C33" w14:paraId="2C507C2D" w14:textId="77777777" w:rsidTr="00C960A1">
        <w:trPr>
          <w:trHeight w:hRule="exact" w:val="327"/>
        </w:trPr>
        <w:tc>
          <w:tcPr>
            <w:tcW w:w="1998" w:type="dxa"/>
            <w:tcBorders>
              <w:top w:val="single" w:sz="7" w:space="0" w:color="000000"/>
              <w:left w:val="single" w:sz="4" w:space="0" w:color="auto"/>
              <w:bottom w:val="single" w:sz="6" w:space="0" w:color="000000"/>
              <w:right w:val="single" w:sz="6" w:space="0" w:color="000000"/>
            </w:tcBorders>
            <w:shd w:val="clear" w:color="auto" w:fill="auto"/>
          </w:tcPr>
          <w:p w14:paraId="163C0DE1" w14:textId="7265F986" w:rsidR="00DF61BC" w:rsidRPr="00C94C33" w:rsidRDefault="00DF61BC" w:rsidP="00C960A1">
            <w:pPr>
              <w:pStyle w:val="Tabletext"/>
            </w:pPr>
            <w:r w:rsidRPr="00C94C33">
              <w:rPr>
                <w:spacing w:val="-1"/>
              </w:rPr>
              <w:t>Thrombocyto</w:t>
            </w:r>
            <w:r w:rsidR="00B50F67">
              <w:rPr>
                <w:spacing w:val="-1"/>
              </w:rPr>
              <w:t>paenia</w:t>
            </w:r>
          </w:p>
        </w:tc>
        <w:tc>
          <w:tcPr>
            <w:tcW w:w="1300" w:type="dxa"/>
            <w:tcBorders>
              <w:top w:val="single" w:sz="7" w:space="0" w:color="000000"/>
              <w:left w:val="single" w:sz="6" w:space="0" w:color="000000"/>
              <w:bottom w:val="single" w:sz="6" w:space="0" w:color="000000"/>
            </w:tcBorders>
            <w:shd w:val="clear" w:color="auto" w:fill="auto"/>
          </w:tcPr>
          <w:p w14:paraId="18ED32E7" w14:textId="77777777" w:rsidR="00DF61BC" w:rsidRPr="00C94C33" w:rsidRDefault="00DF61BC" w:rsidP="00C960A1">
            <w:pPr>
              <w:pStyle w:val="Tabletext"/>
              <w:jc w:val="center"/>
            </w:pPr>
            <w:r w:rsidRPr="00C94C33">
              <w:t>528</w:t>
            </w:r>
          </w:p>
        </w:tc>
        <w:tc>
          <w:tcPr>
            <w:tcW w:w="1226" w:type="dxa"/>
            <w:tcBorders>
              <w:top w:val="single" w:sz="7" w:space="0" w:color="000000"/>
              <w:left w:val="nil"/>
              <w:bottom w:val="single" w:sz="6" w:space="0" w:color="000000"/>
            </w:tcBorders>
            <w:shd w:val="clear" w:color="auto" w:fill="auto"/>
          </w:tcPr>
          <w:p w14:paraId="5EC68A4E" w14:textId="77777777" w:rsidR="00DF61BC" w:rsidRPr="00C94C33" w:rsidRDefault="00DF61BC" w:rsidP="00C960A1">
            <w:pPr>
              <w:pStyle w:val="Tabletext"/>
              <w:jc w:val="center"/>
            </w:pPr>
            <w:r w:rsidRPr="00C94C33">
              <w:t>24</w:t>
            </w:r>
            <w:r w:rsidRPr="00C94C33">
              <w:rPr>
                <w:spacing w:val="-7"/>
              </w:rPr>
              <w:t xml:space="preserve"> </w:t>
            </w:r>
            <w:r w:rsidRPr="00C94C33">
              <w:rPr>
                <w:spacing w:val="-1"/>
              </w:rPr>
              <w:t>(4.5)</w:t>
            </w:r>
          </w:p>
        </w:tc>
        <w:tc>
          <w:tcPr>
            <w:tcW w:w="1263" w:type="dxa"/>
            <w:tcBorders>
              <w:top w:val="single" w:sz="7" w:space="0" w:color="000000"/>
              <w:left w:val="nil"/>
              <w:bottom w:val="single" w:sz="6" w:space="0" w:color="000000"/>
              <w:right w:val="single" w:sz="6" w:space="0" w:color="000000"/>
            </w:tcBorders>
            <w:shd w:val="clear" w:color="auto" w:fill="auto"/>
          </w:tcPr>
          <w:p w14:paraId="01B4A9A2" w14:textId="77777777" w:rsidR="00DF61BC" w:rsidRPr="00C94C33" w:rsidRDefault="00DF61BC" w:rsidP="00C960A1">
            <w:pPr>
              <w:pStyle w:val="Tabletext"/>
              <w:jc w:val="center"/>
            </w:pPr>
            <w:r w:rsidRPr="00C94C33">
              <w:t>3</w:t>
            </w:r>
            <w:r w:rsidRPr="00C94C33">
              <w:rPr>
                <w:spacing w:val="-6"/>
              </w:rPr>
              <w:t xml:space="preserve"> </w:t>
            </w:r>
            <w:r w:rsidRPr="00C94C33">
              <w:t>(0.6)</w:t>
            </w:r>
          </w:p>
        </w:tc>
        <w:tc>
          <w:tcPr>
            <w:tcW w:w="1263" w:type="dxa"/>
            <w:tcBorders>
              <w:top w:val="single" w:sz="7" w:space="0" w:color="000000"/>
              <w:left w:val="single" w:sz="6" w:space="0" w:color="000000"/>
              <w:bottom w:val="single" w:sz="6" w:space="0" w:color="000000"/>
            </w:tcBorders>
            <w:shd w:val="clear" w:color="auto" w:fill="auto"/>
          </w:tcPr>
          <w:p w14:paraId="0ADC506C" w14:textId="77777777" w:rsidR="00DF61BC" w:rsidRPr="00C94C33" w:rsidRDefault="00DF61BC" w:rsidP="00C960A1">
            <w:pPr>
              <w:pStyle w:val="Tabletext"/>
              <w:jc w:val="center"/>
            </w:pPr>
            <w:r w:rsidRPr="00C94C33">
              <w:t>263</w:t>
            </w:r>
          </w:p>
        </w:tc>
        <w:tc>
          <w:tcPr>
            <w:tcW w:w="1263" w:type="dxa"/>
            <w:tcBorders>
              <w:top w:val="single" w:sz="7" w:space="0" w:color="000000"/>
              <w:left w:val="nil"/>
              <w:bottom w:val="single" w:sz="6" w:space="0" w:color="000000"/>
            </w:tcBorders>
            <w:shd w:val="clear" w:color="auto" w:fill="auto"/>
          </w:tcPr>
          <w:p w14:paraId="4105E4ED" w14:textId="77777777" w:rsidR="00DF61BC" w:rsidRPr="00C94C33" w:rsidRDefault="00DF61BC" w:rsidP="00C960A1">
            <w:pPr>
              <w:pStyle w:val="Tabletext"/>
              <w:jc w:val="center"/>
            </w:pPr>
            <w:r w:rsidRPr="00C94C33">
              <w:t>0</w:t>
            </w:r>
          </w:p>
        </w:tc>
        <w:tc>
          <w:tcPr>
            <w:tcW w:w="1263" w:type="dxa"/>
            <w:tcBorders>
              <w:top w:val="single" w:sz="7" w:space="0" w:color="000000"/>
              <w:left w:val="nil"/>
              <w:bottom w:val="single" w:sz="6" w:space="0" w:color="000000"/>
              <w:right w:val="single" w:sz="4" w:space="0" w:color="auto"/>
            </w:tcBorders>
            <w:shd w:val="clear" w:color="auto" w:fill="auto"/>
          </w:tcPr>
          <w:p w14:paraId="1A2C3095" w14:textId="77777777" w:rsidR="00DF61BC" w:rsidRPr="00C94C33" w:rsidRDefault="00DF61BC" w:rsidP="00C960A1">
            <w:pPr>
              <w:pStyle w:val="Tabletext"/>
              <w:jc w:val="center"/>
            </w:pPr>
            <w:r w:rsidRPr="00C94C33">
              <w:t>1</w:t>
            </w:r>
            <w:r w:rsidRPr="00C94C33">
              <w:rPr>
                <w:spacing w:val="-6"/>
              </w:rPr>
              <w:t xml:space="preserve"> </w:t>
            </w:r>
            <w:r w:rsidRPr="00C94C33">
              <w:t>(0.4)</w:t>
            </w:r>
          </w:p>
        </w:tc>
      </w:tr>
    </w:tbl>
    <w:p w14:paraId="26B89F18" w14:textId="77777777" w:rsidR="00DF61BC" w:rsidRPr="00C94C33" w:rsidRDefault="00DF61BC" w:rsidP="00AA43B1">
      <w:pPr>
        <w:pStyle w:val="TableDescription"/>
      </w:pPr>
      <w:r w:rsidRPr="00C94C33">
        <w:t>Denominator for percentages: number of patients with at least one post-baseline measurement during treatment (includes patients with missing baseline).</w:t>
      </w:r>
      <w:r w:rsidR="00AA43B1" w:rsidRPr="00C94C33">
        <w:t xml:space="preserve"> </w:t>
      </w:r>
      <w:r w:rsidRPr="00C94C33">
        <w:t>There is no CTC Grade 4 for anaemia</w:t>
      </w:r>
      <w:r w:rsidR="00983724" w:rsidRPr="00C94C33">
        <w:t xml:space="preserve"> based on laboratory data only.</w:t>
      </w:r>
      <w:r w:rsidR="00AA43B1" w:rsidRPr="00C94C33">
        <w:t xml:space="preserve"> </w:t>
      </w:r>
      <w:r w:rsidRPr="00C94C33">
        <w:t>One adverse event of Grade 4 anaemia was reported.</w:t>
      </w:r>
    </w:p>
    <w:p w14:paraId="23603D11" w14:textId="77777777" w:rsidR="00AA7141" w:rsidRDefault="00DF61BC" w:rsidP="00955252">
      <w:pPr>
        <w:pStyle w:val="Heading5"/>
      </w:pPr>
      <w:r w:rsidRPr="00C94C33">
        <w:t>Neutrophil counts</w:t>
      </w:r>
    </w:p>
    <w:p w14:paraId="0BADC8CE" w14:textId="77777777" w:rsidR="00AA7141" w:rsidRDefault="00DF61BC" w:rsidP="00DF61BC">
      <w:pPr>
        <w:autoSpaceDE w:val="0"/>
        <w:autoSpaceDN w:val="0"/>
        <w:adjustRightInd w:val="0"/>
        <w:rPr>
          <w:rFonts w:asciiTheme="minorHAnsi" w:hAnsiTheme="minorHAnsi"/>
        </w:rPr>
      </w:pPr>
      <w:r w:rsidRPr="00C94C33">
        <w:rPr>
          <w:rFonts w:asciiTheme="minorHAnsi" w:hAnsiTheme="minorHAnsi"/>
          <w:color w:val="000000"/>
        </w:rPr>
        <w:t>During Cycle 1, median neutrophil counts at Week 2 were 3.40 x 10</w:t>
      </w:r>
      <w:r w:rsidRPr="00C94C33">
        <w:rPr>
          <w:rFonts w:asciiTheme="minorHAnsi" w:hAnsiTheme="minorHAnsi"/>
          <w:color w:val="000000"/>
          <w:vertAlign w:val="superscript"/>
        </w:rPr>
        <w:t>9</w:t>
      </w:r>
      <w:r w:rsidRPr="00C94C33">
        <w:rPr>
          <w:rFonts w:asciiTheme="minorHAnsi" w:hAnsiTheme="minorHAnsi"/>
          <w:color w:val="000000"/>
        </w:rPr>
        <w:t>/L in the TAS-102 group and 4.71 x 10</w:t>
      </w:r>
      <w:r w:rsidRPr="00C94C33">
        <w:rPr>
          <w:rFonts w:asciiTheme="minorHAnsi" w:hAnsiTheme="minorHAnsi"/>
          <w:color w:val="000000"/>
          <w:vertAlign w:val="superscript"/>
        </w:rPr>
        <w:t>9</w:t>
      </w:r>
      <w:r w:rsidRPr="00C94C33">
        <w:rPr>
          <w:rFonts w:asciiTheme="minorHAnsi" w:hAnsiTheme="minorHAnsi"/>
          <w:color w:val="000000"/>
        </w:rPr>
        <w:t>/L in the placebo group. At Week 4, median neutrophil counts were 2.70 x 10</w:t>
      </w:r>
      <w:r w:rsidRPr="00C94C33">
        <w:rPr>
          <w:rFonts w:asciiTheme="minorHAnsi" w:hAnsiTheme="minorHAnsi"/>
          <w:color w:val="000000"/>
          <w:vertAlign w:val="superscript"/>
        </w:rPr>
        <w:t>9</w:t>
      </w:r>
      <w:r w:rsidRPr="00C94C33">
        <w:rPr>
          <w:rFonts w:asciiTheme="minorHAnsi" w:hAnsiTheme="minorHAnsi"/>
          <w:color w:val="000000"/>
        </w:rPr>
        <w:t>/L in the TAS-102 group and 4.98 x 10</w:t>
      </w:r>
      <w:r w:rsidRPr="00C94C33">
        <w:rPr>
          <w:rFonts w:asciiTheme="minorHAnsi" w:hAnsiTheme="minorHAnsi"/>
          <w:color w:val="000000"/>
          <w:vertAlign w:val="superscript"/>
        </w:rPr>
        <w:t>9</w:t>
      </w:r>
      <w:r w:rsidRPr="00C94C33">
        <w:rPr>
          <w:rFonts w:asciiTheme="minorHAnsi" w:hAnsiTheme="minorHAnsi"/>
          <w:color w:val="000000"/>
        </w:rPr>
        <w:t>/L in the placebo group. Among</w:t>
      </w:r>
      <w:r w:rsidRPr="00C94C33">
        <w:rPr>
          <w:rFonts w:asciiTheme="minorHAnsi" w:hAnsiTheme="minorHAnsi"/>
        </w:rPr>
        <w:t xml:space="preserve"> patients in the TAS-102 group who experienced Grade 3 or Grade 4 neutro</w:t>
      </w:r>
      <w:r w:rsidR="00B50F67">
        <w:rPr>
          <w:rFonts w:asciiTheme="minorHAnsi" w:hAnsiTheme="minorHAnsi"/>
        </w:rPr>
        <w:t>paenia</w:t>
      </w:r>
      <w:r w:rsidRPr="00C94C33">
        <w:rPr>
          <w:rFonts w:asciiTheme="minorHAnsi" w:hAnsiTheme="minorHAnsi"/>
        </w:rPr>
        <w:t xml:space="preserve"> during Cycle 1 (</w:t>
      </w:r>
      <w:r w:rsidR="009C0389" w:rsidRPr="00C94C33">
        <w:rPr>
          <w:rFonts w:asciiTheme="minorHAnsi" w:hAnsiTheme="minorHAnsi"/>
        </w:rPr>
        <w:t xml:space="preserve">n = </w:t>
      </w:r>
      <w:r w:rsidRPr="00C94C33">
        <w:rPr>
          <w:rFonts w:asciiTheme="minorHAnsi" w:hAnsiTheme="minorHAnsi"/>
        </w:rPr>
        <w:t>39), the counts at nadir (based on all measurements obtained) ranged from 0.034 to 0.960 x 10</w:t>
      </w:r>
      <w:r w:rsidRPr="00C94C33">
        <w:rPr>
          <w:rFonts w:asciiTheme="minorHAnsi" w:hAnsiTheme="minorHAnsi"/>
          <w:vertAlign w:val="superscript"/>
        </w:rPr>
        <w:t>9</w:t>
      </w:r>
      <w:r w:rsidRPr="00C94C33">
        <w:rPr>
          <w:rFonts w:asciiTheme="minorHAnsi" w:hAnsiTheme="minorHAnsi"/>
        </w:rPr>
        <w:t>/L (median = 0.527 x 10</w:t>
      </w:r>
      <w:r w:rsidRPr="00C94C33">
        <w:rPr>
          <w:rFonts w:asciiTheme="minorHAnsi" w:hAnsiTheme="minorHAnsi"/>
          <w:vertAlign w:val="superscript"/>
        </w:rPr>
        <w:t>9</w:t>
      </w:r>
      <w:r w:rsidRPr="00C94C33">
        <w:rPr>
          <w:rFonts w:asciiTheme="minorHAnsi" w:hAnsiTheme="minorHAnsi"/>
        </w:rPr>
        <w:t>/L).</w:t>
      </w:r>
    </w:p>
    <w:p w14:paraId="0B58A2C1" w14:textId="3E13764A" w:rsidR="00DF61BC" w:rsidRPr="00C94C33" w:rsidRDefault="00DF61BC" w:rsidP="00DF61BC">
      <w:pPr>
        <w:autoSpaceDE w:val="0"/>
        <w:autoSpaceDN w:val="0"/>
        <w:adjustRightInd w:val="0"/>
        <w:rPr>
          <w:rFonts w:asciiTheme="minorHAnsi" w:hAnsiTheme="minorHAnsi"/>
          <w:color w:val="000000"/>
        </w:rPr>
      </w:pPr>
      <w:r w:rsidRPr="00C94C33">
        <w:rPr>
          <w:rFonts w:asciiTheme="minorHAnsi" w:hAnsiTheme="minorHAnsi"/>
          <w:color w:val="000000"/>
        </w:rPr>
        <w:t>Among all patients with Grade 3 or 4 neutro</w:t>
      </w:r>
      <w:r w:rsidR="00B50F67">
        <w:rPr>
          <w:rFonts w:asciiTheme="minorHAnsi" w:hAnsiTheme="minorHAnsi"/>
          <w:color w:val="000000"/>
        </w:rPr>
        <w:t>paenia</w:t>
      </w:r>
      <w:r w:rsidRPr="00C94C33">
        <w:rPr>
          <w:rFonts w:asciiTheme="minorHAnsi" w:hAnsiTheme="minorHAnsi"/>
          <w:color w:val="000000"/>
        </w:rPr>
        <w:t xml:space="preserve"> in the TAS-102 group, median time to recovery (</w:t>
      </w:r>
      <w:r w:rsidR="00B2072D" w:rsidRPr="00C94C33">
        <w:rPr>
          <w:rFonts w:asciiTheme="minorHAnsi" w:hAnsiTheme="minorHAnsi"/>
          <w:color w:val="000000"/>
        </w:rPr>
        <w:t>that is,</w:t>
      </w:r>
      <w:r w:rsidRPr="00C94C33">
        <w:rPr>
          <w:rFonts w:asciiTheme="minorHAnsi" w:hAnsiTheme="minorHAnsi"/>
          <w:color w:val="000000"/>
        </w:rPr>
        <w:t xml:space="preserve"> to Grade &lt;2 or </w:t>
      </w:r>
      <w:r w:rsidRPr="00C94C33">
        <w:rPr>
          <w:rFonts w:asciiTheme="minorHAnsi" w:hAnsiTheme="minorHAnsi" w:cs="TimesNewRomanPSMT"/>
          <w:color w:val="000000"/>
        </w:rPr>
        <w:t xml:space="preserve">≤ </w:t>
      </w:r>
      <w:r w:rsidRPr="00C94C33">
        <w:rPr>
          <w:rFonts w:asciiTheme="minorHAnsi" w:hAnsiTheme="minorHAnsi"/>
          <w:color w:val="000000"/>
        </w:rPr>
        <w:t>baseline grade) from the most extreme counts recorded was 8 days. Among the 60 patients in the TAS-102 group who experienced Grade 4 neutro</w:t>
      </w:r>
      <w:r w:rsidR="00B50F67">
        <w:rPr>
          <w:rFonts w:asciiTheme="minorHAnsi" w:hAnsiTheme="minorHAnsi"/>
          <w:color w:val="000000"/>
        </w:rPr>
        <w:t>paenia</w:t>
      </w:r>
      <w:r w:rsidRPr="00C94C33">
        <w:rPr>
          <w:rFonts w:asciiTheme="minorHAnsi" w:hAnsiTheme="minorHAnsi"/>
          <w:color w:val="000000"/>
        </w:rPr>
        <w:t>, the event was observed in a total of 87 cycles.  For 62 of the 87 occurrences of Grade 4 neutro</w:t>
      </w:r>
      <w:r w:rsidR="00B50F67">
        <w:rPr>
          <w:rFonts w:asciiTheme="minorHAnsi" w:hAnsiTheme="minorHAnsi"/>
          <w:color w:val="000000"/>
        </w:rPr>
        <w:t>paenia</w:t>
      </w:r>
      <w:r w:rsidRPr="00C94C33">
        <w:rPr>
          <w:rFonts w:asciiTheme="minorHAnsi" w:hAnsiTheme="minorHAnsi"/>
          <w:color w:val="000000"/>
        </w:rPr>
        <w:t xml:space="preserve"> (71.3%), the neutrophil count recovered to &lt; Grade 4 within 7 days. However, analyses of time to recovery in haematology parameters were limited by the fact that the protocol mandated haematology testing only on Week 2 and Week 4 of each cycle.</w:t>
      </w:r>
    </w:p>
    <w:p w14:paraId="626874CB" w14:textId="25916B67"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Among the 87 occurrences of Grade 4 neutro</w:t>
      </w:r>
      <w:r w:rsidR="00B50F67">
        <w:rPr>
          <w:rFonts w:asciiTheme="minorHAnsi" w:hAnsiTheme="minorHAnsi"/>
        </w:rPr>
        <w:t>paenia</w:t>
      </w:r>
      <w:r w:rsidRPr="00C94C33">
        <w:rPr>
          <w:rFonts w:asciiTheme="minorHAnsi" w:hAnsiTheme="minorHAnsi"/>
        </w:rPr>
        <w:t xml:space="preserve"> in the TAS-102 group, 10 cases had associated AEs of febrile neutro</w:t>
      </w:r>
      <w:r w:rsidR="00B50F67">
        <w:rPr>
          <w:rFonts w:asciiTheme="minorHAnsi" w:hAnsiTheme="minorHAnsi"/>
        </w:rPr>
        <w:t>paenia</w:t>
      </w:r>
      <w:r w:rsidRPr="00C94C33">
        <w:rPr>
          <w:rFonts w:asciiTheme="minorHAnsi" w:hAnsiTheme="minorHAnsi"/>
        </w:rPr>
        <w:t xml:space="preserve"> defined as occurring within ±7 days of Grade 4 neutro</w:t>
      </w:r>
      <w:r w:rsidR="00B50F67">
        <w:rPr>
          <w:rFonts w:asciiTheme="minorHAnsi" w:hAnsiTheme="minorHAnsi"/>
        </w:rPr>
        <w:t>paenia</w:t>
      </w:r>
      <w:r w:rsidRPr="00C94C33">
        <w:rPr>
          <w:rFonts w:asciiTheme="minorHAnsi" w:hAnsiTheme="minorHAnsi"/>
        </w:rPr>
        <w:t xml:space="preserve">, 8 cases </w:t>
      </w:r>
      <w:r w:rsidRPr="00C94C33">
        <w:rPr>
          <w:rFonts w:asciiTheme="minorHAnsi" w:hAnsiTheme="minorHAnsi"/>
        </w:rPr>
        <w:lastRenderedPageBreak/>
        <w:t>were associated with other AEs of fever, and 12 cases were associated with various infections. 22 of the 87 cases had associated administration of G-CSF/GM-CSF, and 27 of the 87 cases had associated administration of anti-microbial medications.</w:t>
      </w:r>
    </w:p>
    <w:p w14:paraId="5C556FCE" w14:textId="56D21453" w:rsidR="00DF61BC" w:rsidRPr="00C94C33" w:rsidRDefault="00DF61BC" w:rsidP="00DF61BC">
      <w:pPr>
        <w:autoSpaceDE w:val="0"/>
        <w:autoSpaceDN w:val="0"/>
        <w:adjustRightInd w:val="0"/>
        <w:rPr>
          <w:rFonts w:asciiTheme="minorHAnsi" w:hAnsiTheme="minorHAnsi"/>
          <w:color w:val="000000"/>
        </w:rPr>
      </w:pPr>
      <w:r w:rsidRPr="00C94C33">
        <w:rPr>
          <w:rFonts w:asciiTheme="minorHAnsi" w:hAnsiTheme="minorHAnsi"/>
          <w:color w:val="000000"/>
        </w:rPr>
        <w:t>Median neutrophil counts at the end of each cycle (last value obtained for each patient in each cycle) were lower in the TAS-102 group than in the placebo group, but remained fairly stable through the first six cycles of treatment. Thereafter, the lower numbers of patients remaining on treatment make the data difficult to interpret. The median neutrophil count by cycle at the end of each cycle is summarised below.</w:t>
      </w:r>
    </w:p>
    <w:p w14:paraId="54AF066E" w14:textId="491AE096" w:rsidR="00DF61BC" w:rsidRPr="00C94C33" w:rsidRDefault="00DF61BC" w:rsidP="008D084E">
      <w:pPr>
        <w:pStyle w:val="FigureTitle"/>
      </w:pPr>
      <w:bookmarkStart w:id="409" w:name="_Toc470948807"/>
      <w:r w:rsidRPr="00C94C33">
        <w:t>Figure</w:t>
      </w:r>
      <w:r w:rsidR="008D084E" w:rsidRPr="00C94C33">
        <w:t xml:space="preserve"> 12</w:t>
      </w:r>
      <w:r w:rsidRPr="00C94C33">
        <w:t>: RECOURSE</w:t>
      </w:r>
      <w:r w:rsidR="00ED61DF">
        <w:t xml:space="preserve">; </w:t>
      </w:r>
      <w:r w:rsidRPr="00C94C33">
        <w:t>Median neutrophil count by cycle at the end of each cycle, AT</w:t>
      </w:r>
      <w:r w:rsidR="00ED61DF">
        <w:t> </w:t>
      </w:r>
      <w:r w:rsidRPr="00C94C33">
        <w:t>population.</w:t>
      </w:r>
      <w:bookmarkEnd w:id="409"/>
    </w:p>
    <w:p w14:paraId="59968692" w14:textId="5781E57A" w:rsidR="00DF61BC" w:rsidRPr="00C94C33" w:rsidRDefault="001542C5" w:rsidP="00DF61BC">
      <w:pPr>
        <w:rPr>
          <w:rFonts w:asciiTheme="majorHAnsi" w:hAnsiTheme="majorHAnsi"/>
          <w:color w:val="000000"/>
        </w:rPr>
      </w:pPr>
      <w:r>
        <w:rPr>
          <w:noProof/>
          <w:lang w:eastAsia="en-AU"/>
        </w:rPr>
        <w:drawing>
          <wp:inline distT="0" distB="0" distL="0" distR="0" wp14:anchorId="7A0A9241" wp14:editId="0299C7BF">
            <wp:extent cx="5637530" cy="2932430"/>
            <wp:effectExtent l="0" t="0" r="1270" b="1270"/>
            <wp:docPr id="2094" name="Picture 5" descr="Figure 12: RECOURSE – Median neutrophil count by cycle at the end of each cycle, 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 name="Picture 5" descr="Figure 12: RECOURSE – Median neutrophil count by cycle at the end of each cycle, AT popula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7530" cy="293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EB57C5B" w14:textId="77777777" w:rsidR="00DF61BC" w:rsidRPr="00C94C33" w:rsidRDefault="00DF61BC" w:rsidP="008D084E">
      <w:pPr>
        <w:pStyle w:val="TableDescription"/>
      </w:pPr>
      <w:r w:rsidRPr="00C94C33">
        <w:t>Note: The last value recorded in the cycle is selected for inclusion in the display. IQR = interquartile range (Q1 to Q3).</w:t>
      </w:r>
    </w:p>
    <w:p w14:paraId="1370AFCA" w14:textId="10D63EF5" w:rsidR="00DF61BC" w:rsidRPr="00C94C33" w:rsidRDefault="00DF61BC" w:rsidP="00955252">
      <w:pPr>
        <w:pStyle w:val="Heading5"/>
      </w:pPr>
      <w:r w:rsidRPr="00C94C33">
        <w:t>Haemoglobin</w:t>
      </w:r>
    </w:p>
    <w:p w14:paraId="65148E41" w14:textId="78162CFD" w:rsidR="00DF61BC" w:rsidRPr="00C94C33" w:rsidRDefault="00DF61BC" w:rsidP="00DF61BC">
      <w:pPr>
        <w:autoSpaceDE w:val="0"/>
        <w:autoSpaceDN w:val="0"/>
        <w:adjustRightInd w:val="0"/>
        <w:rPr>
          <w:rFonts w:asciiTheme="minorHAnsi" w:hAnsiTheme="minorHAnsi"/>
          <w:color w:val="000000"/>
        </w:rPr>
      </w:pPr>
      <w:r w:rsidRPr="00C94C33">
        <w:rPr>
          <w:rFonts w:asciiTheme="minorHAnsi" w:hAnsiTheme="minorHAnsi"/>
          <w:color w:val="000000"/>
        </w:rPr>
        <w:t>Across all cycles, among patients in the TAS-102 group who experienced Grade 3 anaemia (</w:t>
      </w:r>
      <w:r w:rsidR="009C0389" w:rsidRPr="00C94C33">
        <w:rPr>
          <w:rFonts w:asciiTheme="minorHAnsi" w:hAnsiTheme="minorHAnsi"/>
          <w:color w:val="000000"/>
        </w:rPr>
        <w:t xml:space="preserve">n = </w:t>
      </w:r>
      <w:r w:rsidRPr="00C94C33">
        <w:rPr>
          <w:rFonts w:asciiTheme="minorHAnsi" w:hAnsiTheme="minorHAnsi"/>
          <w:color w:val="000000"/>
        </w:rPr>
        <w:t>96), the median of the lowest values obtained for each patient was 7.3 g/dL (range: 5.10, 7.96 g/dL).</w:t>
      </w:r>
    </w:p>
    <w:p w14:paraId="2436C3C4" w14:textId="77777777" w:rsidR="00AA7141" w:rsidRDefault="00DF61BC" w:rsidP="00955252">
      <w:pPr>
        <w:pStyle w:val="Heading5"/>
      </w:pPr>
      <w:r w:rsidRPr="00C94C33">
        <w:t>Platelets</w:t>
      </w:r>
    </w:p>
    <w:p w14:paraId="4C29051C" w14:textId="24FD4B19" w:rsidR="00DF61BC" w:rsidRPr="00C94C33" w:rsidRDefault="00DF61BC" w:rsidP="00DF61BC">
      <w:pPr>
        <w:autoSpaceDE w:val="0"/>
        <w:autoSpaceDN w:val="0"/>
        <w:adjustRightInd w:val="0"/>
        <w:rPr>
          <w:rFonts w:asciiTheme="minorHAnsi" w:hAnsiTheme="minorHAnsi"/>
          <w:color w:val="000000"/>
        </w:rPr>
      </w:pPr>
      <w:r w:rsidRPr="00C94C33">
        <w:rPr>
          <w:rFonts w:asciiTheme="minorHAnsi" w:hAnsiTheme="minorHAnsi"/>
          <w:color w:val="000000"/>
        </w:rPr>
        <w:t>Across all cycles, among patients in the TAS-102 group who experienced Grade 4 thrombocyto</w:t>
      </w:r>
      <w:r w:rsidR="00B50F67">
        <w:rPr>
          <w:rFonts w:asciiTheme="minorHAnsi" w:hAnsiTheme="minorHAnsi"/>
          <w:color w:val="000000"/>
        </w:rPr>
        <w:t>paenia</w:t>
      </w:r>
      <w:r w:rsidRPr="00C94C33">
        <w:rPr>
          <w:rFonts w:asciiTheme="minorHAnsi" w:hAnsiTheme="minorHAnsi"/>
          <w:color w:val="000000"/>
        </w:rPr>
        <w:t xml:space="preserve"> (</w:t>
      </w:r>
      <w:r w:rsidR="009C0389" w:rsidRPr="00C94C33">
        <w:rPr>
          <w:rFonts w:asciiTheme="minorHAnsi" w:hAnsiTheme="minorHAnsi"/>
          <w:color w:val="000000"/>
        </w:rPr>
        <w:t xml:space="preserve">n = </w:t>
      </w:r>
      <w:r w:rsidRPr="00C94C33">
        <w:rPr>
          <w:rFonts w:asciiTheme="minorHAnsi" w:hAnsiTheme="minorHAnsi"/>
          <w:color w:val="000000"/>
        </w:rPr>
        <w:t>3), the median of the lowest values obtained for each patient was 22.0 x 10</w:t>
      </w:r>
      <w:r w:rsidRPr="00C94C33">
        <w:rPr>
          <w:rFonts w:asciiTheme="minorHAnsi" w:hAnsiTheme="minorHAnsi"/>
          <w:color w:val="000000"/>
          <w:vertAlign w:val="superscript"/>
        </w:rPr>
        <w:t>9</w:t>
      </w:r>
      <w:r w:rsidRPr="00C94C33">
        <w:rPr>
          <w:rFonts w:asciiTheme="minorHAnsi" w:hAnsiTheme="minorHAnsi"/>
          <w:color w:val="000000"/>
        </w:rPr>
        <w:t>/L (range: 21-24 x 10</w:t>
      </w:r>
      <w:r w:rsidRPr="00C94C33">
        <w:rPr>
          <w:rFonts w:asciiTheme="minorHAnsi" w:hAnsiTheme="minorHAnsi"/>
          <w:color w:val="000000"/>
          <w:vertAlign w:val="superscript"/>
        </w:rPr>
        <w:t>9</w:t>
      </w:r>
      <w:r w:rsidRPr="00C94C33">
        <w:rPr>
          <w:rFonts w:asciiTheme="minorHAnsi" w:hAnsiTheme="minorHAnsi"/>
          <w:color w:val="000000"/>
        </w:rPr>
        <w:t>/L).</w:t>
      </w:r>
    </w:p>
    <w:p w14:paraId="17640C96" w14:textId="77777777" w:rsidR="00AA7141" w:rsidRDefault="00DF61BC" w:rsidP="00955252">
      <w:pPr>
        <w:pStyle w:val="Heading5"/>
      </w:pPr>
      <w:r w:rsidRPr="00C94C33">
        <w:t>Shifts in CTC Grade from Baseline</w:t>
      </w:r>
    </w:p>
    <w:p w14:paraId="00675CB0" w14:textId="64010D31" w:rsidR="00DF61BC" w:rsidRPr="00C94C33" w:rsidRDefault="00DF61BC" w:rsidP="005C2FCA">
      <w:pPr>
        <w:autoSpaceDE w:val="0"/>
        <w:autoSpaceDN w:val="0"/>
        <w:adjustRightInd w:val="0"/>
        <w:rPr>
          <w:rFonts w:asciiTheme="minorHAnsi" w:hAnsiTheme="minorHAnsi"/>
          <w:b/>
          <w:bCs/>
        </w:rPr>
      </w:pPr>
      <w:r w:rsidRPr="00C94C33">
        <w:rPr>
          <w:rFonts w:asciiTheme="minorHAnsi" w:hAnsiTheme="minorHAnsi"/>
          <w:color w:val="000000"/>
        </w:rPr>
        <w:t>Shifts of all grades from baseline in haematology parameters were more frequent in the TAS-102 group</w:t>
      </w:r>
      <w:r w:rsidR="008D084E" w:rsidRPr="00C94C33">
        <w:rPr>
          <w:rFonts w:asciiTheme="minorHAnsi" w:hAnsiTheme="minorHAnsi"/>
          <w:color w:val="000000"/>
        </w:rPr>
        <w:t xml:space="preserve"> than in the placebo group</w:t>
      </w:r>
      <w:r w:rsidRPr="00C94C33">
        <w:rPr>
          <w:rFonts w:asciiTheme="minorHAnsi" w:hAnsiTheme="minorHAnsi"/>
          <w:color w:val="000000"/>
        </w:rPr>
        <w:t>.</w:t>
      </w:r>
    </w:p>
    <w:p w14:paraId="185B75AD" w14:textId="65FA6571" w:rsidR="00DF61BC" w:rsidRPr="00C94C33" w:rsidRDefault="00DF61BC" w:rsidP="00ED61DF">
      <w:pPr>
        <w:pStyle w:val="Tabletitle"/>
      </w:pPr>
      <w:bookmarkStart w:id="410" w:name="_Toc470948707"/>
      <w:r w:rsidRPr="00C94C33">
        <w:t>Table</w:t>
      </w:r>
      <w:r w:rsidR="008D084E" w:rsidRPr="00C94C33">
        <w:t xml:space="preserve"> 58</w:t>
      </w:r>
      <w:r w:rsidRPr="00C94C33">
        <w:t>: RECOURSE</w:t>
      </w:r>
      <w:r w:rsidR="00ED61DF">
        <w:t xml:space="preserve">; </w:t>
      </w:r>
      <w:r w:rsidRPr="00C94C33">
        <w:t xml:space="preserve">Shifts from </w:t>
      </w:r>
      <w:r w:rsidR="00ED61DF">
        <w:t>B</w:t>
      </w:r>
      <w:r w:rsidRPr="00C94C33">
        <w:t>aseline of at least 1 CTC Grade for haematology parameters of interest, AT population maximum CTC Grade all cycles</w:t>
      </w:r>
      <w:bookmarkEnd w:id="410"/>
    </w:p>
    <w:tbl>
      <w:tblPr>
        <w:tblW w:w="9596" w:type="dxa"/>
        <w:tblInd w:w="112" w:type="dxa"/>
        <w:tblLayout w:type="fixed"/>
        <w:tblCellMar>
          <w:left w:w="0" w:type="dxa"/>
          <w:right w:w="0" w:type="dxa"/>
        </w:tblCellMar>
        <w:tblLook w:val="0000" w:firstRow="0" w:lastRow="0" w:firstColumn="0" w:lastColumn="0" w:noHBand="0" w:noVBand="0"/>
      </w:tblPr>
      <w:tblGrid>
        <w:gridCol w:w="2378"/>
        <w:gridCol w:w="1080"/>
        <w:gridCol w:w="1533"/>
        <w:gridCol w:w="1536"/>
        <w:gridCol w:w="1534"/>
        <w:gridCol w:w="1535"/>
      </w:tblGrid>
      <w:tr w:rsidR="00DF61BC" w:rsidRPr="00C94C33" w14:paraId="42393875" w14:textId="77777777" w:rsidTr="000E0A49">
        <w:trPr>
          <w:trHeight w:hRule="exact" w:val="844"/>
        </w:trPr>
        <w:tc>
          <w:tcPr>
            <w:tcW w:w="2378" w:type="dxa"/>
            <w:tcBorders>
              <w:top w:val="single" w:sz="4" w:space="0" w:color="auto"/>
              <w:left w:val="single" w:sz="4" w:space="0" w:color="auto"/>
              <w:bottom w:val="single" w:sz="8" w:space="0" w:color="000000"/>
              <w:right w:val="single" w:sz="6" w:space="0" w:color="000000"/>
            </w:tcBorders>
            <w:shd w:val="clear" w:color="auto" w:fill="auto"/>
          </w:tcPr>
          <w:p w14:paraId="07BE27FF" w14:textId="77777777" w:rsidR="00DF61BC" w:rsidRPr="00C94C33" w:rsidRDefault="00DF61BC" w:rsidP="001542C5">
            <w:pPr>
              <w:pStyle w:val="TableHeading"/>
            </w:pPr>
            <w:r w:rsidRPr="00C94C33">
              <w:t>Parameter Treatment Group</w:t>
            </w:r>
          </w:p>
        </w:tc>
        <w:tc>
          <w:tcPr>
            <w:tcW w:w="1080" w:type="dxa"/>
            <w:tcBorders>
              <w:top w:val="single" w:sz="4" w:space="0" w:color="auto"/>
              <w:left w:val="single" w:sz="6" w:space="0" w:color="000000"/>
              <w:bottom w:val="single" w:sz="8" w:space="0" w:color="000000"/>
              <w:right w:val="single" w:sz="4" w:space="0" w:color="auto"/>
            </w:tcBorders>
            <w:shd w:val="clear" w:color="auto" w:fill="auto"/>
          </w:tcPr>
          <w:p w14:paraId="251121AF" w14:textId="4710AA1F" w:rsidR="00DF61BC" w:rsidRPr="00C94C33" w:rsidRDefault="00DF61BC" w:rsidP="001542C5">
            <w:pPr>
              <w:pStyle w:val="TableHeading"/>
            </w:pPr>
            <w:r w:rsidRPr="00C94C33">
              <w:t xml:space="preserve">N </w:t>
            </w:r>
            <w:r w:rsidRPr="00C94C33">
              <w:rPr>
                <w:vertAlign w:val="superscript"/>
              </w:rPr>
              <w:t xml:space="preserve">a </w:t>
            </w:r>
          </w:p>
        </w:tc>
        <w:tc>
          <w:tcPr>
            <w:tcW w:w="1533" w:type="dxa"/>
            <w:tcBorders>
              <w:top w:val="single" w:sz="4" w:space="0" w:color="auto"/>
              <w:left w:val="single" w:sz="4" w:space="0" w:color="auto"/>
              <w:bottom w:val="single" w:sz="8" w:space="0" w:color="000000"/>
              <w:right w:val="single" w:sz="4" w:space="0" w:color="auto"/>
            </w:tcBorders>
            <w:shd w:val="clear" w:color="auto" w:fill="auto"/>
          </w:tcPr>
          <w:p w14:paraId="1D45FD84" w14:textId="77777777" w:rsidR="00DF61BC" w:rsidRPr="00C94C33" w:rsidRDefault="00DF61BC" w:rsidP="001542C5">
            <w:pPr>
              <w:pStyle w:val="TableHeading"/>
            </w:pPr>
            <w:r w:rsidRPr="00C94C33">
              <w:t>Grade 1, n (%)</w:t>
            </w:r>
          </w:p>
        </w:tc>
        <w:tc>
          <w:tcPr>
            <w:tcW w:w="1536" w:type="dxa"/>
            <w:tcBorders>
              <w:top w:val="single" w:sz="4" w:space="0" w:color="auto"/>
              <w:left w:val="single" w:sz="4" w:space="0" w:color="auto"/>
              <w:bottom w:val="single" w:sz="8" w:space="0" w:color="000000"/>
              <w:right w:val="single" w:sz="4" w:space="0" w:color="auto"/>
            </w:tcBorders>
            <w:shd w:val="clear" w:color="auto" w:fill="auto"/>
          </w:tcPr>
          <w:p w14:paraId="211B6CD3" w14:textId="77777777" w:rsidR="00DF61BC" w:rsidRPr="00C94C33" w:rsidRDefault="00DF61BC" w:rsidP="001542C5">
            <w:pPr>
              <w:pStyle w:val="TableHeading"/>
            </w:pPr>
            <w:r w:rsidRPr="00C94C33">
              <w:t>Grade 2, n (%)</w:t>
            </w:r>
          </w:p>
        </w:tc>
        <w:tc>
          <w:tcPr>
            <w:tcW w:w="1534" w:type="dxa"/>
            <w:tcBorders>
              <w:top w:val="single" w:sz="4" w:space="0" w:color="auto"/>
              <w:left w:val="single" w:sz="4" w:space="0" w:color="auto"/>
              <w:bottom w:val="single" w:sz="8" w:space="0" w:color="000000"/>
              <w:right w:val="single" w:sz="4" w:space="0" w:color="auto"/>
            </w:tcBorders>
            <w:shd w:val="clear" w:color="auto" w:fill="auto"/>
          </w:tcPr>
          <w:p w14:paraId="342A9326" w14:textId="77777777" w:rsidR="00DF61BC" w:rsidRPr="00C94C33" w:rsidRDefault="00DF61BC" w:rsidP="001542C5">
            <w:pPr>
              <w:pStyle w:val="TableHeading"/>
            </w:pPr>
            <w:r w:rsidRPr="00C94C33">
              <w:t>Grade 3, n (%)</w:t>
            </w:r>
          </w:p>
        </w:tc>
        <w:tc>
          <w:tcPr>
            <w:tcW w:w="1535" w:type="dxa"/>
            <w:tcBorders>
              <w:top w:val="single" w:sz="4" w:space="0" w:color="auto"/>
              <w:left w:val="single" w:sz="4" w:space="0" w:color="auto"/>
              <w:bottom w:val="single" w:sz="8" w:space="0" w:color="000000"/>
              <w:right w:val="single" w:sz="4" w:space="0" w:color="auto"/>
            </w:tcBorders>
            <w:shd w:val="clear" w:color="auto" w:fill="auto"/>
          </w:tcPr>
          <w:p w14:paraId="605BF0FE" w14:textId="77777777" w:rsidR="00DF61BC" w:rsidRPr="00C94C33" w:rsidRDefault="00DF61BC" w:rsidP="001542C5">
            <w:pPr>
              <w:pStyle w:val="TableHeading"/>
            </w:pPr>
            <w:r w:rsidRPr="00C94C33">
              <w:t>Grade 4, n (%)</w:t>
            </w:r>
          </w:p>
        </w:tc>
      </w:tr>
      <w:tr w:rsidR="00DF61BC" w:rsidRPr="00C94C33" w14:paraId="5E4726D8" w14:textId="77777777" w:rsidTr="000E0A49">
        <w:trPr>
          <w:trHeight w:hRule="exact" w:val="305"/>
        </w:trPr>
        <w:tc>
          <w:tcPr>
            <w:tcW w:w="2378" w:type="dxa"/>
            <w:tcBorders>
              <w:top w:val="single" w:sz="8" w:space="0" w:color="000000"/>
              <w:left w:val="single" w:sz="4" w:space="0" w:color="auto"/>
              <w:bottom w:val="single" w:sz="8" w:space="0" w:color="000000"/>
              <w:right w:val="single" w:sz="6" w:space="0" w:color="000000"/>
            </w:tcBorders>
            <w:shd w:val="clear" w:color="auto" w:fill="auto"/>
          </w:tcPr>
          <w:p w14:paraId="2837C7D5" w14:textId="52128E0B" w:rsidR="00DF61BC" w:rsidRPr="00C94C33" w:rsidRDefault="00DF61BC" w:rsidP="001542C5">
            <w:pPr>
              <w:pStyle w:val="TableHeading"/>
            </w:pPr>
            <w:r w:rsidRPr="00C94C33">
              <w:t>Leuko</w:t>
            </w:r>
            <w:r w:rsidR="00B50F67">
              <w:t>paenia</w:t>
            </w:r>
          </w:p>
        </w:tc>
        <w:tc>
          <w:tcPr>
            <w:tcW w:w="1080" w:type="dxa"/>
            <w:tcBorders>
              <w:top w:val="single" w:sz="8" w:space="0" w:color="000000"/>
              <w:left w:val="single" w:sz="6" w:space="0" w:color="000000"/>
              <w:bottom w:val="single" w:sz="8" w:space="0" w:color="000000"/>
              <w:right w:val="single" w:sz="4" w:space="0" w:color="auto"/>
            </w:tcBorders>
            <w:shd w:val="clear" w:color="auto" w:fill="auto"/>
          </w:tcPr>
          <w:p w14:paraId="7EF9FC5C" w14:textId="77777777" w:rsidR="00DF61BC" w:rsidRPr="00C94C33" w:rsidRDefault="00DF61BC" w:rsidP="001542C5">
            <w:pPr>
              <w:pStyle w:val="TableHeading"/>
            </w:pPr>
          </w:p>
        </w:tc>
        <w:tc>
          <w:tcPr>
            <w:tcW w:w="1533" w:type="dxa"/>
            <w:tcBorders>
              <w:top w:val="single" w:sz="8" w:space="0" w:color="000000"/>
              <w:left w:val="single" w:sz="4" w:space="0" w:color="auto"/>
              <w:bottom w:val="single" w:sz="8" w:space="0" w:color="000000"/>
              <w:right w:val="single" w:sz="4" w:space="0" w:color="auto"/>
            </w:tcBorders>
            <w:shd w:val="clear" w:color="auto" w:fill="auto"/>
          </w:tcPr>
          <w:p w14:paraId="57534849" w14:textId="77777777" w:rsidR="00DF61BC" w:rsidRPr="00C94C33" w:rsidRDefault="00DF61BC" w:rsidP="001542C5">
            <w:pPr>
              <w:pStyle w:val="TableHeading"/>
            </w:pPr>
          </w:p>
        </w:tc>
        <w:tc>
          <w:tcPr>
            <w:tcW w:w="1536" w:type="dxa"/>
            <w:tcBorders>
              <w:top w:val="single" w:sz="8" w:space="0" w:color="000000"/>
              <w:left w:val="single" w:sz="4" w:space="0" w:color="auto"/>
              <w:bottom w:val="single" w:sz="8" w:space="0" w:color="000000"/>
              <w:right w:val="single" w:sz="4" w:space="0" w:color="auto"/>
            </w:tcBorders>
            <w:shd w:val="clear" w:color="auto" w:fill="auto"/>
          </w:tcPr>
          <w:p w14:paraId="310903E5" w14:textId="77777777" w:rsidR="00DF61BC" w:rsidRPr="00C94C33" w:rsidRDefault="00DF61BC" w:rsidP="001542C5">
            <w:pPr>
              <w:pStyle w:val="TableHeading"/>
            </w:pPr>
          </w:p>
        </w:tc>
        <w:tc>
          <w:tcPr>
            <w:tcW w:w="1534" w:type="dxa"/>
            <w:tcBorders>
              <w:top w:val="single" w:sz="8" w:space="0" w:color="000000"/>
              <w:left w:val="single" w:sz="4" w:space="0" w:color="auto"/>
              <w:bottom w:val="single" w:sz="8" w:space="0" w:color="000000"/>
              <w:right w:val="single" w:sz="4" w:space="0" w:color="auto"/>
            </w:tcBorders>
            <w:shd w:val="clear" w:color="auto" w:fill="auto"/>
          </w:tcPr>
          <w:p w14:paraId="41E726D5" w14:textId="77777777" w:rsidR="00DF61BC" w:rsidRPr="00C94C33" w:rsidRDefault="00DF61BC" w:rsidP="001542C5">
            <w:pPr>
              <w:pStyle w:val="TableHeading"/>
            </w:pPr>
          </w:p>
        </w:tc>
        <w:tc>
          <w:tcPr>
            <w:tcW w:w="1535" w:type="dxa"/>
            <w:tcBorders>
              <w:top w:val="single" w:sz="8" w:space="0" w:color="000000"/>
              <w:left w:val="single" w:sz="4" w:space="0" w:color="auto"/>
              <w:bottom w:val="single" w:sz="8" w:space="0" w:color="000000"/>
              <w:right w:val="single" w:sz="4" w:space="0" w:color="auto"/>
            </w:tcBorders>
            <w:shd w:val="clear" w:color="auto" w:fill="auto"/>
          </w:tcPr>
          <w:p w14:paraId="5BC98D86" w14:textId="77777777" w:rsidR="00DF61BC" w:rsidRPr="00C94C33" w:rsidRDefault="00DF61BC" w:rsidP="001542C5">
            <w:pPr>
              <w:pStyle w:val="TableHeading"/>
            </w:pPr>
          </w:p>
        </w:tc>
      </w:tr>
      <w:tr w:rsidR="00DF61BC" w:rsidRPr="00C94C33" w14:paraId="537835F0" w14:textId="77777777" w:rsidTr="001542C5">
        <w:trPr>
          <w:trHeight w:hRule="exact" w:val="305"/>
        </w:trPr>
        <w:tc>
          <w:tcPr>
            <w:tcW w:w="2378" w:type="dxa"/>
            <w:tcBorders>
              <w:top w:val="single" w:sz="8" w:space="0" w:color="000000"/>
              <w:left w:val="single" w:sz="4" w:space="0" w:color="auto"/>
              <w:bottom w:val="single" w:sz="8" w:space="0" w:color="000000"/>
              <w:right w:val="single" w:sz="6" w:space="0" w:color="000000"/>
            </w:tcBorders>
            <w:shd w:val="clear" w:color="auto" w:fill="auto"/>
          </w:tcPr>
          <w:p w14:paraId="6AAA0C26" w14:textId="77777777" w:rsidR="00DF61BC" w:rsidRPr="00C94C33" w:rsidRDefault="00DF61BC" w:rsidP="001542C5">
            <w:pPr>
              <w:pStyle w:val="Tabletext"/>
            </w:pPr>
            <w:r w:rsidRPr="00C94C33">
              <w:t>TAS-102</w:t>
            </w:r>
          </w:p>
        </w:tc>
        <w:tc>
          <w:tcPr>
            <w:tcW w:w="1080" w:type="dxa"/>
            <w:tcBorders>
              <w:top w:val="single" w:sz="8" w:space="0" w:color="000000"/>
              <w:left w:val="single" w:sz="6" w:space="0" w:color="000000"/>
              <w:bottom w:val="single" w:sz="8" w:space="0" w:color="000000"/>
              <w:right w:val="single" w:sz="4" w:space="0" w:color="auto"/>
            </w:tcBorders>
            <w:shd w:val="clear" w:color="auto" w:fill="auto"/>
          </w:tcPr>
          <w:p w14:paraId="18A10C49" w14:textId="77777777" w:rsidR="00DF61BC" w:rsidRPr="00C94C33" w:rsidRDefault="00DF61BC" w:rsidP="001542C5">
            <w:pPr>
              <w:pStyle w:val="Tabletext"/>
              <w:jc w:val="center"/>
            </w:pPr>
            <w:r w:rsidRPr="00C94C33">
              <w:t>528</w:t>
            </w:r>
          </w:p>
        </w:tc>
        <w:tc>
          <w:tcPr>
            <w:tcW w:w="1533" w:type="dxa"/>
            <w:tcBorders>
              <w:top w:val="single" w:sz="8" w:space="0" w:color="000000"/>
              <w:left w:val="single" w:sz="4" w:space="0" w:color="auto"/>
              <w:bottom w:val="single" w:sz="8" w:space="0" w:color="000000"/>
              <w:right w:val="single" w:sz="4" w:space="0" w:color="auto"/>
            </w:tcBorders>
            <w:shd w:val="clear" w:color="auto" w:fill="auto"/>
          </w:tcPr>
          <w:p w14:paraId="7561175F" w14:textId="77777777" w:rsidR="00DF61BC" w:rsidRPr="00C94C33" w:rsidRDefault="00DF61BC" w:rsidP="001542C5">
            <w:pPr>
              <w:pStyle w:val="Tabletext"/>
              <w:jc w:val="center"/>
            </w:pPr>
            <w:r w:rsidRPr="00C94C33">
              <w:t>113 (21.4)</w:t>
            </w:r>
          </w:p>
        </w:tc>
        <w:tc>
          <w:tcPr>
            <w:tcW w:w="1536" w:type="dxa"/>
            <w:tcBorders>
              <w:top w:val="single" w:sz="8" w:space="0" w:color="000000"/>
              <w:left w:val="single" w:sz="4" w:space="0" w:color="auto"/>
              <w:bottom w:val="single" w:sz="8" w:space="0" w:color="000000"/>
              <w:right w:val="single" w:sz="4" w:space="0" w:color="auto"/>
            </w:tcBorders>
            <w:shd w:val="clear" w:color="auto" w:fill="auto"/>
          </w:tcPr>
          <w:p w14:paraId="28CA82F6" w14:textId="77777777" w:rsidR="00DF61BC" w:rsidRPr="00C94C33" w:rsidRDefault="00DF61BC" w:rsidP="001542C5">
            <w:pPr>
              <w:pStyle w:val="Tabletext"/>
              <w:jc w:val="center"/>
            </w:pPr>
            <w:r w:rsidRPr="00C94C33">
              <w:t>181 (34.3)</w:t>
            </w:r>
          </w:p>
        </w:tc>
        <w:tc>
          <w:tcPr>
            <w:tcW w:w="1534" w:type="dxa"/>
            <w:tcBorders>
              <w:top w:val="single" w:sz="8" w:space="0" w:color="000000"/>
              <w:left w:val="single" w:sz="4" w:space="0" w:color="auto"/>
              <w:bottom w:val="single" w:sz="8" w:space="0" w:color="000000"/>
              <w:right w:val="single" w:sz="4" w:space="0" w:color="auto"/>
            </w:tcBorders>
            <w:shd w:val="clear" w:color="auto" w:fill="auto"/>
          </w:tcPr>
          <w:p w14:paraId="7C0EDD1F" w14:textId="77777777" w:rsidR="00DF61BC" w:rsidRPr="00C94C33" w:rsidRDefault="00DF61BC" w:rsidP="001542C5">
            <w:pPr>
              <w:pStyle w:val="Tabletext"/>
              <w:jc w:val="center"/>
            </w:pPr>
            <w:r w:rsidRPr="00C94C33">
              <w:t>98 (18.6)</w:t>
            </w:r>
          </w:p>
        </w:tc>
        <w:tc>
          <w:tcPr>
            <w:tcW w:w="1535" w:type="dxa"/>
            <w:tcBorders>
              <w:top w:val="single" w:sz="8" w:space="0" w:color="000000"/>
              <w:left w:val="single" w:sz="4" w:space="0" w:color="auto"/>
              <w:bottom w:val="single" w:sz="8" w:space="0" w:color="000000"/>
              <w:right w:val="single" w:sz="4" w:space="0" w:color="auto"/>
            </w:tcBorders>
            <w:shd w:val="clear" w:color="auto" w:fill="auto"/>
          </w:tcPr>
          <w:p w14:paraId="6145F295" w14:textId="77777777" w:rsidR="00DF61BC" w:rsidRPr="00C94C33" w:rsidRDefault="00DF61BC" w:rsidP="001542C5">
            <w:pPr>
              <w:pStyle w:val="Tabletext"/>
              <w:jc w:val="center"/>
            </w:pPr>
            <w:r w:rsidRPr="00C94C33">
              <w:t>15 (2.8)</w:t>
            </w:r>
          </w:p>
        </w:tc>
      </w:tr>
      <w:tr w:rsidR="00DF61BC" w:rsidRPr="00C94C33" w14:paraId="3EADDDFE" w14:textId="77777777" w:rsidTr="001542C5">
        <w:trPr>
          <w:trHeight w:hRule="exact" w:val="305"/>
        </w:trPr>
        <w:tc>
          <w:tcPr>
            <w:tcW w:w="2378" w:type="dxa"/>
            <w:tcBorders>
              <w:top w:val="single" w:sz="8" w:space="0" w:color="000000"/>
              <w:left w:val="single" w:sz="4" w:space="0" w:color="auto"/>
              <w:bottom w:val="single" w:sz="8" w:space="0" w:color="000000"/>
              <w:right w:val="single" w:sz="6" w:space="0" w:color="000000"/>
            </w:tcBorders>
            <w:shd w:val="clear" w:color="auto" w:fill="auto"/>
          </w:tcPr>
          <w:p w14:paraId="45BA2309" w14:textId="77777777" w:rsidR="00DF61BC" w:rsidRPr="00C94C33" w:rsidRDefault="00DF61BC" w:rsidP="001542C5">
            <w:pPr>
              <w:pStyle w:val="Tabletext"/>
            </w:pPr>
            <w:r w:rsidRPr="00C94C33">
              <w:lastRenderedPageBreak/>
              <w:t>Placebo</w:t>
            </w:r>
          </w:p>
        </w:tc>
        <w:tc>
          <w:tcPr>
            <w:tcW w:w="1080" w:type="dxa"/>
            <w:tcBorders>
              <w:top w:val="single" w:sz="8" w:space="0" w:color="000000"/>
              <w:left w:val="single" w:sz="6" w:space="0" w:color="000000"/>
              <w:bottom w:val="single" w:sz="8" w:space="0" w:color="000000"/>
              <w:right w:val="single" w:sz="4" w:space="0" w:color="auto"/>
            </w:tcBorders>
            <w:shd w:val="clear" w:color="auto" w:fill="auto"/>
          </w:tcPr>
          <w:p w14:paraId="10DEEADC" w14:textId="77777777" w:rsidR="00DF61BC" w:rsidRPr="00C94C33" w:rsidRDefault="00DF61BC" w:rsidP="001542C5">
            <w:pPr>
              <w:pStyle w:val="Tabletext"/>
              <w:jc w:val="center"/>
            </w:pPr>
            <w:r w:rsidRPr="00C94C33">
              <w:t>263</w:t>
            </w:r>
          </w:p>
        </w:tc>
        <w:tc>
          <w:tcPr>
            <w:tcW w:w="1533" w:type="dxa"/>
            <w:tcBorders>
              <w:top w:val="single" w:sz="8" w:space="0" w:color="000000"/>
              <w:left w:val="single" w:sz="4" w:space="0" w:color="auto"/>
              <w:bottom w:val="single" w:sz="8" w:space="0" w:color="000000"/>
              <w:right w:val="single" w:sz="4" w:space="0" w:color="auto"/>
            </w:tcBorders>
            <w:shd w:val="clear" w:color="auto" w:fill="auto"/>
          </w:tcPr>
          <w:p w14:paraId="52E4C48D" w14:textId="77777777" w:rsidR="00DF61BC" w:rsidRPr="00C94C33" w:rsidRDefault="00DF61BC" w:rsidP="001542C5">
            <w:pPr>
              <w:pStyle w:val="Tabletext"/>
              <w:jc w:val="center"/>
            </w:pPr>
            <w:r w:rsidRPr="00C94C33">
              <w:t>12 (4.6)</w:t>
            </w:r>
          </w:p>
        </w:tc>
        <w:tc>
          <w:tcPr>
            <w:tcW w:w="1536" w:type="dxa"/>
            <w:tcBorders>
              <w:top w:val="single" w:sz="8" w:space="0" w:color="000000"/>
              <w:left w:val="single" w:sz="4" w:space="0" w:color="auto"/>
              <w:bottom w:val="single" w:sz="8" w:space="0" w:color="000000"/>
              <w:right w:val="single" w:sz="4" w:space="0" w:color="auto"/>
            </w:tcBorders>
            <w:shd w:val="clear" w:color="auto" w:fill="auto"/>
          </w:tcPr>
          <w:p w14:paraId="2D552BC4" w14:textId="77777777" w:rsidR="00DF61BC" w:rsidRPr="00C94C33" w:rsidRDefault="00DF61BC" w:rsidP="001542C5">
            <w:pPr>
              <w:pStyle w:val="Tabletext"/>
              <w:jc w:val="center"/>
            </w:pPr>
            <w:r w:rsidRPr="00C94C33">
              <w:t>0</w:t>
            </w:r>
          </w:p>
        </w:tc>
        <w:tc>
          <w:tcPr>
            <w:tcW w:w="1534" w:type="dxa"/>
            <w:tcBorders>
              <w:top w:val="single" w:sz="8" w:space="0" w:color="000000"/>
              <w:left w:val="single" w:sz="4" w:space="0" w:color="auto"/>
              <w:bottom w:val="single" w:sz="8" w:space="0" w:color="000000"/>
              <w:right w:val="single" w:sz="4" w:space="0" w:color="auto"/>
            </w:tcBorders>
            <w:shd w:val="clear" w:color="auto" w:fill="auto"/>
          </w:tcPr>
          <w:p w14:paraId="377CD02D" w14:textId="77777777" w:rsidR="00DF61BC" w:rsidRPr="00C94C33" w:rsidRDefault="00DF61BC" w:rsidP="001542C5">
            <w:pPr>
              <w:pStyle w:val="Tabletext"/>
              <w:jc w:val="center"/>
            </w:pPr>
            <w:r w:rsidRPr="00C94C33">
              <w:t>0</w:t>
            </w:r>
          </w:p>
        </w:tc>
        <w:tc>
          <w:tcPr>
            <w:tcW w:w="1535" w:type="dxa"/>
            <w:tcBorders>
              <w:top w:val="single" w:sz="8" w:space="0" w:color="000000"/>
              <w:left w:val="single" w:sz="4" w:space="0" w:color="auto"/>
              <w:bottom w:val="single" w:sz="8" w:space="0" w:color="000000"/>
              <w:right w:val="single" w:sz="4" w:space="0" w:color="auto"/>
            </w:tcBorders>
            <w:shd w:val="clear" w:color="auto" w:fill="auto"/>
          </w:tcPr>
          <w:p w14:paraId="4A4B1D3F" w14:textId="77777777" w:rsidR="00DF61BC" w:rsidRPr="00C94C33" w:rsidRDefault="00DF61BC" w:rsidP="001542C5">
            <w:pPr>
              <w:pStyle w:val="Tabletext"/>
              <w:jc w:val="center"/>
            </w:pPr>
            <w:r w:rsidRPr="00C94C33">
              <w:t>0</w:t>
            </w:r>
          </w:p>
        </w:tc>
      </w:tr>
      <w:tr w:rsidR="00DF61BC" w:rsidRPr="00C94C33" w14:paraId="7838CC67" w14:textId="77777777" w:rsidTr="000E0A49">
        <w:trPr>
          <w:trHeight w:hRule="exact" w:val="305"/>
        </w:trPr>
        <w:tc>
          <w:tcPr>
            <w:tcW w:w="2378" w:type="dxa"/>
            <w:tcBorders>
              <w:top w:val="single" w:sz="8" w:space="0" w:color="000000"/>
              <w:left w:val="single" w:sz="4" w:space="0" w:color="auto"/>
              <w:bottom w:val="single" w:sz="8" w:space="0" w:color="000000"/>
              <w:right w:val="single" w:sz="6" w:space="0" w:color="000000"/>
            </w:tcBorders>
            <w:shd w:val="clear" w:color="auto" w:fill="auto"/>
          </w:tcPr>
          <w:p w14:paraId="2F2A2687" w14:textId="2CE02EB6" w:rsidR="00DF61BC" w:rsidRPr="00C94C33" w:rsidRDefault="00DF61BC" w:rsidP="001542C5">
            <w:pPr>
              <w:pStyle w:val="TableHeading"/>
            </w:pPr>
            <w:r w:rsidRPr="00C94C33">
              <w:t>Neutro</w:t>
            </w:r>
            <w:r w:rsidR="00B50F67">
              <w:t>paenia</w:t>
            </w:r>
          </w:p>
        </w:tc>
        <w:tc>
          <w:tcPr>
            <w:tcW w:w="1080" w:type="dxa"/>
            <w:tcBorders>
              <w:top w:val="single" w:sz="8" w:space="0" w:color="000000"/>
              <w:left w:val="single" w:sz="6" w:space="0" w:color="000000"/>
              <w:bottom w:val="single" w:sz="8" w:space="0" w:color="000000"/>
              <w:right w:val="single" w:sz="4" w:space="0" w:color="auto"/>
            </w:tcBorders>
            <w:shd w:val="clear" w:color="auto" w:fill="auto"/>
          </w:tcPr>
          <w:p w14:paraId="7F14C6EE" w14:textId="77777777" w:rsidR="00DF61BC" w:rsidRPr="00C94C33" w:rsidRDefault="00DF61BC" w:rsidP="001542C5">
            <w:pPr>
              <w:pStyle w:val="TableHeading"/>
            </w:pPr>
          </w:p>
        </w:tc>
        <w:tc>
          <w:tcPr>
            <w:tcW w:w="1533" w:type="dxa"/>
            <w:tcBorders>
              <w:top w:val="single" w:sz="8" w:space="0" w:color="000000"/>
              <w:left w:val="single" w:sz="4" w:space="0" w:color="auto"/>
              <w:bottom w:val="single" w:sz="8" w:space="0" w:color="000000"/>
              <w:right w:val="single" w:sz="4" w:space="0" w:color="auto"/>
            </w:tcBorders>
            <w:shd w:val="clear" w:color="auto" w:fill="auto"/>
          </w:tcPr>
          <w:p w14:paraId="5B209A03" w14:textId="77777777" w:rsidR="00DF61BC" w:rsidRPr="00C94C33" w:rsidRDefault="00DF61BC" w:rsidP="001542C5">
            <w:pPr>
              <w:pStyle w:val="TableHeading"/>
            </w:pPr>
          </w:p>
        </w:tc>
        <w:tc>
          <w:tcPr>
            <w:tcW w:w="1536" w:type="dxa"/>
            <w:tcBorders>
              <w:top w:val="single" w:sz="8" w:space="0" w:color="000000"/>
              <w:left w:val="single" w:sz="4" w:space="0" w:color="auto"/>
              <w:bottom w:val="single" w:sz="8" w:space="0" w:color="000000"/>
              <w:right w:val="single" w:sz="4" w:space="0" w:color="auto"/>
            </w:tcBorders>
            <w:shd w:val="clear" w:color="auto" w:fill="auto"/>
          </w:tcPr>
          <w:p w14:paraId="0CC1412E" w14:textId="77777777" w:rsidR="00DF61BC" w:rsidRPr="00C94C33" w:rsidRDefault="00DF61BC" w:rsidP="001542C5">
            <w:pPr>
              <w:pStyle w:val="TableHeading"/>
            </w:pPr>
          </w:p>
        </w:tc>
        <w:tc>
          <w:tcPr>
            <w:tcW w:w="1534" w:type="dxa"/>
            <w:tcBorders>
              <w:top w:val="single" w:sz="8" w:space="0" w:color="000000"/>
              <w:left w:val="single" w:sz="4" w:space="0" w:color="auto"/>
              <w:bottom w:val="single" w:sz="8" w:space="0" w:color="000000"/>
              <w:right w:val="single" w:sz="4" w:space="0" w:color="auto"/>
            </w:tcBorders>
            <w:shd w:val="clear" w:color="auto" w:fill="auto"/>
          </w:tcPr>
          <w:p w14:paraId="6CEE3E40" w14:textId="77777777" w:rsidR="00DF61BC" w:rsidRPr="00C94C33" w:rsidRDefault="00DF61BC" w:rsidP="001542C5">
            <w:pPr>
              <w:pStyle w:val="TableHeading"/>
            </w:pPr>
          </w:p>
        </w:tc>
        <w:tc>
          <w:tcPr>
            <w:tcW w:w="1535" w:type="dxa"/>
            <w:tcBorders>
              <w:top w:val="single" w:sz="8" w:space="0" w:color="000000"/>
              <w:left w:val="single" w:sz="4" w:space="0" w:color="auto"/>
              <w:bottom w:val="single" w:sz="8" w:space="0" w:color="000000"/>
              <w:right w:val="single" w:sz="4" w:space="0" w:color="auto"/>
            </w:tcBorders>
            <w:shd w:val="clear" w:color="auto" w:fill="auto"/>
          </w:tcPr>
          <w:p w14:paraId="0AD71477" w14:textId="77777777" w:rsidR="00DF61BC" w:rsidRPr="00C94C33" w:rsidRDefault="00DF61BC" w:rsidP="001542C5">
            <w:pPr>
              <w:pStyle w:val="TableHeading"/>
            </w:pPr>
          </w:p>
        </w:tc>
      </w:tr>
      <w:tr w:rsidR="00DF61BC" w:rsidRPr="00C94C33" w14:paraId="79D2A55F" w14:textId="77777777" w:rsidTr="001542C5">
        <w:trPr>
          <w:trHeight w:hRule="exact" w:val="305"/>
        </w:trPr>
        <w:tc>
          <w:tcPr>
            <w:tcW w:w="2378" w:type="dxa"/>
            <w:tcBorders>
              <w:top w:val="single" w:sz="8" w:space="0" w:color="000000"/>
              <w:left w:val="single" w:sz="4" w:space="0" w:color="auto"/>
              <w:bottom w:val="single" w:sz="8" w:space="0" w:color="000000"/>
              <w:right w:val="single" w:sz="6" w:space="0" w:color="000000"/>
            </w:tcBorders>
            <w:shd w:val="clear" w:color="auto" w:fill="auto"/>
          </w:tcPr>
          <w:p w14:paraId="36068DF2" w14:textId="77777777" w:rsidR="00DF61BC" w:rsidRPr="00C94C33" w:rsidRDefault="00DF61BC" w:rsidP="001542C5">
            <w:pPr>
              <w:pStyle w:val="Tabletext"/>
            </w:pPr>
            <w:r w:rsidRPr="00C94C33">
              <w:t>TAS-102</w:t>
            </w:r>
          </w:p>
        </w:tc>
        <w:tc>
          <w:tcPr>
            <w:tcW w:w="1080" w:type="dxa"/>
            <w:tcBorders>
              <w:top w:val="single" w:sz="8" w:space="0" w:color="000000"/>
              <w:left w:val="single" w:sz="6" w:space="0" w:color="000000"/>
              <w:bottom w:val="single" w:sz="8" w:space="0" w:color="000000"/>
              <w:right w:val="single" w:sz="4" w:space="0" w:color="auto"/>
            </w:tcBorders>
            <w:shd w:val="clear" w:color="auto" w:fill="auto"/>
          </w:tcPr>
          <w:p w14:paraId="34804093" w14:textId="77777777" w:rsidR="00DF61BC" w:rsidRPr="00C94C33" w:rsidRDefault="00DF61BC" w:rsidP="001542C5">
            <w:pPr>
              <w:pStyle w:val="Tabletext"/>
              <w:jc w:val="center"/>
            </w:pPr>
            <w:r w:rsidRPr="00C94C33">
              <w:t>528</w:t>
            </w:r>
          </w:p>
        </w:tc>
        <w:tc>
          <w:tcPr>
            <w:tcW w:w="1533" w:type="dxa"/>
            <w:tcBorders>
              <w:top w:val="single" w:sz="8" w:space="0" w:color="000000"/>
              <w:left w:val="single" w:sz="4" w:space="0" w:color="auto"/>
              <w:bottom w:val="single" w:sz="8" w:space="0" w:color="000000"/>
              <w:right w:val="single" w:sz="4" w:space="0" w:color="auto"/>
            </w:tcBorders>
            <w:shd w:val="clear" w:color="auto" w:fill="auto"/>
          </w:tcPr>
          <w:p w14:paraId="373A2211" w14:textId="77777777" w:rsidR="00DF61BC" w:rsidRPr="00C94C33" w:rsidRDefault="00DF61BC" w:rsidP="001542C5">
            <w:pPr>
              <w:pStyle w:val="Tabletext"/>
              <w:jc w:val="center"/>
            </w:pPr>
            <w:r w:rsidRPr="00C94C33">
              <w:t>36 (6.8)</w:t>
            </w:r>
          </w:p>
        </w:tc>
        <w:tc>
          <w:tcPr>
            <w:tcW w:w="1536" w:type="dxa"/>
            <w:tcBorders>
              <w:top w:val="single" w:sz="8" w:space="0" w:color="000000"/>
              <w:left w:val="single" w:sz="4" w:space="0" w:color="auto"/>
              <w:bottom w:val="single" w:sz="8" w:space="0" w:color="000000"/>
              <w:right w:val="single" w:sz="4" w:space="0" w:color="auto"/>
            </w:tcBorders>
            <w:shd w:val="clear" w:color="auto" w:fill="auto"/>
          </w:tcPr>
          <w:p w14:paraId="4C39B7C6" w14:textId="77777777" w:rsidR="00DF61BC" w:rsidRPr="00C94C33" w:rsidRDefault="00DF61BC" w:rsidP="001542C5">
            <w:pPr>
              <w:pStyle w:val="Tabletext"/>
              <w:jc w:val="center"/>
            </w:pPr>
            <w:r w:rsidRPr="00C94C33">
              <w:t>117 (22.2)</w:t>
            </w:r>
          </w:p>
        </w:tc>
        <w:tc>
          <w:tcPr>
            <w:tcW w:w="1534" w:type="dxa"/>
            <w:tcBorders>
              <w:top w:val="single" w:sz="8" w:space="0" w:color="000000"/>
              <w:left w:val="single" w:sz="4" w:space="0" w:color="auto"/>
              <w:bottom w:val="single" w:sz="8" w:space="0" w:color="000000"/>
              <w:right w:val="single" w:sz="4" w:space="0" w:color="auto"/>
            </w:tcBorders>
            <w:shd w:val="clear" w:color="auto" w:fill="auto"/>
          </w:tcPr>
          <w:p w14:paraId="5D4BF959" w14:textId="77777777" w:rsidR="00DF61BC" w:rsidRPr="00C94C33" w:rsidRDefault="00DF61BC" w:rsidP="001542C5">
            <w:pPr>
              <w:pStyle w:val="Tabletext"/>
              <w:jc w:val="center"/>
            </w:pPr>
            <w:r w:rsidRPr="00C94C33">
              <w:t>140 (26.5)</w:t>
            </w:r>
          </w:p>
        </w:tc>
        <w:tc>
          <w:tcPr>
            <w:tcW w:w="1535" w:type="dxa"/>
            <w:tcBorders>
              <w:top w:val="single" w:sz="8" w:space="0" w:color="000000"/>
              <w:left w:val="single" w:sz="4" w:space="0" w:color="auto"/>
              <w:bottom w:val="single" w:sz="8" w:space="0" w:color="000000"/>
              <w:right w:val="single" w:sz="4" w:space="0" w:color="auto"/>
            </w:tcBorders>
            <w:shd w:val="clear" w:color="auto" w:fill="auto"/>
          </w:tcPr>
          <w:p w14:paraId="46A9C40B" w14:textId="77777777" w:rsidR="00DF61BC" w:rsidRPr="00C94C33" w:rsidRDefault="00DF61BC" w:rsidP="001542C5">
            <w:pPr>
              <w:pStyle w:val="Tabletext"/>
              <w:jc w:val="center"/>
            </w:pPr>
            <w:r w:rsidRPr="00C94C33">
              <w:t>60 (11.4)</w:t>
            </w:r>
          </w:p>
        </w:tc>
      </w:tr>
      <w:tr w:rsidR="00DF61BC" w:rsidRPr="00C94C33" w14:paraId="404CDCB5" w14:textId="77777777" w:rsidTr="001542C5">
        <w:trPr>
          <w:trHeight w:hRule="exact" w:val="306"/>
        </w:trPr>
        <w:tc>
          <w:tcPr>
            <w:tcW w:w="2378" w:type="dxa"/>
            <w:tcBorders>
              <w:top w:val="single" w:sz="8" w:space="0" w:color="000000"/>
              <w:left w:val="single" w:sz="4" w:space="0" w:color="auto"/>
              <w:bottom w:val="single" w:sz="8" w:space="0" w:color="000000"/>
              <w:right w:val="single" w:sz="6" w:space="0" w:color="000000"/>
            </w:tcBorders>
            <w:shd w:val="clear" w:color="auto" w:fill="auto"/>
          </w:tcPr>
          <w:p w14:paraId="211F2360" w14:textId="77777777" w:rsidR="00DF61BC" w:rsidRPr="00C94C33" w:rsidRDefault="00DF61BC" w:rsidP="001542C5">
            <w:pPr>
              <w:pStyle w:val="Tabletext"/>
            </w:pPr>
            <w:r w:rsidRPr="00C94C33">
              <w:t>Placebo</w:t>
            </w:r>
          </w:p>
        </w:tc>
        <w:tc>
          <w:tcPr>
            <w:tcW w:w="1080" w:type="dxa"/>
            <w:tcBorders>
              <w:top w:val="single" w:sz="8" w:space="0" w:color="000000"/>
              <w:left w:val="single" w:sz="6" w:space="0" w:color="000000"/>
              <w:bottom w:val="single" w:sz="8" w:space="0" w:color="000000"/>
              <w:right w:val="single" w:sz="4" w:space="0" w:color="auto"/>
            </w:tcBorders>
            <w:shd w:val="clear" w:color="auto" w:fill="auto"/>
          </w:tcPr>
          <w:p w14:paraId="429CE913" w14:textId="77777777" w:rsidR="00DF61BC" w:rsidRPr="00C94C33" w:rsidRDefault="00DF61BC" w:rsidP="001542C5">
            <w:pPr>
              <w:pStyle w:val="Tabletext"/>
              <w:jc w:val="center"/>
            </w:pPr>
            <w:r w:rsidRPr="00C94C33">
              <w:t>263</w:t>
            </w:r>
          </w:p>
        </w:tc>
        <w:tc>
          <w:tcPr>
            <w:tcW w:w="1533" w:type="dxa"/>
            <w:tcBorders>
              <w:top w:val="single" w:sz="8" w:space="0" w:color="000000"/>
              <w:left w:val="single" w:sz="4" w:space="0" w:color="auto"/>
              <w:bottom w:val="single" w:sz="8" w:space="0" w:color="000000"/>
              <w:right w:val="single" w:sz="4" w:space="0" w:color="auto"/>
            </w:tcBorders>
            <w:shd w:val="clear" w:color="auto" w:fill="auto"/>
          </w:tcPr>
          <w:p w14:paraId="18A65785" w14:textId="77777777" w:rsidR="00DF61BC" w:rsidRPr="00C94C33" w:rsidRDefault="00DF61BC" w:rsidP="001542C5">
            <w:pPr>
              <w:pStyle w:val="Tabletext"/>
              <w:jc w:val="center"/>
            </w:pPr>
            <w:r w:rsidRPr="00C94C33">
              <w:t>1 (0.4)</w:t>
            </w:r>
          </w:p>
        </w:tc>
        <w:tc>
          <w:tcPr>
            <w:tcW w:w="1536" w:type="dxa"/>
            <w:tcBorders>
              <w:top w:val="single" w:sz="8" w:space="0" w:color="000000"/>
              <w:left w:val="single" w:sz="4" w:space="0" w:color="auto"/>
              <w:bottom w:val="single" w:sz="8" w:space="0" w:color="000000"/>
              <w:right w:val="single" w:sz="4" w:space="0" w:color="auto"/>
            </w:tcBorders>
            <w:shd w:val="clear" w:color="auto" w:fill="auto"/>
          </w:tcPr>
          <w:p w14:paraId="40784615" w14:textId="77777777" w:rsidR="00DF61BC" w:rsidRPr="00C94C33" w:rsidRDefault="00DF61BC" w:rsidP="001542C5">
            <w:pPr>
              <w:pStyle w:val="Tabletext"/>
              <w:jc w:val="center"/>
            </w:pPr>
            <w:r w:rsidRPr="00C94C33">
              <w:t>1 (0.4)</w:t>
            </w:r>
          </w:p>
        </w:tc>
        <w:tc>
          <w:tcPr>
            <w:tcW w:w="1534" w:type="dxa"/>
            <w:tcBorders>
              <w:top w:val="single" w:sz="8" w:space="0" w:color="000000"/>
              <w:left w:val="single" w:sz="4" w:space="0" w:color="auto"/>
              <w:bottom w:val="single" w:sz="8" w:space="0" w:color="000000"/>
              <w:right w:val="single" w:sz="4" w:space="0" w:color="auto"/>
            </w:tcBorders>
            <w:shd w:val="clear" w:color="auto" w:fill="auto"/>
          </w:tcPr>
          <w:p w14:paraId="61257961" w14:textId="77777777" w:rsidR="00DF61BC" w:rsidRPr="00C94C33" w:rsidRDefault="00DF61BC" w:rsidP="001542C5">
            <w:pPr>
              <w:pStyle w:val="Tabletext"/>
              <w:jc w:val="center"/>
            </w:pPr>
            <w:r w:rsidRPr="00C94C33">
              <w:t>0</w:t>
            </w:r>
          </w:p>
        </w:tc>
        <w:tc>
          <w:tcPr>
            <w:tcW w:w="1535" w:type="dxa"/>
            <w:tcBorders>
              <w:top w:val="single" w:sz="8" w:space="0" w:color="000000"/>
              <w:left w:val="single" w:sz="4" w:space="0" w:color="auto"/>
              <w:bottom w:val="single" w:sz="8" w:space="0" w:color="000000"/>
              <w:right w:val="single" w:sz="4" w:space="0" w:color="auto"/>
            </w:tcBorders>
            <w:shd w:val="clear" w:color="auto" w:fill="auto"/>
          </w:tcPr>
          <w:p w14:paraId="75AE71B3" w14:textId="77777777" w:rsidR="00DF61BC" w:rsidRPr="00C94C33" w:rsidRDefault="00DF61BC" w:rsidP="001542C5">
            <w:pPr>
              <w:pStyle w:val="Tabletext"/>
              <w:jc w:val="center"/>
            </w:pPr>
            <w:r w:rsidRPr="00C94C33">
              <w:t>0</w:t>
            </w:r>
          </w:p>
        </w:tc>
      </w:tr>
      <w:tr w:rsidR="00DF61BC" w:rsidRPr="00C94C33" w14:paraId="22101EF1" w14:textId="77777777" w:rsidTr="000E0A49">
        <w:trPr>
          <w:trHeight w:hRule="exact" w:val="305"/>
        </w:trPr>
        <w:tc>
          <w:tcPr>
            <w:tcW w:w="2378" w:type="dxa"/>
            <w:tcBorders>
              <w:top w:val="single" w:sz="8" w:space="0" w:color="000000"/>
              <w:left w:val="single" w:sz="4" w:space="0" w:color="auto"/>
              <w:bottom w:val="single" w:sz="8" w:space="0" w:color="000000"/>
              <w:right w:val="single" w:sz="6" w:space="0" w:color="000000"/>
            </w:tcBorders>
            <w:shd w:val="clear" w:color="auto" w:fill="auto"/>
          </w:tcPr>
          <w:p w14:paraId="5FBBEF2F" w14:textId="2F6CD97B" w:rsidR="00DF61BC" w:rsidRPr="00C94C33" w:rsidRDefault="00DF61BC" w:rsidP="001542C5">
            <w:pPr>
              <w:pStyle w:val="TableHeading"/>
            </w:pPr>
            <w:r w:rsidRPr="00C94C33">
              <w:t>Lymphocyto</w:t>
            </w:r>
            <w:r w:rsidR="00B50F67">
              <w:t>paenia</w:t>
            </w:r>
          </w:p>
        </w:tc>
        <w:tc>
          <w:tcPr>
            <w:tcW w:w="1080" w:type="dxa"/>
            <w:tcBorders>
              <w:top w:val="single" w:sz="8" w:space="0" w:color="000000"/>
              <w:left w:val="single" w:sz="6" w:space="0" w:color="000000"/>
              <w:bottom w:val="single" w:sz="8" w:space="0" w:color="000000"/>
              <w:right w:val="single" w:sz="4" w:space="0" w:color="auto"/>
            </w:tcBorders>
            <w:shd w:val="clear" w:color="auto" w:fill="auto"/>
          </w:tcPr>
          <w:p w14:paraId="47D3B956" w14:textId="77777777" w:rsidR="00DF61BC" w:rsidRPr="00C94C33" w:rsidRDefault="00DF61BC" w:rsidP="001542C5">
            <w:pPr>
              <w:pStyle w:val="TableHeading"/>
            </w:pPr>
          </w:p>
        </w:tc>
        <w:tc>
          <w:tcPr>
            <w:tcW w:w="1533" w:type="dxa"/>
            <w:tcBorders>
              <w:top w:val="single" w:sz="8" w:space="0" w:color="000000"/>
              <w:left w:val="single" w:sz="4" w:space="0" w:color="auto"/>
              <w:bottom w:val="single" w:sz="8" w:space="0" w:color="000000"/>
              <w:right w:val="single" w:sz="4" w:space="0" w:color="auto"/>
            </w:tcBorders>
            <w:shd w:val="clear" w:color="auto" w:fill="auto"/>
          </w:tcPr>
          <w:p w14:paraId="2079FB3A" w14:textId="77777777" w:rsidR="00DF61BC" w:rsidRPr="00C94C33" w:rsidRDefault="00DF61BC" w:rsidP="001542C5">
            <w:pPr>
              <w:pStyle w:val="TableHeading"/>
            </w:pPr>
          </w:p>
        </w:tc>
        <w:tc>
          <w:tcPr>
            <w:tcW w:w="1536" w:type="dxa"/>
            <w:tcBorders>
              <w:top w:val="single" w:sz="8" w:space="0" w:color="000000"/>
              <w:left w:val="single" w:sz="4" w:space="0" w:color="auto"/>
              <w:bottom w:val="single" w:sz="8" w:space="0" w:color="000000"/>
              <w:right w:val="single" w:sz="4" w:space="0" w:color="auto"/>
            </w:tcBorders>
            <w:shd w:val="clear" w:color="auto" w:fill="auto"/>
          </w:tcPr>
          <w:p w14:paraId="02A79187" w14:textId="77777777" w:rsidR="00DF61BC" w:rsidRPr="00C94C33" w:rsidRDefault="00DF61BC" w:rsidP="001542C5">
            <w:pPr>
              <w:pStyle w:val="TableHeading"/>
            </w:pPr>
          </w:p>
        </w:tc>
        <w:tc>
          <w:tcPr>
            <w:tcW w:w="1534" w:type="dxa"/>
            <w:tcBorders>
              <w:top w:val="single" w:sz="8" w:space="0" w:color="000000"/>
              <w:left w:val="single" w:sz="4" w:space="0" w:color="auto"/>
              <w:bottom w:val="single" w:sz="8" w:space="0" w:color="000000"/>
              <w:right w:val="single" w:sz="4" w:space="0" w:color="auto"/>
            </w:tcBorders>
            <w:shd w:val="clear" w:color="auto" w:fill="auto"/>
          </w:tcPr>
          <w:p w14:paraId="71869705" w14:textId="77777777" w:rsidR="00DF61BC" w:rsidRPr="00C94C33" w:rsidRDefault="00DF61BC" w:rsidP="001542C5">
            <w:pPr>
              <w:pStyle w:val="TableHeading"/>
            </w:pPr>
          </w:p>
        </w:tc>
        <w:tc>
          <w:tcPr>
            <w:tcW w:w="1535" w:type="dxa"/>
            <w:tcBorders>
              <w:top w:val="single" w:sz="8" w:space="0" w:color="000000"/>
              <w:left w:val="single" w:sz="4" w:space="0" w:color="auto"/>
              <w:bottom w:val="single" w:sz="8" w:space="0" w:color="000000"/>
              <w:right w:val="single" w:sz="4" w:space="0" w:color="auto"/>
            </w:tcBorders>
            <w:shd w:val="clear" w:color="auto" w:fill="auto"/>
          </w:tcPr>
          <w:p w14:paraId="535C96C0" w14:textId="77777777" w:rsidR="00DF61BC" w:rsidRPr="00C94C33" w:rsidRDefault="00DF61BC" w:rsidP="001542C5">
            <w:pPr>
              <w:pStyle w:val="TableHeading"/>
            </w:pPr>
          </w:p>
        </w:tc>
      </w:tr>
      <w:tr w:rsidR="00DF61BC" w:rsidRPr="00C94C33" w14:paraId="5FFE5C68" w14:textId="77777777" w:rsidTr="001542C5">
        <w:trPr>
          <w:trHeight w:hRule="exact" w:val="305"/>
        </w:trPr>
        <w:tc>
          <w:tcPr>
            <w:tcW w:w="2378" w:type="dxa"/>
            <w:tcBorders>
              <w:top w:val="single" w:sz="8" w:space="0" w:color="000000"/>
              <w:left w:val="single" w:sz="4" w:space="0" w:color="auto"/>
              <w:bottom w:val="single" w:sz="8" w:space="0" w:color="000000"/>
              <w:right w:val="single" w:sz="6" w:space="0" w:color="000000"/>
            </w:tcBorders>
            <w:shd w:val="clear" w:color="auto" w:fill="auto"/>
          </w:tcPr>
          <w:p w14:paraId="5F7FB933" w14:textId="77777777" w:rsidR="00DF61BC" w:rsidRPr="00C94C33" w:rsidRDefault="00DF61BC" w:rsidP="001542C5">
            <w:pPr>
              <w:pStyle w:val="Tabletext"/>
            </w:pPr>
            <w:r w:rsidRPr="00C94C33">
              <w:t>TAS-102</w:t>
            </w:r>
          </w:p>
        </w:tc>
        <w:tc>
          <w:tcPr>
            <w:tcW w:w="1080" w:type="dxa"/>
            <w:tcBorders>
              <w:top w:val="single" w:sz="8" w:space="0" w:color="000000"/>
              <w:left w:val="single" w:sz="6" w:space="0" w:color="000000"/>
              <w:bottom w:val="single" w:sz="8" w:space="0" w:color="000000"/>
              <w:right w:val="single" w:sz="4" w:space="0" w:color="auto"/>
            </w:tcBorders>
            <w:shd w:val="clear" w:color="auto" w:fill="auto"/>
          </w:tcPr>
          <w:p w14:paraId="41F0B577" w14:textId="77777777" w:rsidR="00DF61BC" w:rsidRPr="00C94C33" w:rsidRDefault="00DF61BC" w:rsidP="001542C5">
            <w:pPr>
              <w:pStyle w:val="Tabletext"/>
              <w:jc w:val="center"/>
            </w:pPr>
            <w:r w:rsidRPr="00C94C33">
              <w:t>522</w:t>
            </w:r>
          </w:p>
        </w:tc>
        <w:tc>
          <w:tcPr>
            <w:tcW w:w="1533" w:type="dxa"/>
            <w:tcBorders>
              <w:top w:val="single" w:sz="8" w:space="0" w:color="000000"/>
              <w:left w:val="single" w:sz="4" w:space="0" w:color="auto"/>
              <w:bottom w:val="single" w:sz="8" w:space="0" w:color="000000"/>
              <w:right w:val="single" w:sz="4" w:space="0" w:color="auto"/>
            </w:tcBorders>
            <w:shd w:val="clear" w:color="auto" w:fill="auto"/>
          </w:tcPr>
          <w:p w14:paraId="4A6E6B33" w14:textId="77777777" w:rsidR="00DF61BC" w:rsidRPr="00C94C33" w:rsidRDefault="00DF61BC" w:rsidP="001542C5">
            <w:pPr>
              <w:pStyle w:val="Tabletext"/>
              <w:jc w:val="center"/>
            </w:pPr>
            <w:r w:rsidRPr="00C94C33">
              <w:t>101 (19.3)</w:t>
            </w:r>
          </w:p>
        </w:tc>
        <w:tc>
          <w:tcPr>
            <w:tcW w:w="1536" w:type="dxa"/>
            <w:tcBorders>
              <w:top w:val="single" w:sz="8" w:space="0" w:color="000000"/>
              <w:left w:val="single" w:sz="4" w:space="0" w:color="auto"/>
              <w:bottom w:val="single" w:sz="8" w:space="0" w:color="000000"/>
              <w:right w:val="single" w:sz="4" w:space="0" w:color="auto"/>
            </w:tcBorders>
            <w:shd w:val="clear" w:color="auto" w:fill="auto"/>
          </w:tcPr>
          <w:p w14:paraId="09135C9F" w14:textId="77777777" w:rsidR="00DF61BC" w:rsidRPr="00C94C33" w:rsidRDefault="00DF61BC" w:rsidP="001542C5">
            <w:pPr>
              <w:pStyle w:val="Tabletext"/>
              <w:jc w:val="center"/>
            </w:pPr>
            <w:r w:rsidRPr="00C94C33">
              <w:t>131 (25.1)</w:t>
            </w:r>
          </w:p>
        </w:tc>
        <w:tc>
          <w:tcPr>
            <w:tcW w:w="1534" w:type="dxa"/>
            <w:tcBorders>
              <w:top w:val="single" w:sz="8" w:space="0" w:color="000000"/>
              <w:left w:val="single" w:sz="4" w:space="0" w:color="auto"/>
              <w:bottom w:val="single" w:sz="8" w:space="0" w:color="000000"/>
              <w:right w:val="single" w:sz="4" w:space="0" w:color="auto"/>
            </w:tcBorders>
            <w:shd w:val="clear" w:color="auto" w:fill="auto"/>
          </w:tcPr>
          <w:p w14:paraId="46D4F21D" w14:textId="77777777" w:rsidR="00DF61BC" w:rsidRPr="00C94C33" w:rsidRDefault="00DF61BC" w:rsidP="001542C5">
            <w:pPr>
              <w:pStyle w:val="Tabletext"/>
              <w:jc w:val="center"/>
            </w:pPr>
            <w:r w:rsidRPr="00C94C33">
              <w:t>95 (18.2)</w:t>
            </w:r>
          </w:p>
        </w:tc>
        <w:tc>
          <w:tcPr>
            <w:tcW w:w="1535" w:type="dxa"/>
            <w:tcBorders>
              <w:top w:val="single" w:sz="8" w:space="0" w:color="000000"/>
              <w:left w:val="single" w:sz="4" w:space="0" w:color="auto"/>
              <w:bottom w:val="single" w:sz="8" w:space="0" w:color="000000"/>
              <w:right w:val="single" w:sz="4" w:space="0" w:color="auto"/>
            </w:tcBorders>
            <w:shd w:val="clear" w:color="auto" w:fill="auto"/>
          </w:tcPr>
          <w:p w14:paraId="72591EC5" w14:textId="77777777" w:rsidR="00DF61BC" w:rsidRPr="00C94C33" w:rsidRDefault="00DF61BC" w:rsidP="001542C5">
            <w:pPr>
              <w:pStyle w:val="Tabletext"/>
              <w:jc w:val="center"/>
            </w:pPr>
            <w:r w:rsidRPr="00C94C33">
              <w:t>17 (3.3)</w:t>
            </w:r>
          </w:p>
        </w:tc>
      </w:tr>
      <w:tr w:rsidR="00DF61BC" w:rsidRPr="00C94C33" w14:paraId="0A7926EC" w14:textId="77777777" w:rsidTr="001542C5">
        <w:trPr>
          <w:trHeight w:hRule="exact" w:val="305"/>
        </w:trPr>
        <w:tc>
          <w:tcPr>
            <w:tcW w:w="2378" w:type="dxa"/>
            <w:tcBorders>
              <w:top w:val="single" w:sz="8" w:space="0" w:color="000000"/>
              <w:left w:val="single" w:sz="4" w:space="0" w:color="auto"/>
              <w:bottom w:val="single" w:sz="8" w:space="0" w:color="000000"/>
              <w:right w:val="single" w:sz="6" w:space="0" w:color="000000"/>
            </w:tcBorders>
            <w:shd w:val="clear" w:color="auto" w:fill="auto"/>
          </w:tcPr>
          <w:p w14:paraId="3C2BF0E7" w14:textId="77777777" w:rsidR="00DF61BC" w:rsidRPr="00C94C33" w:rsidRDefault="00DF61BC" w:rsidP="001542C5">
            <w:pPr>
              <w:pStyle w:val="Tabletext"/>
            </w:pPr>
            <w:r w:rsidRPr="00C94C33">
              <w:t>Placebo</w:t>
            </w:r>
          </w:p>
        </w:tc>
        <w:tc>
          <w:tcPr>
            <w:tcW w:w="1080" w:type="dxa"/>
            <w:tcBorders>
              <w:top w:val="single" w:sz="8" w:space="0" w:color="000000"/>
              <w:left w:val="single" w:sz="6" w:space="0" w:color="000000"/>
              <w:bottom w:val="single" w:sz="8" w:space="0" w:color="000000"/>
              <w:right w:val="single" w:sz="4" w:space="0" w:color="auto"/>
            </w:tcBorders>
            <w:shd w:val="clear" w:color="auto" w:fill="auto"/>
          </w:tcPr>
          <w:p w14:paraId="7CC58FB4" w14:textId="77777777" w:rsidR="00DF61BC" w:rsidRPr="00C94C33" w:rsidRDefault="00DF61BC" w:rsidP="001542C5">
            <w:pPr>
              <w:pStyle w:val="Tabletext"/>
              <w:jc w:val="center"/>
            </w:pPr>
            <w:r w:rsidRPr="00C94C33">
              <w:t>262</w:t>
            </w:r>
          </w:p>
        </w:tc>
        <w:tc>
          <w:tcPr>
            <w:tcW w:w="1533" w:type="dxa"/>
            <w:tcBorders>
              <w:top w:val="single" w:sz="8" w:space="0" w:color="000000"/>
              <w:left w:val="single" w:sz="4" w:space="0" w:color="auto"/>
              <w:bottom w:val="single" w:sz="8" w:space="0" w:color="000000"/>
              <w:right w:val="single" w:sz="4" w:space="0" w:color="auto"/>
            </w:tcBorders>
            <w:shd w:val="clear" w:color="auto" w:fill="auto"/>
          </w:tcPr>
          <w:p w14:paraId="4226D8AA" w14:textId="77777777" w:rsidR="00DF61BC" w:rsidRPr="00C94C33" w:rsidRDefault="00DF61BC" w:rsidP="001542C5">
            <w:pPr>
              <w:pStyle w:val="Tabletext"/>
              <w:jc w:val="center"/>
            </w:pPr>
            <w:r w:rsidRPr="00C94C33">
              <w:t>38 (14.5)</w:t>
            </w:r>
          </w:p>
        </w:tc>
        <w:tc>
          <w:tcPr>
            <w:tcW w:w="1536" w:type="dxa"/>
            <w:tcBorders>
              <w:top w:val="single" w:sz="8" w:space="0" w:color="000000"/>
              <w:left w:val="single" w:sz="4" w:space="0" w:color="auto"/>
              <w:bottom w:val="single" w:sz="8" w:space="0" w:color="000000"/>
              <w:right w:val="single" w:sz="4" w:space="0" w:color="auto"/>
            </w:tcBorders>
            <w:shd w:val="clear" w:color="auto" w:fill="auto"/>
          </w:tcPr>
          <w:p w14:paraId="6752B75D" w14:textId="77777777" w:rsidR="00DF61BC" w:rsidRPr="00C94C33" w:rsidRDefault="00DF61BC" w:rsidP="001542C5">
            <w:pPr>
              <w:pStyle w:val="Tabletext"/>
              <w:jc w:val="center"/>
            </w:pPr>
            <w:r w:rsidRPr="00C94C33">
              <w:t>42 (16.0)</w:t>
            </w:r>
          </w:p>
        </w:tc>
        <w:tc>
          <w:tcPr>
            <w:tcW w:w="1534" w:type="dxa"/>
            <w:tcBorders>
              <w:top w:val="single" w:sz="8" w:space="0" w:color="000000"/>
              <w:left w:val="single" w:sz="4" w:space="0" w:color="auto"/>
              <w:bottom w:val="single" w:sz="8" w:space="0" w:color="000000"/>
              <w:right w:val="single" w:sz="4" w:space="0" w:color="auto"/>
            </w:tcBorders>
            <w:shd w:val="clear" w:color="auto" w:fill="auto"/>
          </w:tcPr>
          <w:p w14:paraId="6B51612B" w14:textId="77777777" w:rsidR="00DF61BC" w:rsidRPr="00C94C33" w:rsidRDefault="00DF61BC" w:rsidP="001542C5">
            <w:pPr>
              <w:pStyle w:val="Tabletext"/>
              <w:jc w:val="center"/>
            </w:pPr>
            <w:r w:rsidRPr="00C94C33">
              <w:t>24 (9.2)</w:t>
            </w:r>
          </w:p>
        </w:tc>
        <w:tc>
          <w:tcPr>
            <w:tcW w:w="1535" w:type="dxa"/>
            <w:tcBorders>
              <w:top w:val="single" w:sz="8" w:space="0" w:color="000000"/>
              <w:left w:val="single" w:sz="4" w:space="0" w:color="auto"/>
              <w:bottom w:val="single" w:sz="8" w:space="0" w:color="000000"/>
              <w:right w:val="single" w:sz="4" w:space="0" w:color="auto"/>
            </w:tcBorders>
            <w:shd w:val="clear" w:color="auto" w:fill="auto"/>
          </w:tcPr>
          <w:p w14:paraId="2C09AE86" w14:textId="77777777" w:rsidR="00DF61BC" w:rsidRPr="00C94C33" w:rsidRDefault="00DF61BC" w:rsidP="001542C5">
            <w:pPr>
              <w:pStyle w:val="Tabletext"/>
              <w:jc w:val="center"/>
            </w:pPr>
            <w:r w:rsidRPr="00C94C33">
              <w:t>2 (0.8)</w:t>
            </w:r>
          </w:p>
        </w:tc>
      </w:tr>
      <w:tr w:rsidR="00DF61BC" w:rsidRPr="00C94C33" w14:paraId="77E13EBE" w14:textId="77777777" w:rsidTr="000E0A49">
        <w:trPr>
          <w:trHeight w:hRule="exact" w:val="305"/>
        </w:trPr>
        <w:tc>
          <w:tcPr>
            <w:tcW w:w="2378" w:type="dxa"/>
            <w:tcBorders>
              <w:top w:val="single" w:sz="8" w:space="0" w:color="000000"/>
              <w:left w:val="single" w:sz="4" w:space="0" w:color="auto"/>
              <w:bottom w:val="single" w:sz="8" w:space="0" w:color="000000"/>
              <w:right w:val="single" w:sz="6" w:space="0" w:color="000000"/>
            </w:tcBorders>
            <w:shd w:val="clear" w:color="auto" w:fill="auto"/>
          </w:tcPr>
          <w:p w14:paraId="64D6CFD9" w14:textId="77777777" w:rsidR="00DF61BC" w:rsidRPr="00C94C33" w:rsidRDefault="00DF61BC" w:rsidP="001542C5">
            <w:pPr>
              <w:pStyle w:val="TableHeading"/>
            </w:pPr>
            <w:r w:rsidRPr="00C94C33">
              <w:t>Anaemia</w:t>
            </w:r>
          </w:p>
        </w:tc>
        <w:tc>
          <w:tcPr>
            <w:tcW w:w="1080" w:type="dxa"/>
            <w:tcBorders>
              <w:top w:val="single" w:sz="8" w:space="0" w:color="000000"/>
              <w:left w:val="single" w:sz="6" w:space="0" w:color="000000"/>
              <w:bottom w:val="single" w:sz="8" w:space="0" w:color="000000"/>
              <w:right w:val="single" w:sz="4" w:space="0" w:color="auto"/>
            </w:tcBorders>
            <w:shd w:val="clear" w:color="auto" w:fill="auto"/>
          </w:tcPr>
          <w:p w14:paraId="1FF0A6CE" w14:textId="77777777" w:rsidR="00DF61BC" w:rsidRPr="00C94C33" w:rsidRDefault="00DF61BC" w:rsidP="001542C5">
            <w:pPr>
              <w:pStyle w:val="TableHeading"/>
            </w:pPr>
          </w:p>
        </w:tc>
        <w:tc>
          <w:tcPr>
            <w:tcW w:w="1533" w:type="dxa"/>
            <w:tcBorders>
              <w:top w:val="single" w:sz="8" w:space="0" w:color="000000"/>
              <w:left w:val="single" w:sz="4" w:space="0" w:color="auto"/>
              <w:bottom w:val="single" w:sz="8" w:space="0" w:color="000000"/>
              <w:right w:val="single" w:sz="4" w:space="0" w:color="auto"/>
            </w:tcBorders>
            <w:shd w:val="clear" w:color="auto" w:fill="auto"/>
          </w:tcPr>
          <w:p w14:paraId="6E3BE0AF" w14:textId="77777777" w:rsidR="00DF61BC" w:rsidRPr="00C94C33" w:rsidRDefault="00DF61BC" w:rsidP="001542C5">
            <w:pPr>
              <w:pStyle w:val="TableHeading"/>
            </w:pPr>
          </w:p>
        </w:tc>
        <w:tc>
          <w:tcPr>
            <w:tcW w:w="1536" w:type="dxa"/>
            <w:tcBorders>
              <w:top w:val="single" w:sz="8" w:space="0" w:color="000000"/>
              <w:left w:val="single" w:sz="4" w:space="0" w:color="auto"/>
              <w:bottom w:val="single" w:sz="8" w:space="0" w:color="000000"/>
              <w:right w:val="single" w:sz="4" w:space="0" w:color="auto"/>
            </w:tcBorders>
            <w:shd w:val="clear" w:color="auto" w:fill="auto"/>
          </w:tcPr>
          <w:p w14:paraId="0A278E17" w14:textId="77777777" w:rsidR="00DF61BC" w:rsidRPr="00C94C33" w:rsidRDefault="00DF61BC" w:rsidP="001542C5">
            <w:pPr>
              <w:pStyle w:val="TableHeading"/>
            </w:pPr>
          </w:p>
        </w:tc>
        <w:tc>
          <w:tcPr>
            <w:tcW w:w="1534" w:type="dxa"/>
            <w:tcBorders>
              <w:top w:val="single" w:sz="8" w:space="0" w:color="000000"/>
              <w:left w:val="single" w:sz="4" w:space="0" w:color="auto"/>
              <w:bottom w:val="single" w:sz="8" w:space="0" w:color="000000"/>
              <w:right w:val="single" w:sz="4" w:space="0" w:color="auto"/>
            </w:tcBorders>
            <w:shd w:val="clear" w:color="auto" w:fill="auto"/>
          </w:tcPr>
          <w:p w14:paraId="2A82CD37" w14:textId="77777777" w:rsidR="00DF61BC" w:rsidRPr="00C94C33" w:rsidRDefault="00DF61BC" w:rsidP="001542C5">
            <w:pPr>
              <w:pStyle w:val="TableHeading"/>
            </w:pPr>
          </w:p>
        </w:tc>
        <w:tc>
          <w:tcPr>
            <w:tcW w:w="1535" w:type="dxa"/>
            <w:tcBorders>
              <w:top w:val="single" w:sz="8" w:space="0" w:color="000000"/>
              <w:left w:val="single" w:sz="4" w:space="0" w:color="auto"/>
              <w:bottom w:val="single" w:sz="8" w:space="0" w:color="000000"/>
              <w:right w:val="single" w:sz="4" w:space="0" w:color="auto"/>
            </w:tcBorders>
            <w:shd w:val="clear" w:color="auto" w:fill="auto"/>
          </w:tcPr>
          <w:p w14:paraId="77078E0B" w14:textId="77777777" w:rsidR="00DF61BC" w:rsidRPr="00C94C33" w:rsidRDefault="00DF61BC" w:rsidP="001542C5">
            <w:pPr>
              <w:pStyle w:val="TableHeading"/>
            </w:pPr>
          </w:p>
        </w:tc>
      </w:tr>
      <w:tr w:rsidR="00DF61BC" w:rsidRPr="00C94C33" w14:paraId="310DD509" w14:textId="77777777" w:rsidTr="001542C5">
        <w:trPr>
          <w:trHeight w:hRule="exact" w:val="328"/>
        </w:trPr>
        <w:tc>
          <w:tcPr>
            <w:tcW w:w="2378" w:type="dxa"/>
            <w:tcBorders>
              <w:top w:val="single" w:sz="8" w:space="0" w:color="000000"/>
              <w:left w:val="single" w:sz="4" w:space="0" w:color="auto"/>
              <w:bottom w:val="single" w:sz="8" w:space="0" w:color="000000"/>
              <w:right w:val="single" w:sz="6" w:space="0" w:color="000000"/>
            </w:tcBorders>
            <w:shd w:val="clear" w:color="auto" w:fill="auto"/>
          </w:tcPr>
          <w:p w14:paraId="1730FDE1" w14:textId="77777777" w:rsidR="00DF61BC" w:rsidRPr="00C94C33" w:rsidRDefault="00DF61BC" w:rsidP="001542C5">
            <w:pPr>
              <w:pStyle w:val="Tabletext"/>
            </w:pPr>
            <w:r w:rsidRPr="00C94C33">
              <w:t>TAS-102</w:t>
            </w:r>
          </w:p>
        </w:tc>
        <w:tc>
          <w:tcPr>
            <w:tcW w:w="1080" w:type="dxa"/>
            <w:tcBorders>
              <w:top w:val="single" w:sz="8" w:space="0" w:color="000000"/>
              <w:left w:val="single" w:sz="6" w:space="0" w:color="000000"/>
              <w:bottom w:val="single" w:sz="8" w:space="0" w:color="000000"/>
              <w:right w:val="single" w:sz="4" w:space="0" w:color="auto"/>
            </w:tcBorders>
            <w:shd w:val="clear" w:color="auto" w:fill="auto"/>
          </w:tcPr>
          <w:p w14:paraId="4D886825" w14:textId="77777777" w:rsidR="00DF61BC" w:rsidRPr="00C94C33" w:rsidRDefault="00DF61BC" w:rsidP="001542C5">
            <w:pPr>
              <w:pStyle w:val="Tabletext"/>
              <w:jc w:val="center"/>
            </w:pPr>
            <w:r w:rsidRPr="00C94C33">
              <w:t>528</w:t>
            </w:r>
          </w:p>
        </w:tc>
        <w:tc>
          <w:tcPr>
            <w:tcW w:w="1533" w:type="dxa"/>
            <w:tcBorders>
              <w:top w:val="single" w:sz="8" w:space="0" w:color="000000"/>
              <w:left w:val="single" w:sz="4" w:space="0" w:color="auto"/>
              <w:bottom w:val="single" w:sz="8" w:space="0" w:color="000000"/>
              <w:right w:val="single" w:sz="4" w:space="0" w:color="auto"/>
            </w:tcBorders>
            <w:shd w:val="clear" w:color="auto" w:fill="auto"/>
          </w:tcPr>
          <w:p w14:paraId="05103141" w14:textId="77777777" w:rsidR="00DF61BC" w:rsidRPr="00C94C33" w:rsidRDefault="00DF61BC" w:rsidP="001542C5">
            <w:pPr>
              <w:pStyle w:val="Tabletext"/>
              <w:jc w:val="center"/>
            </w:pPr>
            <w:r w:rsidRPr="00C94C33">
              <w:t>124 (23.5)</w:t>
            </w:r>
          </w:p>
        </w:tc>
        <w:tc>
          <w:tcPr>
            <w:tcW w:w="1536" w:type="dxa"/>
            <w:tcBorders>
              <w:top w:val="single" w:sz="8" w:space="0" w:color="000000"/>
              <w:left w:val="single" w:sz="4" w:space="0" w:color="auto"/>
              <w:bottom w:val="single" w:sz="8" w:space="0" w:color="000000"/>
              <w:right w:val="single" w:sz="4" w:space="0" w:color="auto"/>
            </w:tcBorders>
            <w:shd w:val="clear" w:color="auto" w:fill="auto"/>
          </w:tcPr>
          <w:p w14:paraId="593E4DF9" w14:textId="77777777" w:rsidR="00DF61BC" w:rsidRPr="00C94C33" w:rsidRDefault="00DF61BC" w:rsidP="001542C5">
            <w:pPr>
              <w:pStyle w:val="Tabletext"/>
              <w:jc w:val="center"/>
            </w:pPr>
            <w:r w:rsidRPr="00C94C33">
              <w:t>184 (34.8)</w:t>
            </w:r>
          </w:p>
        </w:tc>
        <w:tc>
          <w:tcPr>
            <w:tcW w:w="1534" w:type="dxa"/>
            <w:tcBorders>
              <w:top w:val="single" w:sz="8" w:space="0" w:color="000000"/>
              <w:left w:val="single" w:sz="4" w:space="0" w:color="auto"/>
              <w:bottom w:val="single" w:sz="8" w:space="0" w:color="000000"/>
              <w:right w:val="single" w:sz="4" w:space="0" w:color="auto"/>
            </w:tcBorders>
            <w:shd w:val="clear" w:color="auto" w:fill="auto"/>
          </w:tcPr>
          <w:p w14:paraId="46422E9C" w14:textId="77777777" w:rsidR="00DF61BC" w:rsidRPr="00C94C33" w:rsidRDefault="00DF61BC" w:rsidP="001542C5">
            <w:pPr>
              <w:pStyle w:val="Tabletext"/>
              <w:jc w:val="center"/>
            </w:pPr>
            <w:r w:rsidRPr="00C94C33">
              <w:t>96 (18.2)</w:t>
            </w:r>
          </w:p>
        </w:tc>
        <w:tc>
          <w:tcPr>
            <w:tcW w:w="1535" w:type="dxa"/>
            <w:tcBorders>
              <w:top w:val="single" w:sz="8" w:space="0" w:color="000000"/>
              <w:left w:val="single" w:sz="4" w:space="0" w:color="auto"/>
              <w:bottom w:val="single" w:sz="8" w:space="0" w:color="000000"/>
              <w:right w:val="single" w:sz="4" w:space="0" w:color="auto"/>
            </w:tcBorders>
            <w:shd w:val="clear" w:color="auto" w:fill="auto"/>
          </w:tcPr>
          <w:p w14:paraId="7402F8C0" w14:textId="77777777" w:rsidR="00DF61BC" w:rsidRPr="00C94C33" w:rsidRDefault="00DF61BC" w:rsidP="001542C5">
            <w:pPr>
              <w:pStyle w:val="Tabletext"/>
              <w:jc w:val="center"/>
            </w:pPr>
            <w:r w:rsidRPr="00C94C33">
              <w:rPr>
                <w:position w:val="-10"/>
              </w:rPr>
              <w:t>---</w:t>
            </w:r>
            <w:r w:rsidRPr="00C94C33">
              <w:t>b,c</w:t>
            </w:r>
          </w:p>
        </w:tc>
      </w:tr>
      <w:tr w:rsidR="00DF61BC" w:rsidRPr="00C94C33" w14:paraId="3B16CF3E" w14:textId="77777777" w:rsidTr="001542C5">
        <w:trPr>
          <w:trHeight w:hRule="exact" w:val="329"/>
        </w:trPr>
        <w:tc>
          <w:tcPr>
            <w:tcW w:w="2378" w:type="dxa"/>
            <w:tcBorders>
              <w:top w:val="single" w:sz="8" w:space="0" w:color="000000"/>
              <w:left w:val="single" w:sz="4" w:space="0" w:color="auto"/>
              <w:bottom w:val="single" w:sz="8" w:space="0" w:color="000000"/>
              <w:right w:val="single" w:sz="6" w:space="0" w:color="000000"/>
            </w:tcBorders>
            <w:shd w:val="clear" w:color="auto" w:fill="auto"/>
          </w:tcPr>
          <w:p w14:paraId="7AB29AB3" w14:textId="77777777" w:rsidR="00DF61BC" w:rsidRPr="00C94C33" w:rsidRDefault="00DF61BC" w:rsidP="001542C5">
            <w:pPr>
              <w:pStyle w:val="Tabletext"/>
            </w:pPr>
            <w:r w:rsidRPr="00C94C33">
              <w:t>Placebo</w:t>
            </w:r>
          </w:p>
        </w:tc>
        <w:tc>
          <w:tcPr>
            <w:tcW w:w="1080" w:type="dxa"/>
            <w:tcBorders>
              <w:top w:val="single" w:sz="8" w:space="0" w:color="000000"/>
              <w:left w:val="single" w:sz="6" w:space="0" w:color="000000"/>
              <w:bottom w:val="single" w:sz="8" w:space="0" w:color="000000"/>
              <w:right w:val="single" w:sz="4" w:space="0" w:color="auto"/>
            </w:tcBorders>
            <w:shd w:val="clear" w:color="auto" w:fill="auto"/>
          </w:tcPr>
          <w:p w14:paraId="30E5BC77" w14:textId="77777777" w:rsidR="00DF61BC" w:rsidRPr="00C94C33" w:rsidRDefault="00DF61BC" w:rsidP="001542C5">
            <w:pPr>
              <w:pStyle w:val="Tabletext"/>
              <w:jc w:val="center"/>
            </w:pPr>
            <w:r w:rsidRPr="00C94C33">
              <w:t>263</w:t>
            </w:r>
          </w:p>
        </w:tc>
        <w:tc>
          <w:tcPr>
            <w:tcW w:w="1533" w:type="dxa"/>
            <w:tcBorders>
              <w:top w:val="single" w:sz="8" w:space="0" w:color="000000"/>
              <w:left w:val="single" w:sz="4" w:space="0" w:color="auto"/>
              <w:bottom w:val="single" w:sz="8" w:space="0" w:color="000000"/>
              <w:right w:val="single" w:sz="4" w:space="0" w:color="auto"/>
            </w:tcBorders>
            <w:shd w:val="clear" w:color="auto" w:fill="auto"/>
          </w:tcPr>
          <w:p w14:paraId="787BE962" w14:textId="77777777" w:rsidR="00DF61BC" w:rsidRPr="00C94C33" w:rsidRDefault="00DF61BC" w:rsidP="001542C5">
            <w:pPr>
              <w:pStyle w:val="Tabletext"/>
              <w:jc w:val="center"/>
            </w:pPr>
            <w:r w:rsidRPr="00C94C33">
              <w:t>45 (17.1)</w:t>
            </w:r>
          </w:p>
        </w:tc>
        <w:tc>
          <w:tcPr>
            <w:tcW w:w="1536" w:type="dxa"/>
            <w:tcBorders>
              <w:top w:val="single" w:sz="8" w:space="0" w:color="000000"/>
              <w:left w:val="single" w:sz="4" w:space="0" w:color="auto"/>
              <w:bottom w:val="single" w:sz="8" w:space="0" w:color="000000"/>
              <w:right w:val="single" w:sz="4" w:space="0" w:color="auto"/>
            </w:tcBorders>
            <w:shd w:val="clear" w:color="auto" w:fill="auto"/>
          </w:tcPr>
          <w:p w14:paraId="44B551BB" w14:textId="77777777" w:rsidR="00DF61BC" w:rsidRPr="00C94C33" w:rsidRDefault="00DF61BC" w:rsidP="001542C5">
            <w:pPr>
              <w:pStyle w:val="Tabletext"/>
              <w:jc w:val="center"/>
            </w:pPr>
            <w:r w:rsidRPr="00C94C33">
              <w:t>34 (12.9)</w:t>
            </w:r>
          </w:p>
        </w:tc>
        <w:tc>
          <w:tcPr>
            <w:tcW w:w="1534" w:type="dxa"/>
            <w:tcBorders>
              <w:top w:val="single" w:sz="8" w:space="0" w:color="000000"/>
              <w:left w:val="single" w:sz="4" w:space="0" w:color="auto"/>
              <w:bottom w:val="single" w:sz="8" w:space="0" w:color="000000"/>
              <w:right w:val="single" w:sz="4" w:space="0" w:color="auto"/>
            </w:tcBorders>
            <w:shd w:val="clear" w:color="auto" w:fill="auto"/>
          </w:tcPr>
          <w:p w14:paraId="7B0D59F5" w14:textId="6D31BA5C" w:rsidR="00DF61BC" w:rsidRPr="00C94C33" w:rsidRDefault="00DF61BC" w:rsidP="001542C5">
            <w:pPr>
              <w:pStyle w:val="Tabletext"/>
              <w:jc w:val="center"/>
            </w:pPr>
            <w:r w:rsidRPr="00C94C33">
              <w:t>8 (3.0)</w:t>
            </w:r>
          </w:p>
        </w:tc>
        <w:tc>
          <w:tcPr>
            <w:tcW w:w="1535" w:type="dxa"/>
            <w:tcBorders>
              <w:top w:val="single" w:sz="8" w:space="0" w:color="000000"/>
              <w:left w:val="single" w:sz="4" w:space="0" w:color="auto"/>
              <w:bottom w:val="single" w:sz="8" w:space="0" w:color="000000"/>
              <w:right w:val="single" w:sz="4" w:space="0" w:color="auto"/>
            </w:tcBorders>
            <w:shd w:val="clear" w:color="auto" w:fill="auto"/>
          </w:tcPr>
          <w:p w14:paraId="4A4102D7" w14:textId="4FF460C8" w:rsidR="00DF61BC" w:rsidRPr="00C94C33" w:rsidRDefault="00DF61BC" w:rsidP="001542C5">
            <w:pPr>
              <w:pStyle w:val="Tabletext"/>
              <w:jc w:val="center"/>
            </w:pPr>
            <w:r w:rsidRPr="00C94C33">
              <w:t>--- b</w:t>
            </w:r>
          </w:p>
        </w:tc>
      </w:tr>
      <w:tr w:rsidR="00DF61BC" w:rsidRPr="00C94C33" w14:paraId="6411263E" w14:textId="77777777" w:rsidTr="000E0A49">
        <w:trPr>
          <w:trHeight w:hRule="exact" w:val="305"/>
        </w:trPr>
        <w:tc>
          <w:tcPr>
            <w:tcW w:w="2378" w:type="dxa"/>
            <w:tcBorders>
              <w:top w:val="single" w:sz="8" w:space="0" w:color="000000"/>
              <w:left w:val="single" w:sz="4" w:space="0" w:color="auto"/>
              <w:bottom w:val="single" w:sz="8" w:space="0" w:color="000000"/>
              <w:right w:val="single" w:sz="6" w:space="0" w:color="000000"/>
            </w:tcBorders>
            <w:shd w:val="clear" w:color="auto" w:fill="auto"/>
          </w:tcPr>
          <w:p w14:paraId="75194EE5" w14:textId="7DE00398" w:rsidR="00DF61BC" w:rsidRPr="00C94C33" w:rsidRDefault="00DF61BC" w:rsidP="001542C5">
            <w:pPr>
              <w:pStyle w:val="TableHeading"/>
            </w:pPr>
            <w:r w:rsidRPr="00C94C33">
              <w:t>Thrombocyto</w:t>
            </w:r>
            <w:r w:rsidR="00B50F67">
              <w:t>paenia</w:t>
            </w:r>
          </w:p>
        </w:tc>
        <w:tc>
          <w:tcPr>
            <w:tcW w:w="1080" w:type="dxa"/>
            <w:tcBorders>
              <w:top w:val="single" w:sz="8" w:space="0" w:color="000000"/>
              <w:left w:val="single" w:sz="6" w:space="0" w:color="000000"/>
              <w:bottom w:val="single" w:sz="8" w:space="0" w:color="000000"/>
              <w:right w:val="single" w:sz="4" w:space="0" w:color="auto"/>
            </w:tcBorders>
            <w:shd w:val="clear" w:color="auto" w:fill="auto"/>
          </w:tcPr>
          <w:p w14:paraId="66F48B12" w14:textId="77777777" w:rsidR="00DF61BC" w:rsidRPr="00C94C33" w:rsidRDefault="00DF61BC" w:rsidP="001542C5">
            <w:pPr>
              <w:pStyle w:val="TableHeading"/>
            </w:pPr>
          </w:p>
        </w:tc>
        <w:tc>
          <w:tcPr>
            <w:tcW w:w="1533" w:type="dxa"/>
            <w:tcBorders>
              <w:top w:val="single" w:sz="8" w:space="0" w:color="000000"/>
              <w:left w:val="single" w:sz="4" w:space="0" w:color="auto"/>
              <w:bottom w:val="single" w:sz="8" w:space="0" w:color="000000"/>
              <w:right w:val="single" w:sz="4" w:space="0" w:color="auto"/>
            </w:tcBorders>
            <w:shd w:val="clear" w:color="auto" w:fill="auto"/>
          </w:tcPr>
          <w:p w14:paraId="4E881053" w14:textId="77777777" w:rsidR="00DF61BC" w:rsidRPr="00C94C33" w:rsidRDefault="00DF61BC" w:rsidP="001542C5">
            <w:pPr>
              <w:pStyle w:val="TableHeading"/>
            </w:pPr>
          </w:p>
        </w:tc>
        <w:tc>
          <w:tcPr>
            <w:tcW w:w="1536" w:type="dxa"/>
            <w:tcBorders>
              <w:top w:val="single" w:sz="8" w:space="0" w:color="000000"/>
              <w:left w:val="single" w:sz="4" w:space="0" w:color="auto"/>
              <w:bottom w:val="single" w:sz="8" w:space="0" w:color="000000"/>
              <w:right w:val="single" w:sz="4" w:space="0" w:color="auto"/>
            </w:tcBorders>
            <w:shd w:val="clear" w:color="auto" w:fill="auto"/>
          </w:tcPr>
          <w:p w14:paraId="54E71160" w14:textId="77777777" w:rsidR="00DF61BC" w:rsidRPr="00C94C33" w:rsidRDefault="00DF61BC" w:rsidP="001542C5">
            <w:pPr>
              <w:pStyle w:val="TableHeading"/>
            </w:pPr>
          </w:p>
        </w:tc>
        <w:tc>
          <w:tcPr>
            <w:tcW w:w="1534" w:type="dxa"/>
            <w:tcBorders>
              <w:top w:val="single" w:sz="8" w:space="0" w:color="000000"/>
              <w:left w:val="single" w:sz="4" w:space="0" w:color="auto"/>
              <w:bottom w:val="single" w:sz="8" w:space="0" w:color="000000"/>
              <w:right w:val="single" w:sz="4" w:space="0" w:color="auto"/>
            </w:tcBorders>
            <w:shd w:val="clear" w:color="auto" w:fill="auto"/>
          </w:tcPr>
          <w:p w14:paraId="3F9265D1" w14:textId="77777777" w:rsidR="00DF61BC" w:rsidRPr="00C94C33" w:rsidRDefault="00DF61BC" w:rsidP="001542C5">
            <w:pPr>
              <w:pStyle w:val="TableHeading"/>
            </w:pPr>
          </w:p>
        </w:tc>
        <w:tc>
          <w:tcPr>
            <w:tcW w:w="1535" w:type="dxa"/>
            <w:tcBorders>
              <w:top w:val="single" w:sz="8" w:space="0" w:color="000000"/>
              <w:left w:val="single" w:sz="4" w:space="0" w:color="auto"/>
              <w:bottom w:val="single" w:sz="8" w:space="0" w:color="000000"/>
              <w:right w:val="single" w:sz="4" w:space="0" w:color="auto"/>
            </w:tcBorders>
            <w:shd w:val="clear" w:color="auto" w:fill="auto"/>
          </w:tcPr>
          <w:p w14:paraId="6E58E9E0" w14:textId="77777777" w:rsidR="00DF61BC" w:rsidRPr="00C94C33" w:rsidRDefault="00DF61BC" w:rsidP="001542C5">
            <w:pPr>
              <w:pStyle w:val="TableHeading"/>
            </w:pPr>
          </w:p>
        </w:tc>
      </w:tr>
      <w:tr w:rsidR="00DF61BC" w:rsidRPr="00C94C33" w14:paraId="6588C17C" w14:textId="77777777" w:rsidTr="001542C5">
        <w:trPr>
          <w:trHeight w:hRule="exact" w:val="305"/>
        </w:trPr>
        <w:tc>
          <w:tcPr>
            <w:tcW w:w="2378" w:type="dxa"/>
            <w:tcBorders>
              <w:top w:val="single" w:sz="8" w:space="0" w:color="000000"/>
              <w:left w:val="single" w:sz="4" w:space="0" w:color="auto"/>
              <w:bottom w:val="single" w:sz="8" w:space="0" w:color="000000"/>
              <w:right w:val="single" w:sz="6" w:space="0" w:color="000000"/>
            </w:tcBorders>
            <w:shd w:val="clear" w:color="auto" w:fill="auto"/>
          </w:tcPr>
          <w:p w14:paraId="00F4F9B6" w14:textId="77777777" w:rsidR="00DF61BC" w:rsidRPr="00C94C33" w:rsidRDefault="00DF61BC" w:rsidP="001542C5">
            <w:pPr>
              <w:pStyle w:val="Tabletext"/>
            </w:pPr>
            <w:r w:rsidRPr="00C94C33">
              <w:t>TAS-102</w:t>
            </w:r>
          </w:p>
        </w:tc>
        <w:tc>
          <w:tcPr>
            <w:tcW w:w="1080" w:type="dxa"/>
            <w:tcBorders>
              <w:top w:val="single" w:sz="8" w:space="0" w:color="000000"/>
              <w:left w:val="single" w:sz="6" w:space="0" w:color="000000"/>
              <w:bottom w:val="single" w:sz="8" w:space="0" w:color="000000"/>
              <w:right w:val="single" w:sz="4" w:space="0" w:color="auto"/>
            </w:tcBorders>
            <w:shd w:val="clear" w:color="auto" w:fill="auto"/>
          </w:tcPr>
          <w:p w14:paraId="511C5EC8" w14:textId="77777777" w:rsidR="00DF61BC" w:rsidRPr="00C94C33" w:rsidRDefault="00DF61BC" w:rsidP="001542C5">
            <w:pPr>
              <w:pStyle w:val="Tabletext"/>
              <w:jc w:val="center"/>
            </w:pPr>
            <w:r w:rsidRPr="00C94C33">
              <w:t>528</w:t>
            </w:r>
          </w:p>
        </w:tc>
        <w:tc>
          <w:tcPr>
            <w:tcW w:w="1533" w:type="dxa"/>
            <w:tcBorders>
              <w:top w:val="single" w:sz="8" w:space="0" w:color="000000"/>
              <w:left w:val="single" w:sz="4" w:space="0" w:color="auto"/>
              <w:bottom w:val="single" w:sz="8" w:space="0" w:color="000000"/>
              <w:right w:val="single" w:sz="4" w:space="0" w:color="auto"/>
            </w:tcBorders>
            <w:shd w:val="clear" w:color="auto" w:fill="auto"/>
          </w:tcPr>
          <w:p w14:paraId="486D0A2E" w14:textId="77777777" w:rsidR="00DF61BC" w:rsidRPr="00C94C33" w:rsidRDefault="00DF61BC" w:rsidP="001542C5">
            <w:pPr>
              <w:pStyle w:val="Tabletext"/>
              <w:jc w:val="center"/>
            </w:pPr>
            <w:r w:rsidRPr="00C94C33">
              <w:t>157 (29.7)</w:t>
            </w:r>
          </w:p>
        </w:tc>
        <w:tc>
          <w:tcPr>
            <w:tcW w:w="1536" w:type="dxa"/>
            <w:tcBorders>
              <w:top w:val="single" w:sz="8" w:space="0" w:color="000000"/>
              <w:left w:val="single" w:sz="4" w:space="0" w:color="auto"/>
              <w:bottom w:val="single" w:sz="8" w:space="0" w:color="000000"/>
              <w:right w:val="single" w:sz="4" w:space="0" w:color="auto"/>
            </w:tcBorders>
            <w:shd w:val="clear" w:color="auto" w:fill="auto"/>
          </w:tcPr>
          <w:p w14:paraId="1A2C5EC1" w14:textId="77777777" w:rsidR="00DF61BC" w:rsidRPr="00C94C33" w:rsidRDefault="00DF61BC" w:rsidP="001542C5">
            <w:pPr>
              <w:pStyle w:val="Tabletext"/>
              <w:jc w:val="center"/>
            </w:pPr>
            <w:r w:rsidRPr="00C94C33">
              <w:t>39 (7.4)</w:t>
            </w:r>
          </w:p>
        </w:tc>
        <w:tc>
          <w:tcPr>
            <w:tcW w:w="1534" w:type="dxa"/>
            <w:tcBorders>
              <w:top w:val="single" w:sz="8" w:space="0" w:color="000000"/>
              <w:left w:val="single" w:sz="4" w:space="0" w:color="auto"/>
              <w:bottom w:val="single" w:sz="8" w:space="0" w:color="000000"/>
              <w:right w:val="single" w:sz="4" w:space="0" w:color="auto"/>
            </w:tcBorders>
            <w:shd w:val="clear" w:color="auto" w:fill="auto"/>
          </w:tcPr>
          <w:p w14:paraId="333BD600" w14:textId="77777777" w:rsidR="00DF61BC" w:rsidRPr="00C94C33" w:rsidRDefault="00DF61BC" w:rsidP="001542C5">
            <w:pPr>
              <w:pStyle w:val="Tabletext"/>
              <w:jc w:val="center"/>
            </w:pPr>
            <w:r w:rsidRPr="00C94C33">
              <w:t>24 (4.5)</w:t>
            </w:r>
          </w:p>
        </w:tc>
        <w:tc>
          <w:tcPr>
            <w:tcW w:w="1535" w:type="dxa"/>
            <w:tcBorders>
              <w:top w:val="single" w:sz="8" w:space="0" w:color="000000"/>
              <w:left w:val="single" w:sz="4" w:space="0" w:color="auto"/>
              <w:bottom w:val="single" w:sz="8" w:space="0" w:color="000000"/>
              <w:right w:val="single" w:sz="4" w:space="0" w:color="auto"/>
            </w:tcBorders>
            <w:shd w:val="clear" w:color="auto" w:fill="auto"/>
          </w:tcPr>
          <w:p w14:paraId="198D8735" w14:textId="77777777" w:rsidR="00DF61BC" w:rsidRPr="00C94C33" w:rsidRDefault="00DF61BC" w:rsidP="001542C5">
            <w:pPr>
              <w:pStyle w:val="Tabletext"/>
              <w:jc w:val="center"/>
            </w:pPr>
            <w:r w:rsidRPr="00C94C33">
              <w:t>3 (0.6)</w:t>
            </w:r>
          </w:p>
        </w:tc>
      </w:tr>
      <w:tr w:rsidR="00DF61BC" w:rsidRPr="00C94C33" w14:paraId="2A646386" w14:textId="77777777" w:rsidTr="001542C5">
        <w:trPr>
          <w:trHeight w:hRule="exact" w:val="304"/>
        </w:trPr>
        <w:tc>
          <w:tcPr>
            <w:tcW w:w="2378" w:type="dxa"/>
            <w:tcBorders>
              <w:top w:val="single" w:sz="8" w:space="0" w:color="000000"/>
              <w:left w:val="single" w:sz="4" w:space="0" w:color="auto"/>
              <w:bottom w:val="single" w:sz="6" w:space="0" w:color="000000"/>
              <w:right w:val="single" w:sz="6" w:space="0" w:color="000000"/>
            </w:tcBorders>
            <w:shd w:val="clear" w:color="auto" w:fill="auto"/>
          </w:tcPr>
          <w:p w14:paraId="4A73ABF4" w14:textId="77777777" w:rsidR="00DF61BC" w:rsidRPr="00C94C33" w:rsidRDefault="00DF61BC" w:rsidP="001542C5">
            <w:pPr>
              <w:pStyle w:val="Tabletext"/>
            </w:pPr>
            <w:r w:rsidRPr="00C94C33">
              <w:t>Placebo</w:t>
            </w:r>
          </w:p>
        </w:tc>
        <w:tc>
          <w:tcPr>
            <w:tcW w:w="1080" w:type="dxa"/>
            <w:tcBorders>
              <w:top w:val="single" w:sz="8" w:space="0" w:color="000000"/>
              <w:left w:val="single" w:sz="6" w:space="0" w:color="000000"/>
              <w:bottom w:val="single" w:sz="6" w:space="0" w:color="000000"/>
              <w:right w:val="single" w:sz="4" w:space="0" w:color="auto"/>
            </w:tcBorders>
            <w:shd w:val="clear" w:color="auto" w:fill="auto"/>
          </w:tcPr>
          <w:p w14:paraId="52989DC9" w14:textId="77777777" w:rsidR="00DF61BC" w:rsidRPr="00C94C33" w:rsidRDefault="00DF61BC" w:rsidP="001542C5">
            <w:pPr>
              <w:pStyle w:val="Tabletext"/>
              <w:jc w:val="center"/>
            </w:pPr>
            <w:r w:rsidRPr="00C94C33">
              <w:t>263</w:t>
            </w:r>
          </w:p>
        </w:tc>
        <w:tc>
          <w:tcPr>
            <w:tcW w:w="1533" w:type="dxa"/>
            <w:tcBorders>
              <w:top w:val="single" w:sz="8" w:space="0" w:color="000000"/>
              <w:left w:val="single" w:sz="4" w:space="0" w:color="auto"/>
              <w:bottom w:val="single" w:sz="6" w:space="0" w:color="000000"/>
              <w:right w:val="single" w:sz="4" w:space="0" w:color="auto"/>
            </w:tcBorders>
            <w:shd w:val="clear" w:color="auto" w:fill="auto"/>
          </w:tcPr>
          <w:p w14:paraId="43EA024F" w14:textId="77777777" w:rsidR="00DF61BC" w:rsidRPr="00C94C33" w:rsidRDefault="00DF61BC" w:rsidP="001542C5">
            <w:pPr>
              <w:pStyle w:val="Tabletext"/>
              <w:jc w:val="center"/>
            </w:pPr>
            <w:r w:rsidRPr="00C94C33">
              <w:t>19 (7.2)</w:t>
            </w:r>
          </w:p>
        </w:tc>
        <w:tc>
          <w:tcPr>
            <w:tcW w:w="1536" w:type="dxa"/>
            <w:tcBorders>
              <w:top w:val="single" w:sz="8" w:space="0" w:color="000000"/>
              <w:left w:val="single" w:sz="4" w:space="0" w:color="auto"/>
              <w:bottom w:val="single" w:sz="6" w:space="0" w:color="000000"/>
              <w:right w:val="single" w:sz="4" w:space="0" w:color="auto"/>
            </w:tcBorders>
            <w:shd w:val="clear" w:color="auto" w:fill="auto"/>
          </w:tcPr>
          <w:p w14:paraId="036765D2" w14:textId="77777777" w:rsidR="00DF61BC" w:rsidRPr="00C94C33" w:rsidRDefault="00DF61BC" w:rsidP="001542C5">
            <w:pPr>
              <w:pStyle w:val="Tabletext"/>
              <w:jc w:val="center"/>
            </w:pPr>
            <w:r w:rsidRPr="00C94C33">
              <w:t>1 (0.4)</w:t>
            </w:r>
          </w:p>
        </w:tc>
        <w:tc>
          <w:tcPr>
            <w:tcW w:w="1534" w:type="dxa"/>
            <w:tcBorders>
              <w:top w:val="single" w:sz="8" w:space="0" w:color="000000"/>
              <w:left w:val="single" w:sz="4" w:space="0" w:color="auto"/>
              <w:bottom w:val="single" w:sz="6" w:space="0" w:color="000000"/>
              <w:right w:val="single" w:sz="4" w:space="0" w:color="auto"/>
            </w:tcBorders>
            <w:shd w:val="clear" w:color="auto" w:fill="auto"/>
          </w:tcPr>
          <w:p w14:paraId="30B9E9F4" w14:textId="77777777" w:rsidR="00DF61BC" w:rsidRPr="00C94C33" w:rsidRDefault="00DF61BC" w:rsidP="001542C5">
            <w:pPr>
              <w:pStyle w:val="Tabletext"/>
              <w:jc w:val="center"/>
            </w:pPr>
            <w:r w:rsidRPr="00C94C33">
              <w:t>0</w:t>
            </w:r>
          </w:p>
        </w:tc>
        <w:tc>
          <w:tcPr>
            <w:tcW w:w="1535" w:type="dxa"/>
            <w:tcBorders>
              <w:top w:val="single" w:sz="8" w:space="0" w:color="000000"/>
              <w:left w:val="single" w:sz="4" w:space="0" w:color="auto"/>
              <w:bottom w:val="single" w:sz="6" w:space="0" w:color="000000"/>
              <w:right w:val="single" w:sz="4" w:space="0" w:color="auto"/>
            </w:tcBorders>
            <w:shd w:val="clear" w:color="auto" w:fill="auto"/>
          </w:tcPr>
          <w:p w14:paraId="6751061D" w14:textId="77777777" w:rsidR="00DF61BC" w:rsidRPr="00C94C33" w:rsidRDefault="00DF61BC" w:rsidP="001542C5">
            <w:pPr>
              <w:pStyle w:val="Tabletext"/>
              <w:jc w:val="center"/>
            </w:pPr>
            <w:r w:rsidRPr="00C94C33">
              <w:t>1 (0.4)</w:t>
            </w:r>
          </w:p>
        </w:tc>
      </w:tr>
    </w:tbl>
    <w:p w14:paraId="684ACF1D" w14:textId="15F6DC1A" w:rsidR="00DF61BC" w:rsidRPr="00C94C33" w:rsidRDefault="00DF61BC" w:rsidP="008D084E">
      <w:pPr>
        <w:pStyle w:val="TableDescription"/>
      </w:pPr>
      <w:r w:rsidRPr="00C94C33">
        <w:t>Denominator for percentages: number of patients with at least one post-baseline measurement during treatment (includes patients with missing baseline).</w:t>
      </w:r>
      <w:r w:rsidR="008D084E" w:rsidRPr="00C94C33">
        <w:t xml:space="preserve"> </w:t>
      </w:r>
      <w:r w:rsidRPr="00C94C33">
        <w:t>There is no CTC Grade 4 for anaemia based on laboratory data only.</w:t>
      </w:r>
      <w:r w:rsidR="008D084E" w:rsidRPr="00C94C33">
        <w:t xml:space="preserve"> </w:t>
      </w:r>
      <w:r w:rsidR="000E0A49" w:rsidRPr="00C94C33">
        <w:t>O</w:t>
      </w:r>
      <w:r w:rsidRPr="00C94C33">
        <w:t>ne adverse event of Grade 4 anaemia was reported.</w:t>
      </w:r>
    </w:p>
    <w:p w14:paraId="18F877A9" w14:textId="27C7563B" w:rsidR="00DF61BC" w:rsidRPr="00C94C33" w:rsidRDefault="00DF61BC" w:rsidP="00955252">
      <w:pPr>
        <w:pStyle w:val="Heading4"/>
      </w:pPr>
      <w:bookmarkStart w:id="411" w:name="_Toc470948591"/>
      <w:r w:rsidRPr="00C94C33">
        <w:t>Clinical chemistry</w:t>
      </w:r>
      <w:bookmarkEnd w:id="411"/>
    </w:p>
    <w:p w14:paraId="0F1345FF" w14:textId="77777777" w:rsidR="00DF61BC" w:rsidRPr="00C94C33" w:rsidRDefault="00DF61BC" w:rsidP="000E0A49">
      <w:pPr>
        <w:pStyle w:val="Heading5"/>
      </w:pPr>
      <w:r w:rsidRPr="00C94C33">
        <w:t>CTC Grade 3 or 4 abnormalities</w:t>
      </w:r>
    </w:p>
    <w:p w14:paraId="1516A7F4" w14:textId="0AEC1910" w:rsidR="00DF61BC" w:rsidRPr="00C94C33" w:rsidRDefault="00DF61BC" w:rsidP="005C2FCA">
      <w:pPr>
        <w:rPr>
          <w:b/>
          <w:bCs/>
          <w:sz w:val="18"/>
          <w:szCs w:val="18"/>
        </w:rPr>
      </w:pPr>
      <w:r w:rsidRPr="00C94C33">
        <w:t xml:space="preserve">With the exception of hyperglycaemia, the incidence of Grade 3 or 4 abnormalities in serum chemistry parameters were similar for the two treatment groups or lower in the TAS-102 group </w:t>
      </w:r>
      <w:r w:rsidR="008D084E" w:rsidRPr="00C94C33">
        <w:t>than in the placebo group</w:t>
      </w:r>
      <w:r w:rsidRPr="00C94C33">
        <w:rPr>
          <w:color w:val="0000FF"/>
        </w:rPr>
        <w:t>.</w:t>
      </w:r>
      <w:r w:rsidRPr="00C94C33">
        <w:t xml:space="preserve"> Grade 3 elevations in glucose were observed in 32 (6.2%) patients in the TAS-102 group compared to 6 (2.4%) patients in the placebo group. The sponsor stated that this numerical imbalance is most likely due to baseline differences in the incidence of hyperglycaemia between the two treatment groups. Forty-eight (48) patients (48/515, 9.3%) in the TAS-102 group, and 9 patients (9/255, 3.5%) in the placebo group had Grade 2 hyperglycaemia at baseline. Of the 48 patients in the TAS-102 group with Grade 2 hyperglycaemia at baseline, 14 worsened from Grade 2 to Grade 3, 21 remained at Grade 2, and 13 improved to Grade 1 or Grade 0 during the treatment period. Shifts of all grades in serum glucose occurred with similar frequency in the TAS-102 and placebo groups, which suggests that TAS-102 has no clinically significant effect on blood glucose  levels, particularly when considering the total time on treatment was nearly 4-fold  greater in the TAS-102 group than in the placebo group.</w:t>
      </w:r>
    </w:p>
    <w:p w14:paraId="2135F81C" w14:textId="534514E3" w:rsidR="00DF61BC" w:rsidRPr="00C94C33" w:rsidRDefault="00DF61BC" w:rsidP="00ED61DF">
      <w:pPr>
        <w:pStyle w:val="Tabletitle"/>
      </w:pPr>
      <w:bookmarkStart w:id="412" w:name="_Toc470948708"/>
      <w:r w:rsidRPr="00C94C33">
        <w:t>Table</w:t>
      </w:r>
      <w:r w:rsidR="008D084E" w:rsidRPr="00C94C33">
        <w:t xml:space="preserve"> 59</w:t>
      </w:r>
      <w:r w:rsidRPr="00C94C33">
        <w:t xml:space="preserve">: </w:t>
      </w:r>
      <w:r w:rsidRPr="00C94C33">
        <w:rPr>
          <w:color w:val="000000"/>
        </w:rPr>
        <w:t>RECOURSE</w:t>
      </w:r>
      <w:r w:rsidR="00ED61DF">
        <w:rPr>
          <w:color w:val="000000"/>
        </w:rPr>
        <w:t xml:space="preserve">; </w:t>
      </w:r>
      <w:r w:rsidRPr="00C94C33">
        <w:t xml:space="preserve">Grade 3 or 4 abnormalities in clinical chemistry parameters that worsened from </w:t>
      </w:r>
      <w:r w:rsidR="00ED61DF">
        <w:t>B</w:t>
      </w:r>
      <w:r w:rsidRPr="00C94C33">
        <w:t>aseline, AT population</w:t>
      </w:r>
      <w:bookmarkEnd w:id="412"/>
    </w:p>
    <w:tbl>
      <w:tblPr>
        <w:tblW w:w="9576" w:type="dxa"/>
        <w:tblInd w:w="112" w:type="dxa"/>
        <w:tblLayout w:type="fixed"/>
        <w:tblCellMar>
          <w:left w:w="0" w:type="dxa"/>
          <w:right w:w="0" w:type="dxa"/>
        </w:tblCellMar>
        <w:tblLook w:val="0000" w:firstRow="0" w:lastRow="0" w:firstColumn="0" w:lastColumn="0" w:noHBand="0" w:noVBand="0"/>
      </w:tblPr>
      <w:tblGrid>
        <w:gridCol w:w="1739"/>
        <w:gridCol w:w="709"/>
        <w:gridCol w:w="1559"/>
        <w:gridCol w:w="1418"/>
        <w:gridCol w:w="708"/>
        <w:gridCol w:w="1985"/>
        <w:gridCol w:w="1458"/>
      </w:tblGrid>
      <w:tr w:rsidR="00DF61BC" w:rsidRPr="00C94C33" w14:paraId="4EB68C78" w14:textId="77777777" w:rsidTr="001542C5">
        <w:trPr>
          <w:trHeight w:hRule="exact" w:val="328"/>
        </w:trPr>
        <w:tc>
          <w:tcPr>
            <w:tcW w:w="1739" w:type="dxa"/>
            <w:tcBorders>
              <w:top w:val="single" w:sz="8" w:space="0" w:color="000000"/>
              <w:left w:val="single" w:sz="4" w:space="0" w:color="auto"/>
              <w:right w:val="single" w:sz="6" w:space="0" w:color="000000"/>
            </w:tcBorders>
            <w:shd w:val="clear" w:color="auto" w:fill="auto"/>
          </w:tcPr>
          <w:p w14:paraId="2E7C140D" w14:textId="77777777" w:rsidR="00DF61BC" w:rsidRPr="00C94C33" w:rsidRDefault="00DF61BC" w:rsidP="001542C5">
            <w:pPr>
              <w:pStyle w:val="TableHeading"/>
            </w:pPr>
          </w:p>
        </w:tc>
        <w:tc>
          <w:tcPr>
            <w:tcW w:w="3686" w:type="dxa"/>
            <w:gridSpan w:val="3"/>
            <w:tcBorders>
              <w:top w:val="single" w:sz="8" w:space="0" w:color="000000"/>
              <w:left w:val="single" w:sz="6" w:space="0" w:color="000000"/>
              <w:right w:val="single" w:sz="6" w:space="0" w:color="000000"/>
            </w:tcBorders>
            <w:shd w:val="clear" w:color="auto" w:fill="auto"/>
          </w:tcPr>
          <w:p w14:paraId="691A144E" w14:textId="2543E42F" w:rsidR="00DF61BC" w:rsidRPr="00C94C33" w:rsidRDefault="00DF61BC" w:rsidP="001542C5">
            <w:pPr>
              <w:pStyle w:val="TableHeading"/>
              <w:jc w:val="center"/>
            </w:pPr>
            <w:r w:rsidRPr="00C94C33">
              <w:t>TAS-102 (</w:t>
            </w:r>
            <w:r w:rsidR="009C0389" w:rsidRPr="00C94C33">
              <w:t xml:space="preserve">n = </w:t>
            </w:r>
            <w:r w:rsidRPr="00C94C33">
              <w:t>533)</w:t>
            </w:r>
          </w:p>
        </w:tc>
        <w:tc>
          <w:tcPr>
            <w:tcW w:w="4151" w:type="dxa"/>
            <w:gridSpan w:val="3"/>
            <w:tcBorders>
              <w:top w:val="single" w:sz="8" w:space="0" w:color="000000"/>
              <w:left w:val="single" w:sz="6" w:space="0" w:color="000000"/>
              <w:right w:val="single" w:sz="4" w:space="0" w:color="auto"/>
            </w:tcBorders>
            <w:shd w:val="clear" w:color="auto" w:fill="auto"/>
          </w:tcPr>
          <w:p w14:paraId="2889EF85" w14:textId="3895B53E" w:rsidR="00DF61BC" w:rsidRPr="00C94C33" w:rsidRDefault="00DF61BC" w:rsidP="001542C5">
            <w:pPr>
              <w:pStyle w:val="TableHeading"/>
              <w:jc w:val="center"/>
            </w:pPr>
            <w:r w:rsidRPr="00C94C33">
              <w:t>Placebo (</w:t>
            </w:r>
            <w:r w:rsidR="009C0389" w:rsidRPr="00C94C33">
              <w:t xml:space="preserve">n = </w:t>
            </w:r>
            <w:r w:rsidRPr="00C94C33">
              <w:t>265)</w:t>
            </w:r>
          </w:p>
        </w:tc>
      </w:tr>
      <w:tr w:rsidR="00DF61BC" w:rsidRPr="00C94C33" w14:paraId="27064491" w14:textId="77777777" w:rsidTr="001542C5">
        <w:trPr>
          <w:trHeight w:hRule="exact" w:val="328"/>
        </w:trPr>
        <w:tc>
          <w:tcPr>
            <w:tcW w:w="1739" w:type="dxa"/>
            <w:tcBorders>
              <w:left w:val="single" w:sz="4" w:space="0" w:color="auto"/>
              <w:bottom w:val="single" w:sz="7" w:space="0" w:color="000000"/>
              <w:right w:val="single" w:sz="6" w:space="0" w:color="000000"/>
            </w:tcBorders>
            <w:shd w:val="clear" w:color="auto" w:fill="auto"/>
          </w:tcPr>
          <w:p w14:paraId="4C37B88D" w14:textId="77777777" w:rsidR="00DF61BC" w:rsidRPr="00C94C33" w:rsidRDefault="00DF61BC" w:rsidP="001542C5">
            <w:pPr>
              <w:pStyle w:val="TableHeading"/>
            </w:pPr>
            <w:r w:rsidRPr="00C94C33">
              <w:t>Parameter</w:t>
            </w:r>
          </w:p>
        </w:tc>
        <w:tc>
          <w:tcPr>
            <w:tcW w:w="709" w:type="dxa"/>
            <w:tcBorders>
              <w:left w:val="single" w:sz="6" w:space="0" w:color="000000"/>
              <w:bottom w:val="single" w:sz="7" w:space="0" w:color="000000"/>
            </w:tcBorders>
            <w:shd w:val="clear" w:color="auto" w:fill="auto"/>
          </w:tcPr>
          <w:p w14:paraId="10AFD4B7" w14:textId="77777777" w:rsidR="00DF61BC" w:rsidRPr="00C94C33" w:rsidRDefault="00DF61BC" w:rsidP="001542C5">
            <w:pPr>
              <w:pStyle w:val="TableHeading"/>
              <w:jc w:val="center"/>
            </w:pPr>
            <w:r w:rsidRPr="00C94C33">
              <w:t xml:space="preserve">N </w:t>
            </w:r>
            <w:r w:rsidRPr="00C94C33">
              <w:rPr>
                <w:vertAlign w:val="superscript"/>
              </w:rPr>
              <w:t>a</w:t>
            </w:r>
          </w:p>
        </w:tc>
        <w:tc>
          <w:tcPr>
            <w:tcW w:w="1559" w:type="dxa"/>
            <w:tcBorders>
              <w:left w:val="nil"/>
              <w:bottom w:val="single" w:sz="7" w:space="0" w:color="000000"/>
            </w:tcBorders>
            <w:shd w:val="clear" w:color="auto" w:fill="auto"/>
          </w:tcPr>
          <w:p w14:paraId="44801BA4" w14:textId="77777777" w:rsidR="00DF61BC" w:rsidRPr="00C94C33" w:rsidRDefault="00DF61BC" w:rsidP="001542C5">
            <w:pPr>
              <w:pStyle w:val="TableHeading"/>
              <w:jc w:val="center"/>
            </w:pPr>
            <w:r w:rsidRPr="00C94C33">
              <w:t>Grade 3, n (%)</w:t>
            </w:r>
          </w:p>
        </w:tc>
        <w:tc>
          <w:tcPr>
            <w:tcW w:w="1418" w:type="dxa"/>
            <w:tcBorders>
              <w:left w:val="nil"/>
              <w:bottom w:val="single" w:sz="7" w:space="0" w:color="000000"/>
              <w:right w:val="single" w:sz="6" w:space="0" w:color="000000"/>
            </w:tcBorders>
            <w:shd w:val="clear" w:color="auto" w:fill="auto"/>
          </w:tcPr>
          <w:p w14:paraId="01B12E09" w14:textId="77777777" w:rsidR="00DF61BC" w:rsidRPr="00C94C33" w:rsidRDefault="00DF61BC" w:rsidP="001542C5">
            <w:pPr>
              <w:pStyle w:val="TableHeading"/>
              <w:jc w:val="center"/>
            </w:pPr>
            <w:r w:rsidRPr="00C94C33">
              <w:t>Grade 4, n (%)</w:t>
            </w:r>
          </w:p>
        </w:tc>
        <w:tc>
          <w:tcPr>
            <w:tcW w:w="708" w:type="dxa"/>
            <w:tcBorders>
              <w:left w:val="single" w:sz="6" w:space="0" w:color="000000"/>
              <w:bottom w:val="single" w:sz="7" w:space="0" w:color="000000"/>
            </w:tcBorders>
            <w:shd w:val="clear" w:color="auto" w:fill="auto"/>
          </w:tcPr>
          <w:p w14:paraId="053FBF61" w14:textId="77777777" w:rsidR="00DF61BC" w:rsidRPr="00C94C33" w:rsidRDefault="00DF61BC" w:rsidP="001542C5">
            <w:pPr>
              <w:pStyle w:val="TableHeading"/>
              <w:jc w:val="center"/>
            </w:pPr>
            <w:r w:rsidRPr="00C94C33">
              <w:t xml:space="preserve">N </w:t>
            </w:r>
            <w:r w:rsidRPr="00C94C33">
              <w:rPr>
                <w:vertAlign w:val="superscript"/>
              </w:rPr>
              <w:t>a</w:t>
            </w:r>
          </w:p>
        </w:tc>
        <w:tc>
          <w:tcPr>
            <w:tcW w:w="1985" w:type="dxa"/>
            <w:tcBorders>
              <w:left w:val="nil"/>
              <w:bottom w:val="single" w:sz="7" w:space="0" w:color="000000"/>
            </w:tcBorders>
            <w:shd w:val="clear" w:color="auto" w:fill="auto"/>
          </w:tcPr>
          <w:p w14:paraId="799D90E1" w14:textId="77777777" w:rsidR="00DF61BC" w:rsidRPr="00C94C33" w:rsidRDefault="00DF61BC" w:rsidP="001542C5">
            <w:pPr>
              <w:pStyle w:val="TableHeading"/>
              <w:jc w:val="center"/>
            </w:pPr>
            <w:r w:rsidRPr="00C94C33">
              <w:t>Grade 3, n (%)</w:t>
            </w:r>
          </w:p>
        </w:tc>
        <w:tc>
          <w:tcPr>
            <w:tcW w:w="1458" w:type="dxa"/>
            <w:tcBorders>
              <w:left w:val="nil"/>
              <w:bottom w:val="single" w:sz="7" w:space="0" w:color="000000"/>
              <w:right w:val="single" w:sz="4" w:space="0" w:color="auto"/>
            </w:tcBorders>
            <w:shd w:val="clear" w:color="auto" w:fill="auto"/>
          </w:tcPr>
          <w:p w14:paraId="2CCBF1C1" w14:textId="77777777" w:rsidR="00DF61BC" w:rsidRPr="00C94C33" w:rsidRDefault="00DF61BC" w:rsidP="001542C5">
            <w:pPr>
              <w:pStyle w:val="TableHeading"/>
            </w:pPr>
            <w:r w:rsidRPr="00C94C33">
              <w:t>Grade 4, n (%)</w:t>
            </w:r>
          </w:p>
        </w:tc>
      </w:tr>
      <w:tr w:rsidR="00DF61BC" w:rsidRPr="00C94C33" w14:paraId="6C2A76B1" w14:textId="77777777" w:rsidTr="001542C5">
        <w:trPr>
          <w:trHeight w:hRule="exact" w:val="328"/>
        </w:trPr>
        <w:tc>
          <w:tcPr>
            <w:tcW w:w="1739" w:type="dxa"/>
            <w:tcBorders>
              <w:top w:val="single" w:sz="7" w:space="0" w:color="000000"/>
              <w:left w:val="single" w:sz="4" w:space="0" w:color="auto"/>
              <w:bottom w:val="single" w:sz="7" w:space="0" w:color="000000"/>
              <w:right w:val="single" w:sz="6" w:space="0" w:color="000000"/>
            </w:tcBorders>
            <w:shd w:val="clear" w:color="auto" w:fill="auto"/>
          </w:tcPr>
          <w:p w14:paraId="36814525" w14:textId="77777777" w:rsidR="00DF61BC" w:rsidRPr="00C94C33" w:rsidRDefault="00DF61BC" w:rsidP="001542C5">
            <w:pPr>
              <w:pStyle w:val="Tabletext"/>
            </w:pPr>
            <w:bookmarkStart w:id="413" w:name="12.4.3._Serum_Chemistry"/>
            <w:bookmarkStart w:id="414" w:name="12.4.3.1._Grade_3-4_Abnormalities"/>
            <w:bookmarkStart w:id="415" w:name="Table_55:_Grade_3_or_4_Abnormalities_in_"/>
            <w:bookmarkEnd w:id="413"/>
            <w:bookmarkEnd w:id="414"/>
            <w:bookmarkEnd w:id="415"/>
            <w:r w:rsidRPr="00C94C33">
              <w:t>Albumin</w:t>
            </w:r>
          </w:p>
        </w:tc>
        <w:tc>
          <w:tcPr>
            <w:tcW w:w="709" w:type="dxa"/>
            <w:tcBorders>
              <w:top w:val="single" w:sz="7" w:space="0" w:color="000000"/>
              <w:left w:val="single" w:sz="6" w:space="0" w:color="000000"/>
              <w:bottom w:val="single" w:sz="7" w:space="0" w:color="000000"/>
            </w:tcBorders>
            <w:shd w:val="clear" w:color="auto" w:fill="auto"/>
          </w:tcPr>
          <w:p w14:paraId="18466773" w14:textId="77777777" w:rsidR="00DF61BC" w:rsidRPr="00C94C33" w:rsidRDefault="00DF61BC" w:rsidP="001542C5">
            <w:pPr>
              <w:pStyle w:val="Tabletext"/>
              <w:jc w:val="center"/>
            </w:pPr>
            <w:r w:rsidRPr="00C94C33">
              <w:t>524</w:t>
            </w:r>
          </w:p>
        </w:tc>
        <w:tc>
          <w:tcPr>
            <w:tcW w:w="1559" w:type="dxa"/>
            <w:tcBorders>
              <w:top w:val="single" w:sz="7" w:space="0" w:color="000000"/>
              <w:left w:val="nil"/>
              <w:bottom w:val="single" w:sz="7" w:space="0" w:color="000000"/>
            </w:tcBorders>
            <w:shd w:val="clear" w:color="auto" w:fill="auto"/>
          </w:tcPr>
          <w:p w14:paraId="5FFB536F" w14:textId="77777777" w:rsidR="00DF61BC" w:rsidRPr="00C94C33" w:rsidRDefault="00DF61BC" w:rsidP="001542C5">
            <w:pPr>
              <w:pStyle w:val="Tabletext"/>
              <w:jc w:val="center"/>
            </w:pPr>
            <w:r w:rsidRPr="00C94C33">
              <w:t>13</w:t>
            </w:r>
            <w:r w:rsidRPr="00C94C33">
              <w:rPr>
                <w:spacing w:val="-7"/>
              </w:rPr>
              <w:t xml:space="preserve"> </w:t>
            </w:r>
            <w:r w:rsidRPr="00C94C33">
              <w:t>(2.5)</w:t>
            </w:r>
          </w:p>
        </w:tc>
        <w:tc>
          <w:tcPr>
            <w:tcW w:w="1418" w:type="dxa"/>
            <w:tcBorders>
              <w:top w:val="single" w:sz="7" w:space="0" w:color="000000"/>
              <w:left w:val="nil"/>
              <w:bottom w:val="single" w:sz="7" w:space="0" w:color="000000"/>
              <w:right w:val="single" w:sz="6" w:space="0" w:color="000000"/>
            </w:tcBorders>
            <w:shd w:val="clear" w:color="auto" w:fill="auto"/>
          </w:tcPr>
          <w:p w14:paraId="47BCAD0E" w14:textId="77777777" w:rsidR="00DF61BC" w:rsidRPr="00C94C33" w:rsidRDefault="00DF61BC" w:rsidP="001542C5">
            <w:pPr>
              <w:pStyle w:val="Tabletext"/>
              <w:jc w:val="center"/>
            </w:pPr>
            <w:r w:rsidRPr="00C94C33">
              <w:t>0</w:t>
            </w:r>
          </w:p>
        </w:tc>
        <w:tc>
          <w:tcPr>
            <w:tcW w:w="708" w:type="dxa"/>
            <w:tcBorders>
              <w:top w:val="single" w:sz="7" w:space="0" w:color="000000"/>
              <w:left w:val="single" w:sz="6" w:space="0" w:color="000000"/>
              <w:bottom w:val="single" w:sz="7" w:space="0" w:color="000000"/>
            </w:tcBorders>
            <w:shd w:val="clear" w:color="auto" w:fill="auto"/>
          </w:tcPr>
          <w:p w14:paraId="2C47C2DC" w14:textId="77777777" w:rsidR="00DF61BC" w:rsidRPr="00C94C33" w:rsidRDefault="00DF61BC" w:rsidP="001542C5">
            <w:pPr>
              <w:pStyle w:val="Tabletext"/>
              <w:jc w:val="center"/>
            </w:pPr>
            <w:r w:rsidRPr="00C94C33">
              <w:t>259</w:t>
            </w:r>
          </w:p>
        </w:tc>
        <w:tc>
          <w:tcPr>
            <w:tcW w:w="1985" w:type="dxa"/>
            <w:tcBorders>
              <w:top w:val="single" w:sz="7" w:space="0" w:color="000000"/>
              <w:left w:val="nil"/>
              <w:bottom w:val="single" w:sz="7" w:space="0" w:color="000000"/>
            </w:tcBorders>
            <w:shd w:val="clear" w:color="auto" w:fill="auto"/>
          </w:tcPr>
          <w:p w14:paraId="580B446B" w14:textId="77777777" w:rsidR="00DF61BC" w:rsidRPr="00C94C33" w:rsidRDefault="00DF61BC" w:rsidP="001542C5">
            <w:pPr>
              <w:pStyle w:val="Tabletext"/>
              <w:jc w:val="center"/>
            </w:pPr>
            <w:r w:rsidRPr="00C94C33">
              <w:t>9</w:t>
            </w:r>
            <w:r w:rsidRPr="00C94C33">
              <w:rPr>
                <w:spacing w:val="-6"/>
              </w:rPr>
              <w:t xml:space="preserve"> </w:t>
            </w:r>
            <w:r w:rsidRPr="00C94C33">
              <w:t>(3.5)</w:t>
            </w:r>
          </w:p>
        </w:tc>
        <w:tc>
          <w:tcPr>
            <w:tcW w:w="1458" w:type="dxa"/>
            <w:tcBorders>
              <w:top w:val="single" w:sz="7" w:space="0" w:color="000000"/>
              <w:left w:val="nil"/>
              <w:bottom w:val="single" w:sz="7" w:space="0" w:color="000000"/>
              <w:right w:val="single" w:sz="4" w:space="0" w:color="auto"/>
            </w:tcBorders>
            <w:shd w:val="clear" w:color="auto" w:fill="auto"/>
          </w:tcPr>
          <w:p w14:paraId="434C9630" w14:textId="77777777" w:rsidR="00DF61BC" w:rsidRPr="00C94C33" w:rsidRDefault="00DF61BC" w:rsidP="001542C5">
            <w:pPr>
              <w:pStyle w:val="Tabletext"/>
              <w:jc w:val="center"/>
            </w:pPr>
            <w:r w:rsidRPr="00C94C33">
              <w:t>0</w:t>
            </w:r>
          </w:p>
        </w:tc>
      </w:tr>
      <w:tr w:rsidR="00DF61BC" w:rsidRPr="00C94C33" w14:paraId="790E7E7D" w14:textId="77777777" w:rsidTr="001542C5">
        <w:trPr>
          <w:trHeight w:hRule="exact" w:val="328"/>
        </w:trPr>
        <w:tc>
          <w:tcPr>
            <w:tcW w:w="1739" w:type="dxa"/>
            <w:tcBorders>
              <w:top w:val="single" w:sz="7" w:space="0" w:color="000000"/>
              <w:left w:val="single" w:sz="4" w:space="0" w:color="auto"/>
              <w:bottom w:val="single" w:sz="7" w:space="0" w:color="000000"/>
              <w:right w:val="single" w:sz="6" w:space="0" w:color="000000"/>
            </w:tcBorders>
            <w:shd w:val="clear" w:color="auto" w:fill="auto"/>
          </w:tcPr>
          <w:p w14:paraId="34185A8A" w14:textId="77777777" w:rsidR="00DF61BC" w:rsidRPr="00C94C33" w:rsidRDefault="00DF61BC" w:rsidP="001542C5">
            <w:pPr>
              <w:pStyle w:val="Tabletext"/>
            </w:pPr>
            <w:r w:rsidRPr="00C94C33">
              <w:t>Alkaline</w:t>
            </w:r>
            <w:r w:rsidRPr="00C94C33">
              <w:rPr>
                <w:spacing w:val="-19"/>
              </w:rPr>
              <w:t xml:space="preserve"> </w:t>
            </w:r>
            <w:r w:rsidRPr="00C94C33">
              <w:t>phosphatase</w:t>
            </w:r>
          </w:p>
        </w:tc>
        <w:tc>
          <w:tcPr>
            <w:tcW w:w="709" w:type="dxa"/>
            <w:tcBorders>
              <w:top w:val="single" w:sz="7" w:space="0" w:color="000000"/>
              <w:left w:val="single" w:sz="6" w:space="0" w:color="000000"/>
              <w:bottom w:val="single" w:sz="7" w:space="0" w:color="000000"/>
            </w:tcBorders>
            <w:shd w:val="clear" w:color="auto" w:fill="auto"/>
          </w:tcPr>
          <w:p w14:paraId="25562BE3" w14:textId="77777777" w:rsidR="00DF61BC" w:rsidRPr="00C94C33" w:rsidRDefault="00DF61BC" w:rsidP="001542C5">
            <w:pPr>
              <w:pStyle w:val="Tabletext"/>
              <w:jc w:val="center"/>
            </w:pPr>
            <w:r w:rsidRPr="00C94C33">
              <w:t>526</w:t>
            </w:r>
          </w:p>
        </w:tc>
        <w:tc>
          <w:tcPr>
            <w:tcW w:w="1559" w:type="dxa"/>
            <w:tcBorders>
              <w:top w:val="single" w:sz="7" w:space="0" w:color="000000"/>
              <w:left w:val="nil"/>
              <w:bottom w:val="single" w:sz="7" w:space="0" w:color="000000"/>
            </w:tcBorders>
            <w:shd w:val="clear" w:color="auto" w:fill="auto"/>
          </w:tcPr>
          <w:p w14:paraId="75DE6F70" w14:textId="77777777" w:rsidR="00DF61BC" w:rsidRPr="00C94C33" w:rsidRDefault="00DF61BC" w:rsidP="001542C5">
            <w:pPr>
              <w:pStyle w:val="Tabletext"/>
              <w:jc w:val="center"/>
            </w:pPr>
            <w:r w:rsidRPr="00C94C33">
              <w:t>42</w:t>
            </w:r>
            <w:r w:rsidRPr="00C94C33">
              <w:rPr>
                <w:spacing w:val="-7"/>
              </w:rPr>
              <w:t xml:space="preserve"> </w:t>
            </w:r>
            <w:r w:rsidRPr="00C94C33">
              <w:t>(8.0)</w:t>
            </w:r>
          </w:p>
        </w:tc>
        <w:tc>
          <w:tcPr>
            <w:tcW w:w="1418" w:type="dxa"/>
            <w:tcBorders>
              <w:top w:val="single" w:sz="7" w:space="0" w:color="000000"/>
              <w:left w:val="nil"/>
              <w:bottom w:val="single" w:sz="7" w:space="0" w:color="000000"/>
              <w:right w:val="single" w:sz="6" w:space="0" w:color="000000"/>
            </w:tcBorders>
            <w:shd w:val="clear" w:color="auto" w:fill="auto"/>
          </w:tcPr>
          <w:p w14:paraId="716622EE" w14:textId="77777777" w:rsidR="00DF61BC" w:rsidRPr="00C94C33" w:rsidRDefault="00DF61BC" w:rsidP="001542C5">
            <w:pPr>
              <w:pStyle w:val="Tabletext"/>
              <w:jc w:val="center"/>
            </w:pPr>
            <w:r w:rsidRPr="00C94C33">
              <w:t>0</w:t>
            </w:r>
          </w:p>
        </w:tc>
        <w:tc>
          <w:tcPr>
            <w:tcW w:w="708" w:type="dxa"/>
            <w:tcBorders>
              <w:top w:val="single" w:sz="7" w:space="0" w:color="000000"/>
              <w:left w:val="single" w:sz="6" w:space="0" w:color="000000"/>
              <w:bottom w:val="single" w:sz="7" w:space="0" w:color="000000"/>
            </w:tcBorders>
            <w:shd w:val="clear" w:color="auto" w:fill="auto"/>
          </w:tcPr>
          <w:p w14:paraId="7656FF6A" w14:textId="77777777" w:rsidR="00DF61BC" w:rsidRPr="00C94C33" w:rsidRDefault="00DF61BC" w:rsidP="001542C5">
            <w:pPr>
              <w:pStyle w:val="Tabletext"/>
              <w:jc w:val="center"/>
            </w:pPr>
            <w:r w:rsidRPr="00C94C33">
              <w:t>262</w:t>
            </w:r>
          </w:p>
        </w:tc>
        <w:tc>
          <w:tcPr>
            <w:tcW w:w="1985" w:type="dxa"/>
            <w:tcBorders>
              <w:top w:val="single" w:sz="7" w:space="0" w:color="000000"/>
              <w:left w:val="nil"/>
              <w:bottom w:val="single" w:sz="7" w:space="0" w:color="000000"/>
            </w:tcBorders>
            <w:shd w:val="clear" w:color="auto" w:fill="auto"/>
          </w:tcPr>
          <w:p w14:paraId="02918890" w14:textId="77777777" w:rsidR="00DF61BC" w:rsidRPr="00C94C33" w:rsidRDefault="00DF61BC" w:rsidP="001542C5">
            <w:pPr>
              <w:pStyle w:val="Tabletext"/>
              <w:jc w:val="center"/>
            </w:pPr>
            <w:r w:rsidRPr="00C94C33">
              <w:t>28</w:t>
            </w:r>
            <w:r w:rsidRPr="00C94C33">
              <w:rPr>
                <w:spacing w:val="-8"/>
              </w:rPr>
              <w:t xml:space="preserve"> </w:t>
            </w:r>
            <w:r w:rsidRPr="00C94C33">
              <w:t>(10.7)</w:t>
            </w:r>
          </w:p>
        </w:tc>
        <w:tc>
          <w:tcPr>
            <w:tcW w:w="1458" w:type="dxa"/>
            <w:tcBorders>
              <w:top w:val="single" w:sz="7" w:space="0" w:color="000000"/>
              <w:left w:val="nil"/>
              <w:bottom w:val="single" w:sz="7" w:space="0" w:color="000000"/>
              <w:right w:val="single" w:sz="4" w:space="0" w:color="auto"/>
            </w:tcBorders>
            <w:shd w:val="clear" w:color="auto" w:fill="auto"/>
          </w:tcPr>
          <w:p w14:paraId="2430A3F4" w14:textId="77777777" w:rsidR="00DF61BC" w:rsidRPr="00C94C33" w:rsidRDefault="00DF61BC" w:rsidP="001542C5">
            <w:pPr>
              <w:pStyle w:val="Tabletext"/>
              <w:jc w:val="center"/>
            </w:pPr>
            <w:r w:rsidRPr="00C94C33">
              <w:t>0</w:t>
            </w:r>
          </w:p>
        </w:tc>
      </w:tr>
      <w:tr w:rsidR="00DF61BC" w:rsidRPr="00C94C33" w14:paraId="79BFC6E4" w14:textId="77777777" w:rsidTr="001542C5">
        <w:trPr>
          <w:trHeight w:hRule="exact" w:val="329"/>
        </w:trPr>
        <w:tc>
          <w:tcPr>
            <w:tcW w:w="1739" w:type="dxa"/>
            <w:tcBorders>
              <w:top w:val="single" w:sz="7" w:space="0" w:color="000000"/>
              <w:left w:val="single" w:sz="4" w:space="0" w:color="auto"/>
              <w:bottom w:val="single" w:sz="7" w:space="0" w:color="000000"/>
              <w:right w:val="single" w:sz="6" w:space="0" w:color="000000"/>
            </w:tcBorders>
            <w:shd w:val="clear" w:color="auto" w:fill="auto"/>
          </w:tcPr>
          <w:p w14:paraId="3C1770C1" w14:textId="77777777" w:rsidR="00DF61BC" w:rsidRPr="00C94C33" w:rsidRDefault="00DF61BC" w:rsidP="001542C5">
            <w:pPr>
              <w:pStyle w:val="Tabletext"/>
            </w:pPr>
            <w:r w:rsidRPr="00C94C33">
              <w:t>ALT</w:t>
            </w:r>
          </w:p>
        </w:tc>
        <w:tc>
          <w:tcPr>
            <w:tcW w:w="709" w:type="dxa"/>
            <w:tcBorders>
              <w:top w:val="single" w:sz="7" w:space="0" w:color="000000"/>
              <w:left w:val="single" w:sz="6" w:space="0" w:color="000000"/>
              <w:bottom w:val="single" w:sz="7" w:space="0" w:color="000000"/>
            </w:tcBorders>
            <w:shd w:val="clear" w:color="auto" w:fill="auto"/>
          </w:tcPr>
          <w:p w14:paraId="6A4D72F4" w14:textId="77777777" w:rsidR="00DF61BC" w:rsidRPr="00C94C33" w:rsidRDefault="00DF61BC" w:rsidP="001542C5">
            <w:pPr>
              <w:pStyle w:val="Tabletext"/>
              <w:jc w:val="center"/>
            </w:pPr>
            <w:r w:rsidRPr="00C94C33">
              <w:t>526</w:t>
            </w:r>
          </w:p>
        </w:tc>
        <w:tc>
          <w:tcPr>
            <w:tcW w:w="1559" w:type="dxa"/>
            <w:tcBorders>
              <w:top w:val="single" w:sz="7" w:space="0" w:color="000000"/>
              <w:left w:val="nil"/>
              <w:bottom w:val="single" w:sz="7" w:space="0" w:color="000000"/>
            </w:tcBorders>
            <w:shd w:val="clear" w:color="auto" w:fill="auto"/>
          </w:tcPr>
          <w:p w14:paraId="383FE87C" w14:textId="77777777" w:rsidR="00DF61BC" w:rsidRPr="00C94C33" w:rsidRDefault="00DF61BC" w:rsidP="001542C5">
            <w:pPr>
              <w:pStyle w:val="Tabletext"/>
              <w:jc w:val="center"/>
            </w:pPr>
            <w:r w:rsidRPr="00C94C33">
              <w:t>9</w:t>
            </w:r>
            <w:r w:rsidRPr="00C94C33">
              <w:rPr>
                <w:spacing w:val="-6"/>
              </w:rPr>
              <w:t xml:space="preserve"> </w:t>
            </w:r>
            <w:r w:rsidRPr="00C94C33">
              <w:t>(1.7)</w:t>
            </w:r>
          </w:p>
        </w:tc>
        <w:tc>
          <w:tcPr>
            <w:tcW w:w="1418" w:type="dxa"/>
            <w:tcBorders>
              <w:top w:val="single" w:sz="7" w:space="0" w:color="000000"/>
              <w:left w:val="nil"/>
              <w:bottom w:val="single" w:sz="7" w:space="0" w:color="000000"/>
              <w:right w:val="single" w:sz="6" w:space="0" w:color="000000"/>
            </w:tcBorders>
            <w:shd w:val="clear" w:color="auto" w:fill="auto"/>
          </w:tcPr>
          <w:p w14:paraId="06C6C1D4" w14:textId="77777777" w:rsidR="00DF61BC" w:rsidRPr="00C94C33" w:rsidRDefault="00DF61BC" w:rsidP="001542C5">
            <w:pPr>
              <w:pStyle w:val="Tabletext"/>
              <w:jc w:val="center"/>
            </w:pPr>
            <w:r w:rsidRPr="00C94C33">
              <w:t>1</w:t>
            </w:r>
            <w:r w:rsidRPr="00C94C33">
              <w:rPr>
                <w:spacing w:val="-6"/>
              </w:rPr>
              <w:t xml:space="preserve"> </w:t>
            </w:r>
            <w:r w:rsidRPr="00C94C33">
              <w:t>(0.2)</w:t>
            </w:r>
          </w:p>
        </w:tc>
        <w:tc>
          <w:tcPr>
            <w:tcW w:w="708" w:type="dxa"/>
            <w:tcBorders>
              <w:top w:val="single" w:sz="7" w:space="0" w:color="000000"/>
              <w:left w:val="single" w:sz="6" w:space="0" w:color="000000"/>
              <w:bottom w:val="single" w:sz="7" w:space="0" w:color="000000"/>
            </w:tcBorders>
            <w:shd w:val="clear" w:color="auto" w:fill="auto"/>
          </w:tcPr>
          <w:p w14:paraId="1206A142" w14:textId="77777777" w:rsidR="00DF61BC" w:rsidRPr="00C94C33" w:rsidRDefault="00DF61BC" w:rsidP="001542C5">
            <w:pPr>
              <w:pStyle w:val="Tabletext"/>
              <w:jc w:val="center"/>
            </w:pPr>
            <w:r w:rsidRPr="00C94C33">
              <w:t>263</w:t>
            </w:r>
          </w:p>
        </w:tc>
        <w:tc>
          <w:tcPr>
            <w:tcW w:w="1985" w:type="dxa"/>
            <w:tcBorders>
              <w:top w:val="single" w:sz="7" w:space="0" w:color="000000"/>
              <w:left w:val="nil"/>
              <w:bottom w:val="single" w:sz="7" w:space="0" w:color="000000"/>
            </w:tcBorders>
            <w:shd w:val="clear" w:color="auto" w:fill="auto"/>
          </w:tcPr>
          <w:p w14:paraId="23652025" w14:textId="77777777" w:rsidR="00DF61BC" w:rsidRPr="00C94C33" w:rsidRDefault="00DF61BC" w:rsidP="001542C5">
            <w:pPr>
              <w:pStyle w:val="Tabletext"/>
              <w:jc w:val="center"/>
            </w:pPr>
            <w:r w:rsidRPr="00C94C33">
              <w:t>8</w:t>
            </w:r>
            <w:r w:rsidRPr="00C94C33">
              <w:rPr>
                <w:spacing w:val="-6"/>
              </w:rPr>
              <w:t xml:space="preserve"> </w:t>
            </w:r>
            <w:r w:rsidRPr="00C94C33">
              <w:t>(3.0)</w:t>
            </w:r>
          </w:p>
        </w:tc>
        <w:tc>
          <w:tcPr>
            <w:tcW w:w="1458" w:type="dxa"/>
            <w:tcBorders>
              <w:top w:val="single" w:sz="7" w:space="0" w:color="000000"/>
              <w:left w:val="nil"/>
              <w:bottom w:val="single" w:sz="7" w:space="0" w:color="000000"/>
              <w:right w:val="single" w:sz="4" w:space="0" w:color="auto"/>
            </w:tcBorders>
            <w:shd w:val="clear" w:color="auto" w:fill="auto"/>
          </w:tcPr>
          <w:p w14:paraId="798EE3A2" w14:textId="77777777" w:rsidR="00DF61BC" w:rsidRPr="00C94C33" w:rsidRDefault="00DF61BC" w:rsidP="001542C5">
            <w:pPr>
              <w:pStyle w:val="Tabletext"/>
              <w:jc w:val="center"/>
            </w:pPr>
            <w:r w:rsidRPr="00C94C33">
              <w:t>2</w:t>
            </w:r>
            <w:r w:rsidRPr="00C94C33">
              <w:rPr>
                <w:spacing w:val="-6"/>
              </w:rPr>
              <w:t xml:space="preserve"> </w:t>
            </w:r>
            <w:r w:rsidRPr="00C94C33">
              <w:t>(0.8)</w:t>
            </w:r>
          </w:p>
        </w:tc>
      </w:tr>
      <w:tr w:rsidR="00DF61BC" w:rsidRPr="00C94C33" w14:paraId="0DD17474" w14:textId="77777777" w:rsidTr="001542C5">
        <w:trPr>
          <w:trHeight w:hRule="exact" w:val="328"/>
        </w:trPr>
        <w:tc>
          <w:tcPr>
            <w:tcW w:w="1739" w:type="dxa"/>
            <w:tcBorders>
              <w:top w:val="single" w:sz="7" w:space="0" w:color="000000"/>
              <w:left w:val="single" w:sz="4" w:space="0" w:color="auto"/>
              <w:bottom w:val="single" w:sz="7" w:space="0" w:color="000000"/>
              <w:right w:val="single" w:sz="6" w:space="0" w:color="000000"/>
            </w:tcBorders>
            <w:shd w:val="clear" w:color="auto" w:fill="auto"/>
          </w:tcPr>
          <w:p w14:paraId="4D3E2192" w14:textId="77777777" w:rsidR="00DF61BC" w:rsidRPr="00C94C33" w:rsidRDefault="00DF61BC" w:rsidP="001542C5">
            <w:pPr>
              <w:pStyle w:val="Tabletext"/>
            </w:pPr>
            <w:r w:rsidRPr="00C94C33">
              <w:t>AST</w:t>
            </w:r>
          </w:p>
        </w:tc>
        <w:tc>
          <w:tcPr>
            <w:tcW w:w="709" w:type="dxa"/>
            <w:tcBorders>
              <w:top w:val="single" w:sz="7" w:space="0" w:color="000000"/>
              <w:left w:val="single" w:sz="6" w:space="0" w:color="000000"/>
              <w:bottom w:val="single" w:sz="7" w:space="0" w:color="000000"/>
            </w:tcBorders>
            <w:shd w:val="clear" w:color="auto" w:fill="auto"/>
          </w:tcPr>
          <w:p w14:paraId="639ACAE8" w14:textId="77777777" w:rsidR="00DF61BC" w:rsidRPr="00C94C33" w:rsidRDefault="00DF61BC" w:rsidP="001542C5">
            <w:pPr>
              <w:pStyle w:val="Tabletext"/>
              <w:jc w:val="center"/>
            </w:pPr>
            <w:r w:rsidRPr="00C94C33">
              <w:t>524</w:t>
            </w:r>
          </w:p>
        </w:tc>
        <w:tc>
          <w:tcPr>
            <w:tcW w:w="1559" w:type="dxa"/>
            <w:tcBorders>
              <w:top w:val="single" w:sz="7" w:space="0" w:color="000000"/>
              <w:left w:val="nil"/>
              <w:bottom w:val="single" w:sz="7" w:space="0" w:color="000000"/>
            </w:tcBorders>
            <w:shd w:val="clear" w:color="auto" w:fill="auto"/>
          </w:tcPr>
          <w:p w14:paraId="44672390" w14:textId="77777777" w:rsidR="00DF61BC" w:rsidRPr="00C94C33" w:rsidRDefault="00DF61BC" w:rsidP="001542C5">
            <w:pPr>
              <w:pStyle w:val="Tabletext"/>
              <w:jc w:val="center"/>
            </w:pPr>
            <w:r w:rsidRPr="00C94C33">
              <w:t>21</w:t>
            </w:r>
            <w:r w:rsidRPr="00C94C33">
              <w:rPr>
                <w:spacing w:val="-7"/>
              </w:rPr>
              <w:t xml:space="preserve"> </w:t>
            </w:r>
            <w:r w:rsidRPr="00C94C33">
              <w:t>(4.0)</w:t>
            </w:r>
          </w:p>
        </w:tc>
        <w:tc>
          <w:tcPr>
            <w:tcW w:w="1418" w:type="dxa"/>
            <w:tcBorders>
              <w:top w:val="single" w:sz="7" w:space="0" w:color="000000"/>
              <w:left w:val="nil"/>
              <w:bottom w:val="single" w:sz="7" w:space="0" w:color="000000"/>
              <w:right w:val="single" w:sz="6" w:space="0" w:color="000000"/>
            </w:tcBorders>
            <w:shd w:val="clear" w:color="auto" w:fill="auto"/>
          </w:tcPr>
          <w:p w14:paraId="43CC19C3" w14:textId="77777777" w:rsidR="00DF61BC" w:rsidRPr="00C94C33" w:rsidRDefault="00DF61BC" w:rsidP="001542C5">
            <w:pPr>
              <w:pStyle w:val="Tabletext"/>
              <w:jc w:val="center"/>
            </w:pPr>
            <w:r w:rsidRPr="00C94C33">
              <w:t>2</w:t>
            </w:r>
            <w:r w:rsidRPr="00C94C33">
              <w:rPr>
                <w:spacing w:val="-6"/>
              </w:rPr>
              <w:t xml:space="preserve"> </w:t>
            </w:r>
            <w:r w:rsidRPr="00C94C33">
              <w:t>(0.4)</w:t>
            </w:r>
          </w:p>
        </w:tc>
        <w:tc>
          <w:tcPr>
            <w:tcW w:w="708" w:type="dxa"/>
            <w:tcBorders>
              <w:top w:val="single" w:sz="7" w:space="0" w:color="000000"/>
              <w:left w:val="single" w:sz="6" w:space="0" w:color="000000"/>
              <w:bottom w:val="single" w:sz="7" w:space="0" w:color="000000"/>
            </w:tcBorders>
            <w:shd w:val="clear" w:color="auto" w:fill="auto"/>
          </w:tcPr>
          <w:p w14:paraId="08052E80" w14:textId="77777777" w:rsidR="00DF61BC" w:rsidRPr="00C94C33" w:rsidRDefault="00DF61BC" w:rsidP="001542C5">
            <w:pPr>
              <w:pStyle w:val="Tabletext"/>
              <w:jc w:val="center"/>
            </w:pPr>
            <w:r w:rsidRPr="00C94C33">
              <w:t>262</w:t>
            </w:r>
          </w:p>
        </w:tc>
        <w:tc>
          <w:tcPr>
            <w:tcW w:w="1985" w:type="dxa"/>
            <w:tcBorders>
              <w:top w:val="single" w:sz="7" w:space="0" w:color="000000"/>
              <w:left w:val="nil"/>
              <w:bottom w:val="single" w:sz="7" w:space="0" w:color="000000"/>
            </w:tcBorders>
            <w:shd w:val="clear" w:color="auto" w:fill="auto"/>
          </w:tcPr>
          <w:p w14:paraId="49D5A41D" w14:textId="77777777" w:rsidR="00DF61BC" w:rsidRPr="00C94C33" w:rsidRDefault="00DF61BC" w:rsidP="001542C5">
            <w:pPr>
              <w:pStyle w:val="Tabletext"/>
              <w:jc w:val="center"/>
            </w:pPr>
            <w:r w:rsidRPr="00C94C33">
              <w:t>13</w:t>
            </w:r>
            <w:r w:rsidRPr="00C94C33">
              <w:rPr>
                <w:spacing w:val="-7"/>
              </w:rPr>
              <w:t xml:space="preserve"> </w:t>
            </w:r>
            <w:r w:rsidRPr="00C94C33">
              <w:t>(5.0)</w:t>
            </w:r>
          </w:p>
        </w:tc>
        <w:tc>
          <w:tcPr>
            <w:tcW w:w="1458" w:type="dxa"/>
            <w:tcBorders>
              <w:top w:val="single" w:sz="7" w:space="0" w:color="000000"/>
              <w:left w:val="nil"/>
              <w:bottom w:val="single" w:sz="7" w:space="0" w:color="000000"/>
              <w:right w:val="single" w:sz="4" w:space="0" w:color="auto"/>
            </w:tcBorders>
            <w:shd w:val="clear" w:color="auto" w:fill="auto"/>
          </w:tcPr>
          <w:p w14:paraId="2405CE8B" w14:textId="77777777" w:rsidR="00DF61BC" w:rsidRPr="00C94C33" w:rsidRDefault="00DF61BC" w:rsidP="001542C5">
            <w:pPr>
              <w:pStyle w:val="Tabletext"/>
              <w:jc w:val="center"/>
            </w:pPr>
            <w:r w:rsidRPr="00C94C33">
              <w:t>3</w:t>
            </w:r>
            <w:r w:rsidRPr="00C94C33">
              <w:rPr>
                <w:spacing w:val="-6"/>
              </w:rPr>
              <w:t xml:space="preserve"> </w:t>
            </w:r>
            <w:r w:rsidRPr="00C94C33">
              <w:t>(1.1)</w:t>
            </w:r>
          </w:p>
        </w:tc>
      </w:tr>
      <w:tr w:rsidR="00DF61BC" w:rsidRPr="00C94C33" w14:paraId="01FC1528" w14:textId="77777777" w:rsidTr="001542C5">
        <w:trPr>
          <w:trHeight w:hRule="exact" w:val="328"/>
        </w:trPr>
        <w:tc>
          <w:tcPr>
            <w:tcW w:w="1739" w:type="dxa"/>
            <w:tcBorders>
              <w:top w:val="single" w:sz="7" w:space="0" w:color="000000"/>
              <w:left w:val="single" w:sz="4" w:space="0" w:color="auto"/>
              <w:bottom w:val="single" w:sz="7" w:space="0" w:color="000000"/>
              <w:right w:val="single" w:sz="6" w:space="0" w:color="000000"/>
            </w:tcBorders>
            <w:shd w:val="clear" w:color="auto" w:fill="auto"/>
          </w:tcPr>
          <w:p w14:paraId="376D4455" w14:textId="77777777" w:rsidR="00DF61BC" w:rsidRPr="00C94C33" w:rsidRDefault="00DF61BC" w:rsidP="001542C5">
            <w:pPr>
              <w:pStyle w:val="Tabletext"/>
            </w:pPr>
            <w:r w:rsidRPr="00C94C33">
              <w:t>Bilirubin</w:t>
            </w:r>
          </w:p>
        </w:tc>
        <w:tc>
          <w:tcPr>
            <w:tcW w:w="709" w:type="dxa"/>
            <w:tcBorders>
              <w:top w:val="single" w:sz="7" w:space="0" w:color="000000"/>
              <w:left w:val="single" w:sz="6" w:space="0" w:color="000000"/>
              <w:bottom w:val="single" w:sz="7" w:space="0" w:color="000000"/>
            </w:tcBorders>
            <w:shd w:val="clear" w:color="auto" w:fill="auto"/>
          </w:tcPr>
          <w:p w14:paraId="75E34193" w14:textId="77777777" w:rsidR="00DF61BC" w:rsidRPr="00C94C33" w:rsidRDefault="00DF61BC" w:rsidP="001542C5">
            <w:pPr>
              <w:pStyle w:val="Tabletext"/>
              <w:jc w:val="center"/>
            </w:pPr>
            <w:r w:rsidRPr="00C94C33">
              <w:t>526</w:t>
            </w:r>
          </w:p>
        </w:tc>
        <w:tc>
          <w:tcPr>
            <w:tcW w:w="1559" w:type="dxa"/>
            <w:tcBorders>
              <w:top w:val="single" w:sz="7" w:space="0" w:color="000000"/>
              <w:left w:val="nil"/>
              <w:bottom w:val="single" w:sz="7" w:space="0" w:color="000000"/>
            </w:tcBorders>
            <w:shd w:val="clear" w:color="auto" w:fill="auto"/>
          </w:tcPr>
          <w:p w14:paraId="2A57964C" w14:textId="77777777" w:rsidR="00DF61BC" w:rsidRPr="00C94C33" w:rsidRDefault="00DF61BC" w:rsidP="001542C5">
            <w:pPr>
              <w:pStyle w:val="Tabletext"/>
              <w:jc w:val="center"/>
            </w:pPr>
            <w:r w:rsidRPr="00C94C33">
              <w:t>39</w:t>
            </w:r>
            <w:r w:rsidRPr="00C94C33">
              <w:rPr>
                <w:spacing w:val="-7"/>
              </w:rPr>
              <w:t xml:space="preserve"> </w:t>
            </w:r>
            <w:r w:rsidRPr="00C94C33">
              <w:t>(7.4)</w:t>
            </w:r>
          </w:p>
        </w:tc>
        <w:tc>
          <w:tcPr>
            <w:tcW w:w="1418" w:type="dxa"/>
            <w:tcBorders>
              <w:top w:val="single" w:sz="7" w:space="0" w:color="000000"/>
              <w:left w:val="nil"/>
              <w:bottom w:val="single" w:sz="7" w:space="0" w:color="000000"/>
              <w:right w:val="single" w:sz="6" w:space="0" w:color="000000"/>
            </w:tcBorders>
            <w:shd w:val="clear" w:color="auto" w:fill="auto"/>
          </w:tcPr>
          <w:p w14:paraId="7D2D98AE" w14:textId="77777777" w:rsidR="00DF61BC" w:rsidRPr="00C94C33" w:rsidRDefault="00DF61BC" w:rsidP="001542C5">
            <w:pPr>
              <w:pStyle w:val="Tabletext"/>
              <w:jc w:val="center"/>
            </w:pPr>
            <w:r w:rsidRPr="00C94C33">
              <w:t>6</w:t>
            </w:r>
            <w:r w:rsidRPr="00C94C33">
              <w:rPr>
                <w:spacing w:val="-6"/>
              </w:rPr>
              <w:t xml:space="preserve"> </w:t>
            </w:r>
            <w:r w:rsidRPr="00C94C33">
              <w:t>(1.1)</w:t>
            </w:r>
          </w:p>
        </w:tc>
        <w:tc>
          <w:tcPr>
            <w:tcW w:w="708" w:type="dxa"/>
            <w:tcBorders>
              <w:top w:val="single" w:sz="7" w:space="0" w:color="000000"/>
              <w:left w:val="single" w:sz="6" w:space="0" w:color="000000"/>
              <w:bottom w:val="single" w:sz="7" w:space="0" w:color="000000"/>
            </w:tcBorders>
            <w:shd w:val="clear" w:color="auto" w:fill="auto"/>
          </w:tcPr>
          <w:p w14:paraId="59473875" w14:textId="77777777" w:rsidR="00DF61BC" w:rsidRPr="00C94C33" w:rsidRDefault="00DF61BC" w:rsidP="001542C5">
            <w:pPr>
              <w:pStyle w:val="Tabletext"/>
              <w:jc w:val="center"/>
            </w:pPr>
            <w:r w:rsidRPr="00C94C33">
              <w:t>262</w:t>
            </w:r>
          </w:p>
        </w:tc>
        <w:tc>
          <w:tcPr>
            <w:tcW w:w="1985" w:type="dxa"/>
            <w:tcBorders>
              <w:top w:val="single" w:sz="7" w:space="0" w:color="000000"/>
              <w:left w:val="nil"/>
              <w:bottom w:val="single" w:sz="7" w:space="0" w:color="000000"/>
            </w:tcBorders>
            <w:shd w:val="clear" w:color="auto" w:fill="auto"/>
          </w:tcPr>
          <w:p w14:paraId="1C4DB40D" w14:textId="77777777" w:rsidR="00DF61BC" w:rsidRPr="00C94C33" w:rsidRDefault="00DF61BC" w:rsidP="001542C5">
            <w:pPr>
              <w:pStyle w:val="Tabletext"/>
              <w:jc w:val="center"/>
            </w:pPr>
            <w:r w:rsidRPr="00C94C33">
              <w:t>23</w:t>
            </w:r>
            <w:r w:rsidRPr="00C94C33">
              <w:rPr>
                <w:spacing w:val="-7"/>
              </w:rPr>
              <w:t xml:space="preserve"> </w:t>
            </w:r>
            <w:r w:rsidRPr="00C94C33">
              <w:t>(8.8)</w:t>
            </w:r>
          </w:p>
        </w:tc>
        <w:tc>
          <w:tcPr>
            <w:tcW w:w="1458" w:type="dxa"/>
            <w:tcBorders>
              <w:top w:val="single" w:sz="7" w:space="0" w:color="000000"/>
              <w:left w:val="nil"/>
              <w:bottom w:val="single" w:sz="7" w:space="0" w:color="000000"/>
              <w:right w:val="single" w:sz="4" w:space="0" w:color="auto"/>
            </w:tcBorders>
            <w:shd w:val="clear" w:color="auto" w:fill="auto"/>
          </w:tcPr>
          <w:p w14:paraId="6C011E80" w14:textId="77777777" w:rsidR="00DF61BC" w:rsidRPr="00C94C33" w:rsidRDefault="00DF61BC" w:rsidP="001542C5">
            <w:pPr>
              <w:pStyle w:val="Tabletext"/>
              <w:jc w:val="center"/>
            </w:pPr>
            <w:r w:rsidRPr="00C94C33">
              <w:t>8</w:t>
            </w:r>
            <w:r w:rsidRPr="00C94C33">
              <w:rPr>
                <w:spacing w:val="-6"/>
              </w:rPr>
              <w:t xml:space="preserve"> </w:t>
            </w:r>
            <w:r w:rsidRPr="00C94C33">
              <w:t>(3.1)</w:t>
            </w:r>
          </w:p>
        </w:tc>
      </w:tr>
      <w:tr w:rsidR="00DF61BC" w:rsidRPr="00C94C33" w14:paraId="0D7EF5C5" w14:textId="77777777" w:rsidTr="001542C5">
        <w:trPr>
          <w:trHeight w:hRule="exact" w:val="329"/>
        </w:trPr>
        <w:tc>
          <w:tcPr>
            <w:tcW w:w="1739" w:type="dxa"/>
            <w:tcBorders>
              <w:top w:val="single" w:sz="7" w:space="0" w:color="000000"/>
              <w:left w:val="single" w:sz="4" w:space="0" w:color="auto"/>
              <w:bottom w:val="single" w:sz="7" w:space="0" w:color="000000"/>
              <w:right w:val="single" w:sz="6" w:space="0" w:color="000000"/>
            </w:tcBorders>
            <w:shd w:val="clear" w:color="auto" w:fill="auto"/>
          </w:tcPr>
          <w:p w14:paraId="3EC44E5D" w14:textId="77777777" w:rsidR="00DF61BC" w:rsidRPr="00C94C33" w:rsidRDefault="00DF61BC" w:rsidP="001542C5">
            <w:pPr>
              <w:pStyle w:val="Tabletext"/>
            </w:pPr>
            <w:r w:rsidRPr="00C94C33">
              <w:t>Hypocalcaemia</w:t>
            </w:r>
          </w:p>
        </w:tc>
        <w:tc>
          <w:tcPr>
            <w:tcW w:w="709" w:type="dxa"/>
            <w:tcBorders>
              <w:top w:val="single" w:sz="7" w:space="0" w:color="000000"/>
              <w:left w:val="single" w:sz="6" w:space="0" w:color="000000"/>
              <w:bottom w:val="single" w:sz="7" w:space="0" w:color="000000"/>
            </w:tcBorders>
            <w:shd w:val="clear" w:color="auto" w:fill="auto"/>
          </w:tcPr>
          <w:p w14:paraId="0BFF0D6C" w14:textId="77777777" w:rsidR="00DF61BC" w:rsidRPr="00C94C33" w:rsidRDefault="00DF61BC" w:rsidP="001542C5">
            <w:pPr>
              <w:pStyle w:val="Tabletext"/>
              <w:jc w:val="center"/>
            </w:pPr>
            <w:r w:rsidRPr="00C94C33">
              <w:t>519</w:t>
            </w:r>
          </w:p>
        </w:tc>
        <w:tc>
          <w:tcPr>
            <w:tcW w:w="1559" w:type="dxa"/>
            <w:tcBorders>
              <w:top w:val="single" w:sz="7" w:space="0" w:color="000000"/>
              <w:left w:val="nil"/>
              <w:bottom w:val="single" w:sz="7" w:space="0" w:color="000000"/>
            </w:tcBorders>
            <w:shd w:val="clear" w:color="auto" w:fill="auto"/>
          </w:tcPr>
          <w:p w14:paraId="52B2A53A" w14:textId="77777777" w:rsidR="00DF61BC" w:rsidRPr="00C94C33" w:rsidRDefault="00DF61BC" w:rsidP="001542C5">
            <w:pPr>
              <w:pStyle w:val="Tabletext"/>
              <w:jc w:val="center"/>
            </w:pPr>
            <w:r w:rsidRPr="00C94C33">
              <w:t>2</w:t>
            </w:r>
            <w:r w:rsidRPr="00C94C33">
              <w:rPr>
                <w:spacing w:val="-6"/>
              </w:rPr>
              <w:t xml:space="preserve"> </w:t>
            </w:r>
            <w:r w:rsidRPr="00C94C33">
              <w:t>(0.4)</w:t>
            </w:r>
          </w:p>
        </w:tc>
        <w:tc>
          <w:tcPr>
            <w:tcW w:w="1418" w:type="dxa"/>
            <w:tcBorders>
              <w:top w:val="single" w:sz="7" w:space="0" w:color="000000"/>
              <w:left w:val="nil"/>
              <w:bottom w:val="single" w:sz="7" w:space="0" w:color="000000"/>
              <w:right w:val="single" w:sz="6" w:space="0" w:color="000000"/>
            </w:tcBorders>
            <w:shd w:val="clear" w:color="auto" w:fill="auto"/>
          </w:tcPr>
          <w:p w14:paraId="2A79765E" w14:textId="77777777" w:rsidR="00DF61BC" w:rsidRPr="00C94C33" w:rsidRDefault="00DF61BC" w:rsidP="001542C5">
            <w:pPr>
              <w:pStyle w:val="Tabletext"/>
              <w:jc w:val="center"/>
            </w:pPr>
            <w:r w:rsidRPr="00C94C33">
              <w:t>2</w:t>
            </w:r>
            <w:r w:rsidRPr="00C94C33">
              <w:rPr>
                <w:spacing w:val="-6"/>
              </w:rPr>
              <w:t xml:space="preserve"> </w:t>
            </w:r>
            <w:r w:rsidRPr="00C94C33">
              <w:t>(0.4)</w:t>
            </w:r>
          </w:p>
        </w:tc>
        <w:tc>
          <w:tcPr>
            <w:tcW w:w="708" w:type="dxa"/>
            <w:tcBorders>
              <w:top w:val="single" w:sz="7" w:space="0" w:color="000000"/>
              <w:left w:val="single" w:sz="6" w:space="0" w:color="000000"/>
              <w:bottom w:val="single" w:sz="7" w:space="0" w:color="000000"/>
            </w:tcBorders>
            <w:shd w:val="clear" w:color="auto" w:fill="auto"/>
          </w:tcPr>
          <w:p w14:paraId="10BEB4E4" w14:textId="77777777" w:rsidR="00DF61BC" w:rsidRPr="00C94C33" w:rsidRDefault="00DF61BC" w:rsidP="001542C5">
            <w:pPr>
              <w:pStyle w:val="Tabletext"/>
              <w:jc w:val="center"/>
            </w:pPr>
            <w:r w:rsidRPr="00C94C33">
              <w:t>257</w:t>
            </w:r>
          </w:p>
        </w:tc>
        <w:tc>
          <w:tcPr>
            <w:tcW w:w="1985" w:type="dxa"/>
            <w:tcBorders>
              <w:top w:val="single" w:sz="7" w:space="0" w:color="000000"/>
              <w:left w:val="nil"/>
              <w:bottom w:val="single" w:sz="7" w:space="0" w:color="000000"/>
            </w:tcBorders>
            <w:shd w:val="clear" w:color="auto" w:fill="auto"/>
          </w:tcPr>
          <w:p w14:paraId="7F2E3FE7" w14:textId="77777777" w:rsidR="00DF61BC" w:rsidRPr="00C94C33" w:rsidRDefault="00DF61BC" w:rsidP="001542C5">
            <w:pPr>
              <w:pStyle w:val="Tabletext"/>
              <w:jc w:val="center"/>
            </w:pPr>
            <w:r w:rsidRPr="00C94C33">
              <w:t>1</w:t>
            </w:r>
            <w:r w:rsidRPr="00C94C33">
              <w:rPr>
                <w:spacing w:val="-6"/>
              </w:rPr>
              <w:t xml:space="preserve"> </w:t>
            </w:r>
            <w:r w:rsidRPr="00C94C33">
              <w:t>(0.4)</w:t>
            </w:r>
          </w:p>
        </w:tc>
        <w:tc>
          <w:tcPr>
            <w:tcW w:w="1458" w:type="dxa"/>
            <w:tcBorders>
              <w:top w:val="single" w:sz="7" w:space="0" w:color="000000"/>
              <w:left w:val="nil"/>
              <w:bottom w:val="single" w:sz="7" w:space="0" w:color="000000"/>
              <w:right w:val="single" w:sz="4" w:space="0" w:color="auto"/>
            </w:tcBorders>
            <w:shd w:val="clear" w:color="auto" w:fill="auto"/>
          </w:tcPr>
          <w:p w14:paraId="2C568026" w14:textId="77777777" w:rsidR="00DF61BC" w:rsidRPr="00C94C33" w:rsidRDefault="00DF61BC" w:rsidP="001542C5">
            <w:pPr>
              <w:pStyle w:val="Tabletext"/>
              <w:jc w:val="center"/>
            </w:pPr>
            <w:r w:rsidRPr="00C94C33">
              <w:t>0</w:t>
            </w:r>
          </w:p>
        </w:tc>
      </w:tr>
      <w:tr w:rsidR="00DF61BC" w:rsidRPr="00C94C33" w14:paraId="4BBDEC52" w14:textId="77777777" w:rsidTr="001542C5">
        <w:trPr>
          <w:trHeight w:hRule="exact" w:val="328"/>
        </w:trPr>
        <w:tc>
          <w:tcPr>
            <w:tcW w:w="1739" w:type="dxa"/>
            <w:tcBorders>
              <w:top w:val="single" w:sz="7" w:space="0" w:color="000000"/>
              <w:left w:val="single" w:sz="4" w:space="0" w:color="auto"/>
              <w:bottom w:val="single" w:sz="7" w:space="0" w:color="000000"/>
              <w:right w:val="single" w:sz="6" w:space="0" w:color="000000"/>
            </w:tcBorders>
            <w:shd w:val="clear" w:color="auto" w:fill="auto"/>
          </w:tcPr>
          <w:p w14:paraId="5AA73060" w14:textId="77777777" w:rsidR="00DF61BC" w:rsidRPr="00C94C33" w:rsidRDefault="00DF61BC" w:rsidP="001542C5">
            <w:pPr>
              <w:pStyle w:val="Tabletext"/>
            </w:pPr>
            <w:r w:rsidRPr="00C94C33">
              <w:t>Creatinine</w:t>
            </w:r>
          </w:p>
        </w:tc>
        <w:tc>
          <w:tcPr>
            <w:tcW w:w="709" w:type="dxa"/>
            <w:tcBorders>
              <w:top w:val="single" w:sz="7" w:space="0" w:color="000000"/>
              <w:left w:val="single" w:sz="6" w:space="0" w:color="000000"/>
              <w:bottom w:val="single" w:sz="7" w:space="0" w:color="000000"/>
            </w:tcBorders>
            <w:shd w:val="clear" w:color="auto" w:fill="auto"/>
          </w:tcPr>
          <w:p w14:paraId="5AF7BA5A" w14:textId="77777777" w:rsidR="00DF61BC" w:rsidRPr="00C94C33" w:rsidRDefault="00DF61BC" w:rsidP="001542C5">
            <w:pPr>
              <w:pStyle w:val="Tabletext"/>
              <w:jc w:val="center"/>
            </w:pPr>
            <w:r w:rsidRPr="00C94C33">
              <w:t>527</w:t>
            </w:r>
          </w:p>
        </w:tc>
        <w:tc>
          <w:tcPr>
            <w:tcW w:w="1559" w:type="dxa"/>
            <w:tcBorders>
              <w:top w:val="single" w:sz="7" w:space="0" w:color="000000"/>
              <w:left w:val="nil"/>
              <w:bottom w:val="single" w:sz="7" w:space="0" w:color="000000"/>
            </w:tcBorders>
            <w:shd w:val="clear" w:color="auto" w:fill="auto"/>
          </w:tcPr>
          <w:p w14:paraId="6CB4E29D" w14:textId="77777777" w:rsidR="00DF61BC" w:rsidRPr="00C94C33" w:rsidRDefault="00DF61BC" w:rsidP="001542C5">
            <w:pPr>
              <w:pStyle w:val="Tabletext"/>
              <w:jc w:val="center"/>
            </w:pPr>
            <w:r w:rsidRPr="00C94C33">
              <w:t>5</w:t>
            </w:r>
            <w:r w:rsidRPr="00C94C33">
              <w:rPr>
                <w:spacing w:val="-6"/>
              </w:rPr>
              <w:t xml:space="preserve"> </w:t>
            </w:r>
            <w:r w:rsidRPr="00C94C33">
              <w:t>(0.9)</w:t>
            </w:r>
          </w:p>
        </w:tc>
        <w:tc>
          <w:tcPr>
            <w:tcW w:w="1418" w:type="dxa"/>
            <w:tcBorders>
              <w:top w:val="single" w:sz="7" w:space="0" w:color="000000"/>
              <w:left w:val="nil"/>
              <w:bottom w:val="single" w:sz="7" w:space="0" w:color="000000"/>
              <w:right w:val="single" w:sz="6" w:space="0" w:color="000000"/>
            </w:tcBorders>
            <w:shd w:val="clear" w:color="auto" w:fill="auto"/>
          </w:tcPr>
          <w:p w14:paraId="72668BA8" w14:textId="77777777" w:rsidR="00DF61BC" w:rsidRPr="00C94C33" w:rsidRDefault="00DF61BC" w:rsidP="001542C5">
            <w:pPr>
              <w:pStyle w:val="Tabletext"/>
              <w:jc w:val="center"/>
            </w:pPr>
            <w:r w:rsidRPr="00C94C33">
              <w:t>0</w:t>
            </w:r>
          </w:p>
        </w:tc>
        <w:tc>
          <w:tcPr>
            <w:tcW w:w="708" w:type="dxa"/>
            <w:tcBorders>
              <w:top w:val="single" w:sz="7" w:space="0" w:color="000000"/>
              <w:left w:val="single" w:sz="6" w:space="0" w:color="000000"/>
              <w:bottom w:val="single" w:sz="7" w:space="0" w:color="000000"/>
            </w:tcBorders>
            <w:shd w:val="clear" w:color="auto" w:fill="auto"/>
          </w:tcPr>
          <w:p w14:paraId="63089827" w14:textId="77777777" w:rsidR="00DF61BC" w:rsidRPr="00C94C33" w:rsidRDefault="00DF61BC" w:rsidP="001542C5">
            <w:pPr>
              <w:pStyle w:val="Tabletext"/>
              <w:jc w:val="center"/>
            </w:pPr>
            <w:r w:rsidRPr="00C94C33">
              <w:t>263</w:t>
            </w:r>
          </w:p>
        </w:tc>
        <w:tc>
          <w:tcPr>
            <w:tcW w:w="1985" w:type="dxa"/>
            <w:tcBorders>
              <w:top w:val="single" w:sz="7" w:space="0" w:color="000000"/>
              <w:left w:val="nil"/>
              <w:bottom w:val="single" w:sz="7" w:space="0" w:color="000000"/>
            </w:tcBorders>
            <w:shd w:val="clear" w:color="auto" w:fill="auto"/>
          </w:tcPr>
          <w:p w14:paraId="5BC1EE34" w14:textId="77777777" w:rsidR="00DF61BC" w:rsidRPr="00C94C33" w:rsidRDefault="00DF61BC" w:rsidP="001542C5">
            <w:pPr>
              <w:pStyle w:val="Tabletext"/>
              <w:jc w:val="center"/>
            </w:pPr>
            <w:r w:rsidRPr="00C94C33">
              <w:t>1</w:t>
            </w:r>
            <w:r w:rsidRPr="00C94C33">
              <w:rPr>
                <w:spacing w:val="-6"/>
              </w:rPr>
              <w:t xml:space="preserve"> </w:t>
            </w:r>
            <w:r w:rsidRPr="00C94C33">
              <w:t>(0.4)</w:t>
            </w:r>
          </w:p>
        </w:tc>
        <w:tc>
          <w:tcPr>
            <w:tcW w:w="1458" w:type="dxa"/>
            <w:tcBorders>
              <w:top w:val="single" w:sz="7" w:space="0" w:color="000000"/>
              <w:left w:val="nil"/>
              <w:bottom w:val="single" w:sz="7" w:space="0" w:color="000000"/>
              <w:right w:val="single" w:sz="4" w:space="0" w:color="auto"/>
            </w:tcBorders>
            <w:shd w:val="clear" w:color="auto" w:fill="auto"/>
          </w:tcPr>
          <w:p w14:paraId="39DC1928" w14:textId="77777777" w:rsidR="00DF61BC" w:rsidRPr="00C94C33" w:rsidRDefault="00DF61BC" w:rsidP="001542C5">
            <w:pPr>
              <w:pStyle w:val="Tabletext"/>
              <w:jc w:val="center"/>
            </w:pPr>
            <w:r w:rsidRPr="00C94C33">
              <w:t>1</w:t>
            </w:r>
            <w:r w:rsidRPr="00C94C33">
              <w:rPr>
                <w:spacing w:val="-6"/>
              </w:rPr>
              <w:t xml:space="preserve"> </w:t>
            </w:r>
            <w:r w:rsidRPr="00C94C33">
              <w:t>(0.4)</w:t>
            </w:r>
          </w:p>
        </w:tc>
      </w:tr>
      <w:tr w:rsidR="00DF61BC" w:rsidRPr="00C94C33" w14:paraId="0FFC329D" w14:textId="77777777" w:rsidTr="001542C5">
        <w:trPr>
          <w:trHeight w:hRule="exact" w:val="328"/>
        </w:trPr>
        <w:tc>
          <w:tcPr>
            <w:tcW w:w="1739" w:type="dxa"/>
            <w:tcBorders>
              <w:top w:val="single" w:sz="7" w:space="0" w:color="000000"/>
              <w:left w:val="single" w:sz="4" w:space="0" w:color="auto"/>
              <w:bottom w:val="single" w:sz="7" w:space="0" w:color="000000"/>
              <w:right w:val="single" w:sz="6" w:space="0" w:color="000000"/>
            </w:tcBorders>
            <w:shd w:val="clear" w:color="auto" w:fill="auto"/>
          </w:tcPr>
          <w:p w14:paraId="501FE8FE" w14:textId="77777777" w:rsidR="00DF61BC" w:rsidRPr="00C94C33" w:rsidRDefault="00DF61BC" w:rsidP="001542C5">
            <w:pPr>
              <w:pStyle w:val="Tabletext"/>
            </w:pPr>
            <w:r w:rsidRPr="00C94C33">
              <w:t>Hypoglycaemia</w:t>
            </w:r>
          </w:p>
        </w:tc>
        <w:tc>
          <w:tcPr>
            <w:tcW w:w="709" w:type="dxa"/>
            <w:tcBorders>
              <w:top w:val="single" w:sz="7" w:space="0" w:color="000000"/>
              <w:left w:val="single" w:sz="6" w:space="0" w:color="000000"/>
              <w:bottom w:val="single" w:sz="7" w:space="0" w:color="000000"/>
            </w:tcBorders>
            <w:shd w:val="clear" w:color="auto" w:fill="auto"/>
          </w:tcPr>
          <w:p w14:paraId="733A44FE" w14:textId="77777777" w:rsidR="00DF61BC" w:rsidRPr="00C94C33" w:rsidRDefault="00DF61BC" w:rsidP="001542C5">
            <w:pPr>
              <w:pStyle w:val="Tabletext"/>
              <w:jc w:val="center"/>
            </w:pPr>
            <w:r w:rsidRPr="00C94C33">
              <w:t>515</w:t>
            </w:r>
          </w:p>
        </w:tc>
        <w:tc>
          <w:tcPr>
            <w:tcW w:w="1559" w:type="dxa"/>
            <w:tcBorders>
              <w:top w:val="single" w:sz="7" w:space="0" w:color="000000"/>
              <w:left w:val="nil"/>
              <w:bottom w:val="single" w:sz="7" w:space="0" w:color="000000"/>
            </w:tcBorders>
            <w:shd w:val="clear" w:color="auto" w:fill="auto"/>
          </w:tcPr>
          <w:p w14:paraId="1D75B39F" w14:textId="77777777" w:rsidR="00DF61BC" w:rsidRPr="00C94C33" w:rsidRDefault="00DF61BC" w:rsidP="001542C5">
            <w:pPr>
              <w:pStyle w:val="Tabletext"/>
              <w:jc w:val="center"/>
            </w:pPr>
            <w:r w:rsidRPr="00C94C33">
              <w:t>0</w:t>
            </w:r>
          </w:p>
        </w:tc>
        <w:tc>
          <w:tcPr>
            <w:tcW w:w="1418" w:type="dxa"/>
            <w:tcBorders>
              <w:top w:val="single" w:sz="7" w:space="0" w:color="000000"/>
              <w:left w:val="nil"/>
              <w:bottom w:val="single" w:sz="7" w:space="0" w:color="000000"/>
              <w:right w:val="single" w:sz="6" w:space="0" w:color="000000"/>
            </w:tcBorders>
            <w:shd w:val="clear" w:color="auto" w:fill="auto"/>
          </w:tcPr>
          <w:p w14:paraId="47788B3D" w14:textId="77777777" w:rsidR="00DF61BC" w:rsidRPr="00C94C33" w:rsidRDefault="00DF61BC" w:rsidP="001542C5">
            <w:pPr>
              <w:pStyle w:val="Tabletext"/>
              <w:jc w:val="center"/>
            </w:pPr>
            <w:r w:rsidRPr="00C94C33">
              <w:t>1</w:t>
            </w:r>
            <w:r w:rsidRPr="00C94C33">
              <w:rPr>
                <w:spacing w:val="-6"/>
              </w:rPr>
              <w:t xml:space="preserve"> </w:t>
            </w:r>
            <w:r w:rsidRPr="00C94C33">
              <w:t>(0.2)</w:t>
            </w:r>
          </w:p>
        </w:tc>
        <w:tc>
          <w:tcPr>
            <w:tcW w:w="708" w:type="dxa"/>
            <w:tcBorders>
              <w:top w:val="single" w:sz="7" w:space="0" w:color="000000"/>
              <w:left w:val="single" w:sz="6" w:space="0" w:color="000000"/>
              <w:bottom w:val="single" w:sz="7" w:space="0" w:color="000000"/>
            </w:tcBorders>
            <w:shd w:val="clear" w:color="auto" w:fill="auto"/>
          </w:tcPr>
          <w:p w14:paraId="76829101" w14:textId="77777777" w:rsidR="00DF61BC" w:rsidRPr="00C94C33" w:rsidRDefault="00DF61BC" w:rsidP="001542C5">
            <w:pPr>
              <w:pStyle w:val="Tabletext"/>
              <w:jc w:val="center"/>
            </w:pPr>
            <w:r w:rsidRPr="00C94C33">
              <w:t>255</w:t>
            </w:r>
          </w:p>
        </w:tc>
        <w:tc>
          <w:tcPr>
            <w:tcW w:w="1985" w:type="dxa"/>
            <w:tcBorders>
              <w:top w:val="single" w:sz="7" w:space="0" w:color="000000"/>
              <w:left w:val="nil"/>
              <w:bottom w:val="single" w:sz="7" w:space="0" w:color="000000"/>
            </w:tcBorders>
            <w:shd w:val="clear" w:color="auto" w:fill="auto"/>
          </w:tcPr>
          <w:p w14:paraId="0A01B825" w14:textId="528618D6" w:rsidR="00DF61BC" w:rsidRPr="00C94C33" w:rsidRDefault="00DF61BC" w:rsidP="001542C5">
            <w:pPr>
              <w:pStyle w:val="Tabletext"/>
              <w:jc w:val="center"/>
            </w:pPr>
            <w:r w:rsidRPr="00C94C33">
              <w:t>0</w:t>
            </w:r>
          </w:p>
        </w:tc>
        <w:tc>
          <w:tcPr>
            <w:tcW w:w="1458" w:type="dxa"/>
            <w:tcBorders>
              <w:top w:val="single" w:sz="7" w:space="0" w:color="000000"/>
              <w:left w:val="nil"/>
              <w:bottom w:val="single" w:sz="7" w:space="0" w:color="000000"/>
              <w:right w:val="single" w:sz="4" w:space="0" w:color="auto"/>
            </w:tcBorders>
            <w:shd w:val="clear" w:color="auto" w:fill="auto"/>
          </w:tcPr>
          <w:p w14:paraId="7F0222C1" w14:textId="77777777" w:rsidR="00DF61BC" w:rsidRPr="00C94C33" w:rsidRDefault="00DF61BC" w:rsidP="001542C5">
            <w:pPr>
              <w:pStyle w:val="Tabletext"/>
              <w:jc w:val="center"/>
            </w:pPr>
            <w:r w:rsidRPr="00C94C33">
              <w:t>1</w:t>
            </w:r>
            <w:r w:rsidRPr="00C94C33">
              <w:rPr>
                <w:spacing w:val="-6"/>
              </w:rPr>
              <w:t xml:space="preserve"> </w:t>
            </w:r>
            <w:r w:rsidRPr="00C94C33">
              <w:t>(0.4)</w:t>
            </w:r>
          </w:p>
        </w:tc>
      </w:tr>
      <w:tr w:rsidR="00DF61BC" w:rsidRPr="00C94C33" w14:paraId="10C0408A" w14:textId="77777777" w:rsidTr="001542C5">
        <w:trPr>
          <w:trHeight w:hRule="exact" w:val="329"/>
        </w:trPr>
        <w:tc>
          <w:tcPr>
            <w:tcW w:w="1739" w:type="dxa"/>
            <w:tcBorders>
              <w:top w:val="single" w:sz="7" w:space="0" w:color="000000"/>
              <w:left w:val="single" w:sz="4" w:space="0" w:color="auto"/>
              <w:bottom w:val="single" w:sz="7" w:space="0" w:color="000000"/>
              <w:right w:val="single" w:sz="6" w:space="0" w:color="000000"/>
            </w:tcBorders>
            <w:shd w:val="clear" w:color="auto" w:fill="auto"/>
          </w:tcPr>
          <w:p w14:paraId="592E651C" w14:textId="77777777" w:rsidR="00DF61BC" w:rsidRPr="00C94C33" w:rsidRDefault="00DF61BC" w:rsidP="001542C5">
            <w:pPr>
              <w:pStyle w:val="Tabletext"/>
            </w:pPr>
            <w:r w:rsidRPr="00C94C33">
              <w:t>Hyperglycaemia</w:t>
            </w:r>
          </w:p>
        </w:tc>
        <w:tc>
          <w:tcPr>
            <w:tcW w:w="709" w:type="dxa"/>
            <w:tcBorders>
              <w:top w:val="single" w:sz="7" w:space="0" w:color="000000"/>
              <w:left w:val="single" w:sz="6" w:space="0" w:color="000000"/>
              <w:bottom w:val="single" w:sz="7" w:space="0" w:color="000000"/>
            </w:tcBorders>
            <w:shd w:val="clear" w:color="auto" w:fill="auto"/>
          </w:tcPr>
          <w:p w14:paraId="63E9C63A" w14:textId="77777777" w:rsidR="00DF61BC" w:rsidRPr="00C94C33" w:rsidRDefault="00DF61BC" w:rsidP="001542C5">
            <w:pPr>
              <w:pStyle w:val="Tabletext"/>
              <w:jc w:val="center"/>
            </w:pPr>
            <w:r w:rsidRPr="00C94C33">
              <w:t>515</w:t>
            </w:r>
          </w:p>
        </w:tc>
        <w:tc>
          <w:tcPr>
            <w:tcW w:w="1559" w:type="dxa"/>
            <w:tcBorders>
              <w:top w:val="single" w:sz="7" w:space="0" w:color="000000"/>
              <w:left w:val="nil"/>
              <w:bottom w:val="single" w:sz="7" w:space="0" w:color="000000"/>
            </w:tcBorders>
            <w:shd w:val="clear" w:color="auto" w:fill="auto"/>
          </w:tcPr>
          <w:p w14:paraId="1A667DDB" w14:textId="77777777" w:rsidR="00DF61BC" w:rsidRPr="00C94C33" w:rsidRDefault="00DF61BC" w:rsidP="001542C5">
            <w:pPr>
              <w:pStyle w:val="Tabletext"/>
              <w:jc w:val="center"/>
            </w:pPr>
            <w:r w:rsidRPr="00C94C33">
              <w:t>32</w:t>
            </w:r>
            <w:r w:rsidRPr="00C94C33">
              <w:rPr>
                <w:spacing w:val="-7"/>
              </w:rPr>
              <w:t xml:space="preserve"> </w:t>
            </w:r>
            <w:r w:rsidRPr="00C94C33">
              <w:t>(6.2)</w:t>
            </w:r>
          </w:p>
        </w:tc>
        <w:tc>
          <w:tcPr>
            <w:tcW w:w="1418" w:type="dxa"/>
            <w:tcBorders>
              <w:top w:val="single" w:sz="7" w:space="0" w:color="000000"/>
              <w:left w:val="nil"/>
              <w:bottom w:val="single" w:sz="7" w:space="0" w:color="000000"/>
              <w:right w:val="single" w:sz="6" w:space="0" w:color="000000"/>
            </w:tcBorders>
            <w:shd w:val="clear" w:color="auto" w:fill="auto"/>
          </w:tcPr>
          <w:p w14:paraId="68F70BC7" w14:textId="77777777" w:rsidR="00DF61BC" w:rsidRPr="00C94C33" w:rsidRDefault="00DF61BC" w:rsidP="001542C5">
            <w:pPr>
              <w:pStyle w:val="Tabletext"/>
              <w:jc w:val="center"/>
            </w:pPr>
            <w:r w:rsidRPr="00C94C33">
              <w:t>1</w:t>
            </w:r>
            <w:r w:rsidRPr="00C94C33">
              <w:rPr>
                <w:spacing w:val="-6"/>
              </w:rPr>
              <w:t xml:space="preserve"> </w:t>
            </w:r>
            <w:r w:rsidRPr="00C94C33">
              <w:t>(0.2)</w:t>
            </w:r>
          </w:p>
        </w:tc>
        <w:tc>
          <w:tcPr>
            <w:tcW w:w="708" w:type="dxa"/>
            <w:tcBorders>
              <w:top w:val="single" w:sz="7" w:space="0" w:color="000000"/>
              <w:left w:val="single" w:sz="6" w:space="0" w:color="000000"/>
              <w:bottom w:val="single" w:sz="7" w:space="0" w:color="000000"/>
            </w:tcBorders>
            <w:shd w:val="clear" w:color="auto" w:fill="auto"/>
          </w:tcPr>
          <w:p w14:paraId="688BCD99" w14:textId="77777777" w:rsidR="00DF61BC" w:rsidRPr="00C94C33" w:rsidRDefault="00DF61BC" w:rsidP="001542C5">
            <w:pPr>
              <w:pStyle w:val="Tabletext"/>
              <w:jc w:val="center"/>
            </w:pPr>
            <w:r w:rsidRPr="00C94C33">
              <w:t>255</w:t>
            </w:r>
          </w:p>
        </w:tc>
        <w:tc>
          <w:tcPr>
            <w:tcW w:w="1985" w:type="dxa"/>
            <w:tcBorders>
              <w:top w:val="single" w:sz="7" w:space="0" w:color="000000"/>
              <w:left w:val="nil"/>
              <w:bottom w:val="single" w:sz="7" w:space="0" w:color="000000"/>
            </w:tcBorders>
            <w:shd w:val="clear" w:color="auto" w:fill="auto"/>
          </w:tcPr>
          <w:p w14:paraId="565B4D88" w14:textId="77777777" w:rsidR="00DF61BC" w:rsidRPr="00C94C33" w:rsidRDefault="00DF61BC" w:rsidP="001542C5">
            <w:pPr>
              <w:pStyle w:val="Tabletext"/>
              <w:jc w:val="center"/>
            </w:pPr>
            <w:r w:rsidRPr="00C94C33">
              <w:t>6</w:t>
            </w:r>
            <w:r w:rsidRPr="00C94C33">
              <w:rPr>
                <w:spacing w:val="-6"/>
              </w:rPr>
              <w:t xml:space="preserve"> </w:t>
            </w:r>
            <w:r w:rsidRPr="00C94C33">
              <w:t>(2.4)</w:t>
            </w:r>
          </w:p>
        </w:tc>
        <w:tc>
          <w:tcPr>
            <w:tcW w:w="1458" w:type="dxa"/>
            <w:tcBorders>
              <w:top w:val="single" w:sz="7" w:space="0" w:color="000000"/>
              <w:left w:val="nil"/>
              <w:bottom w:val="single" w:sz="7" w:space="0" w:color="000000"/>
              <w:right w:val="single" w:sz="4" w:space="0" w:color="auto"/>
            </w:tcBorders>
            <w:shd w:val="clear" w:color="auto" w:fill="auto"/>
          </w:tcPr>
          <w:p w14:paraId="07BA4A47" w14:textId="77777777" w:rsidR="00DF61BC" w:rsidRPr="00C94C33" w:rsidRDefault="00DF61BC" w:rsidP="001542C5">
            <w:pPr>
              <w:pStyle w:val="Tabletext"/>
              <w:jc w:val="center"/>
            </w:pPr>
            <w:r w:rsidRPr="00C94C33">
              <w:t>1</w:t>
            </w:r>
            <w:r w:rsidRPr="00C94C33">
              <w:rPr>
                <w:spacing w:val="-6"/>
              </w:rPr>
              <w:t xml:space="preserve"> </w:t>
            </w:r>
            <w:r w:rsidRPr="00C94C33">
              <w:t>(0.4)</w:t>
            </w:r>
          </w:p>
        </w:tc>
      </w:tr>
      <w:tr w:rsidR="00DF61BC" w:rsidRPr="00C94C33" w14:paraId="26711336" w14:textId="77777777" w:rsidTr="001542C5">
        <w:trPr>
          <w:trHeight w:hRule="exact" w:val="328"/>
        </w:trPr>
        <w:tc>
          <w:tcPr>
            <w:tcW w:w="1739" w:type="dxa"/>
            <w:tcBorders>
              <w:top w:val="single" w:sz="7" w:space="0" w:color="000000"/>
              <w:left w:val="single" w:sz="4" w:space="0" w:color="auto"/>
              <w:bottom w:val="single" w:sz="7" w:space="0" w:color="000000"/>
              <w:right w:val="single" w:sz="6" w:space="0" w:color="000000"/>
            </w:tcBorders>
            <w:shd w:val="clear" w:color="auto" w:fill="auto"/>
          </w:tcPr>
          <w:p w14:paraId="3A78B132" w14:textId="77777777" w:rsidR="00DF61BC" w:rsidRPr="00C94C33" w:rsidRDefault="00DF61BC" w:rsidP="001542C5">
            <w:pPr>
              <w:pStyle w:val="Tabletext"/>
            </w:pPr>
            <w:r w:rsidRPr="00C94C33">
              <w:t>Hypokalaemia</w:t>
            </w:r>
          </w:p>
        </w:tc>
        <w:tc>
          <w:tcPr>
            <w:tcW w:w="709" w:type="dxa"/>
            <w:tcBorders>
              <w:top w:val="single" w:sz="7" w:space="0" w:color="000000"/>
              <w:left w:val="single" w:sz="6" w:space="0" w:color="000000"/>
              <w:bottom w:val="single" w:sz="7" w:space="0" w:color="000000"/>
            </w:tcBorders>
            <w:shd w:val="clear" w:color="auto" w:fill="auto"/>
          </w:tcPr>
          <w:p w14:paraId="43329472" w14:textId="77777777" w:rsidR="00DF61BC" w:rsidRPr="00C94C33" w:rsidRDefault="00DF61BC" w:rsidP="001542C5">
            <w:pPr>
              <w:pStyle w:val="Tabletext"/>
              <w:jc w:val="center"/>
            </w:pPr>
            <w:r w:rsidRPr="00C94C33">
              <w:t>527</w:t>
            </w:r>
          </w:p>
        </w:tc>
        <w:tc>
          <w:tcPr>
            <w:tcW w:w="1559" w:type="dxa"/>
            <w:tcBorders>
              <w:top w:val="single" w:sz="7" w:space="0" w:color="000000"/>
              <w:left w:val="nil"/>
              <w:bottom w:val="single" w:sz="7" w:space="0" w:color="000000"/>
            </w:tcBorders>
            <w:shd w:val="clear" w:color="auto" w:fill="auto"/>
          </w:tcPr>
          <w:p w14:paraId="0675A59F" w14:textId="77777777" w:rsidR="00DF61BC" w:rsidRPr="00C94C33" w:rsidRDefault="00DF61BC" w:rsidP="001542C5">
            <w:pPr>
              <w:pStyle w:val="Tabletext"/>
              <w:jc w:val="center"/>
            </w:pPr>
            <w:r w:rsidRPr="00C94C33">
              <w:t>14</w:t>
            </w:r>
            <w:r w:rsidRPr="00C94C33">
              <w:rPr>
                <w:spacing w:val="-7"/>
              </w:rPr>
              <w:t xml:space="preserve"> </w:t>
            </w:r>
            <w:r w:rsidRPr="00C94C33">
              <w:t>(2.7)</w:t>
            </w:r>
          </w:p>
        </w:tc>
        <w:tc>
          <w:tcPr>
            <w:tcW w:w="1418" w:type="dxa"/>
            <w:tcBorders>
              <w:top w:val="single" w:sz="7" w:space="0" w:color="000000"/>
              <w:left w:val="nil"/>
              <w:bottom w:val="single" w:sz="7" w:space="0" w:color="000000"/>
              <w:right w:val="single" w:sz="6" w:space="0" w:color="000000"/>
            </w:tcBorders>
            <w:shd w:val="clear" w:color="auto" w:fill="auto"/>
          </w:tcPr>
          <w:p w14:paraId="6A5F6DD2" w14:textId="77777777" w:rsidR="00DF61BC" w:rsidRPr="00C94C33" w:rsidRDefault="00DF61BC" w:rsidP="001542C5">
            <w:pPr>
              <w:pStyle w:val="Tabletext"/>
              <w:jc w:val="center"/>
            </w:pPr>
            <w:r w:rsidRPr="00C94C33">
              <w:t>1</w:t>
            </w:r>
            <w:r w:rsidRPr="00C94C33">
              <w:rPr>
                <w:spacing w:val="-6"/>
              </w:rPr>
              <w:t xml:space="preserve"> </w:t>
            </w:r>
            <w:r w:rsidRPr="00C94C33">
              <w:t>(0.2)</w:t>
            </w:r>
          </w:p>
        </w:tc>
        <w:tc>
          <w:tcPr>
            <w:tcW w:w="708" w:type="dxa"/>
            <w:tcBorders>
              <w:top w:val="single" w:sz="7" w:space="0" w:color="000000"/>
              <w:left w:val="single" w:sz="6" w:space="0" w:color="000000"/>
              <w:bottom w:val="single" w:sz="7" w:space="0" w:color="000000"/>
            </w:tcBorders>
            <w:shd w:val="clear" w:color="auto" w:fill="auto"/>
          </w:tcPr>
          <w:p w14:paraId="6A04FFCE" w14:textId="77777777" w:rsidR="00DF61BC" w:rsidRPr="00C94C33" w:rsidRDefault="00DF61BC" w:rsidP="001542C5">
            <w:pPr>
              <w:pStyle w:val="Tabletext"/>
              <w:jc w:val="center"/>
            </w:pPr>
            <w:r w:rsidRPr="00C94C33">
              <w:t>263</w:t>
            </w:r>
          </w:p>
        </w:tc>
        <w:tc>
          <w:tcPr>
            <w:tcW w:w="1985" w:type="dxa"/>
            <w:tcBorders>
              <w:top w:val="single" w:sz="7" w:space="0" w:color="000000"/>
              <w:left w:val="nil"/>
              <w:bottom w:val="single" w:sz="7" w:space="0" w:color="000000"/>
            </w:tcBorders>
            <w:shd w:val="clear" w:color="auto" w:fill="auto"/>
          </w:tcPr>
          <w:p w14:paraId="5CD67EF7" w14:textId="77777777" w:rsidR="00DF61BC" w:rsidRPr="00C94C33" w:rsidRDefault="00DF61BC" w:rsidP="001542C5">
            <w:pPr>
              <w:pStyle w:val="Tabletext"/>
              <w:jc w:val="center"/>
            </w:pPr>
            <w:r w:rsidRPr="00C94C33">
              <w:t>3</w:t>
            </w:r>
            <w:r w:rsidRPr="00C94C33">
              <w:rPr>
                <w:spacing w:val="-6"/>
              </w:rPr>
              <w:t xml:space="preserve"> </w:t>
            </w:r>
            <w:r w:rsidRPr="00C94C33">
              <w:t>(1.1)</w:t>
            </w:r>
          </w:p>
        </w:tc>
        <w:tc>
          <w:tcPr>
            <w:tcW w:w="1458" w:type="dxa"/>
            <w:tcBorders>
              <w:top w:val="single" w:sz="7" w:space="0" w:color="000000"/>
              <w:left w:val="nil"/>
              <w:bottom w:val="single" w:sz="7" w:space="0" w:color="000000"/>
              <w:right w:val="single" w:sz="4" w:space="0" w:color="auto"/>
            </w:tcBorders>
            <w:shd w:val="clear" w:color="auto" w:fill="auto"/>
          </w:tcPr>
          <w:p w14:paraId="2BD1B09C" w14:textId="77777777" w:rsidR="00DF61BC" w:rsidRPr="00C94C33" w:rsidRDefault="00DF61BC" w:rsidP="001542C5">
            <w:pPr>
              <w:pStyle w:val="Tabletext"/>
              <w:jc w:val="center"/>
            </w:pPr>
            <w:r w:rsidRPr="00C94C33">
              <w:t>0</w:t>
            </w:r>
          </w:p>
        </w:tc>
      </w:tr>
      <w:tr w:rsidR="00DF61BC" w:rsidRPr="00C94C33" w14:paraId="22C4DDB0" w14:textId="77777777" w:rsidTr="001542C5">
        <w:trPr>
          <w:trHeight w:hRule="exact" w:val="328"/>
        </w:trPr>
        <w:tc>
          <w:tcPr>
            <w:tcW w:w="1739" w:type="dxa"/>
            <w:tcBorders>
              <w:top w:val="single" w:sz="7" w:space="0" w:color="000000"/>
              <w:left w:val="single" w:sz="4" w:space="0" w:color="auto"/>
              <w:bottom w:val="single" w:sz="7" w:space="0" w:color="000000"/>
              <w:right w:val="single" w:sz="6" w:space="0" w:color="000000"/>
            </w:tcBorders>
            <w:shd w:val="clear" w:color="auto" w:fill="auto"/>
          </w:tcPr>
          <w:p w14:paraId="5AFABD7B" w14:textId="77777777" w:rsidR="00DF61BC" w:rsidRPr="00C94C33" w:rsidRDefault="00DF61BC" w:rsidP="001542C5">
            <w:pPr>
              <w:pStyle w:val="Tabletext"/>
            </w:pPr>
            <w:r w:rsidRPr="00C94C33">
              <w:lastRenderedPageBreak/>
              <w:t>Hyperkalaemia</w:t>
            </w:r>
          </w:p>
        </w:tc>
        <w:tc>
          <w:tcPr>
            <w:tcW w:w="709" w:type="dxa"/>
            <w:tcBorders>
              <w:top w:val="single" w:sz="7" w:space="0" w:color="000000"/>
              <w:left w:val="single" w:sz="6" w:space="0" w:color="000000"/>
              <w:bottom w:val="single" w:sz="7" w:space="0" w:color="000000"/>
            </w:tcBorders>
            <w:shd w:val="clear" w:color="auto" w:fill="auto"/>
          </w:tcPr>
          <w:p w14:paraId="604400BB" w14:textId="77777777" w:rsidR="00DF61BC" w:rsidRPr="00C94C33" w:rsidRDefault="00DF61BC" w:rsidP="001542C5">
            <w:pPr>
              <w:pStyle w:val="Tabletext"/>
              <w:jc w:val="center"/>
            </w:pPr>
            <w:r w:rsidRPr="00C94C33">
              <w:t>527</w:t>
            </w:r>
          </w:p>
        </w:tc>
        <w:tc>
          <w:tcPr>
            <w:tcW w:w="1559" w:type="dxa"/>
            <w:tcBorders>
              <w:top w:val="single" w:sz="7" w:space="0" w:color="000000"/>
              <w:left w:val="nil"/>
              <w:bottom w:val="single" w:sz="7" w:space="0" w:color="000000"/>
            </w:tcBorders>
            <w:shd w:val="clear" w:color="auto" w:fill="auto"/>
          </w:tcPr>
          <w:p w14:paraId="2BDCF91A" w14:textId="77777777" w:rsidR="00DF61BC" w:rsidRPr="00C94C33" w:rsidRDefault="00DF61BC" w:rsidP="001542C5">
            <w:pPr>
              <w:pStyle w:val="Tabletext"/>
              <w:jc w:val="center"/>
            </w:pPr>
            <w:r w:rsidRPr="00C94C33">
              <w:t>3</w:t>
            </w:r>
            <w:r w:rsidRPr="00C94C33">
              <w:rPr>
                <w:spacing w:val="-6"/>
              </w:rPr>
              <w:t xml:space="preserve"> </w:t>
            </w:r>
            <w:r w:rsidRPr="00C94C33">
              <w:t>(0.6)</w:t>
            </w:r>
          </w:p>
        </w:tc>
        <w:tc>
          <w:tcPr>
            <w:tcW w:w="1418" w:type="dxa"/>
            <w:tcBorders>
              <w:top w:val="single" w:sz="7" w:space="0" w:color="000000"/>
              <w:left w:val="nil"/>
              <w:bottom w:val="single" w:sz="7" w:space="0" w:color="000000"/>
              <w:right w:val="single" w:sz="6" w:space="0" w:color="000000"/>
            </w:tcBorders>
            <w:shd w:val="clear" w:color="auto" w:fill="auto"/>
          </w:tcPr>
          <w:p w14:paraId="574D14E3" w14:textId="77777777" w:rsidR="00DF61BC" w:rsidRPr="00C94C33" w:rsidRDefault="00DF61BC" w:rsidP="001542C5">
            <w:pPr>
              <w:pStyle w:val="Tabletext"/>
              <w:jc w:val="center"/>
            </w:pPr>
            <w:r w:rsidRPr="00C94C33">
              <w:t>1</w:t>
            </w:r>
            <w:r w:rsidRPr="00C94C33">
              <w:rPr>
                <w:spacing w:val="-6"/>
              </w:rPr>
              <w:t xml:space="preserve"> </w:t>
            </w:r>
            <w:r w:rsidRPr="00C94C33">
              <w:t>(0.2)</w:t>
            </w:r>
          </w:p>
        </w:tc>
        <w:tc>
          <w:tcPr>
            <w:tcW w:w="708" w:type="dxa"/>
            <w:tcBorders>
              <w:top w:val="single" w:sz="7" w:space="0" w:color="000000"/>
              <w:left w:val="single" w:sz="6" w:space="0" w:color="000000"/>
              <w:bottom w:val="single" w:sz="7" w:space="0" w:color="000000"/>
            </w:tcBorders>
            <w:shd w:val="clear" w:color="auto" w:fill="auto"/>
          </w:tcPr>
          <w:p w14:paraId="43273C61" w14:textId="77777777" w:rsidR="00DF61BC" w:rsidRPr="00C94C33" w:rsidRDefault="00DF61BC" w:rsidP="001542C5">
            <w:pPr>
              <w:pStyle w:val="Tabletext"/>
              <w:jc w:val="center"/>
            </w:pPr>
            <w:r w:rsidRPr="00C94C33">
              <w:t>263</w:t>
            </w:r>
          </w:p>
        </w:tc>
        <w:tc>
          <w:tcPr>
            <w:tcW w:w="1985" w:type="dxa"/>
            <w:tcBorders>
              <w:top w:val="single" w:sz="7" w:space="0" w:color="000000"/>
              <w:left w:val="nil"/>
              <w:bottom w:val="single" w:sz="7" w:space="0" w:color="000000"/>
            </w:tcBorders>
            <w:shd w:val="clear" w:color="auto" w:fill="auto"/>
          </w:tcPr>
          <w:p w14:paraId="53442F00" w14:textId="77777777" w:rsidR="00DF61BC" w:rsidRPr="00C94C33" w:rsidRDefault="00DF61BC" w:rsidP="001542C5">
            <w:pPr>
              <w:pStyle w:val="Tabletext"/>
              <w:jc w:val="center"/>
            </w:pPr>
            <w:r w:rsidRPr="00C94C33">
              <w:t>8</w:t>
            </w:r>
            <w:r w:rsidRPr="00C94C33">
              <w:rPr>
                <w:spacing w:val="-6"/>
              </w:rPr>
              <w:t xml:space="preserve"> </w:t>
            </w:r>
            <w:r w:rsidRPr="00C94C33">
              <w:t>(3.0)</w:t>
            </w:r>
          </w:p>
        </w:tc>
        <w:tc>
          <w:tcPr>
            <w:tcW w:w="1458" w:type="dxa"/>
            <w:tcBorders>
              <w:top w:val="single" w:sz="7" w:space="0" w:color="000000"/>
              <w:left w:val="nil"/>
              <w:bottom w:val="single" w:sz="7" w:space="0" w:color="000000"/>
              <w:right w:val="single" w:sz="4" w:space="0" w:color="auto"/>
            </w:tcBorders>
            <w:shd w:val="clear" w:color="auto" w:fill="auto"/>
          </w:tcPr>
          <w:p w14:paraId="79CC0410" w14:textId="77777777" w:rsidR="00DF61BC" w:rsidRPr="00C94C33" w:rsidRDefault="00DF61BC" w:rsidP="001542C5">
            <w:pPr>
              <w:pStyle w:val="Tabletext"/>
              <w:jc w:val="center"/>
            </w:pPr>
            <w:r w:rsidRPr="00C94C33">
              <w:t>0</w:t>
            </w:r>
          </w:p>
        </w:tc>
      </w:tr>
      <w:tr w:rsidR="00DF61BC" w:rsidRPr="00C94C33" w14:paraId="65C3C2D8" w14:textId="77777777" w:rsidTr="001542C5">
        <w:trPr>
          <w:trHeight w:hRule="exact" w:val="329"/>
        </w:trPr>
        <w:tc>
          <w:tcPr>
            <w:tcW w:w="1739" w:type="dxa"/>
            <w:tcBorders>
              <w:top w:val="single" w:sz="7" w:space="0" w:color="000000"/>
              <w:left w:val="single" w:sz="4" w:space="0" w:color="auto"/>
              <w:bottom w:val="single" w:sz="7" w:space="0" w:color="000000"/>
              <w:right w:val="single" w:sz="6" w:space="0" w:color="000000"/>
            </w:tcBorders>
            <w:shd w:val="clear" w:color="auto" w:fill="auto"/>
          </w:tcPr>
          <w:p w14:paraId="757976C9" w14:textId="77777777" w:rsidR="00DF61BC" w:rsidRPr="00C94C33" w:rsidRDefault="00DF61BC" w:rsidP="001542C5">
            <w:pPr>
              <w:pStyle w:val="Tabletext"/>
            </w:pPr>
            <w:r w:rsidRPr="00C94C33">
              <w:t>Hyponatraemia</w:t>
            </w:r>
          </w:p>
        </w:tc>
        <w:tc>
          <w:tcPr>
            <w:tcW w:w="709" w:type="dxa"/>
            <w:tcBorders>
              <w:top w:val="single" w:sz="7" w:space="0" w:color="000000"/>
              <w:left w:val="single" w:sz="6" w:space="0" w:color="000000"/>
              <w:bottom w:val="single" w:sz="7" w:space="0" w:color="000000"/>
            </w:tcBorders>
            <w:shd w:val="clear" w:color="auto" w:fill="auto"/>
          </w:tcPr>
          <w:p w14:paraId="4FCEF2A8" w14:textId="77777777" w:rsidR="00DF61BC" w:rsidRPr="00C94C33" w:rsidRDefault="00DF61BC" w:rsidP="001542C5">
            <w:pPr>
              <w:pStyle w:val="Tabletext"/>
              <w:jc w:val="center"/>
            </w:pPr>
            <w:r w:rsidRPr="00C94C33">
              <w:t>527</w:t>
            </w:r>
          </w:p>
        </w:tc>
        <w:tc>
          <w:tcPr>
            <w:tcW w:w="1559" w:type="dxa"/>
            <w:tcBorders>
              <w:top w:val="single" w:sz="7" w:space="0" w:color="000000"/>
              <w:left w:val="nil"/>
              <w:bottom w:val="single" w:sz="7" w:space="0" w:color="000000"/>
            </w:tcBorders>
            <w:shd w:val="clear" w:color="auto" w:fill="auto"/>
          </w:tcPr>
          <w:p w14:paraId="513FF7C3" w14:textId="77777777" w:rsidR="00DF61BC" w:rsidRPr="00C94C33" w:rsidRDefault="00DF61BC" w:rsidP="001542C5">
            <w:pPr>
              <w:pStyle w:val="Tabletext"/>
              <w:jc w:val="center"/>
            </w:pPr>
            <w:r w:rsidRPr="00C94C33">
              <w:t>26</w:t>
            </w:r>
            <w:r w:rsidRPr="00C94C33">
              <w:rPr>
                <w:spacing w:val="-7"/>
              </w:rPr>
              <w:t xml:space="preserve"> </w:t>
            </w:r>
            <w:r w:rsidRPr="00C94C33">
              <w:t>(4.9)</w:t>
            </w:r>
          </w:p>
        </w:tc>
        <w:tc>
          <w:tcPr>
            <w:tcW w:w="1418" w:type="dxa"/>
            <w:tcBorders>
              <w:top w:val="single" w:sz="7" w:space="0" w:color="000000"/>
              <w:left w:val="nil"/>
              <w:bottom w:val="single" w:sz="7" w:space="0" w:color="000000"/>
              <w:right w:val="single" w:sz="6" w:space="0" w:color="000000"/>
            </w:tcBorders>
            <w:shd w:val="clear" w:color="auto" w:fill="auto"/>
          </w:tcPr>
          <w:p w14:paraId="1E10E0CA" w14:textId="77777777" w:rsidR="00DF61BC" w:rsidRPr="00C94C33" w:rsidRDefault="00DF61BC" w:rsidP="001542C5">
            <w:pPr>
              <w:pStyle w:val="Tabletext"/>
              <w:jc w:val="center"/>
            </w:pPr>
            <w:r w:rsidRPr="00C94C33">
              <w:t>0</w:t>
            </w:r>
          </w:p>
        </w:tc>
        <w:tc>
          <w:tcPr>
            <w:tcW w:w="708" w:type="dxa"/>
            <w:tcBorders>
              <w:top w:val="single" w:sz="7" w:space="0" w:color="000000"/>
              <w:left w:val="single" w:sz="6" w:space="0" w:color="000000"/>
              <w:bottom w:val="single" w:sz="7" w:space="0" w:color="000000"/>
            </w:tcBorders>
            <w:shd w:val="clear" w:color="auto" w:fill="auto"/>
          </w:tcPr>
          <w:p w14:paraId="088C5CE9" w14:textId="77777777" w:rsidR="00DF61BC" w:rsidRPr="00C94C33" w:rsidRDefault="00DF61BC" w:rsidP="001542C5">
            <w:pPr>
              <w:pStyle w:val="Tabletext"/>
              <w:jc w:val="center"/>
            </w:pPr>
            <w:r w:rsidRPr="00C94C33">
              <w:t>263</w:t>
            </w:r>
          </w:p>
        </w:tc>
        <w:tc>
          <w:tcPr>
            <w:tcW w:w="1985" w:type="dxa"/>
            <w:tcBorders>
              <w:top w:val="single" w:sz="7" w:space="0" w:color="000000"/>
              <w:left w:val="nil"/>
              <w:bottom w:val="single" w:sz="7" w:space="0" w:color="000000"/>
            </w:tcBorders>
            <w:shd w:val="clear" w:color="auto" w:fill="auto"/>
          </w:tcPr>
          <w:p w14:paraId="0BD4FA9D" w14:textId="77777777" w:rsidR="00DF61BC" w:rsidRPr="00C94C33" w:rsidRDefault="00DF61BC" w:rsidP="001542C5">
            <w:pPr>
              <w:pStyle w:val="Tabletext"/>
              <w:jc w:val="center"/>
            </w:pPr>
            <w:r w:rsidRPr="00C94C33">
              <w:t>12</w:t>
            </w:r>
            <w:r w:rsidRPr="00C94C33">
              <w:rPr>
                <w:spacing w:val="-7"/>
              </w:rPr>
              <w:t xml:space="preserve"> </w:t>
            </w:r>
            <w:r w:rsidRPr="00C94C33">
              <w:t>(4.6)</w:t>
            </w:r>
          </w:p>
        </w:tc>
        <w:tc>
          <w:tcPr>
            <w:tcW w:w="1458" w:type="dxa"/>
            <w:tcBorders>
              <w:top w:val="single" w:sz="7" w:space="0" w:color="000000"/>
              <w:left w:val="nil"/>
              <w:bottom w:val="single" w:sz="7" w:space="0" w:color="000000"/>
              <w:right w:val="single" w:sz="4" w:space="0" w:color="auto"/>
            </w:tcBorders>
            <w:shd w:val="clear" w:color="auto" w:fill="auto"/>
          </w:tcPr>
          <w:p w14:paraId="049F13B5" w14:textId="77777777" w:rsidR="00DF61BC" w:rsidRPr="00C94C33" w:rsidRDefault="00DF61BC" w:rsidP="001542C5">
            <w:pPr>
              <w:pStyle w:val="Tabletext"/>
              <w:jc w:val="center"/>
            </w:pPr>
            <w:r w:rsidRPr="00C94C33">
              <w:t>3</w:t>
            </w:r>
            <w:r w:rsidRPr="00C94C33">
              <w:rPr>
                <w:spacing w:val="-6"/>
              </w:rPr>
              <w:t xml:space="preserve"> </w:t>
            </w:r>
            <w:r w:rsidRPr="00C94C33">
              <w:t>(1.1)</w:t>
            </w:r>
          </w:p>
        </w:tc>
      </w:tr>
      <w:tr w:rsidR="00DF61BC" w:rsidRPr="00C94C33" w14:paraId="6F1B86AF" w14:textId="77777777" w:rsidTr="001542C5">
        <w:trPr>
          <w:trHeight w:hRule="exact" w:val="326"/>
        </w:trPr>
        <w:tc>
          <w:tcPr>
            <w:tcW w:w="1739" w:type="dxa"/>
            <w:tcBorders>
              <w:top w:val="single" w:sz="7" w:space="0" w:color="000000"/>
              <w:left w:val="single" w:sz="4" w:space="0" w:color="auto"/>
              <w:bottom w:val="single" w:sz="6" w:space="0" w:color="000000"/>
              <w:right w:val="single" w:sz="6" w:space="0" w:color="000000"/>
            </w:tcBorders>
            <w:shd w:val="clear" w:color="auto" w:fill="auto"/>
          </w:tcPr>
          <w:p w14:paraId="2216CC3C" w14:textId="77777777" w:rsidR="00DF61BC" w:rsidRPr="00C94C33" w:rsidRDefault="00DF61BC" w:rsidP="001542C5">
            <w:pPr>
              <w:pStyle w:val="Tabletext"/>
            </w:pPr>
            <w:r w:rsidRPr="00C94C33">
              <w:t>Hypernatraemia</w:t>
            </w:r>
          </w:p>
        </w:tc>
        <w:tc>
          <w:tcPr>
            <w:tcW w:w="709" w:type="dxa"/>
            <w:tcBorders>
              <w:top w:val="single" w:sz="7" w:space="0" w:color="000000"/>
              <w:left w:val="single" w:sz="6" w:space="0" w:color="000000"/>
              <w:bottom w:val="single" w:sz="6" w:space="0" w:color="000000"/>
            </w:tcBorders>
            <w:shd w:val="clear" w:color="auto" w:fill="auto"/>
          </w:tcPr>
          <w:p w14:paraId="5FA5E59F" w14:textId="77777777" w:rsidR="00DF61BC" w:rsidRPr="00C94C33" w:rsidRDefault="00DF61BC" w:rsidP="001542C5">
            <w:pPr>
              <w:pStyle w:val="Tabletext"/>
              <w:jc w:val="center"/>
            </w:pPr>
            <w:r w:rsidRPr="00C94C33">
              <w:t>527</w:t>
            </w:r>
          </w:p>
        </w:tc>
        <w:tc>
          <w:tcPr>
            <w:tcW w:w="1559" w:type="dxa"/>
            <w:tcBorders>
              <w:top w:val="single" w:sz="7" w:space="0" w:color="000000"/>
              <w:left w:val="nil"/>
              <w:bottom w:val="single" w:sz="6" w:space="0" w:color="000000"/>
            </w:tcBorders>
            <w:shd w:val="clear" w:color="auto" w:fill="auto"/>
          </w:tcPr>
          <w:p w14:paraId="7A66FE11" w14:textId="77777777" w:rsidR="00DF61BC" w:rsidRPr="00C94C33" w:rsidRDefault="00DF61BC" w:rsidP="001542C5">
            <w:pPr>
              <w:pStyle w:val="Tabletext"/>
              <w:jc w:val="center"/>
            </w:pPr>
            <w:r w:rsidRPr="00C94C33">
              <w:t>1</w:t>
            </w:r>
            <w:r w:rsidRPr="00C94C33">
              <w:rPr>
                <w:spacing w:val="-6"/>
              </w:rPr>
              <w:t xml:space="preserve"> </w:t>
            </w:r>
            <w:r w:rsidRPr="00C94C33">
              <w:t>(0.2)</w:t>
            </w:r>
          </w:p>
        </w:tc>
        <w:tc>
          <w:tcPr>
            <w:tcW w:w="1418" w:type="dxa"/>
            <w:tcBorders>
              <w:top w:val="single" w:sz="7" w:space="0" w:color="000000"/>
              <w:left w:val="nil"/>
              <w:bottom w:val="single" w:sz="6" w:space="0" w:color="000000"/>
              <w:right w:val="single" w:sz="6" w:space="0" w:color="000000"/>
            </w:tcBorders>
            <w:shd w:val="clear" w:color="auto" w:fill="auto"/>
          </w:tcPr>
          <w:p w14:paraId="5C2DD54D" w14:textId="77777777" w:rsidR="00DF61BC" w:rsidRPr="00C94C33" w:rsidRDefault="00DF61BC" w:rsidP="001542C5">
            <w:pPr>
              <w:pStyle w:val="Tabletext"/>
              <w:jc w:val="center"/>
            </w:pPr>
            <w:r w:rsidRPr="00C94C33">
              <w:t>0</w:t>
            </w:r>
          </w:p>
        </w:tc>
        <w:tc>
          <w:tcPr>
            <w:tcW w:w="708" w:type="dxa"/>
            <w:tcBorders>
              <w:top w:val="single" w:sz="7" w:space="0" w:color="000000"/>
              <w:left w:val="single" w:sz="6" w:space="0" w:color="000000"/>
              <w:bottom w:val="single" w:sz="6" w:space="0" w:color="000000"/>
            </w:tcBorders>
            <w:shd w:val="clear" w:color="auto" w:fill="auto"/>
          </w:tcPr>
          <w:p w14:paraId="655CC004" w14:textId="77777777" w:rsidR="00DF61BC" w:rsidRPr="00C94C33" w:rsidRDefault="00DF61BC" w:rsidP="001542C5">
            <w:pPr>
              <w:pStyle w:val="Tabletext"/>
              <w:jc w:val="center"/>
            </w:pPr>
            <w:r w:rsidRPr="00C94C33">
              <w:t>263</w:t>
            </w:r>
          </w:p>
        </w:tc>
        <w:tc>
          <w:tcPr>
            <w:tcW w:w="1985" w:type="dxa"/>
            <w:tcBorders>
              <w:top w:val="single" w:sz="7" w:space="0" w:color="000000"/>
              <w:left w:val="nil"/>
              <w:bottom w:val="single" w:sz="6" w:space="0" w:color="000000"/>
            </w:tcBorders>
            <w:shd w:val="clear" w:color="auto" w:fill="auto"/>
          </w:tcPr>
          <w:p w14:paraId="323F3983" w14:textId="7D73A048" w:rsidR="00DF61BC" w:rsidRPr="00C94C33" w:rsidRDefault="00DF61BC" w:rsidP="001542C5">
            <w:pPr>
              <w:pStyle w:val="Tabletext"/>
              <w:jc w:val="center"/>
            </w:pPr>
            <w:r w:rsidRPr="00C94C33">
              <w:t>0</w:t>
            </w:r>
          </w:p>
        </w:tc>
        <w:tc>
          <w:tcPr>
            <w:tcW w:w="1458" w:type="dxa"/>
            <w:tcBorders>
              <w:top w:val="single" w:sz="7" w:space="0" w:color="000000"/>
              <w:left w:val="nil"/>
              <w:bottom w:val="single" w:sz="6" w:space="0" w:color="000000"/>
              <w:right w:val="single" w:sz="4" w:space="0" w:color="auto"/>
            </w:tcBorders>
            <w:shd w:val="clear" w:color="auto" w:fill="auto"/>
          </w:tcPr>
          <w:p w14:paraId="3E8E2B2F" w14:textId="77777777" w:rsidR="00DF61BC" w:rsidRPr="00C94C33" w:rsidRDefault="00DF61BC" w:rsidP="001542C5">
            <w:pPr>
              <w:pStyle w:val="Tabletext"/>
              <w:jc w:val="center"/>
            </w:pPr>
            <w:r w:rsidRPr="00C94C33">
              <w:t>0</w:t>
            </w:r>
          </w:p>
        </w:tc>
      </w:tr>
    </w:tbl>
    <w:p w14:paraId="0E0AD4E6" w14:textId="77777777" w:rsidR="00DF61BC" w:rsidRPr="00C94C33" w:rsidRDefault="00DF61BC" w:rsidP="008D084E">
      <w:pPr>
        <w:pStyle w:val="TableDescription"/>
      </w:pPr>
      <w:r w:rsidRPr="00C94C33">
        <w:t>Denominator for percentages: number of patients with at least one post-baseline measurement during treatment (includes patients with missing baseline).</w:t>
      </w:r>
    </w:p>
    <w:p w14:paraId="50962FA1" w14:textId="7E43F29C" w:rsidR="00DF61BC" w:rsidRPr="00C94C33" w:rsidRDefault="00DF61BC" w:rsidP="000E0A49">
      <w:pPr>
        <w:pStyle w:val="Heading5"/>
      </w:pPr>
      <w:r w:rsidRPr="00C94C33">
        <w:t>Shifts in CTC Grade from Baseline</w:t>
      </w:r>
    </w:p>
    <w:p w14:paraId="2CAE168C" w14:textId="197A8689" w:rsidR="00DF61BC" w:rsidRPr="00C94C33" w:rsidRDefault="00DF61BC" w:rsidP="00DF61BC">
      <w:r w:rsidRPr="00C94C33">
        <w:t xml:space="preserve">Shifts from baseline (all CTC grades) in serum chemistry parameters were generally similar for </w:t>
      </w:r>
      <w:r w:rsidR="00C60DD7" w:rsidRPr="00C94C33">
        <w:t xml:space="preserve">the </w:t>
      </w:r>
      <w:r w:rsidR="00ED61DF">
        <w:t>2</w:t>
      </w:r>
      <w:r w:rsidR="00ED61DF" w:rsidRPr="00C94C33">
        <w:t xml:space="preserve"> </w:t>
      </w:r>
      <w:r w:rsidR="00C60DD7" w:rsidRPr="00C94C33">
        <w:t>treatment groups</w:t>
      </w:r>
      <w:r w:rsidRPr="00C94C33">
        <w:t>. Shifts from baseline to Grade 1 or Grade 2 hypocalcaemia were more frequent in the TAS-102 group (</w:t>
      </w:r>
      <w:r w:rsidR="009C0389" w:rsidRPr="00C94C33">
        <w:t xml:space="preserve">n = </w:t>
      </w:r>
      <w:r w:rsidRPr="00C94C33">
        <w:t>154, 29.7%) than in the placebo group (</w:t>
      </w:r>
      <w:r w:rsidR="009C0389" w:rsidRPr="00C94C33">
        <w:t xml:space="preserve">n = </w:t>
      </w:r>
      <w:r w:rsidRPr="00C94C33">
        <w:t xml:space="preserve">50, 19.5%). Shifts from </w:t>
      </w:r>
      <w:r w:rsidR="00ED61DF">
        <w:t>B</w:t>
      </w:r>
      <w:r w:rsidR="00ED61DF" w:rsidRPr="00C94C33">
        <w:t xml:space="preserve">aseline </w:t>
      </w:r>
      <w:r w:rsidRPr="00C94C33">
        <w:t>to Grade 1, 2, 3 or 4 hyperglycaemia occurred with similar frequency in the TAS-102 group (</w:t>
      </w:r>
      <w:r w:rsidR="009C0389" w:rsidRPr="00C94C33">
        <w:t xml:space="preserve">n = </w:t>
      </w:r>
      <w:r w:rsidRPr="00C94C33">
        <w:t>272, 52.8%) as in the placebo group (</w:t>
      </w:r>
      <w:r w:rsidR="009C0389" w:rsidRPr="00C94C33">
        <w:t xml:space="preserve">n = </w:t>
      </w:r>
      <w:r w:rsidRPr="00C94C33">
        <w:t xml:space="preserve">128, 50.2%). Shifts from </w:t>
      </w:r>
      <w:r w:rsidR="00ED61DF">
        <w:t>B</w:t>
      </w:r>
      <w:r w:rsidR="00ED61DF" w:rsidRPr="00C94C33">
        <w:t xml:space="preserve">aseline </w:t>
      </w:r>
      <w:r w:rsidRPr="00C94C33">
        <w:t>to Grade 1, 2, 3 or 4 hypokalaemia were observed approximately twice as frequently in the TAS-102 group (</w:t>
      </w:r>
      <w:r w:rsidR="00ED61DF">
        <w:t>n </w:t>
      </w:r>
      <w:r w:rsidR="009C0389" w:rsidRPr="00C94C33">
        <w:t>=</w:t>
      </w:r>
      <w:r w:rsidR="00ED61DF">
        <w:t> </w:t>
      </w:r>
      <w:r w:rsidRPr="00C94C33">
        <w:t>80, 15.2%) as in the placebo group (</w:t>
      </w:r>
      <w:r w:rsidR="009C0389" w:rsidRPr="00C94C33">
        <w:t xml:space="preserve">n = </w:t>
      </w:r>
      <w:r w:rsidRPr="00C94C33">
        <w:t>19, 7.2%), and 15 (2.8%) patients experienced Grade 3 or 4 hypokalaemia in the TAS-102 group versus 3 (1.1%) patients in the placebo group. The sponsor identified an association between AEs of diarrhoea and vomiting and Grade 3 or 4 hypokalaemia in 6 out of 18 patients (5/15, TAS-102; 1/3, placebo). 1 Grade 3 AE of hypokalaemia in the TAS-102 group was associated with an AE of pollakiuria (Grade 1), and one Grade 3 AE of hypokalaemia reported as an SAE was not considered related to treatment but to concomitant diuretic medication.</w:t>
      </w:r>
    </w:p>
    <w:p w14:paraId="2DA3B148" w14:textId="77777777" w:rsidR="00DF61BC" w:rsidRPr="00C94C33" w:rsidRDefault="00DF61BC" w:rsidP="000E0A49">
      <w:pPr>
        <w:pStyle w:val="Heading5"/>
      </w:pPr>
      <w:bookmarkStart w:id="416" w:name="_Toc470948592"/>
      <w:r w:rsidRPr="00C94C33">
        <w:t>Hepatobiliary laboratory abnormalities</w:t>
      </w:r>
      <w:bookmarkEnd w:id="416"/>
    </w:p>
    <w:p w14:paraId="7BD4E860" w14:textId="56031C6F" w:rsidR="00DF61BC" w:rsidRPr="00C94C33" w:rsidRDefault="00DF61BC" w:rsidP="00DF61BC">
      <w:pPr>
        <w:autoSpaceDE w:val="0"/>
        <w:autoSpaceDN w:val="0"/>
        <w:adjustRightInd w:val="0"/>
        <w:rPr>
          <w:rFonts w:asciiTheme="minorHAnsi" w:hAnsiTheme="minorHAnsi"/>
          <w:color w:val="000000"/>
        </w:rPr>
      </w:pPr>
      <w:r w:rsidRPr="00C94C33">
        <w:rPr>
          <w:rFonts w:asciiTheme="minorHAnsi" w:hAnsiTheme="minorHAnsi"/>
          <w:color w:val="000000"/>
        </w:rPr>
        <w:t xml:space="preserve">Hepatobiliary laboratory parameters reported during the study were evaluated according to the FDA Guidance for Industry entitled </w:t>
      </w:r>
      <w:r w:rsidR="00ED61DF" w:rsidRPr="00ED61DF">
        <w:rPr>
          <w:rFonts w:asciiTheme="minorHAnsi" w:hAnsiTheme="minorHAnsi"/>
          <w:color w:val="000000"/>
        </w:rPr>
        <w:t>‘</w:t>
      </w:r>
      <w:r w:rsidRPr="005C2FCA">
        <w:rPr>
          <w:rFonts w:asciiTheme="minorHAnsi" w:hAnsiTheme="minorHAnsi"/>
          <w:color w:val="000000"/>
        </w:rPr>
        <w:t>Drug-Induced Liver Injury (DILI): Premarketing Clinical</w:t>
      </w:r>
      <w:r w:rsidRPr="00ED61DF">
        <w:rPr>
          <w:rFonts w:asciiTheme="minorHAnsi" w:hAnsiTheme="minorHAnsi"/>
          <w:color w:val="000000"/>
        </w:rPr>
        <w:t xml:space="preserve"> </w:t>
      </w:r>
      <w:r w:rsidRPr="005C2FCA">
        <w:rPr>
          <w:rFonts w:asciiTheme="minorHAnsi" w:hAnsiTheme="minorHAnsi"/>
          <w:color w:val="000000"/>
        </w:rPr>
        <w:t>Evaluation (July 2009)</w:t>
      </w:r>
      <w:r w:rsidR="00ED61DF">
        <w:rPr>
          <w:rFonts w:asciiTheme="minorHAnsi" w:hAnsiTheme="minorHAnsi"/>
          <w:color w:val="000000"/>
        </w:rPr>
        <w:t>’</w:t>
      </w:r>
      <w:r w:rsidRPr="005C2FCA">
        <w:rPr>
          <w:rFonts w:asciiTheme="minorHAnsi" w:hAnsiTheme="minorHAnsi"/>
          <w:color w:val="000000"/>
        </w:rPr>
        <w:t>.</w:t>
      </w:r>
      <w:r w:rsidRPr="00C94C33">
        <w:rPr>
          <w:rFonts w:asciiTheme="minorHAnsi" w:hAnsiTheme="minorHAnsi"/>
          <w:i/>
          <w:color w:val="000000"/>
        </w:rPr>
        <w:t xml:space="preserve"> </w:t>
      </w:r>
      <w:r w:rsidRPr="00C94C33">
        <w:rPr>
          <w:rFonts w:asciiTheme="minorHAnsi" w:hAnsiTheme="minorHAnsi"/>
          <w:color w:val="000000"/>
        </w:rPr>
        <w:t>The results did not show an association between TAS-102 and drug induced liver injury (DILI). The distribution of laboratory abnormalities and the pattern of liver chemistry abnormalities were similar for the TAS-102 and placebo groups, despite the nearly 4</w:t>
      </w:r>
      <w:r w:rsidR="00ED61DF">
        <w:rPr>
          <w:rFonts w:asciiTheme="minorHAnsi" w:hAnsiTheme="minorHAnsi"/>
          <w:color w:val="000000"/>
        </w:rPr>
        <w:t> </w:t>
      </w:r>
      <w:r w:rsidRPr="00C94C33">
        <w:rPr>
          <w:rFonts w:asciiTheme="minorHAnsi" w:hAnsiTheme="minorHAnsi"/>
          <w:color w:val="000000"/>
        </w:rPr>
        <w:t>fold greater total time on treatment for the TAS-102 group compared to the placebo group. Patients meeting FDA laboratory criteria for assessment of potential DILI in the AT population are summarised below.</w:t>
      </w:r>
    </w:p>
    <w:p w14:paraId="31E3A72F" w14:textId="738A6DDD" w:rsidR="00DF61BC" w:rsidRPr="00C94C33" w:rsidRDefault="00DF61BC" w:rsidP="00DF61BC">
      <w:pPr>
        <w:autoSpaceDE w:val="0"/>
        <w:autoSpaceDN w:val="0"/>
        <w:adjustRightInd w:val="0"/>
        <w:rPr>
          <w:rFonts w:asciiTheme="minorHAnsi" w:hAnsiTheme="minorHAnsi"/>
          <w:color w:val="000000"/>
        </w:rPr>
      </w:pPr>
      <w:r w:rsidRPr="00C94C33">
        <w:rPr>
          <w:rFonts w:asciiTheme="minorHAnsi" w:hAnsiTheme="minorHAnsi"/>
          <w:color w:val="000000"/>
        </w:rPr>
        <w:t>There were 3 (0.6%) patients in the TAS-102 group and 2 (0.8%) patients in the placebo group with an ALT &gt; 3</w:t>
      </w:r>
      <w:r w:rsidR="00ED61DF">
        <w:rPr>
          <w:rFonts w:asciiTheme="minorHAnsi" w:hAnsiTheme="minorHAnsi"/>
          <w:color w:val="000000"/>
        </w:rPr>
        <w:t> </w:t>
      </w:r>
      <w:r w:rsidRPr="00C94C33">
        <w:rPr>
          <w:rFonts w:asciiTheme="minorHAnsi" w:hAnsiTheme="minorHAnsi"/>
          <w:color w:val="000000"/>
        </w:rPr>
        <w:t>x ULN in conjunction with an increased bilirubin (≥ 2 x ULN) and with an alkaline phosphatase (ALP) &lt; 2 x ULN or missing. However, each of the 3 cases in the TAS-102 group meeting the laboratory criteria for Hy’s law had reasons other than DILI to account for the hepatic findings (</w:t>
      </w:r>
      <w:r w:rsidR="00B2072D" w:rsidRPr="00C94C33">
        <w:rPr>
          <w:rFonts w:asciiTheme="minorHAnsi" w:hAnsiTheme="minorHAnsi"/>
          <w:color w:val="000000"/>
        </w:rPr>
        <w:t>that is,</w:t>
      </w:r>
      <w:r w:rsidRPr="00C94C33">
        <w:rPr>
          <w:rFonts w:asciiTheme="minorHAnsi" w:hAnsiTheme="minorHAnsi"/>
          <w:color w:val="000000"/>
        </w:rPr>
        <w:t xml:space="preserve"> 1 x </w:t>
      </w:r>
      <w:r w:rsidR="00842E8F" w:rsidRPr="00C94C33">
        <w:rPr>
          <w:rFonts w:asciiTheme="minorHAnsi" w:hAnsiTheme="minorHAnsi"/>
          <w:color w:val="000000"/>
        </w:rPr>
        <w:t>‘</w:t>
      </w:r>
      <w:r w:rsidRPr="00C94C33">
        <w:rPr>
          <w:rFonts w:asciiTheme="minorHAnsi" w:hAnsiTheme="minorHAnsi"/>
          <w:color w:val="000000"/>
        </w:rPr>
        <w:t>new mild intrahepatic biliary tree dilatation</w:t>
      </w:r>
      <w:r w:rsidR="00842E8F" w:rsidRPr="00C94C33">
        <w:rPr>
          <w:rFonts w:asciiTheme="minorHAnsi" w:hAnsiTheme="minorHAnsi"/>
          <w:color w:val="000000"/>
        </w:rPr>
        <w:t>’</w:t>
      </w:r>
      <w:r w:rsidRPr="00C94C33">
        <w:rPr>
          <w:rFonts w:asciiTheme="minorHAnsi" w:hAnsiTheme="minorHAnsi"/>
          <w:color w:val="000000"/>
        </w:rPr>
        <w:t>; 1 x baseline liver metas</w:t>
      </w:r>
      <w:r w:rsidR="000E0A49" w:rsidRPr="00C94C33">
        <w:rPr>
          <w:rFonts w:asciiTheme="minorHAnsi" w:hAnsiTheme="minorHAnsi"/>
          <w:color w:val="000000"/>
        </w:rPr>
        <w:t>tases; 1 x bile duct stenosis).</w:t>
      </w:r>
    </w:p>
    <w:p w14:paraId="059176BE" w14:textId="0D4F8CAF" w:rsidR="00DF61BC" w:rsidRPr="00C94C33" w:rsidRDefault="00DF61BC" w:rsidP="00510509">
      <w:pPr>
        <w:pStyle w:val="Tabletitle"/>
      </w:pPr>
      <w:bookmarkStart w:id="417" w:name="_Toc470948709"/>
      <w:r w:rsidRPr="00C94C33">
        <w:t>Table</w:t>
      </w:r>
      <w:r w:rsidR="00510509" w:rsidRPr="00C94C33">
        <w:t xml:space="preserve"> 60</w:t>
      </w:r>
      <w:r w:rsidRPr="00C94C33">
        <w:t>: RECOURSE</w:t>
      </w:r>
      <w:r w:rsidR="00ED61DF">
        <w:t xml:space="preserve">; </w:t>
      </w:r>
      <w:r w:rsidRPr="00C94C33">
        <w:t>Number (%) of patients meeting FDA laboratory criteria for assessment of potential drug induced liver injury; AT population</w:t>
      </w:r>
      <w:bookmarkEnd w:id="417"/>
    </w:p>
    <w:tbl>
      <w:tblPr>
        <w:tblW w:w="9558" w:type="dxa"/>
        <w:tblInd w:w="112" w:type="dxa"/>
        <w:tblBorders>
          <w:top w:val="single" w:sz="8" w:space="0" w:color="000000"/>
          <w:left w:val="single" w:sz="4" w:space="0" w:color="auto"/>
          <w:bottom w:val="single" w:sz="6" w:space="0" w:color="000000"/>
          <w:right w:val="single" w:sz="4" w:space="0" w:color="auto"/>
          <w:insideH w:val="single" w:sz="8" w:space="0" w:color="000000"/>
          <w:insideV w:val="single" w:sz="6" w:space="0" w:color="000000"/>
        </w:tblBorders>
        <w:tblLayout w:type="fixed"/>
        <w:tblCellMar>
          <w:left w:w="0" w:type="dxa"/>
          <w:right w:w="0" w:type="dxa"/>
        </w:tblCellMar>
        <w:tblLook w:val="0000" w:firstRow="0" w:lastRow="0" w:firstColumn="0" w:lastColumn="0" w:noHBand="0" w:noVBand="0"/>
      </w:tblPr>
      <w:tblGrid>
        <w:gridCol w:w="4608"/>
        <w:gridCol w:w="2430"/>
        <w:gridCol w:w="2520"/>
      </w:tblGrid>
      <w:tr w:rsidR="00DF61BC" w:rsidRPr="00C94C33" w14:paraId="6C3746C1" w14:textId="77777777" w:rsidTr="000E0A49">
        <w:trPr>
          <w:trHeight w:hRule="exact" w:val="667"/>
        </w:trPr>
        <w:tc>
          <w:tcPr>
            <w:tcW w:w="4608" w:type="dxa"/>
            <w:shd w:val="clear" w:color="auto" w:fill="auto"/>
          </w:tcPr>
          <w:p w14:paraId="38850122" w14:textId="77777777" w:rsidR="00DF61BC" w:rsidRPr="00C94C33" w:rsidRDefault="00DF61BC" w:rsidP="001542C5">
            <w:pPr>
              <w:pStyle w:val="TableHeading"/>
            </w:pPr>
          </w:p>
        </w:tc>
        <w:tc>
          <w:tcPr>
            <w:tcW w:w="2430" w:type="dxa"/>
            <w:shd w:val="clear" w:color="auto" w:fill="auto"/>
          </w:tcPr>
          <w:p w14:paraId="61895256" w14:textId="3FD4D7F6" w:rsidR="00DF61BC" w:rsidRPr="00C94C33" w:rsidRDefault="00DF61BC" w:rsidP="001542C5">
            <w:pPr>
              <w:pStyle w:val="TableHeading"/>
            </w:pPr>
            <w:r w:rsidRPr="00C94C33">
              <w:rPr>
                <w:bCs/>
                <w:spacing w:val="-1"/>
              </w:rPr>
              <w:t>TAS-102</w:t>
            </w:r>
            <w:r w:rsidR="00510509" w:rsidRPr="00C94C33">
              <w:rPr>
                <w:bCs/>
                <w:spacing w:val="23"/>
              </w:rPr>
              <w:t xml:space="preserve"> </w:t>
            </w:r>
            <w:r w:rsidRPr="00C94C33">
              <w:rPr>
                <w:bCs/>
                <w:spacing w:val="-1"/>
              </w:rPr>
              <w:t>(</w:t>
            </w:r>
            <w:r w:rsidR="009C0389" w:rsidRPr="00C94C33">
              <w:rPr>
                <w:bCs/>
                <w:spacing w:val="-1"/>
              </w:rPr>
              <w:t xml:space="preserve">N = </w:t>
            </w:r>
            <w:r w:rsidRPr="00C94C33">
              <w:rPr>
                <w:bCs/>
                <w:spacing w:val="-1"/>
              </w:rPr>
              <w:t>533)</w:t>
            </w:r>
          </w:p>
        </w:tc>
        <w:tc>
          <w:tcPr>
            <w:tcW w:w="2520" w:type="dxa"/>
            <w:shd w:val="clear" w:color="auto" w:fill="auto"/>
          </w:tcPr>
          <w:p w14:paraId="6C28970A" w14:textId="636DCFA8" w:rsidR="00DF61BC" w:rsidRPr="00C94C33" w:rsidRDefault="00510509" w:rsidP="001542C5">
            <w:pPr>
              <w:pStyle w:val="TableHeading"/>
            </w:pPr>
            <w:r w:rsidRPr="00C94C33">
              <w:rPr>
                <w:bCs/>
                <w:spacing w:val="-1"/>
              </w:rPr>
              <w:t>P</w:t>
            </w:r>
            <w:r w:rsidR="00DF61BC" w:rsidRPr="00C94C33">
              <w:rPr>
                <w:bCs/>
                <w:spacing w:val="-1"/>
              </w:rPr>
              <w:t>lacebo</w:t>
            </w:r>
            <w:r w:rsidR="00DF61BC" w:rsidRPr="00C94C33">
              <w:rPr>
                <w:bCs/>
                <w:spacing w:val="20"/>
              </w:rPr>
              <w:t xml:space="preserve"> </w:t>
            </w:r>
            <w:r w:rsidR="00DF61BC" w:rsidRPr="00C94C33">
              <w:rPr>
                <w:bCs/>
                <w:spacing w:val="-1"/>
              </w:rPr>
              <w:t>(</w:t>
            </w:r>
            <w:r w:rsidR="009C0389" w:rsidRPr="00C94C33">
              <w:rPr>
                <w:bCs/>
                <w:spacing w:val="-1"/>
              </w:rPr>
              <w:t xml:space="preserve">N = </w:t>
            </w:r>
            <w:r w:rsidR="00DF61BC" w:rsidRPr="00C94C33">
              <w:rPr>
                <w:bCs/>
                <w:spacing w:val="-1"/>
              </w:rPr>
              <w:t>265)</w:t>
            </w:r>
          </w:p>
        </w:tc>
      </w:tr>
      <w:tr w:rsidR="00DF61BC" w:rsidRPr="00C94C33" w14:paraId="1602D49D" w14:textId="77777777" w:rsidTr="001542C5">
        <w:trPr>
          <w:trHeight w:hRule="exact" w:val="305"/>
        </w:trPr>
        <w:tc>
          <w:tcPr>
            <w:tcW w:w="4608" w:type="dxa"/>
            <w:shd w:val="clear" w:color="auto" w:fill="auto"/>
          </w:tcPr>
          <w:p w14:paraId="1FA23827" w14:textId="77777777" w:rsidR="00DF61BC" w:rsidRPr="00C94C33" w:rsidRDefault="00DF61BC" w:rsidP="001542C5">
            <w:pPr>
              <w:pStyle w:val="TableHeading"/>
            </w:pPr>
            <w:r w:rsidRPr="00C94C33">
              <w:t>Elevation of AT</w:t>
            </w:r>
            <w:r w:rsidRPr="00C94C33">
              <w:rPr>
                <w:spacing w:val="-18"/>
              </w:rPr>
              <w:t xml:space="preserve"> </w:t>
            </w:r>
            <w:r w:rsidRPr="00C94C33">
              <w:t>and Bilirubin</w:t>
            </w:r>
          </w:p>
        </w:tc>
        <w:tc>
          <w:tcPr>
            <w:tcW w:w="2430" w:type="dxa"/>
            <w:shd w:val="clear" w:color="auto" w:fill="auto"/>
          </w:tcPr>
          <w:p w14:paraId="2D50E226" w14:textId="77777777" w:rsidR="00DF61BC" w:rsidRPr="00C94C33" w:rsidRDefault="00DF61BC" w:rsidP="001542C5">
            <w:pPr>
              <w:pStyle w:val="TableHeading"/>
              <w:jc w:val="center"/>
            </w:pPr>
          </w:p>
        </w:tc>
        <w:tc>
          <w:tcPr>
            <w:tcW w:w="2520" w:type="dxa"/>
            <w:shd w:val="clear" w:color="auto" w:fill="auto"/>
          </w:tcPr>
          <w:p w14:paraId="13008534" w14:textId="77777777" w:rsidR="00DF61BC" w:rsidRPr="00C94C33" w:rsidRDefault="00DF61BC" w:rsidP="001542C5">
            <w:pPr>
              <w:pStyle w:val="TableHeading"/>
              <w:jc w:val="center"/>
            </w:pPr>
          </w:p>
        </w:tc>
      </w:tr>
      <w:tr w:rsidR="00DF61BC" w:rsidRPr="00C94C33" w14:paraId="74C95044" w14:textId="77777777" w:rsidTr="001542C5">
        <w:trPr>
          <w:trHeight w:hRule="exact" w:val="305"/>
        </w:trPr>
        <w:tc>
          <w:tcPr>
            <w:tcW w:w="4608" w:type="dxa"/>
            <w:shd w:val="clear" w:color="auto" w:fill="auto"/>
          </w:tcPr>
          <w:p w14:paraId="05A351C5" w14:textId="77777777" w:rsidR="00DF61BC" w:rsidRPr="00C94C33" w:rsidRDefault="00DF61BC" w:rsidP="001542C5">
            <w:pPr>
              <w:pStyle w:val="Tabletext"/>
            </w:pPr>
            <w:r w:rsidRPr="00C94C33">
              <w:t>&gt;3xULN</w:t>
            </w:r>
            <w:r w:rsidRPr="00C94C33">
              <w:rPr>
                <w:spacing w:val="-2"/>
              </w:rPr>
              <w:t xml:space="preserve"> </w:t>
            </w:r>
            <w:r w:rsidRPr="00C94C33">
              <w:t>AT and &gt;1.5xULN</w:t>
            </w:r>
            <w:r w:rsidRPr="00C94C33">
              <w:rPr>
                <w:spacing w:val="-2"/>
              </w:rPr>
              <w:t xml:space="preserve"> </w:t>
            </w:r>
            <w:r w:rsidRPr="00C94C33">
              <w:t>Bilirubin</w:t>
            </w:r>
          </w:p>
        </w:tc>
        <w:tc>
          <w:tcPr>
            <w:tcW w:w="2430" w:type="dxa"/>
            <w:shd w:val="clear" w:color="auto" w:fill="auto"/>
          </w:tcPr>
          <w:p w14:paraId="6584B806" w14:textId="77777777" w:rsidR="00DF61BC" w:rsidRPr="00C94C33" w:rsidRDefault="00DF61BC" w:rsidP="001542C5">
            <w:pPr>
              <w:pStyle w:val="Tabletext"/>
              <w:jc w:val="center"/>
            </w:pPr>
            <w:r w:rsidRPr="00C94C33">
              <w:t>38 (7.1)</w:t>
            </w:r>
          </w:p>
        </w:tc>
        <w:tc>
          <w:tcPr>
            <w:tcW w:w="2520" w:type="dxa"/>
            <w:shd w:val="clear" w:color="auto" w:fill="auto"/>
          </w:tcPr>
          <w:p w14:paraId="2F94A6A2" w14:textId="77777777" w:rsidR="00DF61BC" w:rsidRPr="00C94C33" w:rsidRDefault="00DF61BC" w:rsidP="001542C5">
            <w:pPr>
              <w:pStyle w:val="Tabletext"/>
              <w:jc w:val="center"/>
            </w:pPr>
            <w:r w:rsidRPr="00C94C33">
              <w:t>26 (9.8)</w:t>
            </w:r>
          </w:p>
        </w:tc>
      </w:tr>
      <w:tr w:rsidR="00DF61BC" w:rsidRPr="00C94C33" w14:paraId="47DB5464" w14:textId="77777777" w:rsidTr="001542C5">
        <w:trPr>
          <w:trHeight w:hRule="exact" w:val="305"/>
        </w:trPr>
        <w:tc>
          <w:tcPr>
            <w:tcW w:w="4608" w:type="dxa"/>
            <w:shd w:val="clear" w:color="auto" w:fill="auto"/>
          </w:tcPr>
          <w:p w14:paraId="6A19427A" w14:textId="77777777" w:rsidR="00DF61BC" w:rsidRPr="00C94C33" w:rsidRDefault="00DF61BC" w:rsidP="001542C5">
            <w:pPr>
              <w:pStyle w:val="Tabletext"/>
            </w:pPr>
            <w:r w:rsidRPr="00C94C33">
              <w:t>&gt;3xULN</w:t>
            </w:r>
            <w:r w:rsidRPr="00C94C33">
              <w:rPr>
                <w:spacing w:val="-2"/>
              </w:rPr>
              <w:t xml:space="preserve"> </w:t>
            </w:r>
            <w:r w:rsidRPr="00C94C33">
              <w:t>AT and &gt;2xULN Bilirubin</w:t>
            </w:r>
          </w:p>
        </w:tc>
        <w:tc>
          <w:tcPr>
            <w:tcW w:w="2430" w:type="dxa"/>
            <w:shd w:val="clear" w:color="auto" w:fill="auto"/>
          </w:tcPr>
          <w:p w14:paraId="6618333C" w14:textId="77777777" w:rsidR="00DF61BC" w:rsidRPr="00C94C33" w:rsidRDefault="00DF61BC" w:rsidP="001542C5">
            <w:pPr>
              <w:pStyle w:val="Tabletext"/>
              <w:jc w:val="center"/>
            </w:pPr>
            <w:r w:rsidRPr="00C94C33">
              <w:t>31 (5.8)</w:t>
            </w:r>
          </w:p>
        </w:tc>
        <w:tc>
          <w:tcPr>
            <w:tcW w:w="2520" w:type="dxa"/>
            <w:shd w:val="clear" w:color="auto" w:fill="auto"/>
          </w:tcPr>
          <w:p w14:paraId="49727ABC" w14:textId="77777777" w:rsidR="00DF61BC" w:rsidRPr="00C94C33" w:rsidRDefault="00DF61BC" w:rsidP="001542C5">
            <w:pPr>
              <w:pStyle w:val="Tabletext"/>
              <w:jc w:val="center"/>
            </w:pPr>
            <w:r w:rsidRPr="00C94C33">
              <w:t>24 (9.1)</w:t>
            </w:r>
          </w:p>
        </w:tc>
      </w:tr>
      <w:tr w:rsidR="00DF61BC" w:rsidRPr="00C94C33" w14:paraId="0BFC8BF2" w14:textId="77777777" w:rsidTr="001542C5">
        <w:trPr>
          <w:trHeight w:hRule="exact" w:val="545"/>
        </w:trPr>
        <w:tc>
          <w:tcPr>
            <w:tcW w:w="4608" w:type="dxa"/>
            <w:shd w:val="clear" w:color="auto" w:fill="auto"/>
          </w:tcPr>
          <w:p w14:paraId="44414EDA" w14:textId="77777777" w:rsidR="00DF61BC" w:rsidRPr="00C94C33" w:rsidRDefault="00DF61BC" w:rsidP="001542C5">
            <w:pPr>
              <w:pStyle w:val="Tabletext"/>
            </w:pPr>
            <w:r w:rsidRPr="00C94C33">
              <w:t>&gt;3xULN AT and ≥2xULN Bilirubin and Alkaline</w:t>
            </w:r>
            <w:r w:rsidRPr="00C94C33">
              <w:rPr>
                <w:spacing w:val="35"/>
              </w:rPr>
              <w:t xml:space="preserve"> </w:t>
            </w:r>
            <w:r w:rsidRPr="00C94C33">
              <w:t xml:space="preserve">phosphatase </w:t>
            </w:r>
            <w:r w:rsidRPr="00C94C33">
              <w:rPr>
                <w:spacing w:val="1"/>
              </w:rPr>
              <w:t xml:space="preserve"> </w:t>
            </w:r>
            <w:r w:rsidRPr="00C94C33">
              <w:t>&lt;2xULN or missing</w:t>
            </w:r>
          </w:p>
        </w:tc>
        <w:tc>
          <w:tcPr>
            <w:tcW w:w="2430" w:type="dxa"/>
            <w:shd w:val="clear" w:color="auto" w:fill="auto"/>
          </w:tcPr>
          <w:p w14:paraId="3E42A225" w14:textId="77777777" w:rsidR="00DF61BC" w:rsidRPr="00C94C33" w:rsidRDefault="00DF61BC" w:rsidP="001542C5">
            <w:pPr>
              <w:pStyle w:val="Tabletext"/>
              <w:jc w:val="center"/>
            </w:pPr>
            <w:r w:rsidRPr="00C94C33">
              <w:t>3 (0.6)</w:t>
            </w:r>
          </w:p>
        </w:tc>
        <w:tc>
          <w:tcPr>
            <w:tcW w:w="2520" w:type="dxa"/>
            <w:shd w:val="clear" w:color="auto" w:fill="auto"/>
          </w:tcPr>
          <w:p w14:paraId="1EF73016" w14:textId="77777777" w:rsidR="00DF61BC" w:rsidRPr="00C94C33" w:rsidRDefault="00DF61BC" w:rsidP="001542C5">
            <w:pPr>
              <w:pStyle w:val="Tabletext"/>
              <w:jc w:val="center"/>
            </w:pPr>
            <w:r w:rsidRPr="00C94C33">
              <w:t>2 (0.8)</w:t>
            </w:r>
          </w:p>
        </w:tc>
      </w:tr>
      <w:tr w:rsidR="00DF61BC" w:rsidRPr="00C94C33" w14:paraId="317CF5DD" w14:textId="77777777" w:rsidTr="001542C5">
        <w:trPr>
          <w:trHeight w:hRule="exact" w:val="567"/>
        </w:trPr>
        <w:tc>
          <w:tcPr>
            <w:tcW w:w="4608" w:type="dxa"/>
            <w:shd w:val="clear" w:color="auto" w:fill="auto"/>
          </w:tcPr>
          <w:p w14:paraId="72916F1E" w14:textId="77777777" w:rsidR="00DF61BC" w:rsidRPr="00C94C33" w:rsidRDefault="00DF61BC" w:rsidP="001542C5">
            <w:pPr>
              <w:pStyle w:val="Tabletext"/>
            </w:pPr>
            <w:r w:rsidRPr="00C94C33">
              <w:t>&gt;3xULN AT and ≥2xULN Bilirubin and Alkaline</w:t>
            </w:r>
            <w:r w:rsidRPr="00C94C33">
              <w:rPr>
                <w:spacing w:val="35"/>
              </w:rPr>
              <w:t xml:space="preserve"> </w:t>
            </w:r>
            <w:r w:rsidRPr="00C94C33">
              <w:t xml:space="preserve">phosphatase </w:t>
            </w:r>
            <w:r w:rsidRPr="00C94C33">
              <w:rPr>
                <w:spacing w:val="1"/>
              </w:rPr>
              <w:t xml:space="preserve"> </w:t>
            </w:r>
            <w:r w:rsidRPr="00C94C33">
              <w:t>&lt;2xULN</w:t>
            </w:r>
          </w:p>
        </w:tc>
        <w:tc>
          <w:tcPr>
            <w:tcW w:w="2430" w:type="dxa"/>
            <w:shd w:val="clear" w:color="auto" w:fill="auto"/>
          </w:tcPr>
          <w:p w14:paraId="2E603612" w14:textId="77777777" w:rsidR="00DF61BC" w:rsidRPr="00C94C33" w:rsidRDefault="00DF61BC" w:rsidP="001542C5">
            <w:pPr>
              <w:pStyle w:val="Tabletext"/>
              <w:jc w:val="center"/>
            </w:pPr>
            <w:r w:rsidRPr="00C94C33">
              <w:t>1 (0.2)</w:t>
            </w:r>
          </w:p>
        </w:tc>
        <w:tc>
          <w:tcPr>
            <w:tcW w:w="2520" w:type="dxa"/>
            <w:shd w:val="clear" w:color="auto" w:fill="auto"/>
          </w:tcPr>
          <w:p w14:paraId="798D016F" w14:textId="77777777" w:rsidR="00DF61BC" w:rsidRPr="00C94C33" w:rsidRDefault="00DF61BC" w:rsidP="001542C5">
            <w:pPr>
              <w:pStyle w:val="Tabletext"/>
              <w:jc w:val="center"/>
            </w:pPr>
            <w:r w:rsidRPr="00C94C33">
              <w:t>0</w:t>
            </w:r>
          </w:p>
        </w:tc>
      </w:tr>
      <w:tr w:rsidR="00DF61BC" w:rsidRPr="00C94C33" w14:paraId="5E1C56B7" w14:textId="77777777" w:rsidTr="001542C5">
        <w:trPr>
          <w:trHeight w:hRule="exact" w:val="441"/>
        </w:trPr>
        <w:tc>
          <w:tcPr>
            <w:tcW w:w="4608" w:type="dxa"/>
            <w:shd w:val="clear" w:color="auto" w:fill="auto"/>
          </w:tcPr>
          <w:p w14:paraId="21F0E08D" w14:textId="77777777" w:rsidR="00DF61BC" w:rsidRPr="00C94C33" w:rsidRDefault="00DF61BC" w:rsidP="001542C5">
            <w:pPr>
              <w:pStyle w:val="Tabletext"/>
            </w:pPr>
            <w:r w:rsidRPr="00C94C33">
              <w:rPr>
                <w:b/>
                <w:bCs/>
              </w:rPr>
              <w:t>&gt;3xULN ALT</w:t>
            </w:r>
            <w:r w:rsidRPr="00C94C33">
              <w:rPr>
                <w:b/>
                <w:bCs/>
                <w:spacing w:val="-2"/>
              </w:rPr>
              <w:t xml:space="preserve"> </w:t>
            </w:r>
            <w:r w:rsidRPr="00C94C33">
              <w:rPr>
                <w:b/>
                <w:bCs/>
              </w:rPr>
              <w:t>or AST</w:t>
            </w:r>
            <w:hyperlink w:anchor="bookmark0" w:history="1">
              <w:r w:rsidRPr="00C94C33">
                <w:rPr>
                  <w:position w:val="10"/>
                </w:rPr>
                <w:t>a</w:t>
              </w:r>
            </w:hyperlink>
          </w:p>
        </w:tc>
        <w:tc>
          <w:tcPr>
            <w:tcW w:w="2430" w:type="dxa"/>
            <w:shd w:val="clear" w:color="auto" w:fill="auto"/>
          </w:tcPr>
          <w:p w14:paraId="30E33CB8" w14:textId="77777777" w:rsidR="00DF61BC" w:rsidRPr="00C94C33" w:rsidRDefault="00DF61BC" w:rsidP="001542C5">
            <w:pPr>
              <w:pStyle w:val="Tabletext"/>
              <w:jc w:val="center"/>
            </w:pPr>
            <w:r w:rsidRPr="00C94C33">
              <w:t>77 (14.4)</w:t>
            </w:r>
          </w:p>
        </w:tc>
        <w:tc>
          <w:tcPr>
            <w:tcW w:w="2520" w:type="dxa"/>
            <w:shd w:val="clear" w:color="auto" w:fill="auto"/>
          </w:tcPr>
          <w:p w14:paraId="189D1ADD" w14:textId="77777777" w:rsidR="00DF61BC" w:rsidRPr="00C94C33" w:rsidRDefault="00DF61BC" w:rsidP="001542C5">
            <w:pPr>
              <w:pStyle w:val="Tabletext"/>
              <w:jc w:val="center"/>
            </w:pPr>
            <w:r w:rsidRPr="00C94C33">
              <w:t>48 (18.1)</w:t>
            </w:r>
          </w:p>
        </w:tc>
      </w:tr>
      <w:tr w:rsidR="00DF61BC" w:rsidRPr="00C94C33" w14:paraId="037FFCB8" w14:textId="77777777" w:rsidTr="001542C5">
        <w:trPr>
          <w:trHeight w:hRule="exact" w:val="305"/>
        </w:trPr>
        <w:tc>
          <w:tcPr>
            <w:tcW w:w="4608" w:type="dxa"/>
            <w:shd w:val="clear" w:color="auto" w:fill="auto"/>
          </w:tcPr>
          <w:p w14:paraId="0037A0CC" w14:textId="77777777" w:rsidR="00DF61BC" w:rsidRPr="00C94C33" w:rsidRDefault="00DF61BC" w:rsidP="001542C5">
            <w:pPr>
              <w:pStyle w:val="Tabletext"/>
            </w:pPr>
            <w:r w:rsidRPr="00C94C33">
              <w:t>&gt;3xULN ALT</w:t>
            </w:r>
          </w:p>
        </w:tc>
        <w:tc>
          <w:tcPr>
            <w:tcW w:w="2430" w:type="dxa"/>
            <w:shd w:val="clear" w:color="auto" w:fill="auto"/>
          </w:tcPr>
          <w:p w14:paraId="71205E50" w14:textId="77777777" w:rsidR="00DF61BC" w:rsidRPr="00C94C33" w:rsidRDefault="00DF61BC" w:rsidP="001542C5">
            <w:pPr>
              <w:pStyle w:val="Tabletext"/>
              <w:jc w:val="center"/>
            </w:pPr>
            <w:r w:rsidRPr="00C94C33">
              <w:t>38 (7.1)</w:t>
            </w:r>
          </w:p>
        </w:tc>
        <w:tc>
          <w:tcPr>
            <w:tcW w:w="2520" w:type="dxa"/>
            <w:shd w:val="clear" w:color="auto" w:fill="auto"/>
          </w:tcPr>
          <w:p w14:paraId="01CF29B7" w14:textId="77777777" w:rsidR="00DF61BC" w:rsidRPr="00C94C33" w:rsidRDefault="00DF61BC" w:rsidP="001542C5">
            <w:pPr>
              <w:pStyle w:val="Tabletext"/>
              <w:jc w:val="center"/>
            </w:pPr>
            <w:r w:rsidRPr="00C94C33">
              <w:t>19 (7.2)</w:t>
            </w:r>
          </w:p>
        </w:tc>
      </w:tr>
      <w:tr w:rsidR="00DF61BC" w:rsidRPr="00C94C33" w14:paraId="66817E5F" w14:textId="77777777" w:rsidTr="001542C5">
        <w:trPr>
          <w:trHeight w:hRule="exact" w:val="306"/>
        </w:trPr>
        <w:tc>
          <w:tcPr>
            <w:tcW w:w="4608" w:type="dxa"/>
            <w:shd w:val="clear" w:color="auto" w:fill="auto"/>
          </w:tcPr>
          <w:p w14:paraId="600ECAE7" w14:textId="77777777" w:rsidR="00DF61BC" w:rsidRPr="00C94C33" w:rsidRDefault="00DF61BC" w:rsidP="001542C5">
            <w:pPr>
              <w:pStyle w:val="Tabletext"/>
            </w:pPr>
            <w:r w:rsidRPr="00C94C33">
              <w:lastRenderedPageBreak/>
              <w:t>&gt;3xULN AST</w:t>
            </w:r>
          </w:p>
        </w:tc>
        <w:tc>
          <w:tcPr>
            <w:tcW w:w="2430" w:type="dxa"/>
            <w:shd w:val="clear" w:color="auto" w:fill="auto"/>
          </w:tcPr>
          <w:p w14:paraId="328AE942" w14:textId="77777777" w:rsidR="00DF61BC" w:rsidRPr="00C94C33" w:rsidRDefault="00DF61BC" w:rsidP="001542C5">
            <w:pPr>
              <w:pStyle w:val="Tabletext"/>
              <w:jc w:val="center"/>
            </w:pPr>
            <w:r w:rsidRPr="00C94C33">
              <w:t>68 (12.8)</w:t>
            </w:r>
          </w:p>
        </w:tc>
        <w:tc>
          <w:tcPr>
            <w:tcW w:w="2520" w:type="dxa"/>
            <w:shd w:val="clear" w:color="auto" w:fill="auto"/>
          </w:tcPr>
          <w:p w14:paraId="1623625E" w14:textId="77777777" w:rsidR="00DF61BC" w:rsidRPr="00C94C33" w:rsidRDefault="00DF61BC" w:rsidP="001542C5">
            <w:pPr>
              <w:pStyle w:val="Tabletext"/>
              <w:jc w:val="center"/>
            </w:pPr>
            <w:r w:rsidRPr="00C94C33">
              <w:t>45 (17.0)</w:t>
            </w:r>
          </w:p>
        </w:tc>
      </w:tr>
      <w:tr w:rsidR="00DF61BC" w:rsidRPr="00C94C33" w14:paraId="61585B0D" w14:textId="77777777" w:rsidTr="001542C5">
        <w:trPr>
          <w:trHeight w:hRule="exact" w:val="513"/>
        </w:trPr>
        <w:tc>
          <w:tcPr>
            <w:tcW w:w="4608" w:type="dxa"/>
            <w:shd w:val="clear" w:color="auto" w:fill="auto"/>
          </w:tcPr>
          <w:p w14:paraId="10D9F4A1" w14:textId="77777777" w:rsidR="00DF61BC" w:rsidRPr="00C94C33" w:rsidRDefault="00DF61BC" w:rsidP="001542C5">
            <w:pPr>
              <w:pStyle w:val="Tabletext"/>
            </w:pPr>
            <w:r w:rsidRPr="00C94C33">
              <w:rPr>
                <w:b/>
                <w:bCs/>
              </w:rPr>
              <w:t>&gt;5xULN ALT</w:t>
            </w:r>
            <w:r w:rsidRPr="00C94C33">
              <w:rPr>
                <w:b/>
                <w:bCs/>
                <w:spacing w:val="-2"/>
              </w:rPr>
              <w:t xml:space="preserve"> </w:t>
            </w:r>
            <w:r w:rsidRPr="00C94C33">
              <w:rPr>
                <w:b/>
                <w:bCs/>
              </w:rPr>
              <w:t>or AST</w:t>
            </w:r>
            <w:hyperlink w:anchor="bookmark0" w:history="1">
              <w:r w:rsidRPr="00C94C33">
                <w:rPr>
                  <w:position w:val="10"/>
                </w:rPr>
                <w:t>a</w:t>
              </w:r>
            </w:hyperlink>
          </w:p>
        </w:tc>
        <w:tc>
          <w:tcPr>
            <w:tcW w:w="2430" w:type="dxa"/>
            <w:shd w:val="clear" w:color="auto" w:fill="auto"/>
          </w:tcPr>
          <w:p w14:paraId="148A9078" w14:textId="77777777" w:rsidR="00DF61BC" w:rsidRPr="00C94C33" w:rsidRDefault="00DF61BC" w:rsidP="001542C5">
            <w:pPr>
              <w:pStyle w:val="Tabletext"/>
              <w:jc w:val="center"/>
            </w:pPr>
            <w:r w:rsidRPr="00C94C33">
              <w:t>28 (5.3)</w:t>
            </w:r>
          </w:p>
        </w:tc>
        <w:tc>
          <w:tcPr>
            <w:tcW w:w="2520" w:type="dxa"/>
            <w:shd w:val="clear" w:color="auto" w:fill="auto"/>
          </w:tcPr>
          <w:p w14:paraId="22D5061D" w14:textId="77777777" w:rsidR="00DF61BC" w:rsidRPr="00C94C33" w:rsidRDefault="00DF61BC" w:rsidP="001542C5">
            <w:pPr>
              <w:pStyle w:val="Tabletext"/>
              <w:jc w:val="center"/>
            </w:pPr>
            <w:r w:rsidRPr="00C94C33">
              <w:t>21 (7.9)</w:t>
            </w:r>
          </w:p>
        </w:tc>
      </w:tr>
      <w:tr w:rsidR="00DF61BC" w:rsidRPr="00C94C33" w14:paraId="0DA5E1E1" w14:textId="77777777" w:rsidTr="001542C5">
        <w:trPr>
          <w:trHeight w:hRule="exact" w:val="305"/>
        </w:trPr>
        <w:tc>
          <w:tcPr>
            <w:tcW w:w="4608" w:type="dxa"/>
            <w:shd w:val="clear" w:color="auto" w:fill="auto"/>
          </w:tcPr>
          <w:p w14:paraId="15A9FDBB" w14:textId="77777777" w:rsidR="00DF61BC" w:rsidRPr="00C94C33" w:rsidRDefault="00DF61BC" w:rsidP="001542C5">
            <w:pPr>
              <w:pStyle w:val="Tabletext"/>
            </w:pPr>
            <w:r w:rsidRPr="00C94C33">
              <w:t>&gt;5xULN ALT</w:t>
            </w:r>
          </w:p>
        </w:tc>
        <w:tc>
          <w:tcPr>
            <w:tcW w:w="2430" w:type="dxa"/>
            <w:shd w:val="clear" w:color="auto" w:fill="auto"/>
          </w:tcPr>
          <w:p w14:paraId="3577BA03" w14:textId="77777777" w:rsidR="00DF61BC" w:rsidRPr="00C94C33" w:rsidRDefault="00DF61BC" w:rsidP="001542C5">
            <w:pPr>
              <w:pStyle w:val="Tabletext"/>
              <w:jc w:val="center"/>
            </w:pPr>
            <w:r w:rsidRPr="00C94C33">
              <w:t>10 (1.9)</w:t>
            </w:r>
          </w:p>
        </w:tc>
        <w:tc>
          <w:tcPr>
            <w:tcW w:w="2520" w:type="dxa"/>
            <w:shd w:val="clear" w:color="auto" w:fill="auto"/>
          </w:tcPr>
          <w:p w14:paraId="4D27DF14" w14:textId="77777777" w:rsidR="00DF61BC" w:rsidRPr="00C94C33" w:rsidRDefault="00DF61BC" w:rsidP="001542C5">
            <w:pPr>
              <w:pStyle w:val="Tabletext"/>
              <w:jc w:val="center"/>
            </w:pPr>
            <w:r w:rsidRPr="00C94C33">
              <w:t>10 (3.8)</w:t>
            </w:r>
          </w:p>
        </w:tc>
      </w:tr>
      <w:tr w:rsidR="00DF61BC" w:rsidRPr="00C94C33" w14:paraId="178CA53B" w14:textId="77777777" w:rsidTr="001542C5">
        <w:trPr>
          <w:trHeight w:hRule="exact" w:val="305"/>
        </w:trPr>
        <w:tc>
          <w:tcPr>
            <w:tcW w:w="4608" w:type="dxa"/>
            <w:shd w:val="clear" w:color="auto" w:fill="auto"/>
          </w:tcPr>
          <w:p w14:paraId="2FD71F86" w14:textId="77777777" w:rsidR="00DF61BC" w:rsidRPr="00C94C33" w:rsidRDefault="00DF61BC" w:rsidP="001542C5">
            <w:pPr>
              <w:pStyle w:val="Tabletext"/>
            </w:pPr>
            <w:r w:rsidRPr="00C94C33">
              <w:t>&gt;5xULN AST</w:t>
            </w:r>
          </w:p>
        </w:tc>
        <w:tc>
          <w:tcPr>
            <w:tcW w:w="2430" w:type="dxa"/>
            <w:shd w:val="clear" w:color="auto" w:fill="auto"/>
          </w:tcPr>
          <w:p w14:paraId="6AE126A7" w14:textId="77777777" w:rsidR="00DF61BC" w:rsidRPr="00C94C33" w:rsidRDefault="00DF61BC" w:rsidP="001542C5">
            <w:pPr>
              <w:pStyle w:val="Tabletext"/>
              <w:jc w:val="center"/>
            </w:pPr>
            <w:r w:rsidRPr="00C94C33">
              <w:t>24 (4.5)</w:t>
            </w:r>
          </w:p>
        </w:tc>
        <w:tc>
          <w:tcPr>
            <w:tcW w:w="2520" w:type="dxa"/>
            <w:shd w:val="clear" w:color="auto" w:fill="auto"/>
          </w:tcPr>
          <w:p w14:paraId="5A94BFBD" w14:textId="77777777" w:rsidR="00DF61BC" w:rsidRPr="00C94C33" w:rsidRDefault="00DF61BC" w:rsidP="001542C5">
            <w:pPr>
              <w:pStyle w:val="Tabletext"/>
              <w:jc w:val="center"/>
            </w:pPr>
            <w:r w:rsidRPr="00C94C33">
              <w:t>16 (6.0)</w:t>
            </w:r>
          </w:p>
        </w:tc>
      </w:tr>
      <w:tr w:rsidR="00DF61BC" w:rsidRPr="00C94C33" w14:paraId="1A05EF36" w14:textId="77777777" w:rsidTr="001542C5">
        <w:trPr>
          <w:trHeight w:hRule="exact" w:val="515"/>
        </w:trPr>
        <w:tc>
          <w:tcPr>
            <w:tcW w:w="4608" w:type="dxa"/>
            <w:shd w:val="clear" w:color="auto" w:fill="auto"/>
          </w:tcPr>
          <w:p w14:paraId="09AB8DAC" w14:textId="77777777" w:rsidR="00DF61BC" w:rsidRPr="00C94C33" w:rsidRDefault="00DF61BC" w:rsidP="001542C5">
            <w:pPr>
              <w:pStyle w:val="Tabletext"/>
            </w:pPr>
            <w:r w:rsidRPr="00C94C33">
              <w:rPr>
                <w:b/>
                <w:bCs/>
              </w:rPr>
              <w:t>&gt;10xULN ALT or AST</w:t>
            </w:r>
            <w:hyperlink w:anchor="bookmark0" w:history="1">
              <w:r w:rsidRPr="00C94C33">
                <w:rPr>
                  <w:position w:val="10"/>
                </w:rPr>
                <w:t>a</w:t>
              </w:r>
            </w:hyperlink>
          </w:p>
        </w:tc>
        <w:tc>
          <w:tcPr>
            <w:tcW w:w="2430" w:type="dxa"/>
            <w:shd w:val="clear" w:color="auto" w:fill="auto"/>
          </w:tcPr>
          <w:p w14:paraId="1566ACAB" w14:textId="77777777" w:rsidR="00DF61BC" w:rsidRPr="00C94C33" w:rsidRDefault="00DF61BC" w:rsidP="001542C5">
            <w:pPr>
              <w:pStyle w:val="Tabletext"/>
              <w:jc w:val="center"/>
            </w:pPr>
            <w:r w:rsidRPr="00C94C33">
              <w:t>3 (0.6)</w:t>
            </w:r>
          </w:p>
        </w:tc>
        <w:tc>
          <w:tcPr>
            <w:tcW w:w="2520" w:type="dxa"/>
            <w:shd w:val="clear" w:color="auto" w:fill="auto"/>
          </w:tcPr>
          <w:p w14:paraId="1EFAE3E8" w14:textId="77777777" w:rsidR="00DF61BC" w:rsidRPr="00C94C33" w:rsidRDefault="00DF61BC" w:rsidP="001542C5">
            <w:pPr>
              <w:pStyle w:val="Tabletext"/>
              <w:jc w:val="center"/>
            </w:pPr>
            <w:r w:rsidRPr="00C94C33">
              <w:t>7 (2.6)</w:t>
            </w:r>
          </w:p>
        </w:tc>
      </w:tr>
      <w:tr w:rsidR="00DF61BC" w:rsidRPr="00C94C33" w14:paraId="5344352A" w14:textId="77777777" w:rsidTr="001542C5">
        <w:trPr>
          <w:trHeight w:hRule="exact" w:val="306"/>
        </w:trPr>
        <w:tc>
          <w:tcPr>
            <w:tcW w:w="4608" w:type="dxa"/>
            <w:shd w:val="clear" w:color="auto" w:fill="auto"/>
          </w:tcPr>
          <w:p w14:paraId="70B6995F" w14:textId="77777777" w:rsidR="00DF61BC" w:rsidRPr="00C94C33" w:rsidRDefault="00DF61BC" w:rsidP="001542C5">
            <w:pPr>
              <w:pStyle w:val="Tabletext"/>
            </w:pPr>
            <w:r w:rsidRPr="00C94C33">
              <w:t>&gt;10xULN ALT</w:t>
            </w:r>
          </w:p>
        </w:tc>
        <w:tc>
          <w:tcPr>
            <w:tcW w:w="2430" w:type="dxa"/>
            <w:shd w:val="clear" w:color="auto" w:fill="auto"/>
          </w:tcPr>
          <w:p w14:paraId="2826B88A" w14:textId="77777777" w:rsidR="00DF61BC" w:rsidRPr="00C94C33" w:rsidRDefault="00DF61BC" w:rsidP="001542C5">
            <w:pPr>
              <w:pStyle w:val="Tabletext"/>
              <w:jc w:val="center"/>
            </w:pPr>
            <w:r w:rsidRPr="00C94C33">
              <w:t>2 (0.4)</w:t>
            </w:r>
          </w:p>
        </w:tc>
        <w:tc>
          <w:tcPr>
            <w:tcW w:w="2520" w:type="dxa"/>
            <w:shd w:val="clear" w:color="auto" w:fill="auto"/>
          </w:tcPr>
          <w:p w14:paraId="708256AE" w14:textId="77777777" w:rsidR="00DF61BC" w:rsidRPr="00C94C33" w:rsidRDefault="00DF61BC" w:rsidP="001542C5">
            <w:pPr>
              <w:pStyle w:val="Tabletext"/>
              <w:jc w:val="center"/>
            </w:pPr>
            <w:r w:rsidRPr="00C94C33">
              <w:t>2 (0.8)</w:t>
            </w:r>
          </w:p>
        </w:tc>
      </w:tr>
      <w:tr w:rsidR="00DF61BC" w:rsidRPr="00C94C33" w14:paraId="2DDDA246" w14:textId="77777777" w:rsidTr="001542C5">
        <w:trPr>
          <w:trHeight w:hRule="exact" w:val="305"/>
        </w:trPr>
        <w:tc>
          <w:tcPr>
            <w:tcW w:w="4608" w:type="dxa"/>
            <w:shd w:val="clear" w:color="auto" w:fill="auto"/>
          </w:tcPr>
          <w:p w14:paraId="7AB87215" w14:textId="77777777" w:rsidR="00DF61BC" w:rsidRPr="00C94C33" w:rsidRDefault="00DF61BC" w:rsidP="001542C5">
            <w:pPr>
              <w:pStyle w:val="Tabletext"/>
            </w:pPr>
            <w:r w:rsidRPr="00C94C33">
              <w:t>&gt;10xULN AST</w:t>
            </w:r>
          </w:p>
        </w:tc>
        <w:tc>
          <w:tcPr>
            <w:tcW w:w="2430" w:type="dxa"/>
            <w:shd w:val="clear" w:color="auto" w:fill="auto"/>
          </w:tcPr>
          <w:p w14:paraId="10FD8A11" w14:textId="77777777" w:rsidR="00DF61BC" w:rsidRPr="00C94C33" w:rsidRDefault="00DF61BC" w:rsidP="001542C5">
            <w:pPr>
              <w:pStyle w:val="Tabletext"/>
              <w:jc w:val="center"/>
            </w:pPr>
            <w:r w:rsidRPr="00C94C33">
              <w:t>3 (0.6)</w:t>
            </w:r>
          </w:p>
        </w:tc>
        <w:tc>
          <w:tcPr>
            <w:tcW w:w="2520" w:type="dxa"/>
            <w:shd w:val="clear" w:color="auto" w:fill="auto"/>
          </w:tcPr>
          <w:p w14:paraId="69A65A28" w14:textId="77777777" w:rsidR="00DF61BC" w:rsidRPr="00C94C33" w:rsidRDefault="00DF61BC" w:rsidP="001542C5">
            <w:pPr>
              <w:pStyle w:val="Tabletext"/>
              <w:jc w:val="center"/>
            </w:pPr>
            <w:r w:rsidRPr="00C94C33">
              <w:t>7 (2.6)</w:t>
            </w:r>
          </w:p>
        </w:tc>
      </w:tr>
      <w:tr w:rsidR="00DF61BC" w:rsidRPr="00C94C33" w14:paraId="5AAADDF7" w14:textId="77777777" w:rsidTr="001542C5">
        <w:trPr>
          <w:trHeight w:hRule="exact" w:val="531"/>
        </w:trPr>
        <w:tc>
          <w:tcPr>
            <w:tcW w:w="4608" w:type="dxa"/>
            <w:shd w:val="clear" w:color="auto" w:fill="auto"/>
          </w:tcPr>
          <w:p w14:paraId="2AA726EE" w14:textId="77777777" w:rsidR="00DF61BC" w:rsidRPr="00C94C33" w:rsidRDefault="00DF61BC" w:rsidP="001542C5">
            <w:pPr>
              <w:pStyle w:val="Tabletext"/>
            </w:pPr>
            <w:r w:rsidRPr="00C94C33">
              <w:rPr>
                <w:b/>
                <w:bCs/>
              </w:rPr>
              <w:t>&gt;20xULN ALT or AST</w:t>
            </w:r>
            <w:hyperlink w:anchor="bookmark0" w:history="1">
              <w:r w:rsidRPr="00C94C33">
                <w:rPr>
                  <w:position w:val="10"/>
                </w:rPr>
                <w:t>a</w:t>
              </w:r>
            </w:hyperlink>
          </w:p>
        </w:tc>
        <w:tc>
          <w:tcPr>
            <w:tcW w:w="2430" w:type="dxa"/>
            <w:shd w:val="clear" w:color="auto" w:fill="auto"/>
          </w:tcPr>
          <w:p w14:paraId="698D4795" w14:textId="77777777" w:rsidR="00DF61BC" w:rsidRPr="00C94C33" w:rsidRDefault="00DF61BC" w:rsidP="001542C5">
            <w:pPr>
              <w:pStyle w:val="Tabletext"/>
              <w:jc w:val="center"/>
            </w:pPr>
            <w:r w:rsidRPr="00C94C33">
              <w:t>2 (0.4)</w:t>
            </w:r>
          </w:p>
        </w:tc>
        <w:tc>
          <w:tcPr>
            <w:tcW w:w="2520" w:type="dxa"/>
            <w:shd w:val="clear" w:color="auto" w:fill="auto"/>
          </w:tcPr>
          <w:p w14:paraId="6C001823" w14:textId="77777777" w:rsidR="00DF61BC" w:rsidRPr="00C94C33" w:rsidRDefault="00DF61BC" w:rsidP="001542C5">
            <w:pPr>
              <w:pStyle w:val="Tabletext"/>
              <w:jc w:val="center"/>
            </w:pPr>
            <w:r w:rsidRPr="00C94C33">
              <w:t>3 (1.1)</w:t>
            </w:r>
          </w:p>
        </w:tc>
      </w:tr>
      <w:tr w:rsidR="00DF61BC" w:rsidRPr="00C94C33" w14:paraId="3180EC16" w14:textId="77777777" w:rsidTr="001542C5">
        <w:trPr>
          <w:trHeight w:hRule="exact" w:val="305"/>
        </w:trPr>
        <w:tc>
          <w:tcPr>
            <w:tcW w:w="4608" w:type="dxa"/>
            <w:shd w:val="clear" w:color="auto" w:fill="auto"/>
          </w:tcPr>
          <w:p w14:paraId="68123242" w14:textId="77777777" w:rsidR="00DF61BC" w:rsidRPr="00C94C33" w:rsidRDefault="00DF61BC" w:rsidP="001542C5">
            <w:pPr>
              <w:pStyle w:val="Tabletext"/>
            </w:pPr>
            <w:r w:rsidRPr="00C94C33">
              <w:t>&gt;20xULN ALT</w:t>
            </w:r>
          </w:p>
        </w:tc>
        <w:tc>
          <w:tcPr>
            <w:tcW w:w="2430" w:type="dxa"/>
            <w:shd w:val="clear" w:color="auto" w:fill="auto"/>
          </w:tcPr>
          <w:p w14:paraId="1D1EEC8A" w14:textId="77777777" w:rsidR="00DF61BC" w:rsidRPr="00C94C33" w:rsidRDefault="00DF61BC" w:rsidP="001542C5">
            <w:pPr>
              <w:pStyle w:val="Tabletext"/>
              <w:jc w:val="center"/>
            </w:pPr>
            <w:r w:rsidRPr="00C94C33">
              <w:t>1 (0.2)</w:t>
            </w:r>
          </w:p>
        </w:tc>
        <w:tc>
          <w:tcPr>
            <w:tcW w:w="2520" w:type="dxa"/>
            <w:shd w:val="clear" w:color="auto" w:fill="auto"/>
          </w:tcPr>
          <w:p w14:paraId="46652673" w14:textId="77777777" w:rsidR="00DF61BC" w:rsidRPr="00C94C33" w:rsidRDefault="00DF61BC" w:rsidP="001542C5">
            <w:pPr>
              <w:pStyle w:val="Tabletext"/>
              <w:jc w:val="center"/>
            </w:pPr>
            <w:r w:rsidRPr="00C94C33">
              <w:t>2 (0.8)</w:t>
            </w:r>
          </w:p>
        </w:tc>
      </w:tr>
      <w:tr w:rsidR="00DF61BC" w:rsidRPr="00C94C33" w14:paraId="65E1C576" w14:textId="77777777" w:rsidTr="001542C5">
        <w:trPr>
          <w:trHeight w:hRule="exact" w:val="305"/>
        </w:trPr>
        <w:tc>
          <w:tcPr>
            <w:tcW w:w="4608" w:type="dxa"/>
            <w:shd w:val="clear" w:color="auto" w:fill="auto"/>
          </w:tcPr>
          <w:p w14:paraId="39EDC775" w14:textId="77777777" w:rsidR="00DF61BC" w:rsidRPr="00C94C33" w:rsidRDefault="00DF61BC" w:rsidP="001542C5">
            <w:pPr>
              <w:pStyle w:val="Tabletext"/>
            </w:pPr>
            <w:r w:rsidRPr="00C94C33">
              <w:t>&gt;20xULN AST</w:t>
            </w:r>
          </w:p>
        </w:tc>
        <w:tc>
          <w:tcPr>
            <w:tcW w:w="2430" w:type="dxa"/>
            <w:shd w:val="clear" w:color="auto" w:fill="auto"/>
          </w:tcPr>
          <w:p w14:paraId="7209A792" w14:textId="77777777" w:rsidR="00DF61BC" w:rsidRPr="00C94C33" w:rsidRDefault="00DF61BC" w:rsidP="001542C5">
            <w:pPr>
              <w:pStyle w:val="Tabletext"/>
              <w:jc w:val="center"/>
            </w:pPr>
            <w:r w:rsidRPr="00C94C33">
              <w:t>2 (0.4)</w:t>
            </w:r>
          </w:p>
        </w:tc>
        <w:tc>
          <w:tcPr>
            <w:tcW w:w="2520" w:type="dxa"/>
            <w:shd w:val="clear" w:color="auto" w:fill="auto"/>
          </w:tcPr>
          <w:p w14:paraId="776E8498" w14:textId="77777777" w:rsidR="00DF61BC" w:rsidRPr="00C94C33" w:rsidRDefault="00DF61BC" w:rsidP="001542C5">
            <w:pPr>
              <w:pStyle w:val="Tabletext"/>
              <w:jc w:val="center"/>
            </w:pPr>
            <w:r w:rsidRPr="00C94C33">
              <w:t>3 (1.1)</w:t>
            </w:r>
          </w:p>
        </w:tc>
      </w:tr>
      <w:tr w:rsidR="00DF61BC" w:rsidRPr="00C94C33" w14:paraId="5F03D184" w14:textId="77777777" w:rsidTr="001542C5">
        <w:trPr>
          <w:trHeight w:hRule="exact" w:val="306"/>
        </w:trPr>
        <w:tc>
          <w:tcPr>
            <w:tcW w:w="4608" w:type="dxa"/>
            <w:shd w:val="clear" w:color="auto" w:fill="auto"/>
          </w:tcPr>
          <w:p w14:paraId="21611EA7" w14:textId="77777777" w:rsidR="00DF61BC" w:rsidRPr="00C94C33" w:rsidRDefault="00DF61BC" w:rsidP="001542C5">
            <w:pPr>
              <w:pStyle w:val="Tabletext"/>
            </w:pPr>
            <w:r w:rsidRPr="00C94C33">
              <w:rPr>
                <w:b/>
                <w:bCs/>
              </w:rPr>
              <w:t xml:space="preserve">Elevation of </w:t>
            </w:r>
            <w:r w:rsidRPr="00C94C33">
              <w:rPr>
                <w:b/>
                <w:bCs/>
                <w:spacing w:val="-2"/>
              </w:rPr>
              <w:t>Bilirubin</w:t>
            </w:r>
          </w:p>
        </w:tc>
        <w:tc>
          <w:tcPr>
            <w:tcW w:w="2430" w:type="dxa"/>
            <w:shd w:val="clear" w:color="auto" w:fill="auto"/>
          </w:tcPr>
          <w:p w14:paraId="25E1BDE4" w14:textId="77777777" w:rsidR="00DF61BC" w:rsidRPr="00C94C33" w:rsidRDefault="00DF61BC" w:rsidP="001542C5">
            <w:pPr>
              <w:pStyle w:val="Tabletext"/>
              <w:jc w:val="center"/>
            </w:pPr>
          </w:p>
        </w:tc>
        <w:tc>
          <w:tcPr>
            <w:tcW w:w="2520" w:type="dxa"/>
            <w:shd w:val="clear" w:color="auto" w:fill="auto"/>
          </w:tcPr>
          <w:p w14:paraId="603EA9C5" w14:textId="77777777" w:rsidR="00DF61BC" w:rsidRPr="00C94C33" w:rsidRDefault="00DF61BC" w:rsidP="001542C5">
            <w:pPr>
              <w:pStyle w:val="Tabletext"/>
              <w:jc w:val="center"/>
            </w:pPr>
          </w:p>
        </w:tc>
      </w:tr>
      <w:tr w:rsidR="00DF61BC" w:rsidRPr="00C94C33" w14:paraId="3F60B92E" w14:textId="77777777" w:rsidTr="001542C5">
        <w:trPr>
          <w:trHeight w:hRule="exact" w:val="305"/>
        </w:trPr>
        <w:tc>
          <w:tcPr>
            <w:tcW w:w="4608" w:type="dxa"/>
            <w:shd w:val="clear" w:color="auto" w:fill="auto"/>
          </w:tcPr>
          <w:p w14:paraId="3089A4D3" w14:textId="77777777" w:rsidR="00DF61BC" w:rsidRPr="00C94C33" w:rsidRDefault="00DF61BC" w:rsidP="001542C5">
            <w:pPr>
              <w:pStyle w:val="Tabletext"/>
            </w:pPr>
            <w:r w:rsidRPr="00C94C33">
              <w:t>&gt;1.5xULN</w:t>
            </w:r>
          </w:p>
        </w:tc>
        <w:tc>
          <w:tcPr>
            <w:tcW w:w="2430" w:type="dxa"/>
            <w:shd w:val="clear" w:color="auto" w:fill="auto"/>
          </w:tcPr>
          <w:p w14:paraId="2B84ED66" w14:textId="77777777" w:rsidR="00DF61BC" w:rsidRPr="00C94C33" w:rsidRDefault="00DF61BC" w:rsidP="001542C5">
            <w:pPr>
              <w:pStyle w:val="Tabletext"/>
              <w:jc w:val="center"/>
            </w:pPr>
            <w:r w:rsidRPr="00C94C33">
              <w:t>109 (20.5)</w:t>
            </w:r>
          </w:p>
        </w:tc>
        <w:tc>
          <w:tcPr>
            <w:tcW w:w="2520" w:type="dxa"/>
            <w:shd w:val="clear" w:color="auto" w:fill="auto"/>
          </w:tcPr>
          <w:p w14:paraId="2594251E" w14:textId="77777777" w:rsidR="00DF61BC" w:rsidRPr="00C94C33" w:rsidRDefault="00DF61BC" w:rsidP="001542C5">
            <w:pPr>
              <w:pStyle w:val="Tabletext"/>
              <w:jc w:val="center"/>
            </w:pPr>
            <w:r w:rsidRPr="00C94C33">
              <w:t>48 (18.1)</w:t>
            </w:r>
          </w:p>
        </w:tc>
      </w:tr>
      <w:tr w:rsidR="00DF61BC" w:rsidRPr="00C94C33" w14:paraId="64CA2073" w14:textId="77777777" w:rsidTr="001542C5">
        <w:trPr>
          <w:trHeight w:hRule="exact" w:val="305"/>
        </w:trPr>
        <w:tc>
          <w:tcPr>
            <w:tcW w:w="4608" w:type="dxa"/>
            <w:shd w:val="clear" w:color="auto" w:fill="auto"/>
          </w:tcPr>
          <w:p w14:paraId="7CACE5E9" w14:textId="77777777" w:rsidR="00DF61BC" w:rsidRPr="00C94C33" w:rsidRDefault="00DF61BC" w:rsidP="001542C5">
            <w:pPr>
              <w:pStyle w:val="Tabletext"/>
            </w:pPr>
            <w:r w:rsidRPr="00C94C33">
              <w:t>&gt;2xULN</w:t>
            </w:r>
          </w:p>
        </w:tc>
        <w:tc>
          <w:tcPr>
            <w:tcW w:w="2430" w:type="dxa"/>
            <w:shd w:val="clear" w:color="auto" w:fill="auto"/>
          </w:tcPr>
          <w:p w14:paraId="0FFD116F" w14:textId="77777777" w:rsidR="00DF61BC" w:rsidRPr="00C94C33" w:rsidRDefault="00DF61BC" w:rsidP="001542C5">
            <w:pPr>
              <w:pStyle w:val="Tabletext"/>
              <w:jc w:val="center"/>
            </w:pPr>
            <w:r w:rsidRPr="00C94C33">
              <w:t>71 (13.3)</w:t>
            </w:r>
          </w:p>
        </w:tc>
        <w:tc>
          <w:tcPr>
            <w:tcW w:w="2520" w:type="dxa"/>
            <w:shd w:val="clear" w:color="auto" w:fill="auto"/>
          </w:tcPr>
          <w:p w14:paraId="7A92977A" w14:textId="77777777" w:rsidR="00DF61BC" w:rsidRPr="00C94C33" w:rsidRDefault="00DF61BC" w:rsidP="001542C5">
            <w:pPr>
              <w:pStyle w:val="Tabletext"/>
              <w:jc w:val="center"/>
            </w:pPr>
            <w:r w:rsidRPr="00C94C33">
              <w:t>40 (15.1)</w:t>
            </w:r>
          </w:p>
        </w:tc>
      </w:tr>
      <w:tr w:rsidR="00DF61BC" w:rsidRPr="00C94C33" w14:paraId="783C5B5F" w14:textId="77777777" w:rsidTr="001542C5">
        <w:trPr>
          <w:trHeight w:hRule="exact" w:val="304"/>
        </w:trPr>
        <w:tc>
          <w:tcPr>
            <w:tcW w:w="4608" w:type="dxa"/>
            <w:shd w:val="clear" w:color="auto" w:fill="auto"/>
          </w:tcPr>
          <w:p w14:paraId="394BC2CE" w14:textId="77777777" w:rsidR="00DF61BC" w:rsidRPr="00C94C33" w:rsidRDefault="00DF61BC" w:rsidP="001542C5">
            <w:pPr>
              <w:pStyle w:val="Tabletext"/>
            </w:pPr>
            <w:r w:rsidRPr="00C94C33">
              <w:rPr>
                <w:b/>
                <w:bCs/>
              </w:rPr>
              <w:t>&gt;1.5xULN Alkaline Phosphatase</w:t>
            </w:r>
          </w:p>
        </w:tc>
        <w:tc>
          <w:tcPr>
            <w:tcW w:w="2430" w:type="dxa"/>
            <w:shd w:val="clear" w:color="auto" w:fill="auto"/>
          </w:tcPr>
          <w:p w14:paraId="2A7D2950" w14:textId="77777777" w:rsidR="00DF61BC" w:rsidRPr="00C94C33" w:rsidRDefault="00DF61BC" w:rsidP="001542C5">
            <w:pPr>
              <w:pStyle w:val="Tabletext"/>
              <w:jc w:val="center"/>
            </w:pPr>
            <w:r w:rsidRPr="00C94C33">
              <w:t>293 (55.0)</w:t>
            </w:r>
          </w:p>
        </w:tc>
        <w:tc>
          <w:tcPr>
            <w:tcW w:w="2520" w:type="dxa"/>
            <w:shd w:val="clear" w:color="auto" w:fill="auto"/>
          </w:tcPr>
          <w:p w14:paraId="1EA698B0" w14:textId="77777777" w:rsidR="00DF61BC" w:rsidRPr="00C94C33" w:rsidRDefault="00DF61BC" w:rsidP="001542C5">
            <w:pPr>
              <w:pStyle w:val="Tabletext"/>
              <w:jc w:val="center"/>
            </w:pPr>
            <w:r w:rsidRPr="00C94C33">
              <w:t>147 (55.5)</w:t>
            </w:r>
          </w:p>
        </w:tc>
      </w:tr>
    </w:tbl>
    <w:p w14:paraId="57851FE3" w14:textId="3470A935" w:rsidR="00DF61BC" w:rsidRPr="00996E3F" w:rsidRDefault="00DF61BC" w:rsidP="00510509">
      <w:pPr>
        <w:pStyle w:val="TableDescription"/>
        <w:rPr>
          <w:sz w:val="18"/>
          <w:szCs w:val="18"/>
        </w:rPr>
      </w:pPr>
      <w:r w:rsidRPr="00996E3F">
        <w:rPr>
          <w:sz w:val="18"/>
          <w:szCs w:val="18"/>
        </w:rPr>
        <w:t>AT = aminotransferase; ULN = upper limit of normal range</w:t>
      </w:r>
      <w:r w:rsidR="00D61A21" w:rsidRPr="00996E3F">
        <w:rPr>
          <w:sz w:val="18"/>
          <w:szCs w:val="18"/>
        </w:rPr>
        <w:t xml:space="preserve">; </w:t>
      </w:r>
      <w:r w:rsidR="00510509" w:rsidRPr="00996E3F">
        <w:rPr>
          <w:sz w:val="18"/>
          <w:szCs w:val="18"/>
        </w:rPr>
        <w:t xml:space="preserve">a. </w:t>
      </w:r>
      <w:r w:rsidRPr="00996E3F">
        <w:rPr>
          <w:sz w:val="18"/>
          <w:szCs w:val="18"/>
        </w:rPr>
        <w:t>Patients with both ALT and AST abnormalities for the same lab draw (same date and time) are counted as one event.</w:t>
      </w:r>
    </w:p>
    <w:p w14:paraId="29251FBB" w14:textId="77777777" w:rsidR="00DF61BC" w:rsidRPr="00C94C33" w:rsidRDefault="00DF61BC" w:rsidP="000E0A49">
      <w:pPr>
        <w:pStyle w:val="Heading5"/>
      </w:pPr>
      <w:bookmarkStart w:id="418" w:name="_Toc470948593"/>
      <w:r w:rsidRPr="00C94C33">
        <w:t>Renal-related laboratory abnormalities</w:t>
      </w:r>
      <w:bookmarkEnd w:id="418"/>
    </w:p>
    <w:p w14:paraId="60FD9969" w14:textId="351F1A2C" w:rsidR="00AC4015" w:rsidRPr="00C94C33" w:rsidRDefault="00DF61BC" w:rsidP="005C2FCA">
      <w:pPr>
        <w:rPr>
          <w:rFonts w:cstheme="minorBidi"/>
          <w:b/>
        </w:rPr>
      </w:pPr>
      <w:r w:rsidRPr="00C94C33">
        <w:t>There was no difference between the two treatment groups with respect to the incidence of serum creatinine abnormalities of potential clinical relevance (see below).</w:t>
      </w:r>
      <w:bookmarkStart w:id="419" w:name="_Toc470948710"/>
    </w:p>
    <w:p w14:paraId="7BF33DDD" w14:textId="487A5332" w:rsidR="00DF61BC" w:rsidRPr="00C94C33" w:rsidRDefault="00AE0F74" w:rsidP="0058475B">
      <w:pPr>
        <w:pStyle w:val="Tabletitle"/>
      </w:pPr>
      <w:r w:rsidRPr="00C94C33">
        <w:t>Tabl</w:t>
      </w:r>
      <w:r w:rsidR="00AC4015" w:rsidRPr="00C94C33">
        <w:t>e 61</w:t>
      </w:r>
      <w:r w:rsidR="00DF61BC" w:rsidRPr="00C94C33">
        <w:t>: RECOURSE</w:t>
      </w:r>
      <w:r w:rsidR="00D61A21">
        <w:t xml:space="preserve">; </w:t>
      </w:r>
      <w:r w:rsidR="00DF61BC" w:rsidRPr="00C94C33">
        <w:t>Serum creatinine elevations of potential clinical relevance.</w:t>
      </w:r>
      <w:bookmarkStart w:id="420" w:name="_GoBack"/>
      <w:bookmarkEnd w:id="419"/>
      <w:bookmarkEnd w:id="420"/>
    </w:p>
    <w:tbl>
      <w:tblPr>
        <w:tblW w:w="9558" w:type="dxa"/>
        <w:tblInd w:w="112" w:type="dxa"/>
        <w:tblLayout w:type="fixed"/>
        <w:tblCellMar>
          <w:left w:w="0" w:type="dxa"/>
          <w:right w:w="0" w:type="dxa"/>
        </w:tblCellMar>
        <w:tblLook w:val="0000" w:firstRow="0" w:lastRow="0" w:firstColumn="0" w:lastColumn="0" w:noHBand="0" w:noVBand="0"/>
      </w:tblPr>
      <w:tblGrid>
        <w:gridCol w:w="4574"/>
        <w:gridCol w:w="2410"/>
        <w:gridCol w:w="2574"/>
      </w:tblGrid>
      <w:tr w:rsidR="00DF61BC" w:rsidRPr="00C94C33" w14:paraId="08869F34" w14:textId="77777777" w:rsidTr="000D23E3">
        <w:trPr>
          <w:trHeight w:hRule="exact" w:val="365"/>
          <w:tblHeader/>
        </w:trPr>
        <w:tc>
          <w:tcPr>
            <w:tcW w:w="4574" w:type="dxa"/>
            <w:vMerge w:val="restart"/>
            <w:tcBorders>
              <w:top w:val="single" w:sz="7" w:space="0" w:color="000000"/>
              <w:left w:val="single" w:sz="6" w:space="0" w:color="000000"/>
              <w:bottom w:val="single" w:sz="7" w:space="0" w:color="000000"/>
              <w:right w:val="single" w:sz="6" w:space="0" w:color="000000"/>
            </w:tcBorders>
            <w:shd w:val="clear" w:color="auto" w:fill="auto"/>
          </w:tcPr>
          <w:p w14:paraId="39D19555" w14:textId="77777777" w:rsidR="00DF61BC" w:rsidRPr="00C94C33" w:rsidRDefault="00DF61BC" w:rsidP="000D23E3">
            <w:pPr>
              <w:pStyle w:val="TableHeading"/>
            </w:pPr>
            <w:bookmarkStart w:id="421" w:name="12.4.3.4._Renal-related_Laboratory_Abnor"/>
            <w:bookmarkStart w:id="422" w:name="Table_58:_Number_(%)_of_Patients_with_Se"/>
            <w:bookmarkStart w:id="423" w:name="12.5._Subgroup_Analyses_of_Safety"/>
            <w:bookmarkStart w:id="424" w:name="12.5.1._Age"/>
            <w:bookmarkEnd w:id="421"/>
            <w:bookmarkEnd w:id="422"/>
            <w:bookmarkEnd w:id="423"/>
            <w:bookmarkEnd w:id="424"/>
            <w:r w:rsidRPr="00C94C33">
              <w:t>Elevation of Serum Creatinine</w:t>
            </w:r>
          </w:p>
        </w:tc>
        <w:tc>
          <w:tcPr>
            <w:tcW w:w="4984" w:type="dxa"/>
            <w:gridSpan w:val="2"/>
            <w:tcBorders>
              <w:top w:val="single" w:sz="7" w:space="0" w:color="000000"/>
              <w:left w:val="single" w:sz="6" w:space="0" w:color="000000"/>
              <w:bottom w:val="single" w:sz="7" w:space="0" w:color="000000"/>
              <w:right w:val="single" w:sz="6" w:space="0" w:color="000000"/>
            </w:tcBorders>
            <w:shd w:val="clear" w:color="auto" w:fill="auto"/>
          </w:tcPr>
          <w:p w14:paraId="385AA55C" w14:textId="77777777" w:rsidR="00DF61BC" w:rsidRPr="00C94C33" w:rsidRDefault="00DF61BC" w:rsidP="000D23E3">
            <w:pPr>
              <w:pStyle w:val="TableHeading"/>
              <w:jc w:val="center"/>
            </w:pPr>
            <w:r w:rsidRPr="00C94C33">
              <w:t xml:space="preserve">Number </w:t>
            </w:r>
            <w:r w:rsidRPr="00C94C33">
              <w:rPr>
                <w:spacing w:val="-2"/>
              </w:rPr>
              <w:t>(%)</w:t>
            </w:r>
            <w:r w:rsidRPr="00C94C33">
              <w:t xml:space="preserve"> of Patients</w:t>
            </w:r>
          </w:p>
        </w:tc>
      </w:tr>
      <w:tr w:rsidR="00DF61BC" w:rsidRPr="00C94C33" w14:paraId="75752244" w14:textId="77777777" w:rsidTr="000D23E3">
        <w:trPr>
          <w:trHeight w:hRule="exact" w:val="595"/>
          <w:tblHeader/>
        </w:trPr>
        <w:tc>
          <w:tcPr>
            <w:tcW w:w="4574" w:type="dxa"/>
            <w:vMerge/>
            <w:tcBorders>
              <w:top w:val="single" w:sz="7" w:space="0" w:color="000000"/>
              <w:left w:val="single" w:sz="6" w:space="0" w:color="000000"/>
              <w:bottom w:val="single" w:sz="7" w:space="0" w:color="000000"/>
              <w:right w:val="single" w:sz="6" w:space="0" w:color="000000"/>
            </w:tcBorders>
            <w:shd w:val="clear" w:color="auto" w:fill="auto"/>
          </w:tcPr>
          <w:p w14:paraId="2F964D22" w14:textId="77777777" w:rsidR="00DF61BC" w:rsidRPr="00C94C33" w:rsidRDefault="00DF61BC" w:rsidP="000D23E3">
            <w:pPr>
              <w:pStyle w:val="TableHeading"/>
            </w:pPr>
          </w:p>
        </w:tc>
        <w:tc>
          <w:tcPr>
            <w:tcW w:w="2410" w:type="dxa"/>
            <w:tcBorders>
              <w:top w:val="single" w:sz="7" w:space="0" w:color="000000"/>
              <w:left w:val="single" w:sz="6" w:space="0" w:color="000000"/>
              <w:bottom w:val="single" w:sz="7" w:space="0" w:color="000000"/>
              <w:right w:val="single" w:sz="6" w:space="0" w:color="000000"/>
            </w:tcBorders>
            <w:shd w:val="clear" w:color="auto" w:fill="auto"/>
          </w:tcPr>
          <w:p w14:paraId="3419D084" w14:textId="628F2AA1" w:rsidR="00DF61BC" w:rsidRPr="00C94C33" w:rsidRDefault="00DF61BC" w:rsidP="000D23E3">
            <w:pPr>
              <w:pStyle w:val="TableHeading"/>
              <w:jc w:val="center"/>
            </w:pPr>
            <w:r w:rsidRPr="00C94C33">
              <w:t>TAS-102</w:t>
            </w:r>
            <w:r w:rsidRPr="00C94C33">
              <w:rPr>
                <w:spacing w:val="23"/>
              </w:rPr>
              <w:t xml:space="preserve"> </w:t>
            </w:r>
            <w:r w:rsidRPr="00C94C33">
              <w:t>(</w:t>
            </w:r>
            <w:r w:rsidR="009C0389" w:rsidRPr="00C94C33">
              <w:t xml:space="preserve">N = </w:t>
            </w:r>
            <w:r w:rsidRPr="00C94C33">
              <w:t>533)</w:t>
            </w:r>
          </w:p>
        </w:tc>
        <w:tc>
          <w:tcPr>
            <w:tcW w:w="2574" w:type="dxa"/>
            <w:tcBorders>
              <w:top w:val="single" w:sz="7" w:space="0" w:color="000000"/>
              <w:left w:val="single" w:sz="6" w:space="0" w:color="000000"/>
              <w:bottom w:val="single" w:sz="7" w:space="0" w:color="000000"/>
              <w:right w:val="single" w:sz="6" w:space="0" w:color="000000"/>
            </w:tcBorders>
            <w:shd w:val="clear" w:color="auto" w:fill="auto"/>
          </w:tcPr>
          <w:p w14:paraId="5D613683" w14:textId="29634864" w:rsidR="00DF61BC" w:rsidRPr="00C94C33" w:rsidRDefault="00DF61BC" w:rsidP="000D23E3">
            <w:pPr>
              <w:pStyle w:val="TableHeading"/>
              <w:jc w:val="center"/>
            </w:pPr>
            <w:r w:rsidRPr="00C94C33">
              <w:t>Placebo</w:t>
            </w:r>
            <w:r w:rsidRPr="00C94C33">
              <w:rPr>
                <w:spacing w:val="20"/>
              </w:rPr>
              <w:t xml:space="preserve"> </w:t>
            </w:r>
            <w:r w:rsidR="000C7839" w:rsidRPr="00C94C33">
              <w:t>(</w:t>
            </w:r>
            <w:r w:rsidR="009C0389" w:rsidRPr="00C94C33">
              <w:t xml:space="preserve">N = </w:t>
            </w:r>
            <w:r w:rsidRPr="00C94C33">
              <w:t>265)</w:t>
            </w:r>
          </w:p>
        </w:tc>
      </w:tr>
      <w:tr w:rsidR="00DF61BC" w:rsidRPr="00C94C33" w14:paraId="650C9931" w14:textId="77777777" w:rsidTr="000D23E3">
        <w:trPr>
          <w:trHeight w:hRule="exact" w:val="305"/>
        </w:trPr>
        <w:tc>
          <w:tcPr>
            <w:tcW w:w="4574" w:type="dxa"/>
            <w:tcBorders>
              <w:top w:val="single" w:sz="7" w:space="0" w:color="000000"/>
              <w:left w:val="single" w:sz="6" w:space="0" w:color="000000"/>
              <w:bottom w:val="single" w:sz="7" w:space="0" w:color="000000"/>
              <w:right w:val="single" w:sz="6" w:space="0" w:color="000000"/>
            </w:tcBorders>
            <w:shd w:val="clear" w:color="auto" w:fill="auto"/>
          </w:tcPr>
          <w:p w14:paraId="29B09360" w14:textId="77777777" w:rsidR="00DF61BC" w:rsidRPr="00C94C33" w:rsidRDefault="00DF61BC" w:rsidP="000D23E3">
            <w:pPr>
              <w:pStyle w:val="Tabletext"/>
            </w:pPr>
            <w:r w:rsidRPr="00C94C33">
              <w:t>Change from</w:t>
            </w:r>
            <w:r w:rsidRPr="00C94C33">
              <w:rPr>
                <w:spacing w:val="-2"/>
              </w:rPr>
              <w:t xml:space="preserve"> </w:t>
            </w:r>
            <w:r w:rsidRPr="00C94C33">
              <w:t>Baseline ≥ 0.5 mg/dL</w:t>
            </w:r>
          </w:p>
        </w:tc>
        <w:tc>
          <w:tcPr>
            <w:tcW w:w="2410" w:type="dxa"/>
            <w:tcBorders>
              <w:top w:val="single" w:sz="7" w:space="0" w:color="000000"/>
              <w:left w:val="single" w:sz="6" w:space="0" w:color="000000"/>
              <w:bottom w:val="single" w:sz="7" w:space="0" w:color="000000"/>
              <w:right w:val="single" w:sz="6" w:space="0" w:color="000000"/>
            </w:tcBorders>
            <w:shd w:val="clear" w:color="auto" w:fill="auto"/>
          </w:tcPr>
          <w:p w14:paraId="76128956" w14:textId="77777777" w:rsidR="00DF61BC" w:rsidRPr="00C94C33" w:rsidRDefault="00DF61BC" w:rsidP="000D23E3">
            <w:pPr>
              <w:pStyle w:val="Tabletext"/>
              <w:jc w:val="center"/>
            </w:pPr>
            <w:r w:rsidRPr="00C94C33">
              <w:t>24 (4.5)</w:t>
            </w:r>
          </w:p>
        </w:tc>
        <w:tc>
          <w:tcPr>
            <w:tcW w:w="2574" w:type="dxa"/>
            <w:tcBorders>
              <w:top w:val="single" w:sz="7" w:space="0" w:color="000000"/>
              <w:left w:val="single" w:sz="6" w:space="0" w:color="000000"/>
              <w:bottom w:val="single" w:sz="7" w:space="0" w:color="000000"/>
              <w:right w:val="single" w:sz="6" w:space="0" w:color="000000"/>
            </w:tcBorders>
            <w:shd w:val="clear" w:color="auto" w:fill="auto"/>
          </w:tcPr>
          <w:p w14:paraId="402BA2AD" w14:textId="77777777" w:rsidR="00DF61BC" w:rsidRPr="00C94C33" w:rsidRDefault="00DF61BC" w:rsidP="000D23E3">
            <w:pPr>
              <w:pStyle w:val="Tabletext"/>
              <w:jc w:val="center"/>
            </w:pPr>
            <w:r w:rsidRPr="00C94C33">
              <w:t>15 (5.7)</w:t>
            </w:r>
          </w:p>
        </w:tc>
      </w:tr>
      <w:tr w:rsidR="00DF61BC" w:rsidRPr="00C94C33" w14:paraId="0B762D7D" w14:textId="77777777" w:rsidTr="000D23E3">
        <w:trPr>
          <w:trHeight w:hRule="exact" w:val="305"/>
        </w:trPr>
        <w:tc>
          <w:tcPr>
            <w:tcW w:w="4574" w:type="dxa"/>
            <w:tcBorders>
              <w:top w:val="single" w:sz="7" w:space="0" w:color="000000"/>
              <w:left w:val="single" w:sz="6" w:space="0" w:color="000000"/>
              <w:bottom w:val="single" w:sz="7" w:space="0" w:color="000000"/>
              <w:right w:val="single" w:sz="6" w:space="0" w:color="000000"/>
            </w:tcBorders>
            <w:shd w:val="clear" w:color="auto" w:fill="auto"/>
          </w:tcPr>
          <w:p w14:paraId="2F5DDE8B" w14:textId="77777777" w:rsidR="00DF61BC" w:rsidRPr="00C94C33" w:rsidRDefault="00DF61BC" w:rsidP="000D23E3">
            <w:pPr>
              <w:pStyle w:val="Tabletext"/>
            </w:pPr>
            <w:r w:rsidRPr="00C94C33">
              <w:t>&gt; 1.5xULN Creatinine</w:t>
            </w:r>
          </w:p>
        </w:tc>
        <w:tc>
          <w:tcPr>
            <w:tcW w:w="2410" w:type="dxa"/>
            <w:tcBorders>
              <w:top w:val="single" w:sz="7" w:space="0" w:color="000000"/>
              <w:left w:val="single" w:sz="6" w:space="0" w:color="000000"/>
              <w:bottom w:val="single" w:sz="7" w:space="0" w:color="000000"/>
              <w:right w:val="single" w:sz="6" w:space="0" w:color="000000"/>
            </w:tcBorders>
            <w:shd w:val="clear" w:color="auto" w:fill="auto"/>
          </w:tcPr>
          <w:p w14:paraId="3F2F49FF" w14:textId="77777777" w:rsidR="00DF61BC" w:rsidRPr="00C94C33" w:rsidRDefault="00DF61BC" w:rsidP="000D23E3">
            <w:pPr>
              <w:pStyle w:val="Tabletext"/>
              <w:jc w:val="center"/>
            </w:pPr>
            <w:r w:rsidRPr="00C94C33">
              <w:t>24 (4.5)</w:t>
            </w:r>
          </w:p>
        </w:tc>
        <w:tc>
          <w:tcPr>
            <w:tcW w:w="2574" w:type="dxa"/>
            <w:tcBorders>
              <w:top w:val="single" w:sz="7" w:space="0" w:color="000000"/>
              <w:left w:val="single" w:sz="6" w:space="0" w:color="000000"/>
              <w:bottom w:val="single" w:sz="7" w:space="0" w:color="000000"/>
              <w:right w:val="single" w:sz="6" w:space="0" w:color="000000"/>
            </w:tcBorders>
            <w:shd w:val="clear" w:color="auto" w:fill="auto"/>
          </w:tcPr>
          <w:p w14:paraId="14368AC4" w14:textId="77777777" w:rsidR="00DF61BC" w:rsidRPr="00C94C33" w:rsidRDefault="00DF61BC" w:rsidP="000D23E3">
            <w:pPr>
              <w:pStyle w:val="Tabletext"/>
              <w:jc w:val="center"/>
            </w:pPr>
            <w:r w:rsidRPr="00C94C33">
              <w:t>9 (3.4)</w:t>
            </w:r>
          </w:p>
        </w:tc>
      </w:tr>
      <w:tr w:rsidR="00DF61BC" w:rsidRPr="00C94C33" w14:paraId="4B768F54" w14:textId="77777777" w:rsidTr="000D23E3">
        <w:trPr>
          <w:trHeight w:hRule="exact" w:val="535"/>
        </w:trPr>
        <w:tc>
          <w:tcPr>
            <w:tcW w:w="4574" w:type="dxa"/>
            <w:tcBorders>
              <w:top w:val="single" w:sz="7" w:space="0" w:color="000000"/>
              <w:left w:val="single" w:sz="6" w:space="0" w:color="000000"/>
              <w:bottom w:val="single" w:sz="7" w:space="0" w:color="000000"/>
              <w:right w:val="single" w:sz="6" w:space="0" w:color="000000"/>
            </w:tcBorders>
            <w:shd w:val="clear" w:color="auto" w:fill="auto"/>
          </w:tcPr>
          <w:p w14:paraId="4FBBD54C" w14:textId="77777777" w:rsidR="00DF61BC" w:rsidRPr="00C94C33" w:rsidRDefault="00DF61BC" w:rsidP="000D23E3">
            <w:pPr>
              <w:pStyle w:val="Tabletext"/>
            </w:pPr>
            <w:r w:rsidRPr="00C94C33">
              <w:t>Either Change</w:t>
            </w:r>
            <w:r w:rsidRPr="00C94C33">
              <w:rPr>
                <w:spacing w:val="-2"/>
              </w:rPr>
              <w:t xml:space="preserve"> </w:t>
            </w:r>
            <w:r w:rsidRPr="00C94C33">
              <w:t>from</w:t>
            </w:r>
            <w:r w:rsidRPr="00C94C33">
              <w:rPr>
                <w:spacing w:val="-2"/>
              </w:rPr>
              <w:t xml:space="preserve"> </w:t>
            </w:r>
            <w:r w:rsidRPr="00C94C33">
              <w:t>Baseline ≥0.5 mg/dL or &gt;1.5xULN</w:t>
            </w:r>
            <w:r w:rsidRPr="00C94C33">
              <w:rPr>
                <w:spacing w:val="30"/>
              </w:rPr>
              <w:t xml:space="preserve"> </w:t>
            </w:r>
            <w:r w:rsidRPr="00C94C33">
              <w:t>Creatinine</w:t>
            </w:r>
          </w:p>
        </w:tc>
        <w:tc>
          <w:tcPr>
            <w:tcW w:w="2410" w:type="dxa"/>
            <w:tcBorders>
              <w:top w:val="single" w:sz="7" w:space="0" w:color="000000"/>
              <w:left w:val="single" w:sz="6" w:space="0" w:color="000000"/>
              <w:bottom w:val="single" w:sz="7" w:space="0" w:color="000000"/>
              <w:right w:val="single" w:sz="6" w:space="0" w:color="000000"/>
            </w:tcBorders>
            <w:shd w:val="clear" w:color="auto" w:fill="auto"/>
          </w:tcPr>
          <w:p w14:paraId="73F2A9FC" w14:textId="77777777" w:rsidR="00DF61BC" w:rsidRPr="00C94C33" w:rsidRDefault="00DF61BC" w:rsidP="000D23E3">
            <w:pPr>
              <w:pStyle w:val="Tabletext"/>
              <w:jc w:val="center"/>
            </w:pPr>
            <w:r w:rsidRPr="00C94C33">
              <w:t>30 (5.6)</w:t>
            </w:r>
          </w:p>
        </w:tc>
        <w:tc>
          <w:tcPr>
            <w:tcW w:w="2574" w:type="dxa"/>
            <w:tcBorders>
              <w:top w:val="single" w:sz="7" w:space="0" w:color="000000"/>
              <w:left w:val="single" w:sz="6" w:space="0" w:color="000000"/>
              <w:bottom w:val="single" w:sz="7" w:space="0" w:color="000000"/>
              <w:right w:val="single" w:sz="6" w:space="0" w:color="000000"/>
            </w:tcBorders>
            <w:shd w:val="clear" w:color="auto" w:fill="auto"/>
          </w:tcPr>
          <w:p w14:paraId="3F701F89" w14:textId="77777777" w:rsidR="00DF61BC" w:rsidRPr="00C94C33" w:rsidRDefault="00DF61BC" w:rsidP="000D23E3">
            <w:pPr>
              <w:pStyle w:val="Tabletext"/>
              <w:jc w:val="center"/>
            </w:pPr>
            <w:r w:rsidRPr="00C94C33">
              <w:t>15 (5.7)</w:t>
            </w:r>
          </w:p>
        </w:tc>
      </w:tr>
      <w:tr w:rsidR="00DF61BC" w:rsidRPr="00C94C33" w14:paraId="1F7C8944" w14:textId="77777777" w:rsidTr="000D23E3">
        <w:trPr>
          <w:trHeight w:hRule="exact" w:val="533"/>
        </w:trPr>
        <w:tc>
          <w:tcPr>
            <w:tcW w:w="4574" w:type="dxa"/>
            <w:tcBorders>
              <w:top w:val="single" w:sz="7" w:space="0" w:color="000000"/>
              <w:left w:val="single" w:sz="6" w:space="0" w:color="000000"/>
              <w:bottom w:val="single" w:sz="6" w:space="0" w:color="000000"/>
              <w:right w:val="single" w:sz="6" w:space="0" w:color="000000"/>
            </w:tcBorders>
            <w:shd w:val="clear" w:color="auto" w:fill="auto"/>
          </w:tcPr>
          <w:p w14:paraId="1E656B13" w14:textId="77777777" w:rsidR="00DF61BC" w:rsidRPr="00C94C33" w:rsidRDefault="00DF61BC" w:rsidP="000D23E3">
            <w:pPr>
              <w:pStyle w:val="Tabletext"/>
            </w:pPr>
            <w:r w:rsidRPr="00C94C33">
              <w:t>Both Change from</w:t>
            </w:r>
            <w:r w:rsidRPr="00C94C33">
              <w:rPr>
                <w:spacing w:val="-2"/>
              </w:rPr>
              <w:t xml:space="preserve"> </w:t>
            </w:r>
            <w:r w:rsidRPr="00C94C33">
              <w:t>Baseline ≥0.5 mg/dL and</w:t>
            </w:r>
            <w:r w:rsidRPr="00C94C33">
              <w:rPr>
                <w:spacing w:val="-2"/>
              </w:rPr>
              <w:t xml:space="preserve"> </w:t>
            </w:r>
            <w:r w:rsidRPr="00C94C33">
              <w:t>&gt;1.5xULN</w:t>
            </w:r>
            <w:r w:rsidRPr="00C94C33">
              <w:rPr>
                <w:spacing w:val="33"/>
              </w:rPr>
              <w:t xml:space="preserve"> </w:t>
            </w:r>
            <w:r w:rsidRPr="00C94C33">
              <w:t>Creatinine</w:t>
            </w:r>
          </w:p>
        </w:tc>
        <w:tc>
          <w:tcPr>
            <w:tcW w:w="2410" w:type="dxa"/>
            <w:tcBorders>
              <w:top w:val="single" w:sz="7" w:space="0" w:color="000000"/>
              <w:left w:val="single" w:sz="6" w:space="0" w:color="000000"/>
              <w:bottom w:val="single" w:sz="6" w:space="0" w:color="000000"/>
              <w:right w:val="single" w:sz="6" w:space="0" w:color="000000"/>
            </w:tcBorders>
            <w:shd w:val="clear" w:color="auto" w:fill="auto"/>
          </w:tcPr>
          <w:p w14:paraId="33C97E69" w14:textId="77777777" w:rsidR="00DF61BC" w:rsidRPr="00C94C33" w:rsidRDefault="00DF61BC" w:rsidP="000D23E3">
            <w:pPr>
              <w:pStyle w:val="Tabletext"/>
              <w:jc w:val="center"/>
            </w:pPr>
            <w:r w:rsidRPr="00C94C33">
              <w:t>18 (3.4)</w:t>
            </w:r>
          </w:p>
        </w:tc>
        <w:tc>
          <w:tcPr>
            <w:tcW w:w="2574" w:type="dxa"/>
            <w:tcBorders>
              <w:top w:val="single" w:sz="7" w:space="0" w:color="000000"/>
              <w:left w:val="single" w:sz="6" w:space="0" w:color="000000"/>
              <w:bottom w:val="single" w:sz="6" w:space="0" w:color="000000"/>
              <w:right w:val="single" w:sz="6" w:space="0" w:color="000000"/>
            </w:tcBorders>
            <w:shd w:val="clear" w:color="auto" w:fill="auto"/>
          </w:tcPr>
          <w:p w14:paraId="5403590F" w14:textId="77777777" w:rsidR="00DF61BC" w:rsidRPr="00C94C33" w:rsidRDefault="00DF61BC" w:rsidP="000D23E3">
            <w:pPr>
              <w:pStyle w:val="Tabletext"/>
              <w:jc w:val="center"/>
            </w:pPr>
            <w:r w:rsidRPr="00C94C33">
              <w:t>9 (3.4)</w:t>
            </w:r>
          </w:p>
        </w:tc>
      </w:tr>
    </w:tbl>
    <w:p w14:paraId="07AAB000" w14:textId="77777777" w:rsidR="00DF61BC" w:rsidRPr="00C94C33" w:rsidRDefault="00DF61BC" w:rsidP="000E0A49">
      <w:pPr>
        <w:pStyle w:val="Heading3"/>
      </w:pPr>
      <w:bookmarkStart w:id="425" w:name="_Toc470948594"/>
      <w:bookmarkStart w:id="426" w:name="_Toc510016896"/>
      <w:bookmarkStart w:id="427" w:name="_Toc272414674"/>
      <w:bookmarkStart w:id="428" w:name="_Toc290846312"/>
      <w:bookmarkEnd w:id="394"/>
      <w:r w:rsidRPr="00C94C33">
        <w:t>Vital signs and Electrocardiograph</w:t>
      </w:r>
      <w:bookmarkEnd w:id="425"/>
      <w:bookmarkEnd w:id="426"/>
    </w:p>
    <w:p w14:paraId="5E783C1C" w14:textId="77777777" w:rsidR="00AA7141" w:rsidRDefault="00DF61BC" w:rsidP="00955252">
      <w:pPr>
        <w:pStyle w:val="Heading4"/>
      </w:pPr>
      <w:bookmarkStart w:id="429" w:name="_Toc470948595"/>
      <w:r w:rsidRPr="00C94C33">
        <w:t>Vital signs</w:t>
      </w:r>
      <w:bookmarkEnd w:id="429"/>
    </w:p>
    <w:p w14:paraId="2C13FC0B" w14:textId="74438CAA" w:rsidR="00DF61BC" w:rsidRPr="00C94C33" w:rsidRDefault="00DF61BC" w:rsidP="00DF61BC">
      <w:r w:rsidRPr="00C94C33">
        <w:t xml:space="preserve">No clinically relevant mean or median changes in body weight or vital signs (systolic blood pressure, diastolic blood pressure, heart rate, respiratory rate) were observed in either treatment group during the study. The mean ± SD change in body weight from </w:t>
      </w:r>
      <w:r w:rsidR="00D61A21">
        <w:t>B</w:t>
      </w:r>
      <w:r w:rsidR="00D61A21" w:rsidRPr="00C94C33">
        <w:t xml:space="preserve">aseline </w:t>
      </w:r>
      <w:r w:rsidRPr="00C94C33">
        <w:t xml:space="preserve">to the last collection cycle was -1.33 ± 3.34 kg in the TAS-102 group and -1.2 ± 3.28 kg. The mean ± SD change in systolic blood pressure from baseline to last collection cycle was -3.3 ± 17.04 mmHg in the TAS-102 group and -3.4 ± 16.03 in the placebo group. The mean ± SD change in diastolic blood pressure from </w:t>
      </w:r>
      <w:r w:rsidR="00D61A21">
        <w:t>B</w:t>
      </w:r>
      <w:r w:rsidR="00D61A21" w:rsidRPr="00C94C33">
        <w:t xml:space="preserve">aseline </w:t>
      </w:r>
      <w:r w:rsidRPr="00C94C33">
        <w:t xml:space="preserve">to last collection cycle was -2.5 ± 11.73 mmHg in the TAS-102 group and -1.3 ± 10.76 in the placebo group. The mean ± SD change in heart rate from </w:t>
      </w:r>
      <w:r w:rsidR="00D61A21">
        <w:t>B</w:t>
      </w:r>
      <w:r w:rsidR="00D61A21" w:rsidRPr="00C94C33">
        <w:t xml:space="preserve">aseline </w:t>
      </w:r>
      <w:r w:rsidRPr="00C94C33">
        <w:t>to last collection cycle was 2.2</w:t>
      </w:r>
      <w:r w:rsidR="00D61A21">
        <w:t> </w:t>
      </w:r>
      <w:r w:rsidRPr="00C94C33">
        <w:t xml:space="preserve">± 14.59 beats per minute in the TAS-102 group and 2.8 ± 13.44 in the placebo group. The mean ± SD change in respiratory rate from </w:t>
      </w:r>
      <w:r w:rsidR="00D61A21">
        <w:t>B</w:t>
      </w:r>
      <w:r w:rsidR="00D61A21" w:rsidRPr="00C94C33">
        <w:t xml:space="preserve">aseline </w:t>
      </w:r>
      <w:r w:rsidRPr="00C94C33">
        <w:t>to last collection cycle was 0.4 ± 3.17 breaths per minute in the TAS-102 group and 0.2 ± 3.37 in the placebo group.</w:t>
      </w:r>
    </w:p>
    <w:p w14:paraId="15B8FBF4" w14:textId="00C49DE2" w:rsidR="00DF61BC" w:rsidRPr="00C94C33" w:rsidRDefault="00DF61BC" w:rsidP="00955252">
      <w:pPr>
        <w:pStyle w:val="Heading4"/>
      </w:pPr>
      <w:bookmarkStart w:id="430" w:name="_Toc470948596"/>
      <w:r w:rsidRPr="00C94C33">
        <w:lastRenderedPageBreak/>
        <w:t>Electrocardiograph</w:t>
      </w:r>
      <w:bookmarkEnd w:id="430"/>
    </w:p>
    <w:p w14:paraId="2D6BF4BF" w14:textId="77777777" w:rsidR="00AA7141" w:rsidRDefault="00DF61BC" w:rsidP="00DF61BC">
      <w:pPr>
        <w:autoSpaceDE w:val="0"/>
        <w:autoSpaceDN w:val="0"/>
        <w:adjustRightInd w:val="0"/>
        <w:rPr>
          <w:rFonts w:asciiTheme="minorHAnsi" w:hAnsiTheme="minorHAnsi"/>
        </w:rPr>
      </w:pPr>
      <w:r w:rsidRPr="00C94C33">
        <w:rPr>
          <w:rFonts w:asciiTheme="minorHAnsi" w:hAnsiTheme="minorHAnsi"/>
          <w:color w:val="000000"/>
        </w:rPr>
        <w:t xml:space="preserve">No clinically relevant changes from baseline or differences between treatment groups were observed for standard 12-lead ECG parameters (uncorrected QT, QTcF, QTcB, and ventricular rate) obtained at </w:t>
      </w:r>
      <w:r w:rsidR="00D61A21">
        <w:rPr>
          <w:rFonts w:asciiTheme="minorHAnsi" w:hAnsiTheme="minorHAnsi"/>
          <w:color w:val="000000"/>
        </w:rPr>
        <w:t>B</w:t>
      </w:r>
      <w:r w:rsidR="00D61A21" w:rsidRPr="00C94C33">
        <w:rPr>
          <w:rFonts w:asciiTheme="minorHAnsi" w:hAnsiTheme="minorHAnsi"/>
          <w:color w:val="000000"/>
        </w:rPr>
        <w:t xml:space="preserve">aseline </w:t>
      </w:r>
      <w:r w:rsidRPr="00C94C33">
        <w:rPr>
          <w:rFonts w:asciiTheme="minorHAnsi" w:hAnsiTheme="minorHAnsi"/>
          <w:color w:val="000000"/>
        </w:rPr>
        <w:t>(within 28 days prior to Day 1 of Cycle 1), at 2 hours after the first dose of study drug on Day 1 of Cycle 1, at 2 hours after the morning dose of study drug on Day 12 of Cycle</w:t>
      </w:r>
      <w:r w:rsidR="00D61A21">
        <w:rPr>
          <w:rFonts w:asciiTheme="minorHAnsi" w:hAnsiTheme="minorHAnsi"/>
          <w:color w:val="000000"/>
        </w:rPr>
        <w:t> </w:t>
      </w:r>
      <w:r w:rsidRPr="00C94C33">
        <w:rPr>
          <w:rFonts w:asciiTheme="minorHAnsi" w:hAnsiTheme="minorHAnsi"/>
          <w:color w:val="000000"/>
        </w:rPr>
        <w:t xml:space="preserve">1, or at the End of Treatment visit. </w:t>
      </w:r>
      <w:r w:rsidRPr="00C94C33">
        <w:rPr>
          <w:rFonts w:asciiTheme="minorHAnsi" w:hAnsiTheme="minorHAnsi"/>
        </w:rPr>
        <w:t xml:space="preserve">No marked differences between the </w:t>
      </w:r>
      <w:r w:rsidR="00D61A21">
        <w:rPr>
          <w:rFonts w:asciiTheme="minorHAnsi" w:hAnsiTheme="minorHAnsi"/>
        </w:rPr>
        <w:t>2</w:t>
      </w:r>
      <w:r w:rsidR="00D61A21" w:rsidRPr="00C94C33">
        <w:rPr>
          <w:rFonts w:asciiTheme="minorHAnsi" w:hAnsiTheme="minorHAnsi"/>
        </w:rPr>
        <w:t xml:space="preserve"> </w:t>
      </w:r>
      <w:r w:rsidRPr="00C94C33">
        <w:rPr>
          <w:rFonts w:asciiTheme="minorHAnsi" w:hAnsiTheme="minorHAnsi"/>
        </w:rPr>
        <w:t xml:space="preserve">treatment groups were observed for the percentage of patients with categorical values and change from </w:t>
      </w:r>
      <w:r w:rsidR="00D61A21">
        <w:rPr>
          <w:rFonts w:asciiTheme="minorHAnsi" w:hAnsiTheme="minorHAnsi"/>
        </w:rPr>
        <w:t>b</w:t>
      </w:r>
      <w:r w:rsidR="00D61A21" w:rsidRPr="00C94C33">
        <w:rPr>
          <w:rFonts w:asciiTheme="minorHAnsi" w:hAnsiTheme="minorHAnsi"/>
        </w:rPr>
        <w:t xml:space="preserve">aseline </w:t>
      </w:r>
      <w:r w:rsidRPr="00C94C33">
        <w:rPr>
          <w:rFonts w:asciiTheme="minorHAnsi" w:hAnsiTheme="minorHAnsi"/>
        </w:rPr>
        <w:t>values in QTcF and QTcB at any time point or at each patient’s maximum</w:t>
      </w:r>
      <w:r w:rsidRPr="00C94C33">
        <w:rPr>
          <w:rFonts w:asciiTheme="minorHAnsi" w:hAnsiTheme="minorHAnsi"/>
          <w:color w:val="000000"/>
        </w:rPr>
        <w:t xml:space="preserve"> post</w:t>
      </w:r>
      <w:r w:rsidR="00AE13AB" w:rsidRPr="00C94C33">
        <w:rPr>
          <w:rFonts w:asciiTheme="minorHAnsi" w:hAnsiTheme="minorHAnsi"/>
        </w:rPr>
        <w:t>-baseline value</w:t>
      </w:r>
      <w:r w:rsidRPr="00C94C33">
        <w:rPr>
          <w:rFonts w:asciiTheme="minorHAnsi" w:hAnsiTheme="minorHAnsi"/>
        </w:rPr>
        <w:t>.</w:t>
      </w:r>
    </w:p>
    <w:p w14:paraId="32362514" w14:textId="45A6DCA8" w:rsidR="00DF61BC" w:rsidRPr="00C94C33" w:rsidRDefault="00DF61BC" w:rsidP="00955252">
      <w:pPr>
        <w:pStyle w:val="Heading3"/>
      </w:pPr>
      <w:bookmarkStart w:id="431" w:name="_Toc470948597"/>
      <w:bookmarkStart w:id="432" w:name="_Toc510016897"/>
      <w:r w:rsidRPr="00C94C33">
        <w:t>Safety in special groups</w:t>
      </w:r>
      <w:bookmarkEnd w:id="431"/>
      <w:bookmarkEnd w:id="432"/>
    </w:p>
    <w:p w14:paraId="62393BDE" w14:textId="77777777" w:rsidR="00DF61BC" w:rsidRPr="00C94C33" w:rsidRDefault="00DF61BC" w:rsidP="00955252">
      <w:pPr>
        <w:pStyle w:val="Heading4"/>
      </w:pPr>
      <w:bookmarkStart w:id="433" w:name="_Toc470948598"/>
      <w:r w:rsidRPr="00C94C33">
        <w:t>Age</w:t>
      </w:r>
      <w:bookmarkEnd w:id="433"/>
    </w:p>
    <w:p w14:paraId="48BA980D" w14:textId="77777777" w:rsidR="00DF61BC" w:rsidRPr="00C94C33" w:rsidRDefault="00DF61BC" w:rsidP="00DF61BC">
      <w:r w:rsidRPr="00C94C33">
        <w:t>The high-level summary of AEs based on age is presented below. In the TAS-102 group, the incidence of each high-level AE category was greater in patients aged ≥ 65 years compared to &lt; 65 years. The categories with ≥ 5% more patients aged ≥ 65 years compared to patients age &lt; 65 years in the TAS-102 group were any ≥ Grade 3 AE and any treatment-related ≥ Grade 3 AE.</w:t>
      </w:r>
    </w:p>
    <w:p w14:paraId="68CE3F9A" w14:textId="1D20B830" w:rsidR="00DF61BC" w:rsidRPr="00C94C33" w:rsidRDefault="00DF61BC" w:rsidP="0058475B">
      <w:pPr>
        <w:pStyle w:val="Tabletitle"/>
      </w:pPr>
      <w:bookmarkStart w:id="434" w:name="_Toc470948711"/>
      <w:r w:rsidRPr="00C94C33">
        <w:t>Table</w:t>
      </w:r>
      <w:r w:rsidR="00824FCB" w:rsidRPr="00C94C33">
        <w:t xml:space="preserve"> 62</w:t>
      </w:r>
      <w:r w:rsidRPr="00C94C33">
        <w:t>: RECOURSE</w:t>
      </w:r>
      <w:r w:rsidR="00C26C44">
        <w:t>;</w:t>
      </w:r>
      <w:r w:rsidRPr="00C94C33">
        <w:t xml:space="preserve"> Overview of adverse events by age group, AT population</w:t>
      </w:r>
      <w:bookmarkEnd w:id="434"/>
    </w:p>
    <w:tbl>
      <w:tblPr>
        <w:tblW w:w="9576" w:type="dxa"/>
        <w:tblInd w:w="112" w:type="dxa"/>
        <w:tblLayout w:type="fixed"/>
        <w:tblCellMar>
          <w:left w:w="0" w:type="dxa"/>
          <w:right w:w="0" w:type="dxa"/>
        </w:tblCellMar>
        <w:tblLook w:val="0000" w:firstRow="0" w:lastRow="0" w:firstColumn="0" w:lastColumn="0" w:noHBand="0" w:noVBand="0"/>
      </w:tblPr>
      <w:tblGrid>
        <w:gridCol w:w="2445"/>
        <w:gridCol w:w="2405"/>
        <w:gridCol w:w="1280"/>
        <w:gridCol w:w="1979"/>
        <w:gridCol w:w="1467"/>
      </w:tblGrid>
      <w:tr w:rsidR="00DF61BC" w:rsidRPr="00C94C33" w14:paraId="415F3F3B" w14:textId="77777777" w:rsidTr="000D23E3">
        <w:trPr>
          <w:trHeight w:hRule="exact" w:val="326"/>
        </w:trPr>
        <w:tc>
          <w:tcPr>
            <w:tcW w:w="2445" w:type="dxa"/>
            <w:tcBorders>
              <w:top w:val="single" w:sz="8" w:space="0" w:color="000000"/>
              <w:left w:val="single" w:sz="4" w:space="0" w:color="auto"/>
              <w:right w:val="single" w:sz="6" w:space="0" w:color="000000"/>
            </w:tcBorders>
            <w:shd w:val="clear" w:color="auto" w:fill="auto"/>
          </w:tcPr>
          <w:p w14:paraId="4B6AD3A2" w14:textId="77777777" w:rsidR="00DF61BC" w:rsidRPr="00C94C33" w:rsidRDefault="00DF61BC" w:rsidP="000D23E3">
            <w:pPr>
              <w:pStyle w:val="TableHeading"/>
            </w:pPr>
          </w:p>
        </w:tc>
        <w:tc>
          <w:tcPr>
            <w:tcW w:w="3685" w:type="dxa"/>
            <w:gridSpan w:val="2"/>
            <w:tcBorders>
              <w:top w:val="single" w:sz="8" w:space="0" w:color="000000"/>
              <w:left w:val="single" w:sz="6" w:space="0" w:color="000000"/>
              <w:right w:val="single" w:sz="6" w:space="0" w:color="000000"/>
            </w:tcBorders>
            <w:shd w:val="clear" w:color="auto" w:fill="auto"/>
          </w:tcPr>
          <w:p w14:paraId="5C45BBC7" w14:textId="170728C4" w:rsidR="00DF61BC" w:rsidRPr="00C94C33" w:rsidRDefault="00DF61BC" w:rsidP="000D23E3">
            <w:pPr>
              <w:pStyle w:val="TableHeading"/>
              <w:jc w:val="center"/>
            </w:pPr>
            <w:r w:rsidRPr="00C94C33">
              <w:rPr>
                <w:bCs/>
                <w:w w:val="95"/>
              </w:rPr>
              <w:t>TAS-102</w:t>
            </w:r>
            <w:r w:rsidRPr="00C94C33">
              <w:rPr>
                <w:bCs/>
                <w:w w:val="99"/>
              </w:rPr>
              <w:t xml:space="preserve"> </w:t>
            </w:r>
            <w:r w:rsidRPr="00C94C33">
              <w:rPr>
                <w:bCs/>
              </w:rPr>
              <w:t>(</w:t>
            </w:r>
            <w:r w:rsidR="009C0389" w:rsidRPr="00C94C33">
              <w:rPr>
                <w:bCs/>
              </w:rPr>
              <w:t xml:space="preserve">N = </w:t>
            </w:r>
            <w:r w:rsidRPr="00C94C33">
              <w:rPr>
                <w:bCs/>
              </w:rPr>
              <w:t>533)</w:t>
            </w:r>
          </w:p>
        </w:tc>
        <w:tc>
          <w:tcPr>
            <w:tcW w:w="3446" w:type="dxa"/>
            <w:gridSpan w:val="2"/>
            <w:tcBorders>
              <w:top w:val="single" w:sz="8" w:space="0" w:color="000000"/>
              <w:left w:val="single" w:sz="6" w:space="0" w:color="000000"/>
              <w:right w:val="single" w:sz="4" w:space="0" w:color="auto"/>
            </w:tcBorders>
            <w:shd w:val="clear" w:color="auto" w:fill="auto"/>
          </w:tcPr>
          <w:p w14:paraId="7A419788" w14:textId="0DC5BF48" w:rsidR="00DF61BC" w:rsidRPr="00C94C33" w:rsidRDefault="00DF61BC" w:rsidP="000D23E3">
            <w:pPr>
              <w:pStyle w:val="TableHeading"/>
              <w:jc w:val="center"/>
            </w:pPr>
            <w:r w:rsidRPr="00C94C33">
              <w:rPr>
                <w:bCs/>
              </w:rPr>
              <w:t>Placebo</w:t>
            </w:r>
            <w:r w:rsidRPr="00C94C33">
              <w:rPr>
                <w:bCs/>
                <w:w w:val="99"/>
              </w:rPr>
              <w:t xml:space="preserve"> </w:t>
            </w:r>
            <w:r w:rsidRPr="00C94C33">
              <w:rPr>
                <w:bCs/>
                <w:w w:val="95"/>
              </w:rPr>
              <w:t>(</w:t>
            </w:r>
            <w:r w:rsidR="009C0389" w:rsidRPr="00C94C33">
              <w:rPr>
                <w:bCs/>
                <w:w w:val="95"/>
              </w:rPr>
              <w:t xml:space="preserve">N = </w:t>
            </w:r>
            <w:r w:rsidRPr="00C94C33">
              <w:rPr>
                <w:bCs/>
                <w:w w:val="95"/>
              </w:rPr>
              <w:t>265)</w:t>
            </w:r>
          </w:p>
        </w:tc>
      </w:tr>
      <w:tr w:rsidR="00DF61BC" w:rsidRPr="00C94C33" w14:paraId="27A61F1B" w14:textId="77777777" w:rsidTr="000D23E3">
        <w:trPr>
          <w:trHeight w:hRule="exact" w:val="541"/>
        </w:trPr>
        <w:tc>
          <w:tcPr>
            <w:tcW w:w="2445" w:type="dxa"/>
            <w:tcBorders>
              <w:left w:val="single" w:sz="4" w:space="0" w:color="auto"/>
              <w:bottom w:val="single" w:sz="7" w:space="0" w:color="000000"/>
              <w:right w:val="single" w:sz="6" w:space="0" w:color="000000"/>
            </w:tcBorders>
            <w:shd w:val="clear" w:color="auto" w:fill="auto"/>
          </w:tcPr>
          <w:p w14:paraId="7E0999F7" w14:textId="77777777" w:rsidR="00DF61BC" w:rsidRPr="00C94C33" w:rsidRDefault="00DF61BC" w:rsidP="000D23E3">
            <w:pPr>
              <w:pStyle w:val="TableHeading"/>
            </w:pPr>
          </w:p>
        </w:tc>
        <w:tc>
          <w:tcPr>
            <w:tcW w:w="2405" w:type="dxa"/>
            <w:tcBorders>
              <w:left w:val="single" w:sz="6" w:space="0" w:color="000000"/>
              <w:bottom w:val="single" w:sz="7" w:space="0" w:color="000000"/>
            </w:tcBorders>
            <w:shd w:val="clear" w:color="auto" w:fill="auto"/>
          </w:tcPr>
          <w:p w14:paraId="51648946" w14:textId="11E9A8F7" w:rsidR="00DF61BC" w:rsidRPr="00C94C33" w:rsidRDefault="00DF61BC" w:rsidP="000D23E3">
            <w:pPr>
              <w:pStyle w:val="TableHeading"/>
              <w:jc w:val="center"/>
            </w:pPr>
            <w:r w:rsidRPr="00C94C33">
              <w:t>&lt; 65 year (</w:t>
            </w:r>
            <w:r w:rsidR="009C0389" w:rsidRPr="00C94C33">
              <w:t xml:space="preserve">N = </w:t>
            </w:r>
            <w:r w:rsidRPr="00C94C33">
              <w:t>299)</w:t>
            </w:r>
          </w:p>
        </w:tc>
        <w:tc>
          <w:tcPr>
            <w:tcW w:w="1280" w:type="dxa"/>
            <w:tcBorders>
              <w:left w:val="nil"/>
              <w:bottom w:val="single" w:sz="7" w:space="0" w:color="000000"/>
              <w:right w:val="single" w:sz="6" w:space="0" w:color="000000"/>
            </w:tcBorders>
            <w:shd w:val="clear" w:color="auto" w:fill="auto"/>
          </w:tcPr>
          <w:p w14:paraId="18F315AD" w14:textId="4CEAD138" w:rsidR="00DF61BC" w:rsidRPr="00C94C33" w:rsidRDefault="00DF61BC" w:rsidP="000D23E3">
            <w:pPr>
              <w:pStyle w:val="TableHeading"/>
              <w:jc w:val="center"/>
            </w:pPr>
            <w:r w:rsidRPr="00C94C33">
              <w:t>≥65 years (</w:t>
            </w:r>
            <w:r w:rsidR="009C0389" w:rsidRPr="00C94C33">
              <w:t xml:space="preserve">N = </w:t>
            </w:r>
            <w:r w:rsidRPr="00C94C33">
              <w:t>234)</w:t>
            </w:r>
          </w:p>
        </w:tc>
        <w:tc>
          <w:tcPr>
            <w:tcW w:w="1979" w:type="dxa"/>
            <w:tcBorders>
              <w:left w:val="single" w:sz="6" w:space="0" w:color="000000"/>
              <w:bottom w:val="single" w:sz="7" w:space="0" w:color="000000"/>
            </w:tcBorders>
            <w:shd w:val="clear" w:color="auto" w:fill="auto"/>
          </w:tcPr>
          <w:p w14:paraId="4093601F" w14:textId="4C03D89C" w:rsidR="00DF61BC" w:rsidRPr="00C94C33" w:rsidRDefault="00DF61BC" w:rsidP="000D23E3">
            <w:pPr>
              <w:pStyle w:val="TableHeading"/>
              <w:jc w:val="center"/>
            </w:pPr>
            <w:r w:rsidRPr="00C94C33">
              <w:t>&lt; 65 years (</w:t>
            </w:r>
            <w:r w:rsidR="009C0389" w:rsidRPr="00C94C33">
              <w:t xml:space="preserve">N = </w:t>
            </w:r>
            <w:r w:rsidRPr="00C94C33">
              <w:t>147)</w:t>
            </w:r>
          </w:p>
        </w:tc>
        <w:tc>
          <w:tcPr>
            <w:tcW w:w="1467" w:type="dxa"/>
            <w:tcBorders>
              <w:left w:val="nil"/>
              <w:bottom w:val="single" w:sz="7" w:space="0" w:color="000000"/>
              <w:right w:val="single" w:sz="4" w:space="0" w:color="auto"/>
            </w:tcBorders>
            <w:shd w:val="clear" w:color="auto" w:fill="auto"/>
          </w:tcPr>
          <w:p w14:paraId="70DB49AB" w14:textId="4A99A596" w:rsidR="00DF61BC" w:rsidRPr="00C94C33" w:rsidRDefault="00DF61BC" w:rsidP="000D23E3">
            <w:pPr>
              <w:pStyle w:val="TableHeading"/>
              <w:jc w:val="center"/>
            </w:pPr>
            <w:r w:rsidRPr="00C94C33">
              <w:t>≥65 years (</w:t>
            </w:r>
            <w:r w:rsidR="009C0389" w:rsidRPr="00C94C33">
              <w:t xml:space="preserve">N = </w:t>
            </w:r>
            <w:r w:rsidRPr="00C94C33">
              <w:t>118)</w:t>
            </w:r>
          </w:p>
        </w:tc>
      </w:tr>
      <w:tr w:rsidR="00DF61BC" w:rsidRPr="00C94C33" w14:paraId="29C4D088" w14:textId="77777777" w:rsidTr="000D23E3">
        <w:trPr>
          <w:trHeight w:hRule="exact" w:val="305"/>
        </w:trPr>
        <w:tc>
          <w:tcPr>
            <w:tcW w:w="2445" w:type="dxa"/>
            <w:tcBorders>
              <w:top w:val="single" w:sz="7" w:space="0" w:color="000000"/>
              <w:left w:val="single" w:sz="4" w:space="0" w:color="auto"/>
              <w:bottom w:val="single" w:sz="7" w:space="0" w:color="000000"/>
              <w:right w:val="single" w:sz="6" w:space="0" w:color="000000"/>
            </w:tcBorders>
            <w:shd w:val="clear" w:color="auto" w:fill="auto"/>
          </w:tcPr>
          <w:p w14:paraId="2B041D8F" w14:textId="77777777" w:rsidR="00DF61BC" w:rsidRPr="00C94C33" w:rsidRDefault="00DF61BC" w:rsidP="000D23E3">
            <w:pPr>
              <w:pStyle w:val="Tabletext"/>
            </w:pPr>
            <w:r w:rsidRPr="00C94C33">
              <w:t>Any adverse event</w:t>
            </w:r>
            <w:r w:rsidRPr="00C94C33">
              <w:rPr>
                <w:spacing w:val="-2"/>
              </w:rPr>
              <w:t xml:space="preserve"> </w:t>
            </w:r>
            <w:r w:rsidRPr="00C94C33">
              <w:t>(AE)</w:t>
            </w:r>
          </w:p>
        </w:tc>
        <w:tc>
          <w:tcPr>
            <w:tcW w:w="2405" w:type="dxa"/>
            <w:tcBorders>
              <w:top w:val="single" w:sz="7" w:space="0" w:color="000000"/>
              <w:left w:val="single" w:sz="6" w:space="0" w:color="000000"/>
              <w:bottom w:val="single" w:sz="7" w:space="0" w:color="000000"/>
            </w:tcBorders>
            <w:shd w:val="clear" w:color="auto" w:fill="auto"/>
          </w:tcPr>
          <w:p w14:paraId="57EECD1E" w14:textId="27B6C633" w:rsidR="00DF61BC" w:rsidRPr="00C94C33" w:rsidRDefault="00DF61BC" w:rsidP="000D23E3">
            <w:pPr>
              <w:pStyle w:val="Tabletext"/>
              <w:jc w:val="center"/>
            </w:pPr>
            <w:r w:rsidRPr="00C94C33">
              <w:t>293</w:t>
            </w:r>
            <w:r w:rsidRPr="00C94C33">
              <w:rPr>
                <w:spacing w:val="15"/>
              </w:rPr>
              <w:t xml:space="preserve"> </w:t>
            </w:r>
            <w:r w:rsidRPr="00C94C33">
              <w:t>(98.0)</w:t>
            </w:r>
          </w:p>
        </w:tc>
        <w:tc>
          <w:tcPr>
            <w:tcW w:w="1280" w:type="dxa"/>
            <w:tcBorders>
              <w:top w:val="single" w:sz="7" w:space="0" w:color="000000"/>
              <w:left w:val="nil"/>
              <w:bottom w:val="single" w:sz="7" w:space="0" w:color="000000"/>
              <w:right w:val="single" w:sz="6" w:space="0" w:color="000000"/>
            </w:tcBorders>
            <w:shd w:val="clear" w:color="auto" w:fill="auto"/>
          </w:tcPr>
          <w:p w14:paraId="7F3FCD63" w14:textId="3C362A19" w:rsidR="00DF61BC" w:rsidRPr="00C94C33" w:rsidRDefault="00DF61BC" w:rsidP="000D23E3">
            <w:pPr>
              <w:pStyle w:val="Tabletext"/>
              <w:jc w:val="center"/>
            </w:pPr>
            <w:r w:rsidRPr="00C94C33">
              <w:t>231 (98.7)</w:t>
            </w:r>
          </w:p>
        </w:tc>
        <w:tc>
          <w:tcPr>
            <w:tcW w:w="1979" w:type="dxa"/>
            <w:tcBorders>
              <w:top w:val="single" w:sz="7" w:space="0" w:color="000000"/>
              <w:left w:val="single" w:sz="6" w:space="0" w:color="000000"/>
              <w:bottom w:val="single" w:sz="7" w:space="0" w:color="000000"/>
            </w:tcBorders>
            <w:shd w:val="clear" w:color="auto" w:fill="auto"/>
          </w:tcPr>
          <w:p w14:paraId="4DB758D5" w14:textId="36083502" w:rsidR="00DF61BC" w:rsidRPr="00C94C33" w:rsidRDefault="00DF61BC" w:rsidP="000D23E3">
            <w:pPr>
              <w:pStyle w:val="Tabletext"/>
              <w:jc w:val="center"/>
            </w:pPr>
            <w:r w:rsidRPr="00C94C33">
              <w:t>137</w:t>
            </w:r>
            <w:r w:rsidRPr="00C94C33">
              <w:rPr>
                <w:spacing w:val="15"/>
              </w:rPr>
              <w:t xml:space="preserve"> </w:t>
            </w:r>
            <w:r w:rsidRPr="00C94C33">
              <w:t>(93.2)</w:t>
            </w:r>
          </w:p>
        </w:tc>
        <w:tc>
          <w:tcPr>
            <w:tcW w:w="1467" w:type="dxa"/>
            <w:tcBorders>
              <w:top w:val="single" w:sz="7" w:space="0" w:color="000000"/>
              <w:left w:val="nil"/>
              <w:bottom w:val="single" w:sz="7" w:space="0" w:color="000000"/>
              <w:right w:val="single" w:sz="4" w:space="0" w:color="auto"/>
            </w:tcBorders>
            <w:shd w:val="clear" w:color="auto" w:fill="auto"/>
          </w:tcPr>
          <w:p w14:paraId="0DD7C59D" w14:textId="3C08FB8A" w:rsidR="00DF61BC" w:rsidRPr="00C94C33" w:rsidRDefault="00DF61BC" w:rsidP="000D23E3">
            <w:pPr>
              <w:pStyle w:val="Tabletext"/>
              <w:jc w:val="center"/>
            </w:pPr>
            <w:r w:rsidRPr="00C94C33">
              <w:t>110</w:t>
            </w:r>
            <w:r w:rsidR="000D23E3">
              <w:t xml:space="preserve"> </w:t>
            </w:r>
            <w:r w:rsidRPr="00C94C33">
              <w:t>(93.2)</w:t>
            </w:r>
          </w:p>
        </w:tc>
      </w:tr>
      <w:tr w:rsidR="00DF61BC" w:rsidRPr="00C94C33" w14:paraId="7AE2A262" w14:textId="77777777" w:rsidTr="000D23E3">
        <w:trPr>
          <w:trHeight w:hRule="exact" w:val="422"/>
        </w:trPr>
        <w:tc>
          <w:tcPr>
            <w:tcW w:w="2445" w:type="dxa"/>
            <w:tcBorders>
              <w:top w:val="single" w:sz="7" w:space="0" w:color="000000"/>
              <w:left w:val="single" w:sz="4" w:space="0" w:color="auto"/>
              <w:bottom w:val="single" w:sz="7" w:space="0" w:color="000000"/>
              <w:right w:val="single" w:sz="6" w:space="0" w:color="000000"/>
            </w:tcBorders>
            <w:shd w:val="clear" w:color="auto" w:fill="auto"/>
          </w:tcPr>
          <w:p w14:paraId="7E80C998" w14:textId="7647EB92" w:rsidR="00DF61BC" w:rsidRPr="00C94C33" w:rsidRDefault="00DF61BC" w:rsidP="000D23E3">
            <w:pPr>
              <w:pStyle w:val="Tabletext"/>
            </w:pPr>
            <w:r w:rsidRPr="00C94C33">
              <w:t>Any treatment</w:t>
            </w:r>
            <w:r w:rsidR="00C26C44">
              <w:t xml:space="preserve"> </w:t>
            </w:r>
            <w:r w:rsidRPr="00C94C33">
              <w:t>related AE</w:t>
            </w:r>
          </w:p>
        </w:tc>
        <w:tc>
          <w:tcPr>
            <w:tcW w:w="2405" w:type="dxa"/>
            <w:tcBorders>
              <w:top w:val="single" w:sz="7" w:space="0" w:color="000000"/>
              <w:left w:val="single" w:sz="6" w:space="0" w:color="000000"/>
              <w:bottom w:val="single" w:sz="7" w:space="0" w:color="000000"/>
            </w:tcBorders>
            <w:shd w:val="clear" w:color="auto" w:fill="auto"/>
          </w:tcPr>
          <w:p w14:paraId="2DC2C468" w14:textId="55E75F00" w:rsidR="00DF61BC" w:rsidRPr="00C94C33" w:rsidRDefault="00DF61BC" w:rsidP="000D23E3">
            <w:pPr>
              <w:pStyle w:val="Tabletext"/>
              <w:jc w:val="center"/>
            </w:pPr>
            <w:r w:rsidRPr="00C94C33">
              <w:t>250</w:t>
            </w:r>
            <w:r w:rsidRPr="00C94C33">
              <w:rPr>
                <w:spacing w:val="15"/>
              </w:rPr>
              <w:t xml:space="preserve"> </w:t>
            </w:r>
            <w:r w:rsidRPr="00C94C33">
              <w:t>(83.6)</w:t>
            </w:r>
          </w:p>
        </w:tc>
        <w:tc>
          <w:tcPr>
            <w:tcW w:w="1280" w:type="dxa"/>
            <w:tcBorders>
              <w:top w:val="single" w:sz="7" w:space="0" w:color="000000"/>
              <w:left w:val="nil"/>
              <w:bottom w:val="single" w:sz="7" w:space="0" w:color="000000"/>
              <w:right w:val="single" w:sz="6" w:space="0" w:color="000000"/>
            </w:tcBorders>
            <w:shd w:val="clear" w:color="auto" w:fill="auto"/>
          </w:tcPr>
          <w:p w14:paraId="23F58ABF" w14:textId="191190CA" w:rsidR="00DF61BC" w:rsidRPr="00C94C33" w:rsidRDefault="00DF61BC" w:rsidP="000D23E3">
            <w:pPr>
              <w:pStyle w:val="Tabletext"/>
              <w:jc w:val="center"/>
            </w:pPr>
            <w:r w:rsidRPr="00C94C33">
              <w:t>207 (88.5)</w:t>
            </w:r>
          </w:p>
        </w:tc>
        <w:tc>
          <w:tcPr>
            <w:tcW w:w="1979" w:type="dxa"/>
            <w:tcBorders>
              <w:top w:val="single" w:sz="7" w:space="0" w:color="000000"/>
              <w:left w:val="single" w:sz="6" w:space="0" w:color="000000"/>
              <w:bottom w:val="single" w:sz="7" w:space="0" w:color="000000"/>
            </w:tcBorders>
            <w:shd w:val="clear" w:color="auto" w:fill="auto"/>
          </w:tcPr>
          <w:p w14:paraId="1DD8875F" w14:textId="2D9D1907" w:rsidR="00DF61BC" w:rsidRPr="00C94C33" w:rsidRDefault="000D23E3" w:rsidP="000D23E3">
            <w:pPr>
              <w:pStyle w:val="Tabletext"/>
              <w:jc w:val="center"/>
            </w:pPr>
            <w:r>
              <w:t xml:space="preserve">82 </w:t>
            </w:r>
            <w:r w:rsidR="00DF61BC" w:rsidRPr="00C94C33">
              <w:t>(55.8)</w:t>
            </w:r>
          </w:p>
        </w:tc>
        <w:tc>
          <w:tcPr>
            <w:tcW w:w="1467" w:type="dxa"/>
            <w:tcBorders>
              <w:top w:val="single" w:sz="7" w:space="0" w:color="000000"/>
              <w:left w:val="nil"/>
              <w:bottom w:val="single" w:sz="7" w:space="0" w:color="000000"/>
              <w:right w:val="single" w:sz="4" w:space="0" w:color="auto"/>
            </w:tcBorders>
            <w:shd w:val="clear" w:color="auto" w:fill="auto"/>
          </w:tcPr>
          <w:p w14:paraId="16CE1404" w14:textId="723D0845" w:rsidR="00DF61BC" w:rsidRPr="00C94C33" w:rsidRDefault="000D23E3" w:rsidP="000D23E3">
            <w:pPr>
              <w:pStyle w:val="Tabletext"/>
              <w:jc w:val="center"/>
            </w:pPr>
            <w:r>
              <w:t>63</w:t>
            </w:r>
            <w:r w:rsidR="00DF61BC" w:rsidRPr="00C94C33">
              <w:rPr>
                <w:spacing w:val="14"/>
              </w:rPr>
              <w:t xml:space="preserve"> </w:t>
            </w:r>
            <w:r w:rsidR="00DF61BC" w:rsidRPr="00C94C33">
              <w:t>(53.4)</w:t>
            </w:r>
          </w:p>
        </w:tc>
      </w:tr>
      <w:tr w:rsidR="00DF61BC" w:rsidRPr="00C94C33" w14:paraId="41DE4AD8" w14:textId="77777777" w:rsidTr="000D23E3">
        <w:trPr>
          <w:trHeight w:hRule="exact" w:val="415"/>
        </w:trPr>
        <w:tc>
          <w:tcPr>
            <w:tcW w:w="2445" w:type="dxa"/>
            <w:tcBorders>
              <w:top w:val="single" w:sz="7" w:space="0" w:color="000000"/>
              <w:left w:val="single" w:sz="4" w:space="0" w:color="auto"/>
              <w:bottom w:val="single" w:sz="7" w:space="0" w:color="000000"/>
              <w:right w:val="single" w:sz="6" w:space="0" w:color="000000"/>
            </w:tcBorders>
            <w:shd w:val="clear" w:color="auto" w:fill="auto"/>
          </w:tcPr>
          <w:p w14:paraId="637C8DFF" w14:textId="2AA610B0" w:rsidR="00DF61BC" w:rsidRPr="00C94C33" w:rsidRDefault="00DF61BC" w:rsidP="000D23E3">
            <w:pPr>
              <w:pStyle w:val="Tabletext"/>
            </w:pPr>
            <w:r w:rsidRPr="00C94C33">
              <w:t>Any</w:t>
            </w:r>
            <w:r w:rsidRPr="00C94C33">
              <w:rPr>
                <w:spacing w:val="-2"/>
              </w:rPr>
              <w:t xml:space="preserve"> </w:t>
            </w:r>
            <w:r w:rsidRPr="00C94C33">
              <w:t>≥</w:t>
            </w:r>
            <w:r w:rsidR="00C26C44">
              <w:t> </w:t>
            </w:r>
            <w:r w:rsidRPr="00C94C33">
              <w:t>Grade</w:t>
            </w:r>
            <w:r w:rsidRPr="00C94C33">
              <w:rPr>
                <w:spacing w:val="-2"/>
              </w:rPr>
              <w:t xml:space="preserve"> </w:t>
            </w:r>
            <w:r w:rsidRPr="00C94C33">
              <w:t>3 AE</w:t>
            </w:r>
          </w:p>
        </w:tc>
        <w:tc>
          <w:tcPr>
            <w:tcW w:w="2405" w:type="dxa"/>
            <w:tcBorders>
              <w:top w:val="single" w:sz="7" w:space="0" w:color="000000"/>
              <w:left w:val="single" w:sz="6" w:space="0" w:color="000000"/>
              <w:bottom w:val="single" w:sz="7" w:space="0" w:color="000000"/>
            </w:tcBorders>
            <w:shd w:val="clear" w:color="auto" w:fill="auto"/>
          </w:tcPr>
          <w:p w14:paraId="3C606E57" w14:textId="6F31DD4E" w:rsidR="00DF61BC" w:rsidRPr="00C94C33" w:rsidRDefault="00DF61BC" w:rsidP="000D23E3">
            <w:pPr>
              <w:pStyle w:val="Tabletext"/>
              <w:jc w:val="center"/>
            </w:pPr>
            <w:r w:rsidRPr="00C94C33">
              <w:t>195</w:t>
            </w:r>
            <w:r w:rsidRPr="00C94C33">
              <w:rPr>
                <w:spacing w:val="15"/>
              </w:rPr>
              <w:t xml:space="preserve"> </w:t>
            </w:r>
            <w:r w:rsidRPr="00C94C33">
              <w:t>(65.2)</w:t>
            </w:r>
          </w:p>
        </w:tc>
        <w:tc>
          <w:tcPr>
            <w:tcW w:w="1280" w:type="dxa"/>
            <w:tcBorders>
              <w:top w:val="single" w:sz="7" w:space="0" w:color="000000"/>
              <w:left w:val="nil"/>
              <w:bottom w:val="single" w:sz="7" w:space="0" w:color="000000"/>
              <w:right w:val="single" w:sz="6" w:space="0" w:color="000000"/>
            </w:tcBorders>
            <w:shd w:val="clear" w:color="auto" w:fill="auto"/>
          </w:tcPr>
          <w:p w14:paraId="5A75DF5D" w14:textId="723F0771" w:rsidR="00DF61BC" w:rsidRPr="00C94C33" w:rsidRDefault="00DF61BC" w:rsidP="000D23E3">
            <w:pPr>
              <w:pStyle w:val="Tabletext"/>
              <w:jc w:val="center"/>
            </w:pPr>
            <w:r w:rsidRPr="00C94C33">
              <w:t>175 (74.8)</w:t>
            </w:r>
          </w:p>
        </w:tc>
        <w:tc>
          <w:tcPr>
            <w:tcW w:w="1979" w:type="dxa"/>
            <w:tcBorders>
              <w:top w:val="single" w:sz="7" w:space="0" w:color="000000"/>
              <w:left w:val="single" w:sz="6" w:space="0" w:color="000000"/>
              <w:bottom w:val="single" w:sz="7" w:space="0" w:color="000000"/>
            </w:tcBorders>
            <w:shd w:val="clear" w:color="auto" w:fill="auto"/>
          </w:tcPr>
          <w:p w14:paraId="7706D1DE" w14:textId="1B9364B0" w:rsidR="00DF61BC" w:rsidRPr="00C94C33" w:rsidRDefault="00DF61BC" w:rsidP="000D23E3">
            <w:pPr>
              <w:pStyle w:val="Tabletext"/>
              <w:jc w:val="center"/>
            </w:pPr>
            <w:r w:rsidRPr="00C94C33">
              <w:t>73 (49.7)</w:t>
            </w:r>
          </w:p>
        </w:tc>
        <w:tc>
          <w:tcPr>
            <w:tcW w:w="1467" w:type="dxa"/>
            <w:tcBorders>
              <w:top w:val="single" w:sz="7" w:space="0" w:color="000000"/>
              <w:left w:val="nil"/>
              <w:bottom w:val="single" w:sz="7" w:space="0" w:color="000000"/>
              <w:right w:val="single" w:sz="4" w:space="0" w:color="auto"/>
            </w:tcBorders>
            <w:shd w:val="clear" w:color="auto" w:fill="auto"/>
          </w:tcPr>
          <w:p w14:paraId="5BAE1EBE" w14:textId="5B13E4F8" w:rsidR="00DF61BC" w:rsidRPr="00C94C33" w:rsidRDefault="000D23E3" w:rsidP="000D23E3">
            <w:pPr>
              <w:pStyle w:val="Tabletext"/>
              <w:jc w:val="center"/>
            </w:pPr>
            <w:r>
              <w:t>64</w:t>
            </w:r>
            <w:r w:rsidR="00DF61BC" w:rsidRPr="00C94C33">
              <w:rPr>
                <w:spacing w:val="14"/>
              </w:rPr>
              <w:t xml:space="preserve"> </w:t>
            </w:r>
            <w:r w:rsidR="00DF61BC" w:rsidRPr="00C94C33">
              <w:t>(54.2)</w:t>
            </w:r>
          </w:p>
        </w:tc>
      </w:tr>
      <w:tr w:rsidR="00DF61BC" w:rsidRPr="00C94C33" w14:paraId="32FF4AE6" w14:textId="77777777" w:rsidTr="000D23E3">
        <w:trPr>
          <w:trHeight w:hRule="exact" w:val="629"/>
        </w:trPr>
        <w:tc>
          <w:tcPr>
            <w:tcW w:w="2445" w:type="dxa"/>
            <w:tcBorders>
              <w:top w:val="single" w:sz="7" w:space="0" w:color="000000"/>
              <w:left w:val="single" w:sz="4" w:space="0" w:color="auto"/>
              <w:bottom w:val="single" w:sz="7" w:space="0" w:color="000000"/>
              <w:right w:val="single" w:sz="6" w:space="0" w:color="000000"/>
            </w:tcBorders>
            <w:shd w:val="clear" w:color="auto" w:fill="auto"/>
          </w:tcPr>
          <w:p w14:paraId="07EA28EC" w14:textId="402525A4" w:rsidR="00DF61BC" w:rsidRPr="00C94C33" w:rsidRDefault="00DF61BC" w:rsidP="000D23E3">
            <w:pPr>
              <w:pStyle w:val="Tabletext"/>
            </w:pPr>
            <w:r w:rsidRPr="00C94C33">
              <w:t>Any treatment-related ≥</w:t>
            </w:r>
            <w:r w:rsidR="00C26C44">
              <w:t xml:space="preserve"> </w:t>
            </w:r>
            <w:r w:rsidRPr="00C94C33">
              <w:t>Grade</w:t>
            </w:r>
            <w:r w:rsidR="00C26C44">
              <w:t> </w:t>
            </w:r>
            <w:r w:rsidRPr="00C94C33">
              <w:t>3 AE</w:t>
            </w:r>
          </w:p>
        </w:tc>
        <w:tc>
          <w:tcPr>
            <w:tcW w:w="2405" w:type="dxa"/>
            <w:tcBorders>
              <w:top w:val="single" w:sz="7" w:space="0" w:color="000000"/>
              <w:left w:val="single" w:sz="6" w:space="0" w:color="000000"/>
              <w:bottom w:val="single" w:sz="7" w:space="0" w:color="000000"/>
            </w:tcBorders>
            <w:shd w:val="clear" w:color="auto" w:fill="auto"/>
          </w:tcPr>
          <w:p w14:paraId="3D30A127" w14:textId="15A6810D" w:rsidR="00DF61BC" w:rsidRPr="00C94C33" w:rsidRDefault="00DF61BC" w:rsidP="000D23E3">
            <w:pPr>
              <w:pStyle w:val="Tabletext"/>
              <w:jc w:val="center"/>
            </w:pPr>
            <w:r w:rsidRPr="00C94C33">
              <w:t>120</w:t>
            </w:r>
            <w:r w:rsidRPr="00C94C33">
              <w:rPr>
                <w:spacing w:val="15"/>
              </w:rPr>
              <w:t xml:space="preserve"> </w:t>
            </w:r>
            <w:r w:rsidRPr="00C94C33">
              <w:t>(40.1)</w:t>
            </w:r>
          </w:p>
        </w:tc>
        <w:tc>
          <w:tcPr>
            <w:tcW w:w="1280" w:type="dxa"/>
            <w:tcBorders>
              <w:top w:val="single" w:sz="7" w:space="0" w:color="000000"/>
              <w:left w:val="nil"/>
              <w:bottom w:val="single" w:sz="7" w:space="0" w:color="000000"/>
              <w:right w:val="single" w:sz="6" w:space="0" w:color="000000"/>
            </w:tcBorders>
            <w:shd w:val="clear" w:color="auto" w:fill="auto"/>
          </w:tcPr>
          <w:p w14:paraId="0DA33095" w14:textId="1F30C29C" w:rsidR="00DF61BC" w:rsidRPr="00C94C33" w:rsidRDefault="00DF61BC" w:rsidP="000D23E3">
            <w:pPr>
              <w:pStyle w:val="Tabletext"/>
              <w:jc w:val="center"/>
            </w:pPr>
            <w:r w:rsidRPr="00C94C33">
              <w:t>141</w:t>
            </w:r>
            <w:r w:rsidR="000D23E3">
              <w:t xml:space="preserve"> </w:t>
            </w:r>
            <w:r w:rsidRPr="00C94C33">
              <w:t>(60.3)</w:t>
            </w:r>
          </w:p>
        </w:tc>
        <w:tc>
          <w:tcPr>
            <w:tcW w:w="1979" w:type="dxa"/>
            <w:tcBorders>
              <w:top w:val="single" w:sz="7" w:space="0" w:color="000000"/>
              <w:left w:val="single" w:sz="6" w:space="0" w:color="000000"/>
              <w:bottom w:val="single" w:sz="7" w:space="0" w:color="000000"/>
            </w:tcBorders>
            <w:shd w:val="clear" w:color="auto" w:fill="auto"/>
          </w:tcPr>
          <w:p w14:paraId="488B8EAF" w14:textId="5A47FA21" w:rsidR="00DF61BC" w:rsidRPr="00C94C33" w:rsidRDefault="00DF61BC" w:rsidP="000D23E3">
            <w:pPr>
              <w:pStyle w:val="Tabletext"/>
              <w:jc w:val="center"/>
            </w:pPr>
            <w:r w:rsidRPr="00C94C33">
              <w:t>16 (10.9)</w:t>
            </w:r>
          </w:p>
        </w:tc>
        <w:tc>
          <w:tcPr>
            <w:tcW w:w="1467" w:type="dxa"/>
            <w:tcBorders>
              <w:top w:val="single" w:sz="7" w:space="0" w:color="000000"/>
              <w:left w:val="nil"/>
              <w:bottom w:val="single" w:sz="7" w:space="0" w:color="000000"/>
              <w:right w:val="single" w:sz="4" w:space="0" w:color="auto"/>
            </w:tcBorders>
            <w:shd w:val="clear" w:color="auto" w:fill="auto"/>
          </w:tcPr>
          <w:p w14:paraId="2CED9F26" w14:textId="7156D729" w:rsidR="00DF61BC" w:rsidRPr="00C94C33" w:rsidRDefault="000D23E3" w:rsidP="000D23E3">
            <w:pPr>
              <w:pStyle w:val="Tabletext"/>
              <w:jc w:val="center"/>
            </w:pPr>
            <w:r>
              <w:t xml:space="preserve">10 </w:t>
            </w:r>
            <w:r w:rsidR="00DF61BC" w:rsidRPr="00C94C33">
              <w:t>(8.5)</w:t>
            </w:r>
          </w:p>
        </w:tc>
      </w:tr>
      <w:tr w:rsidR="00DF61BC" w:rsidRPr="00C94C33" w14:paraId="64533EA2" w14:textId="77777777" w:rsidTr="000D23E3">
        <w:trPr>
          <w:trHeight w:hRule="exact" w:val="487"/>
        </w:trPr>
        <w:tc>
          <w:tcPr>
            <w:tcW w:w="2445" w:type="dxa"/>
            <w:tcBorders>
              <w:top w:val="single" w:sz="7" w:space="0" w:color="000000"/>
              <w:left w:val="single" w:sz="4" w:space="0" w:color="auto"/>
              <w:bottom w:val="single" w:sz="7" w:space="0" w:color="000000"/>
              <w:right w:val="single" w:sz="6" w:space="0" w:color="000000"/>
            </w:tcBorders>
            <w:shd w:val="clear" w:color="auto" w:fill="auto"/>
          </w:tcPr>
          <w:p w14:paraId="06E92815" w14:textId="77777777" w:rsidR="00DF61BC" w:rsidRPr="00C94C33" w:rsidRDefault="00DF61BC" w:rsidP="000D23E3">
            <w:pPr>
              <w:pStyle w:val="Tabletext"/>
            </w:pPr>
            <w:r w:rsidRPr="00C94C33">
              <w:t>Any serious AE (SAE)</w:t>
            </w:r>
          </w:p>
        </w:tc>
        <w:tc>
          <w:tcPr>
            <w:tcW w:w="2405" w:type="dxa"/>
            <w:tcBorders>
              <w:top w:val="single" w:sz="7" w:space="0" w:color="000000"/>
              <w:left w:val="single" w:sz="6" w:space="0" w:color="000000"/>
              <w:bottom w:val="single" w:sz="7" w:space="0" w:color="000000"/>
            </w:tcBorders>
            <w:shd w:val="clear" w:color="auto" w:fill="auto"/>
          </w:tcPr>
          <w:p w14:paraId="39B36EE4" w14:textId="6568BA46" w:rsidR="00DF61BC" w:rsidRPr="00C94C33" w:rsidRDefault="00DF61BC" w:rsidP="000D23E3">
            <w:pPr>
              <w:pStyle w:val="Tabletext"/>
              <w:jc w:val="center"/>
            </w:pPr>
            <w:r w:rsidRPr="00C94C33">
              <w:t>86 (28.8)</w:t>
            </w:r>
          </w:p>
        </w:tc>
        <w:tc>
          <w:tcPr>
            <w:tcW w:w="1280" w:type="dxa"/>
            <w:tcBorders>
              <w:top w:val="single" w:sz="7" w:space="0" w:color="000000"/>
              <w:left w:val="nil"/>
              <w:bottom w:val="single" w:sz="7" w:space="0" w:color="000000"/>
              <w:right w:val="single" w:sz="6" w:space="0" w:color="000000"/>
            </w:tcBorders>
            <w:shd w:val="clear" w:color="auto" w:fill="auto"/>
          </w:tcPr>
          <w:p w14:paraId="33B202B0" w14:textId="7F72B915" w:rsidR="00DF61BC" w:rsidRPr="00C94C33" w:rsidRDefault="000D23E3" w:rsidP="000D23E3">
            <w:pPr>
              <w:pStyle w:val="Tabletext"/>
              <w:jc w:val="center"/>
            </w:pPr>
            <w:r>
              <w:t>72</w:t>
            </w:r>
            <w:r w:rsidR="00DF61BC" w:rsidRPr="00C94C33">
              <w:rPr>
                <w:spacing w:val="14"/>
              </w:rPr>
              <w:t xml:space="preserve"> </w:t>
            </w:r>
            <w:r w:rsidR="00DF61BC" w:rsidRPr="00C94C33">
              <w:t>(30.8)</w:t>
            </w:r>
          </w:p>
        </w:tc>
        <w:tc>
          <w:tcPr>
            <w:tcW w:w="1979" w:type="dxa"/>
            <w:tcBorders>
              <w:top w:val="single" w:sz="7" w:space="0" w:color="000000"/>
              <w:left w:val="single" w:sz="6" w:space="0" w:color="000000"/>
              <w:bottom w:val="single" w:sz="7" w:space="0" w:color="000000"/>
            </w:tcBorders>
            <w:shd w:val="clear" w:color="auto" w:fill="auto"/>
          </w:tcPr>
          <w:p w14:paraId="4F1DD5F4" w14:textId="1B30CDB7" w:rsidR="00DF61BC" w:rsidRPr="00C94C33" w:rsidRDefault="00DF61BC" w:rsidP="000D23E3">
            <w:pPr>
              <w:pStyle w:val="Tabletext"/>
              <w:jc w:val="center"/>
            </w:pPr>
            <w:r w:rsidRPr="00C94C33">
              <w:t>46 (31.3)</w:t>
            </w:r>
          </w:p>
        </w:tc>
        <w:tc>
          <w:tcPr>
            <w:tcW w:w="1467" w:type="dxa"/>
            <w:tcBorders>
              <w:top w:val="single" w:sz="7" w:space="0" w:color="000000"/>
              <w:left w:val="nil"/>
              <w:bottom w:val="single" w:sz="7" w:space="0" w:color="000000"/>
              <w:right w:val="single" w:sz="4" w:space="0" w:color="auto"/>
            </w:tcBorders>
            <w:shd w:val="clear" w:color="auto" w:fill="auto"/>
          </w:tcPr>
          <w:p w14:paraId="46A5DE70" w14:textId="3A9DF013" w:rsidR="00DF61BC" w:rsidRPr="00C94C33" w:rsidRDefault="00DF61BC" w:rsidP="000D23E3">
            <w:pPr>
              <w:pStyle w:val="Tabletext"/>
              <w:jc w:val="center"/>
            </w:pPr>
            <w:r w:rsidRPr="00C94C33">
              <w:t>43 (36.4)</w:t>
            </w:r>
          </w:p>
        </w:tc>
      </w:tr>
      <w:tr w:rsidR="00DF61BC" w:rsidRPr="00C94C33" w14:paraId="6E52B90A" w14:textId="77777777" w:rsidTr="000D23E3">
        <w:trPr>
          <w:trHeight w:hRule="exact" w:val="424"/>
        </w:trPr>
        <w:tc>
          <w:tcPr>
            <w:tcW w:w="2445" w:type="dxa"/>
            <w:tcBorders>
              <w:top w:val="single" w:sz="7" w:space="0" w:color="000000"/>
              <w:left w:val="single" w:sz="4" w:space="0" w:color="auto"/>
              <w:bottom w:val="single" w:sz="6" w:space="0" w:color="000000"/>
              <w:right w:val="single" w:sz="6" w:space="0" w:color="000000"/>
            </w:tcBorders>
            <w:shd w:val="clear" w:color="auto" w:fill="auto"/>
          </w:tcPr>
          <w:p w14:paraId="6896C5C9" w14:textId="77777777" w:rsidR="00DF61BC" w:rsidRPr="00C94C33" w:rsidRDefault="00DF61BC" w:rsidP="000D23E3">
            <w:pPr>
              <w:pStyle w:val="Tabletext"/>
            </w:pPr>
            <w:r w:rsidRPr="00C94C33">
              <w:t>Any treatment-related SAE</w:t>
            </w:r>
          </w:p>
        </w:tc>
        <w:tc>
          <w:tcPr>
            <w:tcW w:w="2405" w:type="dxa"/>
            <w:tcBorders>
              <w:top w:val="single" w:sz="7" w:space="0" w:color="000000"/>
              <w:left w:val="single" w:sz="6" w:space="0" w:color="000000"/>
              <w:bottom w:val="single" w:sz="6" w:space="0" w:color="000000"/>
            </w:tcBorders>
            <w:shd w:val="clear" w:color="auto" w:fill="auto"/>
          </w:tcPr>
          <w:p w14:paraId="7B2E904D" w14:textId="0CD8B6CE" w:rsidR="00DF61BC" w:rsidRPr="00C94C33" w:rsidRDefault="000D23E3" w:rsidP="000D23E3">
            <w:pPr>
              <w:pStyle w:val="Tabletext"/>
              <w:jc w:val="center"/>
            </w:pPr>
            <w:r>
              <w:t xml:space="preserve">22 </w:t>
            </w:r>
            <w:r w:rsidR="00DF61BC" w:rsidRPr="00C94C33">
              <w:t>(7.4)</w:t>
            </w:r>
          </w:p>
        </w:tc>
        <w:tc>
          <w:tcPr>
            <w:tcW w:w="1280" w:type="dxa"/>
            <w:tcBorders>
              <w:top w:val="single" w:sz="7" w:space="0" w:color="000000"/>
              <w:left w:val="nil"/>
              <w:bottom w:val="single" w:sz="6" w:space="0" w:color="000000"/>
              <w:right w:val="single" w:sz="6" w:space="0" w:color="000000"/>
            </w:tcBorders>
            <w:shd w:val="clear" w:color="auto" w:fill="auto"/>
          </w:tcPr>
          <w:p w14:paraId="4462C379" w14:textId="442694BB" w:rsidR="00DF61BC" w:rsidRPr="00C94C33" w:rsidRDefault="00DF61BC" w:rsidP="000D23E3">
            <w:pPr>
              <w:pStyle w:val="Tabletext"/>
              <w:jc w:val="center"/>
            </w:pPr>
            <w:r w:rsidRPr="00C94C33">
              <w:t>28</w:t>
            </w:r>
            <w:r w:rsidRPr="00C94C33">
              <w:rPr>
                <w:spacing w:val="14"/>
              </w:rPr>
              <w:t xml:space="preserve"> </w:t>
            </w:r>
            <w:r w:rsidRPr="00C94C33">
              <w:t>(12.0)</w:t>
            </w:r>
          </w:p>
        </w:tc>
        <w:tc>
          <w:tcPr>
            <w:tcW w:w="1979" w:type="dxa"/>
            <w:tcBorders>
              <w:top w:val="single" w:sz="7" w:space="0" w:color="000000"/>
              <w:left w:val="single" w:sz="6" w:space="0" w:color="000000"/>
              <w:bottom w:val="single" w:sz="6" w:space="0" w:color="000000"/>
            </w:tcBorders>
            <w:shd w:val="clear" w:color="auto" w:fill="auto"/>
          </w:tcPr>
          <w:p w14:paraId="1BF1C935" w14:textId="77777777" w:rsidR="00DF61BC" w:rsidRPr="00C94C33" w:rsidRDefault="00DF61BC" w:rsidP="000D23E3">
            <w:pPr>
              <w:pStyle w:val="Tabletext"/>
              <w:jc w:val="center"/>
            </w:pPr>
            <w:r w:rsidRPr="00C94C33">
              <w:t>0</w:t>
            </w:r>
          </w:p>
        </w:tc>
        <w:tc>
          <w:tcPr>
            <w:tcW w:w="1467" w:type="dxa"/>
            <w:tcBorders>
              <w:top w:val="single" w:sz="7" w:space="0" w:color="000000"/>
              <w:left w:val="nil"/>
              <w:bottom w:val="single" w:sz="6" w:space="0" w:color="000000"/>
              <w:right w:val="single" w:sz="4" w:space="0" w:color="auto"/>
            </w:tcBorders>
            <w:shd w:val="clear" w:color="auto" w:fill="auto"/>
          </w:tcPr>
          <w:p w14:paraId="25C0BE56" w14:textId="519D5193" w:rsidR="00DF61BC" w:rsidRPr="00C94C33" w:rsidRDefault="000D23E3" w:rsidP="000D23E3">
            <w:pPr>
              <w:pStyle w:val="Tabletext"/>
              <w:jc w:val="center"/>
            </w:pPr>
            <w:r>
              <w:t xml:space="preserve">1 </w:t>
            </w:r>
            <w:r w:rsidR="00DF61BC" w:rsidRPr="00C94C33">
              <w:t>(0.8)</w:t>
            </w:r>
          </w:p>
        </w:tc>
      </w:tr>
    </w:tbl>
    <w:p w14:paraId="76919FA1" w14:textId="257C3E9E" w:rsidR="00DF61BC" w:rsidRPr="00C94C33" w:rsidRDefault="00DF61BC" w:rsidP="00DF61BC">
      <w:pPr>
        <w:autoSpaceDE w:val="0"/>
        <w:autoSpaceDN w:val="0"/>
        <w:adjustRightInd w:val="0"/>
        <w:rPr>
          <w:rFonts w:asciiTheme="minorHAnsi" w:hAnsiTheme="minorHAnsi"/>
          <w:color w:val="000000"/>
        </w:rPr>
      </w:pPr>
      <w:r w:rsidRPr="00C94C33">
        <w:rPr>
          <w:rFonts w:asciiTheme="minorHAnsi" w:hAnsiTheme="minorHAnsi"/>
          <w:color w:val="000000"/>
        </w:rPr>
        <w:t xml:space="preserve">In the TAS-102 group, patients who were aged </w:t>
      </w:r>
      <w:r w:rsidRPr="00C94C33">
        <w:rPr>
          <w:rFonts w:asciiTheme="minorHAnsi" w:hAnsiTheme="minorHAnsi" w:cs="TimesNewRomanPSMT"/>
          <w:color w:val="000000"/>
        </w:rPr>
        <w:t xml:space="preserve">≥ </w:t>
      </w:r>
      <w:r w:rsidRPr="00C94C33">
        <w:rPr>
          <w:rFonts w:asciiTheme="minorHAnsi" w:hAnsiTheme="minorHAnsi"/>
          <w:color w:val="000000"/>
        </w:rPr>
        <w:t>65 years had a higher incidence (difference of at least 5%) compared to those aged &lt; 65 years for AEs of anaemia (50.4%</w:t>
      </w:r>
      <w:r w:rsidR="00C11183">
        <w:rPr>
          <w:rFonts w:asciiTheme="minorHAnsi" w:hAnsiTheme="minorHAnsi"/>
          <w:color w:val="000000"/>
        </w:rPr>
        <w:t xml:space="preserve"> versus </w:t>
      </w:r>
      <w:r w:rsidRPr="00C94C33">
        <w:rPr>
          <w:rFonts w:asciiTheme="minorHAnsi" w:hAnsiTheme="minorHAnsi"/>
          <w:color w:val="000000"/>
        </w:rPr>
        <w:t>32.1%), neutro</w:t>
      </w:r>
      <w:r w:rsidR="00B50F67">
        <w:rPr>
          <w:rFonts w:asciiTheme="minorHAnsi" w:hAnsiTheme="minorHAnsi"/>
          <w:color w:val="000000"/>
        </w:rPr>
        <w:t>paenia</w:t>
      </w:r>
      <w:r w:rsidRPr="00C94C33">
        <w:rPr>
          <w:rFonts w:asciiTheme="minorHAnsi" w:hAnsiTheme="minorHAnsi"/>
          <w:color w:val="000000"/>
        </w:rPr>
        <w:t xml:space="preserve"> (32.9%</w:t>
      </w:r>
      <w:r w:rsidR="00C11183">
        <w:rPr>
          <w:rFonts w:asciiTheme="minorHAnsi" w:hAnsiTheme="minorHAnsi"/>
          <w:color w:val="000000"/>
        </w:rPr>
        <w:t xml:space="preserve"> versus </w:t>
      </w:r>
      <w:r w:rsidRPr="00C94C33">
        <w:rPr>
          <w:rFonts w:asciiTheme="minorHAnsi" w:hAnsiTheme="minorHAnsi"/>
          <w:color w:val="000000"/>
        </w:rPr>
        <w:t>26.4%), neutrophil count decreased (31.2%</w:t>
      </w:r>
      <w:r w:rsidR="00C11183">
        <w:rPr>
          <w:rFonts w:asciiTheme="minorHAnsi" w:hAnsiTheme="minorHAnsi"/>
          <w:color w:val="000000"/>
        </w:rPr>
        <w:t xml:space="preserve"> versus </w:t>
      </w:r>
      <w:r w:rsidRPr="00C94C33">
        <w:rPr>
          <w:rFonts w:asciiTheme="minorHAnsi" w:hAnsiTheme="minorHAnsi"/>
          <w:color w:val="000000"/>
        </w:rPr>
        <w:t>25.1%), platelet count decreased (21.4%</w:t>
      </w:r>
      <w:r w:rsidR="00C11183">
        <w:rPr>
          <w:rFonts w:asciiTheme="minorHAnsi" w:hAnsiTheme="minorHAnsi"/>
          <w:color w:val="000000"/>
        </w:rPr>
        <w:t xml:space="preserve"> versus </w:t>
      </w:r>
      <w:r w:rsidRPr="00C94C33">
        <w:rPr>
          <w:rFonts w:asciiTheme="minorHAnsi" w:hAnsiTheme="minorHAnsi"/>
          <w:color w:val="000000"/>
        </w:rPr>
        <w:t>10.4%), white blood cell count decreased (31.6%</w:t>
      </w:r>
      <w:r w:rsidR="00C11183">
        <w:rPr>
          <w:rFonts w:asciiTheme="minorHAnsi" w:hAnsiTheme="minorHAnsi"/>
          <w:color w:val="000000"/>
        </w:rPr>
        <w:t xml:space="preserve"> versus </w:t>
      </w:r>
      <w:r w:rsidRPr="00C94C33">
        <w:rPr>
          <w:rFonts w:asciiTheme="minorHAnsi" w:hAnsiTheme="minorHAnsi"/>
          <w:color w:val="000000"/>
        </w:rPr>
        <w:t>24.1%) and decreased appetite (41.9%</w:t>
      </w:r>
      <w:r w:rsidR="00C11183">
        <w:rPr>
          <w:rFonts w:asciiTheme="minorHAnsi" w:hAnsiTheme="minorHAnsi"/>
          <w:color w:val="000000"/>
        </w:rPr>
        <w:t xml:space="preserve"> versus </w:t>
      </w:r>
      <w:r w:rsidRPr="00C94C33">
        <w:rPr>
          <w:rFonts w:asciiTheme="minorHAnsi" w:hAnsiTheme="minorHAnsi"/>
          <w:color w:val="000000"/>
        </w:rPr>
        <w:t>36.8%). The corresponding incidence of these AEs in the placebo group (</w:t>
      </w:r>
      <w:r w:rsidRPr="00C94C33">
        <w:rPr>
          <w:rFonts w:asciiTheme="minorHAnsi" w:hAnsiTheme="minorHAnsi" w:cs="TimesNewRomanPSMT"/>
          <w:color w:val="000000"/>
        </w:rPr>
        <w:t xml:space="preserve">≥ </w:t>
      </w:r>
      <w:r w:rsidRPr="00C94C33">
        <w:rPr>
          <w:rFonts w:asciiTheme="minorHAnsi" w:hAnsiTheme="minorHAnsi"/>
          <w:color w:val="000000"/>
        </w:rPr>
        <w:t>65 years</w:t>
      </w:r>
      <w:r w:rsidR="00C11183">
        <w:rPr>
          <w:rFonts w:asciiTheme="minorHAnsi" w:hAnsiTheme="minorHAnsi"/>
          <w:color w:val="000000"/>
        </w:rPr>
        <w:t xml:space="preserve"> versus </w:t>
      </w:r>
      <w:r w:rsidRPr="00C94C33">
        <w:rPr>
          <w:rFonts w:asciiTheme="minorHAnsi" w:hAnsiTheme="minorHAnsi"/>
          <w:color w:val="000000"/>
        </w:rPr>
        <w:t>&lt; 65 years) were anaemia (9.3%</w:t>
      </w:r>
      <w:r w:rsidR="00C11183">
        <w:rPr>
          <w:rFonts w:asciiTheme="minorHAnsi" w:hAnsiTheme="minorHAnsi"/>
          <w:color w:val="000000"/>
        </w:rPr>
        <w:t xml:space="preserve"> versus </w:t>
      </w:r>
      <w:r w:rsidRPr="00C94C33">
        <w:rPr>
          <w:rFonts w:asciiTheme="minorHAnsi" w:hAnsiTheme="minorHAnsi"/>
          <w:color w:val="000000"/>
        </w:rPr>
        <w:t>7.5%), neutro</w:t>
      </w:r>
      <w:r w:rsidR="00B50F67">
        <w:rPr>
          <w:rFonts w:asciiTheme="minorHAnsi" w:hAnsiTheme="minorHAnsi"/>
          <w:color w:val="000000"/>
        </w:rPr>
        <w:t>paenia</w:t>
      </w:r>
      <w:r w:rsidRPr="00C94C33">
        <w:rPr>
          <w:rFonts w:asciiTheme="minorHAnsi" w:hAnsiTheme="minorHAnsi"/>
          <w:color w:val="000000"/>
        </w:rPr>
        <w:t xml:space="preserve"> (0%</w:t>
      </w:r>
      <w:r w:rsidR="00C11183">
        <w:rPr>
          <w:rFonts w:asciiTheme="minorHAnsi" w:hAnsiTheme="minorHAnsi"/>
          <w:color w:val="000000"/>
        </w:rPr>
        <w:t xml:space="preserve"> versus </w:t>
      </w:r>
      <w:r w:rsidRPr="00C94C33">
        <w:rPr>
          <w:rFonts w:asciiTheme="minorHAnsi" w:hAnsiTheme="minorHAnsi"/>
          <w:color w:val="000000"/>
        </w:rPr>
        <w:t>0%), neutrophil count decreased (0%</w:t>
      </w:r>
      <w:r w:rsidR="00C11183">
        <w:rPr>
          <w:rFonts w:asciiTheme="minorHAnsi" w:hAnsiTheme="minorHAnsi"/>
          <w:color w:val="000000"/>
        </w:rPr>
        <w:t xml:space="preserve"> versus </w:t>
      </w:r>
      <w:r w:rsidRPr="00C94C33">
        <w:rPr>
          <w:rFonts w:asciiTheme="minorHAnsi" w:hAnsiTheme="minorHAnsi"/>
          <w:color w:val="000000"/>
        </w:rPr>
        <w:t>0.7%), platelet count decreased (2.5%</w:t>
      </w:r>
      <w:r w:rsidR="00C11183">
        <w:rPr>
          <w:rFonts w:asciiTheme="minorHAnsi" w:hAnsiTheme="minorHAnsi"/>
          <w:color w:val="000000"/>
        </w:rPr>
        <w:t xml:space="preserve"> versus </w:t>
      </w:r>
      <w:r w:rsidRPr="00C94C33">
        <w:rPr>
          <w:rFonts w:asciiTheme="minorHAnsi" w:hAnsiTheme="minorHAnsi"/>
          <w:color w:val="000000"/>
        </w:rPr>
        <w:t>2.0%), white blood cell count decreased (0%</w:t>
      </w:r>
      <w:r w:rsidR="00C11183">
        <w:rPr>
          <w:rFonts w:asciiTheme="minorHAnsi" w:hAnsiTheme="minorHAnsi"/>
          <w:color w:val="000000"/>
        </w:rPr>
        <w:t xml:space="preserve"> versus </w:t>
      </w:r>
      <w:r w:rsidRPr="00C94C33">
        <w:rPr>
          <w:rFonts w:asciiTheme="minorHAnsi" w:hAnsiTheme="minorHAnsi"/>
          <w:color w:val="000000"/>
        </w:rPr>
        <w:t>0.7%), decreased appetite (26.3%</w:t>
      </w:r>
      <w:r w:rsidR="00C11183">
        <w:rPr>
          <w:rFonts w:asciiTheme="minorHAnsi" w:hAnsiTheme="minorHAnsi"/>
          <w:color w:val="000000"/>
        </w:rPr>
        <w:t xml:space="preserve"> versus </w:t>
      </w:r>
      <w:r w:rsidRPr="00C94C33">
        <w:rPr>
          <w:rFonts w:asciiTheme="minorHAnsi" w:hAnsiTheme="minorHAnsi"/>
          <w:color w:val="000000"/>
        </w:rPr>
        <w:t xml:space="preserve">32.0%). Patients aged &lt; 65 years in the TAS-102 group had a higher incidence of nausea than those aged </w:t>
      </w:r>
      <w:r w:rsidRPr="00C94C33">
        <w:rPr>
          <w:rFonts w:asciiTheme="minorHAnsi" w:hAnsiTheme="minorHAnsi" w:cs="TimesNewRomanPSMT"/>
          <w:color w:val="000000"/>
        </w:rPr>
        <w:t xml:space="preserve">≥ </w:t>
      </w:r>
      <w:r w:rsidRPr="00C94C33">
        <w:rPr>
          <w:rFonts w:asciiTheme="minorHAnsi" w:hAnsiTheme="minorHAnsi"/>
          <w:color w:val="000000"/>
        </w:rPr>
        <w:t>65 years (52.2%</w:t>
      </w:r>
      <w:r w:rsidR="00C11183">
        <w:rPr>
          <w:rFonts w:asciiTheme="minorHAnsi" w:hAnsiTheme="minorHAnsi"/>
          <w:color w:val="000000"/>
        </w:rPr>
        <w:t xml:space="preserve"> versus </w:t>
      </w:r>
      <w:r w:rsidRPr="00C94C33">
        <w:rPr>
          <w:rFonts w:asciiTheme="minorHAnsi" w:hAnsiTheme="minorHAnsi"/>
          <w:color w:val="000000"/>
        </w:rPr>
        <w:t>43.6%), with a similar trend observed in the placebo group (27.2%</w:t>
      </w:r>
      <w:r w:rsidR="00C11183">
        <w:rPr>
          <w:rFonts w:asciiTheme="minorHAnsi" w:hAnsiTheme="minorHAnsi"/>
          <w:color w:val="000000"/>
        </w:rPr>
        <w:t xml:space="preserve"> versus </w:t>
      </w:r>
      <w:r w:rsidRPr="00C94C33">
        <w:rPr>
          <w:rFonts w:asciiTheme="minorHAnsi" w:hAnsiTheme="minorHAnsi"/>
          <w:color w:val="000000"/>
        </w:rPr>
        <w:t>19.5%).</w:t>
      </w:r>
    </w:p>
    <w:p w14:paraId="4BA5CC03" w14:textId="2BC3E15A"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color w:val="000000"/>
        </w:rPr>
        <w:t xml:space="preserve">Based on clinical laboratory assessments, patients aged </w:t>
      </w:r>
      <w:r w:rsidRPr="00C94C33">
        <w:rPr>
          <w:rFonts w:asciiTheme="minorHAnsi" w:hAnsiTheme="minorHAnsi" w:cs="TimesNewRomanPSMT"/>
          <w:color w:val="000000"/>
        </w:rPr>
        <w:t xml:space="preserve">≥ </w:t>
      </w:r>
      <w:r w:rsidRPr="00C94C33">
        <w:rPr>
          <w:rFonts w:asciiTheme="minorHAnsi" w:hAnsiTheme="minorHAnsi"/>
          <w:color w:val="000000"/>
        </w:rPr>
        <w:t>65 years in the TAS-102 group had a higher incidence (difference of at least 5%) of Grade 3 or 4 leuko</w:t>
      </w:r>
      <w:r w:rsidR="00B50F67">
        <w:rPr>
          <w:rFonts w:asciiTheme="minorHAnsi" w:hAnsiTheme="minorHAnsi"/>
          <w:color w:val="000000"/>
        </w:rPr>
        <w:t>paenia</w:t>
      </w:r>
      <w:r w:rsidRPr="00C94C33">
        <w:rPr>
          <w:rFonts w:asciiTheme="minorHAnsi" w:hAnsiTheme="minorHAnsi"/>
          <w:color w:val="000000"/>
        </w:rPr>
        <w:t xml:space="preserve"> (25.5%</w:t>
      </w:r>
      <w:r w:rsidR="00C11183">
        <w:rPr>
          <w:rFonts w:asciiTheme="minorHAnsi" w:hAnsiTheme="minorHAnsi"/>
          <w:color w:val="000000"/>
        </w:rPr>
        <w:t xml:space="preserve"> versus </w:t>
      </w:r>
      <w:r w:rsidRPr="00C94C33">
        <w:rPr>
          <w:rFonts w:asciiTheme="minorHAnsi" w:hAnsiTheme="minorHAnsi"/>
          <w:color w:val="000000"/>
        </w:rPr>
        <w:t>18.2%), Grade 3 or 4 neutro</w:t>
      </w:r>
      <w:r w:rsidR="00B50F67">
        <w:rPr>
          <w:rFonts w:asciiTheme="minorHAnsi" w:hAnsiTheme="minorHAnsi"/>
          <w:color w:val="000000"/>
        </w:rPr>
        <w:t>paenia</w:t>
      </w:r>
      <w:r w:rsidRPr="00C94C33">
        <w:rPr>
          <w:rFonts w:asciiTheme="minorHAnsi" w:hAnsiTheme="minorHAnsi"/>
          <w:color w:val="000000"/>
        </w:rPr>
        <w:t xml:space="preserve"> (47.6%</w:t>
      </w:r>
      <w:r w:rsidR="00C11183">
        <w:rPr>
          <w:rFonts w:asciiTheme="minorHAnsi" w:hAnsiTheme="minorHAnsi"/>
          <w:color w:val="000000"/>
        </w:rPr>
        <w:t xml:space="preserve"> versus </w:t>
      </w:r>
      <w:r w:rsidRPr="00C94C33">
        <w:rPr>
          <w:rFonts w:asciiTheme="minorHAnsi" w:hAnsiTheme="minorHAnsi"/>
          <w:color w:val="000000"/>
        </w:rPr>
        <w:t>30.3%), Grade 3 anaemia (26.0%</w:t>
      </w:r>
      <w:r w:rsidR="00C11183">
        <w:rPr>
          <w:rFonts w:asciiTheme="minorHAnsi" w:hAnsiTheme="minorHAnsi"/>
          <w:color w:val="000000"/>
        </w:rPr>
        <w:t xml:space="preserve"> versus </w:t>
      </w:r>
      <w:r w:rsidRPr="00C94C33">
        <w:rPr>
          <w:rFonts w:asciiTheme="minorHAnsi" w:hAnsiTheme="minorHAnsi"/>
          <w:color w:val="000000"/>
        </w:rPr>
        <w:t>12.1%) and Grade 3 or 4 thrombocyto</w:t>
      </w:r>
      <w:r w:rsidR="00B50F67">
        <w:rPr>
          <w:rFonts w:asciiTheme="minorHAnsi" w:hAnsiTheme="minorHAnsi"/>
          <w:color w:val="000000"/>
        </w:rPr>
        <w:t>paenia</w:t>
      </w:r>
      <w:r w:rsidRPr="00C94C33">
        <w:rPr>
          <w:rFonts w:asciiTheme="minorHAnsi" w:hAnsiTheme="minorHAnsi"/>
          <w:color w:val="000000"/>
        </w:rPr>
        <w:t xml:space="preserve"> (8.7%</w:t>
      </w:r>
      <w:r w:rsidR="00C11183">
        <w:rPr>
          <w:rFonts w:asciiTheme="minorHAnsi" w:hAnsiTheme="minorHAnsi"/>
          <w:color w:val="000000"/>
        </w:rPr>
        <w:t xml:space="preserve"> versus </w:t>
      </w:r>
      <w:r w:rsidRPr="00C94C33">
        <w:rPr>
          <w:rFonts w:asciiTheme="minorHAnsi" w:hAnsiTheme="minorHAnsi"/>
          <w:color w:val="000000"/>
        </w:rPr>
        <w:t>2.4%) than patients aged &lt; 65 years. The corresponding incidence of these abnormalities in the placebo group (</w:t>
      </w:r>
      <w:r w:rsidRPr="00C94C33">
        <w:rPr>
          <w:rFonts w:asciiTheme="minorHAnsi" w:hAnsiTheme="minorHAnsi" w:cs="TimesNewRomanPSMT"/>
          <w:color w:val="000000"/>
        </w:rPr>
        <w:t xml:space="preserve">≥ </w:t>
      </w:r>
      <w:r w:rsidRPr="00C94C33">
        <w:rPr>
          <w:rFonts w:asciiTheme="minorHAnsi" w:hAnsiTheme="minorHAnsi"/>
          <w:color w:val="000000"/>
        </w:rPr>
        <w:t>65 years</w:t>
      </w:r>
      <w:r w:rsidR="00C11183">
        <w:rPr>
          <w:rFonts w:asciiTheme="minorHAnsi" w:hAnsiTheme="minorHAnsi"/>
          <w:color w:val="000000"/>
        </w:rPr>
        <w:t xml:space="preserve"> versus </w:t>
      </w:r>
      <w:r w:rsidRPr="00C94C33">
        <w:rPr>
          <w:rFonts w:asciiTheme="minorHAnsi" w:hAnsiTheme="minorHAnsi"/>
          <w:color w:val="000000"/>
        </w:rPr>
        <w:t>&lt; 65 years) were Grade 3 or 4 leuko</w:t>
      </w:r>
      <w:r w:rsidR="00B50F67">
        <w:rPr>
          <w:rFonts w:asciiTheme="minorHAnsi" w:hAnsiTheme="minorHAnsi"/>
          <w:color w:val="000000"/>
        </w:rPr>
        <w:t>paenia</w:t>
      </w:r>
      <w:r w:rsidRPr="00C94C33">
        <w:rPr>
          <w:rFonts w:asciiTheme="minorHAnsi" w:hAnsiTheme="minorHAnsi"/>
          <w:color w:val="000000"/>
        </w:rPr>
        <w:t xml:space="preserve"> (0%</w:t>
      </w:r>
      <w:r w:rsidR="00C11183">
        <w:rPr>
          <w:rFonts w:asciiTheme="minorHAnsi" w:hAnsiTheme="minorHAnsi"/>
          <w:color w:val="000000"/>
        </w:rPr>
        <w:t xml:space="preserve"> versus </w:t>
      </w:r>
      <w:r w:rsidRPr="00C94C33">
        <w:rPr>
          <w:rFonts w:asciiTheme="minorHAnsi" w:hAnsiTheme="minorHAnsi"/>
          <w:color w:val="000000"/>
        </w:rPr>
        <w:t>0%), Grade 3 or 4 neutro</w:t>
      </w:r>
      <w:r w:rsidR="00B50F67">
        <w:rPr>
          <w:rFonts w:asciiTheme="minorHAnsi" w:hAnsiTheme="minorHAnsi"/>
          <w:color w:val="000000"/>
        </w:rPr>
        <w:t>paenia</w:t>
      </w:r>
      <w:r w:rsidRPr="00C94C33">
        <w:rPr>
          <w:rFonts w:asciiTheme="minorHAnsi" w:hAnsiTheme="minorHAnsi"/>
          <w:color w:val="000000"/>
        </w:rPr>
        <w:t xml:space="preserve"> (0%</w:t>
      </w:r>
      <w:r w:rsidR="00C11183">
        <w:rPr>
          <w:rFonts w:asciiTheme="minorHAnsi" w:hAnsiTheme="minorHAnsi"/>
          <w:color w:val="000000"/>
        </w:rPr>
        <w:t xml:space="preserve"> versus </w:t>
      </w:r>
      <w:r w:rsidRPr="00C94C33">
        <w:rPr>
          <w:rFonts w:asciiTheme="minorHAnsi" w:hAnsiTheme="minorHAnsi"/>
          <w:color w:val="000000"/>
        </w:rPr>
        <w:t>0%), Grade 3 anaemia (1.7%</w:t>
      </w:r>
      <w:r w:rsidR="00C11183">
        <w:rPr>
          <w:rFonts w:asciiTheme="minorHAnsi" w:hAnsiTheme="minorHAnsi"/>
          <w:color w:val="000000"/>
        </w:rPr>
        <w:t xml:space="preserve"> versus </w:t>
      </w:r>
      <w:r w:rsidRPr="00C94C33">
        <w:rPr>
          <w:rFonts w:asciiTheme="minorHAnsi" w:hAnsiTheme="minorHAnsi"/>
          <w:color w:val="000000"/>
        </w:rPr>
        <w:t>4.1%) and Grade 3 or 4 thrombocyto</w:t>
      </w:r>
      <w:r w:rsidR="00B50F67">
        <w:rPr>
          <w:rFonts w:asciiTheme="minorHAnsi" w:hAnsiTheme="minorHAnsi"/>
          <w:color w:val="000000"/>
        </w:rPr>
        <w:t>paenia</w:t>
      </w:r>
      <w:r w:rsidRPr="00C94C33">
        <w:rPr>
          <w:rFonts w:asciiTheme="minorHAnsi" w:hAnsiTheme="minorHAnsi"/>
          <w:color w:val="000000"/>
        </w:rPr>
        <w:t xml:space="preserve"> (0%</w:t>
      </w:r>
      <w:r w:rsidR="00C11183">
        <w:rPr>
          <w:rFonts w:asciiTheme="minorHAnsi" w:hAnsiTheme="minorHAnsi"/>
          <w:color w:val="000000"/>
        </w:rPr>
        <w:t xml:space="preserve"> versus </w:t>
      </w:r>
      <w:r w:rsidRPr="00C94C33">
        <w:rPr>
          <w:rFonts w:asciiTheme="minorHAnsi" w:hAnsiTheme="minorHAnsi"/>
          <w:color w:val="000000"/>
        </w:rPr>
        <w:t>0.7%).</w:t>
      </w:r>
      <w:r w:rsidRPr="00C94C33">
        <w:rPr>
          <w:rFonts w:asciiTheme="minorHAnsi" w:hAnsiTheme="minorHAnsi"/>
        </w:rPr>
        <w:t xml:space="preserve"> There were no notable differences between the age subgroups in the incidence of Grade 3 or 4 serum chemistry abnormalities.</w:t>
      </w:r>
    </w:p>
    <w:p w14:paraId="329077EA" w14:textId="14A911BD" w:rsidR="00DF61BC" w:rsidRPr="00C94C33" w:rsidRDefault="00DF61BC" w:rsidP="005C2FCA">
      <w:pPr>
        <w:pStyle w:val="Comment"/>
      </w:pPr>
      <w:r w:rsidRPr="005C2FCA">
        <w:rPr>
          <w:b/>
        </w:rPr>
        <w:lastRenderedPageBreak/>
        <w:t>Comment:</w:t>
      </w:r>
      <w:r w:rsidRPr="00C94C33">
        <w:t xml:space="preserve"> </w:t>
      </w:r>
      <w:r w:rsidR="00C26C44">
        <w:t xml:space="preserve"> </w:t>
      </w:r>
      <w:r w:rsidRPr="00C94C33">
        <w:t>The sponsor’s D120 response to the CHMP included a comparison of the AE profile based on age groups of &lt; 65, 65-74, 75-84 and 85+ years in the integrated Groups 1 and 2  safety data sets. There was only 1 patient aged 85+ years in total population included in the two integrated safety data sets. Review of the AE profiles of patients in the TAS-102 treatment group in Group 1 showed no marked differences between patients aged 6</w:t>
      </w:r>
      <w:r w:rsidR="00824FCB" w:rsidRPr="00C94C33">
        <w:t>5-74 years and 75-84 years</w:t>
      </w:r>
      <w:r w:rsidRPr="00C94C33">
        <w:t>, with a similar pattern being observed in Group 2. In addition, in the TAS-102 group there were no marked differences in the AE profiles of patients aged &lt; 65 year compared to patients aged ≥ 65 years in either Group 1 or Group 2.</w:t>
      </w:r>
    </w:p>
    <w:p w14:paraId="6B552A44" w14:textId="77777777" w:rsidR="00DF61BC" w:rsidRPr="00C94C33" w:rsidRDefault="00DF61BC" w:rsidP="00955252">
      <w:pPr>
        <w:pStyle w:val="Heading4"/>
      </w:pPr>
      <w:bookmarkStart w:id="435" w:name="_Toc470948599"/>
      <w:bookmarkEnd w:id="427"/>
      <w:bookmarkEnd w:id="428"/>
      <w:r w:rsidRPr="00C94C33">
        <w:t>Gender</w:t>
      </w:r>
      <w:bookmarkEnd w:id="435"/>
    </w:p>
    <w:p w14:paraId="3D435FE0" w14:textId="789B4D93" w:rsidR="00DF61BC" w:rsidRPr="00C94C33" w:rsidRDefault="00DF61BC" w:rsidP="00DF61BC">
      <w:r w:rsidRPr="00C94C33">
        <w:t>The high</w:t>
      </w:r>
      <w:r w:rsidR="00C26C44">
        <w:t xml:space="preserve"> </w:t>
      </w:r>
      <w:r w:rsidRPr="00C94C33">
        <w:t xml:space="preserve">level summary of AEs based on gender is presented below. In the TAS-102 group, the patient incidence in females was ≥ 5% compared to males for any ≥ </w:t>
      </w:r>
      <w:r w:rsidR="00C26C44">
        <w:t>G</w:t>
      </w:r>
      <w:r w:rsidRPr="00C94C33">
        <w:t xml:space="preserve">rade 3 AE, any treatment-related ≥ </w:t>
      </w:r>
      <w:r w:rsidR="00C26C44">
        <w:t>G</w:t>
      </w:r>
      <w:r w:rsidR="000D23E3">
        <w:t>rade 3 AE, and any serious SAE.</w:t>
      </w:r>
    </w:p>
    <w:p w14:paraId="14DCDCAD" w14:textId="58703CEB" w:rsidR="00DF61BC" w:rsidRPr="00C94C33" w:rsidRDefault="00DF61BC" w:rsidP="0058475B">
      <w:pPr>
        <w:pStyle w:val="Tabletitle"/>
        <w:rPr>
          <w:bCs/>
        </w:rPr>
      </w:pPr>
      <w:bookmarkStart w:id="436" w:name="_Toc470948712"/>
      <w:r w:rsidRPr="00C94C33">
        <w:t>Table</w:t>
      </w:r>
      <w:r w:rsidR="00824FCB" w:rsidRPr="00C94C33">
        <w:t xml:space="preserve"> 63</w:t>
      </w:r>
      <w:r w:rsidRPr="00C94C33">
        <w:t>: RECOURSE</w:t>
      </w:r>
      <w:r w:rsidR="00C26C44">
        <w:t xml:space="preserve">; </w:t>
      </w:r>
      <w:r w:rsidRPr="00C94C33">
        <w:t>Overview of adverse events by gender group, AT population</w:t>
      </w:r>
      <w:bookmarkEnd w:id="436"/>
    </w:p>
    <w:tbl>
      <w:tblPr>
        <w:tblW w:w="9576" w:type="dxa"/>
        <w:tblInd w:w="112" w:type="dxa"/>
        <w:tblLayout w:type="fixed"/>
        <w:tblCellMar>
          <w:left w:w="0" w:type="dxa"/>
          <w:right w:w="0" w:type="dxa"/>
        </w:tblCellMar>
        <w:tblLook w:val="0000" w:firstRow="0" w:lastRow="0" w:firstColumn="0" w:lastColumn="0" w:noHBand="0" w:noVBand="0"/>
      </w:tblPr>
      <w:tblGrid>
        <w:gridCol w:w="3438"/>
        <w:gridCol w:w="1737"/>
        <w:gridCol w:w="1467"/>
        <w:gridCol w:w="1467"/>
        <w:gridCol w:w="1467"/>
      </w:tblGrid>
      <w:tr w:rsidR="00DF61BC" w:rsidRPr="00C94C33" w14:paraId="31231C52" w14:textId="77777777" w:rsidTr="000D23E3">
        <w:trPr>
          <w:trHeight w:hRule="exact" w:val="515"/>
          <w:tblHeader/>
        </w:trPr>
        <w:tc>
          <w:tcPr>
            <w:tcW w:w="3438" w:type="dxa"/>
            <w:tcBorders>
              <w:top w:val="single" w:sz="8" w:space="0" w:color="000000"/>
              <w:left w:val="single" w:sz="4" w:space="0" w:color="auto"/>
              <w:right w:val="single" w:sz="6" w:space="0" w:color="000000"/>
            </w:tcBorders>
            <w:shd w:val="clear" w:color="auto" w:fill="auto"/>
          </w:tcPr>
          <w:p w14:paraId="780A9084" w14:textId="77777777" w:rsidR="00DF61BC" w:rsidRPr="00C94C33" w:rsidRDefault="00DF61BC" w:rsidP="000D23E3">
            <w:pPr>
              <w:pStyle w:val="TableHeading"/>
              <w:jc w:val="center"/>
            </w:pPr>
          </w:p>
        </w:tc>
        <w:tc>
          <w:tcPr>
            <w:tcW w:w="3204" w:type="dxa"/>
            <w:gridSpan w:val="2"/>
            <w:tcBorders>
              <w:top w:val="single" w:sz="8" w:space="0" w:color="000000"/>
              <w:left w:val="single" w:sz="6" w:space="0" w:color="000000"/>
              <w:right w:val="single" w:sz="6" w:space="0" w:color="000000"/>
            </w:tcBorders>
            <w:shd w:val="clear" w:color="auto" w:fill="auto"/>
          </w:tcPr>
          <w:p w14:paraId="48571695" w14:textId="64DDD890" w:rsidR="00DF61BC" w:rsidRPr="00C94C33" w:rsidRDefault="00DF61BC" w:rsidP="000D23E3">
            <w:pPr>
              <w:pStyle w:val="TableHeading"/>
              <w:jc w:val="center"/>
            </w:pPr>
            <w:r w:rsidRPr="00C94C33">
              <w:t>TAS-102 (</w:t>
            </w:r>
            <w:r w:rsidR="009C0389" w:rsidRPr="00C94C33">
              <w:t xml:space="preserve">N = </w:t>
            </w:r>
            <w:r w:rsidRPr="00C94C33">
              <w:t>533)</w:t>
            </w:r>
          </w:p>
        </w:tc>
        <w:tc>
          <w:tcPr>
            <w:tcW w:w="2934" w:type="dxa"/>
            <w:gridSpan w:val="2"/>
            <w:tcBorders>
              <w:top w:val="single" w:sz="8" w:space="0" w:color="000000"/>
              <w:left w:val="single" w:sz="6" w:space="0" w:color="000000"/>
              <w:right w:val="single" w:sz="4" w:space="0" w:color="auto"/>
            </w:tcBorders>
            <w:shd w:val="clear" w:color="auto" w:fill="auto"/>
          </w:tcPr>
          <w:p w14:paraId="500A2B11" w14:textId="2DC9FA4F" w:rsidR="00DF61BC" w:rsidRPr="00C94C33" w:rsidRDefault="00DF61BC" w:rsidP="000D23E3">
            <w:pPr>
              <w:pStyle w:val="TableHeading"/>
              <w:jc w:val="center"/>
            </w:pPr>
            <w:r w:rsidRPr="00C94C33">
              <w:t>Placebo (</w:t>
            </w:r>
            <w:r w:rsidR="009C0389" w:rsidRPr="00C94C33">
              <w:t xml:space="preserve">N = </w:t>
            </w:r>
            <w:r w:rsidRPr="00C94C33">
              <w:t>265)</w:t>
            </w:r>
          </w:p>
        </w:tc>
      </w:tr>
      <w:tr w:rsidR="00DF61BC" w:rsidRPr="00C94C33" w14:paraId="3DA0F56A" w14:textId="77777777" w:rsidTr="000D23E3">
        <w:trPr>
          <w:trHeight w:hRule="exact" w:val="693"/>
          <w:tblHeader/>
        </w:trPr>
        <w:tc>
          <w:tcPr>
            <w:tcW w:w="3438" w:type="dxa"/>
            <w:tcBorders>
              <w:left w:val="single" w:sz="4" w:space="0" w:color="auto"/>
              <w:bottom w:val="single" w:sz="7" w:space="0" w:color="000000"/>
              <w:right w:val="single" w:sz="6" w:space="0" w:color="000000"/>
            </w:tcBorders>
            <w:shd w:val="clear" w:color="auto" w:fill="auto"/>
          </w:tcPr>
          <w:p w14:paraId="2B0233E8" w14:textId="77777777" w:rsidR="00DF61BC" w:rsidRPr="00C94C33" w:rsidRDefault="00DF61BC" w:rsidP="000D23E3">
            <w:pPr>
              <w:pStyle w:val="TableHeading"/>
              <w:jc w:val="center"/>
            </w:pPr>
          </w:p>
        </w:tc>
        <w:tc>
          <w:tcPr>
            <w:tcW w:w="1737" w:type="dxa"/>
            <w:tcBorders>
              <w:left w:val="single" w:sz="6" w:space="0" w:color="000000"/>
              <w:bottom w:val="single" w:sz="7" w:space="0" w:color="000000"/>
            </w:tcBorders>
            <w:shd w:val="clear" w:color="auto" w:fill="auto"/>
          </w:tcPr>
          <w:p w14:paraId="0E8E1504" w14:textId="3894750D" w:rsidR="00DF61BC" w:rsidRPr="00C94C33" w:rsidRDefault="00DF61BC" w:rsidP="000D23E3">
            <w:pPr>
              <w:pStyle w:val="TableHeading"/>
              <w:jc w:val="center"/>
            </w:pPr>
            <w:r w:rsidRPr="00C94C33">
              <w:t>Male (</w:t>
            </w:r>
            <w:r w:rsidR="009C0389" w:rsidRPr="00C94C33">
              <w:t xml:space="preserve">N = </w:t>
            </w:r>
            <w:r w:rsidRPr="00C94C33">
              <w:t>326)</w:t>
            </w:r>
          </w:p>
        </w:tc>
        <w:tc>
          <w:tcPr>
            <w:tcW w:w="1467" w:type="dxa"/>
            <w:tcBorders>
              <w:left w:val="nil"/>
              <w:bottom w:val="single" w:sz="7" w:space="0" w:color="000000"/>
              <w:right w:val="single" w:sz="6" w:space="0" w:color="000000"/>
            </w:tcBorders>
            <w:shd w:val="clear" w:color="auto" w:fill="auto"/>
          </w:tcPr>
          <w:p w14:paraId="7BC8E3BC" w14:textId="325B5116" w:rsidR="00DF61BC" w:rsidRPr="00C94C33" w:rsidRDefault="00DF61BC" w:rsidP="000D23E3">
            <w:pPr>
              <w:pStyle w:val="TableHeading"/>
              <w:jc w:val="center"/>
            </w:pPr>
            <w:r w:rsidRPr="00C94C33">
              <w:t>Female (</w:t>
            </w:r>
            <w:r w:rsidR="009C0389" w:rsidRPr="00C94C33">
              <w:t xml:space="preserve">N = </w:t>
            </w:r>
            <w:r w:rsidRPr="00C94C33">
              <w:t>207)</w:t>
            </w:r>
          </w:p>
        </w:tc>
        <w:tc>
          <w:tcPr>
            <w:tcW w:w="1467" w:type="dxa"/>
            <w:tcBorders>
              <w:left w:val="single" w:sz="6" w:space="0" w:color="000000"/>
              <w:bottom w:val="single" w:sz="7" w:space="0" w:color="000000"/>
            </w:tcBorders>
            <w:shd w:val="clear" w:color="auto" w:fill="auto"/>
          </w:tcPr>
          <w:p w14:paraId="64D5A6B8" w14:textId="744278E7" w:rsidR="00DF61BC" w:rsidRPr="00C94C33" w:rsidRDefault="00DF61BC" w:rsidP="000D23E3">
            <w:pPr>
              <w:pStyle w:val="TableHeading"/>
              <w:jc w:val="center"/>
            </w:pPr>
            <w:r w:rsidRPr="00C94C33">
              <w:t>Male (</w:t>
            </w:r>
            <w:r w:rsidR="009C0389" w:rsidRPr="00C94C33">
              <w:t xml:space="preserve">N = </w:t>
            </w:r>
            <w:r w:rsidRPr="00C94C33">
              <w:t>164)</w:t>
            </w:r>
          </w:p>
        </w:tc>
        <w:tc>
          <w:tcPr>
            <w:tcW w:w="1467" w:type="dxa"/>
            <w:tcBorders>
              <w:left w:val="nil"/>
              <w:bottom w:val="single" w:sz="7" w:space="0" w:color="000000"/>
              <w:right w:val="single" w:sz="4" w:space="0" w:color="auto"/>
            </w:tcBorders>
            <w:shd w:val="clear" w:color="auto" w:fill="auto"/>
          </w:tcPr>
          <w:p w14:paraId="7369D1C2" w14:textId="352533CC" w:rsidR="00DF61BC" w:rsidRPr="00C94C33" w:rsidRDefault="00DF61BC" w:rsidP="000D23E3">
            <w:pPr>
              <w:pStyle w:val="TableHeading"/>
              <w:jc w:val="center"/>
            </w:pPr>
            <w:r w:rsidRPr="00C94C33">
              <w:t>Female (</w:t>
            </w:r>
            <w:r w:rsidR="009C0389" w:rsidRPr="00C94C33">
              <w:t xml:space="preserve">N = </w:t>
            </w:r>
            <w:r w:rsidRPr="00C94C33">
              <w:t>101)</w:t>
            </w:r>
          </w:p>
        </w:tc>
      </w:tr>
      <w:tr w:rsidR="00DF61BC" w:rsidRPr="00C94C33" w14:paraId="306110E4" w14:textId="77777777" w:rsidTr="000D23E3">
        <w:trPr>
          <w:trHeight w:hRule="exact" w:val="436"/>
        </w:trPr>
        <w:tc>
          <w:tcPr>
            <w:tcW w:w="3438" w:type="dxa"/>
            <w:tcBorders>
              <w:top w:val="single" w:sz="7" w:space="0" w:color="000000"/>
              <w:left w:val="single" w:sz="4" w:space="0" w:color="auto"/>
              <w:bottom w:val="single" w:sz="7" w:space="0" w:color="000000"/>
              <w:right w:val="single" w:sz="6" w:space="0" w:color="000000"/>
            </w:tcBorders>
            <w:shd w:val="clear" w:color="auto" w:fill="auto"/>
          </w:tcPr>
          <w:p w14:paraId="62F3B9C0" w14:textId="77777777" w:rsidR="00DF61BC" w:rsidRPr="00C94C33" w:rsidRDefault="00DF61BC" w:rsidP="000D23E3">
            <w:pPr>
              <w:pStyle w:val="Tabletext"/>
            </w:pPr>
            <w:r w:rsidRPr="00C94C33">
              <w:t>Any adverse event</w:t>
            </w:r>
            <w:r w:rsidRPr="00C94C33">
              <w:rPr>
                <w:spacing w:val="-2"/>
              </w:rPr>
              <w:t xml:space="preserve"> </w:t>
            </w:r>
            <w:r w:rsidRPr="00C94C33">
              <w:t>(AE)</w:t>
            </w:r>
          </w:p>
        </w:tc>
        <w:tc>
          <w:tcPr>
            <w:tcW w:w="1737" w:type="dxa"/>
            <w:tcBorders>
              <w:top w:val="single" w:sz="7" w:space="0" w:color="000000"/>
              <w:left w:val="single" w:sz="6" w:space="0" w:color="000000"/>
              <w:bottom w:val="single" w:sz="7" w:space="0" w:color="000000"/>
            </w:tcBorders>
            <w:shd w:val="clear" w:color="auto" w:fill="auto"/>
          </w:tcPr>
          <w:p w14:paraId="3B29D736" w14:textId="73F2747E" w:rsidR="00DF61BC" w:rsidRPr="00C94C33" w:rsidRDefault="00DF61BC" w:rsidP="000D23E3">
            <w:pPr>
              <w:pStyle w:val="Tabletext"/>
              <w:jc w:val="center"/>
            </w:pPr>
            <w:r w:rsidRPr="00C94C33">
              <w:t>322</w:t>
            </w:r>
            <w:r w:rsidRPr="00C94C33">
              <w:rPr>
                <w:spacing w:val="15"/>
              </w:rPr>
              <w:t xml:space="preserve"> </w:t>
            </w:r>
            <w:r w:rsidRPr="00C94C33">
              <w:t>(98.8)</w:t>
            </w:r>
          </w:p>
        </w:tc>
        <w:tc>
          <w:tcPr>
            <w:tcW w:w="1467" w:type="dxa"/>
            <w:tcBorders>
              <w:top w:val="single" w:sz="7" w:space="0" w:color="000000"/>
              <w:left w:val="nil"/>
              <w:bottom w:val="single" w:sz="7" w:space="0" w:color="000000"/>
              <w:right w:val="single" w:sz="6" w:space="0" w:color="000000"/>
            </w:tcBorders>
            <w:shd w:val="clear" w:color="auto" w:fill="auto"/>
          </w:tcPr>
          <w:p w14:paraId="4F321200" w14:textId="4449C076" w:rsidR="00DF61BC" w:rsidRPr="00C94C33" w:rsidRDefault="00DF61BC" w:rsidP="000D23E3">
            <w:pPr>
              <w:pStyle w:val="Tabletext"/>
              <w:jc w:val="center"/>
            </w:pPr>
            <w:r w:rsidRPr="00C94C33">
              <w:t>202</w:t>
            </w:r>
            <w:r w:rsidR="000D23E3">
              <w:t xml:space="preserve"> </w:t>
            </w:r>
            <w:r w:rsidRPr="00C94C33">
              <w:t>(97.6)</w:t>
            </w:r>
          </w:p>
        </w:tc>
        <w:tc>
          <w:tcPr>
            <w:tcW w:w="1467" w:type="dxa"/>
            <w:tcBorders>
              <w:top w:val="single" w:sz="7" w:space="0" w:color="000000"/>
              <w:left w:val="single" w:sz="6" w:space="0" w:color="000000"/>
              <w:bottom w:val="single" w:sz="7" w:space="0" w:color="000000"/>
            </w:tcBorders>
            <w:shd w:val="clear" w:color="auto" w:fill="auto"/>
          </w:tcPr>
          <w:p w14:paraId="4EE96C9B" w14:textId="5B48CE8E" w:rsidR="00DF61BC" w:rsidRPr="00C94C33" w:rsidRDefault="00DF61BC" w:rsidP="000D23E3">
            <w:pPr>
              <w:pStyle w:val="Tabletext"/>
              <w:jc w:val="center"/>
            </w:pPr>
            <w:r w:rsidRPr="00C94C33">
              <w:t>152</w:t>
            </w:r>
            <w:r w:rsidRPr="00C94C33">
              <w:rPr>
                <w:spacing w:val="15"/>
              </w:rPr>
              <w:t xml:space="preserve"> </w:t>
            </w:r>
            <w:r w:rsidRPr="00C94C33">
              <w:t>(92.7)</w:t>
            </w:r>
          </w:p>
        </w:tc>
        <w:tc>
          <w:tcPr>
            <w:tcW w:w="1467" w:type="dxa"/>
            <w:tcBorders>
              <w:top w:val="single" w:sz="7" w:space="0" w:color="000000"/>
              <w:left w:val="nil"/>
              <w:bottom w:val="single" w:sz="7" w:space="0" w:color="000000"/>
              <w:right w:val="single" w:sz="4" w:space="0" w:color="auto"/>
            </w:tcBorders>
            <w:shd w:val="clear" w:color="auto" w:fill="auto"/>
          </w:tcPr>
          <w:p w14:paraId="6BF851A5" w14:textId="236D2FA3" w:rsidR="00DF61BC" w:rsidRPr="00C94C33" w:rsidRDefault="00DF61BC" w:rsidP="000D23E3">
            <w:pPr>
              <w:pStyle w:val="Tabletext"/>
              <w:jc w:val="center"/>
            </w:pPr>
            <w:r w:rsidRPr="00C94C33">
              <w:t>95</w:t>
            </w:r>
            <w:r w:rsidRPr="00C94C33">
              <w:rPr>
                <w:spacing w:val="14"/>
              </w:rPr>
              <w:t xml:space="preserve"> </w:t>
            </w:r>
            <w:r w:rsidRPr="00C94C33">
              <w:t>(94.1)</w:t>
            </w:r>
          </w:p>
        </w:tc>
      </w:tr>
      <w:tr w:rsidR="00DF61BC" w:rsidRPr="00C94C33" w14:paraId="6D1082DF" w14:textId="77777777" w:rsidTr="000D23E3">
        <w:trPr>
          <w:trHeight w:hRule="exact" w:val="429"/>
        </w:trPr>
        <w:tc>
          <w:tcPr>
            <w:tcW w:w="3438" w:type="dxa"/>
            <w:tcBorders>
              <w:top w:val="single" w:sz="7" w:space="0" w:color="000000"/>
              <w:left w:val="single" w:sz="4" w:space="0" w:color="auto"/>
              <w:bottom w:val="single" w:sz="7" w:space="0" w:color="000000"/>
              <w:right w:val="single" w:sz="6" w:space="0" w:color="000000"/>
            </w:tcBorders>
            <w:shd w:val="clear" w:color="auto" w:fill="auto"/>
          </w:tcPr>
          <w:p w14:paraId="16D1CEAD" w14:textId="77777777" w:rsidR="00DF61BC" w:rsidRPr="00C94C33" w:rsidRDefault="00DF61BC" w:rsidP="000D23E3">
            <w:pPr>
              <w:pStyle w:val="Tabletext"/>
            </w:pPr>
            <w:r w:rsidRPr="00C94C33">
              <w:t>Any treatment-related AE</w:t>
            </w:r>
          </w:p>
        </w:tc>
        <w:tc>
          <w:tcPr>
            <w:tcW w:w="1737" w:type="dxa"/>
            <w:tcBorders>
              <w:top w:val="single" w:sz="7" w:space="0" w:color="000000"/>
              <w:left w:val="single" w:sz="6" w:space="0" w:color="000000"/>
              <w:bottom w:val="single" w:sz="7" w:space="0" w:color="000000"/>
            </w:tcBorders>
            <w:shd w:val="clear" w:color="auto" w:fill="auto"/>
          </w:tcPr>
          <w:p w14:paraId="09F28025" w14:textId="401A30CE" w:rsidR="00DF61BC" w:rsidRPr="00C94C33" w:rsidRDefault="00DF61BC" w:rsidP="000D23E3">
            <w:pPr>
              <w:pStyle w:val="Tabletext"/>
              <w:jc w:val="center"/>
            </w:pPr>
            <w:r w:rsidRPr="00C94C33">
              <w:t>280</w:t>
            </w:r>
            <w:r w:rsidRPr="00C94C33">
              <w:rPr>
                <w:spacing w:val="15"/>
              </w:rPr>
              <w:t xml:space="preserve"> </w:t>
            </w:r>
            <w:r w:rsidRPr="00C94C33">
              <w:t>(85.9)</w:t>
            </w:r>
          </w:p>
        </w:tc>
        <w:tc>
          <w:tcPr>
            <w:tcW w:w="1467" w:type="dxa"/>
            <w:tcBorders>
              <w:top w:val="single" w:sz="7" w:space="0" w:color="000000"/>
              <w:left w:val="nil"/>
              <w:bottom w:val="single" w:sz="7" w:space="0" w:color="000000"/>
              <w:right w:val="single" w:sz="6" w:space="0" w:color="000000"/>
            </w:tcBorders>
            <w:shd w:val="clear" w:color="auto" w:fill="auto"/>
          </w:tcPr>
          <w:p w14:paraId="372AAEE2" w14:textId="3A587A38" w:rsidR="00DF61BC" w:rsidRPr="00C94C33" w:rsidRDefault="00DF61BC" w:rsidP="000D23E3">
            <w:pPr>
              <w:pStyle w:val="Tabletext"/>
              <w:jc w:val="center"/>
            </w:pPr>
            <w:r w:rsidRPr="00C94C33">
              <w:t>177</w:t>
            </w:r>
            <w:r w:rsidRPr="00C94C33">
              <w:rPr>
                <w:spacing w:val="14"/>
              </w:rPr>
              <w:t xml:space="preserve"> </w:t>
            </w:r>
            <w:r w:rsidRPr="00C94C33">
              <w:t>(85.5)</w:t>
            </w:r>
          </w:p>
        </w:tc>
        <w:tc>
          <w:tcPr>
            <w:tcW w:w="1467" w:type="dxa"/>
            <w:tcBorders>
              <w:top w:val="single" w:sz="7" w:space="0" w:color="000000"/>
              <w:left w:val="single" w:sz="6" w:space="0" w:color="000000"/>
              <w:bottom w:val="single" w:sz="7" w:space="0" w:color="000000"/>
            </w:tcBorders>
            <w:shd w:val="clear" w:color="auto" w:fill="auto"/>
          </w:tcPr>
          <w:p w14:paraId="7B83EAB7" w14:textId="5892CC68" w:rsidR="00DF61BC" w:rsidRPr="00C94C33" w:rsidRDefault="00DF61BC" w:rsidP="000D23E3">
            <w:pPr>
              <w:pStyle w:val="Tabletext"/>
              <w:jc w:val="center"/>
            </w:pPr>
            <w:r w:rsidRPr="00C94C33">
              <w:t>87 (53.0)</w:t>
            </w:r>
          </w:p>
        </w:tc>
        <w:tc>
          <w:tcPr>
            <w:tcW w:w="1467" w:type="dxa"/>
            <w:tcBorders>
              <w:top w:val="single" w:sz="7" w:space="0" w:color="000000"/>
              <w:left w:val="nil"/>
              <w:bottom w:val="single" w:sz="7" w:space="0" w:color="000000"/>
              <w:right w:val="single" w:sz="4" w:space="0" w:color="auto"/>
            </w:tcBorders>
            <w:shd w:val="clear" w:color="auto" w:fill="auto"/>
          </w:tcPr>
          <w:p w14:paraId="0ED06DC9" w14:textId="3BC064AD" w:rsidR="00DF61BC" w:rsidRPr="00C94C33" w:rsidRDefault="00DF61BC" w:rsidP="000D23E3">
            <w:pPr>
              <w:pStyle w:val="Tabletext"/>
              <w:jc w:val="center"/>
            </w:pPr>
            <w:r w:rsidRPr="00C94C33">
              <w:t>58 (57.4)</w:t>
            </w:r>
          </w:p>
        </w:tc>
      </w:tr>
      <w:tr w:rsidR="00DF61BC" w:rsidRPr="00C94C33" w14:paraId="454B9694" w14:textId="77777777" w:rsidTr="000D23E3">
        <w:trPr>
          <w:trHeight w:hRule="exact" w:val="435"/>
        </w:trPr>
        <w:tc>
          <w:tcPr>
            <w:tcW w:w="3438" w:type="dxa"/>
            <w:tcBorders>
              <w:top w:val="single" w:sz="7" w:space="0" w:color="000000"/>
              <w:left w:val="single" w:sz="4" w:space="0" w:color="auto"/>
              <w:bottom w:val="single" w:sz="7" w:space="0" w:color="000000"/>
              <w:right w:val="single" w:sz="6" w:space="0" w:color="000000"/>
            </w:tcBorders>
            <w:shd w:val="clear" w:color="auto" w:fill="auto"/>
          </w:tcPr>
          <w:p w14:paraId="2D799076" w14:textId="08D704C7" w:rsidR="00DF61BC" w:rsidRPr="00C94C33" w:rsidRDefault="00DF61BC" w:rsidP="000D23E3">
            <w:pPr>
              <w:pStyle w:val="Tabletext"/>
            </w:pPr>
            <w:r w:rsidRPr="00C94C33">
              <w:t>Any</w:t>
            </w:r>
            <w:r w:rsidRPr="00C94C33">
              <w:rPr>
                <w:spacing w:val="-2"/>
              </w:rPr>
              <w:t xml:space="preserve"> </w:t>
            </w:r>
            <w:r w:rsidRPr="00C94C33">
              <w:t>≥</w:t>
            </w:r>
            <w:r w:rsidR="00C26C44">
              <w:t xml:space="preserve"> </w:t>
            </w:r>
            <w:r w:rsidRPr="00C94C33">
              <w:t>Grade</w:t>
            </w:r>
            <w:r w:rsidRPr="00C94C33">
              <w:rPr>
                <w:spacing w:val="-2"/>
              </w:rPr>
              <w:t xml:space="preserve"> </w:t>
            </w:r>
            <w:r w:rsidRPr="00C94C33">
              <w:t>3 AE</w:t>
            </w:r>
          </w:p>
        </w:tc>
        <w:tc>
          <w:tcPr>
            <w:tcW w:w="1737" w:type="dxa"/>
            <w:tcBorders>
              <w:top w:val="single" w:sz="7" w:space="0" w:color="000000"/>
              <w:left w:val="single" w:sz="6" w:space="0" w:color="000000"/>
              <w:bottom w:val="single" w:sz="7" w:space="0" w:color="000000"/>
            </w:tcBorders>
            <w:shd w:val="clear" w:color="auto" w:fill="auto"/>
          </w:tcPr>
          <w:p w14:paraId="2BA7C4A1" w14:textId="1A053C79" w:rsidR="00DF61BC" w:rsidRPr="00C94C33" w:rsidRDefault="00DF61BC" w:rsidP="000D23E3">
            <w:pPr>
              <w:pStyle w:val="Tabletext"/>
              <w:jc w:val="center"/>
            </w:pPr>
            <w:r w:rsidRPr="00C94C33">
              <w:t>213</w:t>
            </w:r>
            <w:r w:rsidRPr="00C94C33">
              <w:rPr>
                <w:spacing w:val="15"/>
              </w:rPr>
              <w:t xml:space="preserve"> </w:t>
            </w:r>
            <w:r w:rsidRPr="00C94C33">
              <w:t>(65.3)</w:t>
            </w:r>
          </w:p>
        </w:tc>
        <w:tc>
          <w:tcPr>
            <w:tcW w:w="1467" w:type="dxa"/>
            <w:tcBorders>
              <w:top w:val="single" w:sz="7" w:space="0" w:color="000000"/>
              <w:left w:val="nil"/>
              <w:bottom w:val="single" w:sz="7" w:space="0" w:color="000000"/>
              <w:right w:val="single" w:sz="6" w:space="0" w:color="000000"/>
            </w:tcBorders>
            <w:shd w:val="clear" w:color="auto" w:fill="auto"/>
          </w:tcPr>
          <w:p w14:paraId="5E2F0C15" w14:textId="45D35E22" w:rsidR="00DF61BC" w:rsidRPr="00C94C33" w:rsidRDefault="00DF61BC" w:rsidP="000D23E3">
            <w:pPr>
              <w:pStyle w:val="Tabletext"/>
              <w:jc w:val="center"/>
            </w:pPr>
            <w:r w:rsidRPr="00C94C33">
              <w:t>157</w:t>
            </w:r>
            <w:r w:rsidR="000D23E3">
              <w:t xml:space="preserve"> </w:t>
            </w:r>
            <w:r w:rsidRPr="00C94C33">
              <w:t>(75.8)</w:t>
            </w:r>
          </w:p>
        </w:tc>
        <w:tc>
          <w:tcPr>
            <w:tcW w:w="1467" w:type="dxa"/>
            <w:tcBorders>
              <w:top w:val="single" w:sz="7" w:space="0" w:color="000000"/>
              <w:left w:val="single" w:sz="6" w:space="0" w:color="000000"/>
              <w:bottom w:val="single" w:sz="7" w:space="0" w:color="000000"/>
            </w:tcBorders>
            <w:shd w:val="clear" w:color="auto" w:fill="auto"/>
          </w:tcPr>
          <w:p w14:paraId="4DEF794A" w14:textId="2B317C3B" w:rsidR="00DF61BC" w:rsidRPr="00C94C33" w:rsidRDefault="00DF61BC" w:rsidP="000D23E3">
            <w:pPr>
              <w:pStyle w:val="Tabletext"/>
              <w:jc w:val="center"/>
            </w:pPr>
            <w:r w:rsidRPr="00C94C33">
              <w:t>85 (51.8)</w:t>
            </w:r>
          </w:p>
        </w:tc>
        <w:tc>
          <w:tcPr>
            <w:tcW w:w="1467" w:type="dxa"/>
            <w:tcBorders>
              <w:top w:val="single" w:sz="7" w:space="0" w:color="000000"/>
              <w:left w:val="nil"/>
              <w:bottom w:val="single" w:sz="7" w:space="0" w:color="000000"/>
              <w:right w:val="single" w:sz="4" w:space="0" w:color="auto"/>
            </w:tcBorders>
            <w:shd w:val="clear" w:color="auto" w:fill="auto"/>
          </w:tcPr>
          <w:p w14:paraId="770CE8CA" w14:textId="4C1D85F9" w:rsidR="00DF61BC" w:rsidRPr="00C94C33" w:rsidRDefault="00DF61BC" w:rsidP="000D23E3">
            <w:pPr>
              <w:pStyle w:val="Tabletext"/>
              <w:jc w:val="center"/>
            </w:pPr>
            <w:r w:rsidRPr="00C94C33">
              <w:t>52</w:t>
            </w:r>
            <w:r w:rsidRPr="00C94C33">
              <w:rPr>
                <w:spacing w:val="14"/>
              </w:rPr>
              <w:t xml:space="preserve"> </w:t>
            </w:r>
            <w:r w:rsidRPr="00C94C33">
              <w:t>(51.5)</w:t>
            </w:r>
          </w:p>
        </w:tc>
      </w:tr>
      <w:tr w:rsidR="00DF61BC" w:rsidRPr="00C94C33" w14:paraId="6AEA717B" w14:textId="77777777" w:rsidTr="000D23E3">
        <w:trPr>
          <w:trHeight w:hRule="exact" w:val="412"/>
        </w:trPr>
        <w:tc>
          <w:tcPr>
            <w:tcW w:w="3438" w:type="dxa"/>
            <w:tcBorders>
              <w:top w:val="single" w:sz="7" w:space="0" w:color="000000"/>
              <w:left w:val="single" w:sz="4" w:space="0" w:color="auto"/>
              <w:bottom w:val="single" w:sz="7" w:space="0" w:color="000000"/>
              <w:right w:val="single" w:sz="6" w:space="0" w:color="000000"/>
            </w:tcBorders>
            <w:shd w:val="clear" w:color="auto" w:fill="auto"/>
          </w:tcPr>
          <w:p w14:paraId="7FDC75B7" w14:textId="09429D99" w:rsidR="00DF61BC" w:rsidRPr="00C94C33" w:rsidRDefault="00DF61BC" w:rsidP="000D23E3">
            <w:pPr>
              <w:pStyle w:val="Tabletext"/>
            </w:pPr>
            <w:r w:rsidRPr="00C94C33">
              <w:t>Any treatment-related ≥</w:t>
            </w:r>
            <w:r w:rsidR="00C26C44">
              <w:t xml:space="preserve"> </w:t>
            </w:r>
            <w:r w:rsidRPr="00C94C33">
              <w:t>Grade 3 AE</w:t>
            </w:r>
          </w:p>
        </w:tc>
        <w:tc>
          <w:tcPr>
            <w:tcW w:w="1737" w:type="dxa"/>
            <w:tcBorders>
              <w:top w:val="single" w:sz="7" w:space="0" w:color="000000"/>
              <w:left w:val="single" w:sz="6" w:space="0" w:color="000000"/>
              <w:bottom w:val="single" w:sz="7" w:space="0" w:color="000000"/>
            </w:tcBorders>
            <w:shd w:val="clear" w:color="auto" w:fill="auto"/>
          </w:tcPr>
          <w:p w14:paraId="479CF866" w14:textId="238F3D73" w:rsidR="00DF61BC" w:rsidRPr="00C94C33" w:rsidRDefault="00DF61BC" w:rsidP="000D23E3">
            <w:pPr>
              <w:pStyle w:val="Tabletext"/>
              <w:jc w:val="center"/>
            </w:pPr>
            <w:r w:rsidRPr="00C94C33">
              <w:t>151</w:t>
            </w:r>
            <w:r w:rsidRPr="00C94C33">
              <w:rPr>
                <w:spacing w:val="15"/>
              </w:rPr>
              <w:t xml:space="preserve"> </w:t>
            </w:r>
            <w:r w:rsidRPr="00C94C33">
              <w:t>(46.3)</w:t>
            </w:r>
          </w:p>
        </w:tc>
        <w:tc>
          <w:tcPr>
            <w:tcW w:w="1467" w:type="dxa"/>
            <w:tcBorders>
              <w:top w:val="single" w:sz="7" w:space="0" w:color="000000"/>
              <w:left w:val="nil"/>
              <w:bottom w:val="single" w:sz="7" w:space="0" w:color="000000"/>
              <w:right w:val="single" w:sz="6" w:space="0" w:color="000000"/>
            </w:tcBorders>
            <w:shd w:val="clear" w:color="auto" w:fill="auto"/>
          </w:tcPr>
          <w:p w14:paraId="6BF231E6" w14:textId="19F6FBCE" w:rsidR="00DF61BC" w:rsidRPr="00C94C33" w:rsidRDefault="00DF61BC" w:rsidP="000D23E3">
            <w:pPr>
              <w:pStyle w:val="Tabletext"/>
              <w:jc w:val="center"/>
            </w:pPr>
            <w:r w:rsidRPr="00C94C33">
              <w:t>110</w:t>
            </w:r>
            <w:r w:rsidR="000D23E3">
              <w:t xml:space="preserve"> </w:t>
            </w:r>
            <w:r w:rsidRPr="00C94C33">
              <w:t>(53.1)</w:t>
            </w:r>
          </w:p>
        </w:tc>
        <w:tc>
          <w:tcPr>
            <w:tcW w:w="1467" w:type="dxa"/>
            <w:tcBorders>
              <w:top w:val="single" w:sz="7" w:space="0" w:color="000000"/>
              <w:left w:val="single" w:sz="6" w:space="0" w:color="000000"/>
              <w:bottom w:val="single" w:sz="7" w:space="0" w:color="000000"/>
            </w:tcBorders>
            <w:shd w:val="clear" w:color="auto" w:fill="auto"/>
          </w:tcPr>
          <w:p w14:paraId="45714462" w14:textId="08232CE3" w:rsidR="00DF61BC" w:rsidRPr="00C94C33" w:rsidRDefault="00DF61BC" w:rsidP="000D23E3">
            <w:pPr>
              <w:pStyle w:val="Tabletext"/>
              <w:jc w:val="center"/>
            </w:pPr>
            <w:r w:rsidRPr="00C94C33">
              <w:t>17 (10.4)</w:t>
            </w:r>
          </w:p>
        </w:tc>
        <w:tc>
          <w:tcPr>
            <w:tcW w:w="1467" w:type="dxa"/>
            <w:tcBorders>
              <w:top w:val="single" w:sz="7" w:space="0" w:color="000000"/>
              <w:left w:val="nil"/>
              <w:bottom w:val="single" w:sz="7" w:space="0" w:color="000000"/>
              <w:right w:val="single" w:sz="4" w:space="0" w:color="auto"/>
            </w:tcBorders>
            <w:shd w:val="clear" w:color="auto" w:fill="auto"/>
          </w:tcPr>
          <w:p w14:paraId="255938F2" w14:textId="6BED0026" w:rsidR="00DF61BC" w:rsidRPr="00C94C33" w:rsidRDefault="000D23E3" w:rsidP="000D23E3">
            <w:pPr>
              <w:pStyle w:val="Tabletext"/>
              <w:jc w:val="center"/>
            </w:pPr>
            <w:r>
              <w:t>9</w:t>
            </w:r>
            <w:r w:rsidR="00DF61BC" w:rsidRPr="00C94C33">
              <w:rPr>
                <w:spacing w:val="46"/>
              </w:rPr>
              <w:t xml:space="preserve"> </w:t>
            </w:r>
            <w:r w:rsidR="00DF61BC" w:rsidRPr="00C94C33">
              <w:t>(8.9)</w:t>
            </w:r>
          </w:p>
        </w:tc>
      </w:tr>
      <w:tr w:rsidR="00DF61BC" w:rsidRPr="00C94C33" w14:paraId="34AF4688" w14:textId="77777777" w:rsidTr="000D23E3">
        <w:trPr>
          <w:trHeight w:hRule="exact" w:val="432"/>
        </w:trPr>
        <w:tc>
          <w:tcPr>
            <w:tcW w:w="3438" w:type="dxa"/>
            <w:tcBorders>
              <w:top w:val="single" w:sz="7" w:space="0" w:color="000000"/>
              <w:left w:val="single" w:sz="4" w:space="0" w:color="auto"/>
              <w:bottom w:val="single" w:sz="7" w:space="0" w:color="000000"/>
              <w:right w:val="single" w:sz="6" w:space="0" w:color="000000"/>
            </w:tcBorders>
            <w:shd w:val="clear" w:color="auto" w:fill="auto"/>
          </w:tcPr>
          <w:p w14:paraId="3F106628" w14:textId="77777777" w:rsidR="00DF61BC" w:rsidRPr="00C94C33" w:rsidRDefault="00DF61BC" w:rsidP="000D23E3">
            <w:pPr>
              <w:pStyle w:val="Tabletext"/>
            </w:pPr>
            <w:r w:rsidRPr="00C94C33">
              <w:t>Any serious AE (SAE)</w:t>
            </w:r>
          </w:p>
        </w:tc>
        <w:tc>
          <w:tcPr>
            <w:tcW w:w="1737" w:type="dxa"/>
            <w:tcBorders>
              <w:top w:val="single" w:sz="7" w:space="0" w:color="000000"/>
              <w:left w:val="single" w:sz="6" w:space="0" w:color="000000"/>
              <w:bottom w:val="single" w:sz="7" w:space="0" w:color="000000"/>
            </w:tcBorders>
            <w:shd w:val="clear" w:color="auto" w:fill="auto"/>
          </w:tcPr>
          <w:p w14:paraId="732BEAB7" w14:textId="0B5583C6" w:rsidR="00DF61BC" w:rsidRPr="00C94C33" w:rsidRDefault="00DF61BC" w:rsidP="000D23E3">
            <w:pPr>
              <w:pStyle w:val="Tabletext"/>
              <w:jc w:val="center"/>
            </w:pPr>
            <w:r w:rsidRPr="00C94C33">
              <w:t>89</w:t>
            </w:r>
            <w:r w:rsidRPr="00C94C33">
              <w:rPr>
                <w:spacing w:val="15"/>
              </w:rPr>
              <w:t xml:space="preserve"> </w:t>
            </w:r>
            <w:r w:rsidRPr="00C94C33">
              <w:t>(27.3)</w:t>
            </w:r>
          </w:p>
        </w:tc>
        <w:tc>
          <w:tcPr>
            <w:tcW w:w="1467" w:type="dxa"/>
            <w:tcBorders>
              <w:top w:val="single" w:sz="7" w:space="0" w:color="000000"/>
              <w:left w:val="nil"/>
              <w:bottom w:val="single" w:sz="7" w:space="0" w:color="000000"/>
              <w:right w:val="single" w:sz="6" w:space="0" w:color="000000"/>
            </w:tcBorders>
            <w:shd w:val="clear" w:color="auto" w:fill="auto"/>
          </w:tcPr>
          <w:p w14:paraId="76D854AE" w14:textId="2E67C8A8" w:rsidR="00DF61BC" w:rsidRPr="00C94C33" w:rsidRDefault="000D23E3" w:rsidP="000D23E3">
            <w:pPr>
              <w:pStyle w:val="Tabletext"/>
              <w:jc w:val="center"/>
            </w:pPr>
            <w:r>
              <w:t xml:space="preserve">69 </w:t>
            </w:r>
            <w:r w:rsidR="00DF61BC" w:rsidRPr="00C94C33">
              <w:t>(33.3)</w:t>
            </w:r>
          </w:p>
        </w:tc>
        <w:tc>
          <w:tcPr>
            <w:tcW w:w="1467" w:type="dxa"/>
            <w:tcBorders>
              <w:top w:val="single" w:sz="7" w:space="0" w:color="000000"/>
              <w:left w:val="single" w:sz="6" w:space="0" w:color="000000"/>
              <w:bottom w:val="single" w:sz="7" w:space="0" w:color="000000"/>
            </w:tcBorders>
            <w:shd w:val="clear" w:color="auto" w:fill="auto"/>
          </w:tcPr>
          <w:p w14:paraId="64358E1F" w14:textId="4EDF2DCB" w:rsidR="00DF61BC" w:rsidRPr="00C94C33" w:rsidRDefault="00DF61BC" w:rsidP="000D23E3">
            <w:pPr>
              <w:pStyle w:val="Tabletext"/>
              <w:jc w:val="center"/>
            </w:pPr>
            <w:r w:rsidRPr="00C94C33">
              <w:t>60</w:t>
            </w:r>
            <w:r w:rsidRPr="00C94C33">
              <w:rPr>
                <w:spacing w:val="15"/>
              </w:rPr>
              <w:t xml:space="preserve"> </w:t>
            </w:r>
            <w:r w:rsidRPr="00C94C33">
              <w:t>(36.6)</w:t>
            </w:r>
          </w:p>
        </w:tc>
        <w:tc>
          <w:tcPr>
            <w:tcW w:w="1467" w:type="dxa"/>
            <w:tcBorders>
              <w:top w:val="single" w:sz="7" w:space="0" w:color="000000"/>
              <w:left w:val="nil"/>
              <w:bottom w:val="single" w:sz="7" w:space="0" w:color="000000"/>
              <w:right w:val="single" w:sz="4" w:space="0" w:color="auto"/>
            </w:tcBorders>
            <w:shd w:val="clear" w:color="auto" w:fill="auto"/>
          </w:tcPr>
          <w:p w14:paraId="759A1F4A" w14:textId="1D6E1493" w:rsidR="00DF61BC" w:rsidRPr="00C94C33" w:rsidRDefault="000D23E3" w:rsidP="000D23E3">
            <w:pPr>
              <w:pStyle w:val="Tabletext"/>
              <w:jc w:val="center"/>
            </w:pPr>
            <w:r>
              <w:t xml:space="preserve">29 </w:t>
            </w:r>
            <w:r w:rsidR="00DF61BC" w:rsidRPr="00C94C33">
              <w:t>(28.7)</w:t>
            </w:r>
          </w:p>
        </w:tc>
      </w:tr>
      <w:tr w:rsidR="00DF61BC" w:rsidRPr="00C94C33" w14:paraId="343751E5" w14:textId="77777777" w:rsidTr="000D23E3">
        <w:trPr>
          <w:trHeight w:hRule="exact" w:val="425"/>
        </w:trPr>
        <w:tc>
          <w:tcPr>
            <w:tcW w:w="3438" w:type="dxa"/>
            <w:tcBorders>
              <w:top w:val="single" w:sz="7" w:space="0" w:color="000000"/>
              <w:left w:val="single" w:sz="4" w:space="0" w:color="auto"/>
              <w:bottom w:val="single" w:sz="6" w:space="0" w:color="000000"/>
              <w:right w:val="single" w:sz="6" w:space="0" w:color="000000"/>
            </w:tcBorders>
            <w:shd w:val="clear" w:color="auto" w:fill="auto"/>
          </w:tcPr>
          <w:p w14:paraId="43319191" w14:textId="77777777" w:rsidR="00DF61BC" w:rsidRPr="00C94C33" w:rsidRDefault="00DF61BC" w:rsidP="000D23E3">
            <w:pPr>
              <w:pStyle w:val="Tabletext"/>
            </w:pPr>
            <w:r w:rsidRPr="00C94C33">
              <w:t>Any treatment-related SAE</w:t>
            </w:r>
          </w:p>
        </w:tc>
        <w:tc>
          <w:tcPr>
            <w:tcW w:w="1737" w:type="dxa"/>
            <w:tcBorders>
              <w:top w:val="single" w:sz="7" w:space="0" w:color="000000"/>
              <w:left w:val="single" w:sz="6" w:space="0" w:color="000000"/>
              <w:bottom w:val="single" w:sz="6" w:space="0" w:color="000000"/>
            </w:tcBorders>
            <w:shd w:val="clear" w:color="auto" w:fill="auto"/>
          </w:tcPr>
          <w:p w14:paraId="5FAA506D" w14:textId="1061A3B4" w:rsidR="00DF61BC" w:rsidRPr="00C94C33" w:rsidRDefault="000D23E3" w:rsidP="000D23E3">
            <w:pPr>
              <w:pStyle w:val="Tabletext"/>
              <w:jc w:val="center"/>
            </w:pPr>
            <w:r>
              <w:t>28</w:t>
            </w:r>
            <w:r w:rsidR="00DF61BC" w:rsidRPr="00C94C33">
              <w:rPr>
                <w:spacing w:val="48"/>
              </w:rPr>
              <w:t xml:space="preserve"> </w:t>
            </w:r>
            <w:r w:rsidR="00DF61BC" w:rsidRPr="00C94C33">
              <w:t>(8.6)</w:t>
            </w:r>
          </w:p>
        </w:tc>
        <w:tc>
          <w:tcPr>
            <w:tcW w:w="1467" w:type="dxa"/>
            <w:tcBorders>
              <w:top w:val="single" w:sz="7" w:space="0" w:color="000000"/>
              <w:left w:val="nil"/>
              <w:bottom w:val="single" w:sz="6" w:space="0" w:color="000000"/>
              <w:right w:val="single" w:sz="6" w:space="0" w:color="000000"/>
            </w:tcBorders>
            <w:shd w:val="clear" w:color="auto" w:fill="auto"/>
          </w:tcPr>
          <w:p w14:paraId="23DC3CE4" w14:textId="648CE11B" w:rsidR="00DF61BC" w:rsidRPr="00C94C33" w:rsidRDefault="00DF61BC" w:rsidP="000D23E3">
            <w:pPr>
              <w:pStyle w:val="Tabletext"/>
              <w:jc w:val="center"/>
            </w:pPr>
            <w:r w:rsidRPr="00C94C33">
              <w:t>22 (10.6)</w:t>
            </w:r>
          </w:p>
        </w:tc>
        <w:tc>
          <w:tcPr>
            <w:tcW w:w="1467" w:type="dxa"/>
            <w:tcBorders>
              <w:top w:val="single" w:sz="7" w:space="0" w:color="000000"/>
              <w:left w:val="single" w:sz="6" w:space="0" w:color="000000"/>
              <w:bottom w:val="single" w:sz="6" w:space="0" w:color="000000"/>
            </w:tcBorders>
            <w:shd w:val="clear" w:color="auto" w:fill="auto"/>
          </w:tcPr>
          <w:p w14:paraId="5318C1C1" w14:textId="4DE52CD4" w:rsidR="00DF61BC" w:rsidRPr="00C94C33" w:rsidRDefault="000D23E3" w:rsidP="000D23E3">
            <w:pPr>
              <w:pStyle w:val="Tabletext"/>
              <w:jc w:val="center"/>
            </w:pPr>
            <w:r>
              <w:t xml:space="preserve">1 </w:t>
            </w:r>
            <w:r w:rsidR="00DF61BC" w:rsidRPr="00C94C33">
              <w:t>(0.6)</w:t>
            </w:r>
          </w:p>
        </w:tc>
        <w:tc>
          <w:tcPr>
            <w:tcW w:w="1467" w:type="dxa"/>
            <w:tcBorders>
              <w:top w:val="single" w:sz="7" w:space="0" w:color="000000"/>
              <w:left w:val="nil"/>
              <w:bottom w:val="single" w:sz="6" w:space="0" w:color="000000"/>
              <w:right w:val="single" w:sz="4" w:space="0" w:color="auto"/>
            </w:tcBorders>
            <w:shd w:val="clear" w:color="auto" w:fill="auto"/>
          </w:tcPr>
          <w:p w14:paraId="77CDFB87" w14:textId="77777777" w:rsidR="00DF61BC" w:rsidRPr="00C94C33" w:rsidRDefault="00DF61BC" w:rsidP="000D23E3">
            <w:pPr>
              <w:pStyle w:val="Tabletext"/>
              <w:jc w:val="center"/>
            </w:pPr>
            <w:r w:rsidRPr="00C94C33">
              <w:t>0</w:t>
            </w:r>
          </w:p>
        </w:tc>
      </w:tr>
    </w:tbl>
    <w:p w14:paraId="494D8EBD" w14:textId="454751B4" w:rsidR="00DF61BC" w:rsidRPr="00C94C33" w:rsidRDefault="00DF61BC" w:rsidP="00DF61BC">
      <w:pPr>
        <w:autoSpaceDE w:val="0"/>
        <w:autoSpaceDN w:val="0"/>
        <w:adjustRightInd w:val="0"/>
        <w:rPr>
          <w:rFonts w:asciiTheme="minorHAnsi" w:hAnsiTheme="minorHAnsi"/>
          <w:color w:val="000000"/>
        </w:rPr>
      </w:pPr>
      <w:r w:rsidRPr="00C94C33">
        <w:rPr>
          <w:rFonts w:asciiTheme="minorHAnsi" w:hAnsiTheme="minorHAnsi"/>
          <w:color w:val="000000"/>
        </w:rPr>
        <w:t>In the TAS-102 group, females had a higher incidence (difference of at least 5%) compared to male patients for AEs of anaemia (44.9%</w:t>
      </w:r>
      <w:r w:rsidR="00C11183">
        <w:rPr>
          <w:rFonts w:asciiTheme="minorHAnsi" w:hAnsiTheme="minorHAnsi"/>
          <w:color w:val="000000"/>
        </w:rPr>
        <w:t xml:space="preserve"> versus </w:t>
      </w:r>
      <w:r w:rsidRPr="00C94C33">
        <w:rPr>
          <w:rFonts w:asciiTheme="minorHAnsi" w:hAnsiTheme="minorHAnsi"/>
          <w:color w:val="000000"/>
        </w:rPr>
        <w:t>37.1%), abdominal pain (18.4%</w:t>
      </w:r>
      <w:r w:rsidR="00C11183">
        <w:rPr>
          <w:rFonts w:asciiTheme="minorHAnsi" w:hAnsiTheme="minorHAnsi"/>
          <w:color w:val="000000"/>
        </w:rPr>
        <w:t xml:space="preserve"> versus </w:t>
      </w:r>
      <w:r w:rsidRPr="00C94C33">
        <w:rPr>
          <w:rFonts w:asciiTheme="minorHAnsi" w:hAnsiTheme="minorHAnsi"/>
          <w:color w:val="000000"/>
        </w:rPr>
        <w:t>12.6%), abdominal pain upper (12.1%</w:t>
      </w:r>
      <w:r w:rsidR="00C11183">
        <w:rPr>
          <w:rFonts w:asciiTheme="minorHAnsi" w:hAnsiTheme="minorHAnsi"/>
          <w:color w:val="000000"/>
        </w:rPr>
        <w:t xml:space="preserve"> versus </w:t>
      </w:r>
      <w:r w:rsidRPr="00C94C33">
        <w:rPr>
          <w:rFonts w:asciiTheme="minorHAnsi" w:hAnsiTheme="minorHAnsi"/>
          <w:color w:val="000000"/>
        </w:rPr>
        <w:t>4.0%), diarrhoea (37.2%</w:t>
      </w:r>
      <w:r w:rsidR="00C11183">
        <w:rPr>
          <w:rFonts w:asciiTheme="minorHAnsi" w:hAnsiTheme="minorHAnsi"/>
          <w:color w:val="000000"/>
        </w:rPr>
        <w:t xml:space="preserve"> versus </w:t>
      </w:r>
      <w:r w:rsidRPr="00C94C33">
        <w:rPr>
          <w:rFonts w:asciiTheme="minorHAnsi" w:hAnsiTheme="minorHAnsi"/>
          <w:color w:val="000000"/>
        </w:rPr>
        <w:t>28.5%), nausea (55.1%</w:t>
      </w:r>
      <w:r w:rsidR="00C11183">
        <w:rPr>
          <w:rFonts w:asciiTheme="minorHAnsi" w:hAnsiTheme="minorHAnsi"/>
          <w:color w:val="000000"/>
        </w:rPr>
        <w:t xml:space="preserve"> versus </w:t>
      </w:r>
      <w:r w:rsidRPr="00C94C33">
        <w:rPr>
          <w:rFonts w:asciiTheme="minorHAnsi" w:hAnsiTheme="minorHAnsi"/>
          <w:color w:val="000000"/>
        </w:rPr>
        <w:t>44.2%), vomiting (42.0%</w:t>
      </w:r>
      <w:r w:rsidR="00C11183">
        <w:rPr>
          <w:rFonts w:asciiTheme="minorHAnsi" w:hAnsiTheme="minorHAnsi"/>
          <w:color w:val="000000"/>
        </w:rPr>
        <w:t xml:space="preserve"> versus </w:t>
      </w:r>
      <w:r w:rsidRPr="00C94C33">
        <w:rPr>
          <w:rFonts w:asciiTheme="minorHAnsi" w:hAnsiTheme="minorHAnsi"/>
          <w:color w:val="000000"/>
        </w:rPr>
        <w:t>18.7%), back pain (11.6%</w:t>
      </w:r>
      <w:r w:rsidR="00C11183">
        <w:rPr>
          <w:rFonts w:asciiTheme="minorHAnsi" w:hAnsiTheme="minorHAnsi"/>
          <w:color w:val="000000"/>
        </w:rPr>
        <w:t xml:space="preserve"> versus </w:t>
      </w:r>
      <w:r w:rsidRPr="00C94C33">
        <w:rPr>
          <w:rFonts w:asciiTheme="minorHAnsi" w:hAnsiTheme="minorHAnsi"/>
          <w:color w:val="000000"/>
        </w:rPr>
        <w:t>5.5%), and cough (14.0%</w:t>
      </w:r>
      <w:r w:rsidR="00C11183">
        <w:rPr>
          <w:rFonts w:asciiTheme="minorHAnsi" w:hAnsiTheme="minorHAnsi"/>
          <w:color w:val="000000"/>
        </w:rPr>
        <w:t xml:space="preserve"> versus </w:t>
      </w:r>
      <w:r w:rsidRPr="00C94C33">
        <w:rPr>
          <w:rFonts w:asciiTheme="minorHAnsi" w:hAnsiTheme="minorHAnsi"/>
          <w:color w:val="000000"/>
        </w:rPr>
        <w:t>8.6%).  The corresponding incidence of these AEs in the placebo group (females</w:t>
      </w:r>
      <w:r w:rsidR="00C11183">
        <w:rPr>
          <w:rFonts w:asciiTheme="minorHAnsi" w:hAnsiTheme="minorHAnsi"/>
          <w:color w:val="000000"/>
        </w:rPr>
        <w:t xml:space="preserve"> versus </w:t>
      </w:r>
      <w:r w:rsidRPr="00C94C33">
        <w:rPr>
          <w:rFonts w:asciiTheme="minorHAnsi" w:hAnsiTheme="minorHAnsi"/>
          <w:color w:val="000000"/>
        </w:rPr>
        <w:t>males) were anaemia (11.9%</w:t>
      </w:r>
      <w:r w:rsidR="00C11183">
        <w:rPr>
          <w:rFonts w:asciiTheme="minorHAnsi" w:hAnsiTheme="minorHAnsi"/>
          <w:color w:val="000000"/>
        </w:rPr>
        <w:t xml:space="preserve"> versus </w:t>
      </w:r>
      <w:r w:rsidRPr="00C94C33">
        <w:rPr>
          <w:rFonts w:asciiTheme="minorHAnsi" w:hAnsiTheme="minorHAnsi"/>
          <w:color w:val="000000"/>
        </w:rPr>
        <w:t>6.1%), abdominal pain (13.9%</w:t>
      </w:r>
      <w:r w:rsidR="00C11183">
        <w:rPr>
          <w:rFonts w:asciiTheme="minorHAnsi" w:hAnsiTheme="minorHAnsi"/>
          <w:color w:val="000000"/>
        </w:rPr>
        <w:t xml:space="preserve"> versus </w:t>
      </w:r>
      <w:r w:rsidRPr="00C94C33">
        <w:rPr>
          <w:rFonts w:asciiTheme="minorHAnsi" w:hAnsiTheme="minorHAnsi"/>
          <w:color w:val="000000"/>
        </w:rPr>
        <w:t>13.4%), abdominal pain upper (5.0%</w:t>
      </w:r>
      <w:r w:rsidR="00C11183">
        <w:rPr>
          <w:rFonts w:asciiTheme="minorHAnsi" w:hAnsiTheme="minorHAnsi"/>
          <w:color w:val="000000"/>
        </w:rPr>
        <w:t xml:space="preserve"> versus </w:t>
      </w:r>
      <w:r w:rsidRPr="00C94C33">
        <w:rPr>
          <w:rFonts w:asciiTheme="minorHAnsi" w:hAnsiTheme="minorHAnsi"/>
          <w:color w:val="000000"/>
        </w:rPr>
        <w:t>4.3%), diarrhoea (13.9%</w:t>
      </w:r>
      <w:r w:rsidR="00C11183">
        <w:rPr>
          <w:rFonts w:asciiTheme="minorHAnsi" w:hAnsiTheme="minorHAnsi"/>
          <w:color w:val="000000"/>
        </w:rPr>
        <w:t xml:space="preserve"> versus </w:t>
      </w:r>
      <w:r w:rsidRPr="00C94C33">
        <w:rPr>
          <w:rFonts w:asciiTheme="minorHAnsi" w:hAnsiTheme="minorHAnsi"/>
          <w:color w:val="000000"/>
        </w:rPr>
        <w:t>11.6%), nausea (31.7%</w:t>
      </w:r>
      <w:r w:rsidR="00C11183">
        <w:rPr>
          <w:rFonts w:asciiTheme="minorHAnsi" w:hAnsiTheme="minorHAnsi"/>
          <w:color w:val="000000"/>
        </w:rPr>
        <w:t xml:space="preserve"> versus </w:t>
      </w:r>
      <w:r w:rsidRPr="00C94C33">
        <w:rPr>
          <w:rFonts w:asciiTheme="minorHAnsi" w:hAnsiTheme="minorHAnsi"/>
          <w:color w:val="000000"/>
        </w:rPr>
        <w:t>18.9%), vomiting (19.8%</w:t>
      </w:r>
      <w:r w:rsidR="00C11183">
        <w:rPr>
          <w:rFonts w:asciiTheme="minorHAnsi" w:hAnsiTheme="minorHAnsi"/>
          <w:color w:val="000000"/>
        </w:rPr>
        <w:t xml:space="preserve"> versus </w:t>
      </w:r>
      <w:r w:rsidRPr="00C94C33">
        <w:rPr>
          <w:rFonts w:asciiTheme="minorHAnsi" w:hAnsiTheme="minorHAnsi"/>
          <w:color w:val="000000"/>
        </w:rPr>
        <w:t>11.0%), back pain (9.9%</w:t>
      </w:r>
      <w:r w:rsidR="00C11183">
        <w:rPr>
          <w:rFonts w:asciiTheme="minorHAnsi" w:hAnsiTheme="minorHAnsi"/>
          <w:color w:val="000000"/>
        </w:rPr>
        <w:t xml:space="preserve"> versus </w:t>
      </w:r>
      <w:r w:rsidRPr="00C94C33">
        <w:rPr>
          <w:rFonts w:asciiTheme="minorHAnsi" w:hAnsiTheme="minorHAnsi"/>
          <w:color w:val="000000"/>
        </w:rPr>
        <w:t>4.9%), and cough (13.9%</w:t>
      </w:r>
      <w:r w:rsidR="00C11183">
        <w:rPr>
          <w:rFonts w:asciiTheme="minorHAnsi" w:hAnsiTheme="minorHAnsi"/>
          <w:color w:val="000000"/>
        </w:rPr>
        <w:t xml:space="preserve"> versus </w:t>
      </w:r>
      <w:r w:rsidRPr="00C94C33">
        <w:rPr>
          <w:rFonts w:asciiTheme="minorHAnsi" w:hAnsiTheme="minorHAnsi"/>
          <w:color w:val="000000"/>
        </w:rPr>
        <w:t>9.8%).</w:t>
      </w:r>
    </w:p>
    <w:p w14:paraId="3F69CC9D" w14:textId="213B3B80" w:rsidR="00DF61BC" w:rsidRPr="00C94C33" w:rsidRDefault="00DF61BC" w:rsidP="00DF61BC">
      <w:pPr>
        <w:autoSpaceDE w:val="0"/>
        <w:autoSpaceDN w:val="0"/>
        <w:adjustRightInd w:val="0"/>
        <w:rPr>
          <w:rFonts w:asciiTheme="minorHAnsi" w:hAnsiTheme="minorHAnsi"/>
          <w:color w:val="000000"/>
        </w:rPr>
      </w:pPr>
      <w:r w:rsidRPr="00C94C33">
        <w:rPr>
          <w:rFonts w:asciiTheme="minorHAnsi" w:hAnsiTheme="minorHAnsi"/>
          <w:color w:val="000000"/>
        </w:rPr>
        <w:t>Based on clinical laboratory assessments, female patients who received TAS-102 had a higher incidence (difference of at least 5%) of Grade 3 or 4 leuko</w:t>
      </w:r>
      <w:r w:rsidR="00B50F67">
        <w:rPr>
          <w:rFonts w:asciiTheme="minorHAnsi" w:hAnsiTheme="minorHAnsi"/>
          <w:color w:val="000000"/>
        </w:rPr>
        <w:t>paenia</w:t>
      </w:r>
      <w:r w:rsidRPr="00C94C33">
        <w:rPr>
          <w:rFonts w:asciiTheme="minorHAnsi" w:hAnsiTheme="minorHAnsi"/>
          <w:color w:val="000000"/>
        </w:rPr>
        <w:t xml:space="preserve"> (24.6%</w:t>
      </w:r>
      <w:r w:rsidR="00C11183">
        <w:rPr>
          <w:rFonts w:asciiTheme="minorHAnsi" w:hAnsiTheme="minorHAnsi"/>
          <w:color w:val="000000"/>
        </w:rPr>
        <w:t xml:space="preserve"> versus </w:t>
      </w:r>
      <w:r w:rsidRPr="00C94C33">
        <w:rPr>
          <w:rFonts w:asciiTheme="minorHAnsi" w:hAnsiTheme="minorHAnsi"/>
          <w:color w:val="000000"/>
        </w:rPr>
        <w:t>19.4%), Grade 3 or 4 neutro</w:t>
      </w:r>
      <w:r w:rsidR="00B50F67">
        <w:rPr>
          <w:rFonts w:asciiTheme="minorHAnsi" w:hAnsiTheme="minorHAnsi"/>
          <w:color w:val="000000"/>
        </w:rPr>
        <w:t>paenia</w:t>
      </w:r>
      <w:r w:rsidRPr="00C94C33">
        <w:rPr>
          <w:rFonts w:asciiTheme="minorHAnsi" w:hAnsiTheme="minorHAnsi"/>
          <w:color w:val="000000"/>
        </w:rPr>
        <w:t xml:space="preserve"> (42.9%</w:t>
      </w:r>
      <w:r w:rsidR="00C11183">
        <w:rPr>
          <w:rFonts w:asciiTheme="minorHAnsi" w:hAnsiTheme="minorHAnsi"/>
          <w:color w:val="000000"/>
        </w:rPr>
        <w:t xml:space="preserve"> versus </w:t>
      </w:r>
      <w:r w:rsidRPr="00C94C33">
        <w:rPr>
          <w:rFonts w:asciiTheme="minorHAnsi" w:hAnsiTheme="minorHAnsi"/>
          <w:color w:val="000000"/>
        </w:rPr>
        <w:t>34.8%), Grade 3 or 4 lymphocyto</w:t>
      </w:r>
      <w:r w:rsidR="00B50F67">
        <w:rPr>
          <w:rFonts w:asciiTheme="minorHAnsi" w:hAnsiTheme="minorHAnsi"/>
          <w:color w:val="000000"/>
        </w:rPr>
        <w:t>paenia</w:t>
      </w:r>
      <w:r w:rsidRPr="00C94C33">
        <w:rPr>
          <w:rFonts w:asciiTheme="minorHAnsi" w:hAnsiTheme="minorHAnsi"/>
          <w:color w:val="000000"/>
        </w:rPr>
        <w:t xml:space="preserve"> (24.9%</w:t>
      </w:r>
      <w:r w:rsidR="00C11183">
        <w:rPr>
          <w:rFonts w:asciiTheme="minorHAnsi" w:hAnsiTheme="minorHAnsi"/>
          <w:color w:val="000000"/>
        </w:rPr>
        <w:t xml:space="preserve"> versus </w:t>
      </w:r>
      <w:r w:rsidRPr="00C94C33">
        <w:rPr>
          <w:rFonts w:asciiTheme="minorHAnsi" w:hAnsiTheme="minorHAnsi"/>
          <w:color w:val="000000"/>
        </w:rPr>
        <w:t>19.3%) and Grade 3 anaemia (23.2%</w:t>
      </w:r>
      <w:r w:rsidR="00C11183">
        <w:rPr>
          <w:rFonts w:asciiTheme="minorHAnsi" w:hAnsiTheme="minorHAnsi"/>
          <w:color w:val="000000"/>
        </w:rPr>
        <w:t xml:space="preserve"> versus </w:t>
      </w:r>
      <w:r w:rsidRPr="00C94C33">
        <w:rPr>
          <w:rFonts w:asciiTheme="minorHAnsi" w:hAnsiTheme="minorHAnsi"/>
          <w:color w:val="000000"/>
        </w:rPr>
        <w:t>15.1%) than male patients, with a similar incidence of Grade 3 or 4 thrombocyto</w:t>
      </w:r>
      <w:r w:rsidR="00B50F67">
        <w:rPr>
          <w:rFonts w:asciiTheme="minorHAnsi" w:hAnsiTheme="minorHAnsi"/>
          <w:color w:val="000000"/>
        </w:rPr>
        <w:t>paenia</w:t>
      </w:r>
      <w:r w:rsidRPr="00C94C33">
        <w:rPr>
          <w:rFonts w:asciiTheme="minorHAnsi" w:hAnsiTheme="minorHAnsi"/>
          <w:color w:val="000000"/>
        </w:rPr>
        <w:t xml:space="preserve"> (4.4%</w:t>
      </w:r>
      <w:r w:rsidR="00C11183">
        <w:rPr>
          <w:rFonts w:asciiTheme="minorHAnsi" w:hAnsiTheme="minorHAnsi"/>
          <w:color w:val="000000"/>
        </w:rPr>
        <w:t xml:space="preserve"> versus </w:t>
      </w:r>
      <w:r w:rsidRPr="00C94C33">
        <w:rPr>
          <w:rFonts w:asciiTheme="minorHAnsi" w:hAnsiTheme="minorHAnsi"/>
          <w:color w:val="000000"/>
        </w:rPr>
        <w:t>5.5%). The corresponding incidence of these abnormalities in the placebo group (females</w:t>
      </w:r>
      <w:r w:rsidR="00C11183">
        <w:rPr>
          <w:rFonts w:asciiTheme="minorHAnsi" w:hAnsiTheme="minorHAnsi"/>
          <w:color w:val="000000"/>
        </w:rPr>
        <w:t xml:space="preserve"> versus </w:t>
      </w:r>
      <w:r w:rsidRPr="00C94C33">
        <w:rPr>
          <w:rFonts w:asciiTheme="minorHAnsi" w:hAnsiTheme="minorHAnsi"/>
          <w:color w:val="000000"/>
        </w:rPr>
        <w:t>males) were Grade 3 or 4 leuko</w:t>
      </w:r>
      <w:r w:rsidR="00B50F67">
        <w:rPr>
          <w:rFonts w:asciiTheme="minorHAnsi" w:hAnsiTheme="minorHAnsi"/>
          <w:color w:val="000000"/>
        </w:rPr>
        <w:t>paenia</w:t>
      </w:r>
      <w:r w:rsidRPr="00C94C33">
        <w:rPr>
          <w:rFonts w:asciiTheme="minorHAnsi" w:hAnsiTheme="minorHAnsi"/>
          <w:color w:val="000000"/>
        </w:rPr>
        <w:t xml:space="preserve"> (0%</w:t>
      </w:r>
      <w:r w:rsidR="00C11183">
        <w:rPr>
          <w:rFonts w:asciiTheme="minorHAnsi" w:hAnsiTheme="minorHAnsi"/>
          <w:color w:val="000000"/>
        </w:rPr>
        <w:t xml:space="preserve"> versus </w:t>
      </w:r>
      <w:r w:rsidRPr="00C94C33">
        <w:rPr>
          <w:rFonts w:asciiTheme="minorHAnsi" w:hAnsiTheme="minorHAnsi"/>
          <w:color w:val="000000"/>
        </w:rPr>
        <w:t>0%), Grade 3 or 4 neutro</w:t>
      </w:r>
      <w:r w:rsidR="00B50F67">
        <w:rPr>
          <w:rFonts w:asciiTheme="minorHAnsi" w:hAnsiTheme="minorHAnsi"/>
          <w:color w:val="000000"/>
        </w:rPr>
        <w:t>paenia</w:t>
      </w:r>
      <w:r w:rsidRPr="00C94C33">
        <w:rPr>
          <w:rFonts w:asciiTheme="minorHAnsi" w:hAnsiTheme="minorHAnsi"/>
          <w:color w:val="000000"/>
        </w:rPr>
        <w:t xml:space="preserve"> (0%</w:t>
      </w:r>
      <w:r w:rsidR="00C11183">
        <w:rPr>
          <w:rFonts w:asciiTheme="minorHAnsi" w:hAnsiTheme="minorHAnsi"/>
          <w:color w:val="000000"/>
        </w:rPr>
        <w:t xml:space="preserve"> versus </w:t>
      </w:r>
      <w:r w:rsidRPr="00C94C33">
        <w:rPr>
          <w:rFonts w:asciiTheme="minorHAnsi" w:hAnsiTheme="minorHAnsi"/>
          <w:color w:val="000000"/>
        </w:rPr>
        <w:t>0%), Grade 3 or 4 lymphocyto</w:t>
      </w:r>
      <w:r w:rsidR="00B50F67">
        <w:rPr>
          <w:rFonts w:asciiTheme="minorHAnsi" w:hAnsiTheme="minorHAnsi"/>
          <w:color w:val="000000"/>
        </w:rPr>
        <w:t>paenia</w:t>
      </w:r>
      <w:r w:rsidRPr="00C94C33">
        <w:rPr>
          <w:rFonts w:asciiTheme="minorHAnsi" w:hAnsiTheme="minorHAnsi"/>
          <w:color w:val="000000"/>
        </w:rPr>
        <w:t xml:space="preserve"> (4.0%</w:t>
      </w:r>
      <w:r w:rsidR="00C11183">
        <w:rPr>
          <w:rFonts w:asciiTheme="minorHAnsi" w:hAnsiTheme="minorHAnsi"/>
          <w:color w:val="000000"/>
        </w:rPr>
        <w:t xml:space="preserve"> versus </w:t>
      </w:r>
      <w:r w:rsidRPr="00C94C33">
        <w:rPr>
          <w:rFonts w:asciiTheme="minorHAnsi" w:hAnsiTheme="minorHAnsi"/>
          <w:color w:val="000000"/>
        </w:rPr>
        <w:t>13.5%), Grade 3 anaemia (4.0%</w:t>
      </w:r>
      <w:r w:rsidR="00C11183">
        <w:rPr>
          <w:rFonts w:asciiTheme="minorHAnsi" w:hAnsiTheme="minorHAnsi"/>
          <w:color w:val="000000"/>
        </w:rPr>
        <w:t xml:space="preserve"> versus </w:t>
      </w:r>
      <w:r w:rsidRPr="00C94C33">
        <w:rPr>
          <w:rFonts w:asciiTheme="minorHAnsi" w:hAnsiTheme="minorHAnsi"/>
          <w:color w:val="000000"/>
        </w:rPr>
        <w:t>2.4%) and Grade 3 or 4 thrombocyto</w:t>
      </w:r>
      <w:r w:rsidR="00B50F67">
        <w:rPr>
          <w:rFonts w:asciiTheme="minorHAnsi" w:hAnsiTheme="minorHAnsi"/>
          <w:color w:val="000000"/>
        </w:rPr>
        <w:t>paenia</w:t>
      </w:r>
      <w:r w:rsidRPr="00C94C33">
        <w:rPr>
          <w:rFonts w:asciiTheme="minorHAnsi" w:hAnsiTheme="minorHAnsi"/>
          <w:color w:val="000000"/>
        </w:rPr>
        <w:t xml:space="preserve"> (1.0%</w:t>
      </w:r>
      <w:r w:rsidR="00C11183">
        <w:rPr>
          <w:rFonts w:asciiTheme="minorHAnsi" w:hAnsiTheme="minorHAnsi"/>
          <w:color w:val="000000"/>
        </w:rPr>
        <w:t xml:space="preserve"> versus </w:t>
      </w:r>
      <w:r w:rsidRPr="00C94C33">
        <w:rPr>
          <w:rFonts w:asciiTheme="minorHAnsi" w:hAnsiTheme="minorHAnsi"/>
          <w:color w:val="000000"/>
        </w:rPr>
        <w:t>0%). There were no notable differences between males and females in the incidence of Grade 3 or 4 serum chemistry abnormalities.</w:t>
      </w:r>
    </w:p>
    <w:p w14:paraId="58DB88B6" w14:textId="0BA17170" w:rsidR="00DF61BC" w:rsidRPr="00C94C33" w:rsidRDefault="00DF61BC" w:rsidP="00955252">
      <w:pPr>
        <w:pStyle w:val="Heading4"/>
      </w:pPr>
      <w:bookmarkStart w:id="437" w:name="_Toc470948600"/>
      <w:r w:rsidRPr="00C94C33">
        <w:t xml:space="preserve">Race and </w:t>
      </w:r>
      <w:r w:rsidR="00C26C44">
        <w:t>g</w:t>
      </w:r>
      <w:r w:rsidRPr="00C94C33">
        <w:t>eographic region</w:t>
      </w:r>
      <w:bookmarkEnd w:id="437"/>
    </w:p>
    <w:p w14:paraId="79189A9C" w14:textId="4B899E25" w:rsidR="00DF61BC" w:rsidRPr="00C94C33" w:rsidRDefault="00DF61BC" w:rsidP="00DF61BC">
      <w:r w:rsidRPr="00C94C33">
        <w:t xml:space="preserve">In the TAS-102 group, there were 305 White patients, 184 Asian patients, and 4 Black/African American patients. The number of Black/African American patients is too small to make meaningful safety comparisons to the other two racial groups. In the TAS-102 group, 97.7% </w:t>
      </w:r>
      <w:r w:rsidRPr="00C94C33">
        <w:lastRenderedPageBreak/>
        <w:t>(298/305) White patients had an AE (any) compared to 99.5% (183/184) Asian patients, with corresponding incidence in patients in the placebo group being 93.5% (144/154) and 92.6% (87/94), respectively. The AE profiles in White (racial group) and Western (geographical region) patients were similar as were the AE profiles in Asian (racial group) and Asian (geographical region) patients. The CSR included a more detailed summary of patients in the Western and Asian geographical regions. Consequently, the safety data based on geographic regions rather than racial group are discussed below.</w:t>
      </w:r>
    </w:p>
    <w:p w14:paraId="3FF05379" w14:textId="7984BDB7" w:rsidR="00DF61BC" w:rsidRPr="00C94C33" w:rsidRDefault="00DF61BC" w:rsidP="00DF61BC">
      <w:r w:rsidRPr="00C94C33">
        <w:t>There was no consistent pattern in the high-level AE profiles between Western and Asian regions in patients in the TAS-102 group. However, in general the differences in incidence between Western and Asian regions for high-level AE categories were more marked in patients in the TAS-102 group than in the placebo group. The high-level overview of AEs by geographic region are summarised bel</w:t>
      </w:r>
      <w:r w:rsidR="00824FCB" w:rsidRPr="00C94C33">
        <w:t>ow</w:t>
      </w:r>
      <w:r w:rsidRPr="00C94C33">
        <w:t>.</w:t>
      </w:r>
    </w:p>
    <w:p w14:paraId="01BF2C17" w14:textId="0BFB9F41" w:rsidR="00DF61BC" w:rsidRPr="00C94C33" w:rsidRDefault="00DF61BC" w:rsidP="0058475B">
      <w:pPr>
        <w:pStyle w:val="Tabletitle"/>
      </w:pPr>
      <w:bookmarkStart w:id="438" w:name="_Toc470948713"/>
      <w:r w:rsidRPr="00C94C33">
        <w:t>Table</w:t>
      </w:r>
      <w:r w:rsidR="00824FCB" w:rsidRPr="00C94C33">
        <w:t xml:space="preserve"> 64</w:t>
      </w:r>
      <w:r w:rsidRPr="00C94C33">
        <w:t>: RECOURSE</w:t>
      </w:r>
      <w:r w:rsidR="00C26C44">
        <w:t xml:space="preserve">; </w:t>
      </w:r>
      <w:r w:rsidRPr="00C94C33">
        <w:t>Overview of adverse events by geographic region, AT population</w:t>
      </w:r>
      <w:bookmarkEnd w:id="438"/>
    </w:p>
    <w:tbl>
      <w:tblPr>
        <w:tblW w:w="9252" w:type="dxa"/>
        <w:tblInd w:w="112" w:type="dxa"/>
        <w:tblLayout w:type="fixed"/>
        <w:tblCellMar>
          <w:left w:w="0" w:type="dxa"/>
          <w:right w:w="0" w:type="dxa"/>
        </w:tblCellMar>
        <w:tblLook w:val="0000" w:firstRow="0" w:lastRow="0" w:firstColumn="0" w:lastColumn="0" w:noHBand="0" w:noVBand="0"/>
      </w:tblPr>
      <w:tblGrid>
        <w:gridCol w:w="3015"/>
        <w:gridCol w:w="1701"/>
        <w:gridCol w:w="1559"/>
        <w:gridCol w:w="1418"/>
        <w:gridCol w:w="1559"/>
      </w:tblGrid>
      <w:tr w:rsidR="00DF61BC" w:rsidRPr="00C94C33" w14:paraId="0D3A954D" w14:textId="77777777" w:rsidTr="006452F4">
        <w:trPr>
          <w:trHeight w:hRule="exact" w:val="641"/>
        </w:trPr>
        <w:tc>
          <w:tcPr>
            <w:tcW w:w="3015" w:type="dxa"/>
            <w:tcBorders>
              <w:top w:val="single" w:sz="7" w:space="0" w:color="000000"/>
              <w:left w:val="single" w:sz="6" w:space="0" w:color="000000"/>
              <w:bottom w:val="single" w:sz="7" w:space="0" w:color="000000"/>
              <w:right w:val="single" w:sz="6" w:space="0" w:color="000000"/>
            </w:tcBorders>
            <w:shd w:val="clear" w:color="auto" w:fill="auto"/>
          </w:tcPr>
          <w:p w14:paraId="1E0B2DBF" w14:textId="77777777" w:rsidR="00DF61BC" w:rsidRPr="00C94C33" w:rsidRDefault="00DF61BC" w:rsidP="006452F4">
            <w:pPr>
              <w:pStyle w:val="TableHeading"/>
            </w:pPr>
          </w:p>
        </w:tc>
        <w:tc>
          <w:tcPr>
            <w:tcW w:w="3260" w:type="dxa"/>
            <w:gridSpan w:val="2"/>
            <w:tcBorders>
              <w:top w:val="single" w:sz="7" w:space="0" w:color="000000"/>
              <w:left w:val="single" w:sz="6" w:space="0" w:color="000000"/>
              <w:bottom w:val="single" w:sz="7" w:space="0" w:color="000000"/>
              <w:right w:val="single" w:sz="6" w:space="0" w:color="000000"/>
            </w:tcBorders>
            <w:shd w:val="clear" w:color="auto" w:fill="auto"/>
          </w:tcPr>
          <w:p w14:paraId="2DE6C57E" w14:textId="4F194074" w:rsidR="00DF61BC" w:rsidRPr="00C94C33" w:rsidRDefault="00DF61BC" w:rsidP="006452F4">
            <w:pPr>
              <w:pStyle w:val="TableHeading"/>
              <w:jc w:val="center"/>
            </w:pPr>
            <w:bookmarkStart w:id="439" w:name="12.5.3._Geographic_Region"/>
            <w:bookmarkStart w:id="440" w:name="Table_61:_Overview_of_Adverse_Events_by_"/>
            <w:bookmarkEnd w:id="439"/>
            <w:bookmarkEnd w:id="440"/>
            <w:r w:rsidRPr="00C94C33">
              <w:rPr>
                <w:bCs/>
                <w:w w:val="95"/>
              </w:rPr>
              <w:t>TAS-102</w:t>
            </w:r>
            <w:r w:rsidRPr="00C94C33">
              <w:rPr>
                <w:bCs/>
                <w:w w:val="99"/>
              </w:rPr>
              <w:t xml:space="preserve"> </w:t>
            </w:r>
            <w:r w:rsidRPr="00C94C33">
              <w:rPr>
                <w:bCs/>
              </w:rPr>
              <w:t>(</w:t>
            </w:r>
            <w:r w:rsidR="009C0389" w:rsidRPr="00C94C33">
              <w:rPr>
                <w:bCs/>
              </w:rPr>
              <w:t xml:space="preserve">N = </w:t>
            </w:r>
            <w:r w:rsidRPr="00C94C33">
              <w:rPr>
                <w:bCs/>
              </w:rPr>
              <w:t>533)</w:t>
            </w:r>
          </w:p>
        </w:tc>
        <w:tc>
          <w:tcPr>
            <w:tcW w:w="2977" w:type="dxa"/>
            <w:gridSpan w:val="2"/>
            <w:tcBorders>
              <w:top w:val="single" w:sz="7" w:space="0" w:color="000000"/>
              <w:left w:val="single" w:sz="6" w:space="0" w:color="000000"/>
              <w:bottom w:val="single" w:sz="7" w:space="0" w:color="000000"/>
              <w:right w:val="single" w:sz="6" w:space="0" w:color="000000"/>
            </w:tcBorders>
            <w:shd w:val="clear" w:color="auto" w:fill="auto"/>
          </w:tcPr>
          <w:p w14:paraId="093339BC" w14:textId="16CA72B1" w:rsidR="00DF61BC" w:rsidRPr="00C94C33" w:rsidRDefault="00DF61BC" w:rsidP="006452F4">
            <w:pPr>
              <w:pStyle w:val="TableHeading"/>
              <w:jc w:val="center"/>
            </w:pPr>
            <w:r w:rsidRPr="00C94C33">
              <w:rPr>
                <w:bCs/>
              </w:rPr>
              <w:t>Placebo</w:t>
            </w:r>
            <w:r w:rsidRPr="00C94C33">
              <w:rPr>
                <w:bCs/>
                <w:w w:val="99"/>
              </w:rPr>
              <w:t xml:space="preserve"> </w:t>
            </w:r>
            <w:r w:rsidRPr="00C94C33">
              <w:rPr>
                <w:bCs/>
                <w:w w:val="95"/>
              </w:rPr>
              <w:t>(</w:t>
            </w:r>
            <w:r w:rsidR="009C0389" w:rsidRPr="00C94C33">
              <w:rPr>
                <w:bCs/>
                <w:w w:val="95"/>
              </w:rPr>
              <w:t xml:space="preserve">N = </w:t>
            </w:r>
            <w:r w:rsidRPr="00C94C33">
              <w:rPr>
                <w:bCs/>
                <w:w w:val="95"/>
              </w:rPr>
              <w:t>265)</w:t>
            </w:r>
          </w:p>
        </w:tc>
      </w:tr>
      <w:tr w:rsidR="00DF61BC" w:rsidRPr="00C94C33" w14:paraId="7FDBB0A9" w14:textId="77777777" w:rsidTr="006452F4">
        <w:trPr>
          <w:trHeight w:hRule="exact" w:val="728"/>
        </w:trPr>
        <w:tc>
          <w:tcPr>
            <w:tcW w:w="3015" w:type="dxa"/>
            <w:tcBorders>
              <w:top w:val="single" w:sz="7" w:space="0" w:color="000000"/>
              <w:left w:val="single" w:sz="6" w:space="0" w:color="000000"/>
              <w:bottom w:val="single" w:sz="7" w:space="0" w:color="000000"/>
              <w:right w:val="single" w:sz="6" w:space="0" w:color="000000"/>
            </w:tcBorders>
            <w:shd w:val="clear" w:color="auto" w:fill="auto"/>
          </w:tcPr>
          <w:p w14:paraId="1B7E60B3" w14:textId="77777777" w:rsidR="00DF61BC" w:rsidRPr="00C94C33" w:rsidRDefault="00DF61BC" w:rsidP="006452F4">
            <w:pPr>
              <w:pStyle w:val="TableHeading"/>
            </w:pPr>
          </w:p>
        </w:tc>
        <w:tc>
          <w:tcPr>
            <w:tcW w:w="1701" w:type="dxa"/>
            <w:tcBorders>
              <w:top w:val="single" w:sz="7" w:space="0" w:color="000000"/>
              <w:left w:val="single" w:sz="6" w:space="0" w:color="000000"/>
              <w:bottom w:val="single" w:sz="7" w:space="0" w:color="000000"/>
              <w:right w:val="single" w:sz="6" w:space="0" w:color="000000"/>
            </w:tcBorders>
            <w:shd w:val="clear" w:color="auto" w:fill="auto"/>
          </w:tcPr>
          <w:p w14:paraId="5A506F91" w14:textId="6F9EADE4" w:rsidR="00DF61BC" w:rsidRPr="005C2FCA" w:rsidRDefault="00DF61BC" w:rsidP="006452F4">
            <w:pPr>
              <w:pStyle w:val="TableHeading"/>
              <w:jc w:val="center"/>
            </w:pPr>
            <w:r w:rsidRPr="005C2FCA">
              <w:t>Western (</w:t>
            </w:r>
            <w:r w:rsidR="009C0389" w:rsidRPr="005C2FCA">
              <w:t xml:space="preserve">N = </w:t>
            </w:r>
            <w:r w:rsidRPr="005C2FCA">
              <w:t>355)</w:t>
            </w:r>
          </w:p>
        </w:tc>
        <w:tc>
          <w:tcPr>
            <w:tcW w:w="1559" w:type="dxa"/>
            <w:tcBorders>
              <w:top w:val="single" w:sz="7" w:space="0" w:color="000000"/>
              <w:left w:val="single" w:sz="6" w:space="0" w:color="000000"/>
              <w:bottom w:val="single" w:sz="7" w:space="0" w:color="000000"/>
              <w:right w:val="single" w:sz="6" w:space="0" w:color="000000"/>
            </w:tcBorders>
            <w:shd w:val="clear" w:color="auto" w:fill="auto"/>
          </w:tcPr>
          <w:p w14:paraId="5AD504E3" w14:textId="3581E982" w:rsidR="00DF61BC" w:rsidRPr="005C2FCA" w:rsidRDefault="00DF61BC" w:rsidP="006452F4">
            <w:pPr>
              <w:pStyle w:val="TableHeading"/>
              <w:jc w:val="center"/>
            </w:pPr>
            <w:r w:rsidRPr="005C2FCA">
              <w:t>Asia (</w:t>
            </w:r>
            <w:r w:rsidR="009C0389" w:rsidRPr="005C2FCA">
              <w:t xml:space="preserve">N = </w:t>
            </w:r>
            <w:r w:rsidRPr="005C2FCA">
              <w:t>178)</w:t>
            </w:r>
          </w:p>
        </w:tc>
        <w:tc>
          <w:tcPr>
            <w:tcW w:w="1418" w:type="dxa"/>
            <w:tcBorders>
              <w:top w:val="single" w:sz="7" w:space="0" w:color="000000"/>
              <w:left w:val="single" w:sz="6" w:space="0" w:color="000000"/>
              <w:bottom w:val="single" w:sz="7" w:space="0" w:color="000000"/>
              <w:right w:val="single" w:sz="6" w:space="0" w:color="000000"/>
            </w:tcBorders>
            <w:shd w:val="clear" w:color="auto" w:fill="auto"/>
          </w:tcPr>
          <w:p w14:paraId="392951EE" w14:textId="53E7E66F" w:rsidR="00DF61BC" w:rsidRPr="005C2FCA" w:rsidRDefault="00DF61BC" w:rsidP="006452F4">
            <w:pPr>
              <w:pStyle w:val="TableHeading"/>
              <w:jc w:val="center"/>
            </w:pPr>
            <w:r w:rsidRPr="005C2FCA">
              <w:t>Western (</w:t>
            </w:r>
            <w:r w:rsidR="00C26C44" w:rsidRPr="00C26C44">
              <w:t>N</w:t>
            </w:r>
            <w:r w:rsidR="00C26C44">
              <w:t> </w:t>
            </w:r>
            <w:r w:rsidR="009C0389" w:rsidRPr="005C2FCA">
              <w:t>=</w:t>
            </w:r>
            <w:r w:rsidR="00C26C44">
              <w:t> </w:t>
            </w:r>
            <w:r w:rsidRPr="005C2FCA">
              <w:t>177)</w:t>
            </w:r>
          </w:p>
        </w:tc>
        <w:tc>
          <w:tcPr>
            <w:tcW w:w="1559" w:type="dxa"/>
            <w:tcBorders>
              <w:top w:val="single" w:sz="7" w:space="0" w:color="000000"/>
              <w:left w:val="single" w:sz="6" w:space="0" w:color="000000"/>
              <w:bottom w:val="single" w:sz="7" w:space="0" w:color="000000"/>
              <w:right w:val="single" w:sz="6" w:space="0" w:color="000000"/>
            </w:tcBorders>
            <w:shd w:val="clear" w:color="auto" w:fill="auto"/>
          </w:tcPr>
          <w:p w14:paraId="0138ECA9" w14:textId="028011BC" w:rsidR="00DF61BC" w:rsidRPr="005C2FCA" w:rsidRDefault="00DF61BC" w:rsidP="006452F4">
            <w:pPr>
              <w:pStyle w:val="TableHeading"/>
              <w:jc w:val="center"/>
            </w:pPr>
            <w:r w:rsidRPr="005C2FCA">
              <w:t>Asia (</w:t>
            </w:r>
            <w:r w:rsidR="009C0389" w:rsidRPr="005C2FCA">
              <w:t xml:space="preserve">N = </w:t>
            </w:r>
            <w:r w:rsidRPr="005C2FCA">
              <w:t>88)</w:t>
            </w:r>
          </w:p>
        </w:tc>
      </w:tr>
      <w:tr w:rsidR="00DF61BC" w:rsidRPr="00C94C33" w14:paraId="572C208E" w14:textId="77777777" w:rsidTr="006452F4">
        <w:trPr>
          <w:trHeight w:hRule="exact" w:val="682"/>
        </w:trPr>
        <w:tc>
          <w:tcPr>
            <w:tcW w:w="3015" w:type="dxa"/>
            <w:tcBorders>
              <w:top w:val="single" w:sz="7" w:space="0" w:color="000000"/>
              <w:left w:val="single" w:sz="6" w:space="0" w:color="000000"/>
              <w:bottom w:val="single" w:sz="7" w:space="0" w:color="000000"/>
              <w:right w:val="single" w:sz="6" w:space="0" w:color="000000"/>
            </w:tcBorders>
            <w:shd w:val="clear" w:color="auto" w:fill="auto"/>
          </w:tcPr>
          <w:p w14:paraId="2A15361D" w14:textId="77777777" w:rsidR="00DF61BC" w:rsidRPr="00C94C33" w:rsidRDefault="00DF61BC" w:rsidP="006452F4">
            <w:pPr>
              <w:pStyle w:val="Tabletext"/>
            </w:pPr>
            <w:r w:rsidRPr="00C94C33">
              <w:t>Any adverse event</w:t>
            </w:r>
            <w:r w:rsidRPr="00C94C33">
              <w:rPr>
                <w:spacing w:val="-2"/>
              </w:rPr>
              <w:t xml:space="preserve"> </w:t>
            </w:r>
            <w:r w:rsidRPr="00C94C33">
              <w:t>(AE)</w:t>
            </w:r>
          </w:p>
        </w:tc>
        <w:tc>
          <w:tcPr>
            <w:tcW w:w="1701" w:type="dxa"/>
            <w:tcBorders>
              <w:top w:val="single" w:sz="7" w:space="0" w:color="000000"/>
              <w:left w:val="single" w:sz="6" w:space="0" w:color="000000"/>
              <w:bottom w:val="single" w:sz="7" w:space="0" w:color="000000"/>
              <w:right w:val="single" w:sz="6" w:space="0" w:color="000000"/>
            </w:tcBorders>
            <w:shd w:val="clear" w:color="auto" w:fill="auto"/>
          </w:tcPr>
          <w:p w14:paraId="0AC9B926" w14:textId="4C6225D9" w:rsidR="00DF61BC" w:rsidRPr="00C94C33" w:rsidRDefault="00DF61BC" w:rsidP="006452F4">
            <w:pPr>
              <w:pStyle w:val="Tabletext"/>
              <w:jc w:val="center"/>
            </w:pPr>
            <w:r w:rsidRPr="00C94C33">
              <w:t>347</w:t>
            </w:r>
            <w:r w:rsidRPr="00C94C33">
              <w:rPr>
                <w:spacing w:val="15"/>
              </w:rPr>
              <w:t xml:space="preserve"> </w:t>
            </w:r>
            <w:r w:rsidRPr="00C94C33">
              <w:t>(97.7)</w:t>
            </w:r>
          </w:p>
        </w:tc>
        <w:tc>
          <w:tcPr>
            <w:tcW w:w="1559" w:type="dxa"/>
            <w:tcBorders>
              <w:top w:val="single" w:sz="7" w:space="0" w:color="000000"/>
              <w:left w:val="single" w:sz="6" w:space="0" w:color="000000"/>
              <w:bottom w:val="single" w:sz="7" w:space="0" w:color="000000"/>
              <w:right w:val="single" w:sz="6" w:space="0" w:color="000000"/>
            </w:tcBorders>
            <w:shd w:val="clear" w:color="auto" w:fill="auto"/>
          </w:tcPr>
          <w:p w14:paraId="77D0ACA3" w14:textId="3BE981F5" w:rsidR="00DF61BC" w:rsidRPr="00C94C33" w:rsidRDefault="00DF61BC" w:rsidP="006452F4">
            <w:pPr>
              <w:pStyle w:val="Tabletext"/>
              <w:jc w:val="center"/>
            </w:pPr>
            <w:r w:rsidRPr="00C94C33">
              <w:t>177 (99.4)</w:t>
            </w:r>
          </w:p>
        </w:tc>
        <w:tc>
          <w:tcPr>
            <w:tcW w:w="1418" w:type="dxa"/>
            <w:tcBorders>
              <w:top w:val="single" w:sz="7" w:space="0" w:color="000000"/>
              <w:left w:val="single" w:sz="6" w:space="0" w:color="000000"/>
              <w:bottom w:val="single" w:sz="7" w:space="0" w:color="000000"/>
              <w:right w:val="single" w:sz="6" w:space="0" w:color="000000"/>
            </w:tcBorders>
            <w:shd w:val="clear" w:color="auto" w:fill="auto"/>
          </w:tcPr>
          <w:p w14:paraId="1B7BCE25" w14:textId="5C70CB9D" w:rsidR="00DF61BC" w:rsidRPr="00C94C33" w:rsidRDefault="00DF61BC" w:rsidP="006452F4">
            <w:pPr>
              <w:pStyle w:val="Tabletext"/>
              <w:jc w:val="center"/>
            </w:pPr>
            <w:r w:rsidRPr="00C94C33">
              <w:t>166</w:t>
            </w:r>
            <w:r w:rsidR="006452F4">
              <w:t xml:space="preserve"> </w:t>
            </w:r>
            <w:r w:rsidRPr="00C94C33">
              <w:t>(93.8)</w:t>
            </w:r>
          </w:p>
        </w:tc>
        <w:tc>
          <w:tcPr>
            <w:tcW w:w="1559" w:type="dxa"/>
            <w:tcBorders>
              <w:top w:val="single" w:sz="7" w:space="0" w:color="000000"/>
              <w:left w:val="single" w:sz="6" w:space="0" w:color="000000"/>
              <w:bottom w:val="single" w:sz="7" w:space="0" w:color="000000"/>
              <w:right w:val="single" w:sz="6" w:space="0" w:color="000000"/>
            </w:tcBorders>
            <w:shd w:val="clear" w:color="auto" w:fill="auto"/>
          </w:tcPr>
          <w:p w14:paraId="77A02EB0" w14:textId="4B165650" w:rsidR="00DF61BC" w:rsidRPr="00C94C33" w:rsidRDefault="006452F4" w:rsidP="006452F4">
            <w:pPr>
              <w:pStyle w:val="Tabletext"/>
              <w:jc w:val="center"/>
            </w:pPr>
            <w:r>
              <w:t xml:space="preserve">81 </w:t>
            </w:r>
            <w:r w:rsidR="00DF61BC" w:rsidRPr="00C94C33">
              <w:t>(92.0)</w:t>
            </w:r>
          </w:p>
        </w:tc>
      </w:tr>
      <w:tr w:rsidR="00DF61BC" w:rsidRPr="00C94C33" w14:paraId="0529B6F0" w14:textId="77777777" w:rsidTr="006452F4">
        <w:trPr>
          <w:trHeight w:hRule="exact" w:val="418"/>
        </w:trPr>
        <w:tc>
          <w:tcPr>
            <w:tcW w:w="3015" w:type="dxa"/>
            <w:tcBorders>
              <w:top w:val="single" w:sz="7" w:space="0" w:color="000000"/>
              <w:left w:val="single" w:sz="6" w:space="0" w:color="000000"/>
              <w:bottom w:val="single" w:sz="7" w:space="0" w:color="000000"/>
              <w:right w:val="single" w:sz="6" w:space="0" w:color="000000"/>
            </w:tcBorders>
            <w:shd w:val="clear" w:color="auto" w:fill="auto"/>
          </w:tcPr>
          <w:p w14:paraId="52E9C2EC" w14:textId="77777777" w:rsidR="00DF61BC" w:rsidRPr="00C94C33" w:rsidRDefault="00DF61BC" w:rsidP="006452F4">
            <w:pPr>
              <w:pStyle w:val="Tabletext"/>
            </w:pPr>
            <w:r w:rsidRPr="00C94C33">
              <w:t>Any treatment-related AE</w:t>
            </w:r>
          </w:p>
        </w:tc>
        <w:tc>
          <w:tcPr>
            <w:tcW w:w="1701" w:type="dxa"/>
            <w:tcBorders>
              <w:top w:val="single" w:sz="7" w:space="0" w:color="000000"/>
              <w:left w:val="single" w:sz="6" w:space="0" w:color="000000"/>
              <w:bottom w:val="single" w:sz="7" w:space="0" w:color="000000"/>
              <w:right w:val="single" w:sz="6" w:space="0" w:color="000000"/>
            </w:tcBorders>
            <w:shd w:val="clear" w:color="auto" w:fill="auto"/>
          </w:tcPr>
          <w:p w14:paraId="6CE7C1AE" w14:textId="789B6CFD" w:rsidR="00DF61BC" w:rsidRPr="00C94C33" w:rsidRDefault="00DF61BC" w:rsidP="006452F4">
            <w:pPr>
              <w:pStyle w:val="Tabletext"/>
              <w:jc w:val="center"/>
            </w:pPr>
            <w:r w:rsidRPr="00C94C33">
              <w:t>289 (81.4)</w:t>
            </w:r>
          </w:p>
        </w:tc>
        <w:tc>
          <w:tcPr>
            <w:tcW w:w="1559" w:type="dxa"/>
            <w:tcBorders>
              <w:top w:val="single" w:sz="7" w:space="0" w:color="000000"/>
              <w:left w:val="single" w:sz="6" w:space="0" w:color="000000"/>
              <w:bottom w:val="single" w:sz="7" w:space="0" w:color="000000"/>
              <w:right w:val="single" w:sz="6" w:space="0" w:color="000000"/>
            </w:tcBorders>
            <w:shd w:val="clear" w:color="auto" w:fill="auto"/>
          </w:tcPr>
          <w:p w14:paraId="11FE2A46" w14:textId="0310F9BC" w:rsidR="00DF61BC" w:rsidRPr="00C94C33" w:rsidRDefault="00DF61BC" w:rsidP="006452F4">
            <w:pPr>
              <w:pStyle w:val="Tabletext"/>
              <w:jc w:val="center"/>
            </w:pPr>
            <w:r w:rsidRPr="00C94C33">
              <w:t>168</w:t>
            </w:r>
            <w:r w:rsidRPr="00C94C33">
              <w:rPr>
                <w:spacing w:val="14"/>
              </w:rPr>
              <w:t xml:space="preserve"> </w:t>
            </w:r>
            <w:r w:rsidRPr="00C94C33">
              <w:t>(94.4)</w:t>
            </w:r>
          </w:p>
        </w:tc>
        <w:tc>
          <w:tcPr>
            <w:tcW w:w="1418" w:type="dxa"/>
            <w:tcBorders>
              <w:top w:val="single" w:sz="7" w:space="0" w:color="000000"/>
              <w:left w:val="single" w:sz="6" w:space="0" w:color="000000"/>
              <w:bottom w:val="single" w:sz="7" w:space="0" w:color="000000"/>
              <w:right w:val="single" w:sz="6" w:space="0" w:color="000000"/>
            </w:tcBorders>
            <w:shd w:val="clear" w:color="auto" w:fill="auto"/>
          </w:tcPr>
          <w:p w14:paraId="5EA86EDC" w14:textId="7F2678CE" w:rsidR="00DF61BC" w:rsidRPr="00C94C33" w:rsidRDefault="006452F4" w:rsidP="006452F4">
            <w:pPr>
              <w:pStyle w:val="Tabletext"/>
              <w:jc w:val="center"/>
            </w:pPr>
            <w:r>
              <w:t xml:space="preserve">92 </w:t>
            </w:r>
            <w:r w:rsidR="00DF61BC" w:rsidRPr="00C94C33">
              <w:t>(52.0)</w:t>
            </w:r>
          </w:p>
        </w:tc>
        <w:tc>
          <w:tcPr>
            <w:tcW w:w="1559" w:type="dxa"/>
            <w:tcBorders>
              <w:top w:val="single" w:sz="7" w:space="0" w:color="000000"/>
              <w:left w:val="single" w:sz="6" w:space="0" w:color="000000"/>
              <w:bottom w:val="single" w:sz="7" w:space="0" w:color="000000"/>
              <w:right w:val="single" w:sz="6" w:space="0" w:color="000000"/>
            </w:tcBorders>
            <w:shd w:val="clear" w:color="auto" w:fill="auto"/>
          </w:tcPr>
          <w:p w14:paraId="7EB1C6EF" w14:textId="5EC954B1" w:rsidR="00DF61BC" w:rsidRPr="00C94C33" w:rsidRDefault="006452F4" w:rsidP="006452F4">
            <w:pPr>
              <w:pStyle w:val="Tabletext"/>
              <w:jc w:val="center"/>
            </w:pPr>
            <w:r>
              <w:t xml:space="preserve">53 </w:t>
            </w:r>
            <w:r w:rsidR="00DF61BC" w:rsidRPr="00C94C33">
              <w:t>(60.2)</w:t>
            </w:r>
          </w:p>
        </w:tc>
      </w:tr>
      <w:tr w:rsidR="00DF61BC" w:rsidRPr="00C94C33" w14:paraId="46649227" w14:textId="77777777" w:rsidTr="006452F4">
        <w:trPr>
          <w:trHeight w:hRule="exact" w:val="629"/>
        </w:trPr>
        <w:tc>
          <w:tcPr>
            <w:tcW w:w="3015" w:type="dxa"/>
            <w:tcBorders>
              <w:top w:val="single" w:sz="7" w:space="0" w:color="000000"/>
              <w:left w:val="single" w:sz="6" w:space="0" w:color="000000"/>
              <w:bottom w:val="single" w:sz="7" w:space="0" w:color="000000"/>
              <w:right w:val="single" w:sz="6" w:space="0" w:color="000000"/>
            </w:tcBorders>
            <w:shd w:val="clear" w:color="auto" w:fill="auto"/>
          </w:tcPr>
          <w:p w14:paraId="2C5BCF42" w14:textId="77777777" w:rsidR="00DF61BC" w:rsidRPr="00C94C33" w:rsidRDefault="00DF61BC" w:rsidP="006452F4">
            <w:pPr>
              <w:pStyle w:val="Tabletext"/>
            </w:pPr>
            <w:r w:rsidRPr="00C94C33">
              <w:t>Any</w:t>
            </w:r>
            <w:r w:rsidRPr="00C94C33">
              <w:rPr>
                <w:spacing w:val="-2"/>
              </w:rPr>
              <w:t xml:space="preserve"> </w:t>
            </w:r>
            <w:r w:rsidRPr="00C94C33">
              <w:t>≥Grade</w:t>
            </w:r>
            <w:r w:rsidRPr="00C94C33">
              <w:rPr>
                <w:spacing w:val="-2"/>
              </w:rPr>
              <w:t xml:space="preserve"> </w:t>
            </w:r>
            <w:r w:rsidRPr="00C94C33">
              <w:t>3 AE</w:t>
            </w:r>
          </w:p>
        </w:tc>
        <w:tc>
          <w:tcPr>
            <w:tcW w:w="1701" w:type="dxa"/>
            <w:tcBorders>
              <w:top w:val="single" w:sz="7" w:space="0" w:color="000000"/>
              <w:left w:val="single" w:sz="6" w:space="0" w:color="000000"/>
              <w:bottom w:val="single" w:sz="7" w:space="0" w:color="000000"/>
              <w:right w:val="single" w:sz="6" w:space="0" w:color="000000"/>
            </w:tcBorders>
            <w:shd w:val="clear" w:color="auto" w:fill="auto"/>
          </w:tcPr>
          <w:p w14:paraId="592AE80C" w14:textId="31227BCC" w:rsidR="00DF61BC" w:rsidRPr="00C94C33" w:rsidRDefault="00DF61BC" w:rsidP="006452F4">
            <w:pPr>
              <w:pStyle w:val="Tabletext"/>
              <w:jc w:val="center"/>
            </w:pPr>
            <w:r w:rsidRPr="00C94C33">
              <w:t>252</w:t>
            </w:r>
            <w:r w:rsidRPr="00C94C33">
              <w:rPr>
                <w:spacing w:val="15"/>
              </w:rPr>
              <w:t xml:space="preserve"> </w:t>
            </w:r>
            <w:r w:rsidRPr="00C94C33">
              <w:t>(71.0)</w:t>
            </w:r>
          </w:p>
        </w:tc>
        <w:tc>
          <w:tcPr>
            <w:tcW w:w="1559" w:type="dxa"/>
            <w:tcBorders>
              <w:top w:val="single" w:sz="7" w:space="0" w:color="000000"/>
              <w:left w:val="single" w:sz="6" w:space="0" w:color="000000"/>
              <w:bottom w:val="single" w:sz="7" w:space="0" w:color="000000"/>
              <w:right w:val="single" w:sz="6" w:space="0" w:color="000000"/>
            </w:tcBorders>
            <w:shd w:val="clear" w:color="auto" w:fill="auto"/>
          </w:tcPr>
          <w:p w14:paraId="5E1502BA" w14:textId="3FEA62F4" w:rsidR="00DF61BC" w:rsidRPr="00C94C33" w:rsidRDefault="00DF61BC" w:rsidP="006452F4">
            <w:pPr>
              <w:pStyle w:val="Tabletext"/>
              <w:jc w:val="center"/>
            </w:pPr>
            <w:r w:rsidRPr="00C94C33">
              <w:t>118 (66.3)</w:t>
            </w:r>
          </w:p>
        </w:tc>
        <w:tc>
          <w:tcPr>
            <w:tcW w:w="1418" w:type="dxa"/>
            <w:tcBorders>
              <w:top w:val="single" w:sz="7" w:space="0" w:color="000000"/>
              <w:left w:val="single" w:sz="6" w:space="0" w:color="000000"/>
              <w:bottom w:val="single" w:sz="7" w:space="0" w:color="000000"/>
              <w:right w:val="single" w:sz="6" w:space="0" w:color="000000"/>
            </w:tcBorders>
            <w:shd w:val="clear" w:color="auto" w:fill="auto"/>
          </w:tcPr>
          <w:p w14:paraId="671688C3" w14:textId="5403ED29" w:rsidR="00DF61BC" w:rsidRPr="00C94C33" w:rsidRDefault="00DF61BC" w:rsidP="006452F4">
            <w:pPr>
              <w:pStyle w:val="Tabletext"/>
              <w:jc w:val="center"/>
            </w:pPr>
            <w:r w:rsidRPr="00C94C33">
              <w:t>93 (52.5)</w:t>
            </w:r>
          </w:p>
        </w:tc>
        <w:tc>
          <w:tcPr>
            <w:tcW w:w="1559" w:type="dxa"/>
            <w:tcBorders>
              <w:top w:val="single" w:sz="7" w:space="0" w:color="000000"/>
              <w:left w:val="single" w:sz="6" w:space="0" w:color="000000"/>
              <w:bottom w:val="single" w:sz="7" w:space="0" w:color="000000"/>
              <w:right w:val="single" w:sz="6" w:space="0" w:color="000000"/>
            </w:tcBorders>
            <w:shd w:val="clear" w:color="auto" w:fill="auto"/>
          </w:tcPr>
          <w:p w14:paraId="66898FF5" w14:textId="224307D7" w:rsidR="00DF61BC" w:rsidRPr="00C94C33" w:rsidRDefault="006452F4" w:rsidP="006452F4">
            <w:pPr>
              <w:pStyle w:val="Tabletext"/>
              <w:jc w:val="center"/>
            </w:pPr>
            <w:r>
              <w:t xml:space="preserve">44 </w:t>
            </w:r>
            <w:r w:rsidR="00DF61BC" w:rsidRPr="00C94C33">
              <w:t>(50.0)</w:t>
            </w:r>
          </w:p>
        </w:tc>
      </w:tr>
      <w:tr w:rsidR="00DF61BC" w:rsidRPr="00C94C33" w14:paraId="2A7C8595" w14:textId="77777777" w:rsidTr="006452F4">
        <w:trPr>
          <w:trHeight w:hRule="exact" w:val="431"/>
        </w:trPr>
        <w:tc>
          <w:tcPr>
            <w:tcW w:w="3015" w:type="dxa"/>
            <w:tcBorders>
              <w:top w:val="single" w:sz="7" w:space="0" w:color="000000"/>
              <w:left w:val="single" w:sz="6" w:space="0" w:color="000000"/>
              <w:bottom w:val="single" w:sz="7" w:space="0" w:color="000000"/>
              <w:right w:val="single" w:sz="6" w:space="0" w:color="000000"/>
            </w:tcBorders>
            <w:shd w:val="clear" w:color="auto" w:fill="auto"/>
          </w:tcPr>
          <w:p w14:paraId="1B47CE71" w14:textId="77777777" w:rsidR="00DF61BC" w:rsidRPr="00C94C33" w:rsidRDefault="00DF61BC" w:rsidP="006452F4">
            <w:pPr>
              <w:pStyle w:val="Tabletext"/>
            </w:pPr>
            <w:r w:rsidRPr="00C94C33">
              <w:t>Any treatment-related ≥Grade 3 AE</w:t>
            </w:r>
          </w:p>
        </w:tc>
        <w:tc>
          <w:tcPr>
            <w:tcW w:w="1701" w:type="dxa"/>
            <w:tcBorders>
              <w:top w:val="single" w:sz="7" w:space="0" w:color="000000"/>
              <w:left w:val="single" w:sz="6" w:space="0" w:color="000000"/>
              <w:bottom w:val="single" w:sz="7" w:space="0" w:color="000000"/>
              <w:right w:val="single" w:sz="6" w:space="0" w:color="000000"/>
            </w:tcBorders>
            <w:shd w:val="clear" w:color="auto" w:fill="auto"/>
          </w:tcPr>
          <w:p w14:paraId="2CC78A96" w14:textId="0D26044D" w:rsidR="00DF61BC" w:rsidRPr="00C94C33" w:rsidRDefault="00DF61BC" w:rsidP="006452F4">
            <w:pPr>
              <w:pStyle w:val="Tabletext"/>
              <w:jc w:val="center"/>
            </w:pPr>
            <w:r w:rsidRPr="00C94C33">
              <w:t>163</w:t>
            </w:r>
            <w:r w:rsidRPr="00C94C33">
              <w:rPr>
                <w:spacing w:val="15"/>
              </w:rPr>
              <w:t xml:space="preserve"> </w:t>
            </w:r>
            <w:r w:rsidRPr="00C94C33">
              <w:t>(45.9)</w:t>
            </w:r>
          </w:p>
        </w:tc>
        <w:tc>
          <w:tcPr>
            <w:tcW w:w="1559" w:type="dxa"/>
            <w:tcBorders>
              <w:top w:val="single" w:sz="7" w:space="0" w:color="000000"/>
              <w:left w:val="single" w:sz="6" w:space="0" w:color="000000"/>
              <w:bottom w:val="single" w:sz="7" w:space="0" w:color="000000"/>
              <w:right w:val="single" w:sz="6" w:space="0" w:color="000000"/>
            </w:tcBorders>
            <w:shd w:val="clear" w:color="auto" w:fill="auto"/>
          </w:tcPr>
          <w:p w14:paraId="7E1C658B" w14:textId="35863718" w:rsidR="00DF61BC" w:rsidRPr="00C94C33" w:rsidRDefault="006452F4" w:rsidP="006452F4">
            <w:pPr>
              <w:pStyle w:val="Tabletext"/>
              <w:jc w:val="center"/>
            </w:pPr>
            <w:r>
              <w:t xml:space="preserve">98 </w:t>
            </w:r>
            <w:r w:rsidR="00DF61BC" w:rsidRPr="00C94C33">
              <w:t>(55.1)</w:t>
            </w:r>
          </w:p>
        </w:tc>
        <w:tc>
          <w:tcPr>
            <w:tcW w:w="1418" w:type="dxa"/>
            <w:tcBorders>
              <w:top w:val="single" w:sz="7" w:space="0" w:color="000000"/>
              <w:left w:val="single" w:sz="6" w:space="0" w:color="000000"/>
              <w:bottom w:val="single" w:sz="7" w:space="0" w:color="000000"/>
              <w:right w:val="single" w:sz="6" w:space="0" w:color="000000"/>
            </w:tcBorders>
            <w:shd w:val="clear" w:color="auto" w:fill="auto"/>
          </w:tcPr>
          <w:p w14:paraId="22708986" w14:textId="7C04C15A" w:rsidR="00DF61BC" w:rsidRPr="00C94C33" w:rsidRDefault="006452F4" w:rsidP="006452F4">
            <w:pPr>
              <w:pStyle w:val="Tabletext"/>
              <w:jc w:val="center"/>
            </w:pPr>
            <w:r>
              <w:t xml:space="preserve">17 </w:t>
            </w:r>
            <w:r w:rsidR="00DF61BC" w:rsidRPr="00C94C33">
              <w:t>(9.6)</w:t>
            </w:r>
          </w:p>
        </w:tc>
        <w:tc>
          <w:tcPr>
            <w:tcW w:w="1559" w:type="dxa"/>
            <w:tcBorders>
              <w:top w:val="single" w:sz="7" w:space="0" w:color="000000"/>
              <w:left w:val="single" w:sz="6" w:space="0" w:color="000000"/>
              <w:bottom w:val="single" w:sz="7" w:space="0" w:color="000000"/>
              <w:right w:val="single" w:sz="6" w:space="0" w:color="000000"/>
            </w:tcBorders>
            <w:shd w:val="clear" w:color="auto" w:fill="auto"/>
          </w:tcPr>
          <w:p w14:paraId="52588F41" w14:textId="3F563173" w:rsidR="00DF61BC" w:rsidRPr="00C94C33" w:rsidRDefault="006452F4" w:rsidP="006452F4">
            <w:pPr>
              <w:pStyle w:val="Tabletext"/>
              <w:jc w:val="center"/>
            </w:pPr>
            <w:r>
              <w:t xml:space="preserve">9 </w:t>
            </w:r>
            <w:r w:rsidR="00DF61BC" w:rsidRPr="00C94C33">
              <w:t>(10.2)</w:t>
            </w:r>
          </w:p>
        </w:tc>
      </w:tr>
      <w:tr w:rsidR="00DF61BC" w:rsidRPr="00C94C33" w14:paraId="207A0389" w14:textId="77777777" w:rsidTr="006452F4">
        <w:trPr>
          <w:trHeight w:hRule="exact" w:val="423"/>
        </w:trPr>
        <w:tc>
          <w:tcPr>
            <w:tcW w:w="3015" w:type="dxa"/>
            <w:tcBorders>
              <w:top w:val="single" w:sz="7" w:space="0" w:color="000000"/>
              <w:left w:val="single" w:sz="6" w:space="0" w:color="000000"/>
              <w:bottom w:val="single" w:sz="7" w:space="0" w:color="000000"/>
              <w:right w:val="single" w:sz="6" w:space="0" w:color="000000"/>
            </w:tcBorders>
            <w:shd w:val="clear" w:color="auto" w:fill="auto"/>
          </w:tcPr>
          <w:p w14:paraId="061D7E39" w14:textId="77777777" w:rsidR="00DF61BC" w:rsidRPr="00C94C33" w:rsidRDefault="00DF61BC" w:rsidP="006452F4">
            <w:pPr>
              <w:pStyle w:val="Tabletext"/>
            </w:pPr>
            <w:r w:rsidRPr="00C94C33">
              <w:t>Any serious AE (SAE)</w:t>
            </w:r>
          </w:p>
        </w:tc>
        <w:tc>
          <w:tcPr>
            <w:tcW w:w="1701" w:type="dxa"/>
            <w:tcBorders>
              <w:top w:val="single" w:sz="7" w:space="0" w:color="000000"/>
              <w:left w:val="single" w:sz="6" w:space="0" w:color="000000"/>
              <w:bottom w:val="single" w:sz="7" w:space="0" w:color="000000"/>
              <w:right w:val="single" w:sz="6" w:space="0" w:color="000000"/>
            </w:tcBorders>
            <w:shd w:val="clear" w:color="auto" w:fill="auto"/>
          </w:tcPr>
          <w:p w14:paraId="3480030F" w14:textId="0D0C8854" w:rsidR="00DF61BC" w:rsidRPr="00C94C33" w:rsidRDefault="00DF61BC" w:rsidP="006452F4">
            <w:pPr>
              <w:pStyle w:val="Tabletext"/>
              <w:jc w:val="center"/>
            </w:pPr>
            <w:r w:rsidRPr="00C94C33">
              <w:t>111 (31.3)</w:t>
            </w:r>
          </w:p>
        </w:tc>
        <w:tc>
          <w:tcPr>
            <w:tcW w:w="1559" w:type="dxa"/>
            <w:tcBorders>
              <w:top w:val="single" w:sz="7" w:space="0" w:color="000000"/>
              <w:left w:val="single" w:sz="6" w:space="0" w:color="000000"/>
              <w:bottom w:val="single" w:sz="7" w:space="0" w:color="000000"/>
              <w:right w:val="single" w:sz="6" w:space="0" w:color="000000"/>
            </w:tcBorders>
            <w:shd w:val="clear" w:color="auto" w:fill="auto"/>
          </w:tcPr>
          <w:p w14:paraId="2E0232B0" w14:textId="686EE772" w:rsidR="00DF61BC" w:rsidRPr="00C94C33" w:rsidRDefault="00DF61BC" w:rsidP="006452F4">
            <w:pPr>
              <w:pStyle w:val="Tabletext"/>
              <w:jc w:val="center"/>
            </w:pPr>
            <w:r w:rsidRPr="00C94C33">
              <w:t>47 (26.4)</w:t>
            </w:r>
          </w:p>
        </w:tc>
        <w:tc>
          <w:tcPr>
            <w:tcW w:w="1418" w:type="dxa"/>
            <w:tcBorders>
              <w:top w:val="single" w:sz="7" w:space="0" w:color="000000"/>
              <w:left w:val="single" w:sz="6" w:space="0" w:color="000000"/>
              <w:bottom w:val="single" w:sz="7" w:space="0" w:color="000000"/>
              <w:right w:val="single" w:sz="6" w:space="0" w:color="000000"/>
            </w:tcBorders>
            <w:shd w:val="clear" w:color="auto" w:fill="auto"/>
          </w:tcPr>
          <w:p w14:paraId="255F546B" w14:textId="570C4F4C" w:rsidR="00DF61BC" w:rsidRPr="00C94C33" w:rsidRDefault="006452F4" w:rsidP="006452F4">
            <w:pPr>
              <w:pStyle w:val="Tabletext"/>
              <w:jc w:val="center"/>
            </w:pPr>
            <w:r>
              <w:t xml:space="preserve">55 </w:t>
            </w:r>
            <w:r w:rsidR="00DF61BC" w:rsidRPr="00C94C33">
              <w:t>(31.1)</w:t>
            </w:r>
          </w:p>
        </w:tc>
        <w:tc>
          <w:tcPr>
            <w:tcW w:w="1559" w:type="dxa"/>
            <w:tcBorders>
              <w:top w:val="single" w:sz="7" w:space="0" w:color="000000"/>
              <w:left w:val="single" w:sz="6" w:space="0" w:color="000000"/>
              <w:bottom w:val="single" w:sz="7" w:space="0" w:color="000000"/>
              <w:right w:val="single" w:sz="6" w:space="0" w:color="000000"/>
            </w:tcBorders>
            <w:shd w:val="clear" w:color="auto" w:fill="auto"/>
          </w:tcPr>
          <w:p w14:paraId="5536557A" w14:textId="0249E3D6" w:rsidR="00DF61BC" w:rsidRPr="00C94C33" w:rsidRDefault="006452F4" w:rsidP="006452F4">
            <w:pPr>
              <w:pStyle w:val="Tabletext"/>
              <w:jc w:val="center"/>
            </w:pPr>
            <w:r>
              <w:t xml:space="preserve">34 </w:t>
            </w:r>
            <w:r w:rsidR="00DF61BC" w:rsidRPr="00C94C33">
              <w:t>(38.6)</w:t>
            </w:r>
          </w:p>
        </w:tc>
      </w:tr>
      <w:tr w:rsidR="00DF61BC" w:rsidRPr="00C94C33" w14:paraId="32036806" w14:textId="77777777" w:rsidTr="006452F4">
        <w:trPr>
          <w:trHeight w:hRule="exact" w:val="487"/>
        </w:trPr>
        <w:tc>
          <w:tcPr>
            <w:tcW w:w="3015" w:type="dxa"/>
            <w:tcBorders>
              <w:top w:val="single" w:sz="7" w:space="0" w:color="000000"/>
              <w:left w:val="single" w:sz="6" w:space="0" w:color="000000"/>
              <w:bottom w:val="single" w:sz="6" w:space="0" w:color="000000"/>
              <w:right w:val="single" w:sz="6" w:space="0" w:color="000000"/>
            </w:tcBorders>
            <w:shd w:val="clear" w:color="auto" w:fill="auto"/>
          </w:tcPr>
          <w:p w14:paraId="03E66CEC" w14:textId="77777777" w:rsidR="00DF61BC" w:rsidRPr="00C94C33" w:rsidRDefault="00DF61BC" w:rsidP="006452F4">
            <w:pPr>
              <w:pStyle w:val="Tabletext"/>
            </w:pPr>
            <w:r w:rsidRPr="00C94C33">
              <w:t>Any treatment-related SAE</w:t>
            </w:r>
          </w:p>
        </w:tc>
        <w:tc>
          <w:tcPr>
            <w:tcW w:w="1701" w:type="dxa"/>
            <w:tcBorders>
              <w:top w:val="single" w:sz="7" w:space="0" w:color="000000"/>
              <w:left w:val="single" w:sz="6" w:space="0" w:color="000000"/>
              <w:bottom w:val="single" w:sz="6" w:space="0" w:color="000000"/>
              <w:right w:val="single" w:sz="6" w:space="0" w:color="000000"/>
            </w:tcBorders>
            <w:shd w:val="clear" w:color="auto" w:fill="auto"/>
          </w:tcPr>
          <w:p w14:paraId="39ED5E85" w14:textId="21E2FF67" w:rsidR="00DF61BC" w:rsidRPr="00C94C33" w:rsidRDefault="006452F4" w:rsidP="006452F4">
            <w:pPr>
              <w:pStyle w:val="Tabletext"/>
              <w:jc w:val="center"/>
            </w:pPr>
            <w:r>
              <w:t xml:space="preserve">29 </w:t>
            </w:r>
            <w:r w:rsidR="00DF61BC" w:rsidRPr="00C94C33">
              <w:t>(8.2)</w:t>
            </w:r>
          </w:p>
        </w:tc>
        <w:tc>
          <w:tcPr>
            <w:tcW w:w="1559" w:type="dxa"/>
            <w:tcBorders>
              <w:top w:val="single" w:sz="7" w:space="0" w:color="000000"/>
              <w:left w:val="single" w:sz="6" w:space="0" w:color="000000"/>
              <w:bottom w:val="single" w:sz="6" w:space="0" w:color="000000"/>
              <w:right w:val="single" w:sz="6" w:space="0" w:color="000000"/>
            </w:tcBorders>
            <w:shd w:val="clear" w:color="auto" w:fill="auto"/>
          </w:tcPr>
          <w:p w14:paraId="624FE46A" w14:textId="29D77A05" w:rsidR="00DF61BC" w:rsidRPr="00C94C33" w:rsidRDefault="00DF61BC" w:rsidP="006452F4">
            <w:pPr>
              <w:pStyle w:val="Tabletext"/>
              <w:jc w:val="center"/>
            </w:pPr>
            <w:r w:rsidRPr="00C94C33">
              <w:t>21</w:t>
            </w:r>
            <w:r w:rsidRPr="00C94C33">
              <w:rPr>
                <w:spacing w:val="14"/>
              </w:rPr>
              <w:t xml:space="preserve"> </w:t>
            </w:r>
            <w:r w:rsidRPr="00C94C33">
              <w:t>(11.8)</w:t>
            </w:r>
          </w:p>
        </w:tc>
        <w:tc>
          <w:tcPr>
            <w:tcW w:w="1418" w:type="dxa"/>
            <w:tcBorders>
              <w:top w:val="single" w:sz="7" w:space="0" w:color="000000"/>
              <w:left w:val="single" w:sz="6" w:space="0" w:color="000000"/>
              <w:bottom w:val="single" w:sz="6" w:space="0" w:color="000000"/>
              <w:right w:val="single" w:sz="6" w:space="0" w:color="000000"/>
            </w:tcBorders>
            <w:shd w:val="clear" w:color="auto" w:fill="auto"/>
          </w:tcPr>
          <w:p w14:paraId="2DFA9704" w14:textId="4E26BB37" w:rsidR="00DF61BC" w:rsidRPr="00C94C33" w:rsidRDefault="006452F4" w:rsidP="006452F4">
            <w:pPr>
              <w:pStyle w:val="Tabletext"/>
              <w:jc w:val="center"/>
            </w:pPr>
            <w:r>
              <w:t>1</w:t>
            </w:r>
            <w:r w:rsidR="00DF61BC" w:rsidRPr="00C94C33">
              <w:rPr>
                <w:spacing w:val="48"/>
              </w:rPr>
              <w:t xml:space="preserve"> </w:t>
            </w:r>
            <w:r w:rsidR="00DF61BC" w:rsidRPr="00C94C33">
              <w:t>(0.6)</w:t>
            </w:r>
          </w:p>
        </w:tc>
        <w:tc>
          <w:tcPr>
            <w:tcW w:w="1559" w:type="dxa"/>
            <w:tcBorders>
              <w:top w:val="single" w:sz="7" w:space="0" w:color="000000"/>
              <w:left w:val="single" w:sz="6" w:space="0" w:color="000000"/>
              <w:bottom w:val="single" w:sz="6" w:space="0" w:color="000000"/>
              <w:right w:val="single" w:sz="6" w:space="0" w:color="000000"/>
            </w:tcBorders>
            <w:shd w:val="clear" w:color="auto" w:fill="auto"/>
          </w:tcPr>
          <w:p w14:paraId="01804C7F" w14:textId="77777777" w:rsidR="00DF61BC" w:rsidRPr="00C94C33" w:rsidRDefault="00DF61BC" w:rsidP="006452F4">
            <w:pPr>
              <w:pStyle w:val="Tabletext"/>
              <w:jc w:val="center"/>
            </w:pPr>
            <w:r w:rsidRPr="00C94C33">
              <w:t>0</w:t>
            </w:r>
          </w:p>
        </w:tc>
      </w:tr>
    </w:tbl>
    <w:p w14:paraId="47BA7763" w14:textId="3FFAC857"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 xml:space="preserve">There were a number of differences between the Western and Asian regions in the incidence of specific AE terms relating to laboratory abnormalities, particularly haematologic abnormalities. The sponsor states that this was due to regional differences in the selection of terms used to describe these abnormalities. For example, in the TAS-102 group, patients enrolled at sites in Asia had a higher incidence of AE preferred term of </w:t>
      </w:r>
      <w:r w:rsidR="00842E8F" w:rsidRPr="00C94C33">
        <w:rPr>
          <w:rFonts w:asciiTheme="minorHAnsi" w:hAnsiTheme="minorHAnsi"/>
        </w:rPr>
        <w:t>‘</w:t>
      </w:r>
      <w:r w:rsidRPr="00C94C33">
        <w:rPr>
          <w:rFonts w:asciiTheme="minorHAnsi" w:hAnsiTheme="minorHAnsi"/>
        </w:rPr>
        <w:t>neutrophil count decreased</w:t>
      </w:r>
      <w:r w:rsidR="00842E8F" w:rsidRPr="00C94C33">
        <w:rPr>
          <w:rFonts w:asciiTheme="minorHAnsi" w:hAnsiTheme="minorHAnsi"/>
        </w:rPr>
        <w:t>’</w:t>
      </w:r>
      <w:r w:rsidRPr="00C94C33">
        <w:rPr>
          <w:rFonts w:asciiTheme="minorHAnsi" w:hAnsiTheme="minorHAnsi"/>
        </w:rPr>
        <w:t xml:space="preserve"> compared to patients enrolled at Western sites (62.9%</w:t>
      </w:r>
      <w:r w:rsidR="00C11183">
        <w:rPr>
          <w:rFonts w:asciiTheme="minorHAnsi" w:hAnsiTheme="minorHAnsi"/>
        </w:rPr>
        <w:t xml:space="preserve"> versus </w:t>
      </w:r>
      <w:r w:rsidRPr="00C94C33">
        <w:rPr>
          <w:rFonts w:asciiTheme="minorHAnsi" w:hAnsiTheme="minorHAnsi"/>
        </w:rPr>
        <w:t xml:space="preserve">10.1%), whereas patients enrolled at Western sites had a higher incidence of AE preferred term of </w:t>
      </w:r>
      <w:r w:rsidR="00842E8F" w:rsidRPr="00C94C33">
        <w:rPr>
          <w:rFonts w:asciiTheme="minorHAnsi" w:hAnsiTheme="minorHAnsi"/>
        </w:rPr>
        <w:t>‘</w:t>
      </w:r>
      <w:r w:rsidRPr="00C94C33">
        <w:rPr>
          <w:rFonts w:asciiTheme="minorHAnsi" w:hAnsiTheme="minorHAnsi"/>
        </w:rPr>
        <w:t>neutro</w:t>
      </w:r>
      <w:r w:rsidR="00B50F67">
        <w:rPr>
          <w:rFonts w:asciiTheme="minorHAnsi" w:hAnsiTheme="minorHAnsi"/>
        </w:rPr>
        <w:t>paenia</w:t>
      </w:r>
      <w:r w:rsidR="00842E8F" w:rsidRPr="00C94C33">
        <w:rPr>
          <w:rFonts w:asciiTheme="minorHAnsi" w:hAnsiTheme="minorHAnsi"/>
        </w:rPr>
        <w:t>’</w:t>
      </w:r>
      <w:r w:rsidRPr="00C94C33">
        <w:rPr>
          <w:rFonts w:asciiTheme="minorHAnsi" w:hAnsiTheme="minorHAnsi"/>
        </w:rPr>
        <w:t xml:space="preserve"> compared to patients at Asian sites (42.8%</w:t>
      </w:r>
      <w:r w:rsidR="00C11183">
        <w:rPr>
          <w:rFonts w:asciiTheme="minorHAnsi" w:hAnsiTheme="minorHAnsi"/>
        </w:rPr>
        <w:t xml:space="preserve"> versus </w:t>
      </w:r>
      <w:r w:rsidR="006452F4">
        <w:rPr>
          <w:rFonts w:asciiTheme="minorHAnsi" w:hAnsiTheme="minorHAnsi"/>
        </w:rPr>
        <w:t>2.2%).</w:t>
      </w:r>
    </w:p>
    <w:p w14:paraId="5782E1B3" w14:textId="62B85DC0"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The marked differences between the two geographic regions in patients with haematologic AEs based on preferred terms was not observed based on Grade 3 or 4 haematologic AEs based on clinical laboratory assessments (</w:t>
      </w:r>
      <w:r w:rsidR="00B2072D" w:rsidRPr="00C94C33">
        <w:rPr>
          <w:rFonts w:asciiTheme="minorHAnsi" w:hAnsiTheme="minorHAnsi"/>
        </w:rPr>
        <w:t>that is,</w:t>
      </w:r>
      <w:r w:rsidRPr="00C94C33">
        <w:rPr>
          <w:rFonts w:asciiTheme="minorHAnsi" w:hAnsiTheme="minorHAnsi"/>
        </w:rPr>
        <w:t xml:space="preserve"> same criteria applied to all patients). </w:t>
      </w:r>
      <w:r w:rsidRPr="00C94C33">
        <w:rPr>
          <w:rFonts w:asciiTheme="minorHAnsi" w:hAnsiTheme="minorHAnsi"/>
          <w:color w:val="000000"/>
        </w:rPr>
        <w:t>Based on clinical laboratory assessments, patients enrolled at sites in Asia who received</w:t>
      </w:r>
      <w:r w:rsidRPr="00C94C33">
        <w:rPr>
          <w:rFonts w:asciiTheme="minorHAnsi" w:hAnsiTheme="minorHAnsi"/>
        </w:rPr>
        <w:t xml:space="preserve"> </w:t>
      </w:r>
      <w:r w:rsidRPr="00C94C33">
        <w:rPr>
          <w:rFonts w:asciiTheme="minorHAnsi" w:hAnsiTheme="minorHAnsi"/>
          <w:color w:val="000000"/>
        </w:rPr>
        <w:t>TAS-102, had a higher incidence (difference of at least 5%) of Grade 3 or 4 lymphocyto</w:t>
      </w:r>
      <w:r w:rsidR="00B50F67">
        <w:rPr>
          <w:rFonts w:asciiTheme="minorHAnsi" w:hAnsiTheme="minorHAnsi"/>
          <w:color w:val="000000"/>
        </w:rPr>
        <w:t>paenia</w:t>
      </w:r>
      <w:r w:rsidRPr="00C94C33">
        <w:rPr>
          <w:rFonts w:asciiTheme="minorHAnsi" w:hAnsiTheme="minorHAnsi"/>
        </w:rPr>
        <w:t xml:space="preserve"> </w:t>
      </w:r>
      <w:r w:rsidRPr="00C94C33">
        <w:rPr>
          <w:rFonts w:asciiTheme="minorHAnsi" w:hAnsiTheme="minorHAnsi"/>
          <w:color w:val="000000"/>
        </w:rPr>
        <w:t>(26.4%</w:t>
      </w:r>
      <w:r w:rsidR="00C11183">
        <w:rPr>
          <w:rFonts w:asciiTheme="minorHAnsi" w:hAnsiTheme="minorHAnsi"/>
          <w:color w:val="000000"/>
        </w:rPr>
        <w:t xml:space="preserve"> versus </w:t>
      </w:r>
      <w:r w:rsidRPr="00C94C33">
        <w:rPr>
          <w:rFonts w:asciiTheme="minorHAnsi" w:hAnsiTheme="minorHAnsi"/>
          <w:color w:val="000000"/>
        </w:rPr>
        <w:t>18.9%) and Grade 3 anaemia than patients enrolled at Western sites (23.0%</w:t>
      </w:r>
      <w:r w:rsidR="00C11183">
        <w:rPr>
          <w:rFonts w:asciiTheme="minorHAnsi" w:hAnsiTheme="minorHAnsi"/>
          <w:color w:val="000000"/>
        </w:rPr>
        <w:t xml:space="preserve"> versus </w:t>
      </w:r>
      <w:r w:rsidRPr="00C94C33">
        <w:rPr>
          <w:rFonts w:asciiTheme="minorHAnsi" w:hAnsiTheme="minorHAnsi"/>
          <w:color w:val="000000"/>
        </w:rPr>
        <w:t>15.7%), with a similar incidence of Grade 3 or 4 leuko</w:t>
      </w:r>
      <w:r w:rsidR="00B50F67">
        <w:rPr>
          <w:rFonts w:asciiTheme="minorHAnsi" w:hAnsiTheme="minorHAnsi"/>
          <w:color w:val="000000"/>
        </w:rPr>
        <w:t>paenia</w:t>
      </w:r>
      <w:r w:rsidRPr="00C94C33">
        <w:rPr>
          <w:rFonts w:asciiTheme="minorHAnsi" w:hAnsiTheme="minorHAnsi"/>
          <w:color w:val="000000"/>
        </w:rPr>
        <w:t xml:space="preserve"> (24.2%</w:t>
      </w:r>
      <w:r w:rsidR="00C11183">
        <w:rPr>
          <w:rFonts w:asciiTheme="minorHAnsi" w:hAnsiTheme="minorHAnsi"/>
          <w:color w:val="000000"/>
        </w:rPr>
        <w:t xml:space="preserve"> versus </w:t>
      </w:r>
      <w:r w:rsidRPr="00C94C33">
        <w:rPr>
          <w:rFonts w:asciiTheme="minorHAnsi" w:hAnsiTheme="minorHAnsi"/>
          <w:color w:val="000000"/>
        </w:rPr>
        <w:t>20.0%), Grade 3 or 4</w:t>
      </w:r>
      <w:r w:rsidRPr="00C94C33">
        <w:rPr>
          <w:rFonts w:asciiTheme="minorHAnsi" w:hAnsiTheme="minorHAnsi"/>
        </w:rPr>
        <w:t xml:space="preserve"> </w:t>
      </w:r>
      <w:r w:rsidRPr="00C94C33">
        <w:rPr>
          <w:rFonts w:asciiTheme="minorHAnsi" w:hAnsiTheme="minorHAnsi"/>
          <w:color w:val="000000"/>
        </w:rPr>
        <w:t>neutro</w:t>
      </w:r>
      <w:r w:rsidR="00B50F67">
        <w:rPr>
          <w:rFonts w:asciiTheme="minorHAnsi" w:hAnsiTheme="minorHAnsi"/>
          <w:color w:val="000000"/>
        </w:rPr>
        <w:t>paenia</w:t>
      </w:r>
      <w:r w:rsidRPr="00C94C33">
        <w:rPr>
          <w:rFonts w:asciiTheme="minorHAnsi" w:hAnsiTheme="minorHAnsi"/>
          <w:color w:val="000000"/>
        </w:rPr>
        <w:t xml:space="preserve"> (37.6%</w:t>
      </w:r>
      <w:r w:rsidR="00C11183">
        <w:rPr>
          <w:rFonts w:asciiTheme="minorHAnsi" w:hAnsiTheme="minorHAnsi"/>
          <w:color w:val="000000"/>
        </w:rPr>
        <w:t xml:space="preserve"> versus </w:t>
      </w:r>
      <w:r w:rsidRPr="00C94C33">
        <w:rPr>
          <w:rFonts w:asciiTheme="minorHAnsi" w:hAnsiTheme="minorHAnsi"/>
          <w:color w:val="000000"/>
        </w:rPr>
        <w:t>38.0%) and Grade 3 or 4 thrombocyto</w:t>
      </w:r>
      <w:r w:rsidR="00B50F67">
        <w:rPr>
          <w:rFonts w:asciiTheme="minorHAnsi" w:hAnsiTheme="minorHAnsi"/>
          <w:color w:val="000000"/>
        </w:rPr>
        <w:t>paenia</w:t>
      </w:r>
      <w:r w:rsidRPr="00C94C33">
        <w:rPr>
          <w:rFonts w:asciiTheme="minorHAnsi" w:hAnsiTheme="minorHAnsi"/>
          <w:color w:val="000000"/>
        </w:rPr>
        <w:t xml:space="preserve"> (6.2%</w:t>
      </w:r>
      <w:r w:rsidR="00C11183">
        <w:rPr>
          <w:rFonts w:asciiTheme="minorHAnsi" w:hAnsiTheme="minorHAnsi"/>
          <w:color w:val="000000"/>
        </w:rPr>
        <w:t xml:space="preserve"> versus </w:t>
      </w:r>
      <w:r w:rsidRPr="00C94C33">
        <w:rPr>
          <w:rFonts w:asciiTheme="minorHAnsi" w:hAnsiTheme="minorHAnsi"/>
          <w:color w:val="000000"/>
        </w:rPr>
        <w:t>4.6%). The corresponding incidence of these abnormalities in the placebo group (Asian</w:t>
      </w:r>
      <w:r w:rsidR="00C11183">
        <w:rPr>
          <w:rFonts w:asciiTheme="minorHAnsi" w:hAnsiTheme="minorHAnsi"/>
          <w:color w:val="000000"/>
        </w:rPr>
        <w:t xml:space="preserve"> versus </w:t>
      </w:r>
      <w:r w:rsidRPr="00C94C33">
        <w:rPr>
          <w:rFonts w:asciiTheme="minorHAnsi" w:hAnsiTheme="minorHAnsi"/>
          <w:color w:val="000000"/>
        </w:rPr>
        <w:t>Western) was as follows: Grade 3 or 4 leuko</w:t>
      </w:r>
      <w:r w:rsidR="00B50F67">
        <w:rPr>
          <w:rFonts w:asciiTheme="minorHAnsi" w:hAnsiTheme="minorHAnsi"/>
          <w:color w:val="000000"/>
        </w:rPr>
        <w:t>paenia</w:t>
      </w:r>
      <w:r w:rsidRPr="00C94C33">
        <w:rPr>
          <w:rFonts w:asciiTheme="minorHAnsi" w:hAnsiTheme="minorHAnsi"/>
          <w:color w:val="000000"/>
        </w:rPr>
        <w:t xml:space="preserve"> (0%</w:t>
      </w:r>
      <w:r w:rsidR="00C11183">
        <w:rPr>
          <w:rFonts w:asciiTheme="minorHAnsi" w:hAnsiTheme="minorHAnsi"/>
          <w:color w:val="000000"/>
        </w:rPr>
        <w:t xml:space="preserve"> versus </w:t>
      </w:r>
      <w:r w:rsidRPr="00C94C33">
        <w:rPr>
          <w:rFonts w:asciiTheme="minorHAnsi" w:hAnsiTheme="minorHAnsi"/>
          <w:color w:val="000000"/>
        </w:rPr>
        <w:t>0%), Grade 3 or 4 neutro</w:t>
      </w:r>
      <w:r w:rsidR="00B50F67">
        <w:rPr>
          <w:rFonts w:asciiTheme="minorHAnsi" w:hAnsiTheme="minorHAnsi"/>
          <w:color w:val="000000"/>
        </w:rPr>
        <w:t>paenia</w:t>
      </w:r>
      <w:r w:rsidRPr="00C94C33">
        <w:rPr>
          <w:rFonts w:asciiTheme="minorHAnsi" w:hAnsiTheme="minorHAnsi"/>
          <w:color w:val="000000"/>
        </w:rPr>
        <w:t xml:space="preserve"> (0%</w:t>
      </w:r>
      <w:r w:rsidR="00C11183">
        <w:rPr>
          <w:rFonts w:asciiTheme="minorHAnsi" w:hAnsiTheme="minorHAnsi"/>
          <w:color w:val="000000"/>
        </w:rPr>
        <w:t xml:space="preserve"> versus </w:t>
      </w:r>
      <w:r w:rsidRPr="00C94C33">
        <w:rPr>
          <w:rFonts w:asciiTheme="minorHAnsi" w:hAnsiTheme="minorHAnsi"/>
          <w:color w:val="000000"/>
        </w:rPr>
        <w:t>0%), Grade 3 or 4 lymphocyto</w:t>
      </w:r>
      <w:r w:rsidR="00B50F67">
        <w:rPr>
          <w:rFonts w:asciiTheme="minorHAnsi" w:hAnsiTheme="minorHAnsi"/>
          <w:color w:val="000000"/>
        </w:rPr>
        <w:t>paenia</w:t>
      </w:r>
      <w:r w:rsidRPr="00C94C33">
        <w:rPr>
          <w:rFonts w:asciiTheme="minorHAnsi" w:hAnsiTheme="minorHAnsi"/>
          <w:color w:val="000000"/>
        </w:rPr>
        <w:t xml:space="preserve"> (12.5%</w:t>
      </w:r>
      <w:r w:rsidR="00C11183">
        <w:rPr>
          <w:rFonts w:asciiTheme="minorHAnsi" w:hAnsiTheme="minorHAnsi"/>
          <w:color w:val="000000"/>
        </w:rPr>
        <w:t xml:space="preserve"> versus </w:t>
      </w:r>
      <w:r w:rsidRPr="00C94C33">
        <w:rPr>
          <w:rFonts w:asciiTheme="minorHAnsi" w:hAnsiTheme="minorHAnsi"/>
          <w:color w:val="000000"/>
        </w:rPr>
        <w:t>8.6%), Grade 3 anaemia (3.4%</w:t>
      </w:r>
      <w:r w:rsidR="00C11183">
        <w:rPr>
          <w:rFonts w:asciiTheme="minorHAnsi" w:hAnsiTheme="minorHAnsi"/>
          <w:color w:val="000000"/>
        </w:rPr>
        <w:t xml:space="preserve"> versus </w:t>
      </w:r>
      <w:r w:rsidRPr="00C94C33">
        <w:rPr>
          <w:rFonts w:asciiTheme="minorHAnsi" w:hAnsiTheme="minorHAnsi"/>
          <w:color w:val="000000"/>
        </w:rPr>
        <w:t>2.9%) and Grade 3 or 4 thrombocyto</w:t>
      </w:r>
      <w:r w:rsidR="00B50F67">
        <w:rPr>
          <w:rFonts w:asciiTheme="minorHAnsi" w:hAnsiTheme="minorHAnsi"/>
          <w:color w:val="000000"/>
        </w:rPr>
        <w:t>paenia</w:t>
      </w:r>
      <w:r w:rsidRPr="00C94C33">
        <w:rPr>
          <w:rFonts w:asciiTheme="minorHAnsi" w:hAnsiTheme="minorHAnsi"/>
          <w:color w:val="000000"/>
        </w:rPr>
        <w:t xml:space="preserve"> (1.1%</w:t>
      </w:r>
      <w:r w:rsidR="00C11183">
        <w:rPr>
          <w:rFonts w:asciiTheme="minorHAnsi" w:hAnsiTheme="minorHAnsi"/>
          <w:color w:val="000000"/>
        </w:rPr>
        <w:t xml:space="preserve"> versus </w:t>
      </w:r>
      <w:r w:rsidRPr="00C94C33">
        <w:rPr>
          <w:rFonts w:asciiTheme="minorHAnsi" w:hAnsiTheme="minorHAnsi"/>
          <w:color w:val="000000"/>
        </w:rPr>
        <w:t>0%).</w:t>
      </w:r>
      <w:r w:rsidRPr="00C94C33">
        <w:rPr>
          <w:rFonts w:asciiTheme="minorHAnsi" w:hAnsiTheme="minorHAnsi"/>
        </w:rPr>
        <w:t xml:space="preserve"> There were no notable differences between patients </w:t>
      </w:r>
      <w:r w:rsidRPr="00C94C33">
        <w:rPr>
          <w:rFonts w:asciiTheme="minorHAnsi" w:hAnsiTheme="minorHAnsi"/>
        </w:rPr>
        <w:lastRenderedPageBreak/>
        <w:t>enrolled in Asia and in the Western region in the incidence of Grade 3 or 4 serum ch</w:t>
      </w:r>
      <w:r w:rsidR="006452F4">
        <w:rPr>
          <w:rFonts w:asciiTheme="minorHAnsi" w:hAnsiTheme="minorHAnsi"/>
        </w:rPr>
        <w:t>emistry abnormalities,</w:t>
      </w:r>
    </w:p>
    <w:p w14:paraId="5319722F" w14:textId="06D60D6B" w:rsidR="00DF61BC" w:rsidRPr="00C94C33" w:rsidRDefault="00DF61BC" w:rsidP="00DF61BC">
      <w:pPr>
        <w:autoSpaceDE w:val="0"/>
        <w:autoSpaceDN w:val="0"/>
        <w:adjustRightInd w:val="0"/>
        <w:rPr>
          <w:rFonts w:asciiTheme="minorHAnsi" w:hAnsiTheme="minorHAnsi"/>
          <w:color w:val="000000"/>
        </w:rPr>
      </w:pPr>
      <w:r w:rsidRPr="00C94C33">
        <w:rPr>
          <w:rFonts w:asciiTheme="minorHAnsi" w:hAnsiTheme="minorHAnsi"/>
          <w:color w:val="000000"/>
        </w:rPr>
        <w:t>In the TAS-102 group, Asian patients had a higher incidence (difference of at least 5%) compared to Western patients for AEs (PTs) of anaemia (51.7%</w:t>
      </w:r>
      <w:r w:rsidR="00C11183">
        <w:rPr>
          <w:rFonts w:asciiTheme="minorHAnsi" w:hAnsiTheme="minorHAnsi"/>
          <w:color w:val="000000"/>
        </w:rPr>
        <w:t xml:space="preserve"> versus </w:t>
      </w:r>
      <w:r w:rsidRPr="00C94C33">
        <w:rPr>
          <w:rFonts w:asciiTheme="minorHAnsi" w:hAnsiTheme="minorHAnsi"/>
          <w:color w:val="000000"/>
        </w:rPr>
        <w:t>34.4%), abdominal distension (7.9%</w:t>
      </w:r>
      <w:r w:rsidR="00C11183">
        <w:rPr>
          <w:rFonts w:asciiTheme="minorHAnsi" w:hAnsiTheme="minorHAnsi"/>
          <w:color w:val="000000"/>
        </w:rPr>
        <w:t xml:space="preserve"> versus </w:t>
      </w:r>
      <w:r w:rsidRPr="00C94C33">
        <w:rPr>
          <w:rFonts w:asciiTheme="minorHAnsi" w:hAnsiTheme="minorHAnsi"/>
          <w:color w:val="000000"/>
        </w:rPr>
        <w:t>2.5%), nausea (54.5%</w:t>
      </w:r>
      <w:r w:rsidR="00C11183">
        <w:rPr>
          <w:rFonts w:asciiTheme="minorHAnsi" w:hAnsiTheme="minorHAnsi"/>
          <w:color w:val="000000"/>
        </w:rPr>
        <w:t xml:space="preserve"> versus </w:t>
      </w:r>
      <w:r w:rsidRPr="00C94C33">
        <w:rPr>
          <w:rFonts w:asciiTheme="minorHAnsi" w:hAnsiTheme="minorHAnsi"/>
          <w:color w:val="000000"/>
        </w:rPr>
        <w:t>45.4%), stomatitis (13.5%</w:t>
      </w:r>
      <w:r w:rsidR="00C11183">
        <w:rPr>
          <w:rFonts w:asciiTheme="minorHAnsi" w:hAnsiTheme="minorHAnsi"/>
          <w:color w:val="000000"/>
        </w:rPr>
        <w:t xml:space="preserve"> versus </w:t>
      </w:r>
      <w:r w:rsidRPr="00C94C33">
        <w:rPr>
          <w:rFonts w:asciiTheme="minorHAnsi" w:hAnsiTheme="minorHAnsi"/>
          <w:color w:val="000000"/>
        </w:rPr>
        <w:t>5.1%), fatigue (41.6%</w:t>
      </w:r>
      <w:r w:rsidR="00C11183">
        <w:rPr>
          <w:rFonts w:asciiTheme="minorHAnsi" w:hAnsiTheme="minorHAnsi"/>
          <w:color w:val="000000"/>
        </w:rPr>
        <w:t xml:space="preserve"> versus </w:t>
      </w:r>
      <w:r w:rsidRPr="00C94C33">
        <w:rPr>
          <w:rFonts w:asciiTheme="minorHAnsi" w:hAnsiTheme="minorHAnsi"/>
          <w:color w:val="000000"/>
        </w:rPr>
        <w:t>32.1%), malaise (10.1%</w:t>
      </w:r>
      <w:r w:rsidR="00C11183">
        <w:rPr>
          <w:rFonts w:asciiTheme="minorHAnsi" w:hAnsiTheme="minorHAnsi"/>
          <w:color w:val="000000"/>
        </w:rPr>
        <w:t xml:space="preserve"> versus </w:t>
      </w:r>
      <w:r w:rsidRPr="00C94C33">
        <w:rPr>
          <w:rFonts w:asciiTheme="minorHAnsi" w:hAnsiTheme="minorHAnsi"/>
          <w:color w:val="000000"/>
        </w:rPr>
        <w:t>1.4%), pyrexia (23.0%</w:t>
      </w:r>
      <w:r w:rsidR="00C11183">
        <w:rPr>
          <w:rFonts w:asciiTheme="minorHAnsi" w:hAnsiTheme="minorHAnsi"/>
          <w:color w:val="000000"/>
        </w:rPr>
        <w:t xml:space="preserve"> versus </w:t>
      </w:r>
      <w:r w:rsidRPr="00C94C33">
        <w:rPr>
          <w:rFonts w:asciiTheme="minorHAnsi" w:hAnsiTheme="minorHAnsi"/>
          <w:color w:val="000000"/>
        </w:rPr>
        <w:t>16.1%), upper respiratory tract infection (7.9%</w:t>
      </w:r>
      <w:r w:rsidR="00C11183">
        <w:rPr>
          <w:rFonts w:asciiTheme="minorHAnsi" w:hAnsiTheme="minorHAnsi"/>
          <w:color w:val="000000"/>
        </w:rPr>
        <w:t xml:space="preserve"> versus </w:t>
      </w:r>
      <w:r w:rsidRPr="00C94C33">
        <w:rPr>
          <w:rFonts w:asciiTheme="minorHAnsi" w:hAnsiTheme="minorHAnsi"/>
          <w:color w:val="000000"/>
        </w:rPr>
        <w:t>0.8%), blood bilirubin increased (12.9%</w:t>
      </w:r>
      <w:r w:rsidR="00C11183">
        <w:rPr>
          <w:rFonts w:asciiTheme="minorHAnsi" w:hAnsiTheme="minorHAnsi"/>
          <w:color w:val="000000"/>
        </w:rPr>
        <w:t xml:space="preserve"> versus </w:t>
      </w:r>
      <w:r w:rsidRPr="00C94C33">
        <w:rPr>
          <w:rFonts w:asciiTheme="minorHAnsi" w:hAnsiTheme="minorHAnsi"/>
          <w:color w:val="000000"/>
        </w:rPr>
        <w:t>6.2%), C-reactive protein increased (7.9%</w:t>
      </w:r>
      <w:r w:rsidR="00C11183">
        <w:rPr>
          <w:rFonts w:asciiTheme="minorHAnsi" w:hAnsiTheme="minorHAnsi"/>
          <w:color w:val="000000"/>
        </w:rPr>
        <w:t xml:space="preserve"> versus </w:t>
      </w:r>
      <w:r w:rsidRPr="00C94C33">
        <w:rPr>
          <w:rFonts w:asciiTheme="minorHAnsi" w:hAnsiTheme="minorHAnsi"/>
          <w:color w:val="000000"/>
        </w:rPr>
        <w:t>0.6%), neutrophil count decreased (62.9%</w:t>
      </w:r>
      <w:r w:rsidR="00C11183">
        <w:rPr>
          <w:rFonts w:asciiTheme="minorHAnsi" w:hAnsiTheme="minorHAnsi"/>
          <w:color w:val="000000"/>
        </w:rPr>
        <w:t xml:space="preserve"> versus </w:t>
      </w:r>
      <w:r w:rsidRPr="00C94C33">
        <w:rPr>
          <w:rFonts w:asciiTheme="minorHAnsi" w:hAnsiTheme="minorHAnsi"/>
          <w:color w:val="000000"/>
        </w:rPr>
        <w:t>10.1%), platelet count decreased (33.7%</w:t>
      </w:r>
      <w:r w:rsidR="00C11183">
        <w:rPr>
          <w:rFonts w:asciiTheme="minorHAnsi" w:hAnsiTheme="minorHAnsi"/>
          <w:color w:val="000000"/>
        </w:rPr>
        <w:t xml:space="preserve"> versus </w:t>
      </w:r>
      <w:r w:rsidRPr="00C94C33">
        <w:rPr>
          <w:rFonts w:asciiTheme="minorHAnsi" w:hAnsiTheme="minorHAnsi"/>
          <w:color w:val="000000"/>
        </w:rPr>
        <w:t>5.9%), WBC count decreased (65.2%</w:t>
      </w:r>
      <w:r w:rsidR="00C11183">
        <w:rPr>
          <w:rFonts w:asciiTheme="minorHAnsi" w:hAnsiTheme="minorHAnsi"/>
          <w:color w:val="000000"/>
        </w:rPr>
        <w:t xml:space="preserve"> versus </w:t>
      </w:r>
      <w:r w:rsidRPr="00C94C33">
        <w:rPr>
          <w:rFonts w:asciiTheme="minorHAnsi" w:hAnsiTheme="minorHAnsi"/>
          <w:color w:val="000000"/>
        </w:rPr>
        <w:t>8.5%), decreased appetite (53.4%</w:t>
      </w:r>
      <w:r w:rsidR="00C11183">
        <w:rPr>
          <w:rFonts w:asciiTheme="minorHAnsi" w:hAnsiTheme="minorHAnsi"/>
          <w:color w:val="000000"/>
        </w:rPr>
        <w:t xml:space="preserve"> versus </w:t>
      </w:r>
      <w:r w:rsidRPr="00C94C33">
        <w:rPr>
          <w:rFonts w:asciiTheme="minorHAnsi" w:hAnsiTheme="minorHAnsi"/>
          <w:color w:val="000000"/>
        </w:rPr>
        <w:t>31.8%), and pruritus (7.9%</w:t>
      </w:r>
      <w:r w:rsidR="00C11183">
        <w:rPr>
          <w:rFonts w:asciiTheme="minorHAnsi" w:hAnsiTheme="minorHAnsi"/>
          <w:color w:val="000000"/>
        </w:rPr>
        <w:t xml:space="preserve"> versus </w:t>
      </w:r>
      <w:r w:rsidRPr="00C94C33">
        <w:rPr>
          <w:rFonts w:asciiTheme="minorHAnsi" w:hAnsiTheme="minorHAnsi"/>
          <w:color w:val="000000"/>
        </w:rPr>
        <w:t>2.5%) The corresponding incidence of these AEs in the placebo group (Asian</w:t>
      </w:r>
      <w:r w:rsidR="00C11183">
        <w:rPr>
          <w:rFonts w:asciiTheme="minorHAnsi" w:hAnsiTheme="minorHAnsi"/>
          <w:color w:val="000000"/>
        </w:rPr>
        <w:t xml:space="preserve"> versus </w:t>
      </w:r>
      <w:r w:rsidRPr="00C94C33">
        <w:rPr>
          <w:rFonts w:asciiTheme="minorHAnsi" w:hAnsiTheme="minorHAnsi"/>
          <w:color w:val="000000"/>
        </w:rPr>
        <w:t>Western) was as follows: anaemia (11.9%</w:t>
      </w:r>
      <w:r w:rsidR="00C11183">
        <w:rPr>
          <w:rFonts w:asciiTheme="minorHAnsi" w:hAnsiTheme="minorHAnsi"/>
          <w:color w:val="000000"/>
        </w:rPr>
        <w:t xml:space="preserve"> versus </w:t>
      </w:r>
      <w:r w:rsidRPr="00C94C33">
        <w:rPr>
          <w:rFonts w:asciiTheme="minorHAnsi" w:hAnsiTheme="minorHAnsi"/>
          <w:color w:val="000000"/>
        </w:rPr>
        <w:t>9.1%), abdominal distension (8.0%</w:t>
      </w:r>
      <w:r w:rsidR="00C11183">
        <w:rPr>
          <w:rFonts w:asciiTheme="minorHAnsi" w:hAnsiTheme="minorHAnsi"/>
          <w:color w:val="000000"/>
        </w:rPr>
        <w:t xml:space="preserve"> versus </w:t>
      </w:r>
      <w:r w:rsidRPr="00C94C33">
        <w:rPr>
          <w:rFonts w:asciiTheme="minorHAnsi" w:hAnsiTheme="minorHAnsi"/>
          <w:color w:val="000000"/>
        </w:rPr>
        <w:t>3.4%), nausea (27.3%</w:t>
      </w:r>
      <w:r w:rsidR="00C11183">
        <w:rPr>
          <w:rFonts w:asciiTheme="minorHAnsi" w:hAnsiTheme="minorHAnsi"/>
          <w:color w:val="000000"/>
        </w:rPr>
        <w:t xml:space="preserve"> versus </w:t>
      </w:r>
      <w:r w:rsidRPr="00C94C33">
        <w:rPr>
          <w:rFonts w:asciiTheme="minorHAnsi" w:hAnsiTheme="minorHAnsi"/>
          <w:color w:val="000000"/>
        </w:rPr>
        <w:t>22.0%), stomatitis (9.1%</w:t>
      </w:r>
      <w:r w:rsidR="00C11183">
        <w:rPr>
          <w:rFonts w:asciiTheme="minorHAnsi" w:hAnsiTheme="minorHAnsi"/>
          <w:color w:val="000000"/>
        </w:rPr>
        <w:t xml:space="preserve"> versus </w:t>
      </w:r>
      <w:r w:rsidRPr="00C94C33">
        <w:rPr>
          <w:rFonts w:asciiTheme="minorHAnsi" w:hAnsiTheme="minorHAnsi"/>
          <w:color w:val="000000"/>
        </w:rPr>
        <w:t>4.5%), fatigue (18.2%</w:t>
      </w:r>
      <w:r w:rsidR="00C11183">
        <w:rPr>
          <w:rFonts w:asciiTheme="minorHAnsi" w:hAnsiTheme="minorHAnsi"/>
          <w:color w:val="000000"/>
        </w:rPr>
        <w:t xml:space="preserve"> versus </w:t>
      </w:r>
      <w:r w:rsidRPr="00C94C33">
        <w:rPr>
          <w:rFonts w:asciiTheme="minorHAnsi" w:hAnsiTheme="minorHAnsi"/>
          <w:color w:val="000000"/>
        </w:rPr>
        <w:t>26.0%), malaise (6.8%</w:t>
      </w:r>
      <w:r w:rsidR="00C11183">
        <w:rPr>
          <w:rFonts w:asciiTheme="minorHAnsi" w:hAnsiTheme="minorHAnsi"/>
          <w:color w:val="000000"/>
        </w:rPr>
        <w:t xml:space="preserve"> versus </w:t>
      </w:r>
      <w:r w:rsidRPr="00C94C33">
        <w:rPr>
          <w:rFonts w:asciiTheme="minorHAnsi" w:hAnsiTheme="minorHAnsi"/>
          <w:color w:val="000000"/>
        </w:rPr>
        <w:t>0%), pyrexia (14.8%</w:t>
      </w:r>
      <w:r w:rsidR="00C11183">
        <w:rPr>
          <w:rFonts w:asciiTheme="minorHAnsi" w:hAnsiTheme="minorHAnsi"/>
          <w:color w:val="000000"/>
        </w:rPr>
        <w:t xml:space="preserve"> versus </w:t>
      </w:r>
      <w:r w:rsidRPr="00C94C33">
        <w:rPr>
          <w:rFonts w:asciiTheme="minorHAnsi" w:hAnsiTheme="minorHAnsi"/>
          <w:color w:val="000000"/>
        </w:rPr>
        <w:t>13.6%), upper respiratory tract infection (2.3%</w:t>
      </w:r>
      <w:r w:rsidR="00C11183">
        <w:rPr>
          <w:rFonts w:asciiTheme="minorHAnsi" w:hAnsiTheme="minorHAnsi"/>
          <w:color w:val="000000"/>
        </w:rPr>
        <w:t xml:space="preserve"> versus </w:t>
      </w:r>
      <w:r w:rsidRPr="00C94C33">
        <w:rPr>
          <w:rFonts w:asciiTheme="minorHAnsi" w:hAnsiTheme="minorHAnsi"/>
          <w:color w:val="000000"/>
        </w:rPr>
        <w:t>1.1%), blood bilirubin increased (4.5%</w:t>
      </w:r>
      <w:r w:rsidR="00C11183">
        <w:rPr>
          <w:rFonts w:asciiTheme="minorHAnsi" w:hAnsiTheme="minorHAnsi"/>
          <w:color w:val="000000"/>
        </w:rPr>
        <w:t xml:space="preserve"> versus </w:t>
      </w:r>
      <w:r w:rsidRPr="00C94C33">
        <w:rPr>
          <w:rFonts w:asciiTheme="minorHAnsi" w:hAnsiTheme="minorHAnsi"/>
          <w:color w:val="000000"/>
        </w:rPr>
        <w:t>9.0%), neutrophil count decreased (1.1%</w:t>
      </w:r>
      <w:r w:rsidR="00C11183">
        <w:rPr>
          <w:rFonts w:asciiTheme="minorHAnsi" w:hAnsiTheme="minorHAnsi"/>
          <w:color w:val="000000"/>
        </w:rPr>
        <w:t xml:space="preserve"> versus </w:t>
      </w:r>
      <w:r w:rsidRPr="00C94C33">
        <w:rPr>
          <w:rFonts w:asciiTheme="minorHAnsi" w:hAnsiTheme="minorHAnsi"/>
          <w:color w:val="000000"/>
        </w:rPr>
        <w:t>0%), platelet count decreased (2.3%</w:t>
      </w:r>
      <w:r w:rsidR="00C11183">
        <w:rPr>
          <w:rFonts w:asciiTheme="minorHAnsi" w:hAnsiTheme="minorHAnsi"/>
          <w:color w:val="000000"/>
        </w:rPr>
        <w:t xml:space="preserve"> versus </w:t>
      </w:r>
      <w:r w:rsidRPr="00C94C33">
        <w:rPr>
          <w:rFonts w:asciiTheme="minorHAnsi" w:hAnsiTheme="minorHAnsi"/>
          <w:color w:val="000000"/>
        </w:rPr>
        <w:t>2.3%), WBC count decreased (1.1%</w:t>
      </w:r>
      <w:r w:rsidR="00C11183">
        <w:rPr>
          <w:rFonts w:asciiTheme="minorHAnsi" w:hAnsiTheme="minorHAnsi"/>
          <w:color w:val="000000"/>
        </w:rPr>
        <w:t xml:space="preserve"> versus </w:t>
      </w:r>
      <w:r w:rsidRPr="00C94C33">
        <w:rPr>
          <w:rFonts w:asciiTheme="minorHAnsi" w:hAnsiTheme="minorHAnsi"/>
          <w:color w:val="000000"/>
        </w:rPr>
        <w:t>0%),  decreased appetite (37.5%</w:t>
      </w:r>
      <w:r w:rsidR="00C11183">
        <w:rPr>
          <w:rFonts w:asciiTheme="minorHAnsi" w:hAnsiTheme="minorHAnsi"/>
          <w:color w:val="000000"/>
        </w:rPr>
        <w:t xml:space="preserve"> versus </w:t>
      </w:r>
      <w:r w:rsidRPr="00C94C33">
        <w:rPr>
          <w:rFonts w:asciiTheme="minorHAnsi" w:hAnsiTheme="minorHAnsi"/>
          <w:color w:val="000000"/>
        </w:rPr>
        <w:t>25.4%), and pruritus (9.1%</w:t>
      </w:r>
      <w:r w:rsidR="00C11183">
        <w:rPr>
          <w:rFonts w:asciiTheme="minorHAnsi" w:hAnsiTheme="minorHAnsi"/>
          <w:color w:val="000000"/>
        </w:rPr>
        <w:t xml:space="preserve"> versus </w:t>
      </w:r>
      <w:r w:rsidRPr="00C94C33">
        <w:rPr>
          <w:rFonts w:asciiTheme="minorHAnsi" w:hAnsiTheme="minorHAnsi"/>
          <w:color w:val="000000"/>
        </w:rPr>
        <w:t>2.8%).</w:t>
      </w:r>
    </w:p>
    <w:p w14:paraId="123E4CF8" w14:textId="4382F23F"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In the TAS-102 group, Western patients had a higher incidence (difference of at least 5%) compared to Asian patients for AEs (PTs) of neutro</w:t>
      </w:r>
      <w:r w:rsidR="00B50F67">
        <w:rPr>
          <w:rFonts w:asciiTheme="minorHAnsi" w:hAnsiTheme="minorHAnsi"/>
        </w:rPr>
        <w:t>paenia</w:t>
      </w:r>
      <w:r w:rsidRPr="00C94C33">
        <w:rPr>
          <w:rFonts w:asciiTheme="minorHAnsi" w:hAnsiTheme="minorHAnsi"/>
        </w:rPr>
        <w:t xml:space="preserve"> (42.8%</w:t>
      </w:r>
      <w:r w:rsidR="00C11183">
        <w:rPr>
          <w:rFonts w:asciiTheme="minorHAnsi" w:hAnsiTheme="minorHAnsi"/>
        </w:rPr>
        <w:t xml:space="preserve"> versus </w:t>
      </w:r>
      <w:r w:rsidRPr="00C94C33">
        <w:rPr>
          <w:rFonts w:asciiTheme="minorHAnsi" w:hAnsiTheme="minorHAnsi"/>
        </w:rPr>
        <w:t>2.2%), leuko</w:t>
      </w:r>
      <w:r w:rsidR="00B50F67">
        <w:rPr>
          <w:rFonts w:asciiTheme="minorHAnsi" w:hAnsiTheme="minorHAnsi"/>
        </w:rPr>
        <w:t>paenia</w:t>
      </w:r>
      <w:r w:rsidRPr="00C94C33">
        <w:rPr>
          <w:rFonts w:asciiTheme="minorHAnsi" w:hAnsiTheme="minorHAnsi"/>
        </w:rPr>
        <w:t xml:space="preserve"> (7.6%</w:t>
      </w:r>
      <w:r w:rsidR="00C11183">
        <w:rPr>
          <w:rFonts w:asciiTheme="minorHAnsi" w:hAnsiTheme="minorHAnsi"/>
        </w:rPr>
        <w:t xml:space="preserve"> versus </w:t>
      </w:r>
      <w:r w:rsidRPr="00C94C33">
        <w:rPr>
          <w:rFonts w:asciiTheme="minorHAnsi" w:hAnsiTheme="minorHAnsi"/>
        </w:rPr>
        <w:t>1.1%), thrombocyto</w:t>
      </w:r>
      <w:r w:rsidR="00B50F67">
        <w:rPr>
          <w:rFonts w:asciiTheme="minorHAnsi" w:hAnsiTheme="minorHAnsi"/>
        </w:rPr>
        <w:t>paenia</w:t>
      </w:r>
      <w:r w:rsidRPr="00C94C33">
        <w:rPr>
          <w:rFonts w:asciiTheme="minorHAnsi" w:hAnsiTheme="minorHAnsi"/>
        </w:rPr>
        <w:t xml:space="preserve"> (10.4%</w:t>
      </w:r>
      <w:r w:rsidR="00C11183">
        <w:rPr>
          <w:rFonts w:asciiTheme="minorHAnsi" w:hAnsiTheme="minorHAnsi"/>
        </w:rPr>
        <w:t xml:space="preserve"> versus </w:t>
      </w:r>
      <w:r w:rsidRPr="00C94C33">
        <w:rPr>
          <w:rFonts w:asciiTheme="minorHAnsi" w:hAnsiTheme="minorHAnsi"/>
        </w:rPr>
        <w:t>0%), abdominal pain (17.7%</w:t>
      </w:r>
      <w:r w:rsidR="00C11183">
        <w:rPr>
          <w:rFonts w:asciiTheme="minorHAnsi" w:hAnsiTheme="minorHAnsi"/>
        </w:rPr>
        <w:t xml:space="preserve"> versus </w:t>
      </w:r>
      <w:r w:rsidRPr="00C94C33">
        <w:rPr>
          <w:rFonts w:asciiTheme="minorHAnsi" w:hAnsiTheme="minorHAnsi"/>
        </w:rPr>
        <w:t>9.0%), asthenia (27.3%</w:t>
      </w:r>
      <w:r w:rsidR="00C11183">
        <w:rPr>
          <w:rFonts w:asciiTheme="minorHAnsi" w:hAnsiTheme="minorHAnsi"/>
        </w:rPr>
        <w:t xml:space="preserve"> versus </w:t>
      </w:r>
      <w:r w:rsidRPr="00C94C33">
        <w:rPr>
          <w:rFonts w:asciiTheme="minorHAnsi" w:hAnsiTheme="minorHAnsi"/>
        </w:rPr>
        <w:t>0%), mucosal inflammation (8.2%</w:t>
      </w:r>
      <w:r w:rsidR="00C11183">
        <w:rPr>
          <w:rFonts w:asciiTheme="minorHAnsi" w:hAnsiTheme="minorHAnsi"/>
        </w:rPr>
        <w:t xml:space="preserve"> versus </w:t>
      </w:r>
      <w:r w:rsidRPr="00C94C33">
        <w:rPr>
          <w:rFonts w:asciiTheme="minorHAnsi" w:hAnsiTheme="minorHAnsi"/>
        </w:rPr>
        <w:t>0.6%), hypokalaemia (5.1%</w:t>
      </w:r>
      <w:r w:rsidR="00C11183">
        <w:rPr>
          <w:rFonts w:asciiTheme="minorHAnsi" w:hAnsiTheme="minorHAnsi"/>
        </w:rPr>
        <w:t xml:space="preserve"> versus </w:t>
      </w:r>
      <w:r w:rsidRPr="00C94C33">
        <w:rPr>
          <w:rFonts w:asciiTheme="minorHAnsi" w:hAnsiTheme="minorHAnsi"/>
        </w:rPr>
        <w:t>1.1%), back pain (10.1%</w:t>
      </w:r>
      <w:r w:rsidR="00C11183">
        <w:rPr>
          <w:rFonts w:asciiTheme="minorHAnsi" w:hAnsiTheme="minorHAnsi"/>
        </w:rPr>
        <w:t xml:space="preserve"> versus </w:t>
      </w:r>
      <w:r w:rsidRPr="00C94C33">
        <w:rPr>
          <w:rFonts w:asciiTheme="minorHAnsi" w:hAnsiTheme="minorHAnsi"/>
        </w:rPr>
        <w:t>3.4%), and dyspnoea (14.1%</w:t>
      </w:r>
      <w:r w:rsidR="00C11183">
        <w:rPr>
          <w:rFonts w:asciiTheme="minorHAnsi" w:hAnsiTheme="minorHAnsi"/>
        </w:rPr>
        <w:t xml:space="preserve"> versus </w:t>
      </w:r>
      <w:r w:rsidRPr="00C94C33">
        <w:rPr>
          <w:rFonts w:asciiTheme="minorHAnsi" w:hAnsiTheme="minorHAnsi"/>
        </w:rPr>
        <w:t>3.4%). The corresponding incidence of these AEs in the placebo group (Western</w:t>
      </w:r>
      <w:r w:rsidR="00C11183">
        <w:rPr>
          <w:rFonts w:asciiTheme="minorHAnsi" w:hAnsiTheme="minorHAnsi"/>
        </w:rPr>
        <w:t xml:space="preserve"> versus </w:t>
      </w:r>
      <w:r w:rsidRPr="00C94C33">
        <w:rPr>
          <w:rFonts w:asciiTheme="minorHAnsi" w:hAnsiTheme="minorHAnsi"/>
        </w:rPr>
        <w:t>Asian) was as follows: neutro</w:t>
      </w:r>
      <w:r w:rsidR="00B50F67">
        <w:rPr>
          <w:rFonts w:asciiTheme="minorHAnsi" w:hAnsiTheme="minorHAnsi"/>
        </w:rPr>
        <w:t>paenia</w:t>
      </w:r>
      <w:r w:rsidRPr="00C94C33">
        <w:rPr>
          <w:rFonts w:asciiTheme="minorHAnsi" w:hAnsiTheme="minorHAnsi"/>
        </w:rPr>
        <w:t xml:space="preserve"> (0%</w:t>
      </w:r>
      <w:r w:rsidR="00C11183">
        <w:rPr>
          <w:rFonts w:asciiTheme="minorHAnsi" w:hAnsiTheme="minorHAnsi"/>
        </w:rPr>
        <w:t xml:space="preserve"> versus </w:t>
      </w:r>
      <w:r w:rsidRPr="00C94C33">
        <w:rPr>
          <w:rFonts w:asciiTheme="minorHAnsi" w:hAnsiTheme="minorHAnsi"/>
        </w:rPr>
        <w:t>0%), leuko</w:t>
      </w:r>
      <w:r w:rsidR="00B50F67">
        <w:rPr>
          <w:rFonts w:asciiTheme="minorHAnsi" w:hAnsiTheme="minorHAnsi"/>
        </w:rPr>
        <w:t>paenia</w:t>
      </w:r>
      <w:r w:rsidRPr="00C94C33">
        <w:rPr>
          <w:rFonts w:asciiTheme="minorHAnsi" w:hAnsiTheme="minorHAnsi"/>
        </w:rPr>
        <w:t xml:space="preserve"> (0%</w:t>
      </w:r>
      <w:r w:rsidR="00C11183">
        <w:rPr>
          <w:rFonts w:asciiTheme="minorHAnsi" w:hAnsiTheme="minorHAnsi"/>
        </w:rPr>
        <w:t xml:space="preserve"> versus </w:t>
      </w:r>
      <w:r w:rsidRPr="00C94C33">
        <w:rPr>
          <w:rFonts w:asciiTheme="minorHAnsi" w:hAnsiTheme="minorHAnsi"/>
        </w:rPr>
        <w:t>0%), thrombocyto</w:t>
      </w:r>
      <w:r w:rsidR="00B50F67">
        <w:rPr>
          <w:rFonts w:asciiTheme="minorHAnsi" w:hAnsiTheme="minorHAnsi"/>
        </w:rPr>
        <w:t>paenia</w:t>
      </w:r>
      <w:r w:rsidRPr="00C94C33">
        <w:rPr>
          <w:rFonts w:asciiTheme="minorHAnsi" w:hAnsiTheme="minorHAnsi"/>
        </w:rPr>
        <w:t xml:space="preserve"> (0%</w:t>
      </w:r>
      <w:r w:rsidR="00C11183">
        <w:rPr>
          <w:rFonts w:asciiTheme="minorHAnsi" w:hAnsiTheme="minorHAnsi"/>
        </w:rPr>
        <w:t xml:space="preserve"> versus </w:t>
      </w:r>
      <w:r w:rsidRPr="00C94C33">
        <w:rPr>
          <w:rFonts w:asciiTheme="minorHAnsi" w:hAnsiTheme="minorHAnsi"/>
        </w:rPr>
        <w:t>1.1%), abdominal pain (15.8%</w:t>
      </w:r>
      <w:r w:rsidR="00C11183">
        <w:rPr>
          <w:rFonts w:asciiTheme="minorHAnsi" w:hAnsiTheme="minorHAnsi"/>
        </w:rPr>
        <w:t xml:space="preserve"> versus </w:t>
      </w:r>
      <w:r w:rsidRPr="00C94C33">
        <w:rPr>
          <w:rFonts w:asciiTheme="minorHAnsi" w:hAnsiTheme="minorHAnsi"/>
        </w:rPr>
        <w:t>9.1%), asthenia (16.9%</w:t>
      </w:r>
      <w:r w:rsidR="00C11183">
        <w:rPr>
          <w:rFonts w:asciiTheme="minorHAnsi" w:hAnsiTheme="minorHAnsi"/>
        </w:rPr>
        <w:t xml:space="preserve"> versus </w:t>
      </w:r>
      <w:r w:rsidRPr="00C94C33">
        <w:rPr>
          <w:rFonts w:asciiTheme="minorHAnsi" w:hAnsiTheme="minorHAnsi"/>
        </w:rPr>
        <w:t>0%), mucosal inflammation (6.2%</w:t>
      </w:r>
      <w:r w:rsidR="00C11183">
        <w:rPr>
          <w:rFonts w:asciiTheme="minorHAnsi" w:hAnsiTheme="minorHAnsi"/>
        </w:rPr>
        <w:t xml:space="preserve"> versus </w:t>
      </w:r>
      <w:r w:rsidRPr="00C94C33">
        <w:rPr>
          <w:rFonts w:asciiTheme="minorHAnsi" w:hAnsiTheme="minorHAnsi"/>
        </w:rPr>
        <w:t>1.1%), hypokalaemia (2.8%</w:t>
      </w:r>
      <w:r w:rsidR="00C11183">
        <w:rPr>
          <w:rFonts w:asciiTheme="minorHAnsi" w:hAnsiTheme="minorHAnsi"/>
        </w:rPr>
        <w:t xml:space="preserve"> versus </w:t>
      </w:r>
      <w:r w:rsidRPr="00C94C33">
        <w:rPr>
          <w:rFonts w:asciiTheme="minorHAnsi" w:hAnsiTheme="minorHAnsi"/>
        </w:rPr>
        <w:t>0%), back pain (7.3%</w:t>
      </w:r>
      <w:r w:rsidR="00C11183">
        <w:rPr>
          <w:rFonts w:asciiTheme="minorHAnsi" w:hAnsiTheme="minorHAnsi"/>
        </w:rPr>
        <w:t xml:space="preserve"> versus </w:t>
      </w:r>
      <w:r w:rsidRPr="00C94C33">
        <w:rPr>
          <w:rFonts w:asciiTheme="minorHAnsi" w:hAnsiTheme="minorHAnsi"/>
        </w:rPr>
        <w:t>5.7%), and dyspnoea (15.3%</w:t>
      </w:r>
      <w:r w:rsidR="00C11183">
        <w:rPr>
          <w:rFonts w:asciiTheme="minorHAnsi" w:hAnsiTheme="minorHAnsi"/>
        </w:rPr>
        <w:t xml:space="preserve"> versus </w:t>
      </w:r>
      <w:r w:rsidRPr="00C94C33">
        <w:rPr>
          <w:rFonts w:asciiTheme="minorHAnsi" w:hAnsiTheme="minorHAnsi"/>
        </w:rPr>
        <w:t>8.0%).</w:t>
      </w:r>
    </w:p>
    <w:p w14:paraId="7B1B7C0A" w14:textId="2CFDAFB9" w:rsidR="00DF61BC" w:rsidRPr="00C94C33" w:rsidRDefault="00DF61BC" w:rsidP="005C2FCA">
      <w:pPr>
        <w:pStyle w:val="Comment"/>
      </w:pPr>
      <w:r w:rsidRPr="005C2FCA">
        <w:rPr>
          <w:b/>
        </w:rPr>
        <w:t>Comment:</w:t>
      </w:r>
      <w:r w:rsidRPr="00C94C33">
        <w:t xml:space="preserve"> </w:t>
      </w:r>
      <w:r w:rsidR="00C26C44">
        <w:t xml:space="preserve"> </w:t>
      </w:r>
      <w:r w:rsidRPr="00C94C33">
        <w:t xml:space="preserve">The sponsor commented that </w:t>
      </w:r>
      <w:r w:rsidR="00842E8F" w:rsidRPr="00C94C33">
        <w:t>‘</w:t>
      </w:r>
      <w:r w:rsidR="00A0007E" w:rsidRPr="00C94C33">
        <w:t>(</w:t>
      </w:r>
      <w:r w:rsidRPr="00C94C33">
        <w:t>t</w:t>
      </w:r>
      <w:r w:rsidR="00A0007E" w:rsidRPr="00C94C33">
        <w:t>)</w:t>
      </w:r>
      <w:r w:rsidRPr="00C94C33">
        <w:t xml:space="preserve">he observed differences between Western and Asian patients </w:t>
      </w:r>
      <w:r w:rsidR="00A0007E" w:rsidRPr="00C94C33">
        <w:t>(</w:t>
      </w:r>
      <w:r w:rsidRPr="00C94C33">
        <w:t>in the incidence of AEs</w:t>
      </w:r>
      <w:r w:rsidR="00A0007E" w:rsidRPr="00C94C33">
        <w:t>)</w:t>
      </w:r>
      <w:r w:rsidRPr="00C94C33">
        <w:t xml:space="preserve"> showed similar trends in both treatment groups </w:t>
      </w:r>
      <w:r w:rsidR="00A0007E" w:rsidRPr="00C94C33">
        <w:t>(</w:t>
      </w:r>
      <w:r w:rsidRPr="00C94C33">
        <w:t>TAS-102 and placebo</w:t>
      </w:r>
      <w:r w:rsidR="00A0007E" w:rsidRPr="00C94C33">
        <w:t>)</w:t>
      </w:r>
      <w:r w:rsidRPr="00C94C33">
        <w:t>, indicating slight differences for the two regions in AE reporting patterns. Those differences reflect subtle regional differences in the usage of terms (e.g., asthenia</w:t>
      </w:r>
      <w:r w:rsidR="00C11183">
        <w:t xml:space="preserve"> versus </w:t>
      </w:r>
      <w:r w:rsidRPr="00C94C33">
        <w:t>fatigue) as well as probably cultural differences that influence how patients report events</w:t>
      </w:r>
      <w:r w:rsidR="00842E8F" w:rsidRPr="00C94C33">
        <w:t>’</w:t>
      </w:r>
      <w:r w:rsidRPr="00C94C33">
        <w:t>. The reasons for the difference in the incidence of AEs between the two geographic regions postulated by th</w:t>
      </w:r>
      <w:r w:rsidR="006452F4">
        <w:t>e sponsor are not unreasonable.</w:t>
      </w:r>
    </w:p>
    <w:p w14:paraId="68728371" w14:textId="77777777" w:rsidR="00DF61BC" w:rsidRPr="00C94C33" w:rsidRDefault="00DF61BC" w:rsidP="00955252">
      <w:pPr>
        <w:pStyle w:val="Heading4"/>
      </w:pPr>
      <w:bookmarkStart w:id="441" w:name="_Toc470948601"/>
      <w:r w:rsidRPr="00C94C33">
        <w:t>Baseline renal function</w:t>
      </w:r>
      <w:bookmarkEnd w:id="441"/>
    </w:p>
    <w:p w14:paraId="0C2970FA" w14:textId="3AB283F2"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The high</w:t>
      </w:r>
      <w:r w:rsidR="005E398C">
        <w:rPr>
          <w:rFonts w:asciiTheme="minorHAnsi" w:hAnsiTheme="minorHAnsi"/>
        </w:rPr>
        <w:t xml:space="preserve"> </w:t>
      </w:r>
      <w:r w:rsidRPr="00C94C33">
        <w:rPr>
          <w:rFonts w:asciiTheme="minorHAnsi" w:hAnsiTheme="minorHAnsi"/>
        </w:rPr>
        <w:t xml:space="preserve">level AEs based on renal function are summarised below. In patients in the TAS-102 group, there was no marked difference between the normal renal function and mild renal impairment subgroups (based on baseline CLcr) with respect to overall incidence of AEs, </w:t>
      </w:r>
      <w:r w:rsidRPr="00C94C33">
        <w:rPr>
          <w:rFonts w:asciiTheme="minorHAnsi" w:hAnsiTheme="minorHAnsi" w:cs="TimesNewRomanPSMT"/>
        </w:rPr>
        <w:t xml:space="preserve">≥ </w:t>
      </w:r>
      <w:r w:rsidRPr="00C94C33">
        <w:rPr>
          <w:rFonts w:asciiTheme="minorHAnsi" w:hAnsiTheme="minorHAnsi"/>
        </w:rPr>
        <w:t xml:space="preserve">Grade 3 AEs, or serious AEs. However, patients with moderate renal impairment had a higher incidence (difference of at least 5%) of </w:t>
      </w:r>
      <w:r w:rsidRPr="00C94C33">
        <w:rPr>
          <w:rFonts w:asciiTheme="minorHAnsi" w:hAnsiTheme="minorHAnsi" w:cs="TimesNewRomanPSMT"/>
        </w:rPr>
        <w:t xml:space="preserve">≥ </w:t>
      </w:r>
      <w:r w:rsidRPr="00C94C33">
        <w:rPr>
          <w:rFonts w:asciiTheme="minorHAnsi" w:hAnsiTheme="minorHAnsi"/>
        </w:rPr>
        <w:t>Grade 3 AEs and serious AEs compared to the other 2 subgroups. In patients in the placebo group, there were no consistent differences in the high</w:t>
      </w:r>
      <w:r w:rsidR="005E398C">
        <w:rPr>
          <w:rFonts w:asciiTheme="minorHAnsi" w:hAnsiTheme="minorHAnsi"/>
        </w:rPr>
        <w:t xml:space="preserve"> </w:t>
      </w:r>
      <w:r w:rsidRPr="00C94C33">
        <w:rPr>
          <w:rFonts w:asciiTheme="minorHAnsi" w:hAnsiTheme="minorHAnsi"/>
        </w:rPr>
        <w:t>level AE profiles across the three subgroups. In patients receiving TAS-102, the incidence of dose reductions in the normal, mild and moderate renal impairment groups based on baseline CLcr was 10.8%, 16.3% and 23.4%, respectively.</w:t>
      </w:r>
    </w:p>
    <w:p w14:paraId="2CDFE204" w14:textId="1F51CDEE" w:rsidR="00DF61BC" w:rsidRPr="00C94C33" w:rsidRDefault="00DF61BC" w:rsidP="00E93479">
      <w:pPr>
        <w:pStyle w:val="Tabletitle"/>
      </w:pPr>
      <w:bookmarkStart w:id="442" w:name="_Toc470948714"/>
      <w:r w:rsidRPr="00C94C33">
        <w:lastRenderedPageBreak/>
        <w:t>Table</w:t>
      </w:r>
      <w:r w:rsidR="00E93479" w:rsidRPr="00C94C33">
        <w:t xml:space="preserve"> 65</w:t>
      </w:r>
      <w:r w:rsidRPr="00C94C33">
        <w:t>: RECOURSE</w:t>
      </w:r>
      <w:r w:rsidR="005E398C">
        <w:t xml:space="preserve">; </w:t>
      </w:r>
      <w:r w:rsidRPr="00C94C33">
        <w:t>Overview of high</w:t>
      </w:r>
      <w:r w:rsidR="005E398C">
        <w:t xml:space="preserve"> </w:t>
      </w:r>
      <w:r w:rsidRPr="00C94C33">
        <w:t>level AEs by baseline renal function (CLcr), AT population</w:t>
      </w:r>
      <w:bookmarkEnd w:id="442"/>
    </w:p>
    <w:p w14:paraId="23EE79F6" w14:textId="7CFA9ACD" w:rsidR="00DF61BC" w:rsidRPr="00C94C33" w:rsidRDefault="006452F4" w:rsidP="00DF61BC">
      <w:pPr>
        <w:spacing w:after="0"/>
        <w:rPr>
          <w:rFonts w:asciiTheme="majorHAnsi" w:hAnsiTheme="majorHAnsi"/>
          <w:sz w:val="18"/>
          <w:szCs w:val="18"/>
        </w:rPr>
      </w:pPr>
      <w:r>
        <w:rPr>
          <w:noProof/>
          <w:lang w:eastAsia="en-AU"/>
        </w:rPr>
        <w:drawing>
          <wp:inline distT="0" distB="0" distL="0" distR="0" wp14:anchorId="449F7C09" wp14:editId="35663AFD">
            <wp:extent cx="5932805" cy="1845310"/>
            <wp:effectExtent l="0" t="0" r="0" b="2540"/>
            <wp:docPr id="47" name="Picture 5" descr="Table 65: RECOURSE – Overview of high-level AEs by baseline renal function (CLcr), A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 descr="Table 65: RECOURSE – Overview of high-level AEs by baseline renal function (CLcr), AT population. "/>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5932805" cy="184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EC9A94A" w14:textId="3452D3D3"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In the TAS-102 group, the incidence of the most frequently reported AEs in patients in the normal renal function group (≥ 10%) compared to the incidence in patients in the mild and moderate renal impairment groups were, respectively, nausea (52.3%</w:t>
      </w:r>
      <w:r w:rsidR="00C11183">
        <w:rPr>
          <w:rFonts w:asciiTheme="minorHAnsi" w:hAnsiTheme="minorHAnsi"/>
        </w:rPr>
        <w:t xml:space="preserve"> versus </w:t>
      </w:r>
      <w:r w:rsidRPr="00C94C33">
        <w:rPr>
          <w:rFonts w:asciiTheme="minorHAnsi" w:hAnsiTheme="minorHAnsi"/>
        </w:rPr>
        <w:t>44.4%</w:t>
      </w:r>
      <w:r w:rsidR="00C11183">
        <w:rPr>
          <w:rFonts w:asciiTheme="minorHAnsi" w:hAnsiTheme="minorHAnsi"/>
        </w:rPr>
        <w:t xml:space="preserve"> versus </w:t>
      </w:r>
      <w:r w:rsidRPr="00C94C33">
        <w:rPr>
          <w:rFonts w:asciiTheme="minorHAnsi" w:hAnsiTheme="minorHAnsi"/>
        </w:rPr>
        <w:t>36.2%), decreased appetite (36.9%</w:t>
      </w:r>
      <w:r w:rsidR="00C11183">
        <w:rPr>
          <w:rFonts w:asciiTheme="minorHAnsi" w:hAnsiTheme="minorHAnsi"/>
        </w:rPr>
        <w:t xml:space="preserve"> versus </w:t>
      </w:r>
      <w:r w:rsidRPr="00C94C33">
        <w:rPr>
          <w:rFonts w:asciiTheme="minorHAnsi" w:hAnsiTheme="minorHAnsi"/>
        </w:rPr>
        <w:t>41.6%</w:t>
      </w:r>
      <w:r w:rsidR="00C11183">
        <w:rPr>
          <w:rFonts w:asciiTheme="minorHAnsi" w:hAnsiTheme="minorHAnsi"/>
        </w:rPr>
        <w:t xml:space="preserve"> versus </w:t>
      </w:r>
      <w:r w:rsidRPr="00C94C33">
        <w:rPr>
          <w:rFonts w:asciiTheme="minorHAnsi" w:hAnsiTheme="minorHAnsi"/>
        </w:rPr>
        <w:t>40.4%), fatigue (35.6%</w:t>
      </w:r>
      <w:r w:rsidR="00C11183">
        <w:rPr>
          <w:rFonts w:asciiTheme="minorHAnsi" w:hAnsiTheme="minorHAnsi"/>
        </w:rPr>
        <w:t xml:space="preserve"> versus </w:t>
      </w:r>
      <w:r w:rsidRPr="00C94C33">
        <w:rPr>
          <w:rFonts w:asciiTheme="minorHAnsi" w:hAnsiTheme="minorHAnsi"/>
        </w:rPr>
        <w:t>32.0%</w:t>
      </w:r>
      <w:r w:rsidR="00C11183">
        <w:rPr>
          <w:rFonts w:asciiTheme="minorHAnsi" w:hAnsiTheme="minorHAnsi"/>
        </w:rPr>
        <w:t xml:space="preserve"> versus </w:t>
      </w:r>
      <w:r w:rsidRPr="00C94C33">
        <w:rPr>
          <w:rFonts w:asciiTheme="minorHAnsi" w:hAnsiTheme="minorHAnsi"/>
        </w:rPr>
        <w:t>42.6%), anaemia (33.7%</w:t>
      </w:r>
      <w:r w:rsidR="00C11183">
        <w:rPr>
          <w:rFonts w:asciiTheme="minorHAnsi" w:hAnsiTheme="minorHAnsi"/>
        </w:rPr>
        <w:t xml:space="preserve"> versus </w:t>
      </w:r>
      <w:r w:rsidRPr="00C94C33">
        <w:rPr>
          <w:rFonts w:asciiTheme="minorHAnsi" w:hAnsiTheme="minorHAnsi"/>
        </w:rPr>
        <w:t>45.5%</w:t>
      </w:r>
      <w:r w:rsidR="00C11183">
        <w:rPr>
          <w:rFonts w:asciiTheme="minorHAnsi" w:hAnsiTheme="minorHAnsi"/>
        </w:rPr>
        <w:t xml:space="preserve"> versus </w:t>
      </w:r>
      <w:r w:rsidRPr="00C94C33">
        <w:rPr>
          <w:rFonts w:asciiTheme="minorHAnsi" w:hAnsiTheme="minorHAnsi"/>
        </w:rPr>
        <w:t>61.7%), diarrhoea (30.4%</w:t>
      </w:r>
      <w:r w:rsidR="00C11183">
        <w:rPr>
          <w:rFonts w:asciiTheme="minorHAnsi" w:hAnsiTheme="minorHAnsi"/>
        </w:rPr>
        <w:t xml:space="preserve"> versus </w:t>
      </w:r>
      <w:r w:rsidRPr="00C94C33">
        <w:rPr>
          <w:rFonts w:asciiTheme="minorHAnsi" w:hAnsiTheme="minorHAnsi"/>
        </w:rPr>
        <w:t>33.1%</w:t>
      </w:r>
      <w:r w:rsidR="00C11183">
        <w:rPr>
          <w:rFonts w:asciiTheme="minorHAnsi" w:hAnsiTheme="minorHAnsi"/>
        </w:rPr>
        <w:t xml:space="preserve"> versus </w:t>
      </w:r>
      <w:r w:rsidRPr="00C94C33">
        <w:rPr>
          <w:rFonts w:asciiTheme="minorHAnsi" w:hAnsiTheme="minorHAnsi"/>
        </w:rPr>
        <w:t>38.3%), neutro</w:t>
      </w:r>
      <w:r w:rsidR="00B50F67">
        <w:rPr>
          <w:rFonts w:asciiTheme="minorHAnsi" w:hAnsiTheme="minorHAnsi"/>
        </w:rPr>
        <w:t>paenia</w:t>
      </w:r>
      <w:r w:rsidRPr="00C94C33">
        <w:rPr>
          <w:rFonts w:asciiTheme="minorHAnsi" w:hAnsiTheme="minorHAnsi"/>
        </w:rPr>
        <w:t xml:space="preserve"> (29.7%</w:t>
      </w:r>
      <w:r w:rsidR="00C11183">
        <w:rPr>
          <w:rFonts w:asciiTheme="minorHAnsi" w:hAnsiTheme="minorHAnsi"/>
        </w:rPr>
        <w:t xml:space="preserve"> versus </w:t>
      </w:r>
      <w:r w:rsidRPr="00C94C33">
        <w:rPr>
          <w:rFonts w:asciiTheme="minorHAnsi" w:hAnsiTheme="minorHAnsi"/>
        </w:rPr>
        <w:t>28.1%</w:t>
      </w:r>
      <w:r w:rsidR="00C11183">
        <w:rPr>
          <w:rFonts w:asciiTheme="minorHAnsi" w:hAnsiTheme="minorHAnsi"/>
        </w:rPr>
        <w:t xml:space="preserve"> versus </w:t>
      </w:r>
      <w:r w:rsidRPr="00C94C33">
        <w:rPr>
          <w:rFonts w:asciiTheme="minorHAnsi" w:hAnsiTheme="minorHAnsi"/>
        </w:rPr>
        <w:t>31.9%), vomiting (27.1%</w:t>
      </w:r>
      <w:r w:rsidR="00C11183">
        <w:rPr>
          <w:rFonts w:asciiTheme="minorHAnsi" w:hAnsiTheme="minorHAnsi"/>
        </w:rPr>
        <w:t xml:space="preserve"> versus </w:t>
      </w:r>
      <w:r w:rsidRPr="00C94C33">
        <w:rPr>
          <w:rFonts w:asciiTheme="minorHAnsi" w:hAnsiTheme="minorHAnsi"/>
        </w:rPr>
        <w:t>29.2%</w:t>
      </w:r>
      <w:r w:rsidR="00C11183">
        <w:rPr>
          <w:rFonts w:asciiTheme="minorHAnsi" w:hAnsiTheme="minorHAnsi"/>
        </w:rPr>
        <w:t xml:space="preserve"> versus </w:t>
      </w:r>
      <w:r w:rsidRPr="00C94C33">
        <w:rPr>
          <w:rFonts w:asciiTheme="minorHAnsi" w:hAnsiTheme="minorHAnsi"/>
        </w:rPr>
        <w:t>25.5%), neutrophil count decreased (23.5%</w:t>
      </w:r>
      <w:r w:rsidR="00C11183">
        <w:rPr>
          <w:rFonts w:asciiTheme="minorHAnsi" w:hAnsiTheme="minorHAnsi"/>
        </w:rPr>
        <w:t xml:space="preserve"> versus </w:t>
      </w:r>
      <w:r w:rsidRPr="00C94C33">
        <w:rPr>
          <w:rFonts w:asciiTheme="minorHAnsi" w:hAnsiTheme="minorHAnsi"/>
        </w:rPr>
        <w:t>35.4%</w:t>
      </w:r>
      <w:r w:rsidR="00C11183">
        <w:rPr>
          <w:rFonts w:asciiTheme="minorHAnsi" w:hAnsiTheme="minorHAnsi"/>
        </w:rPr>
        <w:t xml:space="preserve"> versus </w:t>
      </w:r>
      <w:r w:rsidRPr="00C94C33">
        <w:rPr>
          <w:rFonts w:asciiTheme="minorHAnsi" w:hAnsiTheme="minorHAnsi"/>
        </w:rPr>
        <w:t>27.7%), white blood cell count decreased (22.9%</w:t>
      </w:r>
      <w:r w:rsidR="00C11183">
        <w:rPr>
          <w:rFonts w:asciiTheme="minorHAnsi" w:hAnsiTheme="minorHAnsi"/>
        </w:rPr>
        <w:t xml:space="preserve"> versus </w:t>
      </w:r>
      <w:r w:rsidRPr="00C94C33">
        <w:rPr>
          <w:rFonts w:asciiTheme="minorHAnsi" w:hAnsiTheme="minorHAnsi"/>
        </w:rPr>
        <w:t>32.6%</w:t>
      </w:r>
      <w:r w:rsidR="00C11183">
        <w:rPr>
          <w:rFonts w:asciiTheme="minorHAnsi" w:hAnsiTheme="minorHAnsi"/>
        </w:rPr>
        <w:t xml:space="preserve"> versus </w:t>
      </w:r>
      <w:r w:rsidRPr="00C94C33">
        <w:rPr>
          <w:rFonts w:asciiTheme="minorHAnsi" w:hAnsiTheme="minorHAnsi"/>
        </w:rPr>
        <w:t>38.3%), asthenia (19.3%</w:t>
      </w:r>
      <w:r w:rsidR="00C11183">
        <w:rPr>
          <w:rFonts w:asciiTheme="minorHAnsi" w:hAnsiTheme="minorHAnsi"/>
        </w:rPr>
        <w:t xml:space="preserve"> versus </w:t>
      </w:r>
      <w:r w:rsidRPr="00C94C33">
        <w:rPr>
          <w:rFonts w:asciiTheme="minorHAnsi" w:hAnsiTheme="minorHAnsi"/>
        </w:rPr>
        <w:t>17.4%</w:t>
      </w:r>
      <w:r w:rsidR="00C11183">
        <w:rPr>
          <w:rFonts w:asciiTheme="minorHAnsi" w:hAnsiTheme="minorHAnsi"/>
        </w:rPr>
        <w:t xml:space="preserve"> versus </w:t>
      </w:r>
      <w:r w:rsidRPr="00C94C33">
        <w:rPr>
          <w:rFonts w:asciiTheme="minorHAnsi" w:hAnsiTheme="minorHAnsi"/>
        </w:rPr>
        <w:t>14.9%), pyrexia (17.6%</w:t>
      </w:r>
      <w:r w:rsidR="00C11183">
        <w:rPr>
          <w:rFonts w:asciiTheme="minorHAnsi" w:hAnsiTheme="minorHAnsi"/>
        </w:rPr>
        <w:t xml:space="preserve"> versus </w:t>
      </w:r>
      <w:r w:rsidRPr="00C94C33">
        <w:rPr>
          <w:rFonts w:asciiTheme="minorHAnsi" w:hAnsiTheme="minorHAnsi"/>
        </w:rPr>
        <w:t>18.5%</w:t>
      </w:r>
      <w:r w:rsidR="00C11183">
        <w:rPr>
          <w:rFonts w:asciiTheme="minorHAnsi" w:hAnsiTheme="minorHAnsi"/>
        </w:rPr>
        <w:t xml:space="preserve"> versus </w:t>
      </w:r>
      <w:r w:rsidRPr="00C94C33">
        <w:rPr>
          <w:rFonts w:asciiTheme="minorHAnsi" w:hAnsiTheme="minorHAnsi"/>
        </w:rPr>
        <w:t>21.3%), constipation (16.0%</w:t>
      </w:r>
      <w:r w:rsidR="00C11183">
        <w:rPr>
          <w:rFonts w:asciiTheme="minorHAnsi" w:hAnsiTheme="minorHAnsi"/>
        </w:rPr>
        <w:t xml:space="preserve"> versus </w:t>
      </w:r>
      <w:r w:rsidRPr="00C94C33">
        <w:rPr>
          <w:rFonts w:asciiTheme="minorHAnsi" w:hAnsiTheme="minorHAnsi"/>
        </w:rPr>
        <w:t>14.0%</w:t>
      </w:r>
      <w:r w:rsidR="00C11183">
        <w:rPr>
          <w:rFonts w:asciiTheme="minorHAnsi" w:hAnsiTheme="minorHAnsi"/>
        </w:rPr>
        <w:t xml:space="preserve"> versus </w:t>
      </w:r>
      <w:r w:rsidRPr="00C94C33">
        <w:rPr>
          <w:rFonts w:asciiTheme="minorHAnsi" w:hAnsiTheme="minorHAnsi"/>
        </w:rPr>
        <w:t>12.8%), abdominal pain (15.0%</w:t>
      </w:r>
      <w:r w:rsidR="00C11183">
        <w:rPr>
          <w:rFonts w:asciiTheme="minorHAnsi" w:hAnsiTheme="minorHAnsi"/>
        </w:rPr>
        <w:t xml:space="preserve"> versus </w:t>
      </w:r>
      <w:r w:rsidRPr="00C94C33">
        <w:rPr>
          <w:rFonts w:asciiTheme="minorHAnsi" w:hAnsiTheme="minorHAnsi"/>
        </w:rPr>
        <w:t>13.5%</w:t>
      </w:r>
      <w:r w:rsidR="00C11183">
        <w:rPr>
          <w:rFonts w:asciiTheme="minorHAnsi" w:hAnsiTheme="minorHAnsi"/>
        </w:rPr>
        <w:t xml:space="preserve"> versus </w:t>
      </w:r>
      <w:r w:rsidRPr="00C94C33">
        <w:rPr>
          <w:rFonts w:asciiTheme="minorHAnsi" w:hAnsiTheme="minorHAnsi"/>
        </w:rPr>
        <w:t>19.1%), platelet count decreased (13.1%</w:t>
      </w:r>
      <w:r w:rsidR="00C11183">
        <w:rPr>
          <w:rFonts w:asciiTheme="minorHAnsi" w:hAnsiTheme="minorHAnsi"/>
        </w:rPr>
        <w:t xml:space="preserve"> versus </w:t>
      </w:r>
      <w:r w:rsidRPr="00C94C33">
        <w:rPr>
          <w:rFonts w:asciiTheme="minorHAnsi" w:hAnsiTheme="minorHAnsi"/>
        </w:rPr>
        <w:t>15.2%</w:t>
      </w:r>
      <w:r w:rsidR="00C11183">
        <w:rPr>
          <w:rFonts w:asciiTheme="minorHAnsi" w:hAnsiTheme="minorHAnsi"/>
        </w:rPr>
        <w:t xml:space="preserve"> versus </w:t>
      </w:r>
      <w:r w:rsidRPr="00C94C33">
        <w:rPr>
          <w:rFonts w:asciiTheme="minorHAnsi" w:hAnsiTheme="minorHAnsi"/>
        </w:rPr>
        <w:t>27.7%), cough (12.1%</w:t>
      </w:r>
      <w:r w:rsidR="00C11183">
        <w:rPr>
          <w:rFonts w:asciiTheme="minorHAnsi" w:hAnsiTheme="minorHAnsi"/>
        </w:rPr>
        <w:t xml:space="preserve"> versus </w:t>
      </w:r>
      <w:r w:rsidRPr="00C94C33">
        <w:rPr>
          <w:rFonts w:asciiTheme="minorHAnsi" w:hAnsiTheme="minorHAnsi"/>
        </w:rPr>
        <w:t>10.7%</w:t>
      </w:r>
      <w:r w:rsidR="00C11183">
        <w:rPr>
          <w:rFonts w:asciiTheme="minorHAnsi" w:hAnsiTheme="minorHAnsi"/>
        </w:rPr>
        <w:t xml:space="preserve"> versus </w:t>
      </w:r>
      <w:r w:rsidRPr="00C94C33">
        <w:rPr>
          <w:rFonts w:asciiTheme="minorHAnsi" w:hAnsiTheme="minorHAnsi"/>
        </w:rPr>
        <w:t>2.1%),  dyspnoea (11.8%</w:t>
      </w:r>
      <w:r w:rsidR="00C11183">
        <w:rPr>
          <w:rFonts w:asciiTheme="minorHAnsi" w:hAnsiTheme="minorHAnsi"/>
        </w:rPr>
        <w:t xml:space="preserve"> versus </w:t>
      </w:r>
      <w:r w:rsidRPr="00C94C33">
        <w:rPr>
          <w:rFonts w:asciiTheme="minorHAnsi" w:hAnsiTheme="minorHAnsi"/>
        </w:rPr>
        <w:t>9.0%</w:t>
      </w:r>
      <w:r w:rsidR="00C11183">
        <w:rPr>
          <w:rFonts w:asciiTheme="minorHAnsi" w:hAnsiTheme="minorHAnsi"/>
        </w:rPr>
        <w:t xml:space="preserve"> versus </w:t>
      </w:r>
      <w:r w:rsidRPr="00C94C33">
        <w:rPr>
          <w:rFonts w:asciiTheme="minorHAnsi" w:hAnsiTheme="minorHAnsi"/>
        </w:rPr>
        <w:t>8.5%), and peripheral oedema (10.1%</w:t>
      </w:r>
      <w:r w:rsidR="00C11183">
        <w:rPr>
          <w:rFonts w:asciiTheme="minorHAnsi" w:hAnsiTheme="minorHAnsi"/>
        </w:rPr>
        <w:t xml:space="preserve"> versus </w:t>
      </w:r>
      <w:r w:rsidRPr="00C94C33">
        <w:rPr>
          <w:rFonts w:asciiTheme="minorHAnsi" w:hAnsiTheme="minorHAnsi"/>
        </w:rPr>
        <w:t>9.6%</w:t>
      </w:r>
      <w:r w:rsidR="00C11183">
        <w:rPr>
          <w:rFonts w:asciiTheme="minorHAnsi" w:hAnsiTheme="minorHAnsi"/>
        </w:rPr>
        <w:t xml:space="preserve"> versus </w:t>
      </w:r>
      <w:r w:rsidRPr="00C94C33">
        <w:rPr>
          <w:rFonts w:asciiTheme="minorHAnsi" w:hAnsiTheme="minorHAnsi"/>
        </w:rPr>
        <w:t>10.6%). Overall, there was no consistent relationship across the normal renal function, mild renal impairment and moderate renal impairment groups as regards the patient incidence of those AEs most frequently (≥ 10%) reported in the normal renal function group.</w:t>
      </w:r>
    </w:p>
    <w:p w14:paraId="697023F8" w14:textId="4D820013" w:rsidR="00DF61BC" w:rsidRPr="00C94C33" w:rsidRDefault="00DF61BC" w:rsidP="00955252">
      <w:pPr>
        <w:pStyle w:val="Heading4"/>
      </w:pPr>
      <w:bookmarkStart w:id="443" w:name="_Toc470948602"/>
      <w:r w:rsidRPr="00C94C33">
        <w:t>ECOG PS (0</w:t>
      </w:r>
      <w:r w:rsidR="00C11183">
        <w:t xml:space="preserve"> versus </w:t>
      </w:r>
      <w:r w:rsidRPr="00C94C33">
        <w:t>1)</w:t>
      </w:r>
      <w:bookmarkEnd w:id="443"/>
    </w:p>
    <w:p w14:paraId="0E20C1C1" w14:textId="35EFE569" w:rsidR="00DF61BC" w:rsidRPr="00C94C33" w:rsidRDefault="00DF61BC" w:rsidP="00DF61BC">
      <w:r w:rsidRPr="00C94C33">
        <w:t>The high</w:t>
      </w:r>
      <w:r w:rsidR="005E398C">
        <w:t xml:space="preserve"> </w:t>
      </w:r>
      <w:r w:rsidRPr="00C94C33">
        <w:t>level summary of AEs based on ECOG PS (0</w:t>
      </w:r>
      <w:r w:rsidR="00C11183">
        <w:t xml:space="preserve"> versus </w:t>
      </w:r>
      <w:r w:rsidRPr="00C94C33">
        <w:t>1) is presented below. In the TAS-102 group, any ≥ Grade 3 AE and any SAE were reported in ≥ 5% more patients in the PS=1 subgroup than in the PS=0 subgroup. However, the differences between the two subgroups were not consistent.</w:t>
      </w:r>
    </w:p>
    <w:p w14:paraId="19B5C8BB" w14:textId="036B287E" w:rsidR="00DF61BC" w:rsidRPr="00C94C33" w:rsidRDefault="00DF61BC" w:rsidP="007E22F1">
      <w:pPr>
        <w:pStyle w:val="Tabletitle"/>
        <w:rPr>
          <w:bCs/>
        </w:rPr>
      </w:pPr>
      <w:bookmarkStart w:id="444" w:name="_Toc470948715"/>
      <w:r w:rsidRPr="00C94C33">
        <w:t>Table</w:t>
      </w:r>
      <w:r w:rsidR="007E22F1" w:rsidRPr="00C94C33">
        <w:t xml:space="preserve"> 66</w:t>
      </w:r>
      <w:r w:rsidRPr="00C94C33">
        <w:t>: RECOURSE</w:t>
      </w:r>
      <w:r w:rsidR="005E398C">
        <w:t xml:space="preserve">; </w:t>
      </w:r>
      <w:r w:rsidRPr="00C94C33">
        <w:t>Overview of high</w:t>
      </w:r>
      <w:r w:rsidR="005E398C">
        <w:t xml:space="preserve"> </w:t>
      </w:r>
      <w:r w:rsidRPr="00C94C33">
        <w:t>level AEs by baseline ECOG (PS</w:t>
      </w:r>
      <w:r w:rsidR="005E398C">
        <w:t xml:space="preserve"> </w:t>
      </w:r>
      <w:r w:rsidRPr="00C94C33">
        <w:t>=</w:t>
      </w:r>
      <w:r w:rsidR="005E398C">
        <w:t xml:space="preserve"> </w:t>
      </w:r>
      <w:r w:rsidRPr="00C94C33">
        <w:t>0, PS</w:t>
      </w:r>
      <w:r w:rsidR="005E398C">
        <w:t xml:space="preserve"> </w:t>
      </w:r>
      <w:r w:rsidRPr="00C94C33">
        <w:t>=</w:t>
      </w:r>
      <w:r w:rsidR="005E398C">
        <w:t xml:space="preserve"> </w:t>
      </w:r>
      <w:r w:rsidRPr="00C94C33">
        <w:t>1), AT</w:t>
      </w:r>
      <w:r w:rsidR="005E398C">
        <w:t> </w:t>
      </w:r>
      <w:r w:rsidRPr="00C94C33">
        <w:t>population.</w:t>
      </w:r>
      <w:bookmarkEnd w:id="444"/>
    </w:p>
    <w:tbl>
      <w:tblPr>
        <w:tblW w:w="9576" w:type="dxa"/>
        <w:tblInd w:w="112" w:type="dxa"/>
        <w:tblLayout w:type="fixed"/>
        <w:tblCellMar>
          <w:left w:w="0" w:type="dxa"/>
          <w:right w:w="0" w:type="dxa"/>
        </w:tblCellMar>
        <w:tblLook w:val="0000" w:firstRow="0" w:lastRow="0" w:firstColumn="0" w:lastColumn="0" w:noHBand="0" w:noVBand="0"/>
      </w:tblPr>
      <w:tblGrid>
        <w:gridCol w:w="3154"/>
        <w:gridCol w:w="2021"/>
        <w:gridCol w:w="1467"/>
        <w:gridCol w:w="1467"/>
        <w:gridCol w:w="1467"/>
      </w:tblGrid>
      <w:tr w:rsidR="00DF61BC" w:rsidRPr="00C94C33" w14:paraId="74BF309F" w14:textId="77777777" w:rsidTr="006452F4">
        <w:trPr>
          <w:trHeight w:hRule="exact" w:val="549"/>
          <w:tblHeader/>
        </w:trPr>
        <w:tc>
          <w:tcPr>
            <w:tcW w:w="3154" w:type="dxa"/>
            <w:tcBorders>
              <w:top w:val="single" w:sz="8" w:space="0" w:color="000000"/>
              <w:left w:val="single" w:sz="4" w:space="0" w:color="auto"/>
              <w:right w:val="single" w:sz="6" w:space="0" w:color="000000"/>
            </w:tcBorders>
            <w:shd w:val="clear" w:color="auto" w:fill="auto"/>
          </w:tcPr>
          <w:p w14:paraId="6DE26993" w14:textId="77777777" w:rsidR="00DF61BC" w:rsidRPr="00C94C33" w:rsidRDefault="00DF61BC" w:rsidP="006452F4">
            <w:pPr>
              <w:pStyle w:val="TableHeading"/>
            </w:pPr>
          </w:p>
        </w:tc>
        <w:tc>
          <w:tcPr>
            <w:tcW w:w="3488" w:type="dxa"/>
            <w:gridSpan w:val="2"/>
            <w:tcBorders>
              <w:top w:val="single" w:sz="8" w:space="0" w:color="000000"/>
              <w:left w:val="single" w:sz="6" w:space="0" w:color="000000"/>
              <w:right w:val="single" w:sz="6" w:space="0" w:color="000000"/>
            </w:tcBorders>
            <w:shd w:val="clear" w:color="auto" w:fill="auto"/>
          </w:tcPr>
          <w:p w14:paraId="21F91CB9" w14:textId="40FD153B" w:rsidR="00DF61BC" w:rsidRPr="00C94C33" w:rsidRDefault="00DF61BC" w:rsidP="006452F4">
            <w:pPr>
              <w:pStyle w:val="TableHeading"/>
            </w:pPr>
            <w:r w:rsidRPr="00C94C33">
              <w:t>TAS-102 (</w:t>
            </w:r>
            <w:r w:rsidR="009C0389" w:rsidRPr="00C94C33">
              <w:t xml:space="preserve">N = </w:t>
            </w:r>
            <w:r w:rsidRPr="00C94C33">
              <w:t>533)</w:t>
            </w:r>
          </w:p>
        </w:tc>
        <w:tc>
          <w:tcPr>
            <w:tcW w:w="2934" w:type="dxa"/>
            <w:gridSpan w:val="2"/>
            <w:tcBorders>
              <w:top w:val="single" w:sz="8" w:space="0" w:color="000000"/>
              <w:left w:val="single" w:sz="6" w:space="0" w:color="000000"/>
              <w:right w:val="single" w:sz="4" w:space="0" w:color="auto"/>
            </w:tcBorders>
            <w:shd w:val="clear" w:color="auto" w:fill="auto"/>
          </w:tcPr>
          <w:p w14:paraId="6CCFA378" w14:textId="48245FC2" w:rsidR="00DF61BC" w:rsidRPr="00C94C33" w:rsidRDefault="00DF61BC" w:rsidP="006452F4">
            <w:pPr>
              <w:pStyle w:val="TableHeading"/>
            </w:pPr>
            <w:r w:rsidRPr="00C94C33">
              <w:t>Placebo (</w:t>
            </w:r>
            <w:r w:rsidR="009C0389" w:rsidRPr="00C94C33">
              <w:t xml:space="preserve">N = </w:t>
            </w:r>
            <w:r w:rsidRPr="00C94C33">
              <w:t>265)</w:t>
            </w:r>
          </w:p>
        </w:tc>
      </w:tr>
      <w:tr w:rsidR="00DF61BC" w:rsidRPr="00C94C33" w14:paraId="05D456E0" w14:textId="77777777" w:rsidTr="006452F4">
        <w:trPr>
          <w:trHeight w:hRule="exact" w:val="470"/>
          <w:tblHeader/>
        </w:trPr>
        <w:tc>
          <w:tcPr>
            <w:tcW w:w="3154" w:type="dxa"/>
            <w:tcBorders>
              <w:left w:val="single" w:sz="4" w:space="0" w:color="auto"/>
              <w:bottom w:val="single" w:sz="7" w:space="0" w:color="000000"/>
              <w:right w:val="single" w:sz="6" w:space="0" w:color="000000"/>
            </w:tcBorders>
            <w:shd w:val="clear" w:color="auto" w:fill="auto"/>
          </w:tcPr>
          <w:p w14:paraId="65B931AE" w14:textId="77777777" w:rsidR="00DF61BC" w:rsidRPr="00C94C33" w:rsidRDefault="00DF61BC" w:rsidP="006452F4">
            <w:pPr>
              <w:pStyle w:val="TableHeading"/>
            </w:pPr>
          </w:p>
        </w:tc>
        <w:tc>
          <w:tcPr>
            <w:tcW w:w="2021" w:type="dxa"/>
            <w:tcBorders>
              <w:left w:val="single" w:sz="6" w:space="0" w:color="000000"/>
              <w:bottom w:val="single" w:sz="7" w:space="0" w:color="000000"/>
            </w:tcBorders>
            <w:shd w:val="clear" w:color="auto" w:fill="auto"/>
          </w:tcPr>
          <w:p w14:paraId="0CB3CC09" w14:textId="367A81D3" w:rsidR="00DF61BC" w:rsidRPr="00C94C33" w:rsidRDefault="00DF61BC" w:rsidP="006452F4">
            <w:pPr>
              <w:pStyle w:val="TableHeading"/>
            </w:pPr>
            <w:r w:rsidRPr="00C94C33">
              <w:t>PS=0 (</w:t>
            </w:r>
            <w:r w:rsidR="009C0389" w:rsidRPr="00C94C33">
              <w:t xml:space="preserve">N = </w:t>
            </w:r>
            <w:r w:rsidRPr="00C94C33">
              <w:t>301)</w:t>
            </w:r>
          </w:p>
        </w:tc>
        <w:tc>
          <w:tcPr>
            <w:tcW w:w="1467" w:type="dxa"/>
            <w:tcBorders>
              <w:left w:val="nil"/>
              <w:bottom w:val="single" w:sz="7" w:space="0" w:color="000000"/>
              <w:right w:val="single" w:sz="6" w:space="0" w:color="000000"/>
            </w:tcBorders>
            <w:shd w:val="clear" w:color="auto" w:fill="auto"/>
          </w:tcPr>
          <w:p w14:paraId="68A7375B" w14:textId="14D34828" w:rsidR="00DF61BC" w:rsidRPr="00C94C33" w:rsidRDefault="00DF61BC" w:rsidP="006452F4">
            <w:pPr>
              <w:pStyle w:val="TableHeading"/>
            </w:pPr>
            <w:r w:rsidRPr="00C94C33">
              <w:t>PS=1 (</w:t>
            </w:r>
            <w:r w:rsidR="009C0389" w:rsidRPr="00C94C33">
              <w:t xml:space="preserve">N = </w:t>
            </w:r>
            <w:r w:rsidRPr="00C94C33">
              <w:t>232)</w:t>
            </w:r>
          </w:p>
        </w:tc>
        <w:tc>
          <w:tcPr>
            <w:tcW w:w="1467" w:type="dxa"/>
            <w:tcBorders>
              <w:left w:val="single" w:sz="6" w:space="0" w:color="000000"/>
              <w:bottom w:val="single" w:sz="7" w:space="0" w:color="000000"/>
            </w:tcBorders>
            <w:shd w:val="clear" w:color="auto" w:fill="auto"/>
          </w:tcPr>
          <w:p w14:paraId="72037FD6" w14:textId="0883EB78" w:rsidR="00DF61BC" w:rsidRPr="00C94C33" w:rsidRDefault="00DF61BC" w:rsidP="006452F4">
            <w:pPr>
              <w:pStyle w:val="TableHeading"/>
            </w:pPr>
            <w:r w:rsidRPr="00C94C33">
              <w:t>PS=0 (</w:t>
            </w:r>
            <w:r w:rsidR="009C0389" w:rsidRPr="00C94C33">
              <w:t xml:space="preserve">N = </w:t>
            </w:r>
            <w:r w:rsidRPr="00C94C33">
              <w:t>147)</w:t>
            </w:r>
          </w:p>
        </w:tc>
        <w:tc>
          <w:tcPr>
            <w:tcW w:w="1467" w:type="dxa"/>
            <w:tcBorders>
              <w:left w:val="nil"/>
              <w:bottom w:val="single" w:sz="7" w:space="0" w:color="000000"/>
              <w:right w:val="single" w:sz="4" w:space="0" w:color="auto"/>
            </w:tcBorders>
            <w:shd w:val="clear" w:color="auto" w:fill="auto"/>
          </w:tcPr>
          <w:p w14:paraId="0B4C3686" w14:textId="47ED1244" w:rsidR="00DF61BC" w:rsidRPr="00C94C33" w:rsidRDefault="00DF61BC" w:rsidP="006452F4">
            <w:pPr>
              <w:pStyle w:val="TableHeading"/>
            </w:pPr>
            <w:r w:rsidRPr="00C94C33">
              <w:t>PS=1 (</w:t>
            </w:r>
            <w:r w:rsidR="009C0389" w:rsidRPr="00C94C33">
              <w:t xml:space="preserve">N = </w:t>
            </w:r>
            <w:r w:rsidRPr="00C94C33">
              <w:t>118)</w:t>
            </w:r>
          </w:p>
        </w:tc>
      </w:tr>
      <w:tr w:rsidR="00DF61BC" w:rsidRPr="00C94C33" w14:paraId="2ED062A5" w14:textId="77777777" w:rsidTr="00E95C0F">
        <w:trPr>
          <w:trHeight w:hRule="exact" w:val="437"/>
        </w:trPr>
        <w:tc>
          <w:tcPr>
            <w:tcW w:w="3154" w:type="dxa"/>
            <w:tcBorders>
              <w:top w:val="single" w:sz="7" w:space="0" w:color="000000"/>
              <w:left w:val="single" w:sz="4" w:space="0" w:color="auto"/>
              <w:bottom w:val="single" w:sz="7" w:space="0" w:color="000000"/>
              <w:right w:val="single" w:sz="6" w:space="0" w:color="000000"/>
            </w:tcBorders>
            <w:shd w:val="clear" w:color="auto" w:fill="auto"/>
          </w:tcPr>
          <w:p w14:paraId="3E157896" w14:textId="77777777" w:rsidR="00DF61BC" w:rsidRPr="00C94C33" w:rsidRDefault="00DF61BC" w:rsidP="006452F4">
            <w:pPr>
              <w:pStyle w:val="Tabletext"/>
            </w:pPr>
            <w:r w:rsidRPr="00C94C33">
              <w:t>Any adverse event</w:t>
            </w:r>
            <w:r w:rsidRPr="00C94C33">
              <w:rPr>
                <w:spacing w:val="-2"/>
              </w:rPr>
              <w:t xml:space="preserve"> </w:t>
            </w:r>
            <w:r w:rsidRPr="00C94C33">
              <w:t>(AE)</w:t>
            </w:r>
          </w:p>
        </w:tc>
        <w:tc>
          <w:tcPr>
            <w:tcW w:w="2021" w:type="dxa"/>
            <w:tcBorders>
              <w:top w:val="single" w:sz="7" w:space="0" w:color="000000"/>
              <w:left w:val="single" w:sz="6" w:space="0" w:color="000000"/>
              <w:bottom w:val="single" w:sz="7" w:space="0" w:color="000000"/>
            </w:tcBorders>
            <w:shd w:val="clear" w:color="auto" w:fill="auto"/>
          </w:tcPr>
          <w:p w14:paraId="58BFE895" w14:textId="6774100D" w:rsidR="00DF61BC" w:rsidRPr="00C94C33" w:rsidRDefault="00DF61BC" w:rsidP="00E95C0F">
            <w:pPr>
              <w:pStyle w:val="Tabletext"/>
              <w:jc w:val="center"/>
            </w:pPr>
            <w:r w:rsidRPr="00C94C33">
              <w:t>295</w:t>
            </w:r>
            <w:r w:rsidRPr="00C94C33">
              <w:rPr>
                <w:spacing w:val="15"/>
              </w:rPr>
              <w:t xml:space="preserve"> </w:t>
            </w:r>
            <w:r w:rsidRPr="00C94C33">
              <w:t>(98.0)</w:t>
            </w:r>
          </w:p>
        </w:tc>
        <w:tc>
          <w:tcPr>
            <w:tcW w:w="1467" w:type="dxa"/>
            <w:tcBorders>
              <w:top w:val="single" w:sz="7" w:space="0" w:color="000000"/>
              <w:left w:val="nil"/>
              <w:bottom w:val="single" w:sz="7" w:space="0" w:color="000000"/>
              <w:right w:val="single" w:sz="6" w:space="0" w:color="000000"/>
            </w:tcBorders>
            <w:shd w:val="clear" w:color="auto" w:fill="auto"/>
          </w:tcPr>
          <w:p w14:paraId="554A9104" w14:textId="62180EE2" w:rsidR="00DF61BC" w:rsidRPr="00C94C33" w:rsidRDefault="00DF61BC" w:rsidP="00E95C0F">
            <w:pPr>
              <w:pStyle w:val="Tabletext"/>
              <w:jc w:val="center"/>
            </w:pPr>
            <w:r w:rsidRPr="00C94C33">
              <w:t>229</w:t>
            </w:r>
            <w:r w:rsidRPr="00C94C33">
              <w:rPr>
                <w:spacing w:val="14"/>
              </w:rPr>
              <w:t xml:space="preserve"> </w:t>
            </w:r>
            <w:r w:rsidRPr="00C94C33">
              <w:t>(98.7)</w:t>
            </w:r>
          </w:p>
        </w:tc>
        <w:tc>
          <w:tcPr>
            <w:tcW w:w="1467" w:type="dxa"/>
            <w:tcBorders>
              <w:top w:val="single" w:sz="7" w:space="0" w:color="000000"/>
              <w:left w:val="single" w:sz="6" w:space="0" w:color="000000"/>
              <w:bottom w:val="single" w:sz="7" w:space="0" w:color="000000"/>
            </w:tcBorders>
            <w:shd w:val="clear" w:color="auto" w:fill="auto"/>
          </w:tcPr>
          <w:p w14:paraId="28AA2E15" w14:textId="741280D8" w:rsidR="00DF61BC" w:rsidRPr="00C94C33" w:rsidRDefault="00DF61BC" w:rsidP="00E95C0F">
            <w:pPr>
              <w:pStyle w:val="Tabletext"/>
              <w:jc w:val="center"/>
            </w:pPr>
            <w:r w:rsidRPr="00C94C33">
              <w:t>132</w:t>
            </w:r>
            <w:r w:rsidRPr="00C94C33">
              <w:rPr>
                <w:spacing w:val="15"/>
              </w:rPr>
              <w:t xml:space="preserve"> </w:t>
            </w:r>
            <w:r w:rsidRPr="00C94C33">
              <w:t>(89.8)</w:t>
            </w:r>
          </w:p>
        </w:tc>
        <w:tc>
          <w:tcPr>
            <w:tcW w:w="1467" w:type="dxa"/>
            <w:tcBorders>
              <w:top w:val="single" w:sz="7" w:space="0" w:color="000000"/>
              <w:left w:val="nil"/>
              <w:bottom w:val="single" w:sz="7" w:space="0" w:color="000000"/>
              <w:right w:val="single" w:sz="4" w:space="0" w:color="auto"/>
            </w:tcBorders>
            <w:shd w:val="clear" w:color="auto" w:fill="auto"/>
          </w:tcPr>
          <w:p w14:paraId="23B69720" w14:textId="6504AE4B" w:rsidR="00DF61BC" w:rsidRPr="00C94C33" w:rsidRDefault="00DF61BC" w:rsidP="00E95C0F">
            <w:pPr>
              <w:pStyle w:val="Tabletext"/>
              <w:jc w:val="center"/>
            </w:pPr>
            <w:r w:rsidRPr="00C94C33">
              <w:t>115</w:t>
            </w:r>
            <w:r w:rsidRPr="00C94C33">
              <w:rPr>
                <w:spacing w:val="14"/>
              </w:rPr>
              <w:t xml:space="preserve"> </w:t>
            </w:r>
            <w:r w:rsidRPr="00C94C33">
              <w:t>(97.5)</w:t>
            </w:r>
          </w:p>
        </w:tc>
      </w:tr>
      <w:tr w:rsidR="00DF61BC" w:rsidRPr="00C94C33" w14:paraId="5E236643" w14:textId="77777777" w:rsidTr="00E95C0F">
        <w:trPr>
          <w:trHeight w:hRule="exact" w:val="429"/>
        </w:trPr>
        <w:tc>
          <w:tcPr>
            <w:tcW w:w="3154" w:type="dxa"/>
            <w:tcBorders>
              <w:top w:val="single" w:sz="7" w:space="0" w:color="000000"/>
              <w:left w:val="single" w:sz="4" w:space="0" w:color="auto"/>
              <w:bottom w:val="single" w:sz="7" w:space="0" w:color="000000"/>
              <w:right w:val="single" w:sz="6" w:space="0" w:color="000000"/>
            </w:tcBorders>
            <w:shd w:val="clear" w:color="auto" w:fill="auto"/>
          </w:tcPr>
          <w:p w14:paraId="0B651A61" w14:textId="77777777" w:rsidR="00DF61BC" w:rsidRPr="00C94C33" w:rsidRDefault="00DF61BC" w:rsidP="006452F4">
            <w:pPr>
              <w:pStyle w:val="Tabletext"/>
            </w:pPr>
            <w:r w:rsidRPr="00C94C33">
              <w:t>Any treatment-related AE</w:t>
            </w:r>
          </w:p>
        </w:tc>
        <w:tc>
          <w:tcPr>
            <w:tcW w:w="2021" w:type="dxa"/>
            <w:tcBorders>
              <w:top w:val="single" w:sz="7" w:space="0" w:color="000000"/>
              <w:left w:val="single" w:sz="6" w:space="0" w:color="000000"/>
              <w:bottom w:val="single" w:sz="7" w:space="0" w:color="000000"/>
            </w:tcBorders>
            <w:shd w:val="clear" w:color="auto" w:fill="auto"/>
          </w:tcPr>
          <w:p w14:paraId="40B1A4D3" w14:textId="115D0096" w:rsidR="00DF61BC" w:rsidRPr="00C94C33" w:rsidRDefault="00DF61BC" w:rsidP="00E95C0F">
            <w:pPr>
              <w:pStyle w:val="Tabletext"/>
              <w:jc w:val="center"/>
            </w:pPr>
            <w:r w:rsidRPr="00C94C33">
              <w:t>264</w:t>
            </w:r>
            <w:r w:rsidRPr="00C94C33">
              <w:rPr>
                <w:spacing w:val="15"/>
              </w:rPr>
              <w:t xml:space="preserve"> </w:t>
            </w:r>
            <w:r w:rsidRPr="00C94C33">
              <w:t>(87.7)</w:t>
            </w:r>
          </w:p>
        </w:tc>
        <w:tc>
          <w:tcPr>
            <w:tcW w:w="1467" w:type="dxa"/>
            <w:tcBorders>
              <w:top w:val="single" w:sz="7" w:space="0" w:color="000000"/>
              <w:left w:val="nil"/>
              <w:bottom w:val="single" w:sz="7" w:space="0" w:color="000000"/>
              <w:right w:val="single" w:sz="6" w:space="0" w:color="000000"/>
            </w:tcBorders>
            <w:shd w:val="clear" w:color="auto" w:fill="auto"/>
          </w:tcPr>
          <w:p w14:paraId="7A0D0538" w14:textId="7BBB9BE1" w:rsidR="00DF61BC" w:rsidRPr="00C94C33" w:rsidRDefault="00DF61BC" w:rsidP="00E95C0F">
            <w:pPr>
              <w:pStyle w:val="Tabletext"/>
              <w:jc w:val="center"/>
            </w:pPr>
            <w:r w:rsidRPr="00C94C33">
              <w:t>193</w:t>
            </w:r>
            <w:r w:rsidRPr="00C94C33">
              <w:rPr>
                <w:spacing w:val="14"/>
              </w:rPr>
              <w:t xml:space="preserve"> </w:t>
            </w:r>
            <w:r w:rsidRPr="00C94C33">
              <w:t>(83.2)</w:t>
            </w:r>
          </w:p>
        </w:tc>
        <w:tc>
          <w:tcPr>
            <w:tcW w:w="1467" w:type="dxa"/>
            <w:tcBorders>
              <w:top w:val="single" w:sz="7" w:space="0" w:color="000000"/>
              <w:left w:val="single" w:sz="6" w:space="0" w:color="000000"/>
              <w:bottom w:val="single" w:sz="7" w:space="0" w:color="000000"/>
            </w:tcBorders>
            <w:shd w:val="clear" w:color="auto" w:fill="auto"/>
          </w:tcPr>
          <w:p w14:paraId="608E3BFD" w14:textId="2376834E" w:rsidR="00DF61BC" w:rsidRPr="00C94C33" w:rsidRDefault="00DF61BC" w:rsidP="00E95C0F">
            <w:pPr>
              <w:pStyle w:val="Tabletext"/>
              <w:jc w:val="center"/>
            </w:pPr>
            <w:r w:rsidRPr="00C94C33">
              <w:t>81</w:t>
            </w:r>
            <w:r w:rsidR="006452F4">
              <w:t xml:space="preserve"> </w:t>
            </w:r>
            <w:r w:rsidRPr="00C94C33">
              <w:t>(55.1)</w:t>
            </w:r>
          </w:p>
        </w:tc>
        <w:tc>
          <w:tcPr>
            <w:tcW w:w="1467" w:type="dxa"/>
            <w:tcBorders>
              <w:top w:val="single" w:sz="7" w:space="0" w:color="000000"/>
              <w:left w:val="nil"/>
              <w:bottom w:val="single" w:sz="7" w:space="0" w:color="000000"/>
              <w:right w:val="single" w:sz="4" w:space="0" w:color="auto"/>
            </w:tcBorders>
            <w:shd w:val="clear" w:color="auto" w:fill="auto"/>
          </w:tcPr>
          <w:p w14:paraId="4BA0427C" w14:textId="70F1045C" w:rsidR="00DF61BC" w:rsidRPr="00C94C33" w:rsidRDefault="00DF61BC" w:rsidP="00E95C0F">
            <w:pPr>
              <w:pStyle w:val="Tabletext"/>
              <w:jc w:val="center"/>
            </w:pPr>
            <w:r w:rsidRPr="00C94C33">
              <w:t>64</w:t>
            </w:r>
            <w:r w:rsidRPr="00C94C33">
              <w:rPr>
                <w:spacing w:val="14"/>
              </w:rPr>
              <w:t xml:space="preserve"> </w:t>
            </w:r>
            <w:r w:rsidRPr="00C94C33">
              <w:t>(54.2)</w:t>
            </w:r>
          </w:p>
        </w:tc>
      </w:tr>
      <w:tr w:rsidR="00DF61BC" w:rsidRPr="00C94C33" w14:paraId="32541D18" w14:textId="77777777" w:rsidTr="00E95C0F">
        <w:trPr>
          <w:trHeight w:hRule="exact" w:val="406"/>
        </w:trPr>
        <w:tc>
          <w:tcPr>
            <w:tcW w:w="3154" w:type="dxa"/>
            <w:tcBorders>
              <w:top w:val="single" w:sz="7" w:space="0" w:color="000000"/>
              <w:left w:val="single" w:sz="4" w:space="0" w:color="auto"/>
              <w:bottom w:val="single" w:sz="7" w:space="0" w:color="000000"/>
              <w:right w:val="single" w:sz="6" w:space="0" w:color="000000"/>
            </w:tcBorders>
            <w:shd w:val="clear" w:color="auto" w:fill="auto"/>
          </w:tcPr>
          <w:p w14:paraId="0F1702AB" w14:textId="77777777" w:rsidR="00DF61BC" w:rsidRPr="00C94C33" w:rsidRDefault="00DF61BC" w:rsidP="006452F4">
            <w:pPr>
              <w:pStyle w:val="Tabletext"/>
            </w:pPr>
            <w:r w:rsidRPr="00C94C33">
              <w:t>Any</w:t>
            </w:r>
            <w:r w:rsidRPr="00C94C33">
              <w:rPr>
                <w:spacing w:val="-2"/>
              </w:rPr>
              <w:t xml:space="preserve"> </w:t>
            </w:r>
            <w:r w:rsidRPr="00C94C33">
              <w:t>≥Grade</w:t>
            </w:r>
            <w:r w:rsidRPr="00C94C33">
              <w:rPr>
                <w:spacing w:val="-2"/>
              </w:rPr>
              <w:t xml:space="preserve"> </w:t>
            </w:r>
            <w:r w:rsidRPr="00C94C33">
              <w:t>3 AE</w:t>
            </w:r>
          </w:p>
        </w:tc>
        <w:tc>
          <w:tcPr>
            <w:tcW w:w="2021" w:type="dxa"/>
            <w:tcBorders>
              <w:top w:val="single" w:sz="7" w:space="0" w:color="000000"/>
              <w:left w:val="single" w:sz="6" w:space="0" w:color="000000"/>
              <w:bottom w:val="single" w:sz="7" w:space="0" w:color="000000"/>
            </w:tcBorders>
            <w:shd w:val="clear" w:color="auto" w:fill="auto"/>
          </w:tcPr>
          <w:p w14:paraId="00CE03EF" w14:textId="2832E8C2" w:rsidR="00DF61BC" w:rsidRPr="00C94C33" w:rsidRDefault="00DF61BC" w:rsidP="00E95C0F">
            <w:pPr>
              <w:pStyle w:val="Tabletext"/>
              <w:jc w:val="center"/>
            </w:pPr>
            <w:r w:rsidRPr="00C94C33">
              <w:t>201</w:t>
            </w:r>
            <w:r w:rsidRPr="00C94C33">
              <w:rPr>
                <w:spacing w:val="15"/>
              </w:rPr>
              <w:t xml:space="preserve"> </w:t>
            </w:r>
            <w:r w:rsidRPr="00C94C33">
              <w:t>(66.8)</w:t>
            </w:r>
          </w:p>
        </w:tc>
        <w:tc>
          <w:tcPr>
            <w:tcW w:w="1467" w:type="dxa"/>
            <w:tcBorders>
              <w:top w:val="single" w:sz="7" w:space="0" w:color="000000"/>
              <w:left w:val="nil"/>
              <w:bottom w:val="single" w:sz="7" w:space="0" w:color="000000"/>
              <w:right w:val="single" w:sz="6" w:space="0" w:color="000000"/>
            </w:tcBorders>
            <w:shd w:val="clear" w:color="auto" w:fill="auto"/>
          </w:tcPr>
          <w:p w14:paraId="7A79A8EF" w14:textId="58851FD8" w:rsidR="00DF61BC" w:rsidRPr="00C94C33" w:rsidRDefault="00DF61BC" w:rsidP="00E95C0F">
            <w:pPr>
              <w:pStyle w:val="Tabletext"/>
              <w:jc w:val="center"/>
            </w:pPr>
            <w:r w:rsidRPr="00C94C33">
              <w:t>169</w:t>
            </w:r>
            <w:r w:rsidRPr="00C94C33">
              <w:rPr>
                <w:spacing w:val="14"/>
              </w:rPr>
              <w:t xml:space="preserve"> </w:t>
            </w:r>
            <w:r w:rsidRPr="00C94C33">
              <w:t>(72.8)</w:t>
            </w:r>
          </w:p>
        </w:tc>
        <w:tc>
          <w:tcPr>
            <w:tcW w:w="1467" w:type="dxa"/>
            <w:tcBorders>
              <w:top w:val="single" w:sz="7" w:space="0" w:color="000000"/>
              <w:left w:val="single" w:sz="6" w:space="0" w:color="000000"/>
              <w:bottom w:val="single" w:sz="7" w:space="0" w:color="000000"/>
            </w:tcBorders>
            <w:shd w:val="clear" w:color="auto" w:fill="auto"/>
          </w:tcPr>
          <w:p w14:paraId="2852D31C" w14:textId="009A645F" w:rsidR="00DF61BC" w:rsidRPr="00C94C33" w:rsidRDefault="00DF61BC" w:rsidP="00E95C0F">
            <w:pPr>
              <w:pStyle w:val="Tabletext"/>
              <w:jc w:val="center"/>
            </w:pPr>
            <w:r w:rsidRPr="00C94C33">
              <w:t>59</w:t>
            </w:r>
            <w:r w:rsidRPr="00C94C33">
              <w:rPr>
                <w:spacing w:val="15"/>
              </w:rPr>
              <w:t xml:space="preserve"> </w:t>
            </w:r>
            <w:r w:rsidRPr="00C94C33">
              <w:t>(40.1)</w:t>
            </w:r>
          </w:p>
        </w:tc>
        <w:tc>
          <w:tcPr>
            <w:tcW w:w="1467" w:type="dxa"/>
            <w:tcBorders>
              <w:top w:val="single" w:sz="7" w:space="0" w:color="000000"/>
              <w:left w:val="nil"/>
              <w:bottom w:val="single" w:sz="7" w:space="0" w:color="000000"/>
              <w:right w:val="single" w:sz="4" w:space="0" w:color="auto"/>
            </w:tcBorders>
            <w:shd w:val="clear" w:color="auto" w:fill="auto"/>
          </w:tcPr>
          <w:p w14:paraId="0C79A8F9" w14:textId="3DBA7B94" w:rsidR="00DF61BC" w:rsidRPr="00C94C33" w:rsidRDefault="00DF61BC" w:rsidP="00E95C0F">
            <w:pPr>
              <w:pStyle w:val="Tabletext"/>
              <w:jc w:val="center"/>
            </w:pPr>
            <w:r w:rsidRPr="00C94C33">
              <w:t>78</w:t>
            </w:r>
            <w:r w:rsidRPr="00C94C33">
              <w:rPr>
                <w:spacing w:val="14"/>
              </w:rPr>
              <w:t xml:space="preserve"> </w:t>
            </w:r>
            <w:r w:rsidRPr="00C94C33">
              <w:t>(66.1)</w:t>
            </w:r>
          </w:p>
        </w:tc>
      </w:tr>
      <w:tr w:rsidR="00DF61BC" w:rsidRPr="00C94C33" w14:paraId="207545F5" w14:textId="77777777" w:rsidTr="00E95C0F">
        <w:trPr>
          <w:trHeight w:hRule="exact" w:val="426"/>
        </w:trPr>
        <w:tc>
          <w:tcPr>
            <w:tcW w:w="3154" w:type="dxa"/>
            <w:tcBorders>
              <w:top w:val="single" w:sz="7" w:space="0" w:color="000000"/>
              <w:left w:val="single" w:sz="4" w:space="0" w:color="auto"/>
              <w:bottom w:val="single" w:sz="7" w:space="0" w:color="000000"/>
              <w:right w:val="single" w:sz="6" w:space="0" w:color="000000"/>
            </w:tcBorders>
            <w:shd w:val="clear" w:color="auto" w:fill="auto"/>
          </w:tcPr>
          <w:p w14:paraId="5FECE3E1" w14:textId="77777777" w:rsidR="00DF61BC" w:rsidRPr="00C94C33" w:rsidRDefault="00DF61BC" w:rsidP="006452F4">
            <w:pPr>
              <w:pStyle w:val="Tabletext"/>
            </w:pPr>
            <w:r w:rsidRPr="00C94C33">
              <w:t>Any treatment-related ≥Grade 3 AE</w:t>
            </w:r>
          </w:p>
        </w:tc>
        <w:tc>
          <w:tcPr>
            <w:tcW w:w="2021" w:type="dxa"/>
            <w:tcBorders>
              <w:top w:val="single" w:sz="7" w:space="0" w:color="000000"/>
              <w:left w:val="single" w:sz="6" w:space="0" w:color="000000"/>
              <w:bottom w:val="single" w:sz="7" w:space="0" w:color="000000"/>
            </w:tcBorders>
            <w:shd w:val="clear" w:color="auto" w:fill="auto"/>
          </w:tcPr>
          <w:p w14:paraId="1DEF177E" w14:textId="60B00717" w:rsidR="00DF61BC" w:rsidRPr="00C94C33" w:rsidRDefault="00DF61BC" w:rsidP="00E95C0F">
            <w:pPr>
              <w:pStyle w:val="Tabletext"/>
              <w:jc w:val="center"/>
            </w:pPr>
            <w:r w:rsidRPr="00C94C33">
              <w:t>153</w:t>
            </w:r>
            <w:r w:rsidRPr="00C94C33">
              <w:rPr>
                <w:spacing w:val="15"/>
              </w:rPr>
              <w:t xml:space="preserve"> </w:t>
            </w:r>
            <w:r w:rsidRPr="00C94C33">
              <w:t>(50.8)</w:t>
            </w:r>
          </w:p>
        </w:tc>
        <w:tc>
          <w:tcPr>
            <w:tcW w:w="1467" w:type="dxa"/>
            <w:tcBorders>
              <w:top w:val="single" w:sz="7" w:space="0" w:color="000000"/>
              <w:left w:val="nil"/>
              <w:bottom w:val="single" w:sz="7" w:space="0" w:color="000000"/>
              <w:right w:val="single" w:sz="6" w:space="0" w:color="000000"/>
            </w:tcBorders>
            <w:shd w:val="clear" w:color="auto" w:fill="auto"/>
          </w:tcPr>
          <w:p w14:paraId="7864EDB3" w14:textId="70AA2EFD" w:rsidR="00DF61BC" w:rsidRPr="00C94C33" w:rsidRDefault="00DF61BC" w:rsidP="00E95C0F">
            <w:pPr>
              <w:pStyle w:val="Tabletext"/>
              <w:jc w:val="center"/>
            </w:pPr>
            <w:r w:rsidRPr="00C94C33">
              <w:t>108</w:t>
            </w:r>
            <w:r w:rsidRPr="00C94C33">
              <w:rPr>
                <w:spacing w:val="14"/>
              </w:rPr>
              <w:t xml:space="preserve"> </w:t>
            </w:r>
            <w:r w:rsidRPr="00C94C33">
              <w:t>(46.6)</w:t>
            </w:r>
          </w:p>
        </w:tc>
        <w:tc>
          <w:tcPr>
            <w:tcW w:w="1467" w:type="dxa"/>
            <w:tcBorders>
              <w:top w:val="single" w:sz="7" w:space="0" w:color="000000"/>
              <w:left w:val="single" w:sz="6" w:space="0" w:color="000000"/>
              <w:bottom w:val="single" w:sz="7" w:space="0" w:color="000000"/>
            </w:tcBorders>
            <w:shd w:val="clear" w:color="auto" w:fill="auto"/>
          </w:tcPr>
          <w:p w14:paraId="52FFDD51" w14:textId="31E3BF50" w:rsidR="00DF61BC" w:rsidRPr="00C94C33" w:rsidRDefault="00DF61BC" w:rsidP="00E95C0F">
            <w:pPr>
              <w:pStyle w:val="Tabletext"/>
              <w:jc w:val="center"/>
            </w:pPr>
            <w:r w:rsidRPr="00C94C33">
              <w:t>12</w:t>
            </w:r>
            <w:r w:rsidRPr="00C94C33">
              <w:rPr>
                <w:spacing w:val="48"/>
              </w:rPr>
              <w:t xml:space="preserve"> </w:t>
            </w:r>
            <w:r w:rsidRPr="00C94C33">
              <w:t>(8.2)</w:t>
            </w:r>
          </w:p>
        </w:tc>
        <w:tc>
          <w:tcPr>
            <w:tcW w:w="1467" w:type="dxa"/>
            <w:tcBorders>
              <w:top w:val="single" w:sz="7" w:space="0" w:color="000000"/>
              <w:left w:val="nil"/>
              <w:bottom w:val="single" w:sz="7" w:space="0" w:color="000000"/>
              <w:right w:val="single" w:sz="4" w:space="0" w:color="auto"/>
            </w:tcBorders>
            <w:shd w:val="clear" w:color="auto" w:fill="auto"/>
          </w:tcPr>
          <w:p w14:paraId="3CDA5ED8" w14:textId="1D8C50CA" w:rsidR="00DF61BC" w:rsidRPr="00C94C33" w:rsidRDefault="00DF61BC" w:rsidP="00E95C0F">
            <w:pPr>
              <w:pStyle w:val="Tabletext"/>
              <w:jc w:val="center"/>
            </w:pPr>
            <w:r w:rsidRPr="00C94C33">
              <w:t>14</w:t>
            </w:r>
            <w:r w:rsidRPr="00C94C33">
              <w:rPr>
                <w:spacing w:val="14"/>
              </w:rPr>
              <w:t xml:space="preserve"> </w:t>
            </w:r>
            <w:r w:rsidRPr="00C94C33">
              <w:t>(11.9)</w:t>
            </w:r>
          </w:p>
        </w:tc>
      </w:tr>
      <w:tr w:rsidR="00DF61BC" w:rsidRPr="00C94C33" w14:paraId="659C7BC3" w14:textId="77777777" w:rsidTr="00E95C0F">
        <w:trPr>
          <w:trHeight w:hRule="exact" w:val="405"/>
        </w:trPr>
        <w:tc>
          <w:tcPr>
            <w:tcW w:w="3154" w:type="dxa"/>
            <w:tcBorders>
              <w:top w:val="single" w:sz="7" w:space="0" w:color="000000"/>
              <w:left w:val="single" w:sz="4" w:space="0" w:color="auto"/>
              <w:bottom w:val="single" w:sz="7" w:space="0" w:color="000000"/>
              <w:right w:val="single" w:sz="6" w:space="0" w:color="000000"/>
            </w:tcBorders>
            <w:shd w:val="clear" w:color="auto" w:fill="auto"/>
          </w:tcPr>
          <w:p w14:paraId="4E099867" w14:textId="77777777" w:rsidR="00DF61BC" w:rsidRPr="00C94C33" w:rsidRDefault="00DF61BC" w:rsidP="006452F4">
            <w:pPr>
              <w:pStyle w:val="Tabletext"/>
            </w:pPr>
            <w:r w:rsidRPr="00C94C33">
              <w:t>Any serious AE (SAE)</w:t>
            </w:r>
          </w:p>
        </w:tc>
        <w:tc>
          <w:tcPr>
            <w:tcW w:w="2021" w:type="dxa"/>
            <w:tcBorders>
              <w:top w:val="single" w:sz="7" w:space="0" w:color="000000"/>
              <w:left w:val="single" w:sz="6" w:space="0" w:color="000000"/>
              <w:bottom w:val="single" w:sz="7" w:space="0" w:color="000000"/>
            </w:tcBorders>
            <w:shd w:val="clear" w:color="auto" w:fill="auto"/>
          </w:tcPr>
          <w:p w14:paraId="61287D6F" w14:textId="034EB1F5" w:rsidR="00DF61BC" w:rsidRPr="00C94C33" w:rsidRDefault="00E95C0F" w:rsidP="00E95C0F">
            <w:pPr>
              <w:pStyle w:val="Tabletext"/>
              <w:jc w:val="center"/>
            </w:pPr>
            <w:r>
              <w:t>77</w:t>
            </w:r>
            <w:r w:rsidR="00DF61BC" w:rsidRPr="00C94C33">
              <w:rPr>
                <w:spacing w:val="15"/>
              </w:rPr>
              <w:t xml:space="preserve"> </w:t>
            </w:r>
            <w:r w:rsidR="00DF61BC" w:rsidRPr="00C94C33">
              <w:t>(25.6)</w:t>
            </w:r>
          </w:p>
        </w:tc>
        <w:tc>
          <w:tcPr>
            <w:tcW w:w="1467" w:type="dxa"/>
            <w:tcBorders>
              <w:top w:val="single" w:sz="7" w:space="0" w:color="000000"/>
              <w:left w:val="nil"/>
              <w:bottom w:val="single" w:sz="7" w:space="0" w:color="000000"/>
              <w:right w:val="single" w:sz="6" w:space="0" w:color="000000"/>
            </w:tcBorders>
            <w:shd w:val="clear" w:color="auto" w:fill="auto"/>
          </w:tcPr>
          <w:p w14:paraId="6960F93E" w14:textId="72E2B537" w:rsidR="00DF61BC" w:rsidRPr="00C94C33" w:rsidRDefault="00DF61BC" w:rsidP="00E95C0F">
            <w:pPr>
              <w:pStyle w:val="Tabletext"/>
              <w:jc w:val="center"/>
            </w:pPr>
            <w:r w:rsidRPr="00C94C33">
              <w:t>81</w:t>
            </w:r>
            <w:r w:rsidRPr="00C94C33">
              <w:rPr>
                <w:spacing w:val="14"/>
              </w:rPr>
              <w:t xml:space="preserve"> </w:t>
            </w:r>
            <w:r w:rsidRPr="00C94C33">
              <w:t>(34.9)</w:t>
            </w:r>
          </w:p>
        </w:tc>
        <w:tc>
          <w:tcPr>
            <w:tcW w:w="1467" w:type="dxa"/>
            <w:tcBorders>
              <w:top w:val="single" w:sz="7" w:space="0" w:color="000000"/>
              <w:left w:val="single" w:sz="6" w:space="0" w:color="000000"/>
              <w:bottom w:val="single" w:sz="7" w:space="0" w:color="000000"/>
            </w:tcBorders>
            <w:shd w:val="clear" w:color="auto" w:fill="auto"/>
          </w:tcPr>
          <w:p w14:paraId="4846AB45" w14:textId="5AAE9101" w:rsidR="00DF61BC" w:rsidRPr="00C94C33" w:rsidRDefault="00DF61BC" w:rsidP="00E95C0F">
            <w:pPr>
              <w:pStyle w:val="Tabletext"/>
              <w:jc w:val="center"/>
            </w:pPr>
            <w:r w:rsidRPr="00C94C33">
              <w:t>35</w:t>
            </w:r>
            <w:r w:rsidRPr="00C94C33">
              <w:rPr>
                <w:spacing w:val="15"/>
              </w:rPr>
              <w:t xml:space="preserve"> </w:t>
            </w:r>
            <w:r w:rsidRPr="00C94C33">
              <w:t>(23.8)</w:t>
            </w:r>
          </w:p>
        </w:tc>
        <w:tc>
          <w:tcPr>
            <w:tcW w:w="1467" w:type="dxa"/>
            <w:tcBorders>
              <w:top w:val="single" w:sz="7" w:space="0" w:color="000000"/>
              <w:left w:val="nil"/>
              <w:bottom w:val="single" w:sz="7" w:space="0" w:color="000000"/>
              <w:right w:val="single" w:sz="4" w:space="0" w:color="auto"/>
            </w:tcBorders>
            <w:shd w:val="clear" w:color="auto" w:fill="auto"/>
          </w:tcPr>
          <w:p w14:paraId="5A25578C" w14:textId="545BCA27" w:rsidR="00DF61BC" w:rsidRPr="00C94C33" w:rsidRDefault="00DF61BC" w:rsidP="00E95C0F">
            <w:pPr>
              <w:pStyle w:val="Tabletext"/>
              <w:jc w:val="center"/>
            </w:pPr>
            <w:r w:rsidRPr="00C94C33">
              <w:t>54</w:t>
            </w:r>
            <w:r w:rsidRPr="00C94C33">
              <w:rPr>
                <w:spacing w:val="14"/>
              </w:rPr>
              <w:t xml:space="preserve"> </w:t>
            </w:r>
            <w:r w:rsidRPr="00C94C33">
              <w:t>(45.8)</w:t>
            </w:r>
          </w:p>
        </w:tc>
      </w:tr>
      <w:tr w:rsidR="00DF61BC" w:rsidRPr="00C94C33" w14:paraId="46E73998" w14:textId="77777777" w:rsidTr="00E95C0F">
        <w:trPr>
          <w:trHeight w:hRule="exact" w:val="425"/>
        </w:trPr>
        <w:tc>
          <w:tcPr>
            <w:tcW w:w="3154" w:type="dxa"/>
            <w:tcBorders>
              <w:top w:val="single" w:sz="7" w:space="0" w:color="000000"/>
              <w:left w:val="single" w:sz="4" w:space="0" w:color="auto"/>
              <w:bottom w:val="single" w:sz="6" w:space="0" w:color="000000"/>
              <w:right w:val="single" w:sz="6" w:space="0" w:color="000000"/>
            </w:tcBorders>
            <w:shd w:val="clear" w:color="auto" w:fill="auto"/>
          </w:tcPr>
          <w:p w14:paraId="3F44C2E1" w14:textId="77777777" w:rsidR="00DF61BC" w:rsidRPr="00C94C33" w:rsidRDefault="00DF61BC" w:rsidP="006452F4">
            <w:pPr>
              <w:pStyle w:val="Tabletext"/>
            </w:pPr>
            <w:r w:rsidRPr="00C94C33">
              <w:t>Any treatment-related SAE</w:t>
            </w:r>
          </w:p>
        </w:tc>
        <w:tc>
          <w:tcPr>
            <w:tcW w:w="2021" w:type="dxa"/>
            <w:tcBorders>
              <w:top w:val="single" w:sz="7" w:space="0" w:color="000000"/>
              <w:left w:val="single" w:sz="6" w:space="0" w:color="000000"/>
              <w:bottom w:val="single" w:sz="6" w:space="0" w:color="000000"/>
            </w:tcBorders>
            <w:shd w:val="clear" w:color="auto" w:fill="auto"/>
          </w:tcPr>
          <w:p w14:paraId="4BF4FFD0" w14:textId="4087C4F8" w:rsidR="00DF61BC" w:rsidRPr="00C94C33" w:rsidRDefault="00DF61BC" w:rsidP="00E95C0F">
            <w:pPr>
              <w:pStyle w:val="Tabletext"/>
              <w:jc w:val="center"/>
            </w:pPr>
            <w:r w:rsidRPr="00C94C33">
              <w:t>22</w:t>
            </w:r>
            <w:r w:rsidRPr="00C94C33">
              <w:rPr>
                <w:spacing w:val="48"/>
              </w:rPr>
              <w:t xml:space="preserve"> </w:t>
            </w:r>
            <w:r w:rsidRPr="00C94C33">
              <w:t>(7.3)</w:t>
            </w:r>
          </w:p>
        </w:tc>
        <w:tc>
          <w:tcPr>
            <w:tcW w:w="1467" w:type="dxa"/>
            <w:tcBorders>
              <w:top w:val="single" w:sz="7" w:space="0" w:color="000000"/>
              <w:left w:val="nil"/>
              <w:bottom w:val="single" w:sz="6" w:space="0" w:color="000000"/>
              <w:right w:val="single" w:sz="6" w:space="0" w:color="000000"/>
            </w:tcBorders>
            <w:shd w:val="clear" w:color="auto" w:fill="auto"/>
          </w:tcPr>
          <w:p w14:paraId="1106B2BF" w14:textId="6264C4DA" w:rsidR="00DF61BC" w:rsidRPr="00C94C33" w:rsidRDefault="00DF61BC" w:rsidP="00E95C0F">
            <w:pPr>
              <w:pStyle w:val="Tabletext"/>
              <w:jc w:val="center"/>
            </w:pPr>
            <w:r w:rsidRPr="00C94C33">
              <w:t>28</w:t>
            </w:r>
            <w:r w:rsidRPr="00C94C33">
              <w:rPr>
                <w:spacing w:val="14"/>
              </w:rPr>
              <w:t xml:space="preserve"> </w:t>
            </w:r>
            <w:r w:rsidRPr="00C94C33">
              <w:t>(12.1)</w:t>
            </w:r>
          </w:p>
        </w:tc>
        <w:tc>
          <w:tcPr>
            <w:tcW w:w="1467" w:type="dxa"/>
            <w:tcBorders>
              <w:top w:val="single" w:sz="7" w:space="0" w:color="000000"/>
              <w:left w:val="single" w:sz="6" w:space="0" w:color="000000"/>
              <w:bottom w:val="single" w:sz="6" w:space="0" w:color="000000"/>
            </w:tcBorders>
            <w:shd w:val="clear" w:color="auto" w:fill="auto"/>
          </w:tcPr>
          <w:p w14:paraId="4903F73E" w14:textId="326EE366" w:rsidR="00DF61BC" w:rsidRPr="00C94C33" w:rsidRDefault="006452F4" w:rsidP="00E95C0F">
            <w:pPr>
              <w:pStyle w:val="Tabletext"/>
              <w:jc w:val="center"/>
            </w:pPr>
            <w:r>
              <w:t xml:space="preserve">1 </w:t>
            </w:r>
            <w:r w:rsidR="00DF61BC" w:rsidRPr="00C94C33">
              <w:t>(0.7)</w:t>
            </w:r>
          </w:p>
        </w:tc>
        <w:tc>
          <w:tcPr>
            <w:tcW w:w="1467" w:type="dxa"/>
            <w:tcBorders>
              <w:top w:val="single" w:sz="7" w:space="0" w:color="000000"/>
              <w:left w:val="nil"/>
              <w:bottom w:val="single" w:sz="6" w:space="0" w:color="000000"/>
              <w:right w:val="single" w:sz="4" w:space="0" w:color="auto"/>
            </w:tcBorders>
            <w:shd w:val="clear" w:color="auto" w:fill="auto"/>
          </w:tcPr>
          <w:p w14:paraId="3830E5A8" w14:textId="77777777" w:rsidR="00DF61BC" w:rsidRPr="00C94C33" w:rsidRDefault="00DF61BC" w:rsidP="00E95C0F">
            <w:pPr>
              <w:pStyle w:val="Tabletext"/>
              <w:jc w:val="center"/>
            </w:pPr>
            <w:r w:rsidRPr="00C94C33">
              <w:t>0</w:t>
            </w:r>
          </w:p>
        </w:tc>
      </w:tr>
    </w:tbl>
    <w:p w14:paraId="2F9954B6" w14:textId="1AFE5EDE"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lastRenderedPageBreak/>
        <w:t>In the TAS-102 group, patients with PS=1 had a higher incidence (difference of at least 5%) compared to those with PS=0 at baseline for AE of vomiting (31.9%</w:t>
      </w:r>
      <w:r w:rsidR="00C11183">
        <w:rPr>
          <w:rFonts w:asciiTheme="minorHAnsi" w:hAnsiTheme="minorHAnsi"/>
        </w:rPr>
        <w:t xml:space="preserve"> versus </w:t>
      </w:r>
      <w:r w:rsidRPr="00C94C33">
        <w:rPr>
          <w:rFonts w:asciiTheme="minorHAnsi" w:hAnsiTheme="minorHAnsi"/>
        </w:rPr>
        <w:t xml:space="preserve">24.6%). A similar difference between the two PS subgroups in the incidence of vomiting was observed in the placebo group (22.9% </w:t>
      </w:r>
      <w:r w:rsidR="00A0007E" w:rsidRPr="00C94C33">
        <w:rPr>
          <w:rFonts w:asciiTheme="minorHAnsi" w:hAnsiTheme="minorHAnsi"/>
        </w:rPr>
        <w:t>(</w:t>
      </w:r>
      <w:r w:rsidRPr="00C94C33">
        <w:rPr>
          <w:rFonts w:asciiTheme="minorHAnsi" w:hAnsiTheme="minorHAnsi"/>
        </w:rPr>
        <w:t>PS</w:t>
      </w:r>
      <w:r w:rsidR="005E398C">
        <w:rPr>
          <w:rFonts w:asciiTheme="minorHAnsi" w:hAnsiTheme="minorHAnsi"/>
        </w:rPr>
        <w:t xml:space="preserve"> </w:t>
      </w:r>
      <w:r w:rsidRPr="00C94C33">
        <w:rPr>
          <w:rFonts w:asciiTheme="minorHAnsi" w:hAnsiTheme="minorHAnsi"/>
        </w:rPr>
        <w:t>=</w:t>
      </w:r>
      <w:r w:rsidR="005E398C">
        <w:rPr>
          <w:rFonts w:asciiTheme="minorHAnsi" w:hAnsiTheme="minorHAnsi"/>
        </w:rPr>
        <w:t xml:space="preserve"> </w:t>
      </w:r>
      <w:r w:rsidRPr="00C94C33">
        <w:rPr>
          <w:rFonts w:asciiTheme="minorHAnsi" w:hAnsiTheme="minorHAnsi"/>
        </w:rPr>
        <w:t>1</w:t>
      </w:r>
      <w:r w:rsidR="00A0007E" w:rsidRPr="00C94C33">
        <w:rPr>
          <w:rFonts w:asciiTheme="minorHAnsi" w:hAnsiTheme="minorHAnsi"/>
        </w:rPr>
        <w:t>)</w:t>
      </w:r>
      <w:r w:rsidR="00C11183">
        <w:rPr>
          <w:rFonts w:asciiTheme="minorHAnsi" w:hAnsiTheme="minorHAnsi"/>
        </w:rPr>
        <w:t xml:space="preserve"> versus </w:t>
      </w:r>
      <w:r w:rsidRPr="00C94C33">
        <w:rPr>
          <w:rFonts w:asciiTheme="minorHAnsi" w:hAnsiTheme="minorHAnsi"/>
        </w:rPr>
        <w:t xml:space="preserve">7.5% </w:t>
      </w:r>
      <w:r w:rsidR="00A0007E" w:rsidRPr="00C94C33">
        <w:rPr>
          <w:rFonts w:asciiTheme="minorHAnsi" w:hAnsiTheme="minorHAnsi"/>
        </w:rPr>
        <w:t>(</w:t>
      </w:r>
      <w:r w:rsidRPr="00C94C33">
        <w:rPr>
          <w:rFonts w:asciiTheme="minorHAnsi" w:hAnsiTheme="minorHAnsi"/>
        </w:rPr>
        <w:t>PS</w:t>
      </w:r>
      <w:r w:rsidR="005E398C">
        <w:rPr>
          <w:rFonts w:asciiTheme="minorHAnsi" w:hAnsiTheme="minorHAnsi"/>
        </w:rPr>
        <w:t xml:space="preserve"> </w:t>
      </w:r>
      <w:r w:rsidRPr="00C94C33">
        <w:rPr>
          <w:rFonts w:asciiTheme="minorHAnsi" w:hAnsiTheme="minorHAnsi"/>
        </w:rPr>
        <w:t>=</w:t>
      </w:r>
      <w:r w:rsidR="005E398C">
        <w:rPr>
          <w:rFonts w:asciiTheme="minorHAnsi" w:hAnsiTheme="minorHAnsi"/>
        </w:rPr>
        <w:t xml:space="preserve"> </w:t>
      </w:r>
      <w:r w:rsidRPr="00C94C33">
        <w:rPr>
          <w:rFonts w:asciiTheme="minorHAnsi" w:hAnsiTheme="minorHAnsi"/>
        </w:rPr>
        <w:t>0</w:t>
      </w:r>
      <w:r w:rsidR="00A0007E" w:rsidRPr="00C94C33">
        <w:rPr>
          <w:rFonts w:asciiTheme="minorHAnsi" w:hAnsiTheme="minorHAnsi"/>
        </w:rPr>
        <w:t>)</w:t>
      </w:r>
      <w:r w:rsidRPr="00C94C33">
        <w:rPr>
          <w:rFonts w:asciiTheme="minorHAnsi" w:hAnsiTheme="minorHAnsi"/>
        </w:rPr>
        <w:t xml:space="preserve">). </w:t>
      </w:r>
      <w:r w:rsidRPr="00C94C33">
        <w:rPr>
          <w:rFonts w:asciiTheme="minorHAnsi" w:hAnsiTheme="minorHAnsi"/>
          <w:color w:val="000000"/>
        </w:rPr>
        <w:t>However, patients with PS</w:t>
      </w:r>
      <w:r w:rsidR="005E398C">
        <w:rPr>
          <w:rFonts w:asciiTheme="minorHAnsi" w:hAnsiTheme="minorHAnsi"/>
          <w:color w:val="000000"/>
        </w:rPr>
        <w:t xml:space="preserve"> </w:t>
      </w:r>
      <w:r w:rsidRPr="00C94C33">
        <w:rPr>
          <w:rFonts w:asciiTheme="minorHAnsi" w:hAnsiTheme="minorHAnsi"/>
          <w:color w:val="000000"/>
        </w:rPr>
        <w:t>=</w:t>
      </w:r>
      <w:r w:rsidR="005E398C">
        <w:rPr>
          <w:rFonts w:asciiTheme="minorHAnsi" w:hAnsiTheme="minorHAnsi"/>
          <w:color w:val="000000"/>
        </w:rPr>
        <w:t xml:space="preserve"> </w:t>
      </w:r>
      <w:r w:rsidRPr="00C94C33">
        <w:rPr>
          <w:rFonts w:asciiTheme="minorHAnsi" w:hAnsiTheme="minorHAnsi"/>
          <w:color w:val="000000"/>
        </w:rPr>
        <w:t>0 had a higher incidence (difference of at least 5%) compared to those with PS</w:t>
      </w:r>
      <w:r w:rsidR="005E398C">
        <w:rPr>
          <w:rFonts w:asciiTheme="minorHAnsi" w:hAnsiTheme="minorHAnsi"/>
          <w:color w:val="000000"/>
        </w:rPr>
        <w:t xml:space="preserve"> </w:t>
      </w:r>
      <w:r w:rsidRPr="00C94C33">
        <w:rPr>
          <w:rFonts w:asciiTheme="minorHAnsi" w:hAnsiTheme="minorHAnsi"/>
          <w:color w:val="000000"/>
        </w:rPr>
        <w:t>=</w:t>
      </w:r>
      <w:r w:rsidR="005E398C">
        <w:rPr>
          <w:rFonts w:asciiTheme="minorHAnsi" w:hAnsiTheme="minorHAnsi"/>
          <w:color w:val="000000"/>
        </w:rPr>
        <w:t xml:space="preserve"> </w:t>
      </w:r>
      <w:r w:rsidRPr="00C94C33">
        <w:rPr>
          <w:rFonts w:asciiTheme="minorHAnsi" w:hAnsiTheme="minorHAnsi"/>
          <w:color w:val="000000"/>
        </w:rPr>
        <w:t>1 for AEs of diarrhoea (35.2%</w:t>
      </w:r>
      <w:r w:rsidR="00C11183">
        <w:rPr>
          <w:rFonts w:asciiTheme="minorHAnsi" w:hAnsiTheme="minorHAnsi"/>
          <w:color w:val="000000"/>
        </w:rPr>
        <w:t xml:space="preserve"> versus </w:t>
      </w:r>
      <w:r w:rsidRPr="00C94C33">
        <w:rPr>
          <w:rFonts w:asciiTheme="minorHAnsi" w:hAnsiTheme="minorHAnsi"/>
          <w:color w:val="000000"/>
        </w:rPr>
        <w:t>27.6%), fatigue (39.5%</w:t>
      </w:r>
      <w:r w:rsidR="00C11183">
        <w:rPr>
          <w:rFonts w:asciiTheme="minorHAnsi" w:hAnsiTheme="minorHAnsi"/>
          <w:color w:val="000000"/>
        </w:rPr>
        <w:t xml:space="preserve"> versus </w:t>
      </w:r>
      <w:r w:rsidRPr="00C94C33">
        <w:rPr>
          <w:rFonts w:asciiTheme="minorHAnsi" w:hAnsiTheme="minorHAnsi"/>
          <w:color w:val="000000"/>
        </w:rPr>
        <w:t>29.7%), neutrophil count decreased (33.2%</w:t>
      </w:r>
      <w:r w:rsidR="00C11183">
        <w:rPr>
          <w:rFonts w:asciiTheme="minorHAnsi" w:hAnsiTheme="minorHAnsi"/>
          <w:color w:val="000000"/>
        </w:rPr>
        <w:t xml:space="preserve"> versus </w:t>
      </w:r>
      <w:r w:rsidRPr="00C94C33">
        <w:rPr>
          <w:rFonts w:asciiTheme="minorHAnsi" w:hAnsiTheme="minorHAnsi"/>
          <w:color w:val="000000"/>
        </w:rPr>
        <w:t>20.7%), platelet count decreased (18.9%</w:t>
      </w:r>
      <w:r w:rsidR="00C11183">
        <w:rPr>
          <w:rFonts w:asciiTheme="minorHAnsi" w:hAnsiTheme="minorHAnsi"/>
          <w:color w:val="000000"/>
        </w:rPr>
        <w:t xml:space="preserve"> versus </w:t>
      </w:r>
      <w:r w:rsidRPr="00C94C33">
        <w:rPr>
          <w:rFonts w:asciiTheme="minorHAnsi" w:hAnsiTheme="minorHAnsi"/>
          <w:color w:val="000000"/>
        </w:rPr>
        <w:t>10.3%), and white blood cell count decreased (33.2%</w:t>
      </w:r>
      <w:r w:rsidR="00C11183">
        <w:rPr>
          <w:rFonts w:asciiTheme="minorHAnsi" w:hAnsiTheme="minorHAnsi"/>
          <w:color w:val="000000"/>
        </w:rPr>
        <w:t xml:space="preserve"> versus </w:t>
      </w:r>
      <w:r w:rsidRPr="00C94C33">
        <w:rPr>
          <w:rFonts w:asciiTheme="minorHAnsi" w:hAnsiTheme="minorHAnsi"/>
          <w:color w:val="000000"/>
        </w:rPr>
        <w:t>19.8%). The corresponding incidences of these AEs in the placebo group (PS</w:t>
      </w:r>
      <w:r w:rsidR="005E398C">
        <w:rPr>
          <w:rFonts w:asciiTheme="minorHAnsi" w:hAnsiTheme="minorHAnsi"/>
          <w:color w:val="000000"/>
        </w:rPr>
        <w:t xml:space="preserve"> </w:t>
      </w:r>
      <w:r w:rsidRPr="00C94C33">
        <w:rPr>
          <w:rFonts w:asciiTheme="minorHAnsi" w:hAnsiTheme="minorHAnsi"/>
          <w:color w:val="000000"/>
        </w:rPr>
        <w:t>=</w:t>
      </w:r>
      <w:r w:rsidR="005E398C">
        <w:rPr>
          <w:rFonts w:asciiTheme="minorHAnsi" w:hAnsiTheme="minorHAnsi"/>
          <w:color w:val="000000"/>
        </w:rPr>
        <w:t xml:space="preserve"> </w:t>
      </w:r>
      <w:r w:rsidRPr="00C94C33">
        <w:rPr>
          <w:rFonts w:asciiTheme="minorHAnsi" w:hAnsiTheme="minorHAnsi"/>
          <w:color w:val="000000"/>
        </w:rPr>
        <w:t>0</w:t>
      </w:r>
      <w:r w:rsidR="00C11183">
        <w:rPr>
          <w:rFonts w:asciiTheme="minorHAnsi" w:hAnsiTheme="minorHAnsi"/>
          <w:color w:val="000000"/>
        </w:rPr>
        <w:t xml:space="preserve"> versus </w:t>
      </w:r>
      <w:r w:rsidRPr="00C94C33">
        <w:rPr>
          <w:rFonts w:asciiTheme="minorHAnsi" w:hAnsiTheme="minorHAnsi"/>
          <w:color w:val="000000"/>
        </w:rPr>
        <w:t>PS</w:t>
      </w:r>
      <w:r w:rsidR="005E398C">
        <w:rPr>
          <w:rFonts w:asciiTheme="minorHAnsi" w:hAnsiTheme="minorHAnsi"/>
          <w:color w:val="000000"/>
        </w:rPr>
        <w:t xml:space="preserve"> </w:t>
      </w:r>
      <w:r w:rsidRPr="00C94C33">
        <w:rPr>
          <w:rFonts w:asciiTheme="minorHAnsi" w:hAnsiTheme="minorHAnsi"/>
          <w:color w:val="000000"/>
        </w:rPr>
        <w:t>=</w:t>
      </w:r>
      <w:r w:rsidR="005E398C">
        <w:rPr>
          <w:rFonts w:asciiTheme="minorHAnsi" w:hAnsiTheme="minorHAnsi"/>
          <w:color w:val="000000"/>
        </w:rPr>
        <w:t xml:space="preserve"> </w:t>
      </w:r>
      <w:r w:rsidRPr="00C94C33">
        <w:rPr>
          <w:rFonts w:asciiTheme="minorHAnsi" w:hAnsiTheme="minorHAnsi"/>
          <w:color w:val="000000"/>
        </w:rPr>
        <w:t>1) were diarrhoea (7.5%</w:t>
      </w:r>
      <w:r w:rsidR="00C11183">
        <w:rPr>
          <w:rFonts w:asciiTheme="minorHAnsi" w:hAnsiTheme="minorHAnsi"/>
          <w:color w:val="000000"/>
        </w:rPr>
        <w:t xml:space="preserve"> versus </w:t>
      </w:r>
      <w:r w:rsidRPr="00C94C33">
        <w:rPr>
          <w:rFonts w:asciiTheme="minorHAnsi" w:hAnsiTheme="minorHAnsi"/>
          <w:color w:val="000000"/>
        </w:rPr>
        <w:t>18.6%), fatigue (21.8%</w:t>
      </w:r>
      <w:r w:rsidR="00C11183">
        <w:rPr>
          <w:rFonts w:asciiTheme="minorHAnsi" w:hAnsiTheme="minorHAnsi"/>
          <w:color w:val="000000"/>
        </w:rPr>
        <w:t xml:space="preserve"> versus </w:t>
      </w:r>
      <w:r w:rsidRPr="00C94C33">
        <w:rPr>
          <w:rFonts w:asciiTheme="minorHAnsi" w:hAnsiTheme="minorHAnsi"/>
          <w:color w:val="000000"/>
        </w:rPr>
        <w:t>25.4%), neutrophil count decreased (0.7%</w:t>
      </w:r>
      <w:r w:rsidR="00C11183">
        <w:rPr>
          <w:rFonts w:asciiTheme="minorHAnsi" w:hAnsiTheme="minorHAnsi"/>
          <w:color w:val="000000"/>
        </w:rPr>
        <w:t xml:space="preserve"> versus </w:t>
      </w:r>
      <w:r w:rsidRPr="00C94C33">
        <w:rPr>
          <w:rFonts w:asciiTheme="minorHAnsi" w:hAnsiTheme="minorHAnsi"/>
          <w:color w:val="000000"/>
        </w:rPr>
        <w:t>0%), platelet count decreased (2.7%</w:t>
      </w:r>
      <w:r w:rsidR="00C11183">
        <w:rPr>
          <w:rFonts w:asciiTheme="minorHAnsi" w:hAnsiTheme="minorHAnsi"/>
          <w:color w:val="000000"/>
        </w:rPr>
        <w:t xml:space="preserve"> versus </w:t>
      </w:r>
      <w:r w:rsidRPr="00C94C33">
        <w:rPr>
          <w:rFonts w:asciiTheme="minorHAnsi" w:hAnsiTheme="minorHAnsi"/>
          <w:color w:val="000000"/>
        </w:rPr>
        <w:t>1.7%), and white blood cell count decreased (0.7%</w:t>
      </w:r>
      <w:r w:rsidR="00C11183">
        <w:rPr>
          <w:rFonts w:asciiTheme="minorHAnsi" w:hAnsiTheme="minorHAnsi"/>
          <w:color w:val="000000"/>
        </w:rPr>
        <w:t xml:space="preserve"> versus </w:t>
      </w:r>
      <w:r w:rsidRPr="00C94C33">
        <w:rPr>
          <w:rFonts w:asciiTheme="minorHAnsi" w:hAnsiTheme="minorHAnsi"/>
          <w:color w:val="000000"/>
        </w:rPr>
        <w:t>0%).</w:t>
      </w:r>
    </w:p>
    <w:p w14:paraId="28539173" w14:textId="77777777" w:rsidR="00DF61BC" w:rsidRPr="00C94C33" w:rsidRDefault="00DF61BC" w:rsidP="00955252">
      <w:pPr>
        <w:pStyle w:val="Heading3"/>
      </w:pPr>
      <w:bookmarkStart w:id="445" w:name="_Toc470948603"/>
      <w:bookmarkStart w:id="446" w:name="_Toc510016898"/>
      <w:r w:rsidRPr="00C94C33">
        <w:t>Post-marketing experience</w:t>
      </w:r>
      <w:bookmarkEnd w:id="445"/>
      <w:bookmarkEnd w:id="446"/>
    </w:p>
    <w:p w14:paraId="28FFBF9F" w14:textId="568F7F13" w:rsidR="00DF61BC" w:rsidRPr="00C94C33" w:rsidRDefault="00DF61BC" w:rsidP="00DF61BC">
      <w:r w:rsidRPr="00C94C33">
        <w:t xml:space="preserve">The first country in which trifluridine/tipiracil (Lonsurf) was approved for marketing was Japan. The medicine was approved in Japan on 24 March 2014 and launched for marketing on 26 May 2015. The approved indication in Japan was amended on 20 March 2015 to include </w:t>
      </w:r>
      <w:r w:rsidR="00842E8F" w:rsidRPr="00C94C33">
        <w:t>‘</w:t>
      </w:r>
      <w:r w:rsidRPr="00C94C33">
        <w:t>unresectable advanced or recurrent colorectal cancer</w:t>
      </w:r>
      <w:r w:rsidR="00842E8F" w:rsidRPr="00C94C33">
        <w:t>’</w:t>
      </w:r>
      <w:r w:rsidRPr="00C94C33">
        <w:t>, based on the results of RECOURSE. The sponsor estimates that cumulative exposure in Japan from May 2014 to June 2015 is approximately 7037 patients.</w:t>
      </w:r>
    </w:p>
    <w:p w14:paraId="7666FE3E" w14:textId="3A51C27F" w:rsidR="00DF61BC" w:rsidRPr="00C94C33" w:rsidRDefault="00DF61BC" w:rsidP="00DF61BC">
      <w:r w:rsidRPr="00C94C33">
        <w:t xml:space="preserve">There have been 205 serious adverse reactions (SARs) in 110 cases from Japanese post-marketing experience reported from 25 July 2014 until 24 July 2015. Of the 205 reported SARs, 39 events in 22 case reports were characterised as suspected unexpected serious adverse reactions (SUSARs). The 39 SUSAR events included 6 events of </w:t>
      </w:r>
      <w:r w:rsidR="00842E8F" w:rsidRPr="00C94C33">
        <w:t>‘</w:t>
      </w:r>
      <w:r w:rsidRPr="00C94C33">
        <w:t>Febrile neutro</w:t>
      </w:r>
      <w:r w:rsidR="00B50F67">
        <w:t>paenia</w:t>
      </w:r>
      <w:r w:rsidR="00842E8F" w:rsidRPr="00C94C33">
        <w:t>’</w:t>
      </w:r>
      <w:r w:rsidRPr="00C94C33">
        <w:t xml:space="preserve">, 5 events of </w:t>
      </w:r>
      <w:r w:rsidR="00842E8F" w:rsidRPr="00C94C33">
        <w:t>‘</w:t>
      </w:r>
      <w:r w:rsidRPr="00C94C33">
        <w:t>Disseminated intravascular coagulation</w:t>
      </w:r>
      <w:r w:rsidR="00842E8F" w:rsidRPr="00C94C33">
        <w:t>’</w:t>
      </w:r>
      <w:r w:rsidRPr="00C94C33">
        <w:t xml:space="preserve">, 4 events of </w:t>
      </w:r>
      <w:r w:rsidR="00842E8F" w:rsidRPr="00C94C33">
        <w:t>‘</w:t>
      </w:r>
      <w:r w:rsidRPr="00C94C33">
        <w:t>Interstitial lung disease</w:t>
      </w:r>
      <w:r w:rsidR="00842E8F" w:rsidRPr="00C94C33">
        <w:t>’</w:t>
      </w:r>
      <w:r w:rsidRPr="00C94C33">
        <w:t xml:space="preserve">, 2 events of </w:t>
      </w:r>
      <w:r w:rsidR="00842E8F" w:rsidRPr="00C94C33">
        <w:t>‘</w:t>
      </w:r>
      <w:r w:rsidRPr="00C94C33">
        <w:t>Pneumonia</w:t>
      </w:r>
      <w:r w:rsidR="00842E8F" w:rsidRPr="00C94C33">
        <w:t>’</w:t>
      </w:r>
      <w:r w:rsidRPr="00C94C33">
        <w:t xml:space="preserve">, 2 events of </w:t>
      </w:r>
      <w:r w:rsidR="00842E8F" w:rsidRPr="00C94C33">
        <w:t>‘</w:t>
      </w:r>
      <w:r w:rsidRPr="00C94C33">
        <w:t>Bone marrow failure</w:t>
      </w:r>
      <w:r w:rsidR="00842E8F" w:rsidRPr="00C94C33">
        <w:t>’</w:t>
      </w:r>
      <w:r w:rsidRPr="00C94C33">
        <w:t xml:space="preserve">, 2 events of </w:t>
      </w:r>
      <w:r w:rsidR="00842E8F" w:rsidRPr="00C94C33">
        <w:t>‘</w:t>
      </w:r>
      <w:r w:rsidRPr="00C94C33">
        <w:t>Cardiac failure congestive</w:t>
      </w:r>
      <w:r w:rsidR="00842E8F" w:rsidRPr="00C94C33">
        <w:t>’</w:t>
      </w:r>
      <w:r w:rsidRPr="00C94C33">
        <w:t xml:space="preserve">, and 1 event each of </w:t>
      </w:r>
      <w:r w:rsidR="00842E8F" w:rsidRPr="00C94C33">
        <w:t>‘</w:t>
      </w:r>
      <w:r w:rsidRPr="00C94C33">
        <w:t>Anaemia</w:t>
      </w:r>
      <w:r w:rsidR="00842E8F" w:rsidRPr="00C94C33">
        <w:t>’</w:t>
      </w:r>
      <w:r w:rsidRPr="00C94C33">
        <w:t xml:space="preserve">, </w:t>
      </w:r>
      <w:r w:rsidR="00842E8F" w:rsidRPr="00C94C33">
        <w:t>‘</w:t>
      </w:r>
      <w:r w:rsidRPr="00C94C33">
        <w:t>Pancyto</w:t>
      </w:r>
      <w:r w:rsidR="00B50F67">
        <w:t>paenia</w:t>
      </w:r>
      <w:r w:rsidR="00842E8F" w:rsidRPr="00C94C33">
        <w:t>’</w:t>
      </w:r>
      <w:r w:rsidRPr="00C94C33">
        <w:t xml:space="preserve">, </w:t>
      </w:r>
      <w:r w:rsidR="00842E8F" w:rsidRPr="00C94C33">
        <w:t>‘</w:t>
      </w:r>
      <w:r w:rsidRPr="00C94C33">
        <w:t>Atrial fibrillation</w:t>
      </w:r>
      <w:r w:rsidR="00842E8F" w:rsidRPr="00C94C33">
        <w:t>’</w:t>
      </w:r>
      <w:r w:rsidRPr="00C94C33">
        <w:t xml:space="preserve">, </w:t>
      </w:r>
      <w:r w:rsidR="00842E8F" w:rsidRPr="00C94C33">
        <w:t>‘</w:t>
      </w:r>
      <w:r w:rsidRPr="00C94C33">
        <w:t>Atrial flutter</w:t>
      </w:r>
      <w:r w:rsidR="00842E8F" w:rsidRPr="00C94C33">
        <w:t>’</w:t>
      </w:r>
      <w:r w:rsidRPr="00C94C33">
        <w:t xml:space="preserve">, </w:t>
      </w:r>
      <w:r w:rsidR="00842E8F" w:rsidRPr="00C94C33">
        <w:t>‘</w:t>
      </w:r>
      <w:r w:rsidRPr="00C94C33">
        <w:t>Left ventricular dysfunction</w:t>
      </w:r>
      <w:r w:rsidR="00842E8F" w:rsidRPr="00C94C33">
        <w:t>’</w:t>
      </w:r>
      <w:r w:rsidRPr="00C94C33">
        <w:t xml:space="preserve">, </w:t>
      </w:r>
      <w:r w:rsidR="00842E8F" w:rsidRPr="00C94C33">
        <w:t>‘</w:t>
      </w:r>
      <w:r w:rsidRPr="00C94C33">
        <w:t>Corneal disorder</w:t>
      </w:r>
      <w:r w:rsidR="00842E8F" w:rsidRPr="00C94C33">
        <w:t>’</w:t>
      </w:r>
      <w:r w:rsidRPr="00C94C33">
        <w:t xml:space="preserve">, </w:t>
      </w:r>
      <w:r w:rsidR="00842E8F" w:rsidRPr="00C94C33">
        <w:t>‘</w:t>
      </w:r>
      <w:r w:rsidRPr="00C94C33">
        <w:t>Small intestinal perforation</w:t>
      </w:r>
      <w:r w:rsidR="00842E8F" w:rsidRPr="00C94C33">
        <w:t>’</w:t>
      </w:r>
      <w:r w:rsidRPr="00C94C33">
        <w:t xml:space="preserve">, </w:t>
      </w:r>
      <w:r w:rsidR="00842E8F" w:rsidRPr="00C94C33">
        <w:t>‘</w:t>
      </w:r>
      <w:r w:rsidRPr="00C94C33">
        <w:t>Pyrexia</w:t>
      </w:r>
      <w:r w:rsidR="00842E8F" w:rsidRPr="00C94C33">
        <w:t>’</w:t>
      </w:r>
      <w:r w:rsidRPr="00C94C33">
        <w:t xml:space="preserve">, </w:t>
      </w:r>
      <w:r w:rsidR="00842E8F" w:rsidRPr="00C94C33">
        <w:t>‘</w:t>
      </w:r>
      <w:r w:rsidRPr="00C94C33">
        <w:t>Jaundice</w:t>
      </w:r>
      <w:r w:rsidR="00842E8F" w:rsidRPr="00C94C33">
        <w:t>’</w:t>
      </w:r>
      <w:r w:rsidRPr="00C94C33">
        <w:t xml:space="preserve">, </w:t>
      </w:r>
      <w:r w:rsidR="00842E8F" w:rsidRPr="00C94C33">
        <w:t>‘</w:t>
      </w:r>
      <w:r w:rsidRPr="00C94C33">
        <w:t>Infection</w:t>
      </w:r>
      <w:r w:rsidR="00842E8F" w:rsidRPr="00C94C33">
        <w:t>’</w:t>
      </w:r>
      <w:r w:rsidRPr="00C94C33">
        <w:t xml:space="preserve">, </w:t>
      </w:r>
      <w:r w:rsidR="00842E8F" w:rsidRPr="00C94C33">
        <w:t>‘</w:t>
      </w:r>
      <w:r w:rsidRPr="00C94C33">
        <w:t>Infected fistula</w:t>
      </w:r>
      <w:r w:rsidR="00842E8F" w:rsidRPr="00C94C33">
        <w:t>’</w:t>
      </w:r>
      <w:r w:rsidRPr="00C94C33">
        <w:t xml:space="preserve">, </w:t>
      </w:r>
      <w:r w:rsidR="00842E8F" w:rsidRPr="00C94C33">
        <w:t>‘</w:t>
      </w:r>
      <w:r w:rsidRPr="00C94C33">
        <w:t>Platelet count decreased</w:t>
      </w:r>
      <w:r w:rsidR="00842E8F" w:rsidRPr="00C94C33">
        <w:t>’</w:t>
      </w:r>
      <w:r w:rsidRPr="00C94C33">
        <w:t xml:space="preserve">, </w:t>
      </w:r>
      <w:r w:rsidR="00842E8F" w:rsidRPr="00C94C33">
        <w:t>‘</w:t>
      </w:r>
      <w:r w:rsidRPr="00C94C33">
        <w:t>White blood cell count decreased</w:t>
      </w:r>
      <w:r w:rsidR="00842E8F" w:rsidRPr="00C94C33">
        <w:t>’</w:t>
      </w:r>
      <w:r w:rsidRPr="00C94C33">
        <w:t xml:space="preserve">, </w:t>
      </w:r>
      <w:r w:rsidR="00842E8F" w:rsidRPr="00C94C33">
        <w:t>‘</w:t>
      </w:r>
      <w:r w:rsidRPr="00C94C33">
        <w:t>Hypocalcaemia</w:t>
      </w:r>
      <w:r w:rsidR="00842E8F" w:rsidRPr="00C94C33">
        <w:t>’</w:t>
      </w:r>
      <w:r w:rsidRPr="00C94C33">
        <w:t xml:space="preserve">, </w:t>
      </w:r>
      <w:r w:rsidR="00842E8F" w:rsidRPr="00C94C33">
        <w:t>‘</w:t>
      </w:r>
      <w:r w:rsidRPr="00C94C33">
        <w:t>Hypomagnesaemia</w:t>
      </w:r>
      <w:r w:rsidR="00842E8F" w:rsidRPr="00C94C33">
        <w:t>’</w:t>
      </w:r>
      <w:r w:rsidRPr="00C94C33">
        <w:t xml:space="preserve">, </w:t>
      </w:r>
      <w:r w:rsidR="00842E8F" w:rsidRPr="00C94C33">
        <w:t>‘</w:t>
      </w:r>
      <w:r w:rsidRPr="00C94C33">
        <w:t>Cerebral infarction</w:t>
      </w:r>
      <w:r w:rsidR="00842E8F" w:rsidRPr="00C94C33">
        <w:t>’</w:t>
      </w:r>
      <w:r w:rsidRPr="00C94C33">
        <w:t xml:space="preserve">, </w:t>
      </w:r>
      <w:r w:rsidR="00842E8F" w:rsidRPr="00C94C33">
        <w:t>‘</w:t>
      </w:r>
      <w:r w:rsidRPr="00C94C33">
        <w:t>Acute respiratory distress syndrome</w:t>
      </w:r>
      <w:r w:rsidR="00842E8F" w:rsidRPr="00C94C33">
        <w:t>’</w:t>
      </w:r>
      <w:r w:rsidRPr="00C94C33">
        <w:t xml:space="preserve">, and </w:t>
      </w:r>
      <w:r w:rsidR="00842E8F" w:rsidRPr="00C94C33">
        <w:t>‘</w:t>
      </w:r>
      <w:r w:rsidRPr="00C94C33">
        <w:t>Pulmonary haemorrhage</w:t>
      </w:r>
      <w:r w:rsidR="00842E8F" w:rsidRPr="00C94C33">
        <w:t>’</w:t>
      </w:r>
      <w:r w:rsidRPr="00C94C33">
        <w:t>.</w:t>
      </w:r>
    </w:p>
    <w:p w14:paraId="6834754D" w14:textId="3DF9C3A9" w:rsidR="00DF61BC" w:rsidRPr="00C94C33" w:rsidRDefault="00DF61BC" w:rsidP="00DF61BC">
      <w:r w:rsidRPr="00C94C33">
        <w:t xml:space="preserve">Of the 5 cases of </w:t>
      </w:r>
      <w:r w:rsidR="00842E8F" w:rsidRPr="00C94C33">
        <w:t>‘</w:t>
      </w:r>
      <w:r w:rsidRPr="00C94C33">
        <w:t>Disseminated intravascular coagulation</w:t>
      </w:r>
      <w:r w:rsidR="00842E8F" w:rsidRPr="00C94C33">
        <w:t>’</w:t>
      </w:r>
      <w:r w:rsidRPr="00C94C33">
        <w:t xml:space="preserve"> reported during the collection period, 4</w:t>
      </w:r>
      <w:r w:rsidR="005E398C">
        <w:t> </w:t>
      </w:r>
      <w:r w:rsidRPr="00C94C33">
        <w:t xml:space="preserve">were considered to be possibly related to Lonsurf since these events were probably secondary to infection caused by chemotherapy induced bone-marrow suppression which increases susceptibility to infection. The remaining case was assessed as </w:t>
      </w:r>
      <w:r w:rsidR="00842E8F" w:rsidRPr="00C94C33">
        <w:t>‘</w:t>
      </w:r>
      <w:r w:rsidRPr="00C94C33">
        <w:t>Unassessable</w:t>
      </w:r>
      <w:r w:rsidR="00842E8F" w:rsidRPr="00C94C33">
        <w:t>’</w:t>
      </w:r>
      <w:r w:rsidRPr="00C94C33">
        <w:t xml:space="preserve"> at the time of data lock point for the following reasons. In this case, no infection was diagnosed, and </w:t>
      </w:r>
      <w:r w:rsidR="00842E8F" w:rsidRPr="00C94C33">
        <w:t>‘</w:t>
      </w:r>
      <w:r w:rsidRPr="00C94C33">
        <w:t>DIC</w:t>
      </w:r>
      <w:r w:rsidR="00842E8F" w:rsidRPr="00C94C33">
        <w:t>’</w:t>
      </w:r>
      <w:r w:rsidRPr="00C94C33">
        <w:t xml:space="preserve"> was reportedly due to oncolysis. Necrosis within multiple lung metastases and retroperitoneal lymph nodes was observed.</w:t>
      </w:r>
    </w:p>
    <w:p w14:paraId="3F84F0A7" w14:textId="5A8445E0" w:rsidR="00DF61BC" w:rsidRPr="00C94C33" w:rsidRDefault="00DF61BC" w:rsidP="00DF61BC">
      <w:r w:rsidRPr="00C94C33">
        <w:t xml:space="preserve">In a document titled </w:t>
      </w:r>
      <w:r w:rsidR="00842E8F" w:rsidRPr="00C94C33">
        <w:t>‘</w:t>
      </w:r>
      <w:r w:rsidRPr="00C94C33">
        <w:t>Post-marketing experience in patients with unresectable advanced or recurrent colorectal cancer</w:t>
      </w:r>
      <w:r w:rsidR="00842E8F" w:rsidRPr="00C94C33">
        <w:t>’</w:t>
      </w:r>
      <w:r w:rsidRPr="00C94C33">
        <w:t xml:space="preserve"> provided the sponsor stated that </w:t>
      </w:r>
      <w:r w:rsidR="00842E8F" w:rsidRPr="00C94C33">
        <w:t>‘</w:t>
      </w:r>
      <w:r w:rsidR="00A0007E" w:rsidRPr="00C94C33">
        <w:t>(</w:t>
      </w:r>
      <w:r w:rsidRPr="00C94C33">
        <w:t>T</w:t>
      </w:r>
      <w:r w:rsidR="00A0007E" w:rsidRPr="00C94C33">
        <w:t>)</w:t>
      </w:r>
      <w:r w:rsidRPr="00C94C33">
        <w:t>o date, TAS-102 has been authorised for use in two countries, Japan (March 24, 2014) and USA (September 22, 2015). There have been reports of interstitial lung disease in patients receiving Lonsurf in post-approval use in Japan</w:t>
      </w:r>
      <w:r w:rsidR="00842E8F" w:rsidRPr="00C94C33">
        <w:t>’</w:t>
      </w:r>
      <w:r w:rsidRPr="00C94C33">
        <w:t>.</w:t>
      </w:r>
    </w:p>
    <w:p w14:paraId="6A10FCCC" w14:textId="339C2E58" w:rsidR="00DF61BC" w:rsidRPr="00C94C33" w:rsidRDefault="00DF61BC" w:rsidP="00955252">
      <w:pPr>
        <w:pStyle w:val="Heading3"/>
      </w:pPr>
      <w:bookmarkStart w:id="447" w:name="_Toc470948604"/>
      <w:bookmarkStart w:id="448" w:name="_Toc510016899"/>
      <w:r w:rsidRPr="00C94C33">
        <w:t>Other safety issues</w:t>
      </w:r>
      <w:bookmarkEnd w:id="447"/>
      <w:bookmarkEnd w:id="448"/>
    </w:p>
    <w:p w14:paraId="0626383C" w14:textId="77777777" w:rsidR="00AA7141" w:rsidRDefault="00DF61BC" w:rsidP="00955252">
      <w:pPr>
        <w:pStyle w:val="Heading4"/>
      </w:pPr>
      <w:bookmarkStart w:id="449" w:name="_Toc470948605"/>
      <w:r w:rsidRPr="00C94C33">
        <w:t>Updated safety information from the clinical development program</w:t>
      </w:r>
      <w:bookmarkEnd w:id="449"/>
    </w:p>
    <w:p w14:paraId="4711B3B3" w14:textId="21990374" w:rsidR="00DF61BC" w:rsidRPr="00C94C33" w:rsidRDefault="00DF61BC" w:rsidP="00DF61BC">
      <w:r w:rsidRPr="00C94C33">
        <w:t>As of 24 July 2015, a cumulative total of 2212 patients have been treated in the TAS-102 clinical development program globally (completed and ongoing clinical trials).  Of the 2212 patients, 1448</w:t>
      </w:r>
      <w:r w:rsidR="005E398C">
        <w:t> </w:t>
      </w:r>
      <w:r w:rsidRPr="00C94C33">
        <w:t xml:space="preserve">patients received TAS-102 alone, 27 patients received TAS-102 plus irinotecan, 406 patients received </w:t>
      </w:r>
      <w:r w:rsidR="00842E8F" w:rsidRPr="00C94C33">
        <w:t>‘</w:t>
      </w:r>
      <w:r w:rsidRPr="00C94C33">
        <w:t>blinded</w:t>
      </w:r>
      <w:r w:rsidR="00842E8F" w:rsidRPr="00C94C33">
        <w:t>’</w:t>
      </w:r>
      <w:r w:rsidRPr="00C94C33">
        <w:t xml:space="preserve"> TAS-102, 9 patients received comparators, and 322 patients received placebo.</w:t>
      </w:r>
    </w:p>
    <w:p w14:paraId="0D27B8D1" w14:textId="0AE9F8EE" w:rsidR="00DF61BC" w:rsidRPr="00C94C33" w:rsidRDefault="00DF61BC" w:rsidP="00DF61BC">
      <w:r w:rsidRPr="00C94C33">
        <w:t xml:space="preserve">Since the inception of the clinical program through to 24 July 2015, a total of 572 patients have experienced SAEs, with the majority being </w:t>
      </w:r>
      <w:r w:rsidR="00842E8F" w:rsidRPr="00C94C33">
        <w:t>‘</w:t>
      </w:r>
      <w:r w:rsidRPr="00C94C33">
        <w:t>gastrointestinal disorders</w:t>
      </w:r>
      <w:r w:rsidR="00842E8F" w:rsidRPr="00C94C33">
        <w:t>’</w:t>
      </w:r>
      <w:r w:rsidRPr="00C94C33">
        <w:t xml:space="preserve">, and a total of 131 patients </w:t>
      </w:r>
      <w:r w:rsidRPr="00C94C33">
        <w:lastRenderedPageBreak/>
        <w:t xml:space="preserve">have experienced SARs, with the majority being </w:t>
      </w:r>
      <w:r w:rsidR="00842E8F" w:rsidRPr="00C94C33">
        <w:t>‘</w:t>
      </w:r>
      <w:r w:rsidRPr="00C94C33">
        <w:t>blood and lymphatic system disorders</w:t>
      </w:r>
      <w:r w:rsidR="00842E8F" w:rsidRPr="00C94C33">
        <w:t>’</w:t>
      </w:r>
      <w:r w:rsidRPr="00C94C33">
        <w:t>. The safety profile of TAS-102 is based on patients from the EU, Asia, Japan, Australia and the US.</w:t>
      </w:r>
    </w:p>
    <w:p w14:paraId="47E9D4C9" w14:textId="1F3CFC64" w:rsidR="00DF61BC" w:rsidRPr="00C94C33" w:rsidRDefault="00DF61BC" w:rsidP="00DF61BC">
      <w:r w:rsidRPr="00C94C33">
        <w:t>Important identified risks associated with TAS-102 include bone marrow suppression (anaemia, neutro</w:t>
      </w:r>
      <w:r w:rsidR="00B50F67">
        <w:t>paenia</w:t>
      </w:r>
      <w:r w:rsidRPr="00C94C33">
        <w:t>, leuko</w:t>
      </w:r>
      <w:r w:rsidR="00B50F67">
        <w:t>paenia</w:t>
      </w:r>
      <w:r w:rsidRPr="00C94C33">
        <w:t>, thrombocyto</w:t>
      </w:r>
      <w:r w:rsidR="00B50F67">
        <w:t>paenia</w:t>
      </w:r>
      <w:r w:rsidRPr="00C94C33">
        <w:t>, and febrile neutro</w:t>
      </w:r>
      <w:r w:rsidR="00B50F67">
        <w:t>paenia</w:t>
      </w:r>
      <w:r w:rsidRPr="00C94C33">
        <w:t>), gastrointestinal events (nausea, vomiting and diarrhoea) and infections. Important potential risks which have been identified include use of TAS-102 in patients with moderate renal impairment, and use in pregnant or breast-feeding women.</w:t>
      </w:r>
    </w:p>
    <w:p w14:paraId="7094F8F6" w14:textId="77777777" w:rsidR="00DF61BC" w:rsidRPr="00C94C33" w:rsidRDefault="00DF61BC" w:rsidP="00955252">
      <w:pPr>
        <w:pStyle w:val="Heading4"/>
      </w:pPr>
      <w:bookmarkStart w:id="450" w:name="_Toc470948606"/>
      <w:r w:rsidRPr="00C94C33">
        <w:t>Drug-drug interactions</w:t>
      </w:r>
      <w:bookmarkEnd w:id="450"/>
    </w:p>
    <w:p w14:paraId="1E1FDC52" w14:textId="73E3F885" w:rsidR="00DF61BC" w:rsidRPr="00C94C33" w:rsidRDefault="00DF61BC" w:rsidP="00DF61BC">
      <w:r w:rsidRPr="00C94C33">
        <w:t>No clinical drug-drug interaction studies involvi</w:t>
      </w:r>
      <w:r w:rsidR="00E95C0F">
        <w:t>ng TAS-102 have been performed.</w:t>
      </w:r>
    </w:p>
    <w:p w14:paraId="4753FF72" w14:textId="77777777" w:rsidR="00DF61BC" w:rsidRPr="00C94C33" w:rsidRDefault="00DF61BC" w:rsidP="00955252">
      <w:pPr>
        <w:pStyle w:val="Heading4"/>
      </w:pPr>
      <w:bookmarkStart w:id="451" w:name="_Toc470948607"/>
      <w:r w:rsidRPr="00C94C33">
        <w:t>Use in pregnancy and lactation</w:t>
      </w:r>
      <w:bookmarkEnd w:id="451"/>
    </w:p>
    <w:p w14:paraId="7C7B8117" w14:textId="77777777" w:rsidR="00DF61BC" w:rsidRPr="00C94C33" w:rsidRDefault="00DF61BC" w:rsidP="00DF61BC">
      <w:r w:rsidRPr="00C94C33">
        <w:t>It is not known whether TAS-102 or its metabolites are excreted in human milk.</w:t>
      </w:r>
    </w:p>
    <w:p w14:paraId="291456E7" w14:textId="77777777" w:rsidR="00DF61BC" w:rsidRPr="00C94C33" w:rsidRDefault="00DF61BC" w:rsidP="00955252">
      <w:pPr>
        <w:pStyle w:val="Heading4"/>
      </w:pPr>
      <w:bookmarkStart w:id="452" w:name="_Toc470948608"/>
      <w:r w:rsidRPr="00C94C33">
        <w:t>Hospitalisations</w:t>
      </w:r>
      <w:bookmarkEnd w:id="452"/>
    </w:p>
    <w:p w14:paraId="0C56A607" w14:textId="686D63FE" w:rsidR="00DF61BC" w:rsidRPr="00C94C33" w:rsidRDefault="00DF61BC" w:rsidP="00DF61BC">
      <w:pPr>
        <w:rPr>
          <w:rFonts w:asciiTheme="minorHAnsi" w:hAnsiTheme="minorHAnsi"/>
        </w:rPr>
      </w:pPr>
      <w:r w:rsidRPr="00C94C33">
        <w:rPr>
          <w:rFonts w:asciiTheme="minorHAnsi" w:hAnsiTheme="minorHAnsi"/>
        </w:rPr>
        <w:t xml:space="preserve">The submission included a </w:t>
      </w:r>
      <w:r w:rsidR="00842E8F" w:rsidRPr="00C94C33">
        <w:rPr>
          <w:rFonts w:asciiTheme="minorHAnsi" w:hAnsiTheme="minorHAnsi"/>
        </w:rPr>
        <w:t>‘</w:t>
      </w:r>
      <w:r w:rsidRPr="00C94C33">
        <w:rPr>
          <w:rFonts w:asciiTheme="minorHAnsi" w:hAnsiTheme="minorHAnsi"/>
        </w:rPr>
        <w:t>Hospitalisation Analysis</w:t>
      </w:r>
      <w:r w:rsidR="00842E8F" w:rsidRPr="00C94C33">
        <w:rPr>
          <w:rFonts w:asciiTheme="minorHAnsi" w:hAnsiTheme="minorHAnsi"/>
        </w:rPr>
        <w:t>’</w:t>
      </w:r>
      <w:r w:rsidRPr="00C94C33">
        <w:rPr>
          <w:rFonts w:asciiTheme="minorHAnsi" w:hAnsiTheme="minorHAnsi"/>
        </w:rPr>
        <w:t xml:space="preserve">, which evaluated the hospitalisation data reported during the pivotal Phase III study </w:t>
      </w:r>
      <w:r w:rsidR="00A0007E" w:rsidRPr="00C94C33">
        <w:rPr>
          <w:rFonts w:asciiTheme="minorHAnsi" w:hAnsiTheme="minorHAnsi"/>
        </w:rPr>
        <w:t>(</w:t>
      </w:r>
      <w:r w:rsidRPr="00C94C33">
        <w:rPr>
          <w:rFonts w:asciiTheme="minorHAnsi" w:hAnsiTheme="minorHAnsi"/>
        </w:rPr>
        <w:t>RECOURSE</w:t>
      </w:r>
      <w:r w:rsidR="00A0007E" w:rsidRPr="00C94C33">
        <w:rPr>
          <w:rFonts w:asciiTheme="minorHAnsi" w:hAnsiTheme="minorHAnsi"/>
        </w:rPr>
        <w:t>)</w:t>
      </w:r>
      <w:r w:rsidRPr="00C94C33">
        <w:rPr>
          <w:rFonts w:asciiTheme="minorHAnsi" w:hAnsiTheme="minorHAnsi"/>
        </w:rPr>
        <w:t>. Of the 800 randomised patients, 798 were treated (AT population) and included in the hospitalisation analysis. Overall, no evidence of increased risk of hospitalisation in patients in the TAS-102 group compared to the placebo group was observed in the hospital analysis.</w:t>
      </w:r>
    </w:p>
    <w:p w14:paraId="732C004E" w14:textId="47A1EB61" w:rsidR="00DF61BC" w:rsidRPr="00C94C33" w:rsidRDefault="00DF61BC" w:rsidP="00DF61BC">
      <w:pPr>
        <w:rPr>
          <w:rFonts w:asciiTheme="minorHAnsi" w:hAnsiTheme="minorHAnsi"/>
        </w:rPr>
      </w:pPr>
      <w:r w:rsidRPr="00C94C33">
        <w:rPr>
          <w:rFonts w:asciiTheme="minorHAnsi" w:hAnsiTheme="minorHAnsi"/>
        </w:rPr>
        <w:t>The median number of days hospitalised and median hospitalisation ratio (days hospitalised divided by days of follow-up) were lower for the TAS-102 group (9.00 days, 0.12) than for the placebo group (11.00 days, 0.22). The ratio of hospitalisations per patient was lower for the TAS-102 group (206/533, 0.39) than for the placebo group (121/265, 0.46). The percentage of patients hospitalised was also lower for the TAS-102 group (31.0% of patients) than for the placebo group (36.2% of patients). SAEs were the primary reason for hospitalisations per patient: 183/533 (34.3%) and 101/265 (38.1%) in the TAS-102 and placebo groups, respectively. Of these hospitalisations, 25/533 (4.7%) in the TAS-102 group and 15/265 (5.7%) in the placebo group included an additional reason for hospitalisation. Hospitalisations during the treatment period and/or 30</w:t>
      </w:r>
      <w:r w:rsidR="009C0389" w:rsidRPr="00C94C33">
        <w:rPr>
          <w:rFonts w:asciiTheme="minorHAnsi" w:hAnsiTheme="minorHAnsi"/>
        </w:rPr>
        <w:t xml:space="preserve"> day</w:t>
      </w:r>
      <w:r w:rsidRPr="00C94C33">
        <w:rPr>
          <w:rFonts w:asciiTheme="minorHAnsi" w:hAnsiTheme="minorHAnsi"/>
        </w:rPr>
        <w:t xml:space="preserve"> follow-up are summarised below.</w:t>
      </w:r>
    </w:p>
    <w:p w14:paraId="7A149F27" w14:textId="334303ED" w:rsidR="00DF61BC" w:rsidRPr="00C94C33" w:rsidRDefault="00DF61BC" w:rsidP="00DF61BC">
      <w:pPr>
        <w:autoSpaceDE w:val="0"/>
        <w:autoSpaceDN w:val="0"/>
        <w:adjustRightInd w:val="0"/>
        <w:rPr>
          <w:rFonts w:asciiTheme="minorHAnsi" w:hAnsiTheme="minorHAnsi"/>
          <w:color w:val="000000"/>
        </w:rPr>
      </w:pPr>
      <w:r w:rsidRPr="00C94C33">
        <w:rPr>
          <w:rFonts w:asciiTheme="minorHAnsi" w:hAnsiTheme="minorHAnsi"/>
          <w:color w:val="000000"/>
        </w:rPr>
        <w:t>Hospitalisations for febrile neutro</w:t>
      </w:r>
      <w:r w:rsidR="00B50F67">
        <w:rPr>
          <w:rFonts w:asciiTheme="minorHAnsi" w:hAnsiTheme="minorHAnsi"/>
          <w:color w:val="000000"/>
        </w:rPr>
        <w:t>paenia</w:t>
      </w:r>
      <w:r w:rsidRPr="00C94C33">
        <w:rPr>
          <w:rFonts w:asciiTheme="minorHAnsi" w:hAnsiTheme="minorHAnsi"/>
          <w:color w:val="000000"/>
        </w:rPr>
        <w:t xml:space="preserve"> during the treatment period and/or 30</w:t>
      </w:r>
      <w:r w:rsidR="009C0389" w:rsidRPr="00C94C33">
        <w:rPr>
          <w:rFonts w:asciiTheme="minorHAnsi" w:hAnsiTheme="minorHAnsi"/>
          <w:color w:val="000000"/>
        </w:rPr>
        <w:t xml:space="preserve"> day</w:t>
      </w:r>
      <w:r w:rsidRPr="00C94C33">
        <w:rPr>
          <w:rFonts w:asciiTheme="minorHAnsi" w:hAnsiTheme="minorHAnsi"/>
          <w:color w:val="000000"/>
        </w:rPr>
        <w:t xml:space="preserve"> safety follow up period were analysed. There were no patients hospitalised for febrile neutro</w:t>
      </w:r>
      <w:r w:rsidR="00B50F67">
        <w:rPr>
          <w:rFonts w:asciiTheme="minorHAnsi" w:hAnsiTheme="minorHAnsi"/>
          <w:color w:val="000000"/>
        </w:rPr>
        <w:t>paenia</w:t>
      </w:r>
      <w:r w:rsidRPr="00C94C33">
        <w:rPr>
          <w:rFonts w:asciiTheme="minorHAnsi" w:hAnsiTheme="minorHAnsi"/>
          <w:color w:val="000000"/>
        </w:rPr>
        <w:t xml:space="preserve"> in the placebo group. In the TAS-102 group, all 14 patients hospitalised for febrile neutro</w:t>
      </w:r>
      <w:r w:rsidR="00B50F67">
        <w:rPr>
          <w:rFonts w:asciiTheme="minorHAnsi" w:hAnsiTheme="minorHAnsi"/>
          <w:color w:val="000000"/>
        </w:rPr>
        <w:t>paenia</w:t>
      </w:r>
      <w:r w:rsidRPr="00C94C33">
        <w:rPr>
          <w:rFonts w:asciiTheme="minorHAnsi" w:hAnsiTheme="minorHAnsi"/>
          <w:color w:val="000000"/>
        </w:rPr>
        <w:t xml:space="preserve"> were due to SAE without an additional reason; the median number of days hospitalised was 9.50 days, and the median hospitalisation ratio was 0.16.</w:t>
      </w:r>
    </w:p>
    <w:p w14:paraId="042A8DE3" w14:textId="5256C600" w:rsidR="00DF61BC" w:rsidRPr="00C94C33" w:rsidRDefault="00DF61BC" w:rsidP="00DF61BC">
      <w:pPr>
        <w:autoSpaceDE w:val="0"/>
        <w:autoSpaceDN w:val="0"/>
        <w:adjustRightInd w:val="0"/>
        <w:rPr>
          <w:rFonts w:asciiTheme="minorHAnsi" w:hAnsiTheme="minorHAnsi"/>
          <w:color w:val="000000"/>
        </w:rPr>
      </w:pPr>
      <w:r w:rsidRPr="00C94C33">
        <w:rPr>
          <w:rFonts w:asciiTheme="minorHAnsi" w:hAnsiTheme="minorHAnsi"/>
          <w:color w:val="000000"/>
        </w:rPr>
        <w:t>The percentage of SAEs resulting in hospitalisation was lower in the TAS-102 group (28.3% of patients) than in the placebo group (32.5% of patients). SAEs reported in ≥ 1% of patients in either treatment group and occurring more frequently in the TAS-102 group than in the placebo group, respectively, were febrile neutro</w:t>
      </w:r>
      <w:r w:rsidR="00B50F67">
        <w:rPr>
          <w:rFonts w:asciiTheme="minorHAnsi" w:hAnsiTheme="minorHAnsi"/>
          <w:color w:val="000000"/>
        </w:rPr>
        <w:t>paenia</w:t>
      </w:r>
      <w:r w:rsidRPr="00C94C33">
        <w:rPr>
          <w:rFonts w:asciiTheme="minorHAnsi" w:hAnsiTheme="minorHAnsi"/>
          <w:color w:val="000000"/>
        </w:rPr>
        <w:t xml:space="preserve"> (2.6%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14</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0%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0</w:t>
      </w:r>
      <w:r w:rsidR="00A0007E" w:rsidRPr="00C94C33">
        <w:rPr>
          <w:rFonts w:asciiTheme="minorHAnsi" w:hAnsiTheme="minorHAnsi"/>
          <w:color w:val="000000"/>
        </w:rPr>
        <w:t>)</w:t>
      </w:r>
      <w:r w:rsidRPr="00C94C33">
        <w:rPr>
          <w:rFonts w:asciiTheme="minorHAnsi" w:hAnsiTheme="minorHAnsi"/>
          <w:color w:val="000000"/>
        </w:rPr>
        <w:t xml:space="preserve">), anaemia (2.1%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11</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0%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0</w:t>
      </w:r>
      <w:r w:rsidR="00A0007E" w:rsidRPr="00C94C33">
        <w:rPr>
          <w:rFonts w:asciiTheme="minorHAnsi" w:hAnsiTheme="minorHAnsi"/>
          <w:color w:val="000000"/>
        </w:rPr>
        <w:t>)</w:t>
      </w:r>
      <w:r w:rsidRPr="00C94C33">
        <w:rPr>
          <w:rFonts w:asciiTheme="minorHAnsi" w:hAnsiTheme="minorHAnsi"/>
          <w:color w:val="000000"/>
        </w:rPr>
        <w:t xml:space="preserve">), and vomiting (1.1%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6</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0%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0</w:t>
      </w:r>
      <w:r w:rsidR="00A0007E" w:rsidRPr="00C94C33">
        <w:rPr>
          <w:rFonts w:asciiTheme="minorHAnsi" w:hAnsiTheme="minorHAnsi"/>
          <w:color w:val="000000"/>
        </w:rPr>
        <w:t>)</w:t>
      </w:r>
      <w:r w:rsidRPr="00C94C33">
        <w:rPr>
          <w:rFonts w:asciiTheme="minorHAnsi" w:hAnsiTheme="minorHAnsi"/>
          <w:color w:val="000000"/>
        </w:rPr>
        <w:t xml:space="preserve">). SAEs reported in ≥ 1% of patients in either treatment group and occurring more frequently in the placebo group than in the TAS-102 group, respectively, were general health deterioration (3.4%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9</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2.8%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15</w:t>
      </w:r>
      <w:r w:rsidR="00A0007E" w:rsidRPr="00C94C33">
        <w:rPr>
          <w:rFonts w:asciiTheme="minorHAnsi" w:hAnsiTheme="minorHAnsi"/>
          <w:color w:val="000000"/>
        </w:rPr>
        <w:t>)</w:t>
      </w:r>
      <w:r w:rsidRPr="00C94C33">
        <w:rPr>
          <w:rFonts w:asciiTheme="minorHAnsi" w:hAnsiTheme="minorHAnsi"/>
          <w:color w:val="000000"/>
        </w:rPr>
        <w:t xml:space="preserve">), dyspnoea (2.3%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6</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0.6%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3</w:t>
      </w:r>
      <w:r w:rsidR="00A0007E" w:rsidRPr="00C94C33">
        <w:rPr>
          <w:rFonts w:asciiTheme="minorHAnsi" w:hAnsiTheme="minorHAnsi"/>
          <w:color w:val="000000"/>
        </w:rPr>
        <w:t>)</w:t>
      </w:r>
      <w:r w:rsidRPr="00C94C33">
        <w:rPr>
          <w:rFonts w:asciiTheme="minorHAnsi" w:hAnsiTheme="minorHAnsi"/>
          <w:color w:val="000000"/>
        </w:rPr>
        <w:t xml:space="preserve">), decreased appetite (1.9%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5</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0.6%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3</w:t>
      </w:r>
      <w:r w:rsidR="00A0007E" w:rsidRPr="00C94C33">
        <w:rPr>
          <w:rFonts w:asciiTheme="minorHAnsi" w:hAnsiTheme="minorHAnsi"/>
          <w:color w:val="000000"/>
        </w:rPr>
        <w:t>)</w:t>
      </w:r>
      <w:r w:rsidRPr="00C94C33">
        <w:rPr>
          <w:rFonts w:asciiTheme="minorHAnsi" w:hAnsiTheme="minorHAnsi"/>
          <w:color w:val="000000"/>
        </w:rPr>
        <w:t xml:space="preserve">), abdominal pain (1.5%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8</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1.9%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5</w:t>
      </w:r>
      <w:r w:rsidR="00A0007E" w:rsidRPr="00C94C33">
        <w:rPr>
          <w:rFonts w:asciiTheme="minorHAnsi" w:hAnsiTheme="minorHAnsi"/>
          <w:color w:val="000000"/>
        </w:rPr>
        <w:t>)</w:t>
      </w:r>
      <w:r w:rsidRPr="00C94C33">
        <w:rPr>
          <w:rFonts w:asciiTheme="minorHAnsi" w:hAnsiTheme="minorHAnsi"/>
          <w:color w:val="000000"/>
        </w:rPr>
        <w:t xml:space="preserve">), hepatic failure (1.5%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4</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0%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0</w:t>
      </w:r>
      <w:r w:rsidR="00A0007E" w:rsidRPr="00C94C33">
        <w:rPr>
          <w:rFonts w:asciiTheme="minorHAnsi" w:hAnsiTheme="minorHAnsi"/>
          <w:color w:val="000000"/>
        </w:rPr>
        <w:t>)</w:t>
      </w:r>
      <w:r w:rsidRPr="00C94C33">
        <w:rPr>
          <w:rFonts w:asciiTheme="minorHAnsi" w:hAnsiTheme="minorHAnsi"/>
          <w:color w:val="000000"/>
        </w:rPr>
        <w:t xml:space="preserve">), urinary tract infection (1.1%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3</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0.4%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2</w:t>
      </w:r>
      <w:r w:rsidR="00A0007E" w:rsidRPr="00C94C33">
        <w:rPr>
          <w:rFonts w:asciiTheme="minorHAnsi" w:hAnsiTheme="minorHAnsi"/>
          <w:color w:val="000000"/>
        </w:rPr>
        <w:t>)</w:t>
      </w:r>
      <w:r w:rsidRPr="00C94C33">
        <w:rPr>
          <w:rFonts w:asciiTheme="minorHAnsi" w:hAnsiTheme="minorHAnsi"/>
          <w:color w:val="000000"/>
        </w:rPr>
        <w:t xml:space="preserve">), and tumour pain (1.1%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3</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0.4%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2</w:t>
      </w:r>
      <w:r w:rsidR="00A0007E" w:rsidRPr="00C94C33">
        <w:rPr>
          <w:rFonts w:asciiTheme="minorHAnsi" w:hAnsiTheme="minorHAnsi"/>
          <w:color w:val="000000"/>
        </w:rPr>
        <w:t>)</w:t>
      </w:r>
      <w:r w:rsidRPr="00C94C33">
        <w:rPr>
          <w:rFonts w:asciiTheme="minorHAnsi" w:hAnsiTheme="minorHAnsi"/>
          <w:color w:val="000000"/>
        </w:rPr>
        <w:t>).</w:t>
      </w:r>
    </w:p>
    <w:p w14:paraId="6F91F489" w14:textId="470FEB0A" w:rsidR="00DF61BC" w:rsidRPr="00C94C33" w:rsidRDefault="00DF61BC" w:rsidP="007E22F1">
      <w:pPr>
        <w:pStyle w:val="Tabletitle"/>
      </w:pPr>
      <w:bookmarkStart w:id="453" w:name="_Toc470948716"/>
      <w:r w:rsidRPr="00C94C33">
        <w:lastRenderedPageBreak/>
        <w:t>Table</w:t>
      </w:r>
      <w:r w:rsidR="007E22F1" w:rsidRPr="00C94C33">
        <w:t xml:space="preserve"> 67</w:t>
      </w:r>
      <w:r w:rsidRPr="00C94C33">
        <w:t>: RECOURSE</w:t>
      </w:r>
      <w:r w:rsidR="005E398C">
        <w:t>;</w:t>
      </w:r>
      <w:r w:rsidRPr="00C94C33">
        <w:t xml:space="preserve"> Hospitalisations during treatment and/or safety follow-up, AT</w:t>
      </w:r>
      <w:r w:rsidR="005E398C">
        <w:t> </w:t>
      </w:r>
      <w:r w:rsidRPr="00C94C33">
        <w:t>population</w:t>
      </w:r>
      <w:bookmarkEnd w:id="453"/>
    </w:p>
    <w:p w14:paraId="4D5F1904" w14:textId="7C8E8594" w:rsidR="00DF61BC" w:rsidRPr="00C94C33" w:rsidRDefault="00E95C0F" w:rsidP="00DF61BC">
      <w:pPr>
        <w:autoSpaceDE w:val="0"/>
        <w:autoSpaceDN w:val="0"/>
        <w:adjustRightInd w:val="0"/>
        <w:spacing w:after="0"/>
        <w:rPr>
          <w:rFonts w:asciiTheme="minorHAnsi" w:hAnsiTheme="minorHAnsi"/>
        </w:rPr>
      </w:pPr>
      <w:r>
        <w:rPr>
          <w:noProof/>
          <w:lang w:eastAsia="en-AU"/>
        </w:rPr>
        <w:drawing>
          <wp:inline distT="0" distB="0" distL="0" distR="0" wp14:anchorId="4534529E" wp14:editId="03524DF2">
            <wp:extent cx="5934710" cy="1939290"/>
            <wp:effectExtent l="0" t="0" r="8890" b="3810"/>
            <wp:docPr id="2087" name="Picture 5" descr="Table 67: RECOURSE- Hospitalisations during treatment and/or safety follow-up, A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 name="Picture 5" descr="Table 67: RECOURSE- Hospitalisations during treatment and/or safety follow-up, AT population. "/>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5934710" cy="193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93B01C9" w14:textId="0D240CA3" w:rsidR="00DF61BC" w:rsidRPr="00C94C33" w:rsidRDefault="001448C5" w:rsidP="007E22F1">
      <w:pPr>
        <w:pStyle w:val="TableDescription"/>
      </w:pPr>
      <w:r w:rsidRPr="00C94C33">
        <w:t xml:space="preserve">a. </w:t>
      </w:r>
      <w:r w:rsidR="00DF61BC" w:rsidRPr="00C94C33">
        <w:t>For each patient, if applicable the total number of days hospitalised is summed across multiple events by reason (</w:t>
      </w:r>
      <w:r w:rsidR="005E398C">
        <w:t xml:space="preserve">that is, </w:t>
      </w:r>
      <w:r w:rsidR="00DF61BC" w:rsidRPr="00C94C33">
        <w:t>by reason displayed in the rows of the table) prior to calculation of the median</w:t>
      </w:r>
      <w:r w:rsidR="005E398C">
        <w:t xml:space="preserve">; </w:t>
      </w:r>
      <w:r w:rsidRPr="00C94C33">
        <w:t xml:space="preserve">b. </w:t>
      </w:r>
      <w:r w:rsidR="00DF61BC" w:rsidRPr="00C94C33">
        <w:t>For each patient the hospitalisation ratio is calculated according to reason as the total days hospitalised divided by the total days followed. Total days followed for each patient = maximum (last dose of study medication +30, last hospitalisation discharge date) or the date of death, whichever comes first, minus first dose date +1.</w:t>
      </w:r>
    </w:p>
    <w:p w14:paraId="37C02FF2" w14:textId="77777777" w:rsidR="00DF61BC" w:rsidRPr="00C94C33" w:rsidRDefault="00DF61BC" w:rsidP="00955252">
      <w:pPr>
        <w:pStyle w:val="Heading4"/>
      </w:pPr>
      <w:bookmarkStart w:id="454" w:name="_Toc470948609"/>
      <w:r w:rsidRPr="00C94C33">
        <w:t>Drug abuse</w:t>
      </w:r>
      <w:bookmarkEnd w:id="454"/>
    </w:p>
    <w:p w14:paraId="62FC2C08" w14:textId="77777777" w:rsidR="00DF61BC" w:rsidRPr="00C94C33" w:rsidRDefault="00DF61BC" w:rsidP="00DF61BC">
      <w:pPr>
        <w:rPr>
          <w:rFonts w:asciiTheme="minorHAnsi" w:hAnsiTheme="minorHAnsi"/>
        </w:rPr>
      </w:pPr>
      <w:r w:rsidRPr="00C94C33">
        <w:rPr>
          <w:rFonts w:asciiTheme="minorHAnsi" w:hAnsiTheme="minorHAnsi"/>
        </w:rPr>
        <w:t>Not applicable.</w:t>
      </w:r>
    </w:p>
    <w:p w14:paraId="7F3215EE" w14:textId="77777777" w:rsidR="00DF61BC" w:rsidRPr="00C94C33" w:rsidRDefault="00DF61BC" w:rsidP="00955252">
      <w:pPr>
        <w:pStyle w:val="Heading4"/>
        <w:rPr>
          <w:rFonts w:asciiTheme="minorHAnsi" w:hAnsiTheme="minorHAnsi"/>
          <w:szCs w:val="22"/>
        </w:rPr>
      </w:pPr>
      <w:bookmarkStart w:id="455" w:name="_Toc470948610"/>
      <w:r w:rsidRPr="00C94C33">
        <w:rPr>
          <w:rFonts w:asciiTheme="minorHAnsi" w:hAnsiTheme="minorHAnsi"/>
          <w:szCs w:val="22"/>
        </w:rPr>
        <w:t>Withdrawal and rebound</w:t>
      </w:r>
      <w:bookmarkEnd w:id="455"/>
    </w:p>
    <w:p w14:paraId="3F80424C" w14:textId="3B0574C0" w:rsidR="00DF61BC" w:rsidRPr="00C94C33" w:rsidRDefault="00DF61BC" w:rsidP="00DF61BC">
      <w:pPr>
        <w:rPr>
          <w:rFonts w:asciiTheme="minorHAnsi" w:hAnsiTheme="minorHAnsi"/>
        </w:rPr>
      </w:pPr>
      <w:r w:rsidRPr="00C94C33">
        <w:rPr>
          <w:rFonts w:asciiTheme="minorHAnsi" w:hAnsiTheme="minorHAnsi"/>
        </w:rPr>
        <w:t>Not applicable.</w:t>
      </w:r>
    </w:p>
    <w:p w14:paraId="7D4257FA" w14:textId="77777777" w:rsidR="00AA7141" w:rsidRDefault="00DF61BC" w:rsidP="00955252">
      <w:pPr>
        <w:pStyle w:val="Heading4"/>
        <w:rPr>
          <w:rFonts w:asciiTheme="minorHAnsi" w:hAnsiTheme="minorHAnsi"/>
          <w:szCs w:val="22"/>
        </w:rPr>
      </w:pPr>
      <w:bookmarkStart w:id="456" w:name="_Toc470948611"/>
      <w:r w:rsidRPr="00C94C33">
        <w:rPr>
          <w:rFonts w:asciiTheme="minorHAnsi" w:hAnsiTheme="minorHAnsi"/>
          <w:szCs w:val="22"/>
        </w:rPr>
        <w:t>Effects on ability to drive or operate machinery or impairment of mental ability</w:t>
      </w:r>
      <w:bookmarkEnd w:id="456"/>
    </w:p>
    <w:p w14:paraId="56E682C2" w14:textId="03480707" w:rsidR="00DF61BC" w:rsidRPr="00C94C33" w:rsidRDefault="00DF61BC" w:rsidP="00DF61BC">
      <w:pPr>
        <w:autoSpaceDE w:val="0"/>
        <w:autoSpaceDN w:val="0"/>
        <w:adjustRightInd w:val="0"/>
        <w:rPr>
          <w:rFonts w:asciiTheme="minorHAnsi" w:hAnsiTheme="minorHAnsi" w:cs="TimesNewRoman"/>
          <w:color w:val="000000"/>
        </w:rPr>
      </w:pPr>
      <w:r w:rsidRPr="00C94C33">
        <w:rPr>
          <w:rFonts w:asciiTheme="minorHAnsi" w:hAnsiTheme="minorHAnsi" w:cs="TimesNewRoman"/>
          <w:color w:val="000000"/>
        </w:rPr>
        <w:t>AEs in the integrated safety data Groups 1 and 2 likely to adversely affect the ability to drive or operate machinery or impair mental ability are summarised. AEs of interest (all grades) reported in ≥ 1% of patients in either of the two treatment groups and more frequently in the TAS-102 group than in the placebo group in both Groups 1 and 2 were asthenia and fatigue. Other relevant AEs were reported with similar frequencies in both treatment groups.</w:t>
      </w:r>
    </w:p>
    <w:p w14:paraId="6433305B" w14:textId="77777777" w:rsidR="00DF61BC" w:rsidRPr="00C94C33" w:rsidRDefault="00DF61BC" w:rsidP="00955252">
      <w:pPr>
        <w:pStyle w:val="Heading3"/>
      </w:pPr>
      <w:bookmarkStart w:id="457" w:name="_Toc241374328"/>
      <w:bookmarkStart w:id="458" w:name="_Toc272414691"/>
      <w:bookmarkStart w:id="459" w:name="_Toc290846329"/>
      <w:bookmarkStart w:id="460" w:name="_Toc470948612"/>
      <w:bookmarkStart w:id="461" w:name="_Toc510016900"/>
      <w:r w:rsidRPr="00C94C33">
        <w:t>Evaluator’s overall conclusions on clinical safety</w:t>
      </w:r>
      <w:bookmarkEnd w:id="457"/>
      <w:bookmarkEnd w:id="458"/>
      <w:bookmarkEnd w:id="459"/>
      <w:bookmarkEnd w:id="460"/>
      <w:bookmarkEnd w:id="461"/>
    </w:p>
    <w:p w14:paraId="3794CAE3" w14:textId="77777777" w:rsidR="00AA7141" w:rsidRDefault="00DF61BC" w:rsidP="00DF61BC">
      <w:pPr>
        <w:autoSpaceDE w:val="0"/>
        <w:autoSpaceDN w:val="0"/>
        <w:adjustRightInd w:val="0"/>
        <w:rPr>
          <w:rFonts w:asciiTheme="minorHAnsi" w:eastAsiaTheme="minorHAnsi" w:hAnsiTheme="minorHAnsi"/>
        </w:rPr>
      </w:pPr>
      <w:r w:rsidRPr="00C94C33">
        <w:rPr>
          <w:rFonts w:asciiTheme="minorHAnsi" w:hAnsiTheme="minorHAnsi"/>
        </w:rPr>
        <w:t xml:space="preserve">The safety of TAS-102 for the proposed indication has been satisfactorily characterised in the pivotal Phase III study </w:t>
      </w:r>
      <w:r w:rsidR="00A0007E" w:rsidRPr="00C94C33">
        <w:rPr>
          <w:rFonts w:asciiTheme="minorHAnsi" w:hAnsiTheme="minorHAnsi"/>
        </w:rPr>
        <w:t>(</w:t>
      </w:r>
      <w:r w:rsidRPr="00C94C33">
        <w:rPr>
          <w:rFonts w:asciiTheme="minorHAnsi" w:hAnsiTheme="minorHAnsi"/>
        </w:rPr>
        <w:t>RECOURSE</w:t>
      </w:r>
      <w:r w:rsidR="00A0007E" w:rsidRPr="00C94C33">
        <w:rPr>
          <w:rFonts w:asciiTheme="minorHAnsi" w:hAnsiTheme="minorHAnsi"/>
        </w:rPr>
        <w:t>)</w:t>
      </w:r>
      <w:r w:rsidRPr="00C94C33">
        <w:rPr>
          <w:rFonts w:asciiTheme="minorHAnsi" w:hAnsiTheme="minorHAnsi"/>
        </w:rPr>
        <w:t>. The most frequently reported toxicities observed with TAS-102 were associated with myelosuppression (</w:t>
      </w:r>
      <w:r w:rsidRPr="00C94C33">
        <w:rPr>
          <w:rFonts w:asciiTheme="minorHAnsi" w:eastAsiaTheme="minorHAnsi" w:hAnsiTheme="minorHAnsi"/>
        </w:rPr>
        <w:t>anaemia, leuko</w:t>
      </w:r>
      <w:r w:rsidR="00B50F67">
        <w:rPr>
          <w:rFonts w:asciiTheme="minorHAnsi" w:eastAsiaTheme="minorHAnsi" w:hAnsiTheme="minorHAnsi"/>
        </w:rPr>
        <w:t>paenia</w:t>
      </w:r>
      <w:r w:rsidRPr="00C94C33">
        <w:rPr>
          <w:rFonts w:asciiTheme="minorHAnsi" w:eastAsiaTheme="minorHAnsi" w:hAnsiTheme="minorHAnsi"/>
        </w:rPr>
        <w:t>, neutro</w:t>
      </w:r>
      <w:r w:rsidR="00B50F67">
        <w:rPr>
          <w:rFonts w:asciiTheme="minorHAnsi" w:eastAsiaTheme="minorHAnsi" w:hAnsiTheme="minorHAnsi"/>
        </w:rPr>
        <w:t>paenia</w:t>
      </w:r>
      <w:r w:rsidRPr="00C94C33">
        <w:rPr>
          <w:rFonts w:asciiTheme="minorHAnsi" w:eastAsiaTheme="minorHAnsi" w:hAnsiTheme="minorHAnsi"/>
        </w:rPr>
        <w:t>, febrile neutro</w:t>
      </w:r>
      <w:r w:rsidR="00B50F67">
        <w:rPr>
          <w:rFonts w:asciiTheme="minorHAnsi" w:eastAsiaTheme="minorHAnsi" w:hAnsiTheme="minorHAnsi"/>
        </w:rPr>
        <w:t>paenia</w:t>
      </w:r>
      <w:r w:rsidRPr="00C94C33">
        <w:rPr>
          <w:rFonts w:asciiTheme="minorHAnsi" w:eastAsiaTheme="minorHAnsi" w:hAnsiTheme="minorHAnsi"/>
        </w:rPr>
        <w:t xml:space="preserve"> and thrombocyto</w:t>
      </w:r>
      <w:r w:rsidR="00B50F67">
        <w:rPr>
          <w:rFonts w:asciiTheme="minorHAnsi" w:eastAsiaTheme="minorHAnsi" w:hAnsiTheme="minorHAnsi"/>
        </w:rPr>
        <w:t>paenia</w:t>
      </w:r>
      <w:r w:rsidRPr="00C94C33">
        <w:rPr>
          <w:rFonts w:asciiTheme="minorHAnsi" w:eastAsiaTheme="minorHAnsi" w:hAnsiTheme="minorHAnsi"/>
        </w:rPr>
        <w:t>), gastrointestinal events (nausea, vomiting and diarrhoea), and infections (predominantly nasopharyngitis, urinary tract infection, and upper respiratory tract infection). The toxicities associated with TAS-102 were generally manageable by reductions in dose, interruptions in dose and delays in cycle initiation, rather than dose discontinuation.</w:t>
      </w:r>
    </w:p>
    <w:p w14:paraId="2991DCD2" w14:textId="75361A1D"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In RECOURSE, the safety population included 533 patients with mCRC who had been treated with TAS-102 (mean of 12.7 and median of 6.7 weeks of exposure) and 265 patients in the placebo group (mean of 6.8 and median of 5.7 weeks of exposure).  The mean ± SD (and median) number of 28</w:t>
      </w:r>
      <w:r w:rsidR="009C0389" w:rsidRPr="00C94C33">
        <w:rPr>
          <w:rFonts w:asciiTheme="minorHAnsi" w:hAnsiTheme="minorHAnsi"/>
        </w:rPr>
        <w:t xml:space="preserve"> day</w:t>
      </w:r>
      <w:r w:rsidRPr="00C94C33">
        <w:rPr>
          <w:rFonts w:asciiTheme="minorHAnsi" w:hAnsiTheme="minorHAnsi"/>
        </w:rPr>
        <w:t xml:space="preserve"> treatment cycles initiated in the two treatment groups was 3.4 ± 2.56 (median 2.0) in the TAS-102 group and 2.3 ± 1.49 (median 2.0) in the placebo group. There are limited data on patients who have been treated for longer than 6 months, with a maximum of 6 x 28</w:t>
      </w:r>
      <w:r w:rsidR="009C0389" w:rsidRPr="00C94C33">
        <w:rPr>
          <w:rFonts w:asciiTheme="minorHAnsi" w:hAnsiTheme="minorHAnsi"/>
        </w:rPr>
        <w:t xml:space="preserve"> day</w:t>
      </w:r>
      <w:r w:rsidRPr="00C94C33">
        <w:rPr>
          <w:rFonts w:asciiTheme="minorHAnsi" w:hAnsiTheme="minorHAnsi"/>
        </w:rPr>
        <w:t xml:space="preserve"> treatment cycles being initiated in only 37 (6.9%) patients in the TAS-102 group and 3 (1.1%) of patients in the placebo group. The small number of 28</w:t>
      </w:r>
      <w:r w:rsidR="009C0389" w:rsidRPr="00C94C33">
        <w:rPr>
          <w:rFonts w:asciiTheme="minorHAnsi" w:hAnsiTheme="minorHAnsi"/>
        </w:rPr>
        <w:t xml:space="preserve"> day</w:t>
      </w:r>
      <w:r w:rsidRPr="00C94C33">
        <w:rPr>
          <w:rFonts w:asciiTheme="minorHAnsi" w:hAnsiTheme="minorHAnsi"/>
        </w:rPr>
        <w:t xml:space="preserve"> cycles initiated in both treatment groups, and the small number of patients for whom a maximum of 6 cycles were initiated reflects the relatively poor prognosis of the patients with refractory mCRC included in the pivotal study.</w:t>
      </w:r>
    </w:p>
    <w:p w14:paraId="5BD13E5A" w14:textId="3A624673"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lastRenderedPageBreak/>
        <w:t>Overall, the total number of weeks of exposure in RECOURSE was approximately 4</w:t>
      </w:r>
      <w:r w:rsidR="005E398C">
        <w:rPr>
          <w:rFonts w:asciiTheme="minorHAnsi" w:hAnsiTheme="minorHAnsi"/>
        </w:rPr>
        <w:t xml:space="preserve"> </w:t>
      </w:r>
      <w:r w:rsidRPr="00C94C33">
        <w:rPr>
          <w:rFonts w:asciiTheme="minorHAnsi" w:hAnsiTheme="minorHAnsi"/>
        </w:rPr>
        <w:t>fold longer in the TAS-102 group than in the placebo group (6743</w:t>
      </w:r>
      <w:r w:rsidR="00C11183">
        <w:rPr>
          <w:rFonts w:asciiTheme="minorHAnsi" w:hAnsiTheme="minorHAnsi"/>
        </w:rPr>
        <w:t xml:space="preserve"> versus </w:t>
      </w:r>
      <w:r w:rsidRPr="00C94C33">
        <w:rPr>
          <w:rFonts w:asciiTheme="minorHAnsi" w:hAnsiTheme="minorHAnsi"/>
        </w:rPr>
        <w:t>1791 weeks respectively). The notably longer period of exposure in the TAS-102 group compared to the placebo group should be taken into account when comparing the AE data between the two treatment groups. No safety data could be identified in the study report comparing safety outcomes in the two treatment groups adjusted for duration of exposure.</w:t>
      </w:r>
    </w:p>
    <w:p w14:paraId="0551E947" w14:textId="6D3934C6"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In RECOURSE, nearly all patients in both treatment groups experienced at least 1 AE (98.3%, TAS-102; 93.2%, placebo), and the majority of AEs in both treatment groups were considered by investigators to be treatment-related (85.7%, TAS-102; 54.7%, placebo). AEs categorised as Grade ≥ 3 in severity were reported more frequently in patients in the TAS-102 group than in the placebo group (69.4%</w:t>
      </w:r>
      <w:r w:rsidR="00C11183">
        <w:rPr>
          <w:rFonts w:asciiTheme="minorHAnsi" w:hAnsiTheme="minorHAnsi"/>
        </w:rPr>
        <w:t xml:space="preserve"> versus </w:t>
      </w:r>
      <w:r w:rsidRPr="00C94C33">
        <w:rPr>
          <w:rFonts w:asciiTheme="minorHAnsi" w:hAnsiTheme="minorHAnsi"/>
        </w:rPr>
        <w:t>51.7%), as were treatment related Grade ≥ 3 AEs (49.0%</w:t>
      </w:r>
      <w:r w:rsidR="00C11183">
        <w:rPr>
          <w:rFonts w:asciiTheme="minorHAnsi" w:hAnsiTheme="minorHAnsi"/>
        </w:rPr>
        <w:t xml:space="preserve"> versus </w:t>
      </w:r>
      <w:r w:rsidRPr="00C94C33">
        <w:rPr>
          <w:rFonts w:asciiTheme="minorHAnsi" w:hAnsiTheme="minorHAnsi"/>
        </w:rPr>
        <w:t>9.8%). However, SAEs were reported more frequently in the placebo group than in the TAS-102 group (33.6%</w:t>
      </w:r>
      <w:r w:rsidR="00C11183">
        <w:rPr>
          <w:rFonts w:asciiTheme="minorHAnsi" w:hAnsiTheme="minorHAnsi"/>
        </w:rPr>
        <w:t xml:space="preserve"> versus </w:t>
      </w:r>
      <w:r w:rsidRPr="00C94C33">
        <w:rPr>
          <w:rFonts w:asciiTheme="minorHAnsi" w:hAnsiTheme="minorHAnsi"/>
        </w:rPr>
        <w:t>29.6%), as were AEs resulting in death (11.3%</w:t>
      </w:r>
      <w:r w:rsidR="00C11183">
        <w:rPr>
          <w:rFonts w:asciiTheme="minorHAnsi" w:hAnsiTheme="minorHAnsi"/>
        </w:rPr>
        <w:t xml:space="preserve"> versus </w:t>
      </w:r>
      <w:r w:rsidRPr="00C94C33">
        <w:rPr>
          <w:rFonts w:asciiTheme="minorHAnsi" w:hAnsiTheme="minorHAnsi"/>
        </w:rPr>
        <w:t>3.2%).</w:t>
      </w:r>
    </w:p>
    <w:p w14:paraId="326EEF75" w14:textId="46AA900F" w:rsidR="00DF61BC" w:rsidRPr="00C94C33" w:rsidRDefault="00DF61BC" w:rsidP="00DF61BC">
      <w:pPr>
        <w:autoSpaceDE w:val="0"/>
        <w:autoSpaceDN w:val="0"/>
        <w:adjustRightInd w:val="0"/>
        <w:rPr>
          <w:rFonts w:asciiTheme="minorHAnsi" w:hAnsiTheme="minorHAnsi"/>
          <w:color w:val="000000"/>
        </w:rPr>
      </w:pPr>
      <w:r w:rsidRPr="00C94C33">
        <w:rPr>
          <w:rFonts w:asciiTheme="minorHAnsi" w:hAnsiTheme="minorHAnsi"/>
        </w:rPr>
        <w:t xml:space="preserve">In RECOURSE, although nearly all patients in both treatment groups experienced at least 1 AE, the majority of events were manageable by dose modifications rather than treatment discontinuation. </w:t>
      </w:r>
      <w:r w:rsidRPr="00C94C33">
        <w:rPr>
          <w:rFonts w:asciiTheme="minorHAnsi" w:hAnsiTheme="minorHAnsi"/>
          <w:color w:val="000000"/>
        </w:rPr>
        <w:t>AEs resulting in interruption/delay or reduction of study medication were reported in 54.2% of patients in the TAS-102 group and 13.6% of patients in the placebo group, while AEs resulting in treatment discontinuation (including AEs associated with disease progression) were reported in 10.3% of patients in the TAS-102 group and 13.6% of patients in the placebo group. However, adverse events/SAEs were considered to be the primary reason for discontinuation in only 3.6% of patients in the TAS-102 group and 1.5% of patients in the placebo group</w:t>
      </w:r>
      <w:r w:rsidR="005E398C">
        <w:rPr>
          <w:rFonts w:asciiTheme="minorHAnsi" w:hAnsiTheme="minorHAnsi"/>
          <w:color w:val="000000"/>
        </w:rPr>
        <w:t>.</w:t>
      </w:r>
    </w:p>
    <w:p w14:paraId="64E52ADA" w14:textId="10D92B96" w:rsidR="00DF61BC" w:rsidRPr="00C94C33" w:rsidRDefault="00DF61BC" w:rsidP="00DF61BC">
      <w:pPr>
        <w:autoSpaceDE w:val="0"/>
        <w:autoSpaceDN w:val="0"/>
        <w:adjustRightInd w:val="0"/>
        <w:rPr>
          <w:rFonts w:asciiTheme="minorHAnsi" w:hAnsiTheme="minorHAnsi"/>
          <w:color w:val="000000"/>
        </w:rPr>
      </w:pPr>
      <w:r w:rsidRPr="00C94C33">
        <w:rPr>
          <w:rFonts w:asciiTheme="minorHAnsi" w:hAnsiTheme="minorHAnsi"/>
          <w:color w:val="000000"/>
        </w:rPr>
        <w:t xml:space="preserve">In RECOURSE, there was no evidence that TAS-102 was associated with an increased risk of hepatobiliary related adverse events, but TAS-102 was associated with a small increased risk of renal related adverse events (predominantly proteinuria). Thromboembolic events were reported marginally more frequently in patients in the TAS-102 group compared to placebo, with the difference relating to the increased risk of pulmonary embolism. There was no </w:t>
      </w:r>
      <w:r w:rsidR="006B2ED1" w:rsidRPr="00C94C33">
        <w:rPr>
          <w:rFonts w:asciiTheme="minorHAnsi" w:hAnsiTheme="minorHAnsi"/>
          <w:color w:val="000000"/>
        </w:rPr>
        <w:t>evidence</w:t>
      </w:r>
      <w:r w:rsidRPr="00C94C33">
        <w:rPr>
          <w:rFonts w:asciiTheme="minorHAnsi" w:hAnsiTheme="minorHAnsi"/>
          <w:color w:val="000000"/>
        </w:rPr>
        <w:t xml:space="preserve"> that TAS-102 was associated with an increased risk of cardiac disorders (ischaemia or arrhythmia).  Patients in the TAS-102 group were not and an increased risk of hospitalisation compared to</w:t>
      </w:r>
      <w:r w:rsidR="00E95C0F">
        <w:rPr>
          <w:rFonts w:asciiTheme="minorHAnsi" w:hAnsiTheme="minorHAnsi"/>
          <w:color w:val="000000"/>
        </w:rPr>
        <w:t xml:space="preserve"> patients in the placebo group.</w:t>
      </w:r>
    </w:p>
    <w:p w14:paraId="46A9D4BF" w14:textId="55F755AB" w:rsidR="00DF61BC" w:rsidRPr="00C94C33" w:rsidRDefault="00DF61BC" w:rsidP="00DF61BC">
      <w:pPr>
        <w:autoSpaceDE w:val="0"/>
        <w:autoSpaceDN w:val="0"/>
        <w:adjustRightInd w:val="0"/>
        <w:rPr>
          <w:rFonts w:asciiTheme="minorHAnsi" w:hAnsiTheme="minorHAnsi"/>
          <w:color w:val="000000"/>
        </w:rPr>
      </w:pPr>
      <w:r w:rsidRPr="00C94C33">
        <w:rPr>
          <w:rFonts w:asciiTheme="minorHAnsi" w:hAnsiTheme="minorHAnsi"/>
          <w:color w:val="000000"/>
        </w:rPr>
        <w:t xml:space="preserve">Haematological laboratory tests </w:t>
      </w:r>
      <w:r w:rsidR="00A0007E" w:rsidRPr="00C94C33">
        <w:rPr>
          <w:rFonts w:asciiTheme="minorHAnsi" w:hAnsiTheme="minorHAnsi"/>
          <w:color w:val="000000"/>
        </w:rPr>
        <w:t>(</w:t>
      </w:r>
      <w:r w:rsidRPr="00C94C33">
        <w:rPr>
          <w:rFonts w:asciiTheme="minorHAnsi" w:hAnsiTheme="minorHAnsi"/>
          <w:color w:val="000000"/>
        </w:rPr>
        <w:t>RE</w:t>
      </w:r>
      <w:r w:rsidR="002C3B46" w:rsidRPr="00C94C33">
        <w:rPr>
          <w:rFonts w:asciiTheme="minorHAnsi" w:hAnsiTheme="minorHAnsi"/>
          <w:color w:val="000000"/>
        </w:rPr>
        <w:t>C</w:t>
      </w:r>
      <w:r w:rsidRPr="00C94C33">
        <w:rPr>
          <w:rFonts w:asciiTheme="minorHAnsi" w:hAnsiTheme="minorHAnsi"/>
          <w:color w:val="000000"/>
        </w:rPr>
        <w:t>OUR</w:t>
      </w:r>
      <w:r w:rsidR="002C3B46" w:rsidRPr="00C94C33">
        <w:rPr>
          <w:rFonts w:asciiTheme="minorHAnsi" w:hAnsiTheme="minorHAnsi"/>
          <w:color w:val="000000"/>
        </w:rPr>
        <w:t>S</w:t>
      </w:r>
      <w:r w:rsidRPr="00C94C33">
        <w:rPr>
          <w:rFonts w:asciiTheme="minorHAnsi" w:hAnsiTheme="minorHAnsi"/>
          <w:color w:val="000000"/>
        </w:rPr>
        <w:t>E</w:t>
      </w:r>
      <w:r w:rsidR="00A0007E" w:rsidRPr="00C94C33">
        <w:rPr>
          <w:rFonts w:asciiTheme="minorHAnsi" w:hAnsiTheme="minorHAnsi"/>
          <w:color w:val="000000"/>
        </w:rPr>
        <w:t>)</w:t>
      </w:r>
      <w:r w:rsidRPr="00C94C33">
        <w:rPr>
          <w:rFonts w:asciiTheme="minorHAnsi" w:hAnsiTheme="minorHAnsi"/>
          <w:color w:val="000000"/>
        </w:rPr>
        <w:t xml:space="preserve"> showed that Grade ≥ 3 abnormalities for leuko</w:t>
      </w:r>
      <w:r w:rsidR="00B50F67">
        <w:rPr>
          <w:rFonts w:asciiTheme="minorHAnsi" w:hAnsiTheme="minorHAnsi"/>
          <w:color w:val="000000"/>
        </w:rPr>
        <w:t>paenia</w:t>
      </w:r>
      <w:r w:rsidRPr="00C94C33">
        <w:rPr>
          <w:rFonts w:asciiTheme="minorHAnsi" w:hAnsiTheme="minorHAnsi"/>
          <w:color w:val="000000"/>
        </w:rPr>
        <w:t>, neutro</w:t>
      </w:r>
      <w:r w:rsidR="00B50F67">
        <w:rPr>
          <w:rFonts w:asciiTheme="minorHAnsi" w:hAnsiTheme="minorHAnsi"/>
          <w:color w:val="000000"/>
        </w:rPr>
        <w:t>paenia</w:t>
      </w:r>
      <w:r w:rsidRPr="00C94C33">
        <w:rPr>
          <w:rFonts w:asciiTheme="minorHAnsi" w:hAnsiTheme="minorHAnsi"/>
          <w:color w:val="000000"/>
        </w:rPr>
        <w:t>, lymphocyto</w:t>
      </w:r>
      <w:r w:rsidR="00B50F67">
        <w:rPr>
          <w:rFonts w:asciiTheme="minorHAnsi" w:hAnsiTheme="minorHAnsi"/>
          <w:color w:val="000000"/>
        </w:rPr>
        <w:t>paenia</w:t>
      </w:r>
      <w:r w:rsidRPr="00C94C33">
        <w:rPr>
          <w:rFonts w:asciiTheme="minorHAnsi" w:hAnsiTheme="minorHAnsi"/>
          <w:color w:val="000000"/>
        </w:rPr>
        <w:t>, anaemia, and thrombocyto</w:t>
      </w:r>
      <w:r w:rsidR="00B50F67">
        <w:rPr>
          <w:rFonts w:asciiTheme="minorHAnsi" w:hAnsiTheme="minorHAnsi"/>
          <w:color w:val="000000"/>
        </w:rPr>
        <w:t>paenia</w:t>
      </w:r>
      <w:r w:rsidRPr="00C94C33">
        <w:rPr>
          <w:rFonts w:asciiTheme="minorHAnsi" w:hAnsiTheme="minorHAnsi"/>
          <w:color w:val="000000"/>
        </w:rPr>
        <w:t xml:space="preserve"> were reported more frequently in the TAS-102 group than in the placebo group. Clinical chemistry laboratory tests </w:t>
      </w:r>
      <w:r w:rsidR="00A0007E" w:rsidRPr="00C94C33">
        <w:rPr>
          <w:rFonts w:asciiTheme="minorHAnsi" w:hAnsiTheme="minorHAnsi"/>
          <w:color w:val="000000"/>
        </w:rPr>
        <w:t>(</w:t>
      </w:r>
      <w:r w:rsidR="002C3B46" w:rsidRPr="00C94C33">
        <w:rPr>
          <w:rFonts w:asciiTheme="minorHAnsi" w:hAnsiTheme="minorHAnsi"/>
          <w:color w:val="000000"/>
        </w:rPr>
        <w:t>RECOURSE</w:t>
      </w:r>
      <w:r w:rsidR="00A0007E" w:rsidRPr="00C94C33">
        <w:rPr>
          <w:rFonts w:asciiTheme="minorHAnsi" w:hAnsiTheme="minorHAnsi"/>
          <w:color w:val="000000"/>
        </w:rPr>
        <w:t>)</w:t>
      </w:r>
      <w:r w:rsidRPr="00C94C33">
        <w:rPr>
          <w:rFonts w:asciiTheme="minorHAnsi" w:hAnsiTheme="minorHAnsi"/>
          <w:color w:val="000000"/>
        </w:rPr>
        <w:t xml:space="preserve"> showed that Grade ≥ 3 abnormalities for hyperglycaemia occurred more frequently in patients in the TAS-102 group compared to the placebo groups, with Grade ≥ 3 abnormalities for other clinical chemistry parameters not notably differing between the two treatment groups. Hepatobiliary laboratory abnormalities (AST, ALT, bilirubin, SAP) did not notably differ between the two treatment groups. Hy’s law biochemical criteria for drug induced liver injury were reported in 3 patients in the TAS-102 group and 2 patients in the placebo group. However, for each of the 3 patients in the TAS-102 group the biochemical criteria were explained by hepatic conditions other than drug induced hepatic toxicity. Renal laboratory abnormalities associated with serum creatinine concentration did not significantly differ between the two treatment groups. There were no notably differences between the two treatment groups in vital signs or in ECG changes relating to QTc prolongation.</w:t>
      </w:r>
    </w:p>
    <w:p w14:paraId="7C537E45" w14:textId="0C9E56FE" w:rsidR="0085068D" w:rsidRPr="00C94C33" w:rsidRDefault="00DF61BC" w:rsidP="006B2ED1">
      <w:pPr>
        <w:autoSpaceDE w:val="0"/>
        <w:autoSpaceDN w:val="0"/>
        <w:adjustRightInd w:val="0"/>
        <w:rPr>
          <w:rFonts w:asciiTheme="minorHAnsi" w:hAnsiTheme="minorHAnsi"/>
          <w:color w:val="000000"/>
        </w:rPr>
      </w:pPr>
      <w:r w:rsidRPr="00C94C33">
        <w:rPr>
          <w:rFonts w:asciiTheme="minorHAnsi" w:hAnsiTheme="minorHAnsi"/>
          <w:color w:val="000000"/>
        </w:rPr>
        <w:t xml:space="preserve">In RECOURSE, the overall safety profile for TAS-102 was inferior in patients aged ≥ 65 years compared to patients aged &lt; 65 years, female patients compared to male patients, and patients with moderate renal impairment compared to patients with normal renal function and patients with mild renal </w:t>
      </w:r>
      <w:r w:rsidR="006B2ED1" w:rsidRPr="00C94C33">
        <w:rPr>
          <w:rFonts w:asciiTheme="minorHAnsi" w:hAnsiTheme="minorHAnsi"/>
          <w:color w:val="000000"/>
        </w:rPr>
        <w:t>impairment.</w:t>
      </w:r>
    </w:p>
    <w:p w14:paraId="2A2029EF" w14:textId="77777777" w:rsidR="00C22678" w:rsidRPr="00C94C33" w:rsidRDefault="00C22678" w:rsidP="00955252">
      <w:pPr>
        <w:pStyle w:val="Heading2"/>
      </w:pPr>
      <w:bookmarkStart w:id="462" w:name="_Toc510016901"/>
      <w:r w:rsidRPr="00C94C33">
        <w:lastRenderedPageBreak/>
        <w:t>First round benefit-risk assessment</w:t>
      </w:r>
      <w:bookmarkEnd w:id="462"/>
    </w:p>
    <w:p w14:paraId="2EF57BE2" w14:textId="77777777" w:rsidR="00DF61BC" w:rsidRPr="00C94C33" w:rsidRDefault="00DF61BC" w:rsidP="00955252">
      <w:pPr>
        <w:pStyle w:val="Heading3"/>
      </w:pPr>
      <w:bookmarkStart w:id="463" w:name="_Toc236802592"/>
      <w:bookmarkStart w:id="464" w:name="_Toc241374331"/>
      <w:bookmarkStart w:id="465" w:name="_Ref272160836"/>
      <w:bookmarkStart w:id="466" w:name="_Toc272414693"/>
      <w:bookmarkStart w:id="467" w:name="_Toc290846331"/>
      <w:bookmarkStart w:id="468" w:name="_Toc470948614"/>
      <w:bookmarkStart w:id="469" w:name="_Toc510016902"/>
      <w:r w:rsidRPr="00C94C33">
        <w:t>First round assessment of benefits</w:t>
      </w:r>
      <w:bookmarkEnd w:id="463"/>
      <w:bookmarkEnd w:id="464"/>
      <w:bookmarkEnd w:id="465"/>
      <w:bookmarkEnd w:id="466"/>
      <w:bookmarkEnd w:id="467"/>
      <w:bookmarkEnd w:id="468"/>
      <w:bookmarkEnd w:id="469"/>
    </w:p>
    <w:p w14:paraId="1A9E6093" w14:textId="4DFA6BF9" w:rsidR="00DF61BC" w:rsidRPr="005C2FCA" w:rsidRDefault="00DF61BC" w:rsidP="00DF61BC">
      <w:r w:rsidRPr="005C2FCA">
        <w:t xml:space="preserve">The benefits of trifluridine/tipiracil (TAS-102), given the proposed usage, are considered to be favourable. In the pivotal Phase III study </w:t>
      </w:r>
      <w:r w:rsidR="00A0007E" w:rsidRPr="005C2FCA">
        <w:t>(</w:t>
      </w:r>
      <w:r w:rsidR="002C3B46" w:rsidRPr="00C94C33">
        <w:rPr>
          <w:rFonts w:asciiTheme="minorHAnsi" w:hAnsiTheme="minorHAnsi"/>
          <w:color w:val="000000"/>
        </w:rPr>
        <w:t>RECOURSE</w:t>
      </w:r>
      <w:r w:rsidR="00A0007E" w:rsidRPr="005C2FCA">
        <w:t>)</w:t>
      </w:r>
      <w:r w:rsidRPr="005C2FCA">
        <w:t>, TAS-102 plus BSC significantly prolonged the median time to OS by 1.8 months compared to placebo plus BSC (primary efficacy endpoint). In the TAS-102 group, the median OS was 7.1 months compared to 5.3 months in the placebo group: HR = 0.68 (95% CI: 0.58, 0.81)</w:t>
      </w:r>
      <w:r w:rsidR="00A0007E" w:rsidRPr="005C2FCA">
        <w:t>)</w:t>
      </w:r>
      <w:r w:rsidRPr="005C2FCA">
        <w:t>; p &lt; 0.0001 (1</w:t>
      </w:r>
      <w:r w:rsidR="005E398C">
        <w:t xml:space="preserve"> </w:t>
      </w:r>
      <w:r w:rsidRPr="005C2FCA">
        <w:t>sided and 2</w:t>
      </w:r>
      <w:r w:rsidR="005E398C">
        <w:t xml:space="preserve"> </w:t>
      </w:r>
      <w:r w:rsidRPr="005C2FCA">
        <w:t>sided) stratified log-rank test. The Kaplan-Meier curves began to separate in favour of the TAS-102 group at about 3 months, and remained separated throughout the remainder of the study. The Kaplan-Meier estimates for the percentage of patients surviving at 12 months were 26.6% in the TAS-102 group and 17.6% in the placebo group. The results for the updated OS analysis were consistent with those for the primary analysis.</w:t>
      </w:r>
    </w:p>
    <w:p w14:paraId="48EBA837" w14:textId="19B58AE2" w:rsidR="00DF61BC" w:rsidRPr="005C2FCA" w:rsidRDefault="00DF61BC" w:rsidP="00DF61BC">
      <w:r w:rsidRPr="005C2FCA">
        <w:t>In addition, the median OS was consistently longer in the TAS-102 group compared with the placebo group across all three stratification analyses (</w:t>
      </w:r>
      <w:r w:rsidR="00B2072D" w:rsidRPr="005C2FCA">
        <w:t>that is,</w:t>
      </w:r>
      <w:r w:rsidRPr="005C2FCA">
        <w:t xml:space="preserve"> KRAS status </w:t>
      </w:r>
      <w:r w:rsidR="00A0007E" w:rsidRPr="005C2FCA">
        <w:t>(</w:t>
      </w:r>
      <w:r w:rsidRPr="005C2FCA">
        <w:t>wild</w:t>
      </w:r>
      <w:r w:rsidR="00C11183">
        <w:t xml:space="preserve"> versus </w:t>
      </w:r>
      <w:r w:rsidRPr="005C2FCA">
        <w:t>mutant type</w:t>
      </w:r>
      <w:r w:rsidR="00A0007E" w:rsidRPr="005C2FCA">
        <w:t>)</w:t>
      </w:r>
      <w:r w:rsidRPr="005C2FCA">
        <w:t xml:space="preserve">; time since diagnosis of first metastasis </w:t>
      </w:r>
      <w:r w:rsidR="00A0007E" w:rsidRPr="005C2FCA">
        <w:t>(</w:t>
      </w:r>
      <w:r w:rsidRPr="005C2FCA">
        <w:t>&lt; 18 months</w:t>
      </w:r>
      <w:r w:rsidR="00C11183">
        <w:t xml:space="preserve"> versus </w:t>
      </w:r>
      <w:r w:rsidRPr="005C2FCA">
        <w:t>≥ 18 months</w:t>
      </w:r>
      <w:r w:rsidR="00A0007E" w:rsidRPr="005C2FCA">
        <w:t>)</w:t>
      </w:r>
      <w:r w:rsidRPr="005C2FCA">
        <w:t xml:space="preserve">; region </w:t>
      </w:r>
      <w:r w:rsidR="00A0007E" w:rsidRPr="005C2FCA">
        <w:t>(</w:t>
      </w:r>
      <w:r w:rsidRPr="005C2FCA">
        <w:t>Asia</w:t>
      </w:r>
      <w:r w:rsidR="00C11183">
        <w:t xml:space="preserve"> versus </w:t>
      </w:r>
      <w:r w:rsidRPr="005C2FCA">
        <w:t>Western</w:t>
      </w:r>
      <w:r w:rsidR="00A0007E" w:rsidRPr="005C2FCA">
        <w:t>)</w:t>
      </w:r>
      <w:r w:rsidRPr="005C2FCA">
        <w:t>). Furthermore, pre-specified analyses of OS in various subgroups (including age, gender and race) consistently favoured longer survival in the TAS-102 group compared to placebo.</w:t>
      </w:r>
    </w:p>
    <w:p w14:paraId="13A12465" w14:textId="53254496" w:rsidR="00DF61BC" w:rsidRPr="005C2FCA" w:rsidRDefault="00DF61BC" w:rsidP="00DF61BC">
      <w:r w:rsidRPr="005C2FCA">
        <w:t xml:space="preserve">The results for PFS (the key secondary efficacy endpoint) from </w:t>
      </w:r>
      <w:r w:rsidR="002C3B46" w:rsidRPr="00C94C33">
        <w:rPr>
          <w:rFonts w:asciiTheme="minorHAnsi" w:hAnsiTheme="minorHAnsi"/>
          <w:color w:val="000000"/>
        </w:rPr>
        <w:t>RECOURSE</w:t>
      </w:r>
      <w:r w:rsidRPr="005C2FCA">
        <w:t xml:space="preserve"> support the OS results. The median PFS, including death due to any cause and progression assessed by investigators using radiologic imaging, was significantly prolonged by 0.3 months in the TAS-102 group compared to the placebo group. In the TAS-102 group, the median PFS was 2.0 months compared to 1.7 months in the placebo group: HR = 0.48 (95% CI: 0.41, 0.57); p &lt; 0.0001 (1-sided and 2- sided) stratified log-rank test. The Kaplan-Meier estimates for the percentage of patients with PFS at 8 months was 8.0% in the TAS-102 group and 1.4% in the placebo group. In general, the (exploratory) results for the other secondary efficacy endpoints from </w:t>
      </w:r>
      <w:r w:rsidR="008037CA" w:rsidRPr="00C94C33">
        <w:rPr>
          <w:rFonts w:asciiTheme="minorHAnsi" w:hAnsiTheme="minorHAnsi"/>
          <w:color w:val="000000"/>
        </w:rPr>
        <w:t>RECOURSE</w:t>
      </w:r>
      <w:r w:rsidR="00E95C0F">
        <w:t xml:space="preserve"> supported the results for PFS.</w:t>
      </w:r>
    </w:p>
    <w:p w14:paraId="27FDE513" w14:textId="1160C20B" w:rsidR="00DF61BC" w:rsidRPr="005C2FCA" w:rsidRDefault="00DF61BC" w:rsidP="00DF61BC">
      <w:r w:rsidRPr="005C2FCA">
        <w:t xml:space="preserve">There were no data in </w:t>
      </w:r>
      <w:r w:rsidR="008037CA" w:rsidRPr="00C94C33">
        <w:rPr>
          <w:rFonts w:asciiTheme="minorHAnsi" w:hAnsiTheme="minorHAnsi"/>
          <w:color w:val="000000"/>
        </w:rPr>
        <w:t>RECOURSE</w:t>
      </w:r>
      <w:r w:rsidRPr="005C2FCA">
        <w:t xml:space="preserve"> relating to patient or physician reported life-style outcomes. However, the time to worsening of ECOG PS ≥ 2 was longer in the TAS-102 group compared with to the placebo group (5.7</w:t>
      </w:r>
      <w:r w:rsidR="00C11183">
        <w:t xml:space="preserve"> versus </w:t>
      </w:r>
      <w:r w:rsidRPr="005C2FCA">
        <w:t>4.0 months, respectively)</w:t>
      </w:r>
      <w:r w:rsidR="00B37006" w:rsidRPr="005C2FCA">
        <w:t>;</w:t>
      </w:r>
      <w:r w:rsidRPr="005C2FCA">
        <w:t xml:space="preserve"> which provides some evidence that TAS-102 might have a modest beneficial effect on quality of life.</w:t>
      </w:r>
    </w:p>
    <w:p w14:paraId="5249CE16" w14:textId="4800E05C" w:rsidR="00DF61BC" w:rsidRPr="005C2FCA" w:rsidRDefault="00DF61BC" w:rsidP="00DF61BC">
      <w:r w:rsidRPr="005C2FCA">
        <w:t xml:space="preserve">The modest increases in OS and PFS in the TAS-102 group compared with the placebo group observed in </w:t>
      </w:r>
      <w:r w:rsidR="00ED5893" w:rsidRPr="00C94C33">
        <w:rPr>
          <w:rFonts w:asciiTheme="minorHAnsi" w:hAnsiTheme="minorHAnsi"/>
          <w:color w:val="000000"/>
        </w:rPr>
        <w:t>RECOURSE</w:t>
      </w:r>
      <w:r w:rsidRPr="005C2FCA">
        <w:t xml:space="preserve"> should be interpreted in the context of patients with mCRC who have been heavily pre-treated with standard chemotherapies.</w:t>
      </w:r>
    </w:p>
    <w:p w14:paraId="74740711" w14:textId="36311113" w:rsidR="00DF61BC" w:rsidRPr="005C2FCA" w:rsidRDefault="00DF61BC" w:rsidP="00DF61BC">
      <w:pPr>
        <w:autoSpaceDE w:val="0"/>
        <w:autoSpaceDN w:val="0"/>
        <w:adjustRightInd w:val="0"/>
        <w:rPr>
          <w:rFonts w:asciiTheme="minorHAnsi" w:hAnsiTheme="minorHAnsi"/>
        </w:rPr>
      </w:pPr>
      <w:r w:rsidRPr="005C2FCA">
        <w:rPr>
          <w:rFonts w:asciiTheme="minorHAnsi" w:hAnsiTheme="minorHAnsi"/>
        </w:rPr>
        <w:t>The benefits of TAS-10</w:t>
      </w:r>
      <w:r w:rsidR="00ED5893" w:rsidRPr="005C2FCA">
        <w:rPr>
          <w:rFonts w:asciiTheme="minorHAnsi" w:hAnsiTheme="minorHAnsi"/>
        </w:rPr>
        <w:t>2</w:t>
      </w:r>
      <w:r w:rsidRPr="005C2FCA">
        <w:rPr>
          <w:rFonts w:asciiTheme="minorHAnsi" w:hAnsiTheme="minorHAnsi"/>
        </w:rPr>
        <w:t xml:space="preserve"> on OS and PFS compared to placebo observed in </w:t>
      </w:r>
      <w:r w:rsidR="00ED5893" w:rsidRPr="00C94C33">
        <w:rPr>
          <w:rFonts w:asciiTheme="minorHAnsi" w:hAnsiTheme="minorHAnsi"/>
          <w:color w:val="000000"/>
        </w:rPr>
        <w:t>RECOURSE</w:t>
      </w:r>
      <w:r w:rsidRPr="005C2FCA">
        <w:rPr>
          <w:rFonts w:asciiTheme="minorHAnsi" w:hAnsiTheme="minorHAnsi"/>
        </w:rPr>
        <w:t xml:space="preserve"> were supported by the results in Japanese patients from </w:t>
      </w:r>
      <w:r w:rsidR="00C6117F">
        <w:rPr>
          <w:rFonts w:asciiTheme="minorHAnsi" w:hAnsiTheme="minorHAnsi"/>
        </w:rPr>
        <w:t>S</w:t>
      </w:r>
      <w:r w:rsidR="00C6117F" w:rsidRPr="005C2FCA">
        <w:rPr>
          <w:rFonts w:asciiTheme="minorHAnsi" w:hAnsiTheme="minorHAnsi"/>
        </w:rPr>
        <w:t xml:space="preserve">tudy </w:t>
      </w:r>
      <w:r w:rsidRPr="005C2FCA">
        <w:rPr>
          <w:rFonts w:asciiTheme="minorHAnsi" w:hAnsiTheme="minorHAnsi"/>
        </w:rPr>
        <w:t>J003-0040030. In Japanese patients, treatment with TAS-102 significantly increased median OS by 2.4 months and median PFS by 1.0</w:t>
      </w:r>
      <w:r w:rsidR="00C6117F">
        <w:rPr>
          <w:rFonts w:asciiTheme="minorHAnsi" w:hAnsiTheme="minorHAnsi"/>
        </w:rPr>
        <w:t> </w:t>
      </w:r>
      <w:r w:rsidRPr="005C2FCA">
        <w:rPr>
          <w:rFonts w:asciiTheme="minorHAnsi" w:hAnsiTheme="minorHAnsi"/>
        </w:rPr>
        <w:t xml:space="preserve">month compared to placebo. In the TAS-102 group, the median OS was 9.0 months compared to 6.6 months in the placebo group: HR = 0.56 (95% CI: 0.39, 0.81); p = 0.0011, stratified log-rank test. </w:t>
      </w:r>
      <w:r w:rsidRPr="00C94C33">
        <w:rPr>
          <w:rFonts w:asciiTheme="minorHAnsi" w:hAnsiTheme="minorHAnsi"/>
        </w:rPr>
        <w:t>The effect of TAS-102 on OS was consistent across all pre-specified subgroup analyses. The median PFS assessed by independent review committee was 2.0 months in the TAS-102 group compared to 1.0 month in the placebo group: HR=0.41; 95% CI: (0.28, 0.59); p &lt; 0.0001, stratified log-rank test).</w:t>
      </w:r>
    </w:p>
    <w:p w14:paraId="224018A7" w14:textId="77777777" w:rsidR="00DF61BC" w:rsidRPr="00C94C33" w:rsidRDefault="00DF61BC" w:rsidP="00955252">
      <w:pPr>
        <w:pStyle w:val="Heading3"/>
      </w:pPr>
      <w:bookmarkStart w:id="470" w:name="_Toc236802596"/>
      <w:bookmarkStart w:id="471" w:name="_Toc241374334"/>
      <w:bookmarkStart w:id="472" w:name="_Ref272160964"/>
      <w:bookmarkStart w:id="473" w:name="_Toc272414694"/>
      <w:bookmarkStart w:id="474" w:name="_Toc290846332"/>
      <w:bookmarkStart w:id="475" w:name="_Toc470948615"/>
      <w:bookmarkStart w:id="476" w:name="_Toc510016903"/>
      <w:r w:rsidRPr="00C94C33">
        <w:t>First round assessment of risks</w:t>
      </w:r>
      <w:bookmarkEnd w:id="470"/>
      <w:bookmarkEnd w:id="471"/>
      <w:bookmarkEnd w:id="472"/>
      <w:bookmarkEnd w:id="473"/>
      <w:bookmarkEnd w:id="474"/>
      <w:bookmarkEnd w:id="475"/>
      <w:bookmarkEnd w:id="476"/>
    </w:p>
    <w:p w14:paraId="0FFE93B7" w14:textId="35C756F4" w:rsidR="00DF61BC" w:rsidRPr="005C2FCA" w:rsidRDefault="00DF61BC" w:rsidP="00DF61BC">
      <w:pPr>
        <w:rPr>
          <w:rFonts w:asciiTheme="minorHAnsi" w:hAnsiTheme="minorHAnsi"/>
        </w:rPr>
      </w:pPr>
      <w:r w:rsidRPr="00C94C33">
        <w:rPr>
          <w:rFonts w:asciiTheme="minorHAnsi" w:hAnsiTheme="minorHAnsi"/>
        </w:rPr>
        <w:t xml:space="preserve">The risks of </w:t>
      </w:r>
      <w:r w:rsidRPr="005C2FCA">
        <w:rPr>
          <w:rFonts w:asciiTheme="minorHAnsi" w:hAnsiTheme="minorHAnsi"/>
        </w:rPr>
        <w:t>trifluridine/tipiracil (TAS-102), given the proposed usage, are considered to be favourable. The adverse events associated with TAS-102 are consistent with a medicine containing an antineoplastic thymidine-based nucleoside analogue (</w:t>
      </w:r>
      <w:r w:rsidR="00B2072D" w:rsidRPr="005C2FCA">
        <w:rPr>
          <w:rFonts w:asciiTheme="minorHAnsi" w:hAnsiTheme="minorHAnsi"/>
        </w:rPr>
        <w:t>that is,</w:t>
      </w:r>
      <w:r w:rsidRPr="005C2FCA">
        <w:rPr>
          <w:rFonts w:asciiTheme="minorHAnsi" w:hAnsiTheme="minorHAnsi"/>
        </w:rPr>
        <w:t xml:space="preserve"> trifluridine), which interferes with DNA synthesis and inhibits cell proliferation.</w:t>
      </w:r>
    </w:p>
    <w:p w14:paraId="34758D2D" w14:textId="0F13716A" w:rsidR="00DF61BC" w:rsidRPr="005C2FCA" w:rsidRDefault="00DF61BC" w:rsidP="00DF61BC">
      <w:pPr>
        <w:rPr>
          <w:rFonts w:asciiTheme="minorHAnsi" w:hAnsiTheme="minorHAnsi"/>
        </w:rPr>
      </w:pPr>
      <w:r w:rsidRPr="005C2FCA">
        <w:rPr>
          <w:rFonts w:asciiTheme="minorHAnsi" w:hAnsiTheme="minorHAnsi"/>
        </w:rPr>
        <w:t xml:space="preserve">Overall, the safety data from the pivotal Phase III study </w:t>
      </w:r>
      <w:r w:rsidR="00A0007E" w:rsidRPr="005C2FCA">
        <w:rPr>
          <w:rFonts w:asciiTheme="minorHAnsi" w:hAnsiTheme="minorHAnsi"/>
        </w:rPr>
        <w:t>(</w:t>
      </w:r>
      <w:r w:rsidRPr="005C2FCA">
        <w:rPr>
          <w:rFonts w:asciiTheme="minorHAnsi" w:hAnsiTheme="minorHAnsi"/>
        </w:rPr>
        <w:t>RECOURSE</w:t>
      </w:r>
      <w:r w:rsidR="00A0007E" w:rsidRPr="005C2FCA">
        <w:rPr>
          <w:rFonts w:asciiTheme="minorHAnsi" w:hAnsiTheme="minorHAnsi"/>
        </w:rPr>
        <w:t>)</w:t>
      </w:r>
      <w:r w:rsidRPr="005C2FCA">
        <w:rPr>
          <w:rFonts w:asciiTheme="minorHAnsi" w:hAnsiTheme="minorHAnsi"/>
        </w:rPr>
        <w:t xml:space="preserve"> demonstrated that the safety profile of TAS-102 was inferior to the safety profile of placebo.  </w:t>
      </w:r>
      <w:r w:rsidRPr="00C94C33">
        <w:rPr>
          <w:rFonts w:asciiTheme="minorHAnsi" w:hAnsiTheme="minorHAnsi"/>
        </w:rPr>
        <w:t xml:space="preserve">The most frequently reported risks </w:t>
      </w:r>
      <w:r w:rsidRPr="00C94C33">
        <w:rPr>
          <w:rFonts w:asciiTheme="minorHAnsi" w:hAnsiTheme="minorHAnsi"/>
        </w:rPr>
        <w:lastRenderedPageBreak/>
        <w:t>associated with TAS-102 were myelosuppression (</w:t>
      </w:r>
      <w:r w:rsidRPr="00C94C33">
        <w:rPr>
          <w:rFonts w:asciiTheme="minorHAnsi" w:eastAsiaTheme="minorHAnsi" w:hAnsiTheme="minorHAnsi"/>
        </w:rPr>
        <w:t>anaemia, leuko</w:t>
      </w:r>
      <w:r w:rsidR="00B50F67">
        <w:rPr>
          <w:rFonts w:asciiTheme="minorHAnsi" w:eastAsiaTheme="minorHAnsi" w:hAnsiTheme="minorHAnsi"/>
        </w:rPr>
        <w:t>paenia</w:t>
      </w:r>
      <w:r w:rsidRPr="00C94C33">
        <w:rPr>
          <w:rFonts w:asciiTheme="minorHAnsi" w:eastAsiaTheme="minorHAnsi" w:hAnsiTheme="minorHAnsi"/>
        </w:rPr>
        <w:t>, neutro</w:t>
      </w:r>
      <w:r w:rsidR="00B50F67">
        <w:rPr>
          <w:rFonts w:asciiTheme="minorHAnsi" w:eastAsiaTheme="minorHAnsi" w:hAnsiTheme="minorHAnsi"/>
        </w:rPr>
        <w:t>paenia</w:t>
      </w:r>
      <w:r w:rsidRPr="00C94C33">
        <w:rPr>
          <w:rFonts w:asciiTheme="minorHAnsi" w:eastAsiaTheme="minorHAnsi" w:hAnsiTheme="minorHAnsi"/>
        </w:rPr>
        <w:t>, febrile neutro</w:t>
      </w:r>
      <w:r w:rsidR="00B50F67">
        <w:rPr>
          <w:rFonts w:asciiTheme="minorHAnsi" w:eastAsiaTheme="minorHAnsi" w:hAnsiTheme="minorHAnsi"/>
        </w:rPr>
        <w:t>paenia</w:t>
      </w:r>
      <w:r w:rsidRPr="00C94C33">
        <w:rPr>
          <w:rFonts w:asciiTheme="minorHAnsi" w:eastAsiaTheme="minorHAnsi" w:hAnsiTheme="minorHAnsi"/>
        </w:rPr>
        <w:t xml:space="preserve"> and thrombocyto</w:t>
      </w:r>
      <w:r w:rsidR="00B50F67">
        <w:rPr>
          <w:rFonts w:asciiTheme="minorHAnsi" w:eastAsiaTheme="minorHAnsi" w:hAnsiTheme="minorHAnsi"/>
        </w:rPr>
        <w:t>paenia</w:t>
      </w:r>
      <w:r w:rsidRPr="00C94C33">
        <w:rPr>
          <w:rFonts w:asciiTheme="minorHAnsi" w:eastAsiaTheme="minorHAnsi" w:hAnsiTheme="minorHAnsi"/>
        </w:rPr>
        <w:t xml:space="preserve">), gastrointestinal events (nausea, vomiting and diarrhoea), and infections (predominantly nasopharyngitis, urinary tract infection, and upper respiratory tract infection). </w:t>
      </w:r>
      <w:r w:rsidR="00A11062" w:rsidRPr="005C2FCA">
        <w:rPr>
          <w:rFonts w:asciiTheme="minorHAnsi" w:hAnsiTheme="minorHAnsi"/>
        </w:rPr>
        <w:t>In general, the adverse events associated with TAS-102 were manageable by treatment interruption, delays in cycle initiation, and reductions in dose rather that by treatment discontinuation</w:t>
      </w:r>
      <w:r w:rsidRPr="005C2FCA">
        <w:rPr>
          <w:rFonts w:asciiTheme="minorHAnsi" w:hAnsiTheme="minorHAnsi"/>
        </w:rPr>
        <w:t>.</w:t>
      </w:r>
    </w:p>
    <w:p w14:paraId="1CB5CBF2" w14:textId="2C8217EE" w:rsidR="00DF61BC" w:rsidRPr="00C94C33" w:rsidRDefault="00DF61BC" w:rsidP="00DF61BC">
      <w:r w:rsidRPr="005C2FCA">
        <w:rPr>
          <w:rFonts w:asciiTheme="minorHAnsi" w:hAnsiTheme="minorHAnsi"/>
        </w:rPr>
        <w:t xml:space="preserve">The risks of treatment identified with TAS-102 for the proposed usage are based on reporting over a short duration of exposure, </w:t>
      </w:r>
      <w:r w:rsidRPr="00C94C33">
        <w:rPr>
          <w:rFonts w:asciiTheme="minorHAnsi" w:hAnsiTheme="minorHAnsi"/>
        </w:rPr>
        <w:t>with a maximum of 6 x 28</w:t>
      </w:r>
      <w:r w:rsidR="009C0389" w:rsidRPr="00C94C33">
        <w:rPr>
          <w:rFonts w:asciiTheme="minorHAnsi" w:hAnsiTheme="minorHAnsi"/>
        </w:rPr>
        <w:t xml:space="preserve"> day</w:t>
      </w:r>
      <w:r w:rsidRPr="00C94C33">
        <w:rPr>
          <w:rFonts w:asciiTheme="minorHAnsi" w:hAnsiTheme="minorHAnsi"/>
        </w:rPr>
        <w:t xml:space="preserve"> treatment cycles being initiated in only 37 (6.9%) patients in the TAS-102 group and 3 (1.1%) patients in the placebo group. The short duration of exposure reflects the poor prognosis of patients included in the pivotal study. </w:t>
      </w:r>
      <w:r w:rsidRPr="005C2FCA">
        <w:rPr>
          <w:rFonts w:asciiTheme="minorHAnsi" w:hAnsiTheme="minorHAnsi"/>
        </w:rPr>
        <w:t>The total duration of exposure to TAS-10</w:t>
      </w:r>
      <w:r w:rsidR="00A11062" w:rsidRPr="005C2FCA">
        <w:rPr>
          <w:rFonts w:asciiTheme="minorHAnsi" w:hAnsiTheme="minorHAnsi"/>
        </w:rPr>
        <w:t>2</w:t>
      </w:r>
      <w:r w:rsidRPr="005C2FCA">
        <w:rPr>
          <w:rFonts w:asciiTheme="minorHAnsi" w:hAnsiTheme="minorHAnsi"/>
        </w:rPr>
        <w:t xml:space="preserve"> was approximately 4-fold greater than for placebo </w:t>
      </w:r>
      <w:r w:rsidRPr="00C94C33">
        <w:rPr>
          <w:rFonts w:asciiTheme="minorHAnsi" w:hAnsiTheme="minorHAnsi"/>
        </w:rPr>
        <w:t>(6743</w:t>
      </w:r>
      <w:r w:rsidR="00C11183">
        <w:rPr>
          <w:rFonts w:asciiTheme="minorHAnsi" w:hAnsiTheme="minorHAnsi"/>
        </w:rPr>
        <w:t xml:space="preserve"> versus </w:t>
      </w:r>
      <w:r w:rsidRPr="00C94C33">
        <w:rPr>
          <w:rFonts w:asciiTheme="minorHAnsi" w:hAnsiTheme="minorHAnsi"/>
        </w:rPr>
        <w:t xml:space="preserve">1791 weeks, respectively), and this should be taken into account when comparing the safety profiles of the two treatment groups. The risks of treatment with TAS-102 compared to placebo discussed below relate to the data from the pivotal Phase III study </w:t>
      </w:r>
      <w:r w:rsidR="00A0007E" w:rsidRPr="00C94C33">
        <w:rPr>
          <w:rFonts w:asciiTheme="minorHAnsi" w:hAnsiTheme="minorHAnsi"/>
        </w:rPr>
        <w:t>(</w:t>
      </w:r>
      <w:r w:rsidRPr="00C94C33">
        <w:rPr>
          <w:rFonts w:asciiTheme="minorHAnsi" w:hAnsiTheme="minorHAnsi"/>
        </w:rPr>
        <w:t>RECOURSE</w:t>
      </w:r>
      <w:r w:rsidR="00A0007E" w:rsidRPr="00C94C33">
        <w:rPr>
          <w:rFonts w:asciiTheme="minorHAnsi" w:hAnsiTheme="minorHAnsi"/>
        </w:rPr>
        <w:t>)</w:t>
      </w:r>
      <w:r w:rsidRPr="00C94C33">
        <w:rPr>
          <w:rFonts w:asciiTheme="minorHAnsi" w:hAnsiTheme="minorHAnsi"/>
        </w:rPr>
        <w:t>. The safety results from the pivotal study were consistent with the safety results from the integrated safety data sets (Groups 1 and 2), and with the limited post-marketing safety experience r</w:t>
      </w:r>
      <w:r w:rsidR="00E95C0F">
        <w:rPr>
          <w:rFonts w:asciiTheme="minorHAnsi" w:hAnsiTheme="minorHAnsi"/>
        </w:rPr>
        <w:t>eported in Japanese patients.</w:t>
      </w:r>
    </w:p>
    <w:p w14:paraId="23E7F7EC" w14:textId="77777777" w:rsidR="00AA7141" w:rsidRDefault="00DF61BC" w:rsidP="00955252">
      <w:pPr>
        <w:pStyle w:val="Heading4"/>
      </w:pPr>
      <w:r w:rsidRPr="00C94C33">
        <w:t>Haematologic toxicities</w:t>
      </w:r>
    </w:p>
    <w:p w14:paraId="77954736" w14:textId="62384626" w:rsidR="00DF61BC" w:rsidRPr="00C94C33" w:rsidRDefault="00DF61BC" w:rsidP="00DF61BC">
      <w:pPr>
        <w:rPr>
          <w:rFonts w:asciiTheme="minorHAnsi" w:hAnsiTheme="minorHAnsi"/>
        </w:rPr>
      </w:pPr>
      <w:r w:rsidRPr="00C94C33">
        <w:rPr>
          <w:rFonts w:asciiTheme="minorHAnsi" w:hAnsiTheme="minorHAnsi"/>
        </w:rPr>
        <w:t xml:space="preserve">The risk of experiencing a </w:t>
      </w:r>
      <w:r w:rsidR="00842E8F" w:rsidRPr="00C94C33">
        <w:rPr>
          <w:rFonts w:asciiTheme="minorHAnsi" w:hAnsiTheme="minorHAnsi"/>
        </w:rPr>
        <w:t>‘</w:t>
      </w:r>
      <w:r w:rsidRPr="00C94C33">
        <w:rPr>
          <w:rFonts w:asciiTheme="minorHAnsi" w:hAnsiTheme="minorHAnsi"/>
        </w:rPr>
        <w:t>blood and lymphatic disorder</w:t>
      </w:r>
      <w:r w:rsidR="00842E8F" w:rsidRPr="00C94C33">
        <w:rPr>
          <w:rFonts w:asciiTheme="minorHAnsi" w:hAnsiTheme="minorHAnsi"/>
        </w:rPr>
        <w:t>’</w:t>
      </w:r>
      <w:r w:rsidRPr="00C94C33">
        <w:rPr>
          <w:rFonts w:asciiTheme="minorHAnsi" w:hAnsiTheme="minorHAnsi"/>
        </w:rPr>
        <w:t xml:space="preserve"> (SOC) was 5.2</w:t>
      </w:r>
      <w:r w:rsidR="00C6117F">
        <w:rPr>
          <w:rFonts w:asciiTheme="minorHAnsi" w:hAnsiTheme="minorHAnsi"/>
        </w:rPr>
        <w:t xml:space="preserve"> </w:t>
      </w:r>
      <w:r w:rsidRPr="00C94C33">
        <w:rPr>
          <w:rFonts w:asciiTheme="minorHAnsi" w:hAnsiTheme="minorHAnsi"/>
        </w:rPr>
        <w:t>fold greater for patients in the TAS-102 group compared to patients in the placebo group (57.0%</w:t>
      </w:r>
      <w:r w:rsidR="00C11183">
        <w:rPr>
          <w:rFonts w:asciiTheme="minorHAnsi" w:hAnsiTheme="minorHAnsi"/>
        </w:rPr>
        <w:t xml:space="preserve"> versus </w:t>
      </w:r>
      <w:r w:rsidRPr="00C94C33">
        <w:rPr>
          <w:rFonts w:asciiTheme="minorHAnsi" w:hAnsiTheme="minorHAnsi"/>
        </w:rPr>
        <w:t>10.9%), while the risk of experiencing a Grade ≥ 3 AE in this SOC was 8.5-fold greater (35.5%</w:t>
      </w:r>
      <w:r w:rsidR="00C11183">
        <w:rPr>
          <w:rFonts w:asciiTheme="minorHAnsi" w:hAnsiTheme="minorHAnsi"/>
        </w:rPr>
        <w:t xml:space="preserve"> versus </w:t>
      </w:r>
      <w:r w:rsidRPr="00C94C33">
        <w:rPr>
          <w:rFonts w:asciiTheme="minorHAnsi" w:hAnsiTheme="minorHAnsi"/>
        </w:rPr>
        <w:t>4.2%). The higher incidence of AEs in this SOC in the TAS-102 group compared to the placebo group was primarily due to the increased risk of AEs associated with myelosuppression. There were no deaths in either of the two treatment groups reported for haematologic adverse events.</w:t>
      </w:r>
    </w:p>
    <w:p w14:paraId="34D9E358" w14:textId="39D842CC" w:rsidR="00DF61BC" w:rsidRPr="00C94C33" w:rsidRDefault="00DF61BC" w:rsidP="00DF61BC">
      <w:pPr>
        <w:rPr>
          <w:rFonts w:asciiTheme="minorHAnsi" w:hAnsiTheme="minorHAnsi"/>
        </w:rPr>
      </w:pPr>
      <w:r w:rsidRPr="00C94C33">
        <w:rPr>
          <w:rFonts w:asciiTheme="minorHAnsi" w:hAnsiTheme="minorHAnsi"/>
        </w:rPr>
        <w:t xml:space="preserve">The risks of AEs associated with myelosuppression were markedly greater in the TAS-102 group than in the placebo group. The frequency of preferred term (PT) AEs (any </w:t>
      </w:r>
      <w:r w:rsidR="00A0007E" w:rsidRPr="00C94C33">
        <w:rPr>
          <w:rFonts w:asciiTheme="minorHAnsi" w:hAnsiTheme="minorHAnsi"/>
        </w:rPr>
        <w:t>(</w:t>
      </w:r>
      <w:r w:rsidRPr="00C94C33">
        <w:rPr>
          <w:rFonts w:asciiTheme="minorHAnsi" w:hAnsiTheme="minorHAnsi"/>
        </w:rPr>
        <w:t>≥ Grade 3</w:t>
      </w:r>
      <w:r w:rsidR="00A0007E" w:rsidRPr="00C94C33">
        <w:rPr>
          <w:rFonts w:asciiTheme="minorHAnsi" w:hAnsiTheme="minorHAnsi"/>
        </w:rPr>
        <w:t>)</w:t>
      </w:r>
      <w:r w:rsidRPr="00C94C33">
        <w:rPr>
          <w:rFonts w:asciiTheme="minorHAnsi" w:hAnsiTheme="minorHAnsi"/>
        </w:rPr>
        <w:t xml:space="preserve">) associated with myelosuppression reported in patients in the TAS-102 group compared to the placebo group (respectively) were: anaemia (40.2% </w:t>
      </w:r>
      <w:r w:rsidR="00A0007E" w:rsidRPr="00C94C33">
        <w:rPr>
          <w:rFonts w:asciiTheme="minorHAnsi" w:hAnsiTheme="minorHAnsi"/>
        </w:rPr>
        <w:t>(</w:t>
      </w:r>
      <w:r w:rsidRPr="00C94C33">
        <w:rPr>
          <w:rFonts w:asciiTheme="minorHAnsi" w:hAnsiTheme="minorHAnsi"/>
        </w:rPr>
        <w:t>16.1%</w:t>
      </w:r>
      <w:r w:rsidR="00A0007E" w:rsidRPr="00C94C33">
        <w:rPr>
          <w:rFonts w:asciiTheme="minorHAnsi" w:hAnsiTheme="minorHAnsi"/>
        </w:rPr>
        <w:t>)</w:t>
      </w:r>
      <w:r w:rsidR="00C11183">
        <w:rPr>
          <w:rFonts w:asciiTheme="minorHAnsi" w:hAnsiTheme="minorHAnsi"/>
        </w:rPr>
        <w:t xml:space="preserve"> versus </w:t>
      </w:r>
      <w:r w:rsidRPr="00C94C33">
        <w:rPr>
          <w:rFonts w:asciiTheme="minorHAnsi" w:hAnsiTheme="minorHAnsi"/>
        </w:rPr>
        <w:t xml:space="preserve">8.3% </w:t>
      </w:r>
      <w:r w:rsidR="00A0007E" w:rsidRPr="00C94C33">
        <w:rPr>
          <w:rFonts w:asciiTheme="minorHAnsi" w:hAnsiTheme="minorHAnsi"/>
        </w:rPr>
        <w:t>(</w:t>
      </w:r>
      <w:r w:rsidRPr="00C94C33">
        <w:rPr>
          <w:rFonts w:asciiTheme="minorHAnsi" w:hAnsiTheme="minorHAnsi"/>
        </w:rPr>
        <w:t>2.6%</w:t>
      </w:r>
      <w:r w:rsidR="00A0007E" w:rsidRPr="00C94C33">
        <w:rPr>
          <w:rFonts w:asciiTheme="minorHAnsi" w:hAnsiTheme="minorHAnsi"/>
        </w:rPr>
        <w:t>)</w:t>
      </w:r>
      <w:r w:rsidRPr="00C94C33">
        <w:rPr>
          <w:rFonts w:asciiTheme="minorHAnsi" w:hAnsiTheme="minorHAnsi"/>
        </w:rPr>
        <w:t>); neutro</w:t>
      </w:r>
      <w:r w:rsidR="00B50F67">
        <w:rPr>
          <w:rFonts w:asciiTheme="minorHAnsi" w:hAnsiTheme="minorHAnsi"/>
        </w:rPr>
        <w:t>paenia</w:t>
      </w:r>
      <w:r w:rsidRPr="00C94C33">
        <w:rPr>
          <w:rFonts w:asciiTheme="minorHAnsi" w:hAnsiTheme="minorHAnsi"/>
        </w:rPr>
        <w:t xml:space="preserve"> (29.3% </w:t>
      </w:r>
      <w:r w:rsidR="00A0007E" w:rsidRPr="00C94C33">
        <w:rPr>
          <w:rFonts w:asciiTheme="minorHAnsi" w:hAnsiTheme="minorHAnsi"/>
        </w:rPr>
        <w:t>(</w:t>
      </w:r>
      <w:r w:rsidRPr="00C94C33">
        <w:rPr>
          <w:rFonts w:asciiTheme="minorHAnsi" w:hAnsiTheme="minorHAnsi"/>
        </w:rPr>
        <w:t>20.1%</w:t>
      </w:r>
      <w:r w:rsidR="00A0007E" w:rsidRPr="00C94C33">
        <w:rPr>
          <w:rFonts w:asciiTheme="minorHAnsi" w:hAnsiTheme="minorHAnsi"/>
        </w:rPr>
        <w:t>)</w:t>
      </w:r>
      <w:r w:rsidR="00C11183">
        <w:rPr>
          <w:rFonts w:asciiTheme="minorHAnsi" w:hAnsiTheme="minorHAnsi"/>
        </w:rPr>
        <w:t xml:space="preserve"> versus </w:t>
      </w:r>
      <w:r w:rsidRPr="00C94C33">
        <w:rPr>
          <w:rFonts w:asciiTheme="minorHAnsi" w:hAnsiTheme="minorHAnsi"/>
        </w:rPr>
        <w:t xml:space="preserve">0% </w:t>
      </w:r>
      <w:r w:rsidR="00A0007E" w:rsidRPr="00C94C33">
        <w:rPr>
          <w:rFonts w:asciiTheme="minorHAnsi" w:hAnsiTheme="minorHAnsi"/>
        </w:rPr>
        <w:t>(</w:t>
      </w:r>
      <w:r w:rsidRPr="00C94C33">
        <w:rPr>
          <w:rFonts w:asciiTheme="minorHAnsi" w:hAnsiTheme="minorHAnsi"/>
        </w:rPr>
        <w:t>0%</w:t>
      </w:r>
      <w:r w:rsidR="00A0007E" w:rsidRPr="00C94C33">
        <w:rPr>
          <w:rFonts w:asciiTheme="minorHAnsi" w:hAnsiTheme="minorHAnsi"/>
        </w:rPr>
        <w:t>)</w:t>
      </w:r>
      <w:r w:rsidRPr="00C94C33">
        <w:rPr>
          <w:rFonts w:asciiTheme="minorHAnsi" w:hAnsiTheme="minorHAnsi"/>
        </w:rPr>
        <w:t>); thrombocyto</w:t>
      </w:r>
      <w:r w:rsidR="00B50F67">
        <w:rPr>
          <w:rFonts w:asciiTheme="minorHAnsi" w:hAnsiTheme="minorHAnsi"/>
        </w:rPr>
        <w:t>paenia</w:t>
      </w:r>
      <w:r w:rsidRPr="00C94C33">
        <w:rPr>
          <w:rFonts w:asciiTheme="minorHAnsi" w:hAnsiTheme="minorHAnsi"/>
        </w:rPr>
        <w:t xml:space="preserve"> (6.9% </w:t>
      </w:r>
      <w:r w:rsidR="00A0007E" w:rsidRPr="00C94C33">
        <w:rPr>
          <w:rFonts w:asciiTheme="minorHAnsi" w:hAnsiTheme="minorHAnsi"/>
        </w:rPr>
        <w:t>(</w:t>
      </w:r>
      <w:r w:rsidRPr="00C94C33">
        <w:rPr>
          <w:rFonts w:asciiTheme="minorHAnsi" w:hAnsiTheme="minorHAnsi"/>
        </w:rPr>
        <w:t>2.1%</w:t>
      </w:r>
      <w:r w:rsidR="00A0007E" w:rsidRPr="00C94C33">
        <w:rPr>
          <w:rFonts w:asciiTheme="minorHAnsi" w:hAnsiTheme="minorHAnsi"/>
        </w:rPr>
        <w:t>)</w:t>
      </w:r>
      <w:r w:rsidR="00C11183">
        <w:rPr>
          <w:rFonts w:asciiTheme="minorHAnsi" w:hAnsiTheme="minorHAnsi"/>
        </w:rPr>
        <w:t xml:space="preserve"> versus </w:t>
      </w:r>
      <w:r w:rsidRPr="00C94C33">
        <w:rPr>
          <w:rFonts w:asciiTheme="minorHAnsi" w:hAnsiTheme="minorHAnsi"/>
        </w:rPr>
        <w:t xml:space="preserve">0.4% </w:t>
      </w:r>
      <w:r w:rsidR="00A0007E" w:rsidRPr="00C94C33">
        <w:rPr>
          <w:rFonts w:asciiTheme="minorHAnsi" w:hAnsiTheme="minorHAnsi"/>
        </w:rPr>
        <w:t>(</w:t>
      </w:r>
      <w:r w:rsidRPr="00C94C33">
        <w:rPr>
          <w:rFonts w:asciiTheme="minorHAnsi" w:hAnsiTheme="minorHAnsi"/>
        </w:rPr>
        <w:t>0.4%</w:t>
      </w:r>
      <w:r w:rsidR="00A0007E" w:rsidRPr="00C94C33">
        <w:rPr>
          <w:rFonts w:asciiTheme="minorHAnsi" w:hAnsiTheme="minorHAnsi"/>
        </w:rPr>
        <w:t>)</w:t>
      </w:r>
      <w:r w:rsidRPr="00C94C33">
        <w:rPr>
          <w:rFonts w:asciiTheme="minorHAnsi" w:hAnsiTheme="minorHAnsi"/>
        </w:rPr>
        <w:t>); leuko</w:t>
      </w:r>
      <w:r w:rsidR="00B50F67">
        <w:rPr>
          <w:rFonts w:asciiTheme="minorHAnsi" w:hAnsiTheme="minorHAnsi"/>
        </w:rPr>
        <w:t>paenia</w:t>
      </w:r>
      <w:r w:rsidRPr="00C94C33">
        <w:rPr>
          <w:rFonts w:asciiTheme="minorHAnsi" w:hAnsiTheme="minorHAnsi"/>
        </w:rPr>
        <w:t xml:space="preserve"> (5.4% </w:t>
      </w:r>
      <w:r w:rsidR="00A0007E" w:rsidRPr="00C94C33">
        <w:rPr>
          <w:rFonts w:asciiTheme="minorHAnsi" w:hAnsiTheme="minorHAnsi"/>
        </w:rPr>
        <w:t>(</w:t>
      </w:r>
      <w:r w:rsidRPr="00C94C33">
        <w:rPr>
          <w:rFonts w:asciiTheme="minorHAnsi" w:hAnsiTheme="minorHAnsi"/>
        </w:rPr>
        <w:t>2.4%</w:t>
      </w:r>
      <w:r w:rsidR="00A0007E" w:rsidRPr="00C94C33">
        <w:rPr>
          <w:rFonts w:asciiTheme="minorHAnsi" w:hAnsiTheme="minorHAnsi"/>
        </w:rPr>
        <w:t>)</w:t>
      </w:r>
      <w:r w:rsidR="00C11183">
        <w:rPr>
          <w:rFonts w:asciiTheme="minorHAnsi" w:hAnsiTheme="minorHAnsi"/>
        </w:rPr>
        <w:t xml:space="preserve"> versus </w:t>
      </w:r>
      <w:r w:rsidRPr="00C94C33">
        <w:rPr>
          <w:rFonts w:asciiTheme="minorHAnsi" w:hAnsiTheme="minorHAnsi"/>
        </w:rPr>
        <w:t xml:space="preserve">0% </w:t>
      </w:r>
      <w:r w:rsidR="00A0007E" w:rsidRPr="00C94C33">
        <w:rPr>
          <w:rFonts w:asciiTheme="minorHAnsi" w:hAnsiTheme="minorHAnsi"/>
        </w:rPr>
        <w:t>(</w:t>
      </w:r>
      <w:r w:rsidRPr="00C94C33">
        <w:rPr>
          <w:rFonts w:asciiTheme="minorHAnsi" w:hAnsiTheme="minorHAnsi"/>
        </w:rPr>
        <w:t>0%</w:t>
      </w:r>
      <w:r w:rsidR="00A0007E" w:rsidRPr="00C94C33">
        <w:rPr>
          <w:rFonts w:asciiTheme="minorHAnsi" w:hAnsiTheme="minorHAnsi"/>
        </w:rPr>
        <w:t>)</w:t>
      </w:r>
      <w:r w:rsidRPr="00C94C33">
        <w:rPr>
          <w:rFonts w:asciiTheme="minorHAnsi" w:hAnsiTheme="minorHAnsi"/>
        </w:rPr>
        <w:t>); and febrile neutro</w:t>
      </w:r>
      <w:r w:rsidR="00B50F67">
        <w:rPr>
          <w:rFonts w:asciiTheme="minorHAnsi" w:hAnsiTheme="minorHAnsi"/>
        </w:rPr>
        <w:t>paenia</w:t>
      </w:r>
      <w:r w:rsidRPr="00C94C33">
        <w:rPr>
          <w:rFonts w:asciiTheme="minorHAnsi" w:hAnsiTheme="minorHAnsi"/>
        </w:rPr>
        <w:t xml:space="preserve"> (3.8% </w:t>
      </w:r>
      <w:r w:rsidR="00A0007E" w:rsidRPr="00C94C33">
        <w:rPr>
          <w:rFonts w:asciiTheme="minorHAnsi" w:hAnsiTheme="minorHAnsi"/>
        </w:rPr>
        <w:t>(</w:t>
      </w:r>
      <w:r w:rsidRPr="00C94C33">
        <w:rPr>
          <w:rFonts w:asciiTheme="minorHAnsi" w:hAnsiTheme="minorHAnsi"/>
        </w:rPr>
        <w:t>3.8%</w:t>
      </w:r>
      <w:r w:rsidR="00A0007E" w:rsidRPr="00C94C33">
        <w:rPr>
          <w:rFonts w:asciiTheme="minorHAnsi" w:hAnsiTheme="minorHAnsi"/>
        </w:rPr>
        <w:t>)</w:t>
      </w:r>
      <w:r w:rsidR="00C11183">
        <w:rPr>
          <w:rFonts w:asciiTheme="minorHAnsi" w:hAnsiTheme="minorHAnsi"/>
        </w:rPr>
        <w:t xml:space="preserve"> versus </w:t>
      </w:r>
      <w:r w:rsidRPr="00C94C33">
        <w:rPr>
          <w:rFonts w:asciiTheme="minorHAnsi" w:hAnsiTheme="minorHAnsi"/>
        </w:rPr>
        <w:t xml:space="preserve">0% </w:t>
      </w:r>
      <w:r w:rsidR="00A0007E" w:rsidRPr="00C94C33">
        <w:rPr>
          <w:rFonts w:asciiTheme="minorHAnsi" w:hAnsiTheme="minorHAnsi"/>
        </w:rPr>
        <w:t>(</w:t>
      </w:r>
      <w:r w:rsidRPr="00C94C33">
        <w:rPr>
          <w:rFonts w:asciiTheme="minorHAnsi" w:hAnsiTheme="minorHAnsi"/>
        </w:rPr>
        <w:t>0%</w:t>
      </w:r>
      <w:r w:rsidR="00A0007E" w:rsidRPr="00C94C33">
        <w:rPr>
          <w:rFonts w:asciiTheme="minorHAnsi" w:hAnsiTheme="minorHAnsi"/>
        </w:rPr>
        <w:t>)</w:t>
      </w:r>
      <w:r w:rsidRPr="00C94C33">
        <w:rPr>
          <w:rFonts w:asciiTheme="minorHAnsi" w:hAnsiTheme="minorHAnsi"/>
        </w:rPr>
        <w:t>). There were no fatal AEs (Grade 5) due to anaemia, neutro</w:t>
      </w:r>
      <w:r w:rsidR="00B50F67">
        <w:rPr>
          <w:rFonts w:asciiTheme="minorHAnsi" w:hAnsiTheme="minorHAnsi"/>
        </w:rPr>
        <w:t>paenia</w:t>
      </w:r>
      <w:r w:rsidRPr="00C94C33">
        <w:rPr>
          <w:rFonts w:asciiTheme="minorHAnsi" w:hAnsiTheme="minorHAnsi"/>
        </w:rPr>
        <w:t>, leuko</w:t>
      </w:r>
      <w:r w:rsidR="00B50F67">
        <w:rPr>
          <w:rFonts w:asciiTheme="minorHAnsi" w:hAnsiTheme="minorHAnsi"/>
        </w:rPr>
        <w:t>paenia</w:t>
      </w:r>
      <w:r w:rsidRPr="00C94C33">
        <w:rPr>
          <w:rFonts w:asciiTheme="minorHAnsi" w:hAnsiTheme="minorHAnsi"/>
        </w:rPr>
        <w:t>, thrombocyto</w:t>
      </w:r>
      <w:r w:rsidR="00B50F67">
        <w:rPr>
          <w:rFonts w:asciiTheme="minorHAnsi" w:hAnsiTheme="minorHAnsi"/>
        </w:rPr>
        <w:t>paenia</w:t>
      </w:r>
      <w:r w:rsidRPr="00C94C33">
        <w:rPr>
          <w:rFonts w:asciiTheme="minorHAnsi" w:hAnsiTheme="minorHAnsi"/>
        </w:rPr>
        <w:t xml:space="preserve"> or febrile neutro</w:t>
      </w:r>
      <w:r w:rsidR="00B50F67">
        <w:rPr>
          <w:rFonts w:asciiTheme="minorHAnsi" w:hAnsiTheme="minorHAnsi"/>
        </w:rPr>
        <w:t>paenia</w:t>
      </w:r>
      <w:r w:rsidRPr="00C94C33">
        <w:rPr>
          <w:rFonts w:asciiTheme="minorHAnsi" w:hAnsiTheme="minorHAnsi"/>
        </w:rPr>
        <w:t xml:space="preserve"> in either of the </w:t>
      </w:r>
      <w:r w:rsidR="00C6117F">
        <w:rPr>
          <w:rFonts w:asciiTheme="minorHAnsi" w:hAnsiTheme="minorHAnsi"/>
        </w:rPr>
        <w:t>2</w:t>
      </w:r>
      <w:r w:rsidR="00C6117F" w:rsidRPr="00C94C33">
        <w:rPr>
          <w:rFonts w:asciiTheme="minorHAnsi" w:hAnsiTheme="minorHAnsi"/>
        </w:rPr>
        <w:t xml:space="preserve"> </w:t>
      </w:r>
      <w:r w:rsidRPr="00C94C33">
        <w:rPr>
          <w:rFonts w:asciiTheme="minorHAnsi" w:hAnsiTheme="minorHAnsi"/>
        </w:rPr>
        <w:t>treatment groups.</w:t>
      </w:r>
    </w:p>
    <w:p w14:paraId="25F38335" w14:textId="0B94BF2C" w:rsidR="00DF61BC" w:rsidRPr="00C94C33" w:rsidRDefault="00DF61BC" w:rsidP="00DF61BC">
      <w:pPr>
        <w:rPr>
          <w:rFonts w:asciiTheme="minorHAnsi" w:hAnsiTheme="minorHAnsi"/>
        </w:rPr>
      </w:pPr>
      <w:r w:rsidRPr="00C94C33">
        <w:rPr>
          <w:rFonts w:asciiTheme="minorHAnsi" w:hAnsiTheme="minorHAnsi"/>
        </w:rPr>
        <w:t xml:space="preserve">Although haematologic toxicities were reported frequently in patients in the TAS-102 group, discontinuations due to </w:t>
      </w:r>
      <w:r w:rsidR="00842E8F" w:rsidRPr="00C94C33">
        <w:rPr>
          <w:rFonts w:asciiTheme="minorHAnsi" w:hAnsiTheme="minorHAnsi"/>
        </w:rPr>
        <w:t>‘</w:t>
      </w:r>
      <w:r w:rsidRPr="00C94C33">
        <w:rPr>
          <w:rFonts w:asciiTheme="minorHAnsi" w:hAnsiTheme="minorHAnsi"/>
        </w:rPr>
        <w:t>blood and lymphatic system disorders</w:t>
      </w:r>
      <w:r w:rsidR="00842E8F" w:rsidRPr="00C94C33">
        <w:rPr>
          <w:rFonts w:asciiTheme="minorHAnsi" w:hAnsiTheme="minorHAnsi"/>
        </w:rPr>
        <w:t>’</w:t>
      </w:r>
      <w:r w:rsidRPr="00C94C33">
        <w:rPr>
          <w:rFonts w:asciiTheme="minorHAnsi" w:hAnsiTheme="minorHAnsi"/>
        </w:rPr>
        <w:t xml:space="preserve"> occurred uncommonly (0.6%, TAS-102; 0%, placebo). The only haematologic AEs (PT) in this SOC (TAS-102</w:t>
      </w:r>
      <w:r w:rsidR="00C11183">
        <w:rPr>
          <w:rFonts w:asciiTheme="minorHAnsi" w:hAnsiTheme="minorHAnsi"/>
        </w:rPr>
        <w:t xml:space="preserve"> versus </w:t>
      </w:r>
      <w:r w:rsidRPr="00C94C33">
        <w:rPr>
          <w:rFonts w:asciiTheme="minorHAnsi" w:hAnsiTheme="minorHAnsi"/>
        </w:rPr>
        <w:t>placebo) resulting in treatment discontinuation were anaemia (0.4%</w:t>
      </w:r>
      <w:r w:rsidR="00C11183">
        <w:rPr>
          <w:rFonts w:asciiTheme="minorHAnsi" w:hAnsiTheme="minorHAnsi"/>
        </w:rPr>
        <w:t xml:space="preserve"> versus </w:t>
      </w:r>
      <w:r w:rsidRPr="00C94C33">
        <w:rPr>
          <w:rFonts w:asciiTheme="minorHAnsi" w:hAnsiTheme="minorHAnsi"/>
        </w:rPr>
        <w:t>0%), disseminated intravascular coagulation (0.2%</w:t>
      </w:r>
      <w:r w:rsidR="00C11183">
        <w:rPr>
          <w:rFonts w:asciiTheme="minorHAnsi" w:hAnsiTheme="minorHAnsi"/>
        </w:rPr>
        <w:t xml:space="preserve"> versus </w:t>
      </w:r>
      <w:r w:rsidRPr="00C94C33">
        <w:rPr>
          <w:rFonts w:asciiTheme="minorHAnsi" w:hAnsiTheme="minorHAnsi"/>
        </w:rPr>
        <w:t>0%), and neutro</w:t>
      </w:r>
      <w:r w:rsidR="00B50F67">
        <w:rPr>
          <w:rFonts w:asciiTheme="minorHAnsi" w:hAnsiTheme="minorHAnsi"/>
        </w:rPr>
        <w:t>paenia</w:t>
      </w:r>
      <w:r w:rsidRPr="00C94C33">
        <w:rPr>
          <w:rFonts w:asciiTheme="minorHAnsi" w:hAnsiTheme="minorHAnsi"/>
        </w:rPr>
        <w:t xml:space="preserve"> (0.2%</w:t>
      </w:r>
      <w:r w:rsidR="00C11183">
        <w:rPr>
          <w:rFonts w:asciiTheme="minorHAnsi" w:hAnsiTheme="minorHAnsi"/>
        </w:rPr>
        <w:t xml:space="preserve"> versus </w:t>
      </w:r>
      <w:r w:rsidRPr="00C94C33">
        <w:rPr>
          <w:rFonts w:asciiTheme="minorHAnsi" w:hAnsiTheme="minorHAnsi"/>
        </w:rPr>
        <w:t xml:space="preserve">0%). In contrast to treatment discontinuations, interruption/delay or reduction of study medication due to </w:t>
      </w:r>
      <w:r w:rsidR="00842E8F" w:rsidRPr="00C94C33">
        <w:rPr>
          <w:rFonts w:asciiTheme="minorHAnsi" w:hAnsiTheme="minorHAnsi"/>
        </w:rPr>
        <w:t>‘</w:t>
      </w:r>
      <w:r w:rsidRPr="00C94C33">
        <w:rPr>
          <w:rFonts w:asciiTheme="minorHAnsi" w:hAnsiTheme="minorHAnsi"/>
        </w:rPr>
        <w:t>blood and lymphatic system disorders</w:t>
      </w:r>
      <w:r w:rsidR="00842E8F" w:rsidRPr="00C94C33">
        <w:rPr>
          <w:rFonts w:asciiTheme="minorHAnsi" w:hAnsiTheme="minorHAnsi"/>
        </w:rPr>
        <w:t>’</w:t>
      </w:r>
      <w:r w:rsidRPr="00C94C33">
        <w:rPr>
          <w:rFonts w:asciiTheme="minorHAnsi" w:hAnsiTheme="minorHAnsi"/>
        </w:rPr>
        <w:t xml:space="preserve"> occurred frequently in patients in the TAS-102 group and notably more commonly than in the placebo group (26.5%</w:t>
      </w:r>
      <w:r w:rsidR="00C11183">
        <w:rPr>
          <w:rFonts w:asciiTheme="minorHAnsi" w:hAnsiTheme="minorHAnsi"/>
        </w:rPr>
        <w:t xml:space="preserve"> versus </w:t>
      </w:r>
      <w:r w:rsidRPr="00C94C33">
        <w:rPr>
          <w:rFonts w:asciiTheme="minorHAnsi" w:hAnsiTheme="minorHAnsi"/>
        </w:rPr>
        <w:t>0.8%, respectively). Interruption/delay or reduction of study medication due to haematologic AEs (PT) in this SOC were reported in ≥ 2% of patients in the TAS-102 group (vs placebo) for neutro</w:t>
      </w:r>
      <w:r w:rsidR="00B50F67">
        <w:rPr>
          <w:rFonts w:asciiTheme="minorHAnsi" w:hAnsiTheme="minorHAnsi"/>
        </w:rPr>
        <w:t>paenia</w:t>
      </w:r>
      <w:r w:rsidRPr="00C94C33">
        <w:rPr>
          <w:rFonts w:asciiTheme="minorHAnsi" w:hAnsiTheme="minorHAnsi"/>
        </w:rPr>
        <w:t xml:space="preserve"> (19.9%</w:t>
      </w:r>
      <w:r w:rsidR="00C11183">
        <w:rPr>
          <w:rFonts w:asciiTheme="minorHAnsi" w:hAnsiTheme="minorHAnsi"/>
        </w:rPr>
        <w:t xml:space="preserve"> versus </w:t>
      </w:r>
      <w:r w:rsidRPr="00C94C33">
        <w:rPr>
          <w:rFonts w:asciiTheme="minorHAnsi" w:hAnsiTheme="minorHAnsi"/>
        </w:rPr>
        <w:t>0%), anaemia (5.4%</w:t>
      </w:r>
      <w:r w:rsidR="00C11183">
        <w:rPr>
          <w:rFonts w:asciiTheme="minorHAnsi" w:hAnsiTheme="minorHAnsi"/>
        </w:rPr>
        <w:t xml:space="preserve"> versus </w:t>
      </w:r>
      <w:r w:rsidRPr="00C94C33">
        <w:rPr>
          <w:rFonts w:asciiTheme="minorHAnsi" w:hAnsiTheme="minorHAnsi"/>
        </w:rPr>
        <w:t>0.8%), and febrile neutro</w:t>
      </w:r>
      <w:r w:rsidR="00B50F67">
        <w:rPr>
          <w:rFonts w:asciiTheme="minorHAnsi" w:hAnsiTheme="minorHAnsi"/>
        </w:rPr>
        <w:t>paenia</w:t>
      </w:r>
      <w:r w:rsidRPr="00C94C33">
        <w:rPr>
          <w:rFonts w:asciiTheme="minorHAnsi" w:hAnsiTheme="minorHAnsi"/>
        </w:rPr>
        <w:t xml:space="preserve"> (2.1%</w:t>
      </w:r>
      <w:r w:rsidR="00C11183">
        <w:rPr>
          <w:rFonts w:asciiTheme="minorHAnsi" w:hAnsiTheme="minorHAnsi"/>
        </w:rPr>
        <w:t xml:space="preserve"> versus </w:t>
      </w:r>
      <w:r w:rsidRPr="00C94C33">
        <w:rPr>
          <w:rFonts w:asciiTheme="minorHAnsi" w:hAnsiTheme="minorHAnsi"/>
        </w:rPr>
        <w:t>0%).</w:t>
      </w:r>
    </w:p>
    <w:p w14:paraId="09FD52BC" w14:textId="26D7EB64" w:rsidR="00DF61BC" w:rsidRPr="00C94C33" w:rsidRDefault="00DF61BC" w:rsidP="00DF61BC">
      <w:pPr>
        <w:autoSpaceDE w:val="0"/>
        <w:autoSpaceDN w:val="0"/>
        <w:adjustRightInd w:val="0"/>
        <w:rPr>
          <w:rFonts w:asciiTheme="minorHAnsi" w:hAnsiTheme="minorHAnsi" w:cstheme="minorHAnsi"/>
        </w:rPr>
      </w:pPr>
      <w:r w:rsidRPr="00C94C33">
        <w:rPr>
          <w:rFonts w:asciiTheme="minorHAnsi" w:hAnsiTheme="minorHAnsi" w:cstheme="minorHAnsi"/>
        </w:rPr>
        <w:t>Blood transfusions were received by 16.9% (</w:t>
      </w:r>
      <w:r w:rsidR="009C0389" w:rsidRPr="00C94C33">
        <w:rPr>
          <w:rFonts w:asciiTheme="minorHAnsi" w:hAnsiTheme="minorHAnsi" w:cstheme="minorHAnsi"/>
        </w:rPr>
        <w:t xml:space="preserve">n = </w:t>
      </w:r>
      <w:r w:rsidRPr="00C94C33">
        <w:rPr>
          <w:rFonts w:asciiTheme="minorHAnsi" w:hAnsiTheme="minorHAnsi" w:cstheme="minorHAnsi"/>
        </w:rPr>
        <w:t>90) patients in the TAS-102 group and 3.0% (</w:t>
      </w:r>
      <w:r w:rsidR="00C6117F">
        <w:rPr>
          <w:rFonts w:asciiTheme="minorHAnsi" w:hAnsiTheme="minorHAnsi" w:cstheme="minorHAnsi"/>
        </w:rPr>
        <w:t>n </w:t>
      </w:r>
      <w:r w:rsidR="009C0389" w:rsidRPr="00C94C33">
        <w:rPr>
          <w:rFonts w:asciiTheme="minorHAnsi" w:hAnsiTheme="minorHAnsi" w:cstheme="minorHAnsi"/>
        </w:rPr>
        <w:t>=</w:t>
      </w:r>
      <w:r w:rsidR="00C6117F">
        <w:rPr>
          <w:rFonts w:asciiTheme="minorHAnsi" w:hAnsiTheme="minorHAnsi" w:cstheme="minorHAnsi"/>
        </w:rPr>
        <w:t> </w:t>
      </w:r>
      <w:r w:rsidRPr="00C94C33">
        <w:rPr>
          <w:rFonts w:asciiTheme="minorHAnsi" w:hAnsiTheme="minorHAnsi" w:cstheme="minorHAnsi"/>
        </w:rPr>
        <w:t>8) of patients in the placebo group. The percentage of patients in the TAS-102 group who received blood transfusions is consistent with the percentage of patients in the group with Grade ≥ 3 anaemia based on haematologic laboratory results. Granulocyte colony stimulating factors (G-CSF) were received by 9.4% (</w:t>
      </w:r>
      <w:r w:rsidR="009C0389" w:rsidRPr="00C94C33">
        <w:rPr>
          <w:rFonts w:asciiTheme="minorHAnsi" w:hAnsiTheme="minorHAnsi" w:cstheme="minorHAnsi"/>
        </w:rPr>
        <w:t xml:space="preserve">n = </w:t>
      </w:r>
      <w:r w:rsidRPr="00C94C33">
        <w:rPr>
          <w:rFonts w:asciiTheme="minorHAnsi" w:hAnsiTheme="minorHAnsi" w:cstheme="minorHAnsi"/>
        </w:rPr>
        <w:t>51) of patients in the TAS-102 group as supportive therapy during the study compared to no patients in the placebo group.</w:t>
      </w:r>
    </w:p>
    <w:p w14:paraId="565BBEE7" w14:textId="54C8A625" w:rsidR="00DF61BC" w:rsidRPr="00C94C33" w:rsidRDefault="00E95C0F" w:rsidP="00955252">
      <w:pPr>
        <w:pStyle w:val="Heading4"/>
      </w:pPr>
      <w:r>
        <w:lastRenderedPageBreak/>
        <w:t>Gastrointestinal toxicities</w:t>
      </w:r>
    </w:p>
    <w:p w14:paraId="18B77E22" w14:textId="2FB5BB63" w:rsidR="00DF61BC" w:rsidRPr="00C94C33" w:rsidRDefault="00DF61BC" w:rsidP="00DF61BC">
      <w:r w:rsidRPr="00C94C33">
        <w:t xml:space="preserve">The risk of experiencing </w:t>
      </w:r>
      <w:r w:rsidR="00842E8F" w:rsidRPr="00C94C33">
        <w:t>‘</w:t>
      </w:r>
      <w:r w:rsidRPr="00C94C33">
        <w:t>gastrointestinal disorders</w:t>
      </w:r>
      <w:r w:rsidR="00842E8F" w:rsidRPr="00C94C33">
        <w:t>’</w:t>
      </w:r>
      <w:r w:rsidRPr="00C94C33">
        <w:t xml:space="preserve"> (SOC) was higher in patients in the TAS-102 group compared to the placebo group (77.5%</w:t>
      </w:r>
      <w:r w:rsidR="00C11183">
        <w:t xml:space="preserve"> versus </w:t>
      </w:r>
      <w:r w:rsidRPr="00C94C33">
        <w:t>60.8%), while the risk of experiencing Grade ≥ 3 AEs in this SOC was similar in the two treatment groups (12.0%</w:t>
      </w:r>
      <w:r w:rsidR="00C11183">
        <w:t xml:space="preserve"> versus </w:t>
      </w:r>
      <w:r w:rsidRPr="00C94C33">
        <w:t xml:space="preserve">13.6%, respectively). The three most commonly reported gastrointestinal AEs (PT) reported in the TAS-102 (vs placebo) were (any </w:t>
      </w:r>
      <w:r w:rsidR="00A0007E" w:rsidRPr="00C94C33">
        <w:t>(</w:t>
      </w:r>
      <w:r w:rsidRPr="00C94C33">
        <w:t>Grade ≥ 3</w:t>
      </w:r>
      <w:r w:rsidR="00A0007E" w:rsidRPr="00C94C33">
        <w:t>)</w:t>
      </w:r>
      <w:r w:rsidRPr="00C94C33">
        <w:t xml:space="preserve">): nausea (48.4% </w:t>
      </w:r>
      <w:r w:rsidR="00A0007E" w:rsidRPr="00C94C33">
        <w:t>(</w:t>
      </w:r>
      <w:r w:rsidRPr="00C94C33">
        <w:t>1.9%</w:t>
      </w:r>
      <w:r w:rsidR="00A0007E" w:rsidRPr="00C94C33">
        <w:t>)</w:t>
      </w:r>
      <w:r w:rsidR="00C11183">
        <w:t xml:space="preserve"> versus </w:t>
      </w:r>
      <w:r w:rsidRPr="00C94C33">
        <w:t xml:space="preserve">23.8% </w:t>
      </w:r>
      <w:r w:rsidR="00A0007E" w:rsidRPr="00C94C33">
        <w:t>(</w:t>
      </w:r>
      <w:r w:rsidRPr="00C94C33">
        <w:t>1.1%</w:t>
      </w:r>
      <w:r w:rsidR="00A0007E" w:rsidRPr="00C94C33">
        <w:t>)</w:t>
      </w:r>
      <w:r w:rsidRPr="00C94C33">
        <w:t xml:space="preserve">); diarrhoea (31.9% </w:t>
      </w:r>
      <w:r w:rsidR="00A0007E" w:rsidRPr="00C94C33">
        <w:t>(</w:t>
      </w:r>
      <w:r w:rsidRPr="00C94C33">
        <w:t>3.0%</w:t>
      </w:r>
      <w:r w:rsidR="00A0007E" w:rsidRPr="00C94C33">
        <w:t>)</w:t>
      </w:r>
      <w:r w:rsidR="00C11183">
        <w:t xml:space="preserve"> versus </w:t>
      </w:r>
      <w:r w:rsidRPr="00C94C33">
        <w:t xml:space="preserve">12.5% </w:t>
      </w:r>
      <w:r w:rsidR="00A0007E" w:rsidRPr="00C94C33">
        <w:t>(</w:t>
      </w:r>
      <w:r w:rsidRPr="00C94C33">
        <w:t>0.4%</w:t>
      </w:r>
      <w:r w:rsidR="00A0007E" w:rsidRPr="00C94C33">
        <w:t>)</w:t>
      </w:r>
      <w:r w:rsidRPr="00C94C33">
        <w:t xml:space="preserve">), and vomiting (27.8% </w:t>
      </w:r>
      <w:r w:rsidR="00A0007E" w:rsidRPr="00C94C33">
        <w:t>(</w:t>
      </w:r>
      <w:r w:rsidRPr="00C94C33">
        <w:t>2.1%</w:t>
      </w:r>
      <w:r w:rsidR="00A0007E" w:rsidRPr="00C94C33">
        <w:t>)</w:t>
      </w:r>
      <w:r w:rsidR="00C11183">
        <w:t xml:space="preserve"> versus </w:t>
      </w:r>
      <w:r w:rsidRPr="00C94C33">
        <w:t xml:space="preserve">14.3% </w:t>
      </w:r>
      <w:r w:rsidR="00A0007E" w:rsidRPr="00C94C33">
        <w:t>(</w:t>
      </w:r>
      <w:r w:rsidRPr="00C94C33">
        <w:t>0.4%</w:t>
      </w:r>
      <w:r w:rsidR="00A0007E" w:rsidRPr="00C94C33">
        <w:t>)</w:t>
      </w:r>
      <w:r w:rsidRPr="00C94C33">
        <w:t xml:space="preserve">). Discontinuations due to nausea, vomiting or diarrhoea each occurred in ≤ 2 (≤ 0.4%) patients in the TAS-102 group, and ≤ 1 (0.2%) patients in the placebo group. Interruption/delay or reduction of study medication also occurred relatively infrequently in patients in both the TAS-102 and placebo groups for each of the three commonly reported events: </w:t>
      </w:r>
      <w:r w:rsidR="00B2072D" w:rsidRPr="00C94C33">
        <w:t>that is,</w:t>
      </w:r>
      <w:r w:rsidRPr="00C94C33">
        <w:t xml:space="preserve"> nausea (1.9%</w:t>
      </w:r>
      <w:r w:rsidR="00C11183">
        <w:t xml:space="preserve"> versus </w:t>
      </w:r>
      <w:r w:rsidRPr="00C94C33">
        <w:t>0.4%, respectively), vomiting (1.9%</w:t>
      </w:r>
      <w:r w:rsidR="00C11183">
        <w:t xml:space="preserve"> versus </w:t>
      </w:r>
      <w:r w:rsidRPr="00C94C33">
        <w:t>0%, respectively), and diarrhoea (2.4%</w:t>
      </w:r>
      <w:r w:rsidR="00C11183">
        <w:t xml:space="preserve"> versus </w:t>
      </w:r>
      <w:r w:rsidRPr="00C94C33">
        <w:t xml:space="preserve">0%). Of note, stomatitis (any grade) was reported in 7.9% of patients in the TAS-102 group and 6.0% of patients in the placebo group, with stomatitis Grade ≥ 3 being reported in 0.4% and 0% of patients, respectively. There were no fatal </w:t>
      </w:r>
      <w:r w:rsidR="00842E8F" w:rsidRPr="00C94C33">
        <w:t>‘</w:t>
      </w:r>
      <w:r w:rsidRPr="00C94C33">
        <w:t>gastrointestinal disorders</w:t>
      </w:r>
      <w:r w:rsidR="00842E8F" w:rsidRPr="00C94C33">
        <w:t>’</w:t>
      </w:r>
      <w:r w:rsidRPr="00C94C33">
        <w:t xml:space="preserve"> in the TAS-102 group, while 5 deaths were reported to be due to </w:t>
      </w:r>
      <w:r w:rsidR="00842E8F" w:rsidRPr="00C94C33">
        <w:t>‘</w:t>
      </w:r>
      <w:r w:rsidRPr="00C94C33">
        <w:t>gastrointestinal disorders</w:t>
      </w:r>
      <w:r w:rsidR="00842E8F" w:rsidRPr="00C94C33">
        <w:t>’</w:t>
      </w:r>
      <w:r w:rsidRPr="00C94C33">
        <w:t xml:space="preserve"> in patients in the placebo group.</w:t>
      </w:r>
    </w:p>
    <w:p w14:paraId="6D6DE53F" w14:textId="77777777" w:rsidR="00AA7141" w:rsidRDefault="00DF61BC" w:rsidP="00955252">
      <w:pPr>
        <w:pStyle w:val="Heading4"/>
      </w:pPr>
      <w:r w:rsidRPr="00C94C33">
        <w:t>Infections and infestations</w:t>
      </w:r>
    </w:p>
    <w:p w14:paraId="7ADC95A5" w14:textId="280F48F0" w:rsidR="00DF61BC" w:rsidRPr="00C94C33" w:rsidRDefault="00DF61BC" w:rsidP="00DF61BC">
      <w:r w:rsidRPr="00C94C33">
        <w:t xml:space="preserve">The risk of experiencing </w:t>
      </w:r>
      <w:r w:rsidR="00842E8F" w:rsidRPr="00C94C33">
        <w:t>‘</w:t>
      </w:r>
      <w:r w:rsidRPr="00C94C33">
        <w:t>infections and infestations</w:t>
      </w:r>
      <w:r w:rsidR="00842E8F" w:rsidRPr="00C94C33">
        <w:t>’</w:t>
      </w:r>
      <w:r w:rsidRPr="00C94C33">
        <w:t xml:space="preserve"> (SOC) was greater in patients in the TAS-102 group compared to the placebo for any events (27.0%</w:t>
      </w:r>
      <w:r w:rsidR="00C11183">
        <w:t xml:space="preserve"> versus </w:t>
      </w:r>
      <w:r w:rsidRPr="00C94C33">
        <w:t>15.8%) and Grade ≥ 3 AEs (6.6%</w:t>
      </w:r>
      <w:r w:rsidR="00C11183">
        <w:t xml:space="preserve"> versus </w:t>
      </w:r>
      <w:r w:rsidRPr="00C94C33">
        <w:t>4.9%). The most commonly reported AEs (any) occurring in ≥ 1% of patients in the TAS-102 group (vs placebo) were nasopharyngitis (4.3%</w:t>
      </w:r>
      <w:r w:rsidR="00C11183">
        <w:t xml:space="preserve"> versus </w:t>
      </w:r>
      <w:r w:rsidRPr="00C94C33">
        <w:t>1.5%), urinary tract infection (3.4%</w:t>
      </w:r>
      <w:r w:rsidR="00C11183">
        <w:t xml:space="preserve"> versus </w:t>
      </w:r>
      <w:r w:rsidRPr="00C94C33">
        <w:t>1.9%), URTI (3.2%</w:t>
      </w:r>
      <w:r w:rsidR="00C11183">
        <w:t xml:space="preserve"> versus </w:t>
      </w:r>
      <w:r w:rsidRPr="00C94C33">
        <w:t>1.5%), herpes zoster (1.5%</w:t>
      </w:r>
      <w:r w:rsidR="00C11183">
        <w:t xml:space="preserve"> versus </w:t>
      </w:r>
      <w:r w:rsidRPr="00C94C33">
        <w:t>0%), bronchitis (1.5%</w:t>
      </w:r>
      <w:r w:rsidR="00C11183">
        <w:t xml:space="preserve"> versus </w:t>
      </w:r>
      <w:r w:rsidRPr="00C94C33">
        <w:t>0.8%), and biliary tract infection (1.3%</w:t>
      </w:r>
      <w:r w:rsidR="00C11183">
        <w:t xml:space="preserve"> versus </w:t>
      </w:r>
      <w:r w:rsidRPr="00C94C33">
        <w:t xml:space="preserve">0.4%). Discontinuations due to </w:t>
      </w:r>
      <w:r w:rsidR="00842E8F" w:rsidRPr="00C94C33">
        <w:t>‘</w:t>
      </w:r>
      <w:r w:rsidRPr="00C94C33">
        <w:t>infections and infestations</w:t>
      </w:r>
      <w:r w:rsidR="00842E8F" w:rsidRPr="00C94C33">
        <w:t>’</w:t>
      </w:r>
      <w:r w:rsidRPr="00C94C33">
        <w:t xml:space="preserve"> were reported infrequently in the TAS-102 group compared to the placebo group (0.6%</w:t>
      </w:r>
      <w:r w:rsidR="00C11183">
        <w:t xml:space="preserve"> versus </w:t>
      </w:r>
      <w:r w:rsidRPr="00C94C33">
        <w:t>0.8%), with discontinuations in the 3 patients in the TAS-102 group being due to bacterial peritonitis, staphylococcal pneumonia, and sepsis. Interruption/delay or reductions of study medication were reported in 4.7% of patients in the TAS-102 group compared to 2.3% of patients in the placebo group, with the only events reported in ≥ 2 patients in the TAS-102 group (vs placebo) being herpes zoster (4, 0.8%</w:t>
      </w:r>
      <w:r w:rsidR="00C11183">
        <w:t xml:space="preserve"> versus </w:t>
      </w:r>
      <w:r w:rsidRPr="00C94C33">
        <w:t>0, 0%), biliary tract infection (2, 0.4%</w:t>
      </w:r>
      <w:r w:rsidR="00C11183">
        <w:t xml:space="preserve"> versus </w:t>
      </w:r>
      <w:r w:rsidRPr="00C94C33">
        <w:t>0, 0%), nasopharyngitis (2, 0.4%</w:t>
      </w:r>
      <w:r w:rsidR="00C11183">
        <w:t xml:space="preserve"> versus </w:t>
      </w:r>
      <w:r w:rsidRPr="00C94C33">
        <w:t>0, 0%), URTI (2, 0.4%</w:t>
      </w:r>
      <w:r w:rsidR="00C11183">
        <w:t xml:space="preserve"> versus </w:t>
      </w:r>
      <w:r w:rsidRPr="00C94C33">
        <w:t>0, 0%), and urinary tract infection (2, 0.4%</w:t>
      </w:r>
      <w:r w:rsidR="00C11183">
        <w:t xml:space="preserve"> versus </w:t>
      </w:r>
      <w:r w:rsidR="00E95C0F">
        <w:t>1, 0.4%).</w:t>
      </w:r>
    </w:p>
    <w:p w14:paraId="7B65D166" w14:textId="3AFE12B8" w:rsidR="00DF61BC" w:rsidRPr="00C94C33" w:rsidRDefault="00DF61BC" w:rsidP="00DF61BC">
      <w:r w:rsidRPr="00C94C33">
        <w:t xml:space="preserve">Fatal AEs due to </w:t>
      </w:r>
      <w:r w:rsidR="00842E8F" w:rsidRPr="00C94C33">
        <w:t>‘</w:t>
      </w:r>
      <w:r w:rsidRPr="00C94C33">
        <w:t>infections and infestations</w:t>
      </w:r>
      <w:r w:rsidR="00842E8F" w:rsidRPr="00C94C33">
        <w:t>’</w:t>
      </w:r>
      <w:r w:rsidRPr="00C94C33">
        <w:t xml:space="preserve"> were reported in 3 (0.6%) patients in the TAS-102, and included 1 event each for liver abscess, staphylococcal pneumonia, sepsis and septic shock. There were no deaths due to </w:t>
      </w:r>
      <w:r w:rsidR="00842E8F" w:rsidRPr="00C94C33">
        <w:t>‘</w:t>
      </w:r>
      <w:r w:rsidRPr="00C94C33">
        <w:t>infections and infestations</w:t>
      </w:r>
      <w:r w:rsidR="00842E8F" w:rsidRPr="00C94C33">
        <w:t>’</w:t>
      </w:r>
      <w:r w:rsidRPr="00C94C33">
        <w:t xml:space="preserve"> reported in</w:t>
      </w:r>
      <w:r w:rsidR="00E95C0F">
        <w:t xml:space="preserve"> patients in the placebo group.</w:t>
      </w:r>
    </w:p>
    <w:p w14:paraId="0C1F3D01" w14:textId="47EA142F" w:rsidR="00DF61BC" w:rsidRPr="00C94C33" w:rsidRDefault="00DF61BC" w:rsidP="00955252">
      <w:pPr>
        <w:pStyle w:val="Heading4"/>
      </w:pPr>
      <w:r w:rsidRPr="00C94C33">
        <w:t>Thromboembo</w:t>
      </w:r>
      <w:r w:rsidR="00E95C0F">
        <w:t>lic events (arterial or venous)</w:t>
      </w:r>
    </w:p>
    <w:p w14:paraId="25740816" w14:textId="16CFC1B4" w:rsidR="00DF61BC" w:rsidRPr="00C94C33" w:rsidRDefault="00DF61BC" w:rsidP="00DF61BC">
      <w:pPr>
        <w:rPr>
          <w:rFonts w:asciiTheme="minorHAnsi" w:hAnsiTheme="minorHAnsi"/>
          <w:b/>
        </w:rPr>
      </w:pPr>
      <w:r w:rsidRPr="00C94C33">
        <w:rPr>
          <w:rFonts w:asciiTheme="minorHAnsi" w:hAnsiTheme="minorHAnsi"/>
        </w:rPr>
        <w:t>Arterial or venous thromboembolic events (all Grades) were reported more frequently in patients in the TAS-102 group than in the placebo group (3.9%</w:t>
      </w:r>
      <w:r w:rsidR="00C11183">
        <w:rPr>
          <w:rFonts w:asciiTheme="minorHAnsi" w:hAnsiTheme="minorHAnsi"/>
        </w:rPr>
        <w:t xml:space="preserve"> versus </w:t>
      </w:r>
      <w:r w:rsidRPr="00C94C33">
        <w:rPr>
          <w:rFonts w:asciiTheme="minorHAnsi" w:hAnsiTheme="minorHAnsi"/>
        </w:rPr>
        <w:t>2.3%, respectively), and the majority of events in both groups were ≥ Grade 3 in severity (2.1%</w:t>
      </w:r>
      <w:r w:rsidR="00C11183">
        <w:rPr>
          <w:rFonts w:asciiTheme="minorHAnsi" w:hAnsiTheme="minorHAnsi"/>
        </w:rPr>
        <w:t xml:space="preserve"> versus </w:t>
      </w:r>
      <w:r w:rsidRPr="00C94C33">
        <w:rPr>
          <w:rFonts w:asciiTheme="minorHAnsi" w:hAnsiTheme="minorHAnsi"/>
        </w:rPr>
        <w:t xml:space="preserve">1.5%, respectively). The major difference between the two treatment groups related to the higher incidence of pulmonary embolism (all Grades) in the TAS-102 group compared to the placebo group (1.7% </w:t>
      </w:r>
      <w:r w:rsidR="00A0007E" w:rsidRPr="00C94C33">
        <w:rPr>
          <w:rFonts w:asciiTheme="minorHAnsi" w:hAnsiTheme="minorHAnsi"/>
        </w:rPr>
        <w:t>(</w:t>
      </w:r>
      <w:r w:rsidR="009C0389" w:rsidRPr="00C94C33">
        <w:rPr>
          <w:rFonts w:asciiTheme="minorHAnsi" w:hAnsiTheme="minorHAnsi"/>
        </w:rPr>
        <w:t xml:space="preserve">n = </w:t>
      </w:r>
      <w:r w:rsidRPr="00C94C33">
        <w:rPr>
          <w:rFonts w:asciiTheme="minorHAnsi" w:hAnsiTheme="minorHAnsi"/>
        </w:rPr>
        <w:t>9</w:t>
      </w:r>
      <w:r w:rsidR="00A0007E" w:rsidRPr="00C94C33">
        <w:rPr>
          <w:rFonts w:asciiTheme="minorHAnsi" w:hAnsiTheme="minorHAnsi"/>
        </w:rPr>
        <w:t>)</w:t>
      </w:r>
      <w:r w:rsidR="00C11183">
        <w:rPr>
          <w:rFonts w:asciiTheme="minorHAnsi" w:hAnsiTheme="minorHAnsi"/>
        </w:rPr>
        <w:t xml:space="preserve"> versus </w:t>
      </w:r>
      <w:r w:rsidRPr="00C94C33">
        <w:rPr>
          <w:rFonts w:asciiTheme="minorHAnsi" w:hAnsiTheme="minorHAnsi"/>
        </w:rPr>
        <w:t xml:space="preserve">0% </w:t>
      </w:r>
      <w:r w:rsidR="00A0007E" w:rsidRPr="00C94C33">
        <w:rPr>
          <w:rFonts w:asciiTheme="minorHAnsi" w:hAnsiTheme="minorHAnsi"/>
        </w:rPr>
        <w:t>(</w:t>
      </w:r>
      <w:r w:rsidR="009C0389" w:rsidRPr="00C94C33">
        <w:rPr>
          <w:rFonts w:asciiTheme="minorHAnsi" w:hAnsiTheme="minorHAnsi"/>
        </w:rPr>
        <w:t xml:space="preserve">n = </w:t>
      </w:r>
      <w:r w:rsidRPr="00C94C33">
        <w:rPr>
          <w:rFonts w:asciiTheme="minorHAnsi" w:hAnsiTheme="minorHAnsi"/>
        </w:rPr>
        <w:t>0</w:t>
      </w:r>
      <w:r w:rsidR="00A0007E" w:rsidRPr="00C94C33">
        <w:rPr>
          <w:rFonts w:asciiTheme="minorHAnsi" w:hAnsiTheme="minorHAnsi"/>
        </w:rPr>
        <w:t>)</w:t>
      </w:r>
      <w:r w:rsidRPr="00C94C33">
        <w:rPr>
          <w:rFonts w:asciiTheme="minorHAnsi" w:hAnsiTheme="minorHAnsi"/>
        </w:rPr>
        <w:t xml:space="preserve">). </w:t>
      </w:r>
      <w:r w:rsidRPr="00C94C33">
        <w:rPr>
          <w:rFonts w:asciiTheme="minorHAnsi" w:hAnsiTheme="minorHAnsi"/>
          <w:color w:val="000000"/>
        </w:rPr>
        <w:t xml:space="preserve">All pulmonary embolisms in the TAS-102 group were </w:t>
      </w:r>
      <w:r w:rsidRPr="00C94C33">
        <w:rPr>
          <w:rFonts w:asciiTheme="minorHAnsi" w:hAnsiTheme="minorHAnsi" w:cs="TimesNewRomanPSMT"/>
          <w:color w:val="000000"/>
        </w:rPr>
        <w:t xml:space="preserve">≥ </w:t>
      </w:r>
      <w:r w:rsidRPr="00C94C33">
        <w:rPr>
          <w:rFonts w:asciiTheme="minorHAnsi" w:hAnsiTheme="minorHAnsi"/>
          <w:color w:val="000000"/>
        </w:rPr>
        <w:t>Grade 3 in severity, and included one fatal case. Despite the higher patient incidence of pulmonary embolism in the TAS-102 group compared to the placebo group, deep venous thrombosis was reported in a similar proportion of patients in both treatment groups (0.6%</w:t>
      </w:r>
      <w:r w:rsidR="00C11183">
        <w:rPr>
          <w:rFonts w:asciiTheme="minorHAnsi" w:hAnsiTheme="minorHAnsi"/>
          <w:color w:val="000000"/>
        </w:rPr>
        <w:t xml:space="preserve"> versus </w:t>
      </w:r>
      <w:r w:rsidR="00E95C0F">
        <w:rPr>
          <w:rFonts w:asciiTheme="minorHAnsi" w:hAnsiTheme="minorHAnsi"/>
          <w:color w:val="000000"/>
        </w:rPr>
        <w:t>0.8%, respectively).</w:t>
      </w:r>
    </w:p>
    <w:p w14:paraId="6F66FAB9" w14:textId="265C1414" w:rsidR="00DF61BC" w:rsidRPr="00C94C33" w:rsidRDefault="00DF61BC" w:rsidP="00955252">
      <w:pPr>
        <w:pStyle w:val="Heading4"/>
      </w:pPr>
      <w:r w:rsidRPr="00C94C33">
        <w:t>Other risks of special c</w:t>
      </w:r>
      <w:r w:rsidR="00E95C0F">
        <w:t>linical interest</w:t>
      </w:r>
    </w:p>
    <w:p w14:paraId="5CAD7707" w14:textId="4EF0284A" w:rsidR="00DF61BC" w:rsidRPr="00C94C33" w:rsidRDefault="00DF61BC" w:rsidP="00DF61BC">
      <w:r w:rsidRPr="00C94C33">
        <w:t xml:space="preserve">Other risks (any AEs </w:t>
      </w:r>
      <w:r w:rsidR="00A0007E" w:rsidRPr="00C94C33">
        <w:t>(</w:t>
      </w:r>
      <w:r w:rsidRPr="00C94C33">
        <w:t>Grade ≥ 3 AEs</w:t>
      </w:r>
      <w:r w:rsidR="00A0007E" w:rsidRPr="00C94C33">
        <w:t>)</w:t>
      </w:r>
      <w:r w:rsidRPr="00C94C33">
        <w:t xml:space="preserve">) of special clinical interest reported a similar percentage of patients in the TAS-102 and placebo groups, respectively, were: bleeding (8.1% </w:t>
      </w:r>
      <w:r w:rsidR="00A0007E" w:rsidRPr="00C94C33">
        <w:t>(</w:t>
      </w:r>
      <w:r w:rsidRPr="00C94C33">
        <w:t>0.6%</w:t>
      </w:r>
      <w:r w:rsidR="00A0007E" w:rsidRPr="00C94C33">
        <w:t>)</w:t>
      </w:r>
      <w:r w:rsidR="00C11183">
        <w:t xml:space="preserve"> versus </w:t>
      </w:r>
      <w:r w:rsidRPr="00C94C33">
        <w:t xml:space="preserve">8.7% </w:t>
      </w:r>
      <w:r w:rsidR="00A0007E" w:rsidRPr="00C94C33">
        <w:t>(</w:t>
      </w:r>
      <w:r w:rsidRPr="00C94C33">
        <w:t>3.0%</w:t>
      </w:r>
      <w:r w:rsidR="00A0007E" w:rsidRPr="00C94C33">
        <w:t>)</w:t>
      </w:r>
      <w:r w:rsidRPr="00C94C33">
        <w:t xml:space="preserve">); </w:t>
      </w:r>
      <w:r w:rsidR="00842E8F" w:rsidRPr="00C94C33">
        <w:t>‘</w:t>
      </w:r>
      <w:r w:rsidRPr="00C94C33">
        <w:t>cardiac disorders</w:t>
      </w:r>
      <w:r w:rsidR="00842E8F" w:rsidRPr="00C94C33">
        <w:t>’</w:t>
      </w:r>
      <w:r w:rsidRPr="00C94C33">
        <w:t xml:space="preserve">, SOC (3.9% </w:t>
      </w:r>
      <w:r w:rsidR="00A0007E" w:rsidRPr="00C94C33">
        <w:t>(</w:t>
      </w:r>
      <w:r w:rsidRPr="00C94C33">
        <w:t>0.8%</w:t>
      </w:r>
      <w:r w:rsidR="00A0007E" w:rsidRPr="00C94C33">
        <w:t>)</w:t>
      </w:r>
      <w:r w:rsidR="00C11183">
        <w:t xml:space="preserve"> versus </w:t>
      </w:r>
      <w:r w:rsidRPr="00C94C33">
        <w:t xml:space="preserve">4.5% </w:t>
      </w:r>
      <w:r w:rsidR="00A0007E" w:rsidRPr="00C94C33">
        <w:t>(</w:t>
      </w:r>
      <w:r w:rsidRPr="00C94C33">
        <w:t>1.1%</w:t>
      </w:r>
      <w:r w:rsidR="00A0007E" w:rsidRPr="00C94C33">
        <w:t>)</w:t>
      </w:r>
      <w:r w:rsidRPr="00C94C33">
        <w:t xml:space="preserve">); </w:t>
      </w:r>
      <w:r w:rsidR="00842E8F" w:rsidRPr="00C94C33">
        <w:t>‘</w:t>
      </w:r>
      <w:r w:rsidRPr="00C94C33">
        <w:t>hepatobiliary disorders</w:t>
      </w:r>
      <w:r w:rsidR="00842E8F" w:rsidRPr="00C94C33">
        <w:t>’</w:t>
      </w:r>
      <w:r w:rsidRPr="00C94C33">
        <w:t xml:space="preserve">, SOC (10.3% </w:t>
      </w:r>
      <w:r w:rsidR="00A0007E" w:rsidRPr="00C94C33">
        <w:t>(</w:t>
      </w:r>
      <w:r w:rsidRPr="00C94C33">
        <w:t>6.2%</w:t>
      </w:r>
      <w:r w:rsidR="00A0007E" w:rsidRPr="00C94C33">
        <w:t>)</w:t>
      </w:r>
      <w:r w:rsidR="00C11183">
        <w:t xml:space="preserve"> versus </w:t>
      </w:r>
      <w:r w:rsidRPr="00C94C33">
        <w:t xml:space="preserve">10.6% </w:t>
      </w:r>
      <w:r w:rsidR="00A0007E" w:rsidRPr="00C94C33">
        <w:t>(</w:t>
      </w:r>
      <w:r w:rsidRPr="00C94C33">
        <w:t>6.8%</w:t>
      </w:r>
      <w:r w:rsidR="00A0007E" w:rsidRPr="00C94C33">
        <w:t>)</w:t>
      </w:r>
      <w:r w:rsidRPr="00C94C33">
        <w:t xml:space="preserve">); </w:t>
      </w:r>
      <w:r w:rsidR="00842E8F" w:rsidRPr="00C94C33">
        <w:t>‘</w:t>
      </w:r>
      <w:r w:rsidRPr="00C94C33">
        <w:t>neoplasms benign, malignant and unspecified (incl cysts and polyps</w:t>
      </w:r>
      <w:r w:rsidR="00842E8F" w:rsidRPr="00C94C33">
        <w:t>’</w:t>
      </w:r>
      <w:r w:rsidRPr="00C94C33">
        <w:t xml:space="preserve">, SOC (8.6% </w:t>
      </w:r>
      <w:r w:rsidR="00A0007E" w:rsidRPr="00C94C33">
        <w:t>(</w:t>
      </w:r>
      <w:r w:rsidRPr="00C94C33">
        <w:t>0.8%</w:t>
      </w:r>
      <w:r w:rsidR="00A0007E" w:rsidRPr="00C94C33">
        <w:t>)</w:t>
      </w:r>
      <w:r w:rsidR="00C11183">
        <w:t xml:space="preserve"> versus </w:t>
      </w:r>
      <w:r w:rsidRPr="00C94C33">
        <w:t xml:space="preserve">13.2% </w:t>
      </w:r>
      <w:r w:rsidR="00A0007E" w:rsidRPr="00C94C33">
        <w:t>(</w:t>
      </w:r>
      <w:r w:rsidRPr="00C94C33">
        <w:t>3.4%</w:t>
      </w:r>
      <w:r w:rsidR="00A0007E" w:rsidRPr="00C94C33">
        <w:t>)</w:t>
      </w:r>
      <w:r w:rsidRPr="00C94C33">
        <w:t xml:space="preserve">); </w:t>
      </w:r>
      <w:r w:rsidR="00842E8F" w:rsidRPr="00C94C33">
        <w:t>‘</w:t>
      </w:r>
      <w:r w:rsidRPr="00C94C33">
        <w:t>nervous system disorders</w:t>
      </w:r>
      <w:r w:rsidR="00842E8F" w:rsidRPr="00C94C33">
        <w:t>’</w:t>
      </w:r>
      <w:r w:rsidRPr="00C94C33">
        <w:t xml:space="preserve"> (21.2% </w:t>
      </w:r>
      <w:r w:rsidR="00A0007E" w:rsidRPr="00C94C33">
        <w:t>(</w:t>
      </w:r>
      <w:r w:rsidRPr="00C94C33">
        <w:t>2.1%</w:t>
      </w:r>
      <w:r w:rsidR="00A0007E" w:rsidRPr="00C94C33">
        <w:t>)</w:t>
      </w:r>
      <w:r w:rsidR="00C11183">
        <w:t xml:space="preserve"> versus </w:t>
      </w:r>
      <w:r w:rsidRPr="00C94C33">
        <w:t xml:space="preserve">19.6% </w:t>
      </w:r>
      <w:r w:rsidR="00A0007E" w:rsidRPr="00C94C33">
        <w:t>(</w:t>
      </w:r>
      <w:r w:rsidRPr="00C94C33">
        <w:t>4.2%</w:t>
      </w:r>
      <w:r w:rsidR="00A0007E" w:rsidRPr="00C94C33">
        <w:t>)</w:t>
      </w:r>
      <w:r w:rsidRPr="00C94C33">
        <w:t xml:space="preserve">); </w:t>
      </w:r>
      <w:r w:rsidR="00842E8F" w:rsidRPr="00C94C33">
        <w:t>‘</w:t>
      </w:r>
      <w:r w:rsidRPr="00C94C33">
        <w:t>renal and urinary disorders</w:t>
      </w:r>
      <w:r w:rsidR="00842E8F" w:rsidRPr="00C94C33">
        <w:t>’</w:t>
      </w:r>
      <w:r w:rsidRPr="00C94C33">
        <w:t xml:space="preserve">, SOC (13.1% </w:t>
      </w:r>
      <w:r w:rsidR="00A0007E" w:rsidRPr="00C94C33">
        <w:t>(</w:t>
      </w:r>
      <w:r w:rsidRPr="00C94C33">
        <w:t>2.3%</w:t>
      </w:r>
      <w:r w:rsidR="00A0007E" w:rsidRPr="00C94C33">
        <w:t>)</w:t>
      </w:r>
      <w:r w:rsidR="00C11183">
        <w:t xml:space="preserve"> </w:t>
      </w:r>
      <w:r w:rsidR="00C11183">
        <w:lastRenderedPageBreak/>
        <w:t xml:space="preserve">versus </w:t>
      </w:r>
      <w:r w:rsidRPr="00C94C33">
        <w:t xml:space="preserve">11.3% </w:t>
      </w:r>
      <w:r w:rsidR="00A0007E" w:rsidRPr="00C94C33">
        <w:t>(</w:t>
      </w:r>
      <w:r w:rsidRPr="00C94C33">
        <w:t>3.0%</w:t>
      </w:r>
      <w:r w:rsidR="00A0007E" w:rsidRPr="00C94C33">
        <w:t>)</w:t>
      </w:r>
      <w:r w:rsidRPr="00C94C33">
        <w:t xml:space="preserve">); </w:t>
      </w:r>
      <w:r w:rsidR="00842E8F" w:rsidRPr="00C94C33">
        <w:t>‘</w:t>
      </w:r>
      <w:r w:rsidRPr="00C94C33">
        <w:t>immune system disorders</w:t>
      </w:r>
      <w:r w:rsidR="00842E8F" w:rsidRPr="00C94C33">
        <w:t>’</w:t>
      </w:r>
      <w:r w:rsidRPr="00C94C33">
        <w:t xml:space="preserve">, SOC (0.4% </w:t>
      </w:r>
      <w:r w:rsidR="00A0007E" w:rsidRPr="00C94C33">
        <w:t>(</w:t>
      </w:r>
      <w:r w:rsidRPr="00C94C33">
        <w:t>0%</w:t>
      </w:r>
      <w:r w:rsidR="00A0007E" w:rsidRPr="00C94C33">
        <w:t>)</w:t>
      </w:r>
      <w:r w:rsidR="00C11183">
        <w:t xml:space="preserve"> versus </w:t>
      </w:r>
      <w:r w:rsidRPr="00C94C33">
        <w:t xml:space="preserve">0.4% </w:t>
      </w:r>
      <w:r w:rsidR="00A0007E" w:rsidRPr="00C94C33">
        <w:t>(</w:t>
      </w:r>
      <w:r w:rsidRPr="00C94C33">
        <w:t>0.4%</w:t>
      </w:r>
      <w:r w:rsidR="00A0007E" w:rsidRPr="00C94C33">
        <w:t>)</w:t>
      </w:r>
      <w:r w:rsidRPr="00C94C33">
        <w:t>), with 1 anaphylactic reaction being reported in the placebo group (none in the TAS-102 group) and 1 hypersensitivity reaction being reported in the TAS-102 gro</w:t>
      </w:r>
      <w:r w:rsidR="00E95C0F">
        <w:t>up (none in the placebo group).</w:t>
      </w:r>
    </w:p>
    <w:p w14:paraId="05BC3012" w14:textId="2366824A" w:rsidR="00DF61BC" w:rsidRPr="00C94C33" w:rsidRDefault="00842E8F" w:rsidP="00DF61BC">
      <w:r w:rsidRPr="00C94C33">
        <w:t>‘</w:t>
      </w:r>
      <w:r w:rsidR="00DF61BC" w:rsidRPr="00C94C33">
        <w:t>Skin and subcutaneous tissue disorders</w:t>
      </w:r>
      <w:r w:rsidRPr="00C94C33">
        <w:t>’</w:t>
      </w:r>
      <w:r w:rsidR="00DF61BC" w:rsidRPr="00C94C33">
        <w:t>, SOC were reported more frequently in patients in the TAS-102 group compared to the placebo group (23.8%</w:t>
      </w:r>
      <w:r w:rsidR="00C11183">
        <w:t xml:space="preserve"> versus </w:t>
      </w:r>
      <w:r w:rsidR="00DF61BC" w:rsidRPr="00C94C33">
        <w:t>18.1%), with the greatest difference between the two groups being due to increased alopecia in the TAS-102 group compared to the placebo group (6.8%</w:t>
      </w:r>
      <w:r w:rsidR="00C11183">
        <w:t xml:space="preserve"> versus </w:t>
      </w:r>
      <w:r w:rsidR="00DF61BC" w:rsidRPr="00C94C33">
        <w:t xml:space="preserve">1.1%). Grade ≥ 3 AEs in this SOC were reported infrequently in both treatment groups (0.4%, TAS-102 </w:t>
      </w:r>
      <w:r w:rsidR="00A0007E" w:rsidRPr="00C94C33">
        <w:t>(</w:t>
      </w:r>
      <w:r w:rsidR="00DF61BC" w:rsidRPr="00C94C33">
        <w:t>1x decubitus ulcer, 1 x urticaria</w:t>
      </w:r>
      <w:r w:rsidR="00A0007E" w:rsidRPr="00C94C33">
        <w:t>)</w:t>
      </w:r>
      <w:r w:rsidR="00DF61BC" w:rsidRPr="00C94C33">
        <w:t xml:space="preserve">; 0.8%, placebo </w:t>
      </w:r>
      <w:r w:rsidR="00A0007E" w:rsidRPr="00C94C33">
        <w:t>(</w:t>
      </w:r>
      <w:r w:rsidR="00DF61BC" w:rsidRPr="00C94C33">
        <w:t>1 x pruritus, 1 x rash). There were no reported cases of Stevens-Johnson syndrome or toxic epidermal necroly</w:t>
      </w:r>
      <w:r w:rsidR="00E95C0F">
        <w:t>sis in either treatment group.</w:t>
      </w:r>
    </w:p>
    <w:p w14:paraId="2CD527EB" w14:textId="77777777" w:rsidR="00AA7141" w:rsidRDefault="00DF61BC" w:rsidP="00955252">
      <w:pPr>
        <w:pStyle w:val="Heading4"/>
      </w:pPr>
      <w:r w:rsidRPr="00C94C33">
        <w:t>Commonly occurring AEs (PT)</w:t>
      </w:r>
    </w:p>
    <w:p w14:paraId="7B372F63" w14:textId="77E1CF28" w:rsidR="00DF61BC" w:rsidRPr="00C94C33" w:rsidRDefault="00DF61BC" w:rsidP="00DF61BC">
      <w:pPr>
        <w:rPr>
          <w:rFonts w:asciiTheme="minorHAnsi" w:hAnsiTheme="minorHAnsi" w:cstheme="minorHAnsi"/>
          <w:color w:val="000000"/>
        </w:rPr>
      </w:pPr>
      <w:r w:rsidRPr="00C94C33">
        <w:rPr>
          <w:rFonts w:asciiTheme="minorHAnsi" w:hAnsiTheme="minorHAnsi"/>
        </w:rPr>
        <w:t xml:space="preserve">At least 1 AE was reported in 98.3% of patients in the TAS-102 group and 93.2% of patients in the placebo group. </w:t>
      </w:r>
      <w:r w:rsidRPr="00C94C33">
        <w:rPr>
          <w:rFonts w:asciiTheme="minorHAnsi" w:hAnsiTheme="minorHAnsi" w:cstheme="minorHAnsi"/>
          <w:color w:val="000000"/>
        </w:rPr>
        <w:t>AEs in the TAS-102 group occurring with a frequency of ≥ 20% (vs placebo) were nausea (48.4%</w:t>
      </w:r>
      <w:r w:rsidR="00C11183">
        <w:rPr>
          <w:rFonts w:asciiTheme="minorHAnsi" w:hAnsiTheme="minorHAnsi" w:cstheme="minorHAnsi"/>
          <w:color w:val="000000"/>
        </w:rPr>
        <w:t xml:space="preserve"> versus </w:t>
      </w:r>
      <w:r w:rsidRPr="00C94C33">
        <w:rPr>
          <w:rFonts w:asciiTheme="minorHAnsi" w:hAnsiTheme="minorHAnsi" w:cstheme="minorHAnsi"/>
          <w:color w:val="000000"/>
        </w:rPr>
        <w:t>23.8%), anaemia (40.2%</w:t>
      </w:r>
      <w:r w:rsidR="00C11183">
        <w:rPr>
          <w:rFonts w:asciiTheme="minorHAnsi" w:hAnsiTheme="minorHAnsi" w:cstheme="minorHAnsi"/>
          <w:color w:val="000000"/>
        </w:rPr>
        <w:t xml:space="preserve"> versus </w:t>
      </w:r>
      <w:r w:rsidRPr="00C94C33">
        <w:rPr>
          <w:rFonts w:asciiTheme="minorHAnsi" w:hAnsiTheme="minorHAnsi" w:cstheme="minorHAnsi"/>
          <w:color w:val="000000"/>
        </w:rPr>
        <w:t>8.3%), decreased appetite (39.0%</w:t>
      </w:r>
      <w:r w:rsidR="00C11183">
        <w:rPr>
          <w:rFonts w:asciiTheme="minorHAnsi" w:hAnsiTheme="minorHAnsi" w:cstheme="minorHAnsi"/>
          <w:color w:val="000000"/>
        </w:rPr>
        <w:t xml:space="preserve"> versus </w:t>
      </w:r>
      <w:r w:rsidRPr="00C94C33">
        <w:rPr>
          <w:rFonts w:asciiTheme="minorHAnsi" w:hAnsiTheme="minorHAnsi" w:cstheme="minorHAnsi"/>
          <w:color w:val="000000"/>
        </w:rPr>
        <w:t>29.4%), fatigue (35.3%</w:t>
      </w:r>
      <w:r w:rsidR="00C11183">
        <w:rPr>
          <w:rFonts w:asciiTheme="minorHAnsi" w:hAnsiTheme="minorHAnsi" w:cstheme="minorHAnsi"/>
          <w:color w:val="000000"/>
        </w:rPr>
        <w:t xml:space="preserve"> versus </w:t>
      </w:r>
      <w:r w:rsidRPr="00C94C33">
        <w:rPr>
          <w:rFonts w:asciiTheme="minorHAnsi" w:hAnsiTheme="minorHAnsi" w:cstheme="minorHAnsi"/>
          <w:color w:val="000000"/>
        </w:rPr>
        <w:t>23.4%), diarrhoea (31.9%</w:t>
      </w:r>
      <w:r w:rsidR="00C11183">
        <w:rPr>
          <w:rFonts w:asciiTheme="minorHAnsi" w:hAnsiTheme="minorHAnsi" w:cstheme="minorHAnsi"/>
          <w:color w:val="000000"/>
        </w:rPr>
        <w:t xml:space="preserve"> versus </w:t>
      </w:r>
      <w:r w:rsidRPr="00C94C33">
        <w:rPr>
          <w:rFonts w:asciiTheme="minorHAnsi" w:hAnsiTheme="minorHAnsi" w:cstheme="minorHAnsi"/>
          <w:color w:val="000000"/>
        </w:rPr>
        <w:t>12.5%), neutro</w:t>
      </w:r>
      <w:r w:rsidR="00B50F67">
        <w:rPr>
          <w:rFonts w:asciiTheme="minorHAnsi" w:hAnsiTheme="minorHAnsi" w:cstheme="minorHAnsi"/>
          <w:color w:val="000000"/>
        </w:rPr>
        <w:t>paenia</w:t>
      </w:r>
      <w:r w:rsidRPr="00C94C33">
        <w:rPr>
          <w:rFonts w:asciiTheme="minorHAnsi" w:hAnsiTheme="minorHAnsi" w:cstheme="minorHAnsi"/>
          <w:color w:val="000000"/>
        </w:rPr>
        <w:t xml:space="preserve"> (29.3%</w:t>
      </w:r>
      <w:r w:rsidR="00C11183">
        <w:rPr>
          <w:rFonts w:asciiTheme="minorHAnsi" w:hAnsiTheme="minorHAnsi" w:cstheme="minorHAnsi"/>
          <w:color w:val="000000"/>
        </w:rPr>
        <w:t xml:space="preserve"> versus </w:t>
      </w:r>
      <w:r w:rsidRPr="00C94C33">
        <w:rPr>
          <w:rFonts w:asciiTheme="minorHAnsi" w:hAnsiTheme="minorHAnsi" w:cstheme="minorHAnsi"/>
          <w:color w:val="000000"/>
        </w:rPr>
        <w:t>0%), neutrophil</w:t>
      </w:r>
      <w:r w:rsidRPr="00C94C33">
        <w:rPr>
          <w:rFonts w:asciiTheme="minorHAnsi" w:hAnsiTheme="minorHAnsi"/>
        </w:rPr>
        <w:t xml:space="preserve"> </w:t>
      </w:r>
      <w:r w:rsidRPr="00C94C33">
        <w:rPr>
          <w:rFonts w:asciiTheme="minorHAnsi" w:hAnsiTheme="minorHAnsi" w:cstheme="minorHAnsi"/>
          <w:color w:val="000000"/>
        </w:rPr>
        <w:t>count decreased (27.8%</w:t>
      </w:r>
      <w:r w:rsidR="00C11183">
        <w:rPr>
          <w:rFonts w:asciiTheme="minorHAnsi" w:hAnsiTheme="minorHAnsi" w:cstheme="minorHAnsi"/>
          <w:color w:val="000000"/>
        </w:rPr>
        <w:t xml:space="preserve"> versus </w:t>
      </w:r>
      <w:r w:rsidRPr="00C94C33">
        <w:rPr>
          <w:rFonts w:asciiTheme="minorHAnsi" w:hAnsiTheme="minorHAnsi" w:cstheme="minorHAnsi"/>
          <w:color w:val="000000"/>
        </w:rPr>
        <w:t>0.4%), vomiting (27.8%</w:t>
      </w:r>
      <w:r w:rsidR="00C11183">
        <w:rPr>
          <w:rFonts w:asciiTheme="minorHAnsi" w:hAnsiTheme="minorHAnsi" w:cstheme="minorHAnsi"/>
          <w:color w:val="000000"/>
        </w:rPr>
        <w:t xml:space="preserve"> versus </w:t>
      </w:r>
      <w:r w:rsidRPr="00C94C33">
        <w:rPr>
          <w:rFonts w:asciiTheme="minorHAnsi" w:hAnsiTheme="minorHAnsi" w:cstheme="minorHAnsi"/>
          <w:color w:val="000000"/>
        </w:rPr>
        <w:t>14.3%), and WBC decreased (27.4%</w:t>
      </w:r>
      <w:r w:rsidR="00C11183">
        <w:rPr>
          <w:rFonts w:asciiTheme="minorHAnsi" w:hAnsiTheme="minorHAnsi" w:cstheme="minorHAnsi"/>
          <w:color w:val="000000"/>
        </w:rPr>
        <w:t xml:space="preserve"> versus </w:t>
      </w:r>
      <w:r w:rsidR="00E95C0F">
        <w:rPr>
          <w:rFonts w:asciiTheme="minorHAnsi" w:hAnsiTheme="minorHAnsi" w:cstheme="minorHAnsi"/>
          <w:color w:val="000000"/>
        </w:rPr>
        <w:t>0.4%).</w:t>
      </w:r>
    </w:p>
    <w:p w14:paraId="0F21DA42" w14:textId="5E5C43F2" w:rsidR="00DF61BC" w:rsidRPr="00C94C33" w:rsidRDefault="00DF61BC" w:rsidP="00DF61BC">
      <w:pPr>
        <w:rPr>
          <w:rFonts w:asciiTheme="minorHAnsi" w:hAnsiTheme="minorHAnsi" w:cstheme="minorHAnsi"/>
          <w:color w:val="000000"/>
        </w:rPr>
      </w:pPr>
      <w:r w:rsidRPr="00C94C33">
        <w:rPr>
          <w:rFonts w:asciiTheme="minorHAnsi" w:hAnsiTheme="minorHAnsi" w:cstheme="minorHAnsi"/>
          <w:color w:val="000000"/>
        </w:rPr>
        <w:t>AEs reported in ≥ 5% of patients in the TAS-102 group, and in ≥ 5% more patients than in the placebo group were nausea (48.4%</w:t>
      </w:r>
      <w:r w:rsidR="00C11183">
        <w:rPr>
          <w:rFonts w:asciiTheme="minorHAnsi" w:hAnsiTheme="minorHAnsi" w:cstheme="minorHAnsi"/>
          <w:color w:val="000000"/>
        </w:rPr>
        <w:t xml:space="preserve"> versus </w:t>
      </w:r>
      <w:r w:rsidRPr="00C94C33">
        <w:rPr>
          <w:rFonts w:asciiTheme="minorHAnsi" w:hAnsiTheme="minorHAnsi" w:cstheme="minorHAnsi"/>
          <w:color w:val="000000"/>
        </w:rPr>
        <w:t>23.8%), anaemia (40.2%</w:t>
      </w:r>
      <w:r w:rsidR="00C11183">
        <w:rPr>
          <w:rFonts w:asciiTheme="minorHAnsi" w:hAnsiTheme="minorHAnsi" w:cstheme="minorHAnsi"/>
          <w:color w:val="000000"/>
        </w:rPr>
        <w:t xml:space="preserve"> versus </w:t>
      </w:r>
      <w:r w:rsidRPr="00C94C33">
        <w:rPr>
          <w:rFonts w:asciiTheme="minorHAnsi" w:hAnsiTheme="minorHAnsi" w:cstheme="minorHAnsi"/>
          <w:color w:val="000000"/>
        </w:rPr>
        <w:t>8.3%), decreased appetite (39.0%</w:t>
      </w:r>
      <w:r w:rsidR="00C11183">
        <w:rPr>
          <w:rFonts w:asciiTheme="minorHAnsi" w:hAnsiTheme="minorHAnsi" w:cstheme="minorHAnsi"/>
          <w:color w:val="000000"/>
        </w:rPr>
        <w:t xml:space="preserve"> versus </w:t>
      </w:r>
      <w:r w:rsidRPr="00C94C33">
        <w:rPr>
          <w:rFonts w:asciiTheme="minorHAnsi" w:hAnsiTheme="minorHAnsi" w:cstheme="minorHAnsi"/>
          <w:color w:val="000000"/>
        </w:rPr>
        <w:t>29.4%), fatigue (35.3%</w:t>
      </w:r>
      <w:r w:rsidR="00C11183">
        <w:rPr>
          <w:rFonts w:asciiTheme="minorHAnsi" w:hAnsiTheme="minorHAnsi" w:cstheme="minorHAnsi"/>
          <w:color w:val="000000"/>
        </w:rPr>
        <w:t xml:space="preserve"> versus </w:t>
      </w:r>
      <w:r w:rsidRPr="00C94C33">
        <w:rPr>
          <w:rFonts w:asciiTheme="minorHAnsi" w:hAnsiTheme="minorHAnsi" w:cstheme="minorHAnsi"/>
          <w:color w:val="000000"/>
        </w:rPr>
        <w:t>23.4%), diarrhoea (31.9%</w:t>
      </w:r>
      <w:r w:rsidR="00C11183">
        <w:rPr>
          <w:rFonts w:asciiTheme="minorHAnsi" w:hAnsiTheme="minorHAnsi" w:cstheme="minorHAnsi"/>
          <w:color w:val="000000"/>
        </w:rPr>
        <w:t xml:space="preserve"> versus </w:t>
      </w:r>
      <w:r w:rsidRPr="00C94C33">
        <w:rPr>
          <w:rFonts w:asciiTheme="minorHAnsi" w:hAnsiTheme="minorHAnsi" w:cstheme="minorHAnsi"/>
          <w:color w:val="000000"/>
        </w:rPr>
        <w:t>12.5%), neutro</w:t>
      </w:r>
      <w:r w:rsidR="00B50F67">
        <w:rPr>
          <w:rFonts w:asciiTheme="minorHAnsi" w:hAnsiTheme="minorHAnsi" w:cstheme="minorHAnsi"/>
          <w:color w:val="000000"/>
        </w:rPr>
        <w:t>paenia</w:t>
      </w:r>
      <w:r w:rsidRPr="00C94C33">
        <w:rPr>
          <w:rFonts w:asciiTheme="minorHAnsi" w:hAnsiTheme="minorHAnsi" w:cstheme="minorHAnsi"/>
          <w:color w:val="000000"/>
        </w:rPr>
        <w:t xml:space="preserve"> (29.3%</w:t>
      </w:r>
      <w:r w:rsidR="00C11183">
        <w:rPr>
          <w:rFonts w:asciiTheme="minorHAnsi" w:hAnsiTheme="minorHAnsi" w:cstheme="minorHAnsi"/>
          <w:color w:val="000000"/>
        </w:rPr>
        <w:t xml:space="preserve"> versus </w:t>
      </w:r>
      <w:r w:rsidRPr="00C94C33">
        <w:rPr>
          <w:rFonts w:asciiTheme="minorHAnsi" w:hAnsiTheme="minorHAnsi" w:cstheme="minorHAnsi"/>
          <w:color w:val="000000"/>
        </w:rPr>
        <w:t>0%), neutrophil count decreased (27.8%</w:t>
      </w:r>
      <w:r w:rsidR="00C11183">
        <w:rPr>
          <w:rFonts w:asciiTheme="minorHAnsi" w:hAnsiTheme="minorHAnsi" w:cstheme="minorHAnsi"/>
          <w:color w:val="000000"/>
        </w:rPr>
        <w:t xml:space="preserve"> versus </w:t>
      </w:r>
      <w:r w:rsidRPr="00C94C33">
        <w:rPr>
          <w:rFonts w:asciiTheme="minorHAnsi" w:hAnsiTheme="minorHAnsi" w:cstheme="minorHAnsi"/>
          <w:color w:val="000000"/>
        </w:rPr>
        <w:t>0.4%), vomiting (27.8%</w:t>
      </w:r>
      <w:r w:rsidR="00C11183">
        <w:rPr>
          <w:rFonts w:asciiTheme="minorHAnsi" w:hAnsiTheme="minorHAnsi" w:cstheme="minorHAnsi"/>
          <w:color w:val="000000"/>
        </w:rPr>
        <w:t xml:space="preserve"> versus </w:t>
      </w:r>
      <w:r w:rsidRPr="00C94C33">
        <w:rPr>
          <w:rFonts w:asciiTheme="minorHAnsi" w:hAnsiTheme="minorHAnsi" w:cstheme="minorHAnsi"/>
          <w:color w:val="000000"/>
        </w:rPr>
        <w:t>14.3%), WBC decreased (27.4%</w:t>
      </w:r>
      <w:r w:rsidR="00C11183">
        <w:rPr>
          <w:rFonts w:asciiTheme="minorHAnsi" w:hAnsiTheme="minorHAnsi" w:cstheme="minorHAnsi"/>
          <w:color w:val="000000"/>
        </w:rPr>
        <w:t xml:space="preserve"> versus </w:t>
      </w:r>
      <w:r w:rsidRPr="00C94C33">
        <w:rPr>
          <w:rFonts w:asciiTheme="minorHAnsi" w:hAnsiTheme="minorHAnsi" w:cstheme="minorHAnsi"/>
          <w:color w:val="000000"/>
        </w:rPr>
        <w:t>0.4%), asthenia (18.2%</w:t>
      </w:r>
      <w:r w:rsidR="00C11183">
        <w:rPr>
          <w:rFonts w:asciiTheme="minorHAnsi" w:hAnsiTheme="minorHAnsi" w:cstheme="minorHAnsi"/>
          <w:color w:val="000000"/>
        </w:rPr>
        <w:t xml:space="preserve"> versus </w:t>
      </w:r>
      <w:r w:rsidRPr="00C94C33">
        <w:rPr>
          <w:rFonts w:asciiTheme="minorHAnsi" w:hAnsiTheme="minorHAnsi" w:cstheme="minorHAnsi"/>
          <w:color w:val="000000"/>
        </w:rPr>
        <w:t>11.3%), platelet cell count decreased (15.2%</w:t>
      </w:r>
      <w:r w:rsidR="00C11183">
        <w:rPr>
          <w:rFonts w:asciiTheme="minorHAnsi" w:hAnsiTheme="minorHAnsi" w:cstheme="minorHAnsi"/>
          <w:color w:val="000000"/>
        </w:rPr>
        <w:t xml:space="preserve"> versus </w:t>
      </w:r>
      <w:r w:rsidRPr="00C94C33">
        <w:rPr>
          <w:rFonts w:asciiTheme="minorHAnsi" w:hAnsiTheme="minorHAnsi" w:cstheme="minorHAnsi"/>
          <w:color w:val="000000"/>
        </w:rPr>
        <w:t>2.3%), thrombocyto</w:t>
      </w:r>
      <w:r w:rsidR="00B50F67">
        <w:rPr>
          <w:rFonts w:asciiTheme="minorHAnsi" w:hAnsiTheme="minorHAnsi" w:cstheme="minorHAnsi"/>
          <w:color w:val="000000"/>
        </w:rPr>
        <w:t>paenia</w:t>
      </w:r>
      <w:r w:rsidRPr="00C94C33">
        <w:rPr>
          <w:rFonts w:asciiTheme="minorHAnsi" w:hAnsiTheme="minorHAnsi" w:cstheme="minorHAnsi"/>
          <w:color w:val="000000"/>
        </w:rPr>
        <w:t xml:space="preserve"> (6.9%</w:t>
      </w:r>
      <w:r w:rsidR="00C11183">
        <w:rPr>
          <w:rFonts w:asciiTheme="minorHAnsi" w:hAnsiTheme="minorHAnsi" w:cstheme="minorHAnsi"/>
          <w:color w:val="000000"/>
        </w:rPr>
        <w:t xml:space="preserve"> versus </w:t>
      </w:r>
      <w:r w:rsidRPr="00C94C33">
        <w:rPr>
          <w:rFonts w:asciiTheme="minorHAnsi" w:hAnsiTheme="minorHAnsi" w:cstheme="minorHAnsi"/>
          <w:color w:val="000000"/>
        </w:rPr>
        <w:t>0.4%), alopecia (6.8%</w:t>
      </w:r>
      <w:r w:rsidR="00C11183">
        <w:rPr>
          <w:rFonts w:asciiTheme="minorHAnsi" w:hAnsiTheme="minorHAnsi" w:cstheme="minorHAnsi"/>
          <w:color w:val="000000"/>
        </w:rPr>
        <w:t xml:space="preserve"> versus </w:t>
      </w:r>
      <w:r w:rsidRPr="00C94C33">
        <w:rPr>
          <w:rFonts w:asciiTheme="minorHAnsi" w:hAnsiTheme="minorHAnsi" w:cstheme="minorHAnsi"/>
          <w:color w:val="000000"/>
        </w:rPr>
        <w:t>1.1%), and leuko</w:t>
      </w:r>
      <w:r w:rsidR="00B50F67">
        <w:rPr>
          <w:rFonts w:asciiTheme="minorHAnsi" w:hAnsiTheme="minorHAnsi" w:cstheme="minorHAnsi"/>
          <w:color w:val="000000"/>
        </w:rPr>
        <w:t>paenia</w:t>
      </w:r>
      <w:r w:rsidRPr="00C94C33">
        <w:rPr>
          <w:rFonts w:asciiTheme="minorHAnsi" w:hAnsiTheme="minorHAnsi" w:cstheme="minorHAnsi"/>
          <w:color w:val="000000"/>
        </w:rPr>
        <w:t xml:space="preserve"> (5.4%</w:t>
      </w:r>
      <w:r w:rsidR="00C11183">
        <w:rPr>
          <w:rFonts w:asciiTheme="minorHAnsi" w:hAnsiTheme="minorHAnsi" w:cstheme="minorHAnsi"/>
          <w:color w:val="000000"/>
        </w:rPr>
        <w:t xml:space="preserve"> versus </w:t>
      </w:r>
      <w:r w:rsidRPr="00C94C33">
        <w:rPr>
          <w:rFonts w:asciiTheme="minorHAnsi" w:hAnsiTheme="minorHAnsi" w:cstheme="minorHAnsi"/>
          <w:color w:val="000000"/>
        </w:rPr>
        <w:t>0%).</w:t>
      </w:r>
    </w:p>
    <w:p w14:paraId="20BEE208" w14:textId="77777777" w:rsidR="00DF61BC" w:rsidRPr="00C94C33" w:rsidRDefault="00DF61BC" w:rsidP="00955252">
      <w:pPr>
        <w:pStyle w:val="Heading4"/>
      </w:pPr>
      <w:r w:rsidRPr="00C94C33">
        <w:t>Commonly occurring Grade 3 or Grade 4 AEs</w:t>
      </w:r>
    </w:p>
    <w:p w14:paraId="55F20E64" w14:textId="7B0FDE64" w:rsidR="00DF61BC" w:rsidRPr="00C94C33" w:rsidRDefault="00DF61BC" w:rsidP="00DF61BC">
      <w:pPr>
        <w:rPr>
          <w:rFonts w:asciiTheme="minorHAnsi" w:hAnsiTheme="minorHAnsi"/>
          <w:color w:val="000000"/>
        </w:rPr>
      </w:pPr>
      <w:r w:rsidRPr="00C94C33">
        <w:rPr>
          <w:rFonts w:asciiTheme="minorHAnsi" w:hAnsiTheme="minorHAnsi"/>
          <w:color w:val="000000"/>
        </w:rPr>
        <w:t>Grade 3 AEs in the TAS-102 group occurring in ≥ 5% of patients (vs placebo) were  anaemia (15.9%</w:t>
      </w:r>
      <w:r w:rsidR="00C11183">
        <w:rPr>
          <w:rFonts w:asciiTheme="minorHAnsi" w:hAnsiTheme="minorHAnsi"/>
          <w:color w:val="000000"/>
        </w:rPr>
        <w:t xml:space="preserve"> versus </w:t>
      </w:r>
      <w:r w:rsidRPr="00C94C33">
        <w:rPr>
          <w:rFonts w:asciiTheme="minorHAnsi" w:hAnsiTheme="minorHAnsi"/>
          <w:color w:val="000000"/>
        </w:rPr>
        <w:t>2.6%), neutro</w:t>
      </w:r>
      <w:r w:rsidR="00B50F67">
        <w:rPr>
          <w:rFonts w:asciiTheme="minorHAnsi" w:hAnsiTheme="minorHAnsi"/>
          <w:color w:val="000000"/>
        </w:rPr>
        <w:t>paenia</w:t>
      </w:r>
      <w:r w:rsidRPr="00C94C33">
        <w:rPr>
          <w:rFonts w:asciiTheme="minorHAnsi" w:hAnsiTheme="minorHAnsi"/>
          <w:color w:val="000000"/>
        </w:rPr>
        <w:t xml:space="preserve"> (13.7%</w:t>
      </w:r>
      <w:r w:rsidR="00C11183">
        <w:rPr>
          <w:rFonts w:asciiTheme="minorHAnsi" w:hAnsiTheme="minorHAnsi"/>
          <w:color w:val="000000"/>
        </w:rPr>
        <w:t xml:space="preserve"> versus </w:t>
      </w:r>
      <w:r w:rsidRPr="00C94C33">
        <w:rPr>
          <w:rFonts w:asciiTheme="minorHAnsi" w:hAnsiTheme="minorHAnsi"/>
          <w:color w:val="000000"/>
        </w:rPr>
        <w:t>0%), neutrophil count decreased (11.8%</w:t>
      </w:r>
      <w:r w:rsidR="00C11183">
        <w:rPr>
          <w:rFonts w:asciiTheme="minorHAnsi" w:hAnsiTheme="minorHAnsi"/>
          <w:color w:val="000000"/>
        </w:rPr>
        <w:t xml:space="preserve"> versus </w:t>
      </w:r>
      <w:r w:rsidRPr="00C94C33">
        <w:rPr>
          <w:rFonts w:asciiTheme="minorHAnsi" w:hAnsiTheme="minorHAnsi"/>
          <w:color w:val="000000"/>
        </w:rPr>
        <w:t>0%), and WBC count decreased (9.2%</w:t>
      </w:r>
      <w:r w:rsidR="00C11183">
        <w:rPr>
          <w:rFonts w:asciiTheme="minorHAnsi" w:hAnsiTheme="minorHAnsi"/>
          <w:color w:val="000000"/>
        </w:rPr>
        <w:t xml:space="preserve"> versus </w:t>
      </w:r>
      <w:r w:rsidRPr="00C94C33">
        <w:rPr>
          <w:rFonts w:asciiTheme="minorHAnsi" w:hAnsiTheme="minorHAnsi"/>
          <w:color w:val="000000"/>
        </w:rPr>
        <w:t>0%). Grade 4 AEs in the TAS-102 group occurring in ≥ 2% of patients were neutro</w:t>
      </w:r>
      <w:r w:rsidR="00B50F67">
        <w:rPr>
          <w:rFonts w:asciiTheme="minorHAnsi" w:hAnsiTheme="minorHAnsi"/>
          <w:color w:val="000000"/>
        </w:rPr>
        <w:t>paenia</w:t>
      </w:r>
      <w:r w:rsidRPr="00C94C33">
        <w:rPr>
          <w:rFonts w:asciiTheme="minorHAnsi" w:hAnsiTheme="minorHAnsi"/>
          <w:color w:val="000000"/>
        </w:rPr>
        <w:t xml:space="preserve"> (6.4%</w:t>
      </w:r>
      <w:r w:rsidR="00C11183">
        <w:rPr>
          <w:rFonts w:asciiTheme="minorHAnsi" w:hAnsiTheme="minorHAnsi"/>
          <w:color w:val="000000"/>
        </w:rPr>
        <w:t xml:space="preserve"> versus </w:t>
      </w:r>
      <w:r w:rsidRPr="00C94C33">
        <w:rPr>
          <w:rFonts w:asciiTheme="minorHAnsi" w:hAnsiTheme="minorHAnsi"/>
          <w:color w:val="000000"/>
        </w:rPr>
        <w:t>0%) and neutrophil count decreased (4.1%</w:t>
      </w:r>
      <w:r w:rsidR="00C11183">
        <w:rPr>
          <w:rFonts w:asciiTheme="minorHAnsi" w:hAnsiTheme="minorHAnsi"/>
          <w:color w:val="000000"/>
        </w:rPr>
        <w:t xml:space="preserve"> versus </w:t>
      </w:r>
      <w:r w:rsidRPr="00C94C33">
        <w:rPr>
          <w:rFonts w:asciiTheme="minorHAnsi" w:hAnsiTheme="minorHAnsi"/>
          <w:color w:val="000000"/>
        </w:rPr>
        <w:t>0%).</w:t>
      </w:r>
    </w:p>
    <w:p w14:paraId="421F0917" w14:textId="00A970C7" w:rsidR="00DF61BC" w:rsidRPr="00C94C33" w:rsidRDefault="00DF61BC" w:rsidP="00955252">
      <w:pPr>
        <w:pStyle w:val="Heading4"/>
      </w:pPr>
      <w:r w:rsidRPr="00C94C33">
        <w:t>Deaths a</w:t>
      </w:r>
      <w:r w:rsidR="00E95C0F">
        <w:t>nd other serious adverse events</w:t>
      </w:r>
    </w:p>
    <w:p w14:paraId="3BAC8D60" w14:textId="742DCE18"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color w:val="000000"/>
        </w:rPr>
        <w:t>Deaths reported after the first dose of study medicine and ≤ 30 days after the last dose occurred notably more frequently in the placebo group than in the TAS-102 group  (12.4%</w:t>
      </w:r>
      <w:r w:rsidR="00C11183">
        <w:rPr>
          <w:rFonts w:asciiTheme="minorHAnsi" w:hAnsiTheme="minorHAnsi"/>
          <w:color w:val="000000"/>
        </w:rPr>
        <w:t xml:space="preserve"> versus </w:t>
      </w:r>
      <w:r w:rsidRPr="00C94C33">
        <w:rPr>
          <w:rFonts w:asciiTheme="minorHAnsi" w:hAnsiTheme="minorHAnsi"/>
          <w:color w:val="000000"/>
        </w:rPr>
        <w:t xml:space="preserve">6.6%). Fatal </w:t>
      </w:r>
      <w:r w:rsidRPr="00C94C33">
        <w:rPr>
          <w:rFonts w:asciiTheme="minorHAnsi" w:hAnsiTheme="minorHAnsi"/>
        </w:rPr>
        <w:t>AEs were reported in 3.2% (</w:t>
      </w:r>
      <w:r w:rsidR="009C0389" w:rsidRPr="00C94C33">
        <w:rPr>
          <w:rFonts w:asciiTheme="minorHAnsi" w:hAnsiTheme="minorHAnsi"/>
        </w:rPr>
        <w:t xml:space="preserve">n = </w:t>
      </w:r>
      <w:r w:rsidRPr="00C94C33">
        <w:rPr>
          <w:rFonts w:asciiTheme="minorHAnsi" w:hAnsiTheme="minorHAnsi"/>
        </w:rPr>
        <w:t>17) of patients in the TAS-102 group and 11.3% (</w:t>
      </w:r>
      <w:r w:rsidR="009C0389" w:rsidRPr="00C94C33">
        <w:rPr>
          <w:rFonts w:asciiTheme="minorHAnsi" w:hAnsiTheme="minorHAnsi"/>
        </w:rPr>
        <w:t xml:space="preserve">n = </w:t>
      </w:r>
      <w:r w:rsidRPr="00C94C33">
        <w:rPr>
          <w:rFonts w:asciiTheme="minorHAnsi" w:hAnsiTheme="minorHAnsi"/>
        </w:rPr>
        <w:t>30) of patients in the placebo group. The most frequently reported fatal AE in both treatment groups was general physical health deterioration, which was reported in 6 patients (1.1%) in the TAS-102 group, and 8 (3.0%) patients in the placebo group. In the TAS-102 group, 2 patients died due to hepatic failure, and 2 died due to acute renal failure. In the placebo group, 6 patients died due to hepatic failure, 1 died due to renal failure and 1 died due to renal impairment. One (1) patient in the TAS-102 group and 4 patients in the placebo group had fatal AEs of dyspnoea. All other fatal AEs occurred in 1 patient each. The only treatment-related death occurred in 1 patient in the TAS-102 group (Kleb</w:t>
      </w:r>
      <w:r w:rsidR="00E95C0F">
        <w:rPr>
          <w:rFonts w:asciiTheme="minorHAnsi" w:hAnsiTheme="minorHAnsi"/>
        </w:rPr>
        <w:t>siella pneumonia/septic shock).</w:t>
      </w:r>
    </w:p>
    <w:p w14:paraId="65B8636E" w14:textId="1E9E0A79"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SAEs (all grades) were reported in 29.6% of patients in the TAS-102 group and 33.6% of patients in the placebo group, and were predominantly ≥ Grade 3 in severity in both treatment groups (25.9%</w:t>
      </w:r>
      <w:r w:rsidR="00C11183">
        <w:rPr>
          <w:rFonts w:asciiTheme="minorHAnsi" w:hAnsiTheme="minorHAnsi"/>
        </w:rPr>
        <w:t xml:space="preserve"> versus </w:t>
      </w:r>
      <w:r w:rsidRPr="00C94C33">
        <w:rPr>
          <w:rFonts w:asciiTheme="minorHAnsi" w:hAnsiTheme="minorHAnsi"/>
        </w:rPr>
        <w:t>30.2%, respectively). SAEs (all grades) reported in ≥ 1% of patients in the TAS-102 group (vs placebo) were general physical health deterioration (2.8%</w:t>
      </w:r>
      <w:r w:rsidR="00C11183">
        <w:rPr>
          <w:rFonts w:asciiTheme="minorHAnsi" w:hAnsiTheme="minorHAnsi"/>
        </w:rPr>
        <w:t xml:space="preserve"> versus </w:t>
      </w:r>
      <w:r w:rsidRPr="00C94C33">
        <w:rPr>
          <w:rFonts w:asciiTheme="minorHAnsi" w:hAnsiTheme="minorHAnsi"/>
        </w:rPr>
        <w:t>4.2%), febrile neutro</w:t>
      </w:r>
      <w:r w:rsidR="00B50F67">
        <w:rPr>
          <w:rFonts w:asciiTheme="minorHAnsi" w:hAnsiTheme="minorHAnsi"/>
        </w:rPr>
        <w:t>paenia</w:t>
      </w:r>
      <w:r w:rsidRPr="00C94C33">
        <w:rPr>
          <w:rFonts w:asciiTheme="minorHAnsi" w:hAnsiTheme="minorHAnsi"/>
        </w:rPr>
        <w:t xml:space="preserve"> (2.6%</w:t>
      </w:r>
      <w:r w:rsidR="00C11183">
        <w:rPr>
          <w:rFonts w:asciiTheme="minorHAnsi" w:hAnsiTheme="minorHAnsi"/>
        </w:rPr>
        <w:t xml:space="preserve"> versus </w:t>
      </w:r>
      <w:r w:rsidRPr="00C94C33">
        <w:rPr>
          <w:rFonts w:asciiTheme="minorHAnsi" w:hAnsiTheme="minorHAnsi"/>
        </w:rPr>
        <w:t>0%), anaemia (1.9%</w:t>
      </w:r>
      <w:r w:rsidR="00C11183">
        <w:rPr>
          <w:rFonts w:asciiTheme="minorHAnsi" w:hAnsiTheme="minorHAnsi"/>
        </w:rPr>
        <w:t xml:space="preserve"> versus </w:t>
      </w:r>
      <w:r w:rsidRPr="00C94C33">
        <w:rPr>
          <w:rFonts w:asciiTheme="minorHAnsi" w:hAnsiTheme="minorHAnsi"/>
        </w:rPr>
        <w:t>0%), abdominal pain (1.5%</w:t>
      </w:r>
      <w:r w:rsidR="00C11183">
        <w:rPr>
          <w:rFonts w:asciiTheme="minorHAnsi" w:hAnsiTheme="minorHAnsi"/>
        </w:rPr>
        <w:t xml:space="preserve"> versus </w:t>
      </w:r>
      <w:r w:rsidRPr="00C94C33">
        <w:rPr>
          <w:rFonts w:asciiTheme="minorHAnsi" w:hAnsiTheme="minorHAnsi"/>
        </w:rPr>
        <w:t>1.9%), vomiting (1.3%</w:t>
      </w:r>
      <w:r w:rsidR="00C11183">
        <w:rPr>
          <w:rFonts w:asciiTheme="minorHAnsi" w:hAnsiTheme="minorHAnsi"/>
        </w:rPr>
        <w:t xml:space="preserve"> versus </w:t>
      </w:r>
      <w:r w:rsidRPr="00C94C33">
        <w:rPr>
          <w:rFonts w:asciiTheme="minorHAnsi" w:hAnsiTheme="minorHAnsi"/>
        </w:rPr>
        <w:t>0%), and pulmonary embolism (1.1%</w:t>
      </w:r>
      <w:r w:rsidR="00C11183">
        <w:rPr>
          <w:rFonts w:asciiTheme="minorHAnsi" w:hAnsiTheme="minorHAnsi"/>
        </w:rPr>
        <w:t xml:space="preserve"> versus </w:t>
      </w:r>
      <w:r w:rsidR="00E95C0F">
        <w:rPr>
          <w:rFonts w:asciiTheme="minorHAnsi" w:hAnsiTheme="minorHAnsi"/>
        </w:rPr>
        <w:t>0%).</w:t>
      </w:r>
    </w:p>
    <w:p w14:paraId="6DCB5EB5" w14:textId="35C8961C" w:rsidR="00DF61BC" w:rsidRPr="00C94C33" w:rsidRDefault="00E95C0F" w:rsidP="00955252">
      <w:pPr>
        <w:pStyle w:val="Heading4"/>
      </w:pPr>
      <w:r>
        <w:lastRenderedPageBreak/>
        <w:t>Discontinuations due to AEs</w:t>
      </w:r>
    </w:p>
    <w:p w14:paraId="2DFD273D" w14:textId="26E201B9" w:rsidR="00DF61BC" w:rsidRPr="00C94C33" w:rsidRDefault="00DF61BC" w:rsidP="00DF61BC">
      <w:pPr>
        <w:autoSpaceDE w:val="0"/>
        <w:autoSpaceDN w:val="0"/>
        <w:adjustRightInd w:val="0"/>
        <w:rPr>
          <w:rFonts w:asciiTheme="minorHAnsi" w:hAnsiTheme="minorHAnsi"/>
          <w:color w:val="000000"/>
        </w:rPr>
      </w:pPr>
      <w:r w:rsidRPr="00C94C33">
        <w:rPr>
          <w:rFonts w:asciiTheme="minorHAnsi" w:hAnsiTheme="minorHAnsi"/>
          <w:color w:val="000000"/>
        </w:rPr>
        <w:t xml:space="preserve">Discontinuations with the primary reason given as adverse event/SAE were reported in 3.6% (19/533) of patients in the TAS-102 group and 1.5% (4/265) of patients in the placebo group. </w:t>
      </w:r>
      <w:r w:rsidRPr="00C94C33">
        <w:rPr>
          <w:rFonts w:asciiTheme="minorHAnsi" w:eastAsia="TimesNewRoman" w:hAnsiTheme="minorHAnsi" w:cs="TimesNewRoman"/>
        </w:rPr>
        <w:t>Adverse events/SAEs identified as the primary reason for discontinuation and reported in ≥ 2 patients (≥ 0.4%) in the TAS-102 group (</w:t>
      </w:r>
      <w:r w:rsidR="009C0389" w:rsidRPr="00C94C33">
        <w:rPr>
          <w:rFonts w:asciiTheme="minorHAnsi" w:eastAsia="TimesNewRoman" w:hAnsiTheme="minorHAnsi" w:cs="TimesNewRoman"/>
        </w:rPr>
        <w:t xml:space="preserve">n = </w:t>
      </w:r>
      <w:r w:rsidRPr="00C94C33">
        <w:rPr>
          <w:rFonts w:asciiTheme="minorHAnsi" w:eastAsia="TimesNewRoman" w:hAnsiTheme="minorHAnsi" w:cs="TimesNewRoman"/>
        </w:rPr>
        <w:t>533) compared to the placebo group (</w:t>
      </w:r>
      <w:r w:rsidR="009C0389" w:rsidRPr="00C94C33">
        <w:rPr>
          <w:rFonts w:asciiTheme="minorHAnsi" w:eastAsia="TimesNewRoman" w:hAnsiTheme="minorHAnsi" w:cs="TimesNewRoman"/>
        </w:rPr>
        <w:t xml:space="preserve">n = </w:t>
      </w:r>
      <w:r w:rsidRPr="00C94C33">
        <w:rPr>
          <w:rFonts w:asciiTheme="minorHAnsi" w:eastAsia="TimesNewRoman" w:hAnsiTheme="minorHAnsi" w:cs="TimesNewRoman"/>
        </w:rPr>
        <w:t xml:space="preserve">265), were </w:t>
      </w:r>
      <w:r w:rsidRPr="00C94C33">
        <w:rPr>
          <w:rFonts w:asciiTheme="minorHAnsi" w:hAnsiTheme="minorHAnsi"/>
          <w:color w:val="000000"/>
        </w:rPr>
        <w:t xml:space="preserve">fatigue (0.8%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4</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0%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0</w:t>
      </w:r>
      <w:r w:rsidR="00A0007E" w:rsidRPr="00C94C33">
        <w:rPr>
          <w:rFonts w:asciiTheme="minorHAnsi" w:hAnsiTheme="minorHAnsi"/>
          <w:color w:val="000000"/>
        </w:rPr>
        <w:t>)</w:t>
      </w:r>
      <w:r w:rsidRPr="00C94C33">
        <w:rPr>
          <w:rFonts w:asciiTheme="minorHAnsi" w:hAnsiTheme="minorHAnsi"/>
          <w:color w:val="000000"/>
        </w:rPr>
        <w:t xml:space="preserve">), anaemia (0.4%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2</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0%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0</w:t>
      </w:r>
      <w:r w:rsidR="00A0007E" w:rsidRPr="00C94C33">
        <w:rPr>
          <w:rFonts w:asciiTheme="minorHAnsi" w:hAnsiTheme="minorHAnsi"/>
          <w:color w:val="000000"/>
        </w:rPr>
        <w:t>)</w:t>
      </w:r>
      <w:r w:rsidRPr="00C94C33">
        <w:rPr>
          <w:rFonts w:asciiTheme="minorHAnsi" w:hAnsiTheme="minorHAnsi"/>
          <w:color w:val="000000"/>
        </w:rPr>
        <w:t xml:space="preserve">), diarrhoea (0.4%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2</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0%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0</w:t>
      </w:r>
      <w:r w:rsidR="00A0007E" w:rsidRPr="00C94C33">
        <w:rPr>
          <w:rFonts w:asciiTheme="minorHAnsi" w:hAnsiTheme="minorHAnsi"/>
          <w:color w:val="000000"/>
        </w:rPr>
        <w:t>)</w:t>
      </w:r>
      <w:r w:rsidRPr="00C94C33">
        <w:rPr>
          <w:rFonts w:asciiTheme="minorHAnsi" w:hAnsiTheme="minorHAnsi"/>
          <w:color w:val="000000"/>
        </w:rPr>
        <w:t xml:space="preserve">), ileus (0.4%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2</w:t>
      </w:r>
      <w:r w:rsidR="00A0007E" w:rsidRPr="00C94C33">
        <w:rPr>
          <w:rFonts w:asciiTheme="minorHAnsi" w:hAnsiTheme="minorHAnsi"/>
          <w:color w:val="000000"/>
        </w:rPr>
        <w:t>)</w:t>
      </w:r>
      <w:r w:rsidR="00C11183">
        <w:rPr>
          <w:rFonts w:asciiTheme="minorHAnsi" w:hAnsiTheme="minorHAnsi"/>
          <w:color w:val="000000"/>
        </w:rPr>
        <w:t xml:space="preserve"> versus </w:t>
      </w:r>
      <w:r w:rsidRPr="00C94C33">
        <w:rPr>
          <w:rFonts w:asciiTheme="minorHAnsi" w:hAnsiTheme="minorHAnsi"/>
          <w:color w:val="000000"/>
        </w:rPr>
        <w:t xml:space="preserve">0% </w:t>
      </w:r>
      <w:r w:rsidR="00A0007E" w:rsidRPr="00C94C33">
        <w:rPr>
          <w:rFonts w:asciiTheme="minorHAnsi" w:hAnsiTheme="minorHAnsi"/>
          <w:color w:val="000000"/>
        </w:rPr>
        <w:t>(</w:t>
      </w:r>
      <w:r w:rsidR="009C0389" w:rsidRPr="00C94C33">
        <w:rPr>
          <w:rFonts w:asciiTheme="minorHAnsi" w:hAnsiTheme="minorHAnsi"/>
          <w:color w:val="000000"/>
        </w:rPr>
        <w:t xml:space="preserve">n = </w:t>
      </w:r>
      <w:r w:rsidRPr="00C94C33">
        <w:rPr>
          <w:rFonts w:asciiTheme="minorHAnsi" w:hAnsiTheme="minorHAnsi"/>
          <w:color w:val="000000"/>
        </w:rPr>
        <w:t>0</w:t>
      </w:r>
      <w:r w:rsidR="00A0007E" w:rsidRPr="00C94C33">
        <w:rPr>
          <w:rFonts w:asciiTheme="minorHAnsi" w:hAnsiTheme="minorHAnsi"/>
          <w:color w:val="000000"/>
        </w:rPr>
        <w:t>)</w:t>
      </w:r>
      <w:r w:rsidRPr="00C94C33">
        <w:rPr>
          <w:rFonts w:asciiTheme="minorHAnsi" w:hAnsiTheme="minorHAnsi"/>
          <w:color w:val="000000"/>
        </w:rPr>
        <w:t>), and general physical health deterioration (</w:t>
      </w:r>
      <w:r w:rsidR="009C0389" w:rsidRPr="00C94C33">
        <w:rPr>
          <w:rFonts w:asciiTheme="minorHAnsi" w:hAnsiTheme="minorHAnsi"/>
          <w:color w:val="000000"/>
        </w:rPr>
        <w:t xml:space="preserve">n = </w:t>
      </w:r>
      <w:r w:rsidRPr="00C94C33">
        <w:rPr>
          <w:rFonts w:asciiTheme="minorHAnsi" w:hAnsiTheme="minorHAnsi"/>
          <w:color w:val="000000"/>
        </w:rPr>
        <w:t xml:space="preserve">2 </w:t>
      </w:r>
      <w:r w:rsidR="00A0007E" w:rsidRPr="00C94C33">
        <w:rPr>
          <w:rFonts w:asciiTheme="minorHAnsi" w:hAnsiTheme="minorHAnsi"/>
          <w:color w:val="000000"/>
        </w:rPr>
        <w:t>(</w:t>
      </w:r>
      <w:r w:rsidRPr="00C94C33">
        <w:rPr>
          <w:rFonts w:asciiTheme="minorHAnsi" w:hAnsiTheme="minorHAnsi"/>
          <w:color w:val="000000"/>
        </w:rPr>
        <w:t>0.4%</w:t>
      </w:r>
      <w:r w:rsidR="00C11183">
        <w:rPr>
          <w:rFonts w:asciiTheme="minorHAnsi" w:hAnsiTheme="minorHAnsi"/>
          <w:color w:val="000000"/>
        </w:rPr>
        <w:t xml:space="preserve"> versus </w:t>
      </w:r>
      <w:r w:rsidR="009C0389" w:rsidRPr="00C94C33">
        <w:rPr>
          <w:rFonts w:asciiTheme="minorHAnsi" w:hAnsiTheme="minorHAnsi"/>
          <w:color w:val="000000"/>
        </w:rPr>
        <w:t xml:space="preserve">n = </w:t>
      </w:r>
      <w:r w:rsidRPr="00C94C33">
        <w:rPr>
          <w:rFonts w:asciiTheme="minorHAnsi" w:hAnsiTheme="minorHAnsi"/>
          <w:color w:val="000000"/>
        </w:rPr>
        <w:t xml:space="preserve">1 </w:t>
      </w:r>
      <w:r w:rsidR="00A0007E" w:rsidRPr="00C94C33">
        <w:rPr>
          <w:rFonts w:asciiTheme="minorHAnsi" w:hAnsiTheme="minorHAnsi"/>
          <w:color w:val="000000"/>
        </w:rPr>
        <w:t>(</w:t>
      </w:r>
      <w:r w:rsidRPr="00C94C33">
        <w:rPr>
          <w:rFonts w:asciiTheme="minorHAnsi" w:hAnsiTheme="minorHAnsi"/>
          <w:color w:val="000000"/>
        </w:rPr>
        <w:t>0.4%</w:t>
      </w:r>
      <w:r w:rsidR="00A0007E" w:rsidRPr="00C94C33">
        <w:rPr>
          <w:rFonts w:asciiTheme="minorHAnsi" w:hAnsiTheme="minorHAnsi"/>
          <w:color w:val="000000"/>
        </w:rPr>
        <w:t>)</w:t>
      </w:r>
      <w:r w:rsidR="00E95C0F">
        <w:rPr>
          <w:rFonts w:asciiTheme="minorHAnsi" w:hAnsiTheme="minorHAnsi"/>
          <w:color w:val="000000"/>
        </w:rPr>
        <w:t>).</w:t>
      </w:r>
    </w:p>
    <w:p w14:paraId="63D70EC6" w14:textId="1E7237DD" w:rsidR="00DF61BC" w:rsidRPr="00C94C33" w:rsidRDefault="00E95C0F" w:rsidP="00955252">
      <w:pPr>
        <w:pStyle w:val="Heading4"/>
      </w:pPr>
      <w:r>
        <w:t>Dose reductions due to AEs</w:t>
      </w:r>
    </w:p>
    <w:p w14:paraId="4C5EA3EF" w14:textId="1DCB452F" w:rsidR="00DF61BC" w:rsidRPr="00C94C33" w:rsidRDefault="00DF61BC" w:rsidP="00DF61BC">
      <w:pPr>
        <w:autoSpaceDE w:val="0"/>
        <w:autoSpaceDN w:val="0"/>
        <w:adjustRightInd w:val="0"/>
        <w:rPr>
          <w:rFonts w:asciiTheme="minorHAnsi" w:hAnsiTheme="minorHAnsi"/>
          <w:color w:val="000000"/>
        </w:rPr>
      </w:pPr>
      <w:r w:rsidRPr="00C94C33">
        <w:rPr>
          <w:rFonts w:asciiTheme="minorHAnsi" w:hAnsiTheme="minorHAnsi"/>
          <w:color w:val="000000"/>
        </w:rPr>
        <w:t>AEs resulting in dose reduction were reported in 13.5% of patients in the TAS-102 group and 0.8% of patients in the placebo group, with the majority of events being Grade ≥ 3 AEs (12.0%</w:t>
      </w:r>
      <w:r w:rsidR="00C11183">
        <w:rPr>
          <w:rFonts w:asciiTheme="minorHAnsi" w:hAnsiTheme="minorHAnsi"/>
          <w:color w:val="000000"/>
        </w:rPr>
        <w:t xml:space="preserve"> versus </w:t>
      </w:r>
      <w:r w:rsidRPr="00C94C33">
        <w:rPr>
          <w:rFonts w:asciiTheme="minorHAnsi" w:hAnsiTheme="minorHAnsi"/>
          <w:color w:val="000000"/>
        </w:rPr>
        <w:t>0.8%, respectively). AEs resulting in dose reduction reported in ≥ 1% of patients in the TAS-102 group (vs placebo) were neutro</w:t>
      </w:r>
      <w:r w:rsidR="00B50F67">
        <w:rPr>
          <w:rFonts w:asciiTheme="minorHAnsi" w:hAnsiTheme="minorHAnsi"/>
          <w:color w:val="000000"/>
        </w:rPr>
        <w:t>paenia</w:t>
      </w:r>
      <w:r w:rsidRPr="00C94C33">
        <w:rPr>
          <w:rFonts w:asciiTheme="minorHAnsi" w:hAnsiTheme="minorHAnsi"/>
          <w:color w:val="000000"/>
        </w:rPr>
        <w:t xml:space="preserve"> (3.2%</w:t>
      </w:r>
      <w:r w:rsidR="00C11183">
        <w:rPr>
          <w:rFonts w:asciiTheme="minorHAnsi" w:hAnsiTheme="minorHAnsi"/>
          <w:color w:val="000000"/>
        </w:rPr>
        <w:t xml:space="preserve"> versus </w:t>
      </w:r>
      <w:r w:rsidRPr="00C94C33">
        <w:rPr>
          <w:rFonts w:asciiTheme="minorHAnsi" w:hAnsiTheme="minorHAnsi"/>
          <w:color w:val="000000"/>
        </w:rPr>
        <w:t>0%), anaemia (2.1%</w:t>
      </w:r>
      <w:r w:rsidR="00C11183">
        <w:rPr>
          <w:rFonts w:asciiTheme="minorHAnsi" w:hAnsiTheme="minorHAnsi"/>
          <w:color w:val="000000"/>
        </w:rPr>
        <w:t xml:space="preserve"> versus </w:t>
      </w:r>
      <w:r w:rsidRPr="00C94C33">
        <w:rPr>
          <w:rFonts w:asciiTheme="minorHAnsi" w:hAnsiTheme="minorHAnsi"/>
          <w:color w:val="000000"/>
        </w:rPr>
        <w:t>0.4%), febrile neutro</w:t>
      </w:r>
      <w:r w:rsidR="00B50F67">
        <w:rPr>
          <w:rFonts w:asciiTheme="minorHAnsi" w:hAnsiTheme="minorHAnsi"/>
          <w:color w:val="000000"/>
        </w:rPr>
        <w:t>paenia</w:t>
      </w:r>
      <w:r w:rsidRPr="00C94C33">
        <w:rPr>
          <w:rFonts w:asciiTheme="minorHAnsi" w:hAnsiTheme="minorHAnsi"/>
          <w:color w:val="000000"/>
        </w:rPr>
        <w:t xml:space="preserve"> (1.9%</w:t>
      </w:r>
      <w:r w:rsidR="00C11183">
        <w:rPr>
          <w:rFonts w:asciiTheme="minorHAnsi" w:hAnsiTheme="minorHAnsi"/>
          <w:color w:val="000000"/>
        </w:rPr>
        <w:t xml:space="preserve"> versus </w:t>
      </w:r>
      <w:r w:rsidRPr="00C94C33">
        <w:rPr>
          <w:rFonts w:asciiTheme="minorHAnsi" w:hAnsiTheme="minorHAnsi"/>
          <w:color w:val="000000"/>
        </w:rPr>
        <w:t>0%), neutrophil count decreased (1.9%</w:t>
      </w:r>
      <w:r w:rsidR="00C11183">
        <w:rPr>
          <w:rFonts w:asciiTheme="minorHAnsi" w:hAnsiTheme="minorHAnsi"/>
          <w:color w:val="000000"/>
        </w:rPr>
        <w:t xml:space="preserve"> versus </w:t>
      </w:r>
      <w:r w:rsidRPr="00C94C33">
        <w:rPr>
          <w:rFonts w:asciiTheme="minorHAnsi" w:hAnsiTheme="minorHAnsi"/>
          <w:color w:val="000000"/>
        </w:rPr>
        <w:t>0%), fatigue (1.5%</w:t>
      </w:r>
      <w:r w:rsidR="00C11183">
        <w:rPr>
          <w:rFonts w:asciiTheme="minorHAnsi" w:hAnsiTheme="minorHAnsi"/>
          <w:color w:val="000000"/>
        </w:rPr>
        <w:t xml:space="preserve"> versus </w:t>
      </w:r>
      <w:r w:rsidRPr="00C94C33">
        <w:rPr>
          <w:rFonts w:asciiTheme="minorHAnsi" w:hAnsiTheme="minorHAnsi"/>
          <w:color w:val="000000"/>
        </w:rPr>
        <w:t>0%), and diarrhoea (1.3%</w:t>
      </w:r>
      <w:r w:rsidR="00C11183">
        <w:rPr>
          <w:rFonts w:asciiTheme="minorHAnsi" w:hAnsiTheme="minorHAnsi"/>
          <w:color w:val="000000"/>
        </w:rPr>
        <w:t xml:space="preserve"> versus </w:t>
      </w:r>
      <w:r w:rsidR="00E95C0F">
        <w:rPr>
          <w:rFonts w:asciiTheme="minorHAnsi" w:hAnsiTheme="minorHAnsi"/>
          <w:color w:val="000000"/>
        </w:rPr>
        <w:t>0%).</w:t>
      </w:r>
    </w:p>
    <w:p w14:paraId="65C3F824" w14:textId="77777777" w:rsidR="00DF61BC" w:rsidRPr="00C94C33" w:rsidRDefault="00DF61BC" w:rsidP="00955252">
      <w:pPr>
        <w:pStyle w:val="Heading4"/>
      </w:pPr>
      <w:r w:rsidRPr="00C94C33">
        <w:t>Treatment interruptions/delay or reduction due to AEs</w:t>
      </w:r>
    </w:p>
    <w:p w14:paraId="2A1361A2" w14:textId="524B378A" w:rsidR="00DF61BC" w:rsidRPr="00C94C33" w:rsidRDefault="00DF61BC" w:rsidP="00DF61BC">
      <w:pPr>
        <w:tabs>
          <w:tab w:val="left" w:pos="6034"/>
        </w:tabs>
        <w:autoSpaceDE w:val="0"/>
        <w:autoSpaceDN w:val="0"/>
        <w:adjustRightInd w:val="0"/>
        <w:rPr>
          <w:rFonts w:asciiTheme="minorHAnsi" w:hAnsiTheme="minorHAnsi"/>
          <w:color w:val="000000"/>
        </w:rPr>
      </w:pPr>
      <w:r w:rsidRPr="00C94C33">
        <w:rPr>
          <w:rFonts w:asciiTheme="minorHAnsi" w:hAnsiTheme="minorHAnsi"/>
          <w:color w:val="000000"/>
        </w:rPr>
        <w:t>AEs resulting in interruption/delay or reduction of study medication were reported in 54.2% of patients in the TAS-102 group and 13.6% of patients in the placebo group, with the majority of events in both treatment groups being Grade ≥ 3 AEs (38.5%</w:t>
      </w:r>
      <w:r w:rsidR="00C11183">
        <w:rPr>
          <w:rFonts w:asciiTheme="minorHAnsi" w:hAnsiTheme="minorHAnsi"/>
          <w:color w:val="000000"/>
        </w:rPr>
        <w:t xml:space="preserve"> versus </w:t>
      </w:r>
      <w:r w:rsidRPr="00C94C33">
        <w:rPr>
          <w:rFonts w:asciiTheme="minorHAnsi" w:hAnsiTheme="minorHAnsi"/>
          <w:color w:val="000000"/>
        </w:rPr>
        <w:t>8.7%, respectively). AEs resulting in interruption/delay or reduction of study medication reported in ≥ 1% of patients in the TAS-102 group (vs placebo) were neutrophil count decreased (20.5%</w:t>
      </w:r>
      <w:r w:rsidR="00C11183">
        <w:rPr>
          <w:rFonts w:asciiTheme="minorHAnsi" w:hAnsiTheme="minorHAnsi"/>
          <w:color w:val="000000"/>
        </w:rPr>
        <w:t xml:space="preserve"> versus </w:t>
      </w:r>
      <w:r w:rsidRPr="00C94C33">
        <w:rPr>
          <w:rFonts w:asciiTheme="minorHAnsi" w:hAnsiTheme="minorHAnsi"/>
          <w:color w:val="000000"/>
        </w:rPr>
        <w:t>0.4%), neutro</w:t>
      </w:r>
      <w:r w:rsidR="00B50F67">
        <w:rPr>
          <w:rFonts w:asciiTheme="minorHAnsi" w:hAnsiTheme="minorHAnsi"/>
          <w:color w:val="000000"/>
        </w:rPr>
        <w:t>paenia</w:t>
      </w:r>
      <w:r w:rsidRPr="00C94C33">
        <w:rPr>
          <w:rFonts w:asciiTheme="minorHAnsi" w:hAnsiTheme="minorHAnsi"/>
          <w:color w:val="000000"/>
        </w:rPr>
        <w:t xml:space="preserve"> (19.9%</w:t>
      </w:r>
      <w:r w:rsidR="00C11183">
        <w:rPr>
          <w:rFonts w:asciiTheme="minorHAnsi" w:hAnsiTheme="minorHAnsi"/>
          <w:color w:val="000000"/>
        </w:rPr>
        <w:t xml:space="preserve"> versus </w:t>
      </w:r>
      <w:r w:rsidRPr="00C94C33">
        <w:rPr>
          <w:rFonts w:asciiTheme="minorHAnsi" w:hAnsiTheme="minorHAnsi"/>
          <w:color w:val="000000"/>
        </w:rPr>
        <w:t>0%), anaemia (5.4%</w:t>
      </w:r>
      <w:r w:rsidR="00C11183">
        <w:rPr>
          <w:rFonts w:asciiTheme="minorHAnsi" w:hAnsiTheme="minorHAnsi"/>
          <w:color w:val="000000"/>
        </w:rPr>
        <w:t xml:space="preserve"> versus </w:t>
      </w:r>
      <w:r w:rsidRPr="00C94C33">
        <w:rPr>
          <w:rFonts w:asciiTheme="minorHAnsi" w:hAnsiTheme="minorHAnsi"/>
          <w:color w:val="000000"/>
        </w:rPr>
        <w:t>0.8%), fatigue (3.0%</w:t>
      </w:r>
      <w:r w:rsidR="00C11183">
        <w:rPr>
          <w:rFonts w:asciiTheme="minorHAnsi" w:hAnsiTheme="minorHAnsi"/>
          <w:color w:val="000000"/>
        </w:rPr>
        <w:t xml:space="preserve"> versus </w:t>
      </w:r>
      <w:r w:rsidRPr="00C94C33">
        <w:rPr>
          <w:rFonts w:asciiTheme="minorHAnsi" w:hAnsiTheme="minorHAnsi"/>
          <w:color w:val="000000"/>
        </w:rPr>
        <w:t>0.4%), pyrexia (2.8%</w:t>
      </w:r>
      <w:r w:rsidR="00C11183">
        <w:rPr>
          <w:rFonts w:asciiTheme="minorHAnsi" w:hAnsiTheme="minorHAnsi"/>
          <w:color w:val="000000"/>
        </w:rPr>
        <w:t xml:space="preserve"> versus </w:t>
      </w:r>
      <w:r w:rsidRPr="00C94C33">
        <w:rPr>
          <w:rFonts w:asciiTheme="minorHAnsi" w:hAnsiTheme="minorHAnsi"/>
          <w:color w:val="000000"/>
        </w:rPr>
        <w:t>1.1%), diarrhoea (2.4%</w:t>
      </w:r>
      <w:r w:rsidR="00C11183">
        <w:rPr>
          <w:rFonts w:asciiTheme="minorHAnsi" w:hAnsiTheme="minorHAnsi"/>
          <w:color w:val="000000"/>
        </w:rPr>
        <w:t xml:space="preserve"> versus </w:t>
      </w:r>
      <w:r w:rsidRPr="00C94C33">
        <w:rPr>
          <w:rFonts w:asciiTheme="minorHAnsi" w:hAnsiTheme="minorHAnsi"/>
          <w:color w:val="000000"/>
        </w:rPr>
        <w:t>0%), febrile neutro</w:t>
      </w:r>
      <w:r w:rsidR="00B50F67">
        <w:rPr>
          <w:rFonts w:asciiTheme="minorHAnsi" w:hAnsiTheme="minorHAnsi"/>
          <w:color w:val="000000"/>
        </w:rPr>
        <w:t>paenia</w:t>
      </w:r>
      <w:r w:rsidRPr="00C94C33">
        <w:rPr>
          <w:rFonts w:asciiTheme="minorHAnsi" w:hAnsiTheme="minorHAnsi"/>
          <w:color w:val="000000"/>
        </w:rPr>
        <w:t xml:space="preserve"> (2.1%</w:t>
      </w:r>
      <w:r w:rsidR="00C11183">
        <w:rPr>
          <w:rFonts w:asciiTheme="minorHAnsi" w:hAnsiTheme="minorHAnsi"/>
          <w:color w:val="000000"/>
        </w:rPr>
        <w:t xml:space="preserve"> versus </w:t>
      </w:r>
      <w:r w:rsidRPr="00C94C33">
        <w:rPr>
          <w:rFonts w:asciiTheme="minorHAnsi" w:hAnsiTheme="minorHAnsi"/>
          <w:color w:val="000000"/>
        </w:rPr>
        <w:t>0%), nausea (1.9%</w:t>
      </w:r>
      <w:r w:rsidR="00C11183">
        <w:rPr>
          <w:rFonts w:asciiTheme="minorHAnsi" w:hAnsiTheme="minorHAnsi"/>
          <w:color w:val="000000"/>
        </w:rPr>
        <w:t xml:space="preserve"> versus </w:t>
      </w:r>
      <w:r w:rsidRPr="00C94C33">
        <w:rPr>
          <w:rFonts w:asciiTheme="minorHAnsi" w:hAnsiTheme="minorHAnsi"/>
          <w:color w:val="000000"/>
        </w:rPr>
        <w:t>0.4%), vomiting (1.9%</w:t>
      </w:r>
      <w:r w:rsidR="00C11183">
        <w:rPr>
          <w:rFonts w:asciiTheme="minorHAnsi" w:hAnsiTheme="minorHAnsi"/>
          <w:color w:val="000000"/>
        </w:rPr>
        <w:t xml:space="preserve"> versus </w:t>
      </w:r>
      <w:r w:rsidRPr="00C94C33">
        <w:rPr>
          <w:rFonts w:asciiTheme="minorHAnsi" w:hAnsiTheme="minorHAnsi"/>
          <w:color w:val="000000"/>
        </w:rPr>
        <w:t>0%), decreased appetite (1.7%</w:t>
      </w:r>
      <w:r w:rsidR="00C11183">
        <w:rPr>
          <w:rFonts w:asciiTheme="minorHAnsi" w:hAnsiTheme="minorHAnsi"/>
          <w:color w:val="000000"/>
        </w:rPr>
        <w:t xml:space="preserve"> versus </w:t>
      </w:r>
      <w:r w:rsidRPr="00C94C33">
        <w:rPr>
          <w:rFonts w:asciiTheme="minorHAnsi" w:hAnsiTheme="minorHAnsi"/>
          <w:color w:val="000000"/>
        </w:rPr>
        <w:t>1.9%), WBC decreased (1.5%</w:t>
      </w:r>
      <w:r w:rsidR="00C11183">
        <w:rPr>
          <w:rFonts w:asciiTheme="minorHAnsi" w:hAnsiTheme="minorHAnsi"/>
          <w:color w:val="000000"/>
        </w:rPr>
        <w:t xml:space="preserve"> versus </w:t>
      </w:r>
      <w:r w:rsidRPr="00C94C33">
        <w:rPr>
          <w:rFonts w:asciiTheme="minorHAnsi" w:hAnsiTheme="minorHAnsi"/>
          <w:color w:val="000000"/>
        </w:rPr>
        <w:t>0%), asthenia (1.3%</w:t>
      </w:r>
      <w:r w:rsidR="00C11183">
        <w:rPr>
          <w:rFonts w:asciiTheme="minorHAnsi" w:hAnsiTheme="minorHAnsi"/>
          <w:color w:val="000000"/>
        </w:rPr>
        <w:t xml:space="preserve"> versus </w:t>
      </w:r>
      <w:r w:rsidRPr="00C94C33">
        <w:rPr>
          <w:rFonts w:asciiTheme="minorHAnsi" w:hAnsiTheme="minorHAnsi"/>
          <w:color w:val="000000"/>
        </w:rPr>
        <w:t>0.8%), platelet count decreased (1.3%</w:t>
      </w:r>
      <w:r w:rsidR="00C11183">
        <w:rPr>
          <w:rFonts w:asciiTheme="minorHAnsi" w:hAnsiTheme="minorHAnsi"/>
          <w:color w:val="000000"/>
        </w:rPr>
        <w:t xml:space="preserve"> versus </w:t>
      </w:r>
      <w:r w:rsidRPr="00C94C33">
        <w:rPr>
          <w:rFonts w:asciiTheme="minorHAnsi" w:hAnsiTheme="minorHAnsi"/>
          <w:color w:val="000000"/>
        </w:rPr>
        <w:t>0%), and abdominal pain (1.1%</w:t>
      </w:r>
      <w:r w:rsidR="00C11183">
        <w:rPr>
          <w:rFonts w:asciiTheme="minorHAnsi" w:hAnsiTheme="minorHAnsi"/>
          <w:color w:val="000000"/>
        </w:rPr>
        <w:t xml:space="preserve"> versus </w:t>
      </w:r>
      <w:r w:rsidR="00E95C0F">
        <w:rPr>
          <w:rFonts w:asciiTheme="minorHAnsi" w:hAnsiTheme="minorHAnsi"/>
          <w:color w:val="000000"/>
        </w:rPr>
        <w:t>0.8%).</w:t>
      </w:r>
    </w:p>
    <w:p w14:paraId="4495548D" w14:textId="0DA9A928" w:rsidR="00DF61BC" w:rsidRPr="00C94C33" w:rsidRDefault="00E95C0F" w:rsidP="00955252">
      <w:pPr>
        <w:pStyle w:val="Heading4"/>
      </w:pPr>
      <w:r>
        <w:t>Clinical laboratory</w:t>
      </w:r>
    </w:p>
    <w:p w14:paraId="2FD970C0" w14:textId="4DB6B170" w:rsidR="00DF61BC" w:rsidRPr="00C94C33" w:rsidRDefault="00DF61BC" w:rsidP="00DF61BC">
      <w:r w:rsidRPr="00C94C33">
        <w:t>Laboratory haematological Grade ≥ 3 abnormalities were reported more frequently in patients in the TAS-102 group than in the placebo group for the following parameters - neutro</w:t>
      </w:r>
      <w:r w:rsidR="00B50F67">
        <w:t>paenia</w:t>
      </w:r>
      <w:r w:rsidRPr="00C94C33">
        <w:t xml:space="preserve"> (37.9%</w:t>
      </w:r>
      <w:r w:rsidR="00C11183">
        <w:t xml:space="preserve"> versus </w:t>
      </w:r>
      <w:r w:rsidRPr="00C94C33">
        <w:t>0%), lymphocyto</w:t>
      </w:r>
      <w:r w:rsidR="00B50F67">
        <w:t>paenia</w:t>
      </w:r>
      <w:r w:rsidRPr="00C94C33">
        <w:t xml:space="preserve"> (21.5%</w:t>
      </w:r>
      <w:r w:rsidR="00C11183">
        <w:t xml:space="preserve"> versus </w:t>
      </w:r>
      <w:r w:rsidRPr="00C94C33">
        <w:t>10.0%), leuko</w:t>
      </w:r>
      <w:r w:rsidR="00B50F67">
        <w:t>paenia</w:t>
      </w:r>
      <w:r w:rsidRPr="00C94C33">
        <w:t xml:space="preserve"> (21.4%</w:t>
      </w:r>
      <w:r w:rsidR="00C11183">
        <w:t xml:space="preserve"> versus </w:t>
      </w:r>
      <w:r w:rsidRPr="00C94C33">
        <w:t>0%), anaemia (18.2%</w:t>
      </w:r>
      <w:r w:rsidR="00C11183">
        <w:t xml:space="preserve"> versus </w:t>
      </w:r>
      <w:r w:rsidRPr="00C94C33">
        <w:t>3.0%), and thrombocyto</w:t>
      </w:r>
      <w:r w:rsidR="00B50F67">
        <w:t>paenia</w:t>
      </w:r>
      <w:r w:rsidRPr="00C94C33">
        <w:t xml:space="preserve"> (5.1%</w:t>
      </w:r>
      <w:r w:rsidR="00C11183">
        <w:t xml:space="preserve"> versus </w:t>
      </w:r>
      <w:r w:rsidRPr="00C94C33">
        <w:t>0.4%). The only laboratory clinical chemistry abnormality of note was a greater incidence of hyperglycaemia ≥ Grade 3 in patients in the TAS-102 group compared to the placebo group (6.4%</w:t>
      </w:r>
      <w:r w:rsidR="00C11183">
        <w:t xml:space="preserve"> versus </w:t>
      </w:r>
      <w:r w:rsidRPr="00C94C33">
        <w:t>2.8%). There were no marked differences between the two treatment groups as regards the patient incidence of hepatobiliary clinical chemistry abnormalities, and no evidence of drug induced liver injury associated with TAS-102. There were no marked differences between the two treatment groups as regards the patient incidence of renal clinical chemistry abnormalities, and no evidence that TAS-102 is associated with renal toxicity. However, proteinuria (all grades) was reported more commonly in patients in the TAS-102 group than in the placebo group (4.1%</w:t>
      </w:r>
      <w:r w:rsidR="00C11183">
        <w:t xml:space="preserve"> versus </w:t>
      </w:r>
      <w:r w:rsidR="00E95C0F">
        <w:t>1.9%).</w:t>
      </w:r>
    </w:p>
    <w:p w14:paraId="43C75330" w14:textId="77777777" w:rsidR="00DF61BC" w:rsidRPr="00C94C33" w:rsidRDefault="00DF61BC" w:rsidP="00955252">
      <w:pPr>
        <w:pStyle w:val="Heading4"/>
      </w:pPr>
      <w:r w:rsidRPr="00C94C33">
        <w:t>Vital signs and ECG</w:t>
      </w:r>
    </w:p>
    <w:p w14:paraId="50CF1F52" w14:textId="77777777" w:rsidR="00DF61BC" w:rsidRPr="00C94C33" w:rsidRDefault="00DF61BC" w:rsidP="00DF61BC">
      <w:r w:rsidRPr="00C94C33">
        <w:t>No significant changes in vital sign or ECG parameters (including QTc prolongation) were reported to be associated with treatment with TAS-102.</w:t>
      </w:r>
    </w:p>
    <w:p w14:paraId="34F1602F" w14:textId="4DE10D4B" w:rsidR="00DF61BC" w:rsidRPr="00C94C33" w:rsidRDefault="00DF61BC" w:rsidP="00955252">
      <w:pPr>
        <w:pStyle w:val="Heading4"/>
      </w:pPr>
      <w:r w:rsidRPr="00C94C33">
        <w:t>Special grou</w:t>
      </w:r>
      <w:r w:rsidR="00E95C0F">
        <w:t>ps</w:t>
      </w:r>
    </w:p>
    <w:p w14:paraId="2B03CB49" w14:textId="07135BD2" w:rsidR="00DF61BC" w:rsidRPr="00C94C33" w:rsidRDefault="00DF61BC" w:rsidP="00DF61BC">
      <w:pPr>
        <w:rPr>
          <w:rFonts w:asciiTheme="minorHAnsi" w:hAnsiTheme="minorHAnsi"/>
          <w:color w:val="000000"/>
        </w:rPr>
      </w:pPr>
      <w:r w:rsidRPr="00C94C33">
        <w:rPr>
          <w:rFonts w:asciiTheme="minorHAnsi" w:hAnsiTheme="minorHAnsi"/>
        </w:rPr>
        <w:t xml:space="preserve">There was an increased risk of AEs in patients aged ≥ 65 years of age treated with TAS-102 compared to patients aged &lt; 65 years. </w:t>
      </w:r>
      <w:r w:rsidRPr="00C94C33">
        <w:rPr>
          <w:rFonts w:asciiTheme="minorHAnsi" w:hAnsiTheme="minorHAnsi"/>
          <w:color w:val="000000"/>
        </w:rPr>
        <w:t xml:space="preserve">In the TAS-102 group, patients aged  </w:t>
      </w:r>
      <w:r w:rsidRPr="00C94C33">
        <w:rPr>
          <w:rFonts w:asciiTheme="minorHAnsi" w:hAnsiTheme="minorHAnsi" w:cs="TimesNewRomanPSMT"/>
          <w:color w:val="000000"/>
        </w:rPr>
        <w:t xml:space="preserve">≥ </w:t>
      </w:r>
      <w:r w:rsidRPr="00C94C33">
        <w:rPr>
          <w:rFonts w:asciiTheme="minorHAnsi" w:hAnsiTheme="minorHAnsi"/>
          <w:color w:val="000000"/>
        </w:rPr>
        <w:t>65 years had a higher incidence (difference of at least 5%) compared to patients aged &lt; 65 years of anaemia (50.4%</w:t>
      </w:r>
      <w:r w:rsidR="00C11183">
        <w:rPr>
          <w:rFonts w:asciiTheme="minorHAnsi" w:hAnsiTheme="minorHAnsi"/>
          <w:color w:val="000000"/>
        </w:rPr>
        <w:t xml:space="preserve"> versus </w:t>
      </w:r>
      <w:r w:rsidRPr="00C94C33">
        <w:rPr>
          <w:rFonts w:asciiTheme="minorHAnsi" w:hAnsiTheme="minorHAnsi"/>
          <w:color w:val="000000"/>
        </w:rPr>
        <w:t>32.1%), neutro</w:t>
      </w:r>
      <w:r w:rsidR="00B50F67">
        <w:rPr>
          <w:rFonts w:asciiTheme="minorHAnsi" w:hAnsiTheme="minorHAnsi"/>
          <w:color w:val="000000"/>
        </w:rPr>
        <w:t>paenia</w:t>
      </w:r>
      <w:r w:rsidRPr="00C94C33">
        <w:rPr>
          <w:rFonts w:asciiTheme="minorHAnsi" w:hAnsiTheme="minorHAnsi"/>
          <w:color w:val="000000"/>
        </w:rPr>
        <w:t xml:space="preserve"> (32.9%</w:t>
      </w:r>
      <w:r w:rsidR="00C11183">
        <w:rPr>
          <w:rFonts w:asciiTheme="minorHAnsi" w:hAnsiTheme="minorHAnsi"/>
          <w:color w:val="000000"/>
        </w:rPr>
        <w:t xml:space="preserve"> versus </w:t>
      </w:r>
      <w:r w:rsidRPr="00C94C33">
        <w:rPr>
          <w:rFonts w:asciiTheme="minorHAnsi" w:hAnsiTheme="minorHAnsi"/>
          <w:color w:val="000000"/>
        </w:rPr>
        <w:t>26.4%), neutrophil count decreased (31.2%</w:t>
      </w:r>
      <w:r w:rsidR="00C11183">
        <w:rPr>
          <w:rFonts w:asciiTheme="minorHAnsi" w:hAnsiTheme="minorHAnsi"/>
          <w:color w:val="000000"/>
        </w:rPr>
        <w:t xml:space="preserve"> versus </w:t>
      </w:r>
      <w:r w:rsidRPr="00C94C33">
        <w:rPr>
          <w:rFonts w:asciiTheme="minorHAnsi" w:hAnsiTheme="minorHAnsi"/>
          <w:color w:val="000000"/>
        </w:rPr>
        <w:t>25.1%), platelet count decreased (21.4%</w:t>
      </w:r>
      <w:r w:rsidR="00C11183">
        <w:rPr>
          <w:rFonts w:asciiTheme="minorHAnsi" w:hAnsiTheme="minorHAnsi"/>
          <w:color w:val="000000"/>
        </w:rPr>
        <w:t xml:space="preserve"> versus </w:t>
      </w:r>
      <w:r w:rsidRPr="00C94C33">
        <w:rPr>
          <w:rFonts w:asciiTheme="minorHAnsi" w:hAnsiTheme="minorHAnsi"/>
          <w:color w:val="000000"/>
        </w:rPr>
        <w:t>10.4%), white blood cell count decreased (31.6%</w:t>
      </w:r>
      <w:r w:rsidR="00C11183">
        <w:rPr>
          <w:rFonts w:asciiTheme="minorHAnsi" w:hAnsiTheme="minorHAnsi"/>
          <w:color w:val="000000"/>
        </w:rPr>
        <w:t xml:space="preserve"> versus </w:t>
      </w:r>
      <w:r w:rsidRPr="00C94C33">
        <w:rPr>
          <w:rFonts w:asciiTheme="minorHAnsi" w:hAnsiTheme="minorHAnsi"/>
          <w:color w:val="000000"/>
        </w:rPr>
        <w:t>24.1%) and decreased appetite (41.9%</w:t>
      </w:r>
      <w:r w:rsidR="00C11183">
        <w:rPr>
          <w:rFonts w:asciiTheme="minorHAnsi" w:hAnsiTheme="minorHAnsi"/>
          <w:color w:val="000000"/>
        </w:rPr>
        <w:t xml:space="preserve"> versus </w:t>
      </w:r>
      <w:r w:rsidRPr="00C94C33">
        <w:rPr>
          <w:rFonts w:asciiTheme="minorHAnsi" w:hAnsiTheme="minorHAnsi"/>
          <w:color w:val="000000"/>
        </w:rPr>
        <w:t xml:space="preserve">36.8%). Based on clinical laboratory </w:t>
      </w:r>
      <w:r w:rsidRPr="00C94C33">
        <w:rPr>
          <w:rFonts w:asciiTheme="minorHAnsi" w:hAnsiTheme="minorHAnsi"/>
          <w:color w:val="000000"/>
        </w:rPr>
        <w:lastRenderedPageBreak/>
        <w:t xml:space="preserve">assessments, patients aged  </w:t>
      </w:r>
      <w:r w:rsidRPr="00C94C33">
        <w:rPr>
          <w:rFonts w:asciiTheme="minorHAnsi" w:hAnsiTheme="minorHAnsi" w:cs="TimesNewRomanPSMT"/>
          <w:color w:val="000000"/>
        </w:rPr>
        <w:t xml:space="preserve">≥ </w:t>
      </w:r>
      <w:r w:rsidRPr="00C94C33">
        <w:rPr>
          <w:rFonts w:asciiTheme="minorHAnsi" w:hAnsiTheme="minorHAnsi"/>
          <w:color w:val="000000"/>
        </w:rPr>
        <w:t>65 years in the TAS-102 group had a higher incidence than patients aged &lt; 65 years (difference of at least 5%) of Grade 3 or 4 leuko</w:t>
      </w:r>
      <w:r w:rsidR="00B50F67">
        <w:rPr>
          <w:rFonts w:asciiTheme="minorHAnsi" w:hAnsiTheme="minorHAnsi"/>
          <w:color w:val="000000"/>
        </w:rPr>
        <w:t>paenia</w:t>
      </w:r>
      <w:r w:rsidRPr="00C94C33">
        <w:rPr>
          <w:rFonts w:asciiTheme="minorHAnsi" w:hAnsiTheme="minorHAnsi"/>
          <w:color w:val="000000"/>
        </w:rPr>
        <w:t xml:space="preserve"> (25.5%</w:t>
      </w:r>
      <w:r w:rsidR="00C11183">
        <w:rPr>
          <w:rFonts w:asciiTheme="minorHAnsi" w:hAnsiTheme="minorHAnsi"/>
          <w:color w:val="000000"/>
        </w:rPr>
        <w:t xml:space="preserve"> versus </w:t>
      </w:r>
      <w:r w:rsidRPr="00C94C33">
        <w:rPr>
          <w:rFonts w:asciiTheme="minorHAnsi" w:hAnsiTheme="minorHAnsi"/>
          <w:color w:val="000000"/>
        </w:rPr>
        <w:t>18.2%), Grade 3 or 4 neutro</w:t>
      </w:r>
      <w:r w:rsidR="00B50F67">
        <w:rPr>
          <w:rFonts w:asciiTheme="minorHAnsi" w:hAnsiTheme="minorHAnsi"/>
          <w:color w:val="000000"/>
        </w:rPr>
        <w:t>paenia</w:t>
      </w:r>
      <w:r w:rsidRPr="00C94C33">
        <w:rPr>
          <w:rFonts w:asciiTheme="minorHAnsi" w:hAnsiTheme="minorHAnsi"/>
          <w:color w:val="000000"/>
        </w:rPr>
        <w:t xml:space="preserve"> (47.6%</w:t>
      </w:r>
      <w:r w:rsidR="00C11183">
        <w:rPr>
          <w:rFonts w:asciiTheme="minorHAnsi" w:hAnsiTheme="minorHAnsi"/>
          <w:color w:val="000000"/>
        </w:rPr>
        <w:t xml:space="preserve"> versus </w:t>
      </w:r>
      <w:r w:rsidRPr="00C94C33">
        <w:rPr>
          <w:rFonts w:asciiTheme="minorHAnsi" w:hAnsiTheme="minorHAnsi"/>
          <w:color w:val="000000"/>
        </w:rPr>
        <w:t>30.3%), Grade 3 anaemia (26.0%</w:t>
      </w:r>
      <w:r w:rsidR="00C11183">
        <w:rPr>
          <w:rFonts w:asciiTheme="minorHAnsi" w:hAnsiTheme="minorHAnsi"/>
          <w:color w:val="000000"/>
        </w:rPr>
        <w:t xml:space="preserve"> versus </w:t>
      </w:r>
      <w:r w:rsidRPr="00C94C33">
        <w:rPr>
          <w:rFonts w:asciiTheme="minorHAnsi" w:hAnsiTheme="minorHAnsi"/>
          <w:color w:val="000000"/>
        </w:rPr>
        <w:t>12.1%) and Grade 3 or 4 thrombocyto</w:t>
      </w:r>
      <w:r w:rsidR="00B50F67">
        <w:rPr>
          <w:rFonts w:asciiTheme="minorHAnsi" w:hAnsiTheme="minorHAnsi"/>
          <w:color w:val="000000"/>
        </w:rPr>
        <w:t>paenia</w:t>
      </w:r>
      <w:r w:rsidRPr="00C94C33">
        <w:rPr>
          <w:rFonts w:asciiTheme="minorHAnsi" w:hAnsiTheme="minorHAnsi"/>
          <w:color w:val="000000"/>
        </w:rPr>
        <w:t xml:space="preserve"> (8.7%</w:t>
      </w:r>
      <w:r w:rsidR="00C11183">
        <w:rPr>
          <w:rFonts w:asciiTheme="minorHAnsi" w:hAnsiTheme="minorHAnsi"/>
          <w:color w:val="000000"/>
        </w:rPr>
        <w:t xml:space="preserve"> versus </w:t>
      </w:r>
      <w:r w:rsidR="00E95C0F">
        <w:rPr>
          <w:rFonts w:asciiTheme="minorHAnsi" w:hAnsiTheme="minorHAnsi"/>
          <w:color w:val="000000"/>
        </w:rPr>
        <w:t>2.4%).</w:t>
      </w:r>
    </w:p>
    <w:p w14:paraId="4B9A6BB0" w14:textId="4CE387CC" w:rsidR="00DF61BC" w:rsidRPr="00C94C33" w:rsidRDefault="00DF61BC" w:rsidP="00DF61BC">
      <w:pPr>
        <w:rPr>
          <w:rFonts w:asciiTheme="minorHAnsi" w:hAnsiTheme="minorHAnsi"/>
          <w:color w:val="000000"/>
        </w:rPr>
      </w:pPr>
      <w:r w:rsidRPr="00C94C33">
        <w:rPr>
          <w:rFonts w:asciiTheme="minorHAnsi" w:hAnsiTheme="minorHAnsi"/>
          <w:color w:val="000000"/>
        </w:rPr>
        <w:t>In the TAS-102 group, females had a higher incidence (difference of at least 5%) compared to male patients of anaemia (44.9%</w:t>
      </w:r>
      <w:r w:rsidR="00C11183">
        <w:rPr>
          <w:rFonts w:asciiTheme="minorHAnsi" w:hAnsiTheme="minorHAnsi"/>
          <w:color w:val="000000"/>
        </w:rPr>
        <w:t xml:space="preserve"> versus </w:t>
      </w:r>
      <w:r w:rsidRPr="00C94C33">
        <w:rPr>
          <w:rFonts w:asciiTheme="minorHAnsi" w:hAnsiTheme="minorHAnsi"/>
          <w:color w:val="000000"/>
        </w:rPr>
        <w:t>37.1%), abdominal pain (18.4%</w:t>
      </w:r>
      <w:r w:rsidR="00C11183">
        <w:rPr>
          <w:rFonts w:asciiTheme="minorHAnsi" w:hAnsiTheme="minorHAnsi"/>
          <w:color w:val="000000"/>
        </w:rPr>
        <w:t xml:space="preserve"> versus </w:t>
      </w:r>
      <w:r w:rsidRPr="00C94C33">
        <w:rPr>
          <w:rFonts w:asciiTheme="minorHAnsi" w:hAnsiTheme="minorHAnsi"/>
          <w:color w:val="000000"/>
        </w:rPr>
        <w:t>12.6%), abdominal pain upper (12.1%</w:t>
      </w:r>
      <w:r w:rsidR="00C11183">
        <w:rPr>
          <w:rFonts w:asciiTheme="minorHAnsi" w:hAnsiTheme="minorHAnsi"/>
          <w:color w:val="000000"/>
        </w:rPr>
        <w:t xml:space="preserve"> versus </w:t>
      </w:r>
      <w:r w:rsidRPr="00C94C33">
        <w:rPr>
          <w:rFonts w:asciiTheme="minorHAnsi" w:hAnsiTheme="minorHAnsi"/>
          <w:color w:val="000000"/>
        </w:rPr>
        <w:t>4.0%), diarrhoea (37.2%</w:t>
      </w:r>
      <w:r w:rsidR="00C11183">
        <w:rPr>
          <w:rFonts w:asciiTheme="minorHAnsi" w:hAnsiTheme="minorHAnsi"/>
          <w:color w:val="000000"/>
        </w:rPr>
        <w:t xml:space="preserve"> versus </w:t>
      </w:r>
      <w:r w:rsidRPr="00C94C33">
        <w:rPr>
          <w:rFonts w:asciiTheme="minorHAnsi" w:hAnsiTheme="minorHAnsi"/>
          <w:color w:val="000000"/>
        </w:rPr>
        <w:t>28.5%), nausea (55.1%</w:t>
      </w:r>
      <w:r w:rsidR="00C11183">
        <w:rPr>
          <w:rFonts w:asciiTheme="minorHAnsi" w:hAnsiTheme="minorHAnsi"/>
          <w:color w:val="000000"/>
        </w:rPr>
        <w:t xml:space="preserve"> versus </w:t>
      </w:r>
      <w:r w:rsidRPr="00C94C33">
        <w:rPr>
          <w:rFonts w:asciiTheme="minorHAnsi" w:hAnsiTheme="minorHAnsi"/>
          <w:color w:val="000000"/>
        </w:rPr>
        <w:t>44.2%), vomiting (42.0%</w:t>
      </w:r>
      <w:r w:rsidR="00C11183">
        <w:rPr>
          <w:rFonts w:asciiTheme="minorHAnsi" w:hAnsiTheme="minorHAnsi"/>
          <w:color w:val="000000"/>
        </w:rPr>
        <w:t xml:space="preserve"> versus </w:t>
      </w:r>
      <w:r w:rsidRPr="00C94C33">
        <w:rPr>
          <w:rFonts w:asciiTheme="minorHAnsi" w:hAnsiTheme="minorHAnsi"/>
          <w:color w:val="000000"/>
        </w:rPr>
        <w:t>18.7%), back pain (11.6%</w:t>
      </w:r>
      <w:r w:rsidR="00C11183">
        <w:rPr>
          <w:rFonts w:asciiTheme="minorHAnsi" w:hAnsiTheme="minorHAnsi"/>
          <w:color w:val="000000"/>
        </w:rPr>
        <w:t xml:space="preserve"> versus </w:t>
      </w:r>
      <w:r w:rsidRPr="00C94C33">
        <w:rPr>
          <w:rFonts w:asciiTheme="minorHAnsi" w:hAnsiTheme="minorHAnsi"/>
          <w:color w:val="000000"/>
        </w:rPr>
        <w:t>5.5%), and cough (14.0%</w:t>
      </w:r>
      <w:r w:rsidR="00C11183">
        <w:rPr>
          <w:rFonts w:asciiTheme="minorHAnsi" w:hAnsiTheme="minorHAnsi"/>
          <w:color w:val="000000"/>
        </w:rPr>
        <w:t xml:space="preserve"> versus </w:t>
      </w:r>
      <w:r w:rsidRPr="00C94C33">
        <w:rPr>
          <w:rFonts w:asciiTheme="minorHAnsi" w:hAnsiTheme="minorHAnsi"/>
          <w:color w:val="000000"/>
        </w:rPr>
        <w:t>8.6%). Based on clinical laboratory assessments, female patients who received TAS-102 had a higher incidence than male patients (difference of at least 5%) of Grade 3 or 4 leuko</w:t>
      </w:r>
      <w:r w:rsidR="00B50F67">
        <w:rPr>
          <w:rFonts w:asciiTheme="minorHAnsi" w:hAnsiTheme="minorHAnsi"/>
          <w:color w:val="000000"/>
        </w:rPr>
        <w:t>paenia</w:t>
      </w:r>
      <w:r w:rsidRPr="00C94C33">
        <w:rPr>
          <w:rFonts w:asciiTheme="minorHAnsi" w:hAnsiTheme="minorHAnsi"/>
          <w:color w:val="000000"/>
        </w:rPr>
        <w:t xml:space="preserve"> (24.6%</w:t>
      </w:r>
      <w:r w:rsidR="00C11183">
        <w:rPr>
          <w:rFonts w:asciiTheme="minorHAnsi" w:hAnsiTheme="minorHAnsi"/>
          <w:color w:val="000000"/>
        </w:rPr>
        <w:t xml:space="preserve"> versus </w:t>
      </w:r>
      <w:r w:rsidRPr="00C94C33">
        <w:rPr>
          <w:rFonts w:asciiTheme="minorHAnsi" w:hAnsiTheme="minorHAnsi"/>
          <w:color w:val="000000"/>
        </w:rPr>
        <w:t>19.4%), Grade 3 or 4 neutro</w:t>
      </w:r>
      <w:r w:rsidR="00B50F67">
        <w:rPr>
          <w:rFonts w:asciiTheme="minorHAnsi" w:hAnsiTheme="minorHAnsi"/>
          <w:color w:val="000000"/>
        </w:rPr>
        <w:t>paenia</w:t>
      </w:r>
      <w:r w:rsidRPr="00C94C33">
        <w:rPr>
          <w:rFonts w:asciiTheme="minorHAnsi" w:hAnsiTheme="minorHAnsi"/>
          <w:color w:val="000000"/>
        </w:rPr>
        <w:t xml:space="preserve"> (42.9%</w:t>
      </w:r>
      <w:r w:rsidR="00C11183">
        <w:rPr>
          <w:rFonts w:asciiTheme="minorHAnsi" w:hAnsiTheme="minorHAnsi"/>
          <w:color w:val="000000"/>
        </w:rPr>
        <w:t xml:space="preserve"> versus </w:t>
      </w:r>
      <w:r w:rsidRPr="00C94C33">
        <w:rPr>
          <w:rFonts w:asciiTheme="minorHAnsi" w:hAnsiTheme="minorHAnsi"/>
          <w:color w:val="000000"/>
        </w:rPr>
        <w:t>34.8%), Grade 3 or 4 lymphocyto</w:t>
      </w:r>
      <w:r w:rsidR="00B50F67">
        <w:rPr>
          <w:rFonts w:asciiTheme="minorHAnsi" w:hAnsiTheme="minorHAnsi"/>
          <w:color w:val="000000"/>
        </w:rPr>
        <w:t>paenia</w:t>
      </w:r>
      <w:r w:rsidRPr="00C94C33">
        <w:rPr>
          <w:rFonts w:asciiTheme="minorHAnsi" w:hAnsiTheme="minorHAnsi"/>
          <w:color w:val="000000"/>
        </w:rPr>
        <w:t xml:space="preserve"> (24.9%</w:t>
      </w:r>
      <w:r w:rsidR="00C11183">
        <w:rPr>
          <w:rFonts w:asciiTheme="minorHAnsi" w:hAnsiTheme="minorHAnsi"/>
          <w:color w:val="000000"/>
        </w:rPr>
        <w:t xml:space="preserve"> versus </w:t>
      </w:r>
      <w:r w:rsidRPr="00C94C33">
        <w:rPr>
          <w:rFonts w:asciiTheme="minorHAnsi" w:hAnsiTheme="minorHAnsi"/>
          <w:color w:val="000000"/>
        </w:rPr>
        <w:t>19.3%) and Grade 3 anaemia (23.2%</w:t>
      </w:r>
      <w:r w:rsidR="00C11183">
        <w:rPr>
          <w:rFonts w:asciiTheme="minorHAnsi" w:hAnsiTheme="minorHAnsi"/>
          <w:color w:val="000000"/>
        </w:rPr>
        <w:t xml:space="preserve"> versus </w:t>
      </w:r>
      <w:r w:rsidRPr="00C94C33">
        <w:rPr>
          <w:rFonts w:asciiTheme="minorHAnsi" w:hAnsiTheme="minorHAnsi"/>
          <w:color w:val="000000"/>
        </w:rPr>
        <w:t>15.1%), with a similar incidence of Grade 3 or 4 thrombocyto</w:t>
      </w:r>
      <w:r w:rsidR="00B50F67">
        <w:rPr>
          <w:rFonts w:asciiTheme="minorHAnsi" w:hAnsiTheme="minorHAnsi"/>
          <w:color w:val="000000"/>
        </w:rPr>
        <w:t>paenia</w:t>
      </w:r>
      <w:r w:rsidRPr="00C94C33">
        <w:rPr>
          <w:rFonts w:asciiTheme="minorHAnsi" w:hAnsiTheme="minorHAnsi"/>
          <w:color w:val="000000"/>
        </w:rPr>
        <w:t xml:space="preserve"> (4.4%</w:t>
      </w:r>
      <w:r w:rsidR="00C11183">
        <w:rPr>
          <w:rFonts w:asciiTheme="minorHAnsi" w:hAnsiTheme="minorHAnsi"/>
          <w:color w:val="000000"/>
        </w:rPr>
        <w:t xml:space="preserve"> versus </w:t>
      </w:r>
      <w:r w:rsidRPr="00C94C33">
        <w:rPr>
          <w:rFonts w:asciiTheme="minorHAnsi" w:hAnsiTheme="minorHAnsi"/>
          <w:color w:val="000000"/>
        </w:rPr>
        <w:t>5.5%).</w:t>
      </w:r>
    </w:p>
    <w:p w14:paraId="7E22134E" w14:textId="46EAB803" w:rsidR="00DF61BC" w:rsidRPr="00C94C33" w:rsidRDefault="00DF61BC" w:rsidP="00B37006">
      <w:pPr>
        <w:autoSpaceDE w:val="0"/>
        <w:autoSpaceDN w:val="0"/>
        <w:adjustRightInd w:val="0"/>
        <w:rPr>
          <w:rFonts w:asciiTheme="minorHAnsi" w:hAnsiTheme="minorHAnsi"/>
        </w:rPr>
      </w:pPr>
      <w:r w:rsidRPr="00C94C33">
        <w:rPr>
          <w:rFonts w:asciiTheme="minorHAnsi" w:hAnsiTheme="minorHAnsi"/>
          <w:color w:val="000000"/>
        </w:rPr>
        <w:t>There were</w:t>
      </w:r>
      <w:r w:rsidRPr="00C94C33">
        <w:rPr>
          <w:rFonts w:asciiTheme="minorHAnsi" w:hAnsiTheme="minorHAnsi"/>
        </w:rPr>
        <w:t xml:space="preserve"> differences in the safety profile of TAS-102 between Western and Asian patients, which the sponsor suggests indicates differences in reporting patterns between Western and Asian geographical regions. The sponsor postulates that the observed differences probably reflect subtle regional differences in the usage of terms (e.g., asthenia</w:t>
      </w:r>
      <w:r w:rsidR="00C11183">
        <w:rPr>
          <w:rFonts w:asciiTheme="minorHAnsi" w:hAnsiTheme="minorHAnsi"/>
        </w:rPr>
        <w:t xml:space="preserve"> versus </w:t>
      </w:r>
      <w:r w:rsidRPr="00C94C33">
        <w:rPr>
          <w:rFonts w:asciiTheme="minorHAnsi" w:hAnsiTheme="minorHAnsi"/>
        </w:rPr>
        <w:t>fatigue) as well as cultural differences that influen</w:t>
      </w:r>
      <w:r w:rsidR="00E95C0F">
        <w:rPr>
          <w:rFonts w:asciiTheme="minorHAnsi" w:hAnsiTheme="minorHAnsi"/>
        </w:rPr>
        <w:t>ce how patients report events.</w:t>
      </w:r>
    </w:p>
    <w:p w14:paraId="7C4B8567" w14:textId="283BD276" w:rsidR="00DF61BC" w:rsidRPr="00C94C33" w:rsidRDefault="00DF61BC" w:rsidP="00DF61BC">
      <w:pPr>
        <w:rPr>
          <w:rFonts w:asciiTheme="minorHAnsi" w:hAnsiTheme="minorHAnsi"/>
        </w:rPr>
      </w:pPr>
      <w:r w:rsidRPr="00C94C33">
        <w:rPr>
          <w:rFonts w:asciiTheme="minorHAnsi" w:hAnsiTheme="minorHAnsi"/>
        </w:rPr>
        <w:t>In the TAS-102 group, Grade ≥ 3 AEs were reported in ≥ 5% more patients with moderate renal impairment (CLcr 30-59 mL/min) compared to patients with normal renal function or mild renal impairment (CLcr 60-89 mL/min (</w:t>
      </w:r>
      <w:r w:rsidR="00B2072D" w:rsidRPr="00C94C33">
        <w:rPr>
          <w:rFonts w:asciiTheme="minorHAnsi" w:hAnsiTheme="minorHAnsi"/>
        </w:rPr>
        <w:t>that is,</w:t>
      </w:r>
      <w:r w:rsidRPr="00C94C33">
        <w:rPr>
          <w:rFonts w:asciiTheme="minorHAnsi" w:hAnsiTheme="minorHAnsi"/>
        </w:rPr>
        <w:t xml:space="preserve"> 85.1%</w:t>
      </w:r>
      <w:r w:rsidR="00C11183">
        <w:rPr>
          <w:rFonts w:asciiTheme="minorHAnsi" w:hAnsiTheme="minorHAnsi"/>
        </w:rPr>
        <w:t xml:space="preserve"> versus </w:t>
      </w:r>
      <w:r w:rsidRPr="00C94C33">
        <w:rPr>
          <w:rFonts w:asciiTheme="minorHAnsi" w:hAnsiTheme="minorHAnsi"/>
        </w:rPr>
        <w:t>66.7%</w:t>
      </w:r>
      <w:r w:rsidR="00C11183">
        <w:rPr>
          <w:rFonts w:asciiTheme="minorHAnsi" w:hAnsiTheme="minorHAnsi"/>
        </w:rPr>
        <w:t xml:space="preserve"> versus </w:t>
      </w:r>
      <w:r w:rsidRPr="00C94C33">
        <w:rPr>
          <w:rFonts w:asciiTheme="minorHAnsi" w:hAnsiTheme="minorHAnsi"/>
        </w:rPr>
        <w:t>70.8%, respectively), as were treatment related Grade ≥ 3 AEs (</w:t>
      </w:r>
      <w:r w:rsidR="00B2072D" w:rsidRPr="00C94C33">
        <w:rPr>
          <w:rFonts w:asciiTheme="minorHAnsi" w:hAnsiTheme="minorHAnsi"/>
        </w:rPr>
        <w:t>that is,</w:t>
      </w:r>
      <w:r w:rsidRPr="00C94C33">
        <w:rPr>
          <w:rFonts w:asciiTheme="minorHAnsi" w:hAnsiTheme="minorHAnsi"/>
        </w:rPr>
        <w:t xml:space="preserve"> 61.7%</w:t>
      </w:r>
      <w:r w:rsidR="00C11183">
        <w:rPr>
          <w:rFonts w:asciiTheme="minorHAnsi" w:hAnsiTheme="minorHAnsi"/>
        </w:rPr>
        <w:t xml:space="preserve"> versus </w:t>
      </w:r>
      <w:r w:rsidRPr="00C94C33">
        <w:rPr>
          <w:rFonts w:asciiTheme="minorHAnsi" w:hAnsiTheme="minorHAnsi"/>
        </w:rPr>
        <w:t>52.8%</w:t>
      </w:r>
      <w:r w:rsidR="00C11183">
        <w:rPr>
          <w:rFonts w:asciiTheme="minorHAnsi" w:hAnsiTheme="minorHAnsi"/>
        </w:rPr>
        <w:t xml:space="preserve"> versus </w:t>
      </w:r>
      <w:r w:rsidRPr="00C94C33">
        <w:rPr>
          <w:rFonts w:asciiTheme="minorHAnsi" w:hAnsiTheme="minorHAnsi"/>
        </w:rPr>
        <w:t>45.1%, respectively) and SAES (</w:t>
      </w:r>
      <w:r w:rsidR="00B2072D" w:rsidRPr="00C94C33">
        <w:rPr>
          <w:rFonts w:asciiTheme="minorHAnsi" w:hAnsiTheme="minorHAnsi"/>
        </w:rPr>
        <w:t>that is,</w:t>
      </w:r>
      <w:r w:rsidRPr="00C94C33">
        <w:rPr>
          <w:rFonts w:asciiTheme="minorHAnsi" w:hAnsiTheme="minorHAnsi"/>
        </w:rPr>
        <w:t xml:space="preserve"> 42.6%</w:t>
      </w:r>
      <w:r w:rsidR="00C11183">
        <w:rPr>
          <w:rFonts w:asciiTheme="minorHAnsi" w:hAnsiTheme="minorHAnsi"/>
        </w:rPr>
        <w:t xml:space="preserve"> versus </w:t>
      </w:r>
      <w:r w:rsidRPr="00C94C33">
        <w:rPr>
          <w:rFonts w:asciiTheme="minorHAnsi" w:hAnsiTheme="minorHAnsi"/>
        </w:rPr>
        <w:t>30.3%</w:t>
      </w:r>
      <w:r w:rsidR="00C11183">
        <w:rPr>
          <w:rFonts w:asciiTheme="minorHAnsi" w:hAnsiTheme="minorHAnsi"/>
        </w:rPr>
        <w:t xml:space="preserve"> versus </w:t>
      </w:r>
      <w:r w:rsidRPr="00C94C33">
        <w:rPr>
          <w:rFonts w:asciiTheme="minorHAnsi" w:hAnsiTheme="minorHAnsi"/>
        </w:rPr>
        <w:t>27.5%, respectively). The incidence of dose reductions was increased in patients with renal impairment (</w:t>
      </w:r>
      <w:r w:rsidR="00B2072D" w:rsidRPr="00C94C33">
        <w:rPr>
          <w:rFonts w:asciiTheme="minorHAnsi" w:hAnsiTheme="minorHAnsi"/>
        </w:rPr>
        <w:t>that is,</w:t>
      </w:r>
      <w:r w:rsidRPr="00C94C33">
        <w:rPr>
          <w:rFonts w:asciiTheme="minorHAnsi" w:hAnsiTheme="minorHAnsi"/>
        </w:rPr>
        <w:t xml:space="preserve"> 10.8%, 16.3%, and 23.4%, for normal renal function, mild renal impairment, and moderate renal impairment respectively.  There were no safety data in patients with severe renal impairment or ESRD. There were no safety data in pa</w:t>
      </w:r>
      <w:r w:rsidR="00E95C0F">
        <w:rPr>
          <w:rFonts w:asciiTheme="minorHAnsi" w:hAnsiTheme="minorHAnsi"/>
        </w:rPr>
        <w:t>tients with hepatic impairment.</w:t>
      </w:r>
    </w:p>
    <w:p w14:paraId="7849BA2C" w14:textId="77777777" w:rsidR="00DF61BC" w:rsidRPr="00C94C33" w:rsidRDefault="00DF61BC" w:rsidP="00955252">
      <w:pPr>
        <w:pStyle w:val="Heading3"/>
      </w:pPr>
      <w:bookmarkStart w:id="477" w:name="_Toc236802597"/>
      <w:bookmarkStart w:id="478" w:name="_Toc241374335"/>
      <w:bookmarkStart w:id="479" w:name="_Toc272414695"/>
      <w:bookmarkStart w:id="480" w:name="_Toc290846333"/>
      <w:bookmarkStart w:id="481" w:name="_Toc470948616"/>
      <w:bookmarkStart w:id="482" w:name="_Toc510016904"/>
      <w:r w:rsidRPr="00C94C33">
        <w:t>First round assessment of benefit-risk balance</w:t>
      </w:r>
      <w:bookmarkEnd w:id="477"/>
      <w:bookmarkEnd w:id="478"/>
      <w:bookmarkEnd w:id="479"/>
      <w:bookmarkEnd w:id="480"/>
      <w:bookmarkEnd w:id="481"/>
      <w:bookmarkEnd w:id="482"/>
    </w:p>
    <w:p w14:paraId="3F7830A2" w14:textId="6BFE4099" w:rsidR="00DF61BC" w:rsidRPr="00C94C33" w:rsidRDefault="00DF61BC" w:rsidP="00DF61BC">
      <w:r w:rsidRPr="00C94C33">
        <w:t xml:space="preserve">The benefit-risk balance of TAS-102, given the proposed usage, is favourable. In the pivotal study </w:t>
      </w:r>
      <w:r w:rsidR="00A0007E" w:rsidRPr="00C94C33">
        <w:t>(</w:t>
      </w:r>
      <w:r w:rsidRPr="00C94C33">
        <w:t>RE</w:t>
      </w:r>
      <w:r w:rsidR="00607BDB" w:rsidRPr="00C94C33">
        <w:t>COURS</w:t>
      </w:r>
      <w:r w:rsidRPr="00C94C33">
        <w:t>E</w:t>
      </w:r>
      <w:r w:rsidR="00A0007E" w:rsidRPr="00C94C33">
        <w:t>)</w:t>
      </w:r>
      <w:r w:rsidRPr="00C94C33">
        <w:t>, there was a modest statistically significant improvement in median OS of 1.8 months in the TAS-102 group compared to the placebo group at the date of the primary analysis, and 2.0 months at the time of the updated analysis. In addition there was a small statistically significant improvement in median PFS of 0.3 months of doubtful clinical significance in the TAS-102 group</w:t>
      </w:r>
      <w:r w:rsidR="00E95C0F">
        <w:t xml:space="preserve"> compared to the placebo group.</w:t>
      </w:r>
    </w:p>
    <w:p w14:paraId="00EE7A11" w14:textId="082A391A" w:rsidR="000142FD" w:rsidRPr="00C94C33" w:rsidRDefault="00DF61BC" w:rsidP="000142FD">
      <w:r w:rsidRPr="00C94C33">
        <w:t>Balanced against the modest benefit in OS, there was a marked increase in the risks of myelosuppression, nausea, vomiting, diarrhoea and infection in patients in the TAS-102 group compared to placebo. However, the adverse events associated with TAS-102 were generally manageable by dose interruption/delay or reduction rather than treatment discontinuation. Fatal AEs occurred uncommonly in patients in the TAS-102 group and were more frequent in patients in the placebo group. Overall, the benefit-risk profile of TAS-102 should be interpreted in the context of its proposed usage for patients with mCRC who have been previously treated with</w:t>
      </w:r>
      <w:r w:rsidR="00E95C0F">
        <w:t xml:space="preserve"> standard available therapies.</w:t>
      </w:r>
    </w:p>
    <w:p w14:paraId="57CD8F07" w14:textId="77777777" w:rsidR="00C22678" w:rsidRPr="00C94C33" w:rsidRDefault="00C22678" w:rsidP="00955252">
      <w:pPr>
        <w:pStyle w:val="Heading2"/>
      </w:pPr>
      <w:bookmarkStart w:id="483" w:name="_Toc510016905"/>
      <w:r w:rsidRPr="00C94C33">
        <w:t>First round recommendation regarding authorisation</w:t>
      </w:r>
      <w:bookmarkEnd w:id="483"/>
    </w:p>
    <w:p w14:paraId="03F4E9DF" w14:textId="77777777" w:rsidR="0085068D" w:rsidRPr="00C94C33" w:rsidRDefault="00DF61BC" w:rsidP="0085068D">
      <w:r w:rsidRPr="00C94C33">
        <w:t>It is recommended that trifluridine/tipiracil be approved for the treatment of adult patients with metastatic colorectal cancer (mCRC) who have been previously treated with, or are not considered candidates for, available therapies including fluoropyrimidine-, oxaliplatin- and irinotecan-based chemotherapies, anti-VEGF agents, and anti-EG</w:t>
      </w:r>
      <w:r w:rsidR="00B37006" w:rsidRPr="00C94C33">
        <w:t>FR agents.</w:t>
      </w:r>
    </w:p>
    <w:p w14:paraId="65BCC549" w14:textId="77777777" w:rsidR="00C22678" w:rsidRPr="00C94C33" w:rsidRDefault="00C22678" w:rsidP="00955252">
      <w:pPr>
        <w:pStyle w:val="Heading2"/>
      </w:pPr>
      <w:bookmarkStart w:id="484" w:name="_Toc510016906"/>
      <w:r w:rsidRPr="00C94C33">
        <w:lastRenderedPageBreak/>
        <w:t>Clinical questions</w:t>
      </w:r>
      <w:bookmarkEnd w:id="484"/>
    </w:p>
    <w:p w14:paraId="15E960FB" w14:textId="77777777" w:rsidR="00DF61BC" w:rsidRPr="005C2FCA" w:rsidRDefault="00DF61BC" w:rsidP="00955252">
      <w:pPr>
        <w:pStyle w:val="Heading3"/>
      </w:pPr>
      <w:bookmarkStart w:id="485" w:name="_Toc470948623"/>
      <w:bookmarkStart w:id="486" w:name="_Toc510016907"/>
      <w:r w:rsidRPr="005C2FCA">
        <w:t>Pharmacokinetics</w:t>
      </w:r>
      <w:bookmarkEnd w:id="485"/>
      <w:bookmarkEnd w:id="486"/>
    </w:p>
    <w:p w14:paraId="482C35CE" w14:textId="77777777" w:rsidR="00AA7141" w:rsidRDefault="00DF61BC" w:rsidP="00231BC7">
      <w:pPr>
        <w:pStyle w:val="Numberbullet0"/>
        <w:numPr>
          <w:ilvl w:val="0"/>
          <w:numId w:val="27"/>
        </w:numPr>
      </w:pPr>
      <w:r w:rsidRPr="005C2FCA">
        <w:t>Please indicate when the TGA can expect to receive the dedicated renal impairment and dedicated hepatic impairment studies.</w:t>
      </w:r>
    </w:p>
    <w:p w14:paraId="529657D8" w14:textId="77777777" w:rsidR="00AA7141" w:rsidRDefault="00DF61BC" w:rsidP="00B37006">
      <w:pPr>
        <w:pStyle w:val="Numberbullet0"/>
      </w:pPr>
      <w:r w:rsidRPr="00C94C33">
        <w:t>TPI is metabolised primarily to 6-hydroxymethyl uracil (6-HMU). Please identi</w:t>
      </w:r>
      <w:r w:rsidR="00B37006" w:rsidRPr="00C94C33">
        <w:t>fy the sites and me</w:t>
      </w:r>
      <w:r w:rsidRPr="00C94C33">
        <w:t>chanisms involved in this transformation.</w:t>
      </w:r>
    </w:p>
    <w:p w14:paraId="701B4F5E" w14:textId="77777777" w:rsidR="00AA7141" w:rsidRDefault="00DF61BC" w:rsidP="00955252">
      <w:pPr>
        <w:pStyle w:val="Heading3"/>
      </w:pPr>
      <w:bookmarkStart w:id="487" w:name="_Toc470948624"/>
      <w:bookmarkStart w:id="488" w:name="_Toc510016908"/>
      <w:r w:rsidRPr="005C2FCA">
        <w:t>Safety</w:t>
      </w:r>
      <w:bookmarkEnd w:id="487"/>
      <w:bookmarkEnd w:id="488"/>
    </w:p>
    <w:p w14:paraId="18E81439" w14:textId="77777777" w:rsidR="00AA7141" w:rsidRDefault="00DF61BC" w:rsidP="00B37006">
      <w:pPr>
        <w:pStyle w:val="Numberbullet0"/>
      </w:pPr>
      <w:r w:rsidRPr="005C2FCA">
        <w:t xml:space="preserve">In the pivotal study </w:t>
      </w:r>
      <w:r w:rsidR="00A0007E" w:rsidRPr="005C2FCA">
        <w:t>(</w:t>
      </w:r>
      <w:r w:rsidRPr="005C2FCA">
        <w:t>RECOURSE</w:t>
      </w:r>
      <w:r w:rsidR="00A0007E" w:rsidRPr="005C2FCA">
        <w:t>)</w:t>
      </w:r>
      <w:r w:rsidRPr="005C2FCA">
        <w:t xml:space="preserve">, </w:t>
      </w:r>
      <w:r w:rsidRPr="00C94C33">
        <w:t>the total number of weeks of exposure was approximately 4-fold longer in the TAS-102 group than in the placebo group (6743</w:t>
      </w:r>
      <w:r w:rsidR="00C11183">
        <w:t xml:space="preserve"> versus </w:t>
      </w:r>
      <w:r w:rsidRPr="00C94C33">
        <w:t xml:space="preserve">1791 weeks respectively). No safety data could be identified in the study report comparing safety outcomes in the two treatment groups adjusted for duration of exposure. Please justify the absence of pivotal comparative safety data </w:t>
      </w:r>
      <w:r w:rsidR="00A0007E" w:rsidRPr="00C94C33">
        <w:t>(</w:t>
      </w:r>
      <w:r w:rsidRPr="00C94C33">
        <w:t>RECOURSE</w:t>
      </w:r>
      <w:r w:rsidR="00A0007E" w:rsidRPr="00C94C33">
        <w:t>)</w:t>
      </w:r>
      <w:r w:rsidRPr="00C94C33">
        <w:t xml:space="preserve"> adjusted for duration of exposure.</w:t>
      </w:r>
    </w:p>
    <w:p w14:paraId="2FFAB329" w14:textId="62C0C8E6" w:rsidR="00DF61BC" w:rsidRPr="00C94C33" w:rsidRDefault="00DF61BC" w:rsidP="00B37006">
      <w:pPr>
        <w:pStyle w:val="Numberbullet0"/>
      </w:pPr>
      <w:r w:rsidRPr="005C2FCA">
        <w:t xml:space="preserve">In the pivotal study </w:t>
      </w:r>
      <w:r w:rsidR="00A0007E" w:rsidRPr="005C2FCA">
        <w:t>(</w:t>
      </w:r>
      <w:r w:rsidRPr="005C2FCA">
        <w:t>RECOURSE</w:t>
      </w:r>
      <w:r w:rsidR="00A0007E" w:rsidRPr="005C2FCA">
        <w:t>)</w:t>
      </w:r>
      <w:r w:rsidRPr="005C2FCA">
        <w:t xml:space="preserve">, </w:t>
      </w:r>
      <w:r w:rsidRPr="00C94C33">
        <w:t>proteinuria (all grades) was reported more commonly in patients in the TAS-102 group than in the placebo group (4.1%</w:t>
      </w:r>
      <w:r w:rsidR="00C11183">
        <w:t xml:space="preserve"> versus </w:t>
      </w:r>
      <w:r w:rsidRPr="00C94C33">
        <w:t>1.9%). Please comment on the possible reasons for this imbalance.</w:t>
      </w:r>
    </w:p>
    <w:p w14:paraId="3FB7FFD1" w14:textId="77777777" w:rsidR="00C618F7" w:rsidRPr="00C94C33" w:rsidRDefault="00C618F7" w:rsidP="00955252">
      <w:pPr>
        <w:pStyle w:val="Heading2"/>
      </w:pPr>
      <w:bookmarkStart w:id="489" w:name="_Toc510016909"/>
      <w:r w:rsidRPr="00C94C33">
        <w:t>Second round evaluation of clinical data</w:t>
      </w:r>
      <w:bookmarkEnd w:id="489"/>
    </w:p>
    <w:p w14:paraId="10DDB930" w14:textId="56DD6094" w:rsidR="00DF61BC" w:rsidRPr="00C94C33" w:rsidRDefault="00DF61BC" w:rsidP="00955252">
      <w:pPr>
        <w:pStyle w:val="Heading3"/>
      </w:pPr>
      <w:bookmarkStart w:id="490" w:name="_Toc470948627"/>
      <w:bookmarkStart w:id="491" w:name="_Toc510016910"/>
      <w:r w:rsidRPr="00C94C33">
        <w:t>Pharmacokinetics</w:t>
      </w:r>
      <w:bookmarkEnd w:id="490"/>
      <w:bookmarkEnd w:id="491"/>
    </w:p>
    <w:p w14:paraId="25162C1F" w14:textId="77777777" w:rsidR="00B37006" w:rsidRPr="00C94C33" w:rsidRDefault="00CF7CF4" w:rsidP="00955252">
      <w:pPr>
        <w:pStyle w:val="Heading4"/>
      </w:pPr>
      <w:r w:rsidRPr="00C94C33">
        <w:t>Question 1</w:t>
      </w:r>
    </w:p>
    <w:p w14:paraId="5EA77840" w14:textId="13709737" w:rsidR="00B37006" w:rsidRPr="00C94C33" w:rsidRDefault="00DF61BC" w:rsidP="00B37006">
      <w:pPr>
        <w:autoSpaceDE w:val="0"/>
        <w:autoSpaceDN w:val="0"/>
        <w:adjustRightInd w:val="0"/>
        <w:rPr>
          <w:rFonts w:asciiTheme="minorHAnsi" w:hAnsiTheme="minorHAnsi"/>
          <w:bCs/>
          <w:i/>
        </w:rPr>
      </w:pPr>
      <w:r w:rsidRPr="00C94C33">
        <w:rPr>
          <w:rFonts w:asciiTheme="minorHAnsi" w:hAnsiTheme="minorHAnsi"/>
          <w:bCs/>
          <w:i/>
        </w:rPr>
        <w:t>Please indicate when the TGA can expect to receive the dedicated renal impairment and dedicated hepatic impairment studies.</w:t>
      </w:r>
    </w:p>
    <w:p w14:paraId="59BD2B08" w14:textId="77777777" w:rsidR="00DF61BC" w:rsidRPr="00C94C33" w:rsidRDefault="00B37006" w:rsidP="00955252">
      <w:pPr>
        <w:pStyle w:val="Heading5"/>
      </w:pPr>
      <w:r w:rsidRPr="00C94C33">
        <w:t>Sponsor</w:t>
      </w:r>
      <w:r w:rsidR="00CF7CF4" w:rsidRPr="00C94C33">
        <w:t xml:space="preserve"> Response</w:t>
      </w:r>
    </w:p>
    <w:p w14:paraId="4928AE71" w14:textId="5B15B4A0" w:rsidR="00DF61BC" w:rsidRPr="00C94C33" w:rsidRDefault="00DF61BC" w:rsidP="00DF61BC">
      <w:pPr>
        <w:autoSpaceDE w:val="0"/>
        <w:autoSpaceDN w:val="0"/>
        <w:adjustRightInd w:val="0"/>
        <w:rPr>
          <w:rFonts w:asciiTheme="minorHAnsi" w:hAnsiTheme="minorHAnsi"/>
          <w:color w:val="000000"/>
        </w:rPr>
      </w:pPr>
      <w:r w:rsidRPr="00C94C33">
        <w:rPr>
          <w:rFonts w:asciiTheme="minorHAnsi" w:hAnsiTheme="minorHAnsi"/>
          <w:bCs/>
        </w:rPr>
        <w:t xml:space="preserve">The sponsor’s </w:t>
      </w:r>
      <w:r w:rsidR="00307475" w:rsidRPr="005C2FCA">
        <w:rPr>
          <w:rFonts w:asciiTheme="minorHAnsi" w:hAnsiTheme="minorHAnsi"/>
          <w:bCs/>
        </w:rPr>
        <w:t>post-first round response</w:t>
      </w:r>
      <w:r w:rsidRPr="00C94C33">
        <w:rPr>
          <w:rFonts w:asciiTheme="minorHAnsi" w:hAnsiTheme="minorHAnsi"/>
          <w:bCs/>
        </w:rPr>
        <w:t xml:space="preserve"> included the clinical study report for the dedicated hepatic impairment </w:t>
      </w:r>
      <w:r w:rsidR="00307475">
        <w:rPr>
          <w:rFonts w:asciiTheme="minorHAnsi" w:hAnsiTheme="minorHAnsi"/>
          <w:bCs/>
        </w:rPr>
        <w:t>S</w:t>
      </w:r>
      <w:r w:rsidRPr="00C94C33">
        <w:rPr>
          <w:rFonts w:asciiTheme="minorHAnsi" w:hAnsiTheme="minorHAnsi"/>
          <w:bCs/>
        </w:rPr>
        <w:t xml:space="preserve">tudy TO-TAS-102-106. The sponsor states that </w:t>
      </w:r>
      <w:r w:rsidR="00842E8F" w:rsidRPr="00C94C33">
        <w:rPr>
          <w:rFonts w:asciiTheme="minorHAnsi" w:hAnsiTheme="minorHAnsi"/>
          <w:bCs/>
        </w:rPr>
        <w:t>‘</w:t>
      </w:r>
      <w:r w:rsidR="00A0007E" w:rsidRPr="00C94C33">
        <w:rPr>
          <w:rFonts w:asciiTheme="minorHAnsi" w:hAnsiTheme="minorHAnsi"/>
          <w:bCs/>
        </w:rPr>
        <w:t>(</w:t>
      </w:r>
      <w:r w:rsidRPr="00C94C33">
        <w:rPr>
          <w:rFonts w:asciiTheme="minorHAnsi" w:hAnsiTheme="minorHAnsi"/>
          <w:bCs/>
        </w:rPr>
        <w:t>b</w:t>
      </w:r>
      <w:r w:rsidR="00A0007E" w:rsidRPr="00C94C33">
        <w:rPr>
          <w:rFonts w:asciiTheme="minorHAnsi" w:hAnsiTheme="minorHAnsi"/>
          <w:bCs/>
        </w:rPr>
        <w:t>)</w:t>
      </w:r>
      <w:r w:rsidRPr="00C94C33">
        <w:rPr>
          <w:rFonts w:asciiTheme="minorHAnsi" w:hAnsiTheme="minorHAnsi"/>
          <w:color w:val="000000"/>
        </w:rPr>
        <w:t xml:space="preserve">ased on the study results, changes to the EU SmPC </w:t>
      </w:r>
      <w:r w:rsidR="00A0007E" w:rsidRPr="00C94C33">
        <w:rPr>
          <w:rFonts w:asciiTheme="minorHAnsi" w:hAnsiTheme="minorHAnsi"/>
          <w:color w:val="000000"/>
        </w:rPr>
        <w:t>(</w:t>
      </w:r>
      <w:r w:rsidRPr="00C94C33">
        <w:rPr>
          <w:rFonts w:asciiTheme="minorHAnsi" w:hAnsiTheme="minorHAnsi"/>
          <w:color w:val="000000"/>
        </w:rPr>
        <w:t>were</w:t>
      </w:r>
      <w:r w:rsidR="00A0007E" w:rsidRPr="00C94C33">
        <w:rPr>
          <w:rFonts w:asciiTheme="minorHAnsi" w:hAnsiTheme="minorHAnsi"/>
          <w:color w:val="000000"/>
        </w:rPr>
        <w:t>)</w:t>
      </w:r>
      <w:r w:rsidRPr="00C94C33">
        <w:rPr>
          <w:rFonts w:asciiTheme="minorHAnsi" w:hAnsiTheme="minorHAnsi"/>
          <w:color w:val="000000"/>
        </w:rPr>
        <w:t xml:space="preserve"> proposed to the EMA in November 2016 and are also proposed to the TGA with the </w:t>
      </w:r>
      <w:r w:rsidR="00307475">
        <w:rPr>
          <w:rFonts w:asciiTheme="minorHAnsi" w:hAnsiTheme="minorHAnsi"/>
          <w:color w:val="000000"/>
        </w:rPr>
        <w:t>[post first-round]</w:t>
      </w:r>
      <w:r w:rsidRPr="00C94C33">
        <w:rPr>
          <w:rFonts w:asciiTheme="minorHAnsi" w:hAnsiTheme="minorHAnsi"/>
          <w:color w:val="000000"/>
        </w:rPr>
        <w:t xml:space="preserve"> response</w:t>
      </w:r>
      <w:r w:rsidR="00842E8F" w:rsidRPr="00C94C33">
        <w:rPr>
          <w:rFonts w:asciiTheme="minorHAnsi" w:hAnsiTheme="minorHAnsi"/>
          <w:color w:val="000000"/>
        </w:rPr>
        <w:t>’</w:t>
      </w:r>
      <w:r w:rsidRPr="00C94C33">
        <w:rPr>
          <w:rFonts w:asciiTheme="minorHAnsi" w:hAnsiTheme="minorHAnsi"/>
          <w:color w:val="000000"/>
        </w:rPr>
        <w:t>. The sponsor stated that the dedicated renal impairment study is due to be completed by September 2017 with a study report by December 2017.</w:t>
      </w:r>
    </w:p>
    <w:p w14:paraId="38B90B67" w14:textId="77777777" w:rsidR="00DF61BC" w:rsidRPr="00C94C33" w:rsidRDefault="00CF7CF4" w:rsidP="00955252">
      <w:pPr>
        <w:pStyle w:val="Heading5"/>
      </w:pPr>
      <w:r w:rsidRPr="00C94C33">
        <w:t>Evaluation of response</w:t>
      </w:r>
    </w:p>
    <w:p w14:paraId="2DF74CE7" w14:textId="6ABF4FF0" w:rsidR="00DF61BC" w:rsidRPr="00C94C33" w:rsidRDefault="00DF61BC" w:rsidP="00DF61BC">
      <w:pPr>
        <w:rPr>
          <w:rFonts w:asciiTheme="minorHAnsi" w:hAnsiTheme="minorHAnsi" w:cstheme="minorHAnsi"/>
          <w:bCs/>
        </w:rPr>
      </w:pPr>
      <w:r w:rsidRPr="00C94C33">
        <w:rPr>
          <w:rFonts w:asciiTheme="minorHAnsi" w:hAnsiTheme="minorHAnsi" w:cstheme="minorHAnsi"/>
          <w:bCs/>
        </w:rPr>
        <w:t>The sponsor’s response is satisfactory. The dedicated hepatic impairment study has been evaluated and the results are reported immediately below. The sponsor is requested to submit the report for the dedicated renal impairment study to the TGA when it is finalised.</w:t>
      </w:r>
    </w:p>
    <w:p w14:paraId="034E15A2" w14:textId="77777777" w:rsidR="00DF61BC" w:rsidRPr="00C94C33" w:rsidRDefault="002C323E" w:rsidP="00955252">
      <w:pPr>
        <w:pStyle w:val="Heading4"/>
        <w:rPr>
          <w:color w:val="000000"/>
        </w:rPr>
      </w:pPr>
      <w:r w:rsidRPr="00C94C33">
        <w:t>Evaluation of the dedicated hepatic impairment study</w:t>
      </w:r>
    </w:p>
    <w:p w14:paraId="65A0A7EA" w14:textId="486AA705" w:rsidR="00DF61BC" w:rsidRPr="00C94C33" w:rsidRDefault="00DF61BC" w:rsidP="00955252">
      <w:pPr>
        <w:pStyle w:val="Heading5"/>
      </w:pPr>
      <w:r w:rsidRPr="00C94C33">
        <w:t>Title, location and dates</w:t>
      </w:r>
    </w:p>
    <w:p w14:paraId="5F56A176" w14:textId="6DAEF5F2" w:rsidR="00DF61BC" w:rsidRPr="00C94C33" w:rsidRDefault="00DF61BC" w:rsidP="00DF61BC">
      <w:pPr>
        <w:autoSpaceDE w:val="0"/>
        <w:autoSpaceDN w:val="0"/>
        <w:adjustRightInd w:val="0"/>
        <w:rPr>
          <w:iCs/>
        </w:rPr>
      </w:pPr>
      <w:r w:rsidRPr="00C94C33">
        <w:rPr>
          <w:iCs/>
        </w:rPr>
        <w:t>Phase I, open-label study which aims to evaluate the safety, tolerability, and pharmacokinetics of TAS-102 in patients with advanced solid tumours and varying degrees of hepatic imp</w:t>
      </w:r>
      <w:r w:rsidR="00E95C0F">
        <w:rPr>
          <w:iCs/>
        </w:rPr>
        <w:t>airment (TO-TAS-102-106).</w:t>
      </w:r>
    </w:p>
    <w:p w14:paraId="197D1A77" w14:textId="3E9635D2" w:rsidR="00DF61BC" w:rsidRPr="005C2FCA" w:rsidRDefault="00DF61BC" w:rsidP="00DF61BC">
      <w:pPr>
        <w:widowControl w:val="0"/>
        <w:autoSpaceDE w:val="0"/>
        <w:autoSpaceDN w:val="0"/>
        <w:adjustRightInd w:val="0"/>
        <w:rPr>
          <w:rFonts w:cs="Times"/>
        </w:rPr>
      </w:pPr>
      <w:r w:rsidRPr="00C94C33">
        <w:t xml:space="preserve">The study was undertaken at 7 centres in the USA between 23 February 2015 and 4 April 2016, and the final study report was dated 26 October 2016. The study was sponsored by Taiho Oncology, Inc. </w:t>
      </w:r>
      <w:r w:rsidRPr="005C2FCA">
        <w:rPr>
          <w:rFonts w:cs="Times"/>
        </w:rPr>
        <w:t>The study is reported to have been conducted in accordance with International Conference on Harmonisation (ICH) Good Clinical Practice (GCP) Guidelines.</w:t>
      </w:r>
    </w:p>
    <w:p w14:paraId="6F6CFE9A" w14:textId="5B4C5B53" w:rsidR="00DF61BC" w:rsidRPr="005C2FCA" w:rsidRDefault="00E95C0F" w:rsidP="00955252">
      <w:pPr>
        <w:pStyle w:val="Heading5"/>
      </w:pPr>
      <w:r>
        <w:lastRenderedPageBreak/>
        <w:t>Objectives</w:t>
      </w:r>
    </w:p>
    <w:p w14:paraId="43703CB3" w14:textId="239B8C50" w:rsidR="00DF61BC" w:rsidRPr="005C2FCA" w:rsidRDefault="00DF61BC" w:rsidP="00DF61BC">
      <w:r w:rsidRPr="005C2FCA">
        <w:t>The primary objectives of the PK Part (Cycle 1) of the study were: (i) to evaluate the impact of hepatic impairment on the PK profile of TAS-102 (FTD and TPI) and FTY (the major metabolite of FTD); and (ii) to assess the safety and tolerability of TAS-102 in advanced solid tumour patients with varying degrees of hepatic impairment.</w:t>
      </w:r>
    </w:p>
    <w:p w14:paraId="43D58874" w14:textId="2162966E" w:rsidR="00DF61BC" w:rsidRPr="005C2FCA" w:rsidRDefault="00DF61BC" w:rsidP="00DF61BC">
      <w:r w:rsidRPr="005C2FCA">
        <w:t>The exploratory objective of the Extension Part (Cycles ≥ 2) of the study was to assess the safety and tolerability of TAS-102 in advanced solid tumour patients with varying degrees of hepatic impairment in Cycles 2 and beyond.</w:t>
      </w:r>
    </w:p>
    <w:p w14:paraId="71E0936B" w14:textId="27D39484" w:rsidR="00DF61BC" w:rsidRPr="005C2FCA" w:rsidRDefault="00E95C0F" w:rsidP="00955252">
      <w:pPr>
        <w:pStyle w:val="Heading5"/>
      </w:pPr>
      <w:r>
        <w:t>Design</w:t>
      </w:r>
    </w:p>
    <w:p w14:paraId="4F846270" w14:textId="730AD5FA" w:rsidR="00DF61BC" w:rsidRPr="005C2FCA" w:rsidRDefault="00DF61BC" w:rsidP="00DF61BC">
      <w:pPr>
        <w:widowControl w:val="0"/>
        <w:autoSpaceDE w:val="0"/>
        <w:autoSpaceDN w:val="0"/>
        <w:adjustRightInd w:val="0"/>
        <w:rPr>
          <w:rFonts w:cs="Times"/>
        </w:rPr>
      </w:pPr>
      <w:r w:rsidRPr="005C2FCA">
        <w:rPr>
          <w:rFonts w:cs="Times"/>
        </w:rPr>
        <w:t xml:space="preserve">The study was designed as a </w:t>
      </w:r>
      <w:r w:rsidR="00842E8F" w:rsidRPr="005C2FCA">
        <w:rPr>
          <w:rFonts w:cs="Times"/>
        </w:rPr>
        <w:t>Phase I</w:t>
      </w:r>
      <w:r w:rsidRPr="005C2FCA">
        <w:rPr>
          <w:rFonts w:cs="Times"/>
        </w:rPr>
        <w:t xml:space="preserve">, open-label study to evaluate the safety, tolerability, and PK of TAS-102 (FTD and TPI) and FTY (the major metabolite of FTD) in advanced solid tumour patients (excluding breast cancer) with varying degrees of hepatic impairment after single-dose and multiple-dose oral administration. The study was conducted in order to provide specific dosing recommendations for patients with hepatic impairment. The study was conducted in 2 parts (PK Part </w:t>
      </w:r>
      <w:r w:rsidR="00A0007E" w:rsidRPr="005C2FCA">
        <w:rPr>
          <w:rFonts w:cs="Times"/>
        </w:rPr>
        <w:t>(</w:t>
      </w:r>
      <w:r w:rsidRPr="005C2FCA">
        <w:rPr>
          <w:rFonts w:cs="Times"/>
        </w:rPr>
        <w:t>Cycle 1</w:t>
      </w:r>
      <w:r w:rsidR="00A0007E" w:rsidRPr="005C2FCA">
        <w:rPr>
          <w:rFonts w:cs="Times"/>
        </w:rPr>
        <w:t>)</w:t>
      </w:r>
      <w:r w:rsidRPr="005C2FCA">
        <w:rPr>
          <w:rFonts w:cs="Times"/>
        </w:rPr>
        <w:t xml:space="preserve"> and Extension Part </w:t>
      </w:r>
      <w:r w:rsidR="00A0007E" w:rsidRPr="005C2FCA">
        <w:rPr>
          <w:rFonts w:cs="Times"/>
        </w:rPr>
        <w:t>(</w:t>
      </w:r>
      <w:r w:rsidRPr="005C2FCA">
        <w:rPr>
          <w:rFonts w:cs="Times"/>
        </w:rPr>
        <w:t>Cycles ≥ 2</w:t>
      </w:r>
      <w:r w:rsidR="00A0007E" w:rsidRPr="005C2FCA">
        <w:rPr>
          <w:rFonts w:cs="Times"/>
        </w:rPr>
        <w:t>)</w:t>
      </w:r>
      <w:r w:rsidRPr="005C2FCA">
        <w:rPr>
          <w:rFonts w:cs="Times"/>
        </w:rPr>
        <w:t>).</w:t>
      </w:r>
    </w:p>
    <w:p w14:paraId="24C13230" w14:textId="01BFDE78" w:rsidR="00DF61BC" w:rsidRPr="005C2FCA" w:rsidRDefault="00DF61BC" w:rsidP="00DF61BC">
      <w:pPr>
        <w:widowControl w:val="0"/>
        <w:autoSpaceDE w:val="0"/>
        <w:autoSpaceDN w:val="0"/>
        <w:adjustRightInd w:val="0"/>
        <w:rPr>
          <w:rFonts w:cs="Times"/>
        </w:rPr>
      </w:pPr>
      <w:r w:rsidRPr="00C94C33">
        <w:t>In this study, hepatic impairment was based on the National Cancer Institute (NCI) Hepatic Impairment Classification Criteria (see below).</w:t>
      </w:r>
      <w:r w:rsidRPr="005C2FCA">
        <w:rPr>
          <w:rFonts w:cs="Times"/>
        </w:rPr>
        <w:t xml:space="preserve"> </w:t>
      </w:r>
      <w:r w:rsidRPr="00C94C33">
        <w:t xml:space="preserve">In the PK Part (Cycle 1), </w:t>
      </w:r>
      <w:r w:rsidRPr="005C2FCA">
        <w:rPr>
          <w:rFonts w:cs="Times"/>
        </w:rPr>
        <w:t>patients must have fulfilled both total bilirubin and aspartate aminotransferase (AST) criteria to have been included in the relevant study group. However, if a patient’s total bilirubin level and AST level indicated different groups, the patient may have been enrolled in the group with the greatest degree of liver dysfunction based on the criteria. No distinction was to be made between liver dysfunction due to metastases and liver dysfunction resulting from other causes.</w:t>
      </w:r>
    </w:p>
    <w:p w14:paraId="22AF2A90" w14:textId="38C664CE" w:rsidR="00DF61BC" w:rsidRPr="00C94C33" w:rsidRDefault="00CF7CF4" w:rsidP="0058475B">
      <w:pPr>
        <w:pStyle w:val="Tabletitle"/>
      </w:pPr>
      <w:r w:rsidRPr="00C94C33">
        <w:t>Table 68</w:t>
      </w:r>
      <w:r w:rsidR="00DF61BC" w:rsidRPr="00C94C33">
        <w:t>: NCI Hepatic Impairment Classification Criteria</w:t>
      </w:r>
    </w:p>
    <w:p w14:paraId="3500A8F6" w14:textId="77777777" w:rsidR="00DF61BC" w:rsidRPr="00C94C33" w:rsidRDefault="00DF61BC" w:rsidP="00DF61BC">
      <w:r w:rsidRPr="00691F71">
        <w:rPr>
          <w:noProof/>
          <w:lang w:eastAsia="en-AU"/>
        </w:rPr>
        <w:drawing>
          <wp:inline distT="0" distB="0" distL="0" distR="0" wp14:anchorId="3258317B" wp14:editId="7C6F0E1A">
            <wp:extent cx="5270500" cy="1607583"/>
            <wp:effectExtent l="0" t="0" r="6350" b="0"/>
            <wp:docPr id="13" name="Picture 13" descr="Table 68: NCI Hepatic Impairment Classification Crite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0500" cy="1607583"/>
                    </a:xfrm>
                    <a:prstGeom prst="rect">
                      <a:avLst/>
                    </a:prstGeom>
                    <a:noFill/>
                    <a:ln>
                      <a:noFill/>
                    </a:ln>
                  </pic:spPr>
                </pic:pic>
              </a:graphicData>
            </a:graphic>
          </wp:inline>
        </w:drawing>
      </w:r>
    </w:p>
    <w:p w14:paraId="755EA641" w14:textId="0ED8A9B2" w:rsidR="00DF61BC" w:rsidRPr="00C94C33" w:rsidRDefault="00DF61BC" w:rsidP="00DF61BC">
      <w:r w:rsidRPr="00C94C33">
        <w:t xml:space="preserve">Patients were to be enrolled in 3 parallel Cohorts (0 </w:t>
      </w:r>
      <w:r w:rsidR="00A0007E" w:rsidRPr="00C94C33">
        <w:t>(</w:t>
      </w:r>
      <w:r w:rsidRPr="00C94C33">
        <w:t>normal hepatic function</w:t>
      </w:r>
      <w:r w:rsidR="00A0007E" w:rsidRPr="00C94C33">
        <w:t>)</w:t>
      </w:r>
      <w:r w:rsidRPr="00C94C33">
        <w:t xml:space="preserve">, 1 </w:t>
      </w:r>
      <w:r w:rsidR="00A0007E" w:rsidRPr="00C94C33">
        <w:t>(</w:t>
      </w:r>
      <w:r w:rsidRPr="00C94C33">
        <w:t>mild hepatic impairment</w:t>
      </w:r>
      <w:r w:rsidR="00A0007E" w:rsidRPr="00C94C33">
        <w:t>)</w:t>
      </w:r>
      <w:r w:rsidRPr="00C94C33">
        <w:t xml:space="preserve">, and 2 </w:t>
      </w:r>
      <w:r w:rsidR="00A0007E" w:rsidRPr="00C94C33">
        <w:t>(</w:t>
      </w:r>
      <w:r w:rsidRPr="00C94C33">
        <w:t>moderate hepatic impairment</w:t>
      </w:r>
      <w:r w:rsidR="00A0007E" w:rsidRPr="00C94C33">
        <w:t>)</w:t>
      </w:r>
      <w:r w:rsidRPr="00C94C33">
        <w:t>) according to their basel</w:t>
      </w:r>
      <w:r w:rsidR="00B37006" w:rsidRPr="00C94C33">
        <w:t>ine hepatic function, with enro</w:t>
      </w:r>
      <w:r w:rsidRPr="00C94C33">
        <w:t xml:space="preserve">lment into a fourth cohort (Cohort 3 </w:t>
      </w:r>
      <w:r w:rsidR="00A0007E" w:rsidRPr="00C94C33">
        <w:t>(</w:t>
      </w:r>
      <w:r w:rsidRPr="00C94C33">
        <w:t>severe hepatic impairment</w:t>
      </w:r>
      <w:r w:rsidR="00A0007E" w:rsidRPr="00C94C33">
        <w:t>)</w:t>
      </w:r>
      <w:r w:rsidRPr="00C94C33">
        <w:t xml:space="preserve">) being dependent on the results of an interim assessment of safety, tolerability and PK in cohorts 0, 1, and 2. </w:t>
      </w:r>
      <w:r w:rsidRPr="005C2FCA">
        <w:rPr>
          <w:rFonts w:cs="Times"/>
        </w:rPr>
        <w:t xml:space="preserve">Approximately 8 patients were to be enrolled in each cohort to ensure a sufficient number (approximately 6) of evaluable patients. </w:t>
      </w:r>
      <w:r w:rsidRPr="00C94C33">
        <w:t>No patients were enrolled in Cohort 3 (severe hepatic impairment) due to the study being discontinued because of the high incidence of Grade 3 or 4 increased bilirubin levels in patients in Cohort 2 (moderate hepatic impairment).</w:t>
      </w:r>
    </w:p>
    <w:p w14:paraId="4B1CF0FE" w14:textId="28F2DC72" w:rsidR="00DF61BC" w:rsidRPr="00C94C33" w:rsidRDefault="00DF61BC" w:rsidP="00DF61BC">
      <w:r w:rsidRPr="00C94C33">
        <w:t>Each treatment cycle was 28 days in duration. During the PK Part (Cycle 1), patients in Cohorts 0, 1, and 2 received the recommended oral dose of TAS-102, 35 mg/m</w:t>
      </w:r>
      <w:r w:rsidRPr="00C94C33">
        <w:rPr>
          <w:vertAlign w:val="superscript"/>
        </w:rPr>
        <w:t>2</w:t>
      </w:r>
      <w:r w:rsidRPr="00C94C33">
        <w:t xml:space="preserve">, BD based on BSA. TAS-102 was administered orally BD on Days 1 through 5 of Cycle 1 one hour after completing a morning and evening meal, followed by a recovery period from Days 6 through 7. TAS-102 was administered BD again on Days 8 through 12, with the last dose administered in the evening of Day 12, followed by a recovery period from Days 13 through 28. On Day 1 and Day 12, patients received both morning and evening doses of TAS-102 and blood samples for PK analysis were collected at pre-specified time-points.  </w:t>
      </w:r>
      <w:r w:rsidRPr="005C2FCA">
        <w:rPr>
          <w:rFonts w:cs="Times"/>
        </w:rPr>
        <w:t>The primary milestone for analysis and reporting of the final study results was the end of the PK Part (Cycle 1) of the study.</w:t>
      </w:r>
    </w:p>
    <w:p w14:paraId="305610F9" w14:textId="07FFBF89" w:rsidR="00DF61BC" w:rsidRPr="005C2FCA" w:rsidRDefault="00DF61BC" w:rsidP="00DF61BC">
      <w:pPr>
        <w:widowControl w:val="0"/>
        <w:autoSpaceDE w:val="0"/>
        <w:autoSpaceDN w:val="0"/>
        <w:adjustRightInd w:val="0"/>
        <w:rPr>
          <w:rFonts w:cs="Times"/>
        </w:rPr>
      </w:pPr>
      <w:r w:rsidRPr="005C2FCA">
        <w:rPr>
          <w:rFonts w:cs="Times"/>
        </w:rPr>
        <w:lastRenderedPageBreak/>
        <w:t>Patients who completed the PK Part (Cycle 1) of the study were eligible to enter the Extension Part (Cycles ≥ 2) during which TAS-102 was administered orally BD for 5 days with 2 days rest for 2 weeks, repeated every 4 weeks until the patient met any of the treatment discontinuation criteria. For each patient, the TAS-102 dose was to be the same as that received in Cycle 1, unless dose modification was required because of toxicity based on NCI Common Terminology Criteria for Adverse Events (CTCAE) version 4.03.</w:t>
      </w:r>
    </w:p>
    <w:p w14:paraId="70D5EBFB" w14:textId="79638E22" w:rsidR="00DF61BC" w:rsidRPr="005C2FCA" w:rsidRDefault="00DF61BC" w:rsidP="00DF61BC">
      <w:pPr>
        <w:widowControl w:val="0"/>
        <w:autoSpaceDE w:val="0"/>
        <w:autoSpaceDN w:val="0"/>
        <w:adjustRightInd w:val="0"/>
        <w:rPr>
          <w:rFonts w:cs="Times"/>
        </w:rPr>
      </w:pPr>
      <w:r w:rsidRPr="005C2FCA">
        <w:rPr>
          <w:rFonts w:cs="Times"/>
        </w:rPr>
        <w:t>Safety was assessed by AEs, concomitant medications, complete physical examination results, ECOG PS, vital sign measurements, and laboratory evaluations. Only data associated with safety assessments were to be collected during the Extension Part of the study. Safety monitoring was to begin at the time of a signed and dated ICF and was to continue for 30 days after the last dose of study medication or until a new anticancer treatment was started, whichever occurred first.</w:t>
      </w:r>
    </w:p>
    <w:p w14:paraId="5BCB2D81" w14:textId="25990F2F" w:rsidR="00184C38" w:rsidRPr="005C2FCA" w:rsidRDefault="00DF61BC" w:rsidP="005C2FCA">
      <w:pPr>
        <w:widowControl w:val="0"/>
        <w:autoSpaceDE w:val="0"/>
        <w:autoSpaceDN w:val="0"/>
        <w:adjustRightInd w:val="0"/>
        <w:rPr>
          <w:b/>
        </w:rPr>
      </w:pPr>
      <w:r w:rsidRPr="005C2FCA">
        <w:rPr>
          <w:rFonts w:cs="Times"/>
        </w:rPr>
        <w:t>The study was to continue until all patients discontinued from treatment or for 12 months after the first dose of TAS-102 (Day 1, Cycle 1) for the last patient enrolled, whichever occurred first. Patients continuing to benefit from treatment with TAS-102 were eligible to continue treatment with the drug beyond completion of the study. However, enrolment into the study was stopped on 15 April 2016 for safety reasons as 5 of the 6 patients in the moderate hepatic impairment cohort experienced Grade 3 or 4 increased blood bilirubin levels. Therefore, no patients with severe hepatic impairment were enrolled into the study. The pre-specified study flow is presented schematically below.</w:t>
      </w:r>
    </w:p>
    <w:p w14:paraId="1C9D883B" w14:textId="7BE8428E" w:rsidR="00DF61BC" w:rsidRPr="00307475" w:rsidRDefault="00DF61BC" w:rsidP="0058475B">
      <w:pPr>
        <w:pStyle w:val="Tabletitle"/>
      </w:pPr>
      <w:r w:rsidRPr="00307475">
        <w:t>Figure 1</w:t>
      </w:r>
      <w:r w:rsidR="00CF7CF4" w:rsidRPr="00307475">
        <w:t>3</w:t>
      </w:r>
      <w:r w:rsidRPr="00307475">
        <w:t>: Pre-specified study flow</w:t>
      </w:r>
    </w:p>
    <w:p w14:paraId="627FF528" w14:textId="6CDB6E6D" w:rsidR="00DF61BC" w:rsidRPr="005C2FCA" w:rsidRDefault="00E95C0F" w:rsidP="00DF61BC">
      <w:pPr>
        <w:widowControl w:val="0"/>
        <w:autoSpaceDE w:val="0"/>
        <w:autoSpaceDN w:val="0"/>
        <w:adjustRightInd w:val="0"/>
        <w:spacing w:after="240" w:line="360" w:lineRule="atLeast"/>
        <w:rPr>
          <w:rFonts w:asciiTheme="majorHAnsi" w:hAnsiTheme="majorHAnsi" w:cs="Times"/>
          <w:b/>
          <w:sz w:val="18"/>
          <w:szCs w:val="18"/>
        </w:rPr>
      </w:pPr>
      <w:r>
        <w:rPr>
          <w:noProof/>
          <w:lang w:eastAsia="en-AU"/>
        </w:rPr>
        <w:drawing>
          <wp:inline distT="0" distB="0" distL="0" distR="0" wp14:anchorId="3D97077E" wp14:editId="66073A2C">
            <wp:extent cx="5924550" cy="2171700"/>
            <wp:effectExtent l="0" t="0" r="0" b="0"/>
            <wp:docPr id="2117" name="Picture 143" descr="Figure 13: Pre-specified study f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 name="Picture 143" descr="Figure 13: Pre-specified study flow. "/>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455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1ECE26F" w14:textId="08515942" w:rsidR="00DF61BC" w:rsidRPr="00C94C33" w:rsidRDefault="00DF61BC" w:rsidP="00CF7CF4">
      <w:pPr>
        <w:pStyle w:val="FigureDescription"/>
      </w:pPr>
      <w:r w:rsidRPr="00C94C33">
        <w:t>The dose level for Cohort 3 (severe hepatic impairment) may be reduced if warranted by the IA results for Cohorts 0, 1, and 2. Abbreviations: BID = twice daily; IA = interim assessment; ICF = informed consent form; PK</w:t>
      </w:r>
      <w:r w:rsidR="00307475">
        <w:t> </w:t>
      </w:r>
      <w:r w:rsidRPr="00C94C33">
        <w:t>=</w:t>
      </w:r>
      <w:r w:rsidR="00307475">
        <w:t> </w:t>
      </w:r>
      <w:r w:rsidRPr="00C94C33">
        <w:t>pharmacokinetic.</w:t>
      </w:r>
    </w:p>
    <w:p w14:paraId="57B7B389" w14:textId="33D9E077" w:rsidR="00DF61BC" w:rsidRPr="00C94C33" w:rsidRDefault="00DF61BC" w:rsidP="00955252">
      <w:pPr>
        <w:pStyle w:val="Heading5"/>
      </w:pPr>
      <w:r w:rsidRPr="00C94C33">
        <w:t>Study population</w:t>
      </w:r>
    </w:p>
    <w:p w14:paraId="3D6F683C" w14:textId="320AA972" w:rsidR="00DF61BC" w:rsidRPr="005C2FCA" w:rsidRDefault="00DF61BC" w:rsidP="00DE5BBC">
      <w:r w:rsidRPr="005C2FCA">
        <w:t xml:space="preserve">The planned study population included male and female patients aged ≥ 18 years with confirmed advanced solid tumours (except breast cancer) and normal hepatic function (Cohort 0) or varying degrees of hepatic impairment (Cohorts 1, 2, and 3). Patients must have failed or been intolerant to standard anticancer therapy. Baseline ECOG PS was required to be </w:t>
      </w:r>
      <w:r w:rsidRPr="005C2FCA">
        <w:rPr>
          <w:rFonts w:cs="Cambria"/>
        </w:rPr>
        <w:t>≤</w:t>
      </w:r>
      <w:r w:rsidRPr="005C2FCA">
        <w:t xml:space="preserve"> 2. Patients were also required to have adequate haematological and renal function. The study included a number of pre-defined exclusion criteria, including pre-existing and concurrent medical conditions and medical treatments. The inclusion and exclusion criteria have been examined and are considered to be satisfactory. The study also included satisfactory pre-specified criteria for discontinuation from study treatment.</w:t>
      </w:r>
    </w:p>
    <w:p w14:paraId="75FE9AFD" w14:textId="5E13596C" w:rsidR="00DF61BC" w:rsidRPr="005C2FCA" w:rsidRDefault="00DF61BC" w:rsidP="00955252">
      <w:pPr>
        <w:pStyle w:val="Heading5"/>
      </w:pPr>
      <w:r w:rsidRPr="005C2FCA">
        <w:t>Pharmacokinetic (PK) assessments</w:t>
      </w:r>
    </w:p>
    <w:p w14:paraId="438CC9E8" w14:textId="275A6A5D" w:rsidR="00DF61BC" w:rsidRPr="005C2FCA" w:rsidRDefault="00DF61BC" w:rsidP="00DF61BC">
      <w:pPr>
        <w:widowControl w:val="0"/>
        <w:autoSpaceDE w:val="0"/>
        <w:autoSpaceDN w:val="0"/>
        <w:adjustRightInd w:val="0"/>
        <w:rPr>
          <w:rFonts w:asciiTheme="minorHAnsi" w:hAnsiTheme="minorHAnsi"/>
        </w:rPr>
      </w:pPr>
      <w:r w:rsidRPr="005C2FCA">
        <w:rPr>
          <w:rFonts w:asciiTheme="minorHAnsi" w:hAnsiTheme="minorHAnsi" w:cs="Times"/>
        </w:rPr>
        <w:t xml:space="preserve">On Day 1 and Day 12 of Cycle 1, blood samples were collected from all patients for measurement of plasma concentrations of TAS-102 (FTD and TPI) and FTY (the major metabolite of FTD). Blood </w:t>
      </w:r>
      <w:r w:rsidRPr="005C2FCA">
        <w:rPr>
          <w:rFonts w:asciiTheme="minorHAnsi" w:hAnsiTheme="minorHAnsi" w:cs="Times"/>
        </w:rPr>
        <w:lastRenderedPageBreak/>
        <w:t xml:space="preserve">samples were collected 30 minutes prior to the morning dose (0 hour) and then at 0.5, 1, 2, 4, 6, 8, 10, and 12 hours post-dose. </w:t>
      </w:r>
      <w:r w:rsidRPr="005C2FCA">
        <w:rPr>
          <w:rFonts w:asciiTheme="minorHAnsi" w:hAnsiTheme="minorHAnsi"/>
        </w:rPr>
        <w:t>No concentration estimates were provided for missing samples, with the exception of imputation of the pre-dose value as this was required for the AUC calculation. Satisfactory procedures were in place for handling samples with plasma concentrations below the LLOQ.</w:t>
      </w:r>
    </w:p>
    <w:p w14:paraId="0B2A95A3" w14:textId="52AF3B5D" w:rsidR="00DF61BC" w:rsidRPr="005C2FCA" w:rsidRDefault="00DF61BC" w:rsidP="00DF61BC">
      <w:pPr>
        <w:widowControl w:val="0"/>
        <w:autoSpaceDE w:val="0"/>
        <w:autoSpaceDN w:val="0"/>
        <w:adjustRightInd w:val="0"/>
        <w:rPr>
          <w:rFonts w:asciiTheme="minorHAnsi" w:hAnsiTheme="minorHAnsi" w:cs="Times"/>
        </w:rPr>
      </w:pPr>
      <w:r w:rsidRPr="005C2FCA">
        <w:rPr>
          <w:rFonts w:asciiTheme="minorHAnsi" w:hAnsiTheme="minorHAnsi" w:cs="Times"/>
        </w:rPr>
        <w:t>PK analysis for FTD, FTY, and TPI in plasma following administration of TAS-102 on Day 1 and Day 12 of Cycle 1 included the parameters listed below calculated by standard non-compartmental methods.</w:t>
      </w:r>
    </w:p>
    <w:p w14:paraId="7BBB4535" w14:textId="278546DD" w:rsidR="00DF61BC" w:rsidRPr="00C94C33" w:rsidRDefault="00DF61BC" w:rsidP="00184C38">
      <w:pPr>
        <w:pStyle w:val="ListBullet"/>
      </w:pPr>
      <w:r w:rsidRPr="00C94C33">
        <w:t>Cmax: Maximum observed plasma concentration.</w:t>
      </w:r>
    </w:p>
    <w:p w14:paraId="5A5B0EE5" w14:textId="3EFC4B3A" w:rsidR="00DF61BC" w:rsidRPr="00C94C33" w:rsidRDefault="00DE5BBC" w:rsidP="00184C38">
      <w:pPr>
        <w:pStyle w:val="ListBullet"/>
      </w:pPr>
      <w:r w:rsidRPr="00C94C33">
        <w:t>T</w:t>
      </w:r>
      <w:r w:rsidR="00DF61BC" w:rsidRPr="00C94C33">
        <w:t>max: Time to maximum observed plasma concentration.</w:t>
      </w:r>
    </w:p>
    <w:p w14:paraId="72573EC8" w14:textId="6FDEB9B9" w:rsidR="00DF61BC" w:rsidRPr="00C94C33" w:rsidRDefault="00DF61BC" w:rsidP="00184C38">
      <w:pPr>
        <w:pStyle w:val="ListBullet"/>
      </w:pPr>
      <w:r w:rsidRPr="00C94C33">
        <w:t>AUC0-last: Area under the plasma concentration-time curve from time 0 to the last measurable plasma concentration estimated by linear trapezoidal rule.</w:t>
      </w:r>
    </w:p>
    <w:p w14:paraId="18106576" w14:textId="4E87DD40" w:rsidR="00DF61BC" w:rsidRPr="00C94C33" w:rsidRDefault="00DF61BC" w:rsidP="00184C38">
      <w:pPr>
        <w:pStyle w:val="ListBullet"/>
      </w:pPr>
      <w:r w:rsidRPr="00C94C33">
        <w:t>RCmax: Accumulation ratio calculated as ratio of Cmax (Day12)/Cmax (Day 1).</w:t>
      </w:r>
    </w:p>
    <w:p w14:paraId="48111B6F" w14:textId="4D3FC16E" w:rsidR="00DF61BC" w:rsidRPr="00C94C33" w:rsidRDefault="00DE5BBC" w:rsidP="00184C38">
      <w:pPr>
        <w:pStyle w:val="ListBullet"/>
      </w:pPr>
      <w:r w:rsidRPr="00C94C33">
        <w:t>R</w:t>
      </w:r>
      <w:r w:rsidR="00DF61BC" w:rsidRPr="00C94C33">
        <w:t>AUC0-last: Accumulation ratio calculated as ratio of AUC0-last (Day12)/AUC0-last (Day 1).</w:t>
      </w:r>
    </w:p>
    <w:p w14:paraId="53565AAC" w14:textId="21EC895B" w:rsidR="00DF61BC" w:rsidRPr="00C94C33" w:rsidRDefault="00DF61BC" w:rsidP="00184C38">
      <w:pPr>
        <w:pStyle w:val="ListBullet"/>
      </w:pPr>
      <w:r w:rsidRPr="00C94C33">
        <w:t>T1⁄2: Apparent terminal phase elimination half-life = ln(2)/λz.</w:t>
      </w:r>
    </w:p>
    <w:p w14:paraId="32E16129" w14:textId="0A5E2D39" w:rsidR="00DF61BC" w:rsidRPr="00C94C33" w:rsidRDefault="00DF61BC" w:rsidP="00184C38">
      <w:pPr>
        <w:pStyle w:val="ListBullet"/>
      </w:pPr>
      <w:r w:rsidRPr="00C94C33">
        <w:t>AUC0-inf: Area under the plasma concentration-time curve from time 0 to infinity calculated for Day 1 only as follows: AUC0-inf = AUC0-last + Clast/λz, where Clast was the last measurable plasma concentration and λz was the terminal elimination rate constant after the AM dose estimated using log-linear regression during the elimination phase. The points used in the λz calculation were determined by visual inspection of the data describing the elimination phase and at least the last 3 time points were used in λz calculations.</w:t>
      </w:r>
    </w:p>
    <w:p w14:paraId="0B593239" w14:textId="59F989EB" w:rsidR="00DF61BC" w:rsidRPr="00C94C33" w:rsidRDefault="00DF61BC" w:rsidP="00184C38">
      <w:pPr>
        <w:pStyle w:val="ListBullet"/>
      </w:pPr>
      <w:r w:rsidRPr="00C94C33">
        <w:t>AUCtau = AUC0-12: Area under the plasma concentration-time curve from time 0 to the end of dosing interval for Day 12 only.</w:t>
      </w:r>
    </w:p>
    <w:p w14:paraId="77E85D64" w14:textId="552CEEA3" w:rsidR="00DF61BC" w:rsidRPr="00C94C33" w:rsidRDefault="00DF61BC" w:rsidP="00DF61BC">
      <w:pPr>
        <w:rPr>
          <w:rFonts w:asciiTheme="minorHAnsi" w:hAnsiTheme="minorHAnsi"/>
        </w:rPr>
      </w:pPr>
      <w:r w:rsidRPr="00C94C33">
        <w:rPr>
          <w:rFonts w:asciiTheme="minorHAnsi" w:hAnsiTheme="minorHAnsi"/>
        </w:rPr>
        <w:t>In addition, the apparent clearance (CL/F) and apparent volume of distribution (Vd/F) were calculated for FTD and TPI (but not for FTY) using the following equations:</w:t>
      </w:r>
    </w:p>
    <w:p w14:paraId="2853B75F" w14:textId="37CBBD21" w:rsidR="00DF61BC" w:rsidRPr="00C94C33" w:rsidRDefault="00DF61BC" w:rsidP="00184C38">
      <w:pPr>
        <w:pStyle w:val="ListBullet"/>
      </w:pPr>
      <w:r w:rsidRPr="00C94C33">
        <w:t>CL/F = Dose / AUC0-inf (for Day 1).</w:t>
      </w:r>
    </w:p>
    <w:p w14:paraId="2EAE7CAC" w14:textId="1E2373A1" w:rsidR="00DF61BC" w:rsidRPr="00C94C33" w:rsidRDefault="00DF61BC" w:rsidP="00184C38">
      <w:pPr>
        <w:pStyle w:val="ListBullet"/>
      </w:pPr>
      <w:r w:rsidRPr="00C94C33">
        <w:t>CLss/F (Steady state oral clearance) = Dose/AUCtau (for Day 12).</w:t>
      </w:r>
    </w:p>
    <w:p w14:paraId="76F19F0F" w14:textId="5117BCC2" w:rsidR="00DF61BC" w:rsidRPr="00C94C33" w:rsidRDefault="00DF61BC" w:rsidP="00184C38">
      <w:pPr>
        <w:pStyle w:val="ListBullet"/>
      </w:pPr>
      <w:r w:rsidRPr="00C94C33">
        <w:t>Vd/F = (CL/F)/λz (for Day 1).</w:t>
      </w:r>
    </w:p>
    <w:p w14:paraId="2E6FF4B7" w14:textId="16B12D14" w:rsidR="00DF61BC" w:rsidRPr="00C94C33" w:rsidRDefault="00DF61BC" w:rsidP="00DF61BC">
      <w:pPr>
        <w:rPr>
          <w:rFonts w:asciiTheme="minorHAnsi" w:hAnsiTheme="minorHAnsi"/>
        </w:rPr>
      </w:pPr>
      <w:r w:rsidRPr="005C2FCA">
        <w:rPr>
          <w:rFonts w:asciiTheme="minorHAnsi" w:hAnsiTheme="minorHAnsi" w:cs="Times"/>
        </w:rPr>
        <w:t>The PK population included all patients in the As Treated population with evaluable PK profiles on either Day 1 or Day 12, or both days, of Cycle 1. The As Treated population included all patients who received at least 1 dose of TAS-102. Estimation of PK parameters in the PK population was performed using PhoenixTM WinNonlin</w:t>
      </w:r>
      <w:r w:rsidRPr="005C2FCA">
        <w:rPr>
          <w:rFonts w:asciiTheme="minorHAnsi" w:hAnsiTheme="minorHAnsi" w:cs="Times"/>
          <w:vertAlign w:val="superscript"/>
        </w:rPr>
        <w:t>®</w:t>
      </w:r>
      <w:r w:rsidRPr="005C2FCA">
        <w:rPr>
          <w:rFonts w:asciiTheme="minorHAnsi" w:hAnsiTheme="minorHAnsi" w:cs="Times"/>
        </w:rPr>
        <w:t xml:space="preserve"> (Certara L.P.), version 6.4 software. The concentrations of FTD, FTY, and TPI in plasma were measured using validated liquid chromatography-tandem mass spectrometry (LC-MS/MS) methods</w:t>
      </w:r>
      <w:r w:rsidR="009F0BDB">
        <w:rPr>
          <w:rFonts w:asciiTheme="minorHAnsi" w:hAnsiTheme="minorHAnsi" w:cs="Times"/>
        </w:rPr>
        <w:t>.</w:t>
      </w:r>
    </w:p>
    <w:p w14:paraId="68EA0308" w14:textId="77777777" w:rsidR="00AA7141" w:rsidRDefault="00DF61BC" w:rsidP="00955252">
      <w:pPr>
        <w:pStyle w:val="Heading5"/>
      </w:pPr>
      <w:r w:rsidRPr="005C2FCA">
        <w:t>Analysis of hepatic impairment on the PK of TAS-102</w:t>
      </w:r>
    </w:p>
    <w:p w14:paraId="1C2EDD34" w14:textId="1A5C7B11" w:rsidR="00DF61BC" w:rsidRPr="005C2FCA" w:rsidRDefault="00DF61BC" w:rsidP="00DF61BC">
      <w:pPr>
        <w:widowControl w:val="0"/>
        <w:autoSpaceDE w:val="0"/>
        <w:autoSpaceDN w:val="0"/>
        <w:adjustRightInd w:val="0"/>
        <w:rPr>
          <w:rFonts w:cs="Times"/>
        </w:rPr>
      </w:pPr>
      <w:r w:rsidRPr="005C2FCA">
        <w:rPr>
          <w:rFonts w:cs="Times"/>
        </w:rPr>
        <w:t>The sponsor stated that the typical sample size for estimation of PK in hepatic impairment studies is 6 evaluable patients per cohort. Taking into account the individual variability in PK parameters (maximum percent CV 50%) and assuming a 25% dropout rate, approximately 8 patients per cohort were to be enrolled to obtain approximately 6 evaluable patients per cohort.</w:t>
      </w:r>
    </w:p>
    <w:p w14:paraId="4CE8E50A" w14:textId="79BA85DE" w:rsidR="00DF61BC" w:rsidRPr="00C94C33" w:rsidRDefault="00DF61BC" w:rsidP="00DF61BC">
      <w:r w:rsidRPr="00C94C33">
        <w:t>The endpoints for comparison of the hepatic impairment cohorts (Cohorts 1 and 2) to the normal hepatic function cohort (Cohort 0) were Cmax, AUC0-inf and AUCtau for FTD, FTY, and TPI, and CL/F (Day 1) and CLss/F (Day 12) for FTD and TPI. Other PK parameters were summarised as additional endpoints for FTD, TPI, and FTY.</w:t>
      </w:r>
    </w:p>
    <w:p w14:paraId="1DA77F9C" w14:textId="03AE9EC5" w:rsidR="00DF61BC" w:rsidRPr="00C94C33" w:rsidRDefault="00DF61BC" w:rsidP="00DF61BC">
      <w:r w:rsidRPr="00C94C33">
        <w:t xml:space="preserve">The Cmax, AUC0-last, AUC0-inf, and AUCtau for FTD, FTY, and TPI and CL/F (Day 1) and CLss/F (Day 12) for FTD and TPI were analysed by ANOVA using the categorical hepatic impairment </w:t>
      </w:r>
      <w:r w:rsidRPr="00C94C33">
        <w:lastRenderedPageBreak/>
        <w:t>cohorts as class variables after the parameters had been log transformed. Comparisons were made between the normal hepatic function cohort (Cohort 0) and each hepatic impairment cohort (Cohorts 1 and 2). Point estimates with corresponding 90% CIs were constructed and then back-transformed from the log-scale to express the estimates as ratios of each hepatic impairment cohort relative to the normal hepatic function cohort.</w:t>
      </w:r>
    </w:p>
    <w:p w14:paraId="3DD74862" w14:textId="5D0DAE7A" w:rsidR="00DF61BC" w:rsidRPr="00C94C33" w:rsidRDefault="00DF61BC" w:rsidP="00DF61BC">
      <w:r w:rsidRPr="00C94C33">
        <w:t>The relationship between the PK parameters of interest (AUC0-last, AUC0-inf, AUCtau, and Cmax for FTD, FTY, and TPI) and AST or total blood bilirubin (TBL) were assessed by regression analysis using the power model expressed by the equation, log(PK parameters) = α+β log(AST or TBL). The model used the log transformed PK parameter as the dependent variable and the log of the AST or TBL as the independent variable. This model was used to investigate the null hypothesis (H0: β=0), with the null hypothesis not being rejected if the 90% CI for β included 1. For these analyses, the PK parameters of interest were the AUC0-last, AUC0-inf, and Cmax obtained on Day 1 of Cycle 1 (single-dose) and the AUC0-last, AUCtau, and Cmax obtained on Day 12 of Cycle 1 (multiple-dose, steady state). The same analysis was applied for CL/F (Day 1), CLss/F (Day 12), and Vd/F (Day 1) of FTD and TPI.</w:t>
      </w:r>
    </w:p>
    <w:p w14:paraId="0700A0BC" w14:textId="70EB6006" w:rsidR="00DF61BC" w:rsidRPr="00C94C33" w:rsidRDefault="00DF61BC" w:rsidP="00DF61BC">
      <w:r w:rsidRPr="00C94C33">
        <w:t>Accumulation parameters, RCmax and RAUC0-last of FTD, FTY, and TPI were log transformed and analysed by one-way ANOVA. Comparisons were made between the normal hepatic function cohort (Cohort 0) and each hepatic impairment cohort (Cohorts 1 and 2). Point estimates with corresponding 90% CIs were constructed and then back-transformed from the log-scale to express the estimates as ratios of each hepatic impairment cohort relative to the normal hepatic function cohort.</w:t>
      </w:r>
    </w:p>
    <w:p w14:paraId="3E230A90" w14:textId="10CFC0FE" w:rsidR="00DF61BC" w:rsidRPr="005C2FCA" w:rsidRDefault="00DF61BC" w:rsidP="00DF61BC">
      <w:pPr>
        <w:widowControl w:val="0"/>
        <w:autoSpaceDE w:val="0"/>
        <w:autoSpaceDN w:val="0"/>
        <w:adjustRightInd w:val="0"/>
        <w:rPr>
          <w:rFonts w:cs="Times"/>
        </w:rPr>
      </w:pPr>
      <w:r w:rsidRPr="005C2FCA">
        <w:rPr>
          <w:rFonts w:cs="Times"/>
        </w:rPr>
        <w:t>No statistical hypotheses were tested in this study for the comparison between the PK of patients with normal hepatic function (Cohort 1) and patients with hepatic impairment (Cohorts 1 and 2). Therefore, no statistical adjustments were undertaken for the multiplicity of pairwise PK comparisons.</w:t>
      </w:r>
    </w:p>
    <w:p w14:paraId="671BBB41" w14:textId="77777777" w:rsidR="00AA7141" w:rsidRDefault="00DF61BC" w:rsidP="00955252">
      <w:pPr>
        <w:pStyle w:val="Heading5"/>
      </w:pPr>
      <w:r w:rsidRPr="005C2FCA">
        <w:t>Patient disposition</w:t>
      </w:r>
    </w:p>
    <w:p w14:paraId="307A1D97" w14:textId="74832B29" w:rsidR="00DF61BC" w:rsidRPr="005C2FCA" w:rsidRDefault="00DF61BC" w:rsidP="00DF61BC">
      <w:r w:rsidRPr="005C2FCA">
        <w:t>A total of 24 patients were enrolled and received at least 1 dose of study medication, comprising 8 patients in the normal hepatic function cohort, 10 patients in the mild hepatic impairment cohort, and 6 patients in the moderate hepatic impairment cohort. Of the 24 patients enrolled in the PK Part (Cycle 1), 2 patients (8.3%) in the moderate hepatic impairment cohort discontinued treatment during Cycle 1 (</w:t>
      </w:r>
      <w:r w:rsidR="00B2072D" w:rsidRPr="005C2FCA">
        <w:t>that is,</w:t>
      </w:r>
      <w:r w:rsidRPr="005C2FCA">
        <w:t xml:space="preserve"> SAE of increased bilirubin in 1 patient, radiologic disease progression in 1 patient). A total of 23 patients (95.8%) were evaluable for PK assessment (PK Population) in Cycle 1.</w:t>
      </w:r>
    </w:p>
    <w:p w14:paraId="57CE07AA" w14:textId="74C73F99" w:rsidR="00DF61BC" w:rsidRPr="005C2FCA" w:rsidRDefault="00DF61BC" w:rsidP="00DF61BC">
      <w:r w:rsidRPr="005C2FCA">
        <w:t>Of the 22 patients who completed Cycle 1, 5 patients (20.8%) did not enter the Extension Part (Cycles ≥ 2) because of either radiologic or clinical disease progression. These 5 patients included 1 patient in the normal hepatic function cohort, 3 patients in the mild hepatic impairment cohort, and 1 patient in the moderate hepatic impairment cohort. Therefore, a total of 17 patients (70.8%) entered the Extension Part (Cycles ≥ 2). Of the 17 patients who entered the Extension Part (Cycles ≥ 2), 15 patients discontinued treatment because of disease progression (clinical or radiological), 1 patient discontinued due to AEs of neutro</w:t>
      </w:r>
      <w:r w:rsidR="00B50F67">
        <w:t>paenia</w:t>
      </w:r>
      <w:r w:rsidRPr="005C2FCA">
        <w:t xml:space="preserve"> and thrombocyto</w:t>
      </w:r>
      <w:r w:rsidR="00B50F67">
        <w:t>paenia</w:t>
      </w:r>
      <w:r w:rsidRPr="005C2FCA">
        <w:t xml:space="preserve"> and 1 patient withdrew consent. No patients were ongoing in the Extension Part at the time of the analysis. The patient disposition of the As Treated population (</w:t>
      </w:r>
      <w:r w:rsidR="009C0389" w:rsidRPr="005C2FCA">
        <w:t xml:space="preserve">n = </w:t>
      </w:r>
      <w:r w:rsidRPr="005C2FCA">
        <w:t>24) is summarised below.</w:t>
      </w:r>
    </w:p>
    <w:p w14:paraId="1608EE7C" w14:textId="1ADFCF23" w:rsidR="00DF61BC" w:rsidRPr="005C2FCA" w:rsidRDefault="00184C38" w:rsidP="0058475B">
      <w:pPr>
        <w:pStyle w:val="Tabletitle"/>
        <w:rPr>
          <w:sz w:val="28"/>
        </w:rPr>
      </w:pPr>
      <w:r w:rsidRPr="005C2FCA">
        <w:lastRenderedPageBreak/>
        <w:t>Figure 14</w:t>
      </w:r>
      <w:r w:rsidR="00DF61BC" w:rsidRPr="005C2FCA">
        <w:t>: Patient disposition, As Treated population</w:t>
      </w:r>
    </w:p>
    <w:p w14:paraId="6FB1C9D6" w14:textId="77777777" w:rsidR="00DF61BC" w:rsidRPr="005C2FCA" w:rsidRDefault="00DF61BC" w:rsidP="00DF61BC">
      <w:pPr>
        <w:widowControl w:val="0"/>
        <w:autoSpaceDE w:val="0"/>
        <w:autoSpaceDN w:val="0"/>
        <w:adjustRightInd w:val="0"/>
        <w:spacing w:line="280" w:lineRule="atLeast"/>
        <w:rPr>
          <w:rFonts w:ascii="Times" w:hAnsi="Times" w:cs="Times"/>
        </w:rPr>
      </w:pPr>
      <w:r w:rsidRPr="00691F71">
        <w:rPr>
          <w:rFonts w:ascii="Times" w:hAnsi="Times" w:cs="Times"/>
          <w:noProof/>
          <w:lang w:eastAsia="en-AU"/>
        </w:rPr>
        <w:drawing>
          <wp:inline distT="0" distB="0" distL="0" distR="0" wp14:anchorId="4C1B3304" wp14:editId="4A80EB75">
            <wp:extent cx="5688353" cy="3912285"/>
            <wp:effectExtent l="0" t="0" r="7620" b="0"/>
            <wp:docPr id="252" name="Picture 252" descr="Figure 14: Patient disposition, As Treated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96728" cy="3918045"/>
                    </a:xfrm>
                    <a:prstGeom prst="rect">
                      <a:avLst/>
                    </a:prstGeom>
                    <a:noFill/>
                    <a:ln>
                      <a:noFill/>
                    </a:ln>
                  </pic:spPr>
                </pic:pic>
              </a:graphicData>
            </a:graphic>
          </wp:inline>
        </w:drawing>
      </w:r>
    </w:p>
    <w:p w14:paraId="1298F8D4" w14:textId="171A439D" w:rsidR="00DF61BC" w:rsidRPr="00C94C33" w:rsidRDefault="00DF61BC" w:rsidP="00955252">
      <w:pPr>
        <w:pStyle w:val="Heading5"/>
      </w:pPr>
      <w:r w:rsidRPr="00C94C33">
        <w:t>Baseline demographic characteristics</w:t>
      </w:r>
    </w:p>
    <w:p w14:paraId="118E87A7" w14:textId="595C2FDD" w:rsidR="00DF61BC" w:rsidRPr="00C94C33" w:rsidRDefault="00DF61BC" w:rsidP="00DF61BC">
      <w:r w:rsidRPr="00C94C33">
        <w:t>The median age of the total population (</w:t>
      </w:r>
      <w:r w:rsidR="009C0389" w:rsidRPr="00C94C33">
        <w:t xml:space="preserve">n = </w:t>
      </w:r>
      <w:r w:rsidRPr="00C94C33">
        <w:t xml:space="preserve">24) was 60.5 years (range: 33, 77 years), with the median age across the three treatment cohorts ranging from 48.5 years (mild hepatic impairment) to 64 years (normal hepatic function). The genders were relatively evenly distributed in the total population (54.2% </w:t>
      </w:r>
      <w:r w:rsidR="00A0007E" w:rsidRPr="00C94C33">
        <w:t>(</w:t>
      </w:r>
      <w:r w:rsidR="009C0389" w:rsidRPr="00C94C33">
        <w:t xml:space="preserve">n = </w:t>
      </w:r>
      <w:r w:rsidRPr="00C94C33">
        <w:t>13</w:t>
      </w:r>
      <w:r w:rsidR="00A0007E" w:rsidRPr="00C94C33">
        <w:t>)</w:t>
      </w:r>
      <w:r w:rsidRPr="00C94C33">
        <w:t xml:space="preserve">, male; 45.8% </w:t>
      </w:r>
      <w:r w:rsidR="00A0007E" w:rsidRPr="00C94C33">
        <w:t>(</w:t>
      </w:r>
      <w:r w:rsidR="009C0389" w:rsidRPr="00C94C33">
        <w:t xml:space="preserve">n = </w:t>
      </w:r>
      <w:r w:rsidRPr="00C94C33">
        <w:t>11</w:t>
      </w:r>
      <w:r w:rsidR="00A0007E" w:rsidRPr="00C94C33">
        <w:t>)</w:t>
      </w:r>
      <w:r w:rsidRPr="00C94C33">
        <w:t xml:space="preserve">, female), and were evenly distributed (50%/50%) in the normal hepatic function and mild hepatic impairment cohorts but not in the moderate hepatic impairment cohort (66.7% </w:t>
      </w:r>
      <w:r w:rsidR="00A0007E" w:rsidRPr="00C94C33">
        <w:t>(</w:t>
      </w:r>
      <w:r w:rsidR="009C0389" w:rsidRPr="00C94C33">
        <w:t xml:space="preserve">n = </w:t>
      </w:r>
      <w:r w:rsidRPr="00C94C33">
        <w:t>4</w:t>
      </w:r>
      <w:r w:rsidR="00A0007E" w:rsidRPr="00C94C33">
        <w:t>)</w:t>
      </w:r>
      <w:r w:rsidRPr="00C94C33">
        <w:t xml:space="preserve">, male; 33.3% </w:t>
      </w:r>
      <w:r w:rsidR="00A0007E" w:rsidRPr="00C94C33">
        <w:t>(</w:t>
      </w:r>
      <w:r w:rsidR="009C0389" w:rsidRPr="00C94C33">
        <w:t xml:space="preserve">n = </w:t>
      </w:r>
      <w:r w:rsidRPr="00C94C33">
        <w:t>2</w:t>
      </w:r>
      <w:r w:rsidR="00A0007E" w:rsidRPr="00C94C33">
        <w:t>)</w:t>
      </w:r>
      <w:r w:rsidRPr="00C94C33">
        <w:t xml:space="preserve">, female). Most of the patients in the total population were categorised as White (83.3% </w:t>
      </w:r>
      <w:r w:rsidR="00A0007E" w:rsidRPr="00C94C33">
        <w:t>(</w:t>
      </w:r>
      <w:r w:rsidR="009C0389" w:rsidRPr="00C94C33">
        <w:t xml:space="preserve">n = </w:t>
      </w:r>
      <w:r w:rsidRPr="00C94C33">
        <w:t>20</w:t>
      </w:r>
      <w:r w:rsidR="00A0007E" w:rsidRPr="00C94C33">
        <w:t>)</w:t>
      </w:r>
      <w:r w:rsidRPr="00C94C33">
        <w:t>), with 2 (8.3%) patients being categorised as Black or African American and 2 (8.3%) patients being categorised as Asian.</w:t>
      </w:r>
    </w:p>
    <w:p w14:paraId="23F6D2B5" w14:textId="088FA57A" w:rsidR="00DF61BC" w:rsidRPr="00C94C33" w:rsidRDefault="00DF61BC" w:rsidP="00DF61BC">
      <w:r w:rsidRPr="00C94C33">
        <w:t>The median height of the total population (</w:t>
      </w:r>
      <w:r w:rsidR="009C0389" w:rsidRPr="00C94C33">
        <w:t xml:space="preserve">n = </w:t>
      </w:r>
      <w:r w:rsidRPr="00C94C33">
        <w:t>23) was 166.5 cm (range: 150, 187), with no marked differences in median height across the three treatment cohorts. The median weight of the total population (</w:t>
      </w:r>
      <w:r w:rsidR="009C0389" w:rsidRPr="00C94C33">
        <w:t xml:space="preserve">n = </w:t>
      </w:r>
      <w:r w:rsidRPr="00C94C33">
        <w:t>24) was 73 kg (range: 42, 130), with no marked differences in median weight across the three treatment cohorts. The median BSA of the total population (</w:t>
      </w:r>
      <w:r w:rsidR="009C0389" w:rsidRPr="00C94C33">
        <w:t xml:space="preserve">n = </w:t>
      </w:r>
      <w:r w:rsidRPr="00C94C33">
        <w:t>24) was 1.82 m</w:t>
      </w:r>
      <w:r w:rsidRPr="00C94C33">
        <w:rPr>
          <w:vertAlign w:val="superscript"/>
        </w:rPr>
        <w:t xml:space="preserve">2 </w:t>
      </w:r>
      <w:r w:rsidRPr="00C94C33">
        <w:t>(range: 1.32, 2.38), with no marked differences in median BSA across the three treatment cohorts.</w:t>
      </w:r>
    </w:p>
    <w:p w14:paraId="4EFE36B4" w14:textId="0F273D4C" w:rsidR="00DF61BC" w:rsidRPr="00C94C33" w:rsidRDefault="00DF61BC" w:rsidP="00DF61BC">
      <w:r w:rsidRPr="00C94C33">
        <w:t>The median (range) bilirubin (µmol/L) values for the normal hepatic function (</w:t>
      </w:r>
      <w:r w:rsidR="009C0389" w:rsidRPr="00C94C33">
        <w:t xml:space="preserve">n = </w:t>
      </w:r>
      <w:r w:rsidRPr="00C94C33">
        <w:t>8), mild hepatic impairment (</w:t>
      </w:r>
      <w:r w:rsidR="009C0389" w:rsidRPr="00C94C33">
        <w:t xml:space="preserve">n = </w:t>
      </w:r>
      <w:r w:rsidRPr="00C94C33">
        <w:t>10), and moderate hepatic impairment (</w:t>
      </w:r>
      <w:r w:rsidR="009C0389" w:rsidRPr="00C94C33">
        <w:t xml:space="preserve">n = </w:t>
      </w:r>
      <w:r w:rsidRPr="00C94C33">
        <w:t>6) cohorts were 8.550 (3.42, 13.68), 11.970 (6.84, 25.65) and 49.590 (27.36, 59.85) µml/L, respectively. The median (range) AST (U/L) values for the normal hepatic function (</w:t>
      </w:r>
      <w:r w:rsidR="009C0389" w:rsidRPr="00C94C33">
        <w:t xml:space="preserve">n = </w:t>
      </w:r>
      <w:r w:rsidRPr="00C94C33">
        <w:t>8), mild hepatic impairment (</w:t>
      </w:r>
      <w:r w:rsidR="009C0389" w:rsidRPr="00C94C33">
        <w:t xml:space="preserve">n = </w:t>
      </w:r>
      <w:r w:rsidRPr="00C94C33">
        <w:t>10), and moderate hepatic impairment (</w:t>
      </w:r>
      <w:r w:rsidR="009C0389" w:rsidRPr="00C94C33">
        <w:t xml:space="preserve">n = </w:t>
      </w:r>
      <w:r w:rsidRPr="00C94C33">
        <w:t>6) cohorts were 26 (17, 39), 57 (26, 78) and</w:t>
      </w:r>
      <w:r w:rsidR="00E95C0F">
        <w:t xml:space="preserve"> 65 (38, 95) U/L, respectively.</w:t>
      </w:r>
    </w:p>
    <w:p w14:paraId="09858623" w14:textId="139B2ED0" w:rsidR="00DF61BC" w:rsidRPr="00C94C33" w:rsidRDefault="00DF61BC" w:rsidP="00955252">
      <w:pPr>
        <w:pStyle w:val="Heading5"/>
      </w:pPr>
      <w:r w:rsidRPr="00C94C33">
        <w:t>Baseline cancer type and prior therapies</w:t>
      </w:r>
    </w:p>
    <w:p w14:paraId="6277B206" w14:textId="459D6A07" w:rsidR="00DF61BC" w:rsidRPr="00C94C33" w:rsidRDefault="00DF61BC" w:rsidP="00DF61BC">
      <w:pPr>
        <w:autoSpaceDE w:val="0"/>
        <w:autoSpaceDN w:val="0"/>
        <w:adjustRightInd w:val="0"/>
        <w:rPr>
          <w:rFonts w:cs="TimesNewRoman"/>
          <w:color w:val="000000"/>
        </w:rPr>
      </w:pPr>
      <w:r w:rsidRPr="00C94C33">
        <w:rPr>
          <w:rFonts w:cs="TimesNewRoman"/>
          <w:color w:val="000000"/>
        </w:rPr>
        <w:t xml:space="preserve">Of the 24 patients in the total population, 9 had colorectal carcinoma, 5 had pancreatic cancer, 4 had biliary cancer, 2 had prostate cancer, and the remaining 4 had ovarian cancer, pelvic cancer (histologically reported as a carcinoid tumour), duodenal cancer, or unknown primary (histologically reported as a carcinoma and clinically suspected pancreatic or biliary tumour). At the time of enrolment, 23 of the 24 patients had metastatic cancer. Prior radiation therapy had been received by 2 of the 8 patients in the normal hepatic function cohort, 9 of the 10 patients in </w:t>
      </w:r>
      <w:r w:rsidRPr="00C94C33">
        <w:rPr>
          <w:rFonts w:cs="TimesNewRoman"/>
          <w:color w:val="000000"/>
        </w:rPr>
        <w:lastRenderedPageBreak/>
        <w:t xml:space="preserve">the mild hepatic impairment cohort and 2 of the 6 patients in the moderate hepatic impairment cohort. </w:t>
      </w:r>
      <w:r w:rsidRPr="00C94C33">
        <w:rPr>
          <w:rFonts w:cs="TimesNewRoman"/>
        </w:rPr>
        <w:t>Prior treatment with anticancer therapy had been received by 23 of the 24 patients. Prior anticancer therapies included metastatic, adjuvant, neoadjuvant, or combination anticancer treatments, and ranged from 1 to 7 regimens.</w:t>
      </w:r>
    </w:p>
    <w:p w14:paraId="24F56AB2" w14:textId="77777777" w:rsidR="00DF61BC" w:rsidRPr="00C94C33" w:rsidRDefault="00DF61BC" w:rsidP="00955252">
      <w:pPr>
        <w:pStyle w:val="Heading5"/>
      </w:pPr>
      <w:r w:rsidRPr="00C94C33">
        <w:t>Common concomitant medi</w:t>
      </w:r>
      <w:r w:rsidR="00184C38" w:rsidRPr="00C94C33">
        <w:t>cations taken during the study</w:t>
      </w:r>
    </w:p>
    <w:p w14:paraId="760AF252" w14:textId="77777777" w:rsidR="00DF61BC" w:rsidRPr="00C94C33" w:rsidRDefault="00DF61BC" w:rsidP="00DF61BC">
      <w:pPr>
        <w:autoSpaceDE w:val="0"/>
        <w:autoSpaceDN w:val="0"/>
        <w:adjustRightInd w:val="0"/>
        <w:rPr>
          <w:rFonts w:cs="TimesNewRoman"/>
          <w:color w:val="000000"/>
        </w:rPr>
      </w:pPr>
      <w:r w:rsidRPr="00C94C33">
        <w:rPr>
          <w:rFonts w:cs="TimesNewRoman"/>
          <w:color w:val="000000"/>
        </w:rPr>
        <w:t>The most commonly reported (</w:t>
      </w:r>
      <w:r w:rsidRPr="00C94C33">
        <w:rPr>
          <w:rFonts w:cs="Arial"/>
          <w:color w:val="000000"/>
        </w:rPr>
        <w:t xml:space="preserve">≥ </w:t>
      </w:r>
      <w:r w:rsidRPr="00C94C33">
        <w:rPr>
          <w:rFonts w:cs="TimesNewRoman"/>
          <w:color w:val="000000"/>
        </w:rPr>
        <w:t>15%) (excluding uncoded) concomitant medications continued or started after the first dose of study medication in the total population were serotonin (5HT3) antagonists (79.2%), natural opium alkaloids (70.8%), proton pump inhibitors (50%), anilides (33.3%),heparin group (33.3%), other blood products (packed red blood cells, red blood cells, platelets, and frozen plasma transfusions) (29.2%), other antidepressants (29.2%), contact laxatives (25%), carbapenems (25%), osmotically acting laxatives (20.8%), thyroid hormones (20.8%), third generation cephalosporins (16.7%), benzodiazepine derivatives (16.7%), ACE inhibitors plain (16.7%), antipropulsives (16.7%), vitamin D and analogues (16.7%), colony stimulating factors (16.7%), and HMG COA reductase inhibitors (16.7%).</w:t>
      </w:r>
    </w:p>
    <w:p w14:paraId="1CFF34D1" w14:textId="7ABB2CA6" w:rsidR="00DF61BC" w:rsidRPr="00C94C33" w:rsidRDefault="00D81501" w:rsidP="00955252">
      <w:pPr>
        <w:pStyle w:val="Heading5"/>
      </w:pPr>
      <w:r w:rsidRPr="00C94C33">
        <w:t>P</w:t>
      </w:r>
      <w:r w:rsidR="00A02F57">
        <w:t>K Results</w:t>
      </w:r>
    </w:p>
    <w:p w14:paraId="419D0A46" w14:textId="77777777" w:rsidR="00AA7141" w:rsidRDefault="00DF61BC" w:rsidP="00955252">
      <w:pPr>
        <w:pStyle w:val="Heading6"/>
      </w:pPr>
      <w:r w:rsidRPr="005C2FCA">
        <w:t>Plasma concentration time profiles</w:t>
      </w:r>
    </w:p>
    <w:p w14:paraId="012531D9" w14:textId="2DEB9417" w:rsidR="00DF61BC" w:rsidRPr="00C94C33" w:rsidRDefault="00DF61BC" w:rsidP="00DF61BC">
      <w:r w:rsidRPr="00C94C33">
        <w:t>PK blood samples were collected on Day 1 and Day 12 of Cycle 1.</w:t>
      </w:r>
    </w:p>
    <w:p w14:paraId="0AF5F594" w14:textId="75CD01C5" w:rsidR="00DF61BC" w:rsidRPr="005C2FCA" w:rsidRDefault="00DF61BC" w:rsidP="00955252">
      <w:pPr>
        <w:pStyle w:val="Heading6"/>
      </w:pPr>
      <w:r w:rsidRPr="005C2FCA">
        <w:t xml:space="preserve">Evaluator’s </w:t>
      </w:r>
      <w:r w:rsidR="00AF51AE">
        <w:t>c</w:t>
      </w:r>
      <w:r w:rsidR="00D81501" w:rsidRPr="005C2FCA">
        <w:t>omment</w:t>
      </w:r>
    </w:p>
    <w:p w14:paraId="18DAD489" w14:textId="5EA90159" w:rsidR="00DF61BC" w:rsidRPr="00C94C33" w:rsidRDefault="00DF61BC" w:rsidP="00184C38">
      <w:r w:rsidRPr="00C94C33">
        <w:t xml:space="preserve">The mean plasma elimination phase concentration of FTD on Day 1, Cycle 1 was similar in patients with mild or moderate hepatic impairment, while the corresponding plasma concentration in patients with normal hepatic function was higher than in patients in both hepatic impairment cohorts. The mean plasma elimination phase concentration of FTD at steady state (Cycle 1, Day 12) was lower in patients with moderate hepatic impairment compared to patients with normal hepatic function and mild hepatic impairment. The mean plasma elimination phase concentration of FTY on Day 1, Cycle 1 was similar in patients with mild or moderate hepatic impairment, while the corresponding plasma concentration in patients with normal hepatic function was higher than in patients in both hepatic impairment cohorts. The mean plasma elimination phase concentration of FTY at steady state (Cycle 1, Day 12) was comparable in the three treatment cohorts. The mean plasma elimination phase concentration of TPI on Day 1, Cycle 1 was comparable in patients with normal hepatic function and moderate hepatic impairment, and higher in both cohorts than in patients with mild hepatic impairment. At steady state (Cycle 1, Day 12), the mean plasma elimination phase concentration of TPI was comparable in the </w:t>
      </w:r>
      <w:r w:rsidR="00AF51AE">
        <w:t>3</w:t>
      </w:r>
      <w:r w:rsidR="00AF51AE" w:rsidRPr="00C94C33">
        <w:t xml:space="preserve"> </w:t>
      </w:r>
      <w:r w:rsidRPr="00C94C33">
        <w:t>treatment cohorts.</w:t>
      </w:r>
    </w:p>
    <w:p w14:paraId="1E18395E" w14:textId="14A59FFB" w:rsidR="00DF61BC" w:rsidRPr="005C2FCA" w:rsidRDefault="00DF61BC" w:rsidP="00955252">
      <w:pPr>
        <w:pStyle w:val="Heading6"/>
      </w:pPr>
      <w:r w:rsidRPr="005C2FCA">
        <w:t>Pharmacokinetic parameters</w:t>
      </w:r>
    </w:p>
    <w:p w14:paraId="225D7FB6" w14:textId="30F72232" w:rsidR="00DF61BC" w:rsidRPr="005C2FCA" w:rsidRDefault="00DF61BC" w:rsidP="00DF61BC">
      <w:pPr>
        <w:widowControl w:val="0"/>
        <w:autoSpaceDE w:val="0"/>
        <w:autoSpaceDN w:val="0"/>
        <w:adjustRightInd w:val="0"/>
        <w:rPr>
          <w:rFonts w:cs="Times"/>
        </w:rPr>
      </w:pPr>
      <w:r w:rsidRPr="005C2FCA">
        <w:rPr>
          <w:rFonts w:cs="Times"/>
        </w:rPr>
        <w:t>PK parameters were calculated for FTD, TPI, and FTY in plasma after administration of TAS-102 on Day 1 and Day 12 of Cycle 1 according t</w:t>
      </w:r>
      <w:r w:rsidR="00184C38" w:rsidRPr="005C2FCA">
        <w:rPr>
          <w:rFonts w:cs="Times"/>
        </w:rPr>
        <w:t>o the non-compartmental method</w:t>
      </w:r>
      <w:r w:rsidRPr="005C2FCA">
        <w:rPr>
          <w:rFonts w:cs="Times"/>
        </w:rPr>
        <w:t>.</w:t>
      </w:r>
    </w:p>
    <w:p w14:paraId="77F93FEB" w14:textId="13E7B2FB" w:rsidR="00DF61BC" w:rsidRPr="00C94C33" w:rsidRDefault="00D81501" w:rsidP="00955252">
      <w:pPr>
        <w:pStyle w:val="Heading6"/>
      </w:pPr>
      <w:r w:rsidRPr="00C94C33">
        <w:t xml:space="preserve">Evaluator’s </w:t>
      </w:r>
      <w:r w:rsidR="00AF51AE">
        <w:t>c</w:t>
      </w:r>
      <w:r w:rsidRPr="00C94C33">
        <w:t>omment</w:t>
      </w:r>
    </w:p>
    <w:p w14:paraId="301617EA" w14:textId="47E5F863" w:rsidR="00DF61BC" w:rsidRPr="00C94C33" w:rsidRDefault="00DF61BC" w:rsidP="00DF61BC">
      <w:pPr>
        <w:widowControl w:val="0"/>
        <w:autoSpaceDE w:val="0"/>
        <w:autoSpaceDN w:val="0"/>
        <w:adjustRightInd w:val="0"/>
        <w:rPr>
          <w:rFonts w:asciiTheme="minorHAnsi" w:hAnsiTheme="minorHAnsi" w:cstheme="minorHAnsi"/>
        </w:rPr>
      </w:pPr>
      <w:r w:rsidRPr="00C94C33">
        <w:rPr>
          <w:rFonts w:asciiTheme="minorHAnsi" w:hAnsiTheme="minorHAnsi" w:cstheme="minorHAnsi"/>
        </w:rPr>
        <w:t>Mean AUC</w:t>
      </w:r>
      <w:r w:rsidRPr="00C94C33">
        <w:rPr>
          <w:rFonts w:asciiTheme="minorHAnsi" w:hAnsiTheme="minorHAnsi" w:cstheme="minorHAnsi"/>
          <w:sz w:val="18"/>
          <w:szCs w:val="18"/>
        </w:rPr>
        <w:t>0-</w:t>
      </w:r>
      <w:r w:rsidRPr="00C94C33">
        <w:rPr>
          <w:rFonts w:asciiTheme="minorHAnsi" w:hAnsiTheme="minorHAnsi" w:cstheme="minorHAnsi"/>
        </w:rPr>
        <w:t>inf FTD values in Cycle 1, Day 1 decreased with increasing hepatic impairment (</w:t>
      </w:r>
      <w:r w:rsidR="00B2072D" w:rsidRPr="00C94C33">
        <w:rPr>
          <w:rFonts w:asciiTheme="minorHAnsi" w:hAnsiTheme="minorHAnsi" w:cstheme="minorHAnsi"/>
        </w:rPr>
        <w:t>that is,</w:t>
      </w:r>
      <w:r w:rsidRPr="00C94C33">
        <w:rPr>
          <w:rFonts w:asciiTheme="minorHAnsi" w:hAnsiTheme="minorHAnsi" w:cstheme="minorHAnsi"/>
        </w:rPr>
        <w:t xml:space="preserve"> 6873, 6324, and 4594 ng.hr/mL for normal hepatic function, mild hepatic impairment, and moderate hepatic impairment, respectively). This trend was also observed at steady state (Cycle 1, Day 12) for mean AUC</w:t>
      </w:r>
      <w:r w:rsidRPr="00C94C33">
        <w:rPr>
          <w:rFonts w:asciiTheme="minorHAnsi" w:hAnsiTheme="minorHAnsi" w:cstheme="minorHAnsi"/>
          <w:sz w:val="18"/>
          <w:szCs w:val="18"/>
        </w:rPr>
        <w:t>tau</w:t>
      </w:r>
      <w:r w:rsidRPr="00C94C33">
        <w:rPr>
          <w:rFonts w:asciiTheme="minorHAnsi" w:hAnsiTheme="minorHAnsi" w:cstheme="minorHAnsi"/>
        </w:rPr>
        <w:t xml:space="preserve"> FTD values (</w:t>
      </w:r>
      <w:r w:rsidR="00B2072D" w:rsidRPr="00C94C33">
        <w:rPr>
          <w:rFonts w:asciiTheme="minorHAnsi" w:hAnsiTheme="minorHAnsi" w:cstheme="minorHAnsi"/>
        </w:rPr>
        <w:t>that is,</w:t>
      </w:r>
      <w:r w:rsidRPr="00C94C33">
        <w:rPr>
          <w:rFonts w:asciiTheme="minorHAnsi" w:hAnsiTheme="minorHAnsi" w:cstheme="minorHAnsi"/>
        </w:rPr>
        <w:t xml:space="preserve"> 20392, 17489, 15406 ng.hr/mL for normal hepatic function, mild hepatic impairment, and moderate hepatic impairment, respectively). The steady state AUC</w:t>
      </w:r>
      <w:r w:rsidRPr="00C94C33">
        <w:rPr>
          <w:rFonts w:asciiTheme="minorHAnsi" w:hAnsiTheme="minorHAnsi" w:cstheme="minorHAnsi"/>
          <w:sz w:val="18"/>
          <w:szCs w:val="18"/>
        </w:rPr>
        <w:t>tau</w:t>
      </w:r>
      <w:r w:rsidRPr="00C94C33">
        <w:rPr>
          <w:rFonts w:asciiTheme="minorHAnsi" w:hAnsiTheme="minorHAnsi" w:cstheme="minorHAnsi"/>
        </w:rPr>
        <w:t xml:space="preserve"> FTY value was greater in patients with moderate hepatic impairment (5172 ng.hr/mL) than in patients with normal hepatic function (4833 ng.hr/mL) and patients with mild hepatic impairment (3516 ng.hr/mL). The sponsor comments that the increased AUC</w:t>
      </w:r>
      <w:r w:rsidRPr="00C94C33">
        <w:rPr>
          <w:rFonts w:asciiTheme="minorHAnsi" w:hAnsiTheme="minorHAnsi" w:cstheme="minorHAnsi"/>
          <w:sz w:val="18"/>
          <w:szCs w:val="18"/>
        </w:rPr>
        <w:t>tau</w:t>
      </w:r>
      <w:r w:rsidRPr="00C94C33">
        <w:rPr>
          <w:rFonts w:asciiTheme="minorHAnsi" w:hAnsiTheme="minorHAnsi" w:cstheme="minorHAnsi"/>
        </w:rPr>
        <w:t xml:space="preserve"> FTY value at steady state in the moderate hepatic impairment cohort compared to the other two treatment cohorts might be due to the limited sample size (</w:t>
      </w:r>
      <w:r w:rsidR="009C0389" w:rsidRPr="00C94C33">
        <w:rPr>
          <w:rFonts w:asciiTheme="minorHAnsi" w:hAnsiTheme="minorHAnsi" w:cstheme="minorHAnsi"/>
        </w:rPr>
        <w:t xml:space="preserve">n = </w:t>
      </w:r>
      <w:r w:rsidRPr="00C94C33">
        <w:rPr>
          <w:rFonts w:asciiTheme="minorHAnsi" w:hAnsiTheme="minorHAnsi" w:cstheme="minorHAnsi"/>
        </w:rPr>
        <w:t>3) and high inter-subject variability of AUC</w:t>
      </w:r>
      <w:r w:rsidRPr="00C94C33">
        <w:rPr>
          <w:rFonts w:asciiTheme="minorHAnsi" w:hAnsiTheme="minorHAnsi" w:cstheme="minorHAnsi"/>
          <w:sz w:val="18"/>
          <w:szCs w:val="18"/>
        </w:rPr>
        <w:t>tau</w:t>
      </w:r>
      <w:r w:rsidRPr="00C94C33">
        <w:rPr>
          <w:rFonts w:asciiTheme="minorHAnsi" w:hAnsiTheme="minorHAnsi" w:cstheme="minorHAnsi"/>
        </w:rPr>
        <w:t xml:space="preserve"> (CV=63.8%) FTY in patients with moderate hepatic impairment.</w:t>
      </w:r>
    </w:p>
    <w:p w14:paraId="5AA03FB4" w14:textId="5C76C195" w:rsidR="00DF61BC" w:rsidRPr="00C94C33" w:rsidRDefault="00DF61BC" w:rsidP="00DF61BC">
      <w:pPr>
        <w:widowControl w:val="0"/>
        <w:autoSpaceDE w:val="0"/>
        <w:autoSpaceDN w:val="0"/>
        <w:adjustRightInd w:val="0"/>
        <w:rPr>
          <w:rFonts w:asciiTheme="minorHAnsi" w:hAnsiTheme="minorHAnsi" w:cstheme="minorHAnsi"/>
        </w:rPr>
      </w:pPr>
      <w:r w:rsidRPr="00C94C33">
        <w:rPr>
          <w:rFonts w:asciiTheme="minorHAnsi" w:hAnsiTheme="minorHAnsi" w:cstheme="minorHAnsi"/>
        </w:rPr>
        <w:t>The mean AUC</w:t>
      </w:r>
      <w:r w:rsidRPr="00C94C33">
        <w:rPr>
          <w:rFonts w:asciiTheme="minorHAnsi" w:hAnsiTheme="minorHAnsi" w:cstheme="minorHAnsi"/>
          <w:sz w:val="18"/>
          <w:szCs w:val="18"/>
        </w:rPr>
        <w:t xml:space="preserve">0-inf </w:t>
      </w:r>
      <w:r w:rsidRPr="00C94C33">
        <w:rPr>
          <w:rFonts w:asciiTheme="minorHAnsi" w:hAnsiTheme="minorHAnsi" w:cstheme="minorHAnsi"/>
        </w:rPr>
        <w:t xml:space="preserve">TPI value in Cycle 1, Day 1 was lower in patients with mild hepatic impairment (272 ng.hr/mL) and higher in patients with moderate hepatic impairment (591 ng.hr/mL) than in </w:t>
      </w:r>
      <w:r w:rsidRPr="00C94C33">
        <w:rPr>
          <w:rFonts w:asciiTheme="minorHAnsi" w:hAnsiTheme="minorHAnsi" w:cstheme="minorHAnsi"/>
        </w:rPr>
        <w:lastRenderedPageBreak/>
        <w:t>patients with normal hepatic function (421 ng.hr/mL). This trend was consistent for AUC</w:t>
      </w:r>
      <w:r w:rsidRPr="00C94C33">
        <w:rPr>
          <w:rFonts w:asciiTheme="minorHAnsi" w:hAnsiTheme="minorHAnsi" w:cstheme="minorHAnsi"/>
          <w:sz w:val="18"/>
          <w:szCs w:val="18"/>
        </w:rPr>
        <w:t>tau</w:t>
      </w:r>
      <w:r w:rsidRPr="00C94C33">
        <w:rPr>
          <w:rFonts w:asciiTheme="minorHAnsi" w:hAnsiTheme="minorHAnsi" w:cstheme="minorHAnsi"/>
        </w:rPr>
        <w:t xml:space="preserve"> TPI values in Cycle 1 Day 12, with mean values being 335, 305, and 495 ng.hr/mL for patients with normal renal function, mild hepatic impairment and moderate hepatic impairment, respectively.</w:t>
      </w:r>
    </w:p>
    <w:p w14:paraId="50B8B21C" w14:textId="52ED663E" w:rsidR="00DF61BC" w:rsidRPr="00C94C33" w:rsidRDefault="00DF61BC" w:rsidP="00DF61BC">
      <w:pPr>
        <w:rPr>
          <w:rFonts w:asciiTheme="minorHAnsi" w:hAnsiTheme="minorHAnsi" w:cstheme="minorHAnsi"/>
        </w:rPr>
      </w:pPr>
      <w:r w:rsidRPr="00C94C33">
        <w:rPr>
          <w:rFonts w:asciiTheme="minorHAnsi" w:hAnsiTheme="minorHAnsi" w:cstheme="minorHAnsi"/>
        </w:rPr>
        <w:t>The accumulation ratio of C</w:t>
      </w:r>
      <w:r w:rsidRPr="00C94C33">
        <w:rPr>
          <w:rFonts w:asciiTheme="minorHAnsi" w:hAnsiTheme="minorHAnsi" w:cstheme="minorHAnsi"/>
          <w:sz w:val="18"/>
          <w:szCs w:val="18"/>
        </w:rPr>
        <w:t>max</w:t>
      </w:r>
      <w:r w:rsidRPr="00C94C33">
        <w:rPr>
          <w:rFonts w:asciiTheme="minorHAnsi" w:hAnsiTheme="minorHAnsi" w:cstheme="minorHAnsi"/>
        </w:rPr>
        <w:t xml:space="preserve"> for FTD at steady state (Cycle 1, Day 12) was 2.43, 1.19, and 2.12 for patients with normal hepatic function, mild hepatic impairment and moderate hepatic impairment, respectively, and the corresponding accumulation ratios for AUC</w:t>
      </w:r>
      <w:r w:rsidRPr="00C94C33">
        <w:rPr>
          <w:rFonts w:asciiTheme="minorHAnsi" w:hAnsiTheme="minorHAnsi" w:cstheme="minorHAnsi"/>
          <w:sz w:val="18"/>
          <w:szCs w:val="18"/>
        </w:rPr>
        <w:t xml:space="preserve">0-last </w:t>
      </w:r>
      <w:r w:rsidRPr="00C94C33">
        <w:rPr>
          <w:rFonts w:asciiTheme="minorHAnsi" w:hAnsiTheme="minorHAnsi" w:cstheme="minorHAnsi"/>
        </w:rPr>
        <w:t>for FTD were 2.85, 2.53, and 3.42, respectively. No marked differences were observed across the three treatment cohorts for the accumulation ratios of C</w:t>
      </w:r>
      <w:r w:rsidRPr="00C94C33">
        <w:rPr>
          <w:rFonts w:asciiTheme="minorHAnsi" w:hAnsiTheme="minorHAnsi" w:cstheme="minorHAnsi"/>
          <w:sz w:val="18"/>
          <w:szCs w:val="18"/>
        </w:rPr>
        <w:t>max</w:t>
      </w:r>
      <w:r w:rsidRPr="00C94C33">
        <w:rPr>
          <w:rFonts w:asciiTheme="minorHAnsi" w:hAnsiTheme="minorHAnsi" w:cstheme="minorHAnsi"/>
        </w:rPr>
        <w:t xml:space="preserve"> and AUC</w:t>
      </w:r>
      <w:r w:rsidRPr="00C94C33">
        <w:rPr>
          <w:rFonts w:asciiTheme="minorHAnsi" w:hAnsiTheme="minorHAnsi" w:cstheme="minorHAnsi"/>
          <w:sz w:val="18"/>
          <w:szCs w:val="18"/>
        </w:rPr>
        <w:t xml:space="preserve">0-last </w:t>
      </w:r>
      <w:r w:rsidRPr="00C94C33">
        <w:rPr>
          <w:rFonts w:asciiTheme="minorHAnsi" w:hAnsiTheme="minorHAnsi" w:cstheme="minorHAnsi"/>
        </w:rPr>
        <w:t>for FTY or TPI at steady state (Cycle 1, Day 12).</w:t>
      </w:r>
    </w:p>
    <w:p w14:paraId="5895AE38" w14:textId="77383D1C" w:rsidR="00DF61BC" w:rsidRPr="005C2FCA" w:rsidRDefault="00DF61BC" w:rsidP="00955252">
      <w:pPr>
        <w:pStyle w:val="Heading6"/>
      </w:pPr>
      <w:r w:rsidRPr="005C2FCA">
        <w:t>Statistical analysi</w:t>
      </w:r>
      <w:r w:rsidR="00A02F57">
        <w:t>s of pharmacokinetic parameters</w:t>
      </w:r>
    </w:p>
    <w:p w14:paraId="01497037" w14:textId="78782EB0" w:rsidR="00DF61BC" w:rsidRPr="00C94C33" w:rsidRDefault="00DF61BC" w:rsidP="00DF61BC">
      <w:r w:rsidRPr="00C94C33">
        <w:t>The C</w:t>
      </w:r>
      <w:r w:rsidRPr="00C94C33">
        <w:rPr>
          <w:sz w:val="18"/>
          <w:szCs w:val="18"/>
        </w:rPr>
        <w:t>max</w:t>
      </w:r>
      <w:r w:rsidRPr="00C94C33">
        <w:t xml:space="preserve"> (Days 1 and 12), AUC</w:t>
      </w:r>
      <w:r w:rsidRPr="00C94C33">
        <w:rPr>
          <w:sz w:val="18"/>
          <w:szCs w:val="18"/>
        </w:rPr>
        <w:t xml:space="preserve">0-inf </w:t>
      </w:r>
      <w:r w:rsidRPr="00C94C33">
        <w:t>(Day 1), AUC</w:t>
      </w:r>
      <w:r w:rsidRPr="00C94C33">
        <w:rPr>
          <w:sz w:val="18"/>
          <w:szCs w:val="18"/>
        </w:rPr>
        <w:t xml:space="preserve">tau </w:t>
      </w:r>
      <w:r w:rsidRPr="00C94C33">
        <w:t>(Day 12), CL/F (Day 1), and CLss/F (Day 12) for FTD and TPI were analysed by a one-way ANOVA. Comparisons were made between each of the two hepatic impairment cohorts and the normal hepatic function cohort.</w:t>
      </w:r>
    </w:p>
    <w:p w14:paraId="7962A799" w14:textId="54ED655A" w:rsidR="00DF61BC" w:rsidRPr="00C94C33" w:rsidRDefault="00DF61BC" w:rsidP="00C665B0">
      <w:r w:rsidRPr="00C94C33">
        <w:t>The results for FTD are summari</w:t>
      </w:r>
      <w:r w:rsidR="00AF51AE">
        <w:t>s</w:t>
      </w:r>
      <w:r w:rsidRPr="00C94C33">
        <w:t>ed below.</w:t>
      </w:r>
    </w:p>
    <w:p w14:paraId="58C48C92" w14:textId="3256086F" w:rsidR="00DF61BC" w:rsidRPr="005C2FCA" w:rsidRDefault="00184C38" w:rsidP="005C2FCA">
      <w:pPr>
        <w:keepNext/>
        <w:widowControl w:val="0"/>
        <w:autoSpaceDE w:val="0"/>
        <w:autoSpaceDN w:val="0"/>
        <w:adjustRightInd w:val="0"/>
        <w:rPr>
          <w:rFonts w:ascii="Times" w:hAnsi="Times" w:cs="Times"/>
          <w:sz w:val="26"/>
        </w:rPr>
      </w:pPr>
      <w:r w:rsidRPr="00C94C33">
        <w:rPr>
          <w:b/>
          <w:szCs w:val="18"/>
        </w:rPr>
        <w:t>Table 69</w:t>
      </w:r>
      <w:r w:rsidR="00DF61BC" w:rsidRPr="00C94C33">
        <w:rPr>
          <w:b/>
          <w:szCs w:val="18"/>
        </w:rPr>
        <w:t xml:space="preserve">: </w:t>
      </w:r>
      <w:r w:rsidR="00DF61BC" w:rsidRPr="005C2FCA">
        <w:rPr>
          <w:rFonts w:cs="Times"/>
          <w:b/>
          <w:szCs w:val="18"/>
        </w:rPr>
        <w:t>Effect of hepatic impairment (one-way ANOVA) for FTD PK Parameters, PK Population</w:t>
      </w:r>
    </w:p>
    <w:tbl>
      <w:tblPr>
        <w:tblStyle w:val="TableGrid"/>
        <w:tblW w:w="0" w:type="auto"/>
        <w:tblLook w:val="04A0" w:firstRow="1" w:lastRow="0" w:firstColumn="1" w:lastColumn="0" w:noHBand="0" w:noVBand="1"/>
        <w:tblDescription w:val="Table 69: Effect of hepatic impairment (one-way ANOVA) for FTD PK Parameters, PK Population"/>
      </w:tblPr>
      <w:tblGrid>
        <w:gridCol w:w="1357"/>
        <w:gridCol w:w="1412"/>
        <w:gridCol w:w="997"/>
        <w:gridCol w:w="2296"/>
        <w:gridCol w:w="2017"/>
      </w:tblGrid>
      <w:tr w:rsidR="00DF61BC" w:rsidRPr="00C94C33" w14:paraId="4EE42A4A" w14:textId="77777777" w:rsidTr="007B0D96">
        <w:trPr>
          <w:tblHeader/>
        </w:trPr>
        <w:tc>
          <w:tcPr>
            <w:tcW w:w="1357" w:type="dxa"/>
            <w:tcBorders>
              <w:left w:val="single" w:sz="4" w:space="0" w:color="auto"/>
              <w:right w:val="single" w:sz="4" w:space="0" w:color="auto"/>
            </w:tcBorders>
            <w:shd w:val="clear" w:color="auto" w:fill="auto"/>
          </w:tcPr>
          <w:p w14:paraId="0751A950" w14:textId="77777777" w:rsidR="00DF61BC" w:rsidRPr="00C94C33" w:rsidRDefault="00DF61BC" w:rsidP="00A02F57">
            <w:pPr>
              <w:pStyle w:val="TableHeading"/>
            </w:pPr>
          </w:p>
        </w:tc>
        <w:tc>
          <w:tcPr>
            <w:tcW w:w="1412" w:type="dxa"/>
            <w:tcBorders>
              <w:left w:val="single" w:sz="4" w:space="0" w:color="auto"/>
              <w:right w:val="single" w:sz="4" w:space="0" w:color="auto"/>
            </w:tcBorders>
            <w:shd w:val="clear" w:color="auto" w:fill="auto"/>
          </w:tcPr>
          <w:p w14:paraId="62D92798" w14:textId="77777777" w:rsidR="00DF61BC" w:rsidRPr="00C94C33" w:rsidRDefault="00DF61BC" w:rsidP="00A02F57">
            <w:pPr>
              <w:pStyle w:val="TableHeading"/>
            </w:pPr>
          </w:p>
        </w:tc>
        <w:tc>
          <w:tcPr>
            <w:tcW w:w="997" w:type="dxa"/>
            <w:tcBorders>
              <w:left w:val="single" w:sz="4" w:space="0" w:color="auto"/>
              <w:right w:val="single" w:sz="4" w:space="0" w:color="auto"/>
            </w:tcBorders>
            <w:shd w:val="clear" w:color="auto" w:fill="auto"/>
          </w:tcPr>
          <w:p w14:paraId="3FD0E1A3" w14:textId="1EB85D7D" w:rsidR="00DF61BC" w:rsidRPr="00C94C33" w:rsidRDefault="00A02F57" w:rsidP="00A02F57">
            <w:pPr>
              <w:pStyle w:val="TableHeading"/>
            </w:pPr>
            <w:r>
              <w:t>Normal</w:t>
            </w:r>
          </w:p>
        </w:tc>
        <w:tc>
          <w:tcPr>
            <w:tcW w:w="2296" w:type="dxa"/>
            <w:tcBorders>
              <w:left w:val="single" w:sz="4" w:space="0" w:color="auto"/>
              <w:right w:val="single" w:sz="4" w:space="0" w:color="auto"/>
            </w:tcBorders>
            <w:shd w:val="clear" w:color="auto" w:fill="auto"/>
          </w:tcPr>
          <w:p w14:paraId="4B6D07E0" w14:textId="77777777" w:rsidR="00DF61BC" w:rsidRPr="00C94C33" w:rsidRDefault="00DF61BC" w:rsidP="00A02F57">
            <w:pPr>
              <w:pStyle w:val="TableHeading"/>
            </w:pPr>
            <w:r w:rsidRPr="00C94C33">
              <w:t xml:space="preserve">Mild HI </w:t>
            </w:r>
          </w:p>
        </w:tc>
        <w:tc>
          <w:tcPr>
            <w:tcW w:w="2017" w:type="dxa"/>
            <w:tcBorders>
              <w:left w:val="single" w:sz="4" w:space="0" w:color="auto"/>
              <w:right w:val="single" w:sz="4" w:space="0" w:color="auto"/>
            </w:tcBorders>
            <w:shd w:val="clear" w:color="auto" w:fill="auto"/>
          </w:tcPr>
          <w:p w14:paraId="30D3F82A" w14:textId="77777777" w:rsidR="00DF61BC" w:rsidRPr="00C94C33" w:rsidRDefault="00DF61BC" w:rsidP="00A02F57">
            <w:pPr>
              <w:pStyle w:val="TableHeading"/>
            </w:pPr>
            <w:r w:rsidRPr="00C94C33">
              <w:t xml:space="preserve">Moderate HI </w:t>
            </w:r>
          </w:p>
        </w:tc>
      </w:tr>
      <w:tr w:rsidR="00DF61BC" w:rsidRPr="00A02F57" w14:paraId="4E65E8EB" w14:textId="77777777" w:rsidTr="00DE5BBC">
        <w:tc>
          <w:tcPr>
            <w:tcW w:w="1357" w:type="dxa"/>
            <w:tcBorders>
              <w:left w:val="single" w:sz="4" w:space="0" w:color="auto"/>
              <w:right w:val="single" w:sz="4" w:space="0" w:color="auto"/>
            </w:tcBorders>
            <w:shd w:val="clear" w:color="auto" w:fill="auto"/>
          </w:tcPr>
          <w:p w14:paraId="22373A38" w14:textId="421AC5D0" w:rsidR="00DF61BC" w:rsidRPr="00A02F57" w:rsidRDefault="00A02F57" w:rsidP="00A02F57">
            <w:pPr>
              <w:pStyle w:val="Tabletext"/>
              <w:rPr>
                <w:i/>
              </w:rPr>
            </w:pPr>
            <w:r>
              <w:rPr>
                <w:i/>
              </w:rPr>
              <w:t>Cycle 1, Day 1</w:t>
            </w:r>
          </w:p>
        </w:tc>
        <w:tc>
          <w:tcPr>
            <w:tcW w:w="1412" w:type="dxa"/>
            <w:tcBorders>
              <w:left w:val="single" w:sz="4" w:space="0" w:color="auto"/>
              <w:right w:val="single" w:sz="4" w:space="0" w:color="auto"/>
            </w:tcBorders>
            <w:shd w:val="clear" w:color="auto" w:fill="auto"/>
          </w:tcPr>
          <w:p w14:paraId="3BC127F2" w14:textId="77777777" w:rsidR="00DF61BC" w:rsidRPr="00A02F57" w:rsidRDefault="00DF61BC" w:rsidP="00A02F57">
            <w:pPr>
              <w:pStyle w:val="Tabletext"/>
              <w:rPr>
                <w:i/>
              </w:rPr>
            </w:pPr>
          </w:p>
        </w:tc>
        <w:tc>
          <w:tcPr>
            <w:tcW w:w="997" w:type="dxa"/>
            <w:tcBorders>
              <w:left w:val="single" w:sz="4" w:space="0" w:color="auto"/>
              <w:right w:val="single" w:sz="4" w:space="0" w:color="auto"/>
            </w:tcBorders>
            <w:shd w:val="clear" w:color="auto" w:fill="auto"/>
          </w:tcPr>
          <w:p w14:paraId="7C265231" w14:textId="298E62E4" w:rsidR="00DF61BC" w:rsidRPr="00A02F57" w:rsidRDefault="009C0389" w:rsidP="00A02F57">
            <w:pPr>
              <w:pStyle w:val="Tabletext"/>
              <w:rPr>
                <w:i/>
              </w:rPr>
            </w:pPr>
            <w:r w:rsidRPr="00A02F57">
              <w:rPr>
                <w:i/>
              </w:rPr>
              <w:t xml:space="preserve">n = </w:t>
            </w:r>
            <w:r w:rsidR="00DF61BC" w:rsidRPr="00A02F57">
              <w:rPr>
                <w:i/>
              </w:rPr>
              <w:t>7</w:t>
            </w:r>
          </w:p>
        </w:tc>
        <w:tc>
          <w:tcPr>
            <w:tcW w:w="2296" w:type="dxa"/>
            <w:tcBorders>
              <w:left w:val="single" w:sz="4" w:space="0" w:color="auto"/>
              <w:right w:val="single" w:sz="4" w:space="0" w:color="auto"/>
            </w:tcBorders>
            <w:shd w:val="clear" w:color="auto" w:fill="auto"/>
          </w:tcPr>
          <w:p w14:paraId="652C157D" w14:textId="56749321" w:rsidR="00DF61BC" w:rsidRPr="00A02F57" w:rsidRDefault="009C0389" w:rsidP="00A02F57">
            <w:pPr>
              <w:pStyle w:val="Tabletext"/>
              <w:rPr>
                <w:i/>
              </w:rPr>
            </w:pPr>
            <w:r w:rsidRPr="00A02F57">
              <w:rPr>
                <w:i/>
              </w:rPr>
              <w:t xml:space="preserve">n = </w:t>
            </w:r>
            <w:r w:rsidR="00DF61BC" w:rsidRPr="00A02F57">
              <w:rPr>
                <w:i/>
              </w:rPr>
              <w:t>7</w:t>
            </w:r>
          </w:p>
        </w:tc>
        <w:tc>
          <w:tcPr>
            <w:tcW w:w="2017" w:type="dxa"/>
            <w:tcBorders>
              <w:left w:val="single" w:sz="4" w:space="0" w:color="auto"/>
              <w:right w:val="single" w:sz="4" w:space="0" w:color="auto"/>
            </w:tcBorders>
            <w:shd w:val="clear" w:color="auto" w:fill="auto"/>
          </w:tcPr>
          <w:p w14:paraId="674147A1" w14:textId="513D2BB5" w:rsidR="00DF61BC" w:rsidRPr="00A02F57" w:rsidRDefault="009C0389" w:rsidP="00A02F57">
            <w:pPr>
              <w:pStyle w:val="Tabletext"/>
              <w:rPr>
                <w:i/>
              </w:rPr>
            </w:pPr>
            <w:r w:rsidRPr="00A02F57">
              <w:rPr>
                <w:i/>
              </w:rPr>
              <w:t xml:space="preserve">n = </w:t>
            </w:r>
            <w:r w:rsidR="00DF61BC" w:rsidRPr="00A02F57">
              <w:rPr>
                <w:i/>
              </w:rPr>
              <w:t>5</w:t>
            </w:r>
          </w:p>
        </w:tc>
      </w:tr>
      <w:tr w:rsidR="00DF61BC" w:rsidRPr="00C94C33" w14:paraId="59F552F7" w14:textId="77777777" w:rsidTr="00DE5BBC">
        <w:tc>
          <w:tcPr>
            <w:tcW w:w="1357" w:type="dxa"/>
            <w:tcBorders>
              <w:left w:val="single" w:sz="4" w:space="0" w:color="auto"/>
              <w:bottom w:val="nil"/>
              <w:right w:val="single" w:sz="4" w:space="0" w:color="auto"/>
            </w:tcBorders>
            <w:shd w:val="clear" w:color="auto" w:fill="auto"/>
          </w:tcPr>
          <w:p w14:paraId="36A55BC2" w14:textId="77777777" w:rsidR="00DF61BC" w:rsidRPr="00C94C33" w:rsidRDefault="00DF61BC" w:rsidP="00A02F57">
            <w:pPr>
              <w:pStyle w:val="Tabletext"/>
            </w:pPr>
            <w:r w:rsidRPr="00C94C33">
              <w:t xml:space="preserve">Cmax </w:t>
            </w:r>
          </w:p>
        </w:tc>
        <w:tc>
          <w:tcPr>
            <w:tcW w:w="1412" w:type="dxa"/>
            <w:tcBorders>
              <w:left w:val="single" w:sz="4" w:space="0" w:color="auto"/>
              <w:bottom w:val="nil"/>
              <w:right w:val="single" w:sz="4" w:space="0" w:color="auto"/>
            </w:tcBorders>
            <w:shd w:val="clear" w:color="auto" w:fill="auto"/>
          </w:tcPr>
          <w:p w14:paraId="00BDF9E5" w14:textId="77777777" w:rsidR="00DF61BC" w:rsidRPr="00C94C33" w:rsidRDefault="00DF61BC" w:rsidP="00A02F57">
            <w:pPr>
              <w:pStyle w:val="Tabletext"/>
            </w:pPr>
            <w:r w:rsidRPr="00C94C33">
              <w:t>GM</w:t>
            </w:r>
          </w:p>
        </w:tc>
        <w:tc>
          <w:tcPr>
            <w:tcW w:w="997" w:type="dxa"/>
            <w:tcBorders>
              <w:left w:val="single" w:sz="4" w:space="0" w:color="auto"/>
              <w:bottom w:val="nil"/>
              <w:right w:val="single" w:sz="4" w:space="0" w:color="auto"/>
            </w:tcBorders>
            <w:shd w:val="clear" w:color="auto" w:fill="auto"/>
          </w:tcPr>
          <w:p w14:paraId="1328868F" w14:textId="77777777" w:rsidR="00DF61BC" w:rsidRPr="00C94C33" w:rsidRDefault="00DF61BC" w:rsidP="00A02F57">
            <w:pPr>
              <w:pStyle w:val="Tabletext"/>
            </w:pPr>
            <w:r w:rsidRPr="00C94C33">
              <w:t>2090</w:t>
            </w:r>
          </w:p>
        </w:tc>
        <w:tc>
          <w:tcPr>
            <w:tcW w:w="2296" w:type="dxa"/>
            <w:tcBorders>
              <w:left w:val="single" w:sz="4" w:space="0" w:color="auto"/>
              <w:bottom w:val="nil"/>
              <w:right w:val="single" w:sz="4" w:space="0" w:color="auto"/>
            </w:tcBorders>
            <w:shd w:val="clear" w:color="auto" w:fill="auto"/>
          </w:tcPr>
          <w:p w14:paraId="14BED08E" w14:textId="77777777" w:rsidR="00DF61BC" w:rsidRPr="00C94C33" w:rsidRDefault="00DF61BC" w:rsidP="00A02F57">
            <w:pPr>
              <w:pStyle w:val="Tabletext"/>
            </w:pPr>
            <w:r w:rsidRPr="00C94C33">
              <w:t>2982</w:t>
            </w:r>
          </w:p>
        </w:tc>
        <w:tc>
          <w:tcPr>
            <w:tcW w:w="2017" w:type="dxa"/>
            <w:tcBorders>
              <w:left w:val="single" w:sz="4" w:space="0" w:color="auto"/>
              <w:bottom w:val="nil"/>
              <w:right w:val="single" w:sz="4" w:space="0" w:color="auto"/>
            </w:tcBorders>
            <w:shd w:val="clear" w:color="auto" w:fill="auto"/>
          </w:tcPr>
          <w:p w14:paraId="775383D4" w14:textId="77777777" w:rsidR="00DF61BC" w:rsidRPr="00C94C33" w:rsidRDefault="00DF61BC" w:rsidP="00A02F57">
            <w:pPr>
              <w:pStyle w:val="Tabletext"/>
            </w:pPr>
            <w:r w:rsidRPr="00C94C33">
              <w:t xml:space="preserve">1623 </w:t>
            </w:r>
          </w:p>
        </w:tc>
      </w:tr>
      <w:tr w:rsidR="00DF61BC" w:rsidRPr="00C94C33" w14:paraId="1C7EF818" w14:textId="77777777" w:rsidTr="00DE5BBC">
        <w:tc>
          <w:tcPr>
            <w:tcW w:w="1357" w:type="dxa"/>
            <w:tcBorders>
              <w:top w:val="nil"/>
              <w:left w:val="single" w:sz="4" w:space="0" w:color="auto"/>
              <w:bottom w:val="nil"/>
              <w:right w:val="single" w:sz="4" w:space="0" w:color="auto"/>
            </w:tcBorders>
            <w:shd w:val="clear" w:color="auto" w:fill="auto"/>
          </w:tcPr>
          <w:p w14:paraId="337CA207" w14:textId="77777777" w:rsidR="00DF61BC" w:rsidRPr="00C94C33" w:rsidRDefault="00DF61BC" w:rsidP="00A02F57">
            <w:pPr>
              <w:pStyle w:val="Tabletext"/>
            </w:pPr>
            <w:r w:rsidRPr="00C94C33">
              <w:t>(ng/mL)</w:t>
            </w:r>
          </w:p>
        </w:tc>
        <w:tc>
          <w:tcPr>
            <w:tcW w:w="1412" w:type="dxa"/>
            <w:tcBorders>
              <w:top w:val="nil"/>
              <w:left w:val="single" w:sz="4" w:space="0" w:color="auto"/>
              <w:bottom w:val="nil"/>
              <w:right w:val="single" w:sz="4" w:space="0" w:color="auto"/>
            </w:tcBorders>
            <w:shd w:val="clear" w:color="auto" w:fill="auto"/>
          </w:tcPr>
          <w:p w14:paraId="4F60A748" w14:textId="77777777" w:rsidR="00DF61BC" w:rsidRPr="00C94C33" w:rsidRDefault="00DF61BC" w:rsidP="00A02F57">
            <w:pPr>
              <w:pStyle w:val="Tabletext"/>
            </w:pPr>
            <w:r w:rsidRPr="00C94C33">
              <w:t xml:space="preserve">GMR to Normal </w:t>
            </w:r>
          </w:p>
        </w:tc>
        <w:tc>
          <w:tcPr>
            <w:tcW w:w="997" w:type="dxa"/>
            <w:tcBorders>
              <w:top w:val="nil"/>
              <w:left w:val="single" w:sz="4" w:space="0" w:color="auto"/>
              <w:bottom w:val="nil"/>
              <w:right w:val="single" w:sz="4" w:space="0" w:color="auto"/>
            </w:tcBorders>
            <w:shd w:val="clear" w:color="auto" w:fill="auto"/>
          </w:tcPr>
          <w:p w14:paraId="49FE4C99" w14:textId="77777777" w:rsidR="00DF61BC" w:rsidRPr="00C94C33" w:rsidRDefault="00DF61BC" w:rsidP="00A02F57">
            <w:pPr>
              <w:pStyle w:val="Tabletext"/>
            </w:pPr>
            <w:r w:rsidRPr="00C94C33">
              <w:t xml:space="preserve">- </w:t>
            </w:r>
          </w:p>
        </w:tc>
        <w:tc>
          <w:tcPr>
            <w:tcW w:w="2296" w:type="dxa"/>
            <w:tcBorders>
              <w:top w:val="nil"/>
              <w:left w:val="single" w:sz="4" w:space="0" w:color="auto"/>
              <w:bottom w:val="nil"/>
              <w:right w:val="single" w:sz="4" w:space="0" w:color="auto"/>
            </w:tcBorders>
            <w:shd w:val="clear" w:color="auto" w:fill="auto"/>
          </w:tcPr>
          <w:p w14:paraId="3BCD6273" w14:textId="77777777" w:rsidR="00DF61BC" w:rsidRPr="00C94C33" w:rsidRDefault="00DF61BC" w:rsidP="00A02F57">
            <w:pPr>
              <w:pStyle w:val="Tabletext"/>
            </w:pPr>
            <w:r w:rsidRPr="00C94C33">
              <w:t>1.43 (90% CI: 0.84, 2.43)</w:t>
            </w:r>
          </w:p>
        </w:tc>
        <w:tc>
          <w:tcPr>
            <w:tcW w:w="2017" w:type="dxa"/>
            <w:tcBorders>
              <w:top w:val="nil"/>
              <w:left w:val="single" w:sz="4" w:space="0" w:color="auto"/>
              <w:bottom w:val="nil"/>
              <w:right w:val="single" w:sz="4" w:space="0" w:color="auto"/>
            </w:tcBorders>
            <w:shd w:val="clear" w:color="auto" w:fill="auto"/>
          </w:tcPr>
          <w:p w14:paraId="51469996" w14:textId="77777777" w:rsidR="00DF61BC" w:rsidRPr="00C94C33" w:rsidRDefault="00DF61BC" w:rsidP="00A02F57">
            <w:pPr>
              <w:pStyle w:val="Tabletext"/>
            </w:pPr>
            <w:r w:rsidRPr="00C94C33">
              <w:t>0.78 (95% CI: 0.43, 1.39)</w:t>
            </w:r>
          </w:p>
        </w:tc>
      </w:tr>
      <w:tr w:rsidR="00DF61BC" w:rsidRPr="00C94C33" w14:paraId="3DEDBFFA" w14:textId="77777777" w:rsidTr="00DE5BBC">
        <w:tc>
          <w:tcPr>
            <w:tcW w:w="1357" w:type="dxa"/>
            <w:tcBorders>
              <w:top w:val="nil"/>
              <w:left w:val="single" w:sz="4" w:space="0" w:color="auto"/>
              <w:right w:val="single" w:sz="4" w:space="0" w:color="auto"/>
            </w:tcBorders>
            <w:shd w:val="clear" w:color="auto" w:fill="auto"/>
          </w:tcPr>
          <w:p w14:paraId="4E007A13" w14:textId="77777777" w:rsidR="00DF61BC" w:rsidRPr="00C94C33" w:rsidRDefault="00DF61BC" w:rsidP="00A02F57">
            <w:pPr>
              <w:pStyle w:val="Tabletext"/>
            </w:pPr>
          </w:p>
        </w:tc>
        <w:tc>
          <w:tcPr>
            <w:tcW w:w="1412" w:type="dxa"/>
            <w:tcBorders>
              <w:top w:val="nil"/>
              <w:left w:val="single" w:sz="4" w:space="0" w:color="auto"/>
              <w:right w:val="single" w:sz="4" w:space="0" w:color="auto"/>
            </w:tcBorders>
            <w:shd w:val="clear" w:color="auto" w:fill="auto"/>
          </w:tcPr>
          <w:p w14:paraId="0357FE14" w14:textId="77777777" w:rsidR="00DF61BC" w:rsidRPr="00C94C33" w:rsidRDefault="00DF61BC" w:rsidP="00A02F57">
            <w:pPr>
              <w:pStyle w:val="Tabletext"/>
            </w:pPr>
            <w:r w:rsidRPr="00C94C33">
              <w:t>p value for GMR</w:t>
            </w:r>
          </w:p>
        </w:tc>
        <w:tc>
          <w:tcPr>
            <w:tcW w:w="997" w:type="dxa"/>
            <w:tcBorders>
              <w:top w:val="nil"/>
              <w:left w:val="single" w:sz="4" w:space="0" w:color="auto"/>
              <w:right w:val="single" w:sz="4" w:space="0" w:color="auto"/>
            </w:tcBorders>
            <w:shd w:val="clear" w:color="auto" w:fill="auto"/>
          </w:tcPr>
          <w:p w14:paraId="61BAEA34" w14:textId="77777777" w:rsidR="00DF61BC" w:rsidRPr="00C94C33" w:rsidRDefault="00DF61BC" w:rsidP="00A02F57">
            <w:pPr>
              <w:pStyle w:val="Tabletext"/>
            </w:pPr>
            <w:r w:rsidRPr="00C94C33">
              <w:t xml:space="preserve">- </w:t>
            </w:r>
          </w:p>
        </w:tc>
        <w:tc>
          <w:tcPr>
            <w:tcW w:w="2296" w:type="dxa"/>
            <w:tcBorders>
              <w:top w:val="nil"/>
              <w:left w:val="single" w:sz="4" w:space="0" w:color="auto"/>
              <w:right w:val="single" w:sz="4" w:space="0" w:color="auto"/>
            </w:tcBorders>
            <w:shd w:val="clear" w:color="auto" w:fill="auto"/>
          </w:tcPr>
          <w:p w14:paraId="5AB7BBC8" w14:textId="77777777" w:rsidR="00DF61BC" w:rsidRPr="00C94C33" w:rsidRDefault="00DF61BC" w:rsidP="00A02F57">
            <w:pPr>
              <w:pStyle w:val="Tabletext"/>
            </w:pPr>
            <w:r w:rsidRPr="00C94C33">
              <w:t>p = 0.2611</w:t>
            </w:r>
          </w:p>
        </w:tc>
        <w:tc>
          <w:tcPr>
            <w:tcW w:w="2017" w:type="dxa"/>
            <w:tcBorders>
              <w:top w:val="nil"/>
              <w:left w:val="single" w:sz="4" w:space="0" w:color="auto"/>
              <w:right w:val="single" w:sz="4" w:space="0" w:color="auto"/>
            </w:tcBorders>
            <w:shd w:val="clear" w:color="auto" w:fill="auto"/>
          </w:tcPr>
          <w:p w14:paraId="55ABE144" w14:textId="77777777" w:rsidR="00DF61BC" w:rsidRPr="00C94C33" w:rsidRDefault="00DF61BC" w:rsidP="00A02F57">
            <w:pPr>
              <w:pStyle w:val="Tabletext"/>
            </w:pPr>
            <w:r w:rsidRPr="00C94C33">
              <w:t>p = 0.4609</w:t>
            </w:r>
          </w:p>
        </w:tc>
      </w:tr>
      <w:tr w:rsidR="00DF61BC" w:rsidRPr="00C94C33" w14:paraId="4A396509" w14:textId="77777777" w:rsidTr="00DE5BBC">
        <w:tc>
          <w:tcPr>
            <w:tcW w:w="1357" w:type="dxa"/>
            <w:tcBorders>
              <w:left w:val="single" w:sz="4" w:space="0" w:color="auto"/>
              <w:bottom w:val="nil"/>
              <w:right w:val="single" w:sz="4" w:space="0" w:color="auto"/>
            </w:tcBorders>
            <w:shd w:val="clear" w:color="auto" w:fill="auto"/>
          </w:tcPr>
          <w:p w14:paraId="64EA9E3A" w14:textId="77777777" w:rsidR="00DF61BC" w:rsidRPr="00C94C33" w:rsidRDefault="00DF61BC" w:rsidP="00A02F57">
            <w:pPr>
              <w:pStyle w:val="Tabletext"/>
            </w:pPr>
            <w:r w:rsidRPr="00C94C33">
              <w:t xml:space="preserve">AUC0-inf </w:t>
            </w:r>
          </w:p>
        </w:tc>
        <w:tc>
          <w:tcPr>
            <w:tcW w:w="1412" w:type="dxa"/>
            <w:tcBorders>
              <w:left w:val="single" w:sz="4" w:space="0" w:color="auto"/>
              <w:bottom w:val="nil"/>
              <w:right w:val="single" w:sz="4" w:space="0" w:color="auto"/>
            </w:tcBorders>
            <w:shd w:val="clear" w:color="auto" w:fill="auto"/>
          </w:tcPr>
          <w:p w14:paraId="17C5110E" w14:textId="77777777" w:rsidR="00DF61BC" w:rsidRPr="00C94C33" w:rsidRDefault="00DF61BC" w:rsidP="00A02F57">
            <w:pPr>
              <w:pStyle w:val="Tabletext"/>
            </w:pPr>
            <w:r w:rsidRPr="00C94C33">
              <w:t xml:space="preserve">GM </w:t>
            </w:r>
          </w:p>
        </w:tc>
        <w:tc>
          <w:tcPr>
            <w:tcW w:w="997" w:type="dxa"/>
            <w:tcBorders>
              <w:left w:val="single" w:sz="4" w:space="0" w:color="auto"/>
              <w:bottom w:val="nil"/>
              <w:right w:val="single" w:sz="4" w:space="0" w:color="auto"/>
            </w:tcBorders>
            <w:shd w:val="clear" w:color="auto" w:fill="auto"/>
          </w:tcPr>
          <w:p w14:paraId="7E2C14D5" w14:textId="77777777" w:rsidR="00DF61BC" w:rsidRPr="00C94C33" w:rsidRDefault="00DF61BC" w:rsidP="00A02F57">
            <w:pPr>
              <w:pStyle w:val="Tabletext"/>
            </w:pPr>
            <w:r w:rsidRPr="00C94C33">
              <w:t>6511</w:t>
            </w:r>
          </w:p>
        </w:tc>
        <w:tc>
          <w:tcPr>
            <w:tcW w:w="2296" w:type="dxa"/>
            <w:tcBorders>
              <w:left w:val="single" w:sz="4" w:space="0" w:color="auto"/>
              <w:bottom w:val="nil"/>
              <w:right w:val="single" w:sz="4" w:space="0" w:color="auto"/>
            </w:tcBorders>
            <w:shd w:val="clear" w:color="auto" w:fill="auto"/>
          </w:tcPr>
          <w:p w14:paraId="7C282BE8" w14:textId="77777777" w:rsidR="00DF61BC" w:rsidRPr="00C94C33" w:rsidRDefault="00DF61BC" w:rsidP="00A02F57">
            <w:pPr>
              <w:pStyle w:val="Tabletext"/>
            </w:pPr>
            <w:r w:rsidRPr="00C94C33">
              <w:t>5981</w:t>
            </w:r>
          </w:p>
        </w:tc>
        <w:tc>
          <w:tcPr>
            <w:tcW w:w="2017" w:type="dxa"/>
            <w:tcBorders>
              <w:left w:val="single" w:sz="4" w:space="0" w:color="auto"/>
              <w:bottom w:val="nil"/>
              <w:right w:val="single" w:sz="4" w:space="0" w:color="auto"/>
            </w:tcBorders>
            <w:shd w:val="clear" w:color="auto" w:fill="auto"/>
          </w:tcPr>
          <w:p w14:paraId="2C295F4A" w14:textId="77777777" w:rsidR="00DF61BC" w:rsidRPr="00C94C33" w:rsidRDefault="00DF61BC" w:rsidP="00A02F57">
            <w:pPr>
              <w:pStyle w:val="Tabletext"/>
            </w:pPr>
            <w:r w:rsidRPr="00C94C33">
              <w:t xml:space="preserve">4379 </w:t>
            </w:r>
          </w:p>
        </w:tc>
      </w:tr>
      <w:tr w:rsidR="00DF61BC" w:rsidRPr="00C94C33" w14:paraId="68AF8730" w14:textId="77777777" w:rsidTr="00DE5BBC">
        <w:tc>
          <w:tcPr>
            <w:tcW w:w="1357" w:type="dxa"/>
            <w:tcBorders>
              <w:top w:val="nil"/>
              <w:left w:val="single" w:sz="4" w:space="0" w:color="auto"/>
              <w:bottom w:val="nil"/>
              <w:right w:val="single" w:sz="4" w:space="0" w:color="auto"/>
            </w:tcBorders>
            <w:shd w:val="clear" w:color="auto" w:fill="auto"/>
          </w:tcPr>
          <w:p w14:paraId="16E5EB3B" w14:textId="77777777" w:rsidR="00DF61BC" w:rsidRPr="00C94C33" w:rsidRDefault="00DF61BC" w:rsidP="00A02F57">
            <w:pPr>
              <w:pStyle w:val="Tabletext"/>
            </w:pPr>
            <w:r w:rsidRPr="00C94C33">
              <w:t>(ng.hr/mL)</w:t>
            </w:r>
          </w:p>
        </w:tc>
        <w:tc>
          <w:tcPr>
            <w:tcW w:w="1412" w:type="dxa"/>
            <w:tcBorders>
              <w:top w:val="nil"/>
              <w:left w:val="single" w:sz="4" w:space="0" w:color="auto"/>
              <w:bottom w:val="nil"/>
              <w:right w:val="single" w:sz="4" w:space="0" w:color="auto"/>
            </w:tcBorders>
            <w:shd w:val="clear" w:color="auto" w:fill="auto"/>
          </w:tcPr>
          <w:p w14:paraId="0D7DEB90" w14:textId="77777777" w:rsidR="00DF61BC" w:rsidRPr="00C94C33" w:rsidRDefault="00DF61BC" w:rsidP="00A02F57">
            <w:pPr>
              <w:pStyle w:val="Tabletext"/>
            </w:pPr>
            <w:r w:rsidRPr="00C94C33">
              <w:t xml:space="preserve">GMR to Normal </w:t>
            </w:r>
          </w:p>
        </w:tc>
        <w:tc>
          <w:tcPr>
            <w:tcW w:w="997" w:type="dxa"/>
            <w:tcBorders>
              <w:top w:val="nil"/>
              <w:left w:val="single" w:sz="4" w:space="0" w:color="auto"/>
              <w:bottom w:val="nil"/>
              <w:right w:val="single" w:sz="4" w:space="0" w:color="auto"/>
            </w:tcBorders>
            <w:shd w:val="clear" w:color="auto" w:fill="auto"/>
          </w:tcPr>
          <w:p w14:paraId="32C29E79" w14:textId="77777777" w:rsidR="00DF61BC" w:rsidRPr="00C94C33" w:rsidRDefault="00DF61BC" w:rsidP="00A02F57">
            <w:pPr>
              <w:pStyle w:val="Tabletext"/>
            </w:pPr>
            <w:r w:rsidRPr="00C94C33">
              <w:t>-</w:t>
            </w:r>
          </w:p>
        </w:tc>
        <w:tc>
          <w:tcPr>
            <w:tcW w:w="2296" w:type="dxa"/>
            <w:tcBorders>
              <w:top w:val="nil"/>
              <w:left w:val="single" w:sz="4" w:space="0" w:color="auto"/>
              <w:bottom w:val="nil"/>
              <w:right w:val="single" w:sz="4" w:space="0" w:color="auto"/>
            </w:tcBorders>
            <w:shd w:val="clear" w:color="auto" w:fill="auto"/>
          </w:tcPr>
          <w:p w14:paraId="6F465368" w14:textId="77777777" w:rsidR="00DF61BC" w:rsidRPr="00C94C33" w:rsidRDefault="00DF61BC" w:rsidP="00A02F57">
            <w:pPr>
              <w:pStyle w:val="Tabletext"/>
            </w:pPr>
            <w:r w:rsidRPr="00C94C33">
              <w:t>0.92 (90% CI: 0.66, 1.29)</w:t>
            </w:r>
          </w:p>
        </w:tc>
        <w:tc>
          <w:tcPr>
            <w:tcW w:w="2017" w:type="dxa"/>
            <w:tcBorders>
              <w:top w:val="nil"/>
              <w:left w:val="single" w:sz="4" w:space="0" w:color="auto"/>
              <w:bottom w:val="nil"/>
              <w:right w:val="single" w:sz="4" w:space="0" w:color="auto"/>
            </w:tcBorders>
            <w:shd w:val="clear" w:color="auto" w:fill="auto"/>
          </w:tcPr>
          <w:p w14:paraId="77FAB99C" w14:textId="77777777" w:rsidR="00DF61BC" w:rsidRPr="00C94C33" w:rsidRDefault="00DF61BC" w:rsidP="00A02F57">
            <w:pPr>
              <w:pStyle w:val="Tabletext"/>
            </w:pPr>
            <w:r w:rsidRPr="00C94C33">
              <w:t>0.67 (90% CI: 0.46, 0.79)</w:t>
            </w:r>
          </w:p>
        </w:tc>
      </w:tr>
      <w:tr w:rsidR="00DF61BC" w:rsidRPr="00C94C33" w14:paraId="66EB1983" w14:textId="77777777" w:rsidTr="00DE5BBC">
        <w:tc>
          <w:tcPr>
            <w:tcW w:w="1357" w:type="dxa"/>
            <w:tcBorders>
              <w:top w:val="nil"/>
              <w:left w:val="single" w:sz="4" w:space="0" w:color="auto"/>
              <w:right w:val="single" w:sz="4" w:space="0" w:color="auto"/>
            </w:tcBorders>
            <w:shd w:val="clear" w:color="auto" w:fill="auto"/>
          </w:tcPr>
          <w:p w14:paraId="30E21D79" w14:textId="77777777" w:rsidR="00DF61BC" w:rsidRPr="00C94C33" w:rsidRDefault="00DF61BC" w:rsidP="00A02F57">
            <w:pPr>
              <w:pStyle w:val="Tabletext"/>
            </w:pPr>
          </w:p>
        </w:tc>
        <w:tc>
          <w:tcPr>
            <w:tcW w:w="1412" w:type="dxa"/>
            <w:tcBorders>
              <w:top w:val="nil"/>
              <w:left w:val="single" w:sz="4" w:space="0" w:color="auto"/>
              <w:right w:val="single" w:sz="4" w:space="0" w:color="auto"/>
            </w:tcBorders>
            <w:shd w:val="clear" w:color="auto" w:fill="auto"/>
          </w:tcPr>
          <w:p w14:paraId="6D91670C" w14:textId="77777777" w:rsidR="00DF61BC" w:rsidRPr="00C94C33" w:rsidRDefault="00DF61BC" w:rsidP="00A02F57">
            <w:pPr>
              <w:pStyle w:val="Tabletext"/>
            </w:pPr>
            <w:r w:rsidRPr="00C94C33">
              <w:t>p value for GMR</w:t>
            </w:r>
          </w:p>
        </w:tc>
        <w:tc>
          <w:tcPr>
            <w:tcW w:w="997" w:type="dxa"/>
            <w:tcBorders>
              <w:top w:val="nil"/>
              <w:left w:val="single" w:sz="4" w:space="0" w:color="auto"/>
              <w:right w:val="single" w:sz="4" w:space="0" w:color="auto"/>
            </w:tcBorders>
            <w:shd w:val="clear" w:color="auto" w:fill="auto"/>
          </w:tcPr>
          <w:p w14:paraId="7E2B2B1F" w14:textId="77777777" w:rsidR="00DF61BC" w:rsidRPr="00C94C33" w:rsidRDefault="00DF61BC" w:rsidP="00A02F57">
            <w:pPr>
              <w:pStyle w:val="Tabletext"/>
            </w:pPr>
            <w:r w:rsidRPr="00C94C33">
              <w:t>-</w:t>
            </w:r>
          </w:p>
        </w:tc>
        <w:tc>
          <w:tcPr>
            <w:tcW w:w="2296" w:type="dxa"/>
            <w:tcBorders>
              <w:top w:val="nil"/>
              <w:left w:val="single" w:sz="4" w:space="0" w:color="auto"/>
              <w:right w:val="single" w:sz="4" w:space="0" w:color="auto"/>
            </w:tcBorders>
            <w:shd w:val="clear" w:color="auto" w:fill="auto"/>
          </w:tcPr>
          <w:p w14:paraId="59223687" w14:textId="77777777" w:rsidR="00DF61BC" w:rsidRPr="00C94C33" w:rsidRDefault="00DF61BC" w:rsidP="00A02F57">
            <w:pPr>
              <w:pStyle w:val="Tabletext"/>
            </w:pPr>
            <w:r w:rsidRPr="00C94C33">
              <w:t>p = 0.6664</w:t>
            </w:r>
          </w:p>
        </w:tc>
        <w:tc>
          <w:tcPr>
            <w:tcW w:w="2017" w:type="dxa"/>
            <w:tcBorders>
              <w:top w:val="nil"/>
              <w:left w:val="single" w:sz="4" w:space="0" w:color="auto"/>
              <w:right w:val="single" w:sz="4" w:space="0" w:color="auto"/>
            </w:tcBorders>
            <w:shd w:val="clear" w:color="auto" w:fill="auto"/>
          </w:tcPr>
          <w:p w14:paraId="1092B309" w14:textId="77777777" w:rsidR="00DF61BC" w:rsidRPr="00C94C33" w:rsidRDefault="00DF61BC" w:rsidP="00A02F57">
            <w:pPr>
              <w:pStyle w:val="Tabletext"/>
            </w:pPr>
            <w:r w:rsidRPr="00C94C33">
              <w:t xml:space="preserve">p = 0.0792 </w:t>
            </w:r>
          </w:p>
        </w:tc>
      </w:tr>
      <w:tr w:rsidR="00DF61BC" w:rsidRPr="00C94C33" w14:paraId="344BF1DE" w14:textId="77777777" w:rsidTr="00DE5BBC">
        <w:tc>
          <w:tcPr>
            <w:tcW w:w="1357" w:type="dxa"/>
            <w:tcBorders>
              <w:left w:val="single" w:sz="4" w:space="0" w:color="auto"/>
              <w:bottom w:val="nil"/>
              <w:right w:val="single" w:sz="4" w:space="0" w:color="auto"/>
            </w:tcBorders>
            <w:shd w:val="clear" w:color="auto" w:fill="auto"/>
          </w:tcPr>
          <w:p w14:paraId="643EAE19" w14:textId="77777777" w:rsidR="00DF61BC" w:rsidRPr="00C94C33" w:rsidRDefault="00DF61BC" w:rsidP="00A02F57">
            <w:pPr>
              <w:pStyle w:val="Tabletext"/>
            </w:pPr>
            <w:r w:rsidRPr="00C94C33">
              <w:t xml:space="preserve">CL/F </w:t>
            </w:r>
          </w:p>
        </w:tc>
        <w:tc>
          <w:tcPr>
            <w:tcW w:w="1412" w:type="dxa"/>
            <w:tcBorders>
              <w:left w:val="single" w:sz="4" w:space="0" w:color="auto"/>
              <w:bottom w:val="nil"/>
              <w:right w:val="single" w:sz="4" w:space="0" w:color="auto"/>
            </w:tcBorders>
            <w:shd w:val="clear" w:color="auto" w:fill="auto"/>
          </w:tcPr>
          <w:p w14:paraId="53A9EA6B" w14:textId="77777777" w:rsidR="00DF61BC" w:rsidRPr="00C94C33" w:rsidRDefault="00DF61BC" w:rsidP="00A02F57">
            <w:pPr>
              <w:pStyle w:val="Tabletext"/>
            </w:pPr>
            <w:r w:rsidRPr="00C94C33">
              <w:t>GM</w:t>
            </w:r>
          </w:p>
        </w:tc>
        <w:tc>
          <w:tcPr>
            <w:tcW w:w="997" w:type="dxa"/>
            <w:tcBorders>
              <w:left w:val="single" w:sz="4" w:space="0" w:color="auto"/>
              <w:bottom w:val="nil"/>
              <w:right w:val="single" w:sz="4" w:space="0" w:color="auto"/>
            </w:tcBorders>
            <w:shd w:val="clear" w:color="auto" w:fill="auto"/>
          </w:tcPr>
          <w:p w14:paraId="3892F5F2" w14:textId="77777777" w:rsidR="00DF61BC" w:rsidRPr="00C94C33" w:rsidRDefault="00DF61BC" w:rsidP="00A02F57">
            <w:pPr>
              <w:pStyle w:val="Tabletext"/>
            </w:pPr>
            <w:r w:rsidRPr="00C94C33">
              <w:t>8.95</w:t>
            </w:r>
          </w:p>
        </w:tc>
        <w:tc>
          <w:tcPr>
            <w:tcW w:w="2296" w:type="dxa"/>
            <w:tcBorders>
              <w:left w:val="single" w:sz="4" w:space="0" w:color="auto"/>
              <w:bottom w:val="nil"/>
              <w:right w:val="single" w:sz="4" w:space="0" w:color="auto"/>
            </w:tcBorders>
            <w:shd w:val="clear" w:color="auto" w:fill="auto"/>
          </w:tcPr>
          <w:p w14:paraId="78F20E0A" w14:textId="77777777" w:rsidR="00DF61BC" w:rsidRPr="00C94C33" w:rsidRDefault="00DF61BC" w:rsidP="00A02F57">
            <w:pPr>
              <w:pStyle w:val="Tabletext"/>
            </w:pPr>
            <w:r w:rsidRPr="00C94C33">
              <w:t>10.34</w:t>
            </w:r>
          </w:p>
        </w:tc>
        <w:tc>
          <w:tcPr>
            <w:tcW w:w="2017" w:type="dxa"/>
            <w:tcBorders>
              <w:left w:val="single" w:sz="4" w:space="0" w:color="auto"/>
              <w:bottom w:val="nil"/>
              <w:right w:val="single" w:sz="4" w:space="0" w:color="auto"/>
            </w:tcBorders>
            <w:shd w:val="clear" w:color="auto" w:fill="auto"/>
          </w:tcPr>
          <w:p w14:paraId="7911A09F" w14:textId="77777777" w:rsidR="00DF61BC" w:rsidRPr="00C94C33" w:rsidRDefault="00DF61BC" w:rsidP="00A02F57">
            <w:pPr>
              <w:pStyle w:val="Tabletext"/>
            </w:pPr>
            <w:r w:rsidRPr="00C94C33">
              <w:t>14.55</w:t>
            </w:r>
          </w:p>
        </w:tc>
      </w:tr>
      <w:tr w:rsidR="00DF61BC" w:rsidRPr="00C94C33" w14:paraId="62EAC9F2" w14:textId="77777777" w:rsidTr="00DE5BBC">
        <w:tc>
          <w:tcPr>
            <w:tcW w:w="1357" w:type="dxa"/>
            <w:tcBorders>
              <w:top w:val="nil"/>
              <w:left w:val="single" w:sz="4" w:space="0" w:color="auto"/>
              <w:bottom w:val="nil"/>
              <w:right w:val="single" w:sz="4" w:space="0" w:color="auto"/>
            </w:tcBorders>
            <w:shd w:val="clear" w:color="auto" w:fill="auto"/>
          </w:tcPr>
          <w:p w14:paraId="608AA019" w14:textId="77777777" w:rsidR="00DF61BC" w:rsidRPr="00C94C33" w:rsidRDefault="00DF61BC" w:rsidP="00A02F57">
            <w:pPr>
              <w:pStyle w:val="Tabletext"/>
            </w:pPr>
            <w:r w:rsidRPr="00C94C33">
              <w:t>(L/hr)</w:t>
            </w:r>
          </w:p>
        </w:tc>
        <w:tc>
          <w:tcPr>
            <w:tcW w:w="1412" w:type="dxa"/>
            <w:tcBorders>
              <w:top w:val="nil"/>
              <w:left w:val="single" w:sz="4" w:space="0" w:color="auto"/>
              <w:bottom w:val="nil"/>
              <w:right w:val="single" w:sz="4" w:space="0" w:color="auto"/>
            </w:tcBorders>
            <w:shd w:val="clear" w:color="auto" w:fill="auto"/>
          </w:tcPr>
          <w:p w14:paraId="412CBFBD" w14:textId="77777777" w:rsidR="00DF61BC" w:rsidRPr="00C94C33" w:rsidRDefault="00DF61BC" w:rsidP="00A02F57">
            <w:pPr>
              <w:pStyle w:val="Tabletext"/>
            </w:pPr>
            <w:r w:rsidRPr="00C94C33">
              <w:t>GMR to Normal</w:t>
            </w:r>
          </w:p>
        </w:tc>
        <w:tc>
          <w:tcPr>
            <w:tcW w:w="997" w:type="dxa"/>
            <w:tcBorders>
              <w:top w:val="nil"/>
              <w:left w:val="single" w:sz="4" w:space="0" w:color="auto"/>
              <w:bottom w:val="nil"/>
              <w:right w:val="single" w:sz="4" w:space="0" w:color="auto"/>
            </w:tcBorders>
            <w:shd w:val="clear" w:color="auto" w:fill="auto"/>
          </w:tcPr>
          <w:p w14:paraId="6CC49BA3" w14:textId="77777777" w:rsidR="00DF61BC" w:rsidRPr="00C94C33" w:rsidRDefault="00DF61BC" w:rsidP="00A02F57">
            <w:pPr>
              <w:pStyle w:val="Tabletext"/>
            </w:pPr>
            <w:r w:rsidRPr="00C94C33">
              <w:t>-</w:t>
            </w:r>
          </w:p>
        </w:tc>
        <w:tc>
          <w:tcPr>
            <w:tcW w:w="2296" w:type="dxa"/>
            <w:tcBorders>
              <w:top w:val="nil"/>
              <w:left w:val="single" w:sz="4" w:space="0" w:color="auto"/>
              <w:bottom w:val="nil"/>
              <w:right w:val="single" w:sz="4" w:space="0" w:color="auto"/>
            </w:tcBorders>
            <w:shd w:val="clear" w:color="auto" w:fill="auto"/>
          </w:tcPr>
          <w:p w14:paraId="4D939E38" w14:textId="77777777" w:rsidR="00DF61BC" w:rsidRPr="00C94C33" w:rsidRDefault="00DF61BC" w:rsidP="00A02F57">
            <w:pPr>
              <w:pStyle w:val="Tabletext"/>
            </w:pPr>
            <w:r w:rsidRPr="00C94C33">
              <w:t>1.16 (90% CI: 0.79, 1.68)</w:t>
            </w:r>
          </w:p>
        </w:tc>
        <w:tc>
          <w:tcPr>
            <w:tcW w:w="2017" w:type="dxa"/>
            <w:tcBorders>
              <w:top w:val="nil"/>
              <w:left w:val="single" w:sz="4" w:space="0" w:color="auto"/>
              <w:bottom w:val="nil"/>
              <w:right w:val="single" w:sz="4" w:space="0" w:color="auto"/>
            </w:tcBorders>
            <w:shd w:val="clear" w:color="auto" w:fill="auto"/>
          </w:tcPr>
          <w:p w14:paraId="3329BAAA" w14:textId="77777777" w:rsidR="00DF61BC" w:rsidRPr="00C94C33" w:rsidRDefault="00DF61BC" w:rsidP="00A02F57">
            <w:pPr>
              <w:pStyle w:val="Tabletext"/>
            </w:pPr>
            <w:r w:rsidRPr="00C94C33">
              <w:t>1.63 (90% CI: 1.08, 2.45)</w:t>
            </w:r>
          </w:p>
        </w:tc>
      </w:tr>
      <w:tr w:rsidR="00DF61BC" w:rsidRPr="00C94C33" w14:paraId="7AE98AEE" w14:textId="77777777" w:rsidTr="00DE5BBC">
        <w:tc>
          <w:tcPr>
            <w:tcW w:w="1357" w:type="dxa"/>
            <w:tcBorders>
              <w:top w:val="nil"/>
              <w:left w:val="single" w:sz="4" w:space="0" w:color="auto"/>
              <w:bottom w:val="double" w:sz="4" w:space="0" w:color="auto"/>
              <w:right w:val="single" w:sz="4" w:space="0" w:color="auto"/>
            </w:tcBorders>
            <w:shd w:val="clear" w:color="auto" w:fill="auto"/>
          </w:tcPr>
          <w:p w14:paraId="64523FF9" w14:textId="77777777" w:rsidR="00DF61BC" w:rsidRPr="00C94C33" w:rsidRDefault="00DF61BC" w:rsidP="00A02F57">
            <w:pPr>
              <w:pStyle w:val="Tabletext"/>
            </w:pPr>
          </w:p>
        </w:tc>
        <w:tc>
          <w:tcPr>
            <w:tcW w:w="1412" w:type="dxa"/>
            <w:tcBorders>
              <w:top w:val="nil"/>
              <w:left w:val="single" w:sz="4" w:space="0" w:color="auto"/>
              <w:bottom w:val="double" w:sz="4" w:space="0" w:color="auto"/>
              <w:right w:val="single" w:sz="4" w:space="0" w:color="auto"/>
            </w:tcBorders>
            <w:shd w:val="clear" w:color="auto" w:fill="auto"/>
          </w:tcPr>
          <w:p w14:paraId="426D2559" w14:textId="77777777" w:rsidR="00DF61BC" w:rsidRPr="00C94C33" w:rsidRDefault="00DF61BC" w:rsidP="00A02F57">
            <w:pPr>
              <w:pStyle w:val="Tabletext"/>
            </w:pPr>
            <w:r w:rsidRPr="00C94C33">
              <w:t>p value for GMR</w:t>
            </w:r>
          </w:p>
        </w:tc>
        <w:tc>
          <w:tcPr>
            <w:tcW w:w="997" w:type="dxa"/>
            <w:tcBorders>
              <w:top w:val="nil"/>
              <w:left w:val="single" w:sz="4" w:space="0" w:color="auto"/>
              <w:bottom w:val="double" w:sz="4" w:space="0" w:color="auto"/>
              <w:right w:val="single" w:sz="4" w:space="0" w:color="auto"/>
            </w:tcBorders>
            <w:shd w:val="clear" w:color="auto" w:fill="auto"/>
          </w:tcPr>
          <w:p w14:paraId="703EA4C4" w14:textId="77777777" w:rsidR="00DF61BC" w:rsidRPr="00C94C33" w:rsidRDefault="00DF61BC" w:rsidP="00A02F57">
            <w:pPr>
              <w:pStyle w:val="Tabletext"/>
            </w:pPr>
            <w:r w:rsidRPr="00C94C33">
              <w:t>-</w:t>
            </w:r>
          </w:p>
        </w:tc>
        <w:tc>
          <w:tcPr>
            <w:tcW w:w="2296" w:type="dxa"/>
            <w:tcBorders>
              <w:top w:val="nil"/>
              <w:left w:val="single" w:sz="4" w:space="0" w:color="auto"/>
              <w:bottom w:val="double" w:sz="4" w:space="0" w:color="auto"/>
              <w:right w:val="single" w:sz="4" w:space="0" w:color="auto"/>
            </w:tcBorders>
            <w:shd w:val="clear" w:color="auto" w:fill="auto"/>
          </w:tcPr>
          <w:p w14:paraId="2E43E073" w14:textId="77777777" w:rsidR="00DF61BC" w:rsidRPr="00C94C33" w:rsidRDefault="00DF61BC" w:rsidP="00A02F57">
            <w:pPr>
              <w:pStyle w:val="Tabletext"/>
            </w:pPr>
            <w:r w:rsidRPr="00C94C33">
              <w:t>p = 0.4426</w:t>
            </w:r>
          </w:p>
        </w:tc>
        <w:tc>
          <w:tcPr>
            <w:tcW w:w="2017" w:type="dxa"/>
            <w:tcBorders>
              <w:top w:val="nil"/>
              <w:left w:val="single" w:sz="4" w:space="0" w:color="auto"/>
              <w:bottom w:val="double" w:sz="4" w:space="0" w:color="auto"/>
              <w:right w:val="single" w:sz="4" w:space="0" w:color="auto"/>
            </w:tcBorders>
            <w:shd w:val="clear" w:color="auto" w:fill="auto"/>
          </w:tcPr>
          <w:p w14:paraId="7D066F52" w14:textId="77777777" w:rsidR="00DF61BC" w:rsidRPr="00C94C33" w:rsidRDefault="00DF61BC" w:rsidP="00A02F57">
            <w:pPr>
              <w:pStyle w:val="Tabletext"/>
            </w:pPr>
            <w:r w:rsidRPr="00C94C33">
              <w:t xml:space="preserve">p = 0.9981 </w:t>
            </w:r>
          </w:p>
        </w:tc>
      </w:tr>
      <w:tr w:rsidR="00DF61BC" w:rsidRPr="00C94C33" w14:paraId="30588536" w14:textId="77777777" w:rsidTr="00DE5BBC">
        <w:tc>
          <w:tcPr>
            <w:tcW w:w="1357" w:type="dxa"/>
            <w:tcBorders>
              <w:top w:val="double" w:sz="4" w:space="0" w:color="auto"/>
              <w:left w:val="single" w:sz="4" w:space="0" w:color="auto"/>
              <w:right w:val="single" w:sz="4" w:space="0" w:color="auto"/>
            </w:tcBorders>
            <w:shd w:val="clear" w:color="auto" w:fill="auto"/>
          </w:tcPr>
          <w:p w14:paraId="6C83CD43" w14:textId="77777777" w:rsidR="00DF61BC" w:rsidRPr="00C94C33" w:rsidRDefault="00DF61BC" w:rsidP="00A02F57">
            <w:pPr>
              <w:pStyle w:val="Tabletext"/>
              <w:rPr>
                <w:i/>
              </w:rPr>
            </w:pPr>
            <w:r w:rsidRPr="00C94C33">
              <w:rPr>
                <w:i/>
              </w:rPr>
              <w:t xml:space="preserve">Cycle 1, Day 12 </w:t>
            </w:r>
          </w:p>
        </w:tc>
        <w:tc>
          <w:tcPr>
            <w:tcW w:w="1412" w:type="dxa"/>
            <w:tcBorders>
              <w:top w:val="double" w:sz="4" w:space="0" w:color="auto"/>
              <w:left w:val="single" w:sz="4" w:space="0" w:color="auto"/>
              <w:right w:val="single" w:sz="4" w:space="0" w:color="auto"/>
            </w:tcBorders>
            <w:shd w:val="clear" w:color="auto" w:fill="auto"/>
          </w:tcPr>
          <w:p w14:paraId="17666679" w14:textId="77777777" w:rsidR="00DF61BC" w:rsidRPr="00C94C33" w:rsidRDefault="00DF61BC" w:rsidP="00A02F57">
            <w:pPr>
              <w:pStyle w:val="Tabletext"/>
              <w:rPr>
                <w:i/>
              </w:rPr>
            </w:pPr>
          </w:p>
        </w:tc>
        <w:tc>
          <w:tcPr>
            <w:tcW w:w="997" w:type="dxa"/>
            <w:tcBorders>
              <w:top w:val="double" w:sz="4" w:space="0" w:color="auto"/>
              <w:left w:val="single" w:sz="4" w:space="0" w:color="auto"/>
              <w:right w:val="single" w:sz="4" w:space="0" w:color="auto"/>
            </w:tcBorders>
            <w:shd w:val="clear" w:color="auto" w:fill="auto"/>
          </w:tcPr>
          <w:p w14:paraId="4E75EF6C" w14:textId="32C2ACF9" w:rsidR="00DF61BC" w:rsidRPr="00C94C33" w:rsidRDefault="009C0389" w:rsidP="00A02F57">
            <w:pPr>
              <w:pStyle w:val="Tabletext"/>
              <w:rPr>
                <w:i/>
              </w:rPr>
            </w:pPr>
            <w:r w:rsidRPr="00C94C33">
              <w:rPr>
                <w:i/>
              </w:rPr>
              <w:t xml:space="preserve">n = </w:t>
            </w:r>
            <w:r w:rsidR="00DF61BC" w:rsidRPr="00C94C33">
              <w:rPr>
                <w:i/>
              </w:rPr>
              <w:t>7 or 8 *</w:t>
            </w:r>
          </w:p>
        </w:tc>
        <w:tc>
          <w:tcPr>
            <w:tcW w:w="2296" w:type="dxa"/>
            <w:tcBorders>
              <w:top w:val="double" w:sz="4" w:space="0" w:color="auto"/>
              <w:left w:val="single" w:sz="4" w:space="0" w:color="auto"/>
              <w:right w:val="single" w:sz="4" w:space="0" w:color="auto"/>
            </w:tcBorders>
            <w:shd w:val="clear" w:color="auto" w:fill="auto"/>
          </w:tcPr>
          <w:p w14:paraId="1D6ED64E" w14:textId="7172ADB6" w:rsidR="00DF61BC" w:rsidRPr="00C94C33" w:rsidRDefault="009C0389" w:rsidP="00A02F57">
            <w:pPr>
              <w:pStyle w:val="Tabletext"/>
              <w:rPr>
                <w:i/>
              </w:rPr>
            </w:pPr>
            <w:r w:rsidRPr="00C94C33">
              <w:rPr>
                <w:i/>
              </w:rPr>
              <w:t xml:space="preserve">n = </w:t>
            </w:r>
            <w:r w:rsidR="00DF61BC" w:rsidRPr="00C94C33">
              <w:rPr>
                <w:i/>
              </w:rPr>
              <w:t>8</w:t>
            </w:r>
          </w:p>
        </w:tc>
        <w:tc>
          <w:tcPr>
            <w:tcW w:w="2017" w:type="dxa"/>
            <w:tcBorders>
              <w:top w:val="double" w:sz="4" w:space="0" w:color="auto"/>
              <w:left w:val="single" w:sz="4" w:space="0" w:color="auto"/>
              <w:right w:val="single" w:sz="4" w:space="0" w:color="auto"/>
            </w:tcBorders>
            <w:shd w:val="clear" w:color="auto" w:fill="auto"/>
          </w:tcPr>
          <w:p w14:paraId="40204088" w14:textId="577F167A" w:rsidR="00DF61BC" w:rsidRPr="00C94C33" w:rsidRDefault="009C0389" w:rsidP="00A02F57">
            <w:pPr>
              <w:pStyle w:val="Tabletext"/>
              <w:rPr>
                <w:i/>
              </w:rPr>
            </w:pPr>
            <w:r w:rsidRPr="00C94C33">
              <w:rPr>
                <w:i/>
              </w:rPr>
              <w:t xml:space="preserve">n = </w:t>
            </w:r>
            <w:r w:rsidR="00DF61BC" w:rsidRPr="00C94C33">
              <w:rPr>
                <w:i/>
              </w:rPr>
              <w:t xml:space="preserve">3 </w:t>
            </w:r>
          </w:p>
        </w:tc>
      </w:tr>
      <w:tr w:rsidR="00DF61BC" w:rsidRPr="00C94C33" w14:paraId="761D15F0" w14:textId="77777777" w:rsidTr="00DE5BBC">
        <w:tc>
          <w:tcPr>
            <w:tcW w:w="1357" w:type="dxa"/>
            <w:tcBorders>
              <w:left w:val="single" w:sz="4" w:space="0" w:color="auto"/>
              <w:bottom w:val="nil"/>
              <w:right w:val="single" w:sz="4" w:space="0" w:color="auto"/>
            </w:tcBorders>
            <w:shd w:val="clear" w:color="auto" w:fill="auto"/>
          </w:tcPr>
          <w:p w14:paraId="4EFB405C" w14:textId="77777777" w:rsidR="00DF61BC" w:rsidRPr="00C94C33" w:rsidRDefault="00DF61BC" w:rsidP="00A02F57">
            <w:pPr>
              <w:pStyle w:val="Tabletext"/>
            </w:pPr>
            <w:r w:rsidRPr="00C94C33">
              <w:t xml:space="preserve">Cmax </w:t>
            </w:r>
          </w:p>
        </w:tc>
        <w:tc>
          <w:tcPr>
            <w:tcW w:w="1412" w:type="dxa"/>
            <w:tcBorders>
              <w:left w:val="single" w:sz="4" w:space="0" w:color="auto"/>
              <w:bottom w:val="nil"/>
              <w:right w:val="single" w:sz="4" w:space="0" w:color="auto"/>
            </w:tcBorders>
            <w:shd w:val="clear" w:color="auto" w:fill="auto"/>
          </w:tcPr>
          <w:p w14:paraId="17E0D7CD" w14:textId="77777777" w:rsidR="00DF61BC" w:rsidRPr="00C94C33" w:rsidRDefault="00DF61BC" w:rsidP="00A02F57">
            <w:pPr>
              <w:pStyle w:val="Tabletext"/>
            </w:pPr>
            <w:r w:rsidRPr="00C94C33">
              <w:t>GM</w:t>
            </w:r>
          </w:p>
        </w:tc>
        <w:tc>
          <w:tcPr>
            <w:tcW w:w="997" w:type="dxa"/>
            <w:tcBorders>
              <w:left w:val="single" w:sz="4" w:space="0" w:color="auto"/>
              <w:bottom w:val="nil"/>
              <w:right w:val="single" w:sz="4" w:space="0" w:color="auto"/>
            </w:tcBorders>
            <w:shd w:val="clear" w:color="auto" w:fill="auto"/>
          </w:tcPr>
          <w:p w14:paraId="27C386CD" w14:textId="77777777" w:rsidR="00DF61BC" w:rsidRPr="00C94C33" w:rsidRDefault="00DF61BC" w:rsidP="00A02F57">
            <w:pPr>
              <w:pStyle w:val="Tabletext"/>
            </w:pPr>
            <w:r w:rsidRPr="00C94C33">
              <w:t>4277</w:t>
            </w:r>
          </w:p>
        </w:tc>
        <w:tc>
          <w:tcPr>
            <w:tcW w:w="2296" w:type="dxa"/>
            <w:tcBorders>
              <w:left w:val="single" w:sz="4" w:space="0" w:color="auto"/>
              <w:bottom w:val="nil"/>
              <w:right w:val="single" w:sz="4" w:space="0" w:color="auto"/>
            </w:tcBorders>
            <w:shd w:val="clear" w:color="auto" w:fill="auto"/>
          </w:tcPr>
          <w:p w14:paraId="13172A36" w14:textId="77777777" w:rsidR="00DF61BC" w:rsidRPr="00C94C33" w:rsidRDefault="00DF61BC" w:rsidP="00A02F57">
            <w:pPr>
              <w:pStyle w:val="Tabletext"/>
            </w:pPr>
            <w:r w:rsidRPr="00C94C33">
              <w:t>3716</w:t>
            </w:r>
          </w:p>
        </w:tc>
        <w:tc>
          <w:tcPr>
            <w:tcW w:w="2017" w:type="dxa"/>
            <w:tcBorders>
              <w:left w:val="single" w:sz="4" w:space="0" w:color="auto"/>
              <w:bottom w:val="nil"/>
              <w:right w:val="single" w:sz="4" w:space="0" w:color="auto"/>
            </w:tcBorders>
            <w:shd w:val="clear" w:color="auto" w:fill="auto"/>
          </w:tcPr>
          <w:p w14:paraId="7ABB14E2" w14:textId="77777777" w:rsidR="00DF61BC" w:rsidRPr="00C94C33" w:rsidRDefault="00DF61BC" w:rsidP="00A02F57">
            <w:pPr>
              <w:pStyle w:val="Tabletext"/>
            </w:pPr>
            <w:r w:rsidRPr="00C94C33">
              <w:t>4275</w:t>
            </w:r>
          </w:p>
        </w:tc>
      </w:tr>
      <w:tr w:rsidR="00DF61BC" w:rsidRPr="00C94C33" w14:paraId="1E1E4590" w14:textId="77777777" w:rsidTr="00DE5BBC">
        <w:tc>
          <w:tcPr>
            <w:tcW w:w="1357" w:type="dxa"/>
            <w:tcBorders>
              <w:top w:val="nil"/>
              <w:left w:val="single" w:sz="4" w:space="0" w:color="auto"/>
              <w:bottom w:val="nil"/>
              <w:right w:val="single" w:sz="4" w:space="0" w:color="auto"/>
            </w:tcBorders>
            <w:shd w:val="clear" w:color="auto" w:fill="auto"/>
          </w:tcPr>
          <w:p w14:paraId="54DF917F" w14:textId="77777777" w:rsidR="00DF61BC" w:rsidRPr="00C94C33" w:rsidRDefault="00DF61BC" w:rsidP="00A02F57">
            <w:pPr>
              <w:pStyle w:val="Tabletext"/>
            </w:pPr>
            <w:r w:rsidRPr="00C94C33">
              <w:t>(ng/mL)</w:t>
            </w:r>
          </w:p>
        </w:tc>
        <w:tc>
          <w:tcPr>
            <w:tcW w:w="1412" w:type="dxa"/>
            <w:tcBorders>
              <w:top w:val="nil"/>
              <w:left w:val="single" w:sz="4" w:space="0" w:color="auto"/>
              <w:bottom w:val="nil"/>
              <w:right w:val="single" w:sz="4" w:space="0" w:color="auto"/>
            </w:tcBorders>
            <w:shd w:val="clear" w:color="auto" w:fill="auto"/>
          </w:tcPr>
          <w:p w14:paraId="1FDD91FA" w14:textId="77777777" w:rsidR="00DF61BC" w:rsidRPr="00C94C33" w:rsidRDefault="00DF61BC" w:rsidP="00A02F57">
            <w:pPr>
              <w:pStyle w:val="Tabletext"/>
            </w:pPr>
            <w:r w:rsidRPr="00C94C33">
              <w:t xml:space="preserve">GMR to Normal </w:t>
            </w:r>
          </w:p>
        </w:tc>
        <w:tc>
          <w:tcPr>
            <w:tcW w:w="997" w:type="dxa"/>
            <w:tcBorders>
              <w:top w:val="nil"/>
              <w:left w:val="single" w:sz="4" w:space="0" w:color="auto"/>
              <w:bottom w:val="nil"/>
              <w:right w:val="single" w:sz="4" w:space="0" w:color="auto"/>
            </w:tcBorders>
            <w:shd w:val="clear" w:color="auto" w:fill="auto"/>
          </w:tcPr>
          <w:p w14:paraId="1235D952" w14:textId="77777777" w:rsidR="00DF61BC" w:rsidRPr="00C94C33" w:rsidRDefault="00DF61BC" w:rsidP="00A02F57">
            <w:pPr>
              <w:pStyle w:val="Tabletext"/>
            </w:pPr>
            <w:r w:rsidRPr="00C94C33">
              <w:t>-</w:t>
            </w:r>
          </w:p>
        </w:tc>
        <w:tc>
          <w:tcPr>
            <w:tcW w:w="2296" w:type="dxa"/>
            <w:tcBorders>
              <w:top w:val="nil"/>
              <w:left w:val="single" w:sz="4" w:space="0" w:color="auto"/>
              <w:bottom w:val="nil"/>
              <w:right w:val="single" w:sz="4" w:space="0" w:color="auto"/>
            </w:tcBorders>
            <w:shd w:val="clear" w:color="auto" w:fill="auto"/>
          </w:tcPr>
          <w:p w14:paraId="36DEECCA" w14:textId="77777777" w:rsidR="00DF61BC" w:rsidRPr="00C94C33" w:rsidRDefault="00DF61BC" w:rsidP="00A02F57">
            <w:pPr>
              <w:pStyle w:val="Tabletext"/>
            </w:pPr>
            <w:r w:rsidRPr="00C94C33">
              <w:t>0.87 (90% CI: 0.64, 1.19)</w:t>
            </w:r>
          </w:p>
        </w:tc>
        <w:tc>
          <w:tcPr>
            <w:tcW w:w="2017" w:type="dxa"/>
            <w:tcBorders>
              <w:top w:val="nil"/>
              <w:left w:val="single" w:sz="4" w:space="0" w:color="auto"/>
              <w:bottom w:val="nil"/>
              <w:right w:val="single" w:sz="4" w:space="0" w:color="auto"/>
            </w:tcBorders>
            <w:shd w:val="clear" w:color="auto" w:fill="auto"/>
          </w:tcPr>
          <w:p w14:paraId="212EDE99" w14:textId="77777777" w:rsidR="00DF61BC" w:rsidRPr="00C94C33" w:rsidRDefault="00DF61BC" w:rsidP="00A02F57">
            <w:pPr>
              <w:pStyle w:val="Tabletext"/>
            </w:pPr>
            <w:r w:rsidRPr="00C94C33">
              <w:t>1.00 (90% CI: 0.66, 1.52)</w:t>
            </w:r>
          </w:p>
        </w:tc>
      </w:tr>
      <w:tr w:rsidR="00DF61BC" w:rsidRPr="00C94C33" w14:paraId="77B0259E" w14:textId="77777777" w:rsidTr="00DE5BBC">
        <w:tc>
          <w:tcPr>
            <w:tcW w:w="1357" w:type="dxa"/>
            <w:tcBorders>
              <w:top w:val="nil"/>
              <w:left w:val="single" w:sz="4" w:space="0" w:color="auto"/>
              <w:right w:val="single" w:sz="4" w:space="0" w:color="auto"/>
            </w:tcBorders>
            <w:shd w:val="clear" w:color="auto" w:fill="auto"/>
          </w:tcPr>
          <w:p w14:paraId="0A5F5EB6" w14:textId="77777777" w:rsidR="00DF61BC" w:rsidRPr="00C94C33" w:rsidRDefault="00DF61BC" w:rsidP="00A02F57">
            <w:pPr>
              <w:pStyle w:val="Tabletext"/>
            </w:pPr>
          </w:p>
        </w:tc>
        <w:tc>
          <w:tcPr>
            <w:tcW w:w="1412" w:type="dxa"/>
            <w:tcBorders>
              <w:top w:val="nil"/>
              <w:left w:val="single" w:sz="4" w:space="0" w:color="auto"/>
              <w:right w:val="single" w:sz="4" w:space="0" w:color="auto"/>
            </w:tcBorders>
            <w:shd w:val="clear" w:color="auto" w:fill="auto"/>
          </w:tcPr>
          <w:p w14:paraId="07C124D7" w14:textId="77777777" w:rsidR="00DF61BC" w:rsidRPr="00C94C33" w:rsidRDefault="00DF61BC" w:rsidP="00A02F57">
            <w:pPr>
              <w:pStyle w:val="Tabletext"/>
            </w:pPr>
            <w:r w:rsidRPr="00C94C33">
              <w:t>p value for GMR</w:t>
            </w:r>
          </w:p>
        </w:tc>
        <w:tc>
          <w:tcPr>
            <w:tcW w:w="997" w:type="dxa"/>
            <w:tcBorders>
              <w:top w:val="nil"/>
              <w:left w:val="single" w:sz="4" w:space="0" w:color="auto"/>
              <w:right w:val="single" w:sz="4" w:space="0" w:color="auto"/>
            </w:tcBorders>
            <w:shd w:val="clear" w:color="auto" w:fill="auto"/>
          </w:tcPr>
          <w:p w14:paraId="17AF12D7" w14:textId="77777777" w:rsidR="00DF61BC" w:rsidRPr="00C94C33" w:rsidRDefault="00DF61BC" w:rsidP="00A02F57">
            <w:pPr>
              <w:pStyle w:val="Tabletext"/>
            </w:pPr>
            <w:r w:rsidRPr="00C94C33">
              <w:t>-</w:t>
            </w:r>
          </w:p>
        </w:tc>
        <w:tc>
          <w:tcPr>
            <w:tcW w:w="2296" w:type="dxa"/>
            <w:tcBorders>
              <w:top w:val="nil"/>
              <w:left w:val="single" w:sz="4" w:space="0" w:color="auto"/>
              <w:right w:val="single" w:sz="4" w:space="0" w:color="auto"/>
            </w:tcBorders>
            <w:shd w:val="clear" w:color="auto" w:fill="auto"/>
          </w:tcPr>
          <w:p w14:paraId="32728791" w14:textId="77777777" w:rsidR="00DF61BC" w:rsidRPr="00C94C33" w:rsidRDefault="00DF61BC" w:rsidP="00A02F57">
            <w:pPr>
              <w:pStyle w:val="Tabletext"/>
            </w:pPr>
            <w:r w:rsidRPr="00C94C33">
              <w:t>p = 0.4426</w:t>
            </w:r>
          </w:p>
        </w:tc>
        <w:tc>
          <w:tcPr>
            <w:tcW w:w="2017" w:type="dxa"/>
            <w:tcBorders>
              <w:top w:val="nil"/>
              <w:left w:val="single" w:sz="4" w:space="0" w:color="auto"/>
              <w:right w:val="single" w:sz="4" w:space="0" w:color="auto"/>
            </w:tcBorders>
            <w:shd w:val="clear" w:color="auto" w:fill="auto"/>
          </w:tcPr>
          <w:p w14:paraId="6EC787C3" w14:textId="77777777" w:rsidR="00DF61BC" w:rsidRPr="00C94C33" w:rsidRDefault="00DF61BC" w:rsidP="00A02F57">
            <w:pPr>
              <w:pStyle w:val="Tabletext"/>
            </w:pPr>
            <w:r w:rsidRPr="00C94C33">
              <w:t>p = 0.9981</w:t>
            </w:r>
          </w:p>
        </w:tc>
      </w:tr>
      <w:tr w:rsidR="00DF61BC" w:rsidRPr="00C94C33" w14:paraId="4D27F8E3" w14:textId="77777777" w:rsidTr="00DE5BBC">
        <w:tc>
          <w:tcPr>
            <w:tcW w:w="1357" w:type="dxa"/>
            <w:tcBorders>
              <w:left w:val="single" w:sz="4" w:space="0" w:color="auto"/>
              <w:bottom w:val="nil"/>
              <w:right w:val="single" w:sz="4" w:space="0" w:color="auto"/>
            </w:tcBorders>
            <w:shd w:val="clear" w:color="auto" w:fill="auto"/>
          </w:tcPr>
          <w:p w14:paraId="3BA02040" w14:textId="77777777" w:rsidR="00DF61BC" w:rsidRPr="00C94C33" w:rsidRDefault="00DF61BC" w:rsidP="00A02F57">
            <w:pPr>
              <w:pStyle w:val="Tabletext"/>
            </w:pPr>
            <w:r w:rsidRPr="00C94C33">
              <w:t>AUCtau</w:t>
            </w:r>
          </w:p>
        </w:tc>
        <w:tc>
          <w:tcPr>
            <w:tcW w:w="1412" w:type="dxa"/>
            <w:tcBorders>
              <w:left w:val="single" w:sz="4" w:space="0" w:color="auto"/>
              <w:bottom w:val="nil"/>
              <w:right w:val="single" w:sz="4" w:space="0" w:color="auto"/>
            </w:tcBorders>
            <w:shd w:val="clear" w:color="auto" w:fill="auto"/>
          </w:tcPr>
          <w:p w14:paraId="090208DA" w14:textId="77777777" w:rsidR="00DF61BC" w:rsidRPr="00C94C33" w:rsidRDefault="00DF61BC" w:rsidP="00A02F57">
            <w:pPr>
              <w:pStyle w:val="Tabletext"/>
            </w:pPr>
            <w:r w:rsidRPr="00C94C33">
              <w:t xml:space="preserve">GM </w:t>
            </w:r>
          </w:p>
        </w:tc>
        <w:tc>
          <w:tcPr>
            <w:tcW w:w="997" w:type="dxa"/>
            <w:tcBorders>
              <w:left w:val="single" w:sz="4" w:space="0" w:color="auto"/>
              <w:bottom w:val="nil"/>
              <w:right w:val="single" w:sz="4" w:space="0" w:color="auto"/>
            </w:tcBorders>
            <w:shd w:val="clear" w:color="auto" w:fill="auto"/>
          </w:tcPr>
          <w:p w14:paraId="2E1A3F41" w14:textId="77777777" w:rsidR="00DF61BC" w:rsidRPr="00C94C33" w:rsidRDefault="00DF61BC" w:rsidP="00A02F57">
            <w:pPr>
              <w:pStyle w:val="Tabletext"/>
            </w:pPr>
            <w:r w:rsidRPr="00C94C33">
              <w:t>19761</w:t>
            </w:r>
          </w:p>
        </w:tc>
        <w:tc>
          <w:tcPr>
            <w:tcW w:w="2296" w:type="dxa"/>
            <w:tcBorders>
              <w:left w:val="single" w:sz="4" w:space="0" w:color="auto"/>
              <w:bottom w:val="nil"/>
              <w:right w:val="single" w:sz="4" w:space="0" w:color="auto"/>
            </w:tcBorders>
            <w:shd w:val="clear" w:color="auto" w:fill="auto"/>
          </w:tcPr>
          <w:p w14:paraId="3FF972F6" w14:textId="77777777" w:rsidR="00DF61BC" w:rsidRPr="00C94C33" w:rsidRDefault="00DF61BC" w:rsidP="00A02F57">
            <w:pPr>
              <w:pStyle w:val="Tabletext"/>
            </w:pPr>
            <w:r w:rsidRPr="00C94C33">
              <w:t>16246</w:t>
            </w:r>
          </w:p>
        </w:tc>
        <w:tc>
          <w:tcPr>
            <w:tcW w:w="2017" w:type="dxa"/>
            <w:tcBorders>
              <w:left w:val="single" w:sz="4" w:space="0" w:color="auto"/>
              <w:bottom w:val="nil"/>
              <w:right w:val="single" w:sz="4" w:space="0" w:color="auto"/>
            </w:tcBorders>
            <w:shd w:val="clear" w:color="auto" w:fill="auto"/>
          </w:tcPr>
          <w:p w14:paraId="5FBC12BE" w14:textId="77777777" w:rsidR="00DF61BC" w:rsidRPr="00C94C33" w:rsidRDefault="00DF61BC" w:rsidP="00A02F57">
            <w:pPr>
              <w:pStyle w:val="Tabletext"/>
            </w:pPr>
            <w:r w:rsidRPr="00C94C33">
              <w:t>15372</w:t>
            </w:r>
          </w:p>
        </w:tc>
      </w:tr>
      <w:tr w:rsidR="00DF61BC" w:rsidRPr="00C94C33" w14:paraId="434CE398" w14:textId="77777777" w:rsidTr="00DE5BBC">
        <w:tc>
          <w:tcPr>
            <w:tcW w:w="1357" w:type="dxa"/>
            <w:tcBorders>
              <w:top w:val="nil"/>
              <w:left w:val="single" w:sz="4" w:space="0" w:color="auto"/>
              <w:bottom w:val="nil"/>
              <w:right w:val="single" w:sz="4" w:space="0" w:color="auto"/>
            </w:tcBorders>
            <w:shd w:val="clear" w:color="auto" w:fill="auto"/>
          </w:tcPr>
          <w:p w14:paraId="1183EB98" w14:textId="77777777" w:rsidR="00DF61BC" w:rsidRPr="00C94C33" w:rsidRDefault="00DF61BC" w:rsidP="00A02F57">
            <w:pPr>
              <w:pStyle w:val="Tabletext"/>
            </w:pPr>
            <w:r w:rsidRPr="00C94C33">
              <w:t>(ng.hr/mL)</w:t>
            </w:r>
          </w:p>
        </w:tc>
        <w:tc>
          <w:tcPr>
            <w:tcW w:w="1412" w:type="dxa"/>
            <w:tcBorders>
              <w:top w:val="nil"/>
              <w:left w:val="single" w:sz="4" w:space="0" w:color="auto"/>
              <w:bottom w:val="nil"/>
              <w:right w:val="single" w:sz="4" w:space="0" w:color="auto"/>
            </w:tcBorders>
            <w:shd w:val="clear" w:color="auto" w:fill="auto"/>
          </w:tcPr>
          <w:p w14:paraId="0CF1D281" w14:textId="77777777" w:rsidR="00DF61BC" w:rsidRPr="00C94C33" w:rsidRDefault="00DF61BC" w:rsidP="00A02F57">
            <w:pPr>
              <w:pStyle w:val="Tabletext"/>
            </w:pPr>
            <w:r w:rsidRPr="00C94C33">
              <w:t xml:space="preserve">GMR to Normal </w:t>
            </w:r>
          </w:p>
        </w:tc>
        <w:tc>
          <w:tcPr>
            <w:tcW w:w="997" w:type="dxa"/>
            <w:tcBorders>
              <w:top w:val="nil"/>
              <w:left w:val="single" w:sz="4" w:space="0" w:color="auto"/>
              <w:bottom w:val="nil"/>
              <w:right w:val="single" w:sz="4" w:space="0" w:color="auto"/>
            </w:tcBorders>
            <w:shd w:val="clear" w:color="auto" w:fill="auto"/>
          </w:tcPr>
          <w:p w14:paraId="34255FC1" w14:textId="77777777" w:rsidR="00DF61BC" w:rsidRPr="00C94C33" w:rsidRDefault="00DF61BC" w:rsidP="00A02F57">
            <w:pPr>
              <w:pStyle w:val="Tabletext"/>
            </w:pPr>
            <w:r w:rsidRPr="00C94C33">
              <w:t>-</w:t>
            </w:r>
          </w:p>
        </w:tc>
        <w:tc>
          <w:tcPr>
            <w:tcW w:w="2296" w:type="dxa"/>
            <w:tcBorders>
              <w:top w:val="nil"/>
              <w:left w:val="single" w:sz="4" w:space="0" w:color="auto"/>
              <w:bottom w:val="nil"/>
              <w:right w:val="single" w:sz="4" w:space="0" w:color="auto"/>
            </w:tcBorders>
            <w:shd w:val="clear" w:color="auto" w:fill="auto"/>
          </w:tcPr>
          <w:p w14:paraId="18D72E21" w14:textId="77777777" w:rsidR="00DF61BC" w:rsidRPr="00C94C33" w:rsidRDefault="00DF61BC" w:rsidP="00A02F57">
            <w:pPr>
              <w:pStyle w:val="Tabletext"/>
            </w:pPr>
            <w:r w:rsidRPr="00C94C33">
              <w:t>0.82 (90% CI: 0.61, 1.11)</w:t>
            </w:r>
          </w:p>
        </w:tc>
        <w:tc>
          <w:tcPr>
            <w:tcW w:w="2017" w:type="dxa"/>
            <w:tcBorders>
              <w:top w:val="nil"/>
              <w:left w:val="single" w:sz="4" w:space="0" w:color="auto"/>
              <w:bottom w:val="nil"/>
              <w:right w:val="single" w:sz="4" w:space="0" w:color="auto"/>
            </w:tcBorders>
            <w:shd w:val="clear" w:color="auto" w:fill="auto"/>
          </w:tcPr>
          <w:p w14:paraId="1211789D" w14:textId="77777777" w:rsidR="00DF61BC" w:rsidRPr="00C94C33" w:rsidRDefault="00DF61BC" w:rsidP="00A02F57">
            <w:pPr>
              <w:pStyle w:val="Tabletext"/>
            </w:pPr>
            <w:r w:rsidRPr="00C94C33">
              <w:t>0.78 (90% CI: 0.52, 1.16)</w:t>
            </w:r>
          </w:p>
        </w:tc>
      </w:tr>
      <w:tr w:rsidR="00DF61BC" w:rsidRPr="00C94C33" w14:paraId="0D347A76" w14:textId="77777777" w:rsidTr="00DE5BBC">
        <w:tc>
          <w:tcPr>
            <w:tcW w:w="1357" w:type="dxa"/>
            <w:tcBorders>
              <w:top w:val="nil"/>
              <w:left w:val="single" w:sz="4" w:space="0" w:color="auto"/>
              <w:right w:val="single" w:sz="4" w:space="0" w:color="auto"/>
            </w:tcBorders>
            <w:shd w:val="clear" w:color="auto" w:fill="auto"/>
          </w:tcPr>
          <w:p w14:paraId="77C41FC6" w14:textId="77777777" w:rsidR="00DF61BC" w:rsidRPr="00C94C33" w:rsidRDefault="00DF61BC" w:rsidP="00A02F57">
            <w:pPr>
              <w:pStyle w:val="Tabletext"/>
            </w:pPr>
          </w:p>
        </w:tc>
        <w:tc>
          <w:tcPr>
            <w:tcW w:w="1412" w:type="dxa"/>
            <w:tcBorders>
              <w:top w:val="nil"/>
              <w:left w:val="single" w:sz="4" w:space="0" w:color="auto"/>
              <w:right w:val="single" w:sz="4" w:space="0" w:color="auto"/>
            </w:tcBorders>
            <w:shd w:val="clear" w:color="auto" w:fill="auto"/>
          </w:tcPr>
          <w:p w14:paraId="3A03DBCD" w14:textId="77777777" w:rsidR="00DF61BC" w:rsidRPr="00C94C33" w:rsidRDefault="00DF61BC" w:rsidP="00A02F57">
            <w:pPr>
              <w:pStyle w:val="Tabletext"/>
            </w:pPr>
            <w:r w:rsidRPr="00C94C33">
              <w:t>p value for GMR</w:t>
            </w:r>
          </w:p>
        </w:tc>
        <w:tc>
          <w:tcPr>
            <w:tcW w:w="997" w:type="dxa"/>
            <w:tcBorders>
              <w:top w:val="nil"/>
              <w:left w:val="single" w:sz="4" w:space="0" w:color="auto"/>
              <w:right w:val="single" w:sz="4" w:space="0" w:color="auto"/>
            </w:tcBorders>
            <w:shd w:val="clear" w:color="auto" w:fill="auto"/>
          </w:tcPr>
          <w:p w14:paraId="41141E77" w14:textId="77777777" w:rsidR="00DF61BC" w:rsidRPr="00C94C33" w:rsidRDefault="00DF61BC" w:rsidP="00A02F57">
            <w:pPr>
              <w:pStyle w:val="Tabletext"/>
            </w:pPr>
            <w:r w:rsidRPr="00C94C33">
              <w:t>-</w:t>
            </w:r>
          </w:p>
        </w:tc>
        <w:tc>
          <w:tcPr>
            <w:tcW w:w="2296" w:type="dxa"/>
            <w:tcBorders>
              <w:top w:val="nil"/>
              <w:left w:val="single" w:sz="4" w:space="0" w:color="auto"/>
              <w:right w:val="single" w:sz="4" w:space="0" w:color="auto"/>
            </w:tcBorders>
            <w:shd w:val="clear" w:color="auto" w:fill="auto"/>
          </w:tcPr>
          <w:p w14:paraId="3BE190A6" w14:textId="77777777" w:rsidR="00DF61BC" w:rsidRPr="00C94C33" w:rsidRDefault="00DF61BC" w:rsidP="00A02F57">
            <w:pPr>
              <w:pStyle w:val="Tabletext"/>
            </w:pPr>
            <w:r w:rsidRPr="00C94C33">
              <w:t>p = 0.2729</w:t>
            </w:r>
          </w:p>
        </w:tc>
        <w:tc>
          <w:tcPr>
            <w:tcW w:w="2017" w:type="dxa"/>
            <w:tcBorders>
              <w:top w:val="nil"/>
              <w:left w:val="single" w:sz="4" w:space="0" w:color="auto"/>
              <w:right w:val="single" w:sz="4" w:space="0" w:color="auto"/>
            </w:tcBorders>
            <w:shd w:val="clear" w:color="auto" w:fill="auto"/>
          </w:tcPr>
          <w:p w14:paraId="57770CD7" w14:textId="77777777" w:rsidR="00DF61BC" w:rsidRPr="00C94C33" w:rsidRDefault="00DF61BC" w:rsidP="00A02F57">
            <w:pPr>
              <w:pStyle w:val="Tabletext"/>
            </w:pPr>
            <w:r w:rsidRPr="00C94C33">
              <w:t>p = 0.2908</w:t>
            </w:r>
          </w:p>
        </w:tc>
      </w:tr>
      <w:tr w:rsidR="00DF61BC" w:rsidRPr="00C94C33" w14:paraId="5089BEAC" w14:textId="77777777" w:rsidTr="00DE5BBC">
        <w:tc>
          <w:tcPr>
            <w:tcW w:w="1357" w:type="dxa"/>
            <w:tcBorders>
              <w:left w:val="single" w:sz="4" w:space="0" w:color="auto"/>
              <w:bottom w:val="nil"/>
              <w:right w:val="single" w:sz="4" w:space="0" w:color="auto"/>
            </w:tcBorders>
            <w:shd w:val="clear" w:color="auto" w:fill="auto"/>
          </w:tcPr>
          <w:p w14:paraId="314AB8FD" w14:textId="77777777" w:rsidR="00DF61BC" w:rsidRPr="00C94C33" w:rsidRDefault="00DF61BC" w:rsidP="00A02F57">
            <w:pPr>
              <w:pStyle w:val="Tabletext"/>
            </w:pPr>
            <w:r w:rsidRPr="00C94C33">
              <w:t xml:space="preserve">CLss/F </w:t>
            </w:r>
          </w:p>
        </w:tc>
        <w:tc>
          <w:tcPr>
            <w:tcW w:w="1412" w:type="dxa"/>
            <w:tcBorders>
              <w:left w:val="single" w:sz="4" w:space="0" w:color="auto"/>
              <w:bottom w:val="nil"/>
              <w:right w:val="single" w:sz="4" w:space="0" w:color="auto"/>
            </w:tcBorders>
            <w:shd w:val="clear" w:color="auto" w:fill="auto"/>
          </w:tcPr>
          <w:p w14:paraId="1AA79DA0" w14:textId="77777777" w:rsidR="00DF61BC" w:rsidRPr="00C94C33" w:rsidRDefault="00DF61BC" w:rsidP="00A02F57">
            <w:pPr>
              <w:pStyle w:val="Tabletext"/>
            </w:pPr>
            <w:r w:rsidRPr="00C94C33">
              <w:t xml:space="preserve">GM </w:t>
            </w:r>
          </w:p>
        </w:tc>
        <w:tc>
          <w:tcPr>
            <w:tcW w:w="997" w:type="dxa"/>
            <w:tcBorders>
              <w:left w:val="single" w:sz="4" w:space="0" w:color="auto"/>
              <w:bottom w:val="nil"/>
              <w:right w:val="single" w:sz="4" w:space="0" w:color="auto"/>
            </w:tcBorders>
            <w:shd w:val="clear" w:color="auto" w:fill="auto"/>
          </w:tcPr>
          <w:p w14:paraId="2B56C331" w14:textId="77777777" w:rsidR="00DF61BC" w:rsidRPr="00C94C33" w:rsidRDefault="00DF61BC" w:rsidP="00A02F57">
            <w:pPr>
              <w:pStyle w:val="Tabletext"/>
            </w:pPr>
            <w:r w:rsidRPr="00C94C33">
              <w:t>3.01</w:t>
            </w:r>
          </w:p>
        </w:tc>
        <w:tc>
          <w:tcPr>
            <w:tcW w:w="2296" w:type="dxa"/>
            <w:tcBorders>
              <w:left w:val="single" w:sz="4" w:space="0" w:color="auto"/>
              <w:bottom w:val="nil"/>
              <w:right w:val="single" w:sz="4" w:space="0" w:color="auto"/>
            </w:tcBorders>
            <w:shd w:val="clear" w:color="auto" w:fill="auto"/>
          </w:tcPr>
          <w:p w14:paraId="3A8AEDE4" w14:textId="77777777" w:rsidR="00DF61BC" w:rsidRPr="00C94C33" w:rsidRDefault="00DF61BC" w:rsidP="00A02F57">
            <w:pPr>
              <w:pStyle w:val="Tabletext"/>
            </w:pPr>
            <w:r w:rsidRPr="00C94C33">
              <w:t>3.94</w:t>
            </w:r>
          </w:p>
        </w:tc>
        <w:tc>
          <w:tcPr>
            <w:tcW w:w="2017" w:type="dxa"/>
            <w:tcBorders>
              <w:left w:val="single" w:sz="4" w:space="0" w:color="auto"/>
              <w:bottom w:val="nil"/>
              <w:right w:val="single" w:sz="4" w:space="0" w:color="auto"/>
            </w:tcBorders>
            <w:shd w:val="clear" w:color="auto" w:fill="auto"/>
          </w:tcPr>
          <w:p w14:paraId="7ED51B6A" w14:textId="77777777" w:rsidR="00DF61BC" w:rsidRPr="00C94C33" w:rsidRDefault="00DF61BC" w:rsidP="00A02F57">
            <w:pPr>
              <w:pStyle w:val="Tabletext"/>
            </w:pPr>
            <w:r w:rsidRPr="00C94C33">
              <w:t>4.33</w:t>
            </w:r>
          </w:p>
        </w:tc>
      </w:tr>
      <w:tr w:rsidR="00DF61BC" w:rsidRPr="00C94C33" w14:paraId="723D1DBD" w14:textId="77777777" w:rsidTr="00DE5BBC">
        <w:tc>
          <w:tcPr>
            <w:tcW w:w="1357" w:type="dxa"/>
            <w:tcBorders>
              <w:top w:val="nil"/>
              <w:left w:val="single" w:sz="4" w:space="0" w:color="auto"/>
              <w:bottom w:val="nil"/>
              <w:right w:val="single" w:sz="4" w:space="0" w:color="auto"/>
            </w:tcBorders>
            <w:shd w:val="clear" w:color="auto" w:fill="auto"/>
          </w:tcPr>
          <w:p w14:paraId="4F64AE6A" w14:textId="77777777" w:rsidR="00DF61BC" w:rsidRPr="00C94C33" w:rsidRDefault="00DF61BC" w:rsidP="00A02F57">
            <w:pPr>
              <w:pStyle w:val="Tabletext"/>
            </w:pPr>
            <w:r w:rsidRPr="00C94C33">
              <w:t>(L/hr)</w:t>
            </w:r>
          </w:p>
        </w:tc>
        <w:tc>
          <w:tcPr>
            <w:tcW w:w="1412" w:type="dxa"/>
            <w:tcBorders>
              <w:top w:val="nil"/>
              <w:left w:val="single" w:sz="4" w:space="0" w:color="auto"/>
              <w:bottom w:val="nil"/>
              <w:right w:val="single" w:sz="4" w:space="0" w:color="auto"/>
            </w:tcBorders>
            <w:shd w:val="clear" w:color="auto" w:fill="auto"/>
          </w:tcPr>
          <w:p w14:paraId="648401DB" w14:textId="77777777" w:rsidR="00DF61BC" w:rsidRPr="00C94C33" w:rsidRDefault="00DF61BC" w:rsidP="00A02F57">
            <w:pPr>
              <w:pStyle w:val="Tabletext"/>
            </w:pPr>
            <w:r w:rsidRPr="00C94C33">
              <w:t xml:space="preserve">GMR to Normal </w:t>
            </w:r>
          </w:p>
        </w:tc>
        <w:tc>
          <w:tcPr>
            <w:tcW w:w="997" w:type="dxa"/>
            <w:tcBorders>
              <w:top w:val="nil"/>
              <w:left w:val="single" w:sz="4" w:space="0" w:color="auto"/>
              <w:bottom w:val="nil"/>
              <w:right w:val="single" w:sz="4" w:space="0" w:color="auto"/>
            </w:tcBorders>
            <w:shd w:val="clear" w:color="auto" w:fill="auto"/>
          </w:tcPr>
          <w:p w14:paraId="3748173C" w14:textId="77777777" w:rsidR="00DF61BC" w:rsidRPr="00C94C33" w:rsidRDefault="00DF61BC" w:rsidP="00A02F57">
            <w:pPr>
              <w:pStyle w:val="Tabletext"/>
            </w:pPr>
            <w:r w:rsidRPr="00C94C33">
              <w:t>-</w:t>
            </w:r>
          </w:p>
        </w:tc>
        <w:tc>
          <w:tcPr>
            <w:tcW w:w="2296" w:type="dxa"/>
            <w:tcBorders>
              <w:top w:val="nil"/>
              <w:left w:val="single" w:sz="4" w:space="0" w:color="auto"/>
              <w:bottom w:val="nil"/>
              <w:right w:val="single" w:sz="4" w:space="0" w:color="auto"/>
            </w:tcBorders>
            <w:shd w:val="clear" w:color="auto" w:fill="auto"/>
          </w:tcPr>
          <w:p w14:paraId="63B0291E" w14:textId="77777777" w:rsidR="00DF61BC" w:rsidRPr="00C94C33" w:rsidRDefault="00DF61BC" w:rsidP="00A02F57">
            <w:pPr>
              <w:pStyle w:val="Tabletext"/>
            </w:pPr>
            <w:r w:rsidRPr="00C94C33">
              <w:t>1.31 (90% CI: 0.95, 1.80)</w:t>
            </w:r>
          </w:p>
        </w:tc>
        <w:tc>
          <w:tcPr>
            <w:tcW w:w="2017" w:type="dxa"/>
            <w:tcBorders>
              <w:top w:val="nil"/>
              <w:left w:val="single" w:sz="4" w:space="0" w:color="auto"/>
              <w:bottom w:val="nil"/>
              <w:right w:val="single" w:sz="4" w:space="0" w:color="auto"/>
            </w:tcBorders>
            <w:shd w:val="clear" w:color="auto" w:fill="auto"/>
          </w:tcPr>
          <w:p w14:paraId="7826594F" w14:textId="77777777" w:rsidR="00DF61BC" w:rsidRPr="00C94C33" w:rsidRDefault="00DF61BC" w:rsidP="00A02F57">
            <w:pPr>
              <w:pStyle w:val="Tabletext"/>
            </w:pPr>
            <w:r w:rsidRPr="00C94C33">
              <w:t>1.44 (90% CI: 0.94, 2.20)</w:t>
            </w:r>
          </w:p>
        </w:tc>
      </w:tr>
      <w:tr w:rsidR="00DF61BC" w:rsidRPr="00C94C33" w14:paraId="239681CC" w14:textId="77777777" w:rsidTr="00DE5BBC">
        <w:tc>
          <w:tcPr>
            <w:tcW w:w="1357" w:type="dxa"/>
            <w:tcBorders>
              <w:top w:val="nil"/>
              <w:left w:val="single" w:sz="4" w:space="0" w:color="auto"/>
              <w:right w:val="single" w:sz="4" w:space="0" w:color="auto"/>
            </w:tcBorders>
            <w:shd w:val="clear" w:color="auto" w:fill="auto"/>
          </w:tcPr>
          <w:p w14:paraId="2DAAC72F" w14:textId="77777777" w:rsidR="00DF61BC" w:rsidRPr="00C94C33" w:rsidRDefault="00DF61BC" w:rsidP="00A02F57">
            <w:pPr>
              <w:pStyle w:val="Tabletext"/>
            </w:pPr>
          </w:p>
        </w:tc>
        <w:tc>
          <w:tcPr>
            <w:tcW w:w="1412" w:type="dxa"/>
            <w:tcBorders>
              <w:top w:val="nil"/>
              <w:left w:val="single" w:sz="4" w:space="0" w:color="auto"/>
              <w:right w:val="single" w:sz="4" w:space="0" w:color="auto"/>
            </w:tcBorders>
            <w:shd w:val="clear" w:color="auto" w:fill="auto"/>
          </w:tcPr>
          <w:p w14:paraId="0BA822BB" w14:textId="77777777" w:rsidR="00DF61BC" w:rsidRPr="00C94C33" w:rsidRDefault="00DF61BC" w:rsidP="00A02F57">
            <w:pPr>
              <w:pStyle w:val="Tabletext"/>
            </w:pPr>
            <w:r w:rsidRPr="00C94C33">
              <w:t>p value for GMR</w:t>
            </w:r>
          </w:p>
        </w:tc>
        <w:tc>
          <w:tcPr>
            <w:tcW w:w="997" w:type="dxa"/>
            <w:tcBorders>
              <w:top w:val="nil"/>
              <w:left w:val="single" w:sz="4" w:space="0" w:color="auto"/>
              <w:right w:val="single" w:sz="4" w:space="0" w:color="auto"/>
            </w:tcBorders>
            <w:shd w:val="clear" w:color="auto" w:fill="auto"/>
          </w:tcPr>
          <w:p w14:paraId="4C490C71" w14:textId="77777777" w:rsidR="00DF61BC" w:rsidRPr="00C94C33" w:rsidRDefault="00DF61BC" w:rsidP="00A02F57">
            <w:pPr>
              <w:pStyle w:val="Tabletext"/>
            </w:pPr>
            <w:r w:rsidRPr="00C94C33">
              <w:t>-</w:t>
            </w:r>
          </w:p>
        </w:tc>
        <w:tc>
          <w:tcPr>
            <w:tcW w:w="2296" w:type="dxa"/>
            <w:tcBorders>
              <w:top w:val="nil"/>
              <w:left w:val="single" w:sz="4" w:space="0" w:color="auto"/>
              <w:right w:val="single" w:sz="4" w:space="0" w:color="auto"/>
            </w:tcBorders>
            <w:shd w:val="clear" w:color="auto" w:fill="auto"/>
          </w:tcPr>
          <w:p w14:paraId="296F20D8" w14:textId="77777777" w:rsidR="00DF61BC" w:rsidRPr="00C94C33" w:rsidRDefault="00DF61BC" w:rsidP="00A02F57">
            <w:pPr>
              <w:pStyle w:val="Tabletext"/>
            </w:pPr>
            <w:r w:rsidRPr="00C94C33">
              <w:t>p = 0.1624</w:t>
            </w:r>
          </w:p>
        </w:tc>
        <w:tc>
          <w:tcPr>
            <w:tcW w:w="2017" w:type="dxa"/>
            <w:tcBorders>
              <w:top w:val="nil"/>
              <w:left w:val="single" w:sz="4" w:space="0" w:color="auto"/>
              <w:right w:val="single" w:sz="4" w:space="0" w:color="auto"/>
            </w:tcBorders>
            <w:shd w:val="clear" w:color="auto" w:fill="auto"/>
          </w:tcPr>
          <w:p w14:paraId="274BD77C" w14:textId="77777777" w:rsidR="00DF61BC" w:rsidRPr="00C94C33" w:rsidRDefault="00DF61BC" w:rsidP="00A02F57">
            <w:pPr>
              <w:pStyle w:val="Tabletext"/>
            </w:pPr>
            <w:r w:rsidRPr="00C94C33">
              <w:t xml:space="preserve">p = 0.1562 </w:t>
            </w:r>
          </w:p>
        </w:tc>
      </w:tr>
    </w:tbl>
    <w:p w14:paraId="5FFE291A" w14:textId="77777777" w:rsidR="00DF61BC" w:rsidRPr="00C94C33" w:rsidRDefault="00DF61BC" w:rsidP="00184C38">
      <w:pPr>
        <w:pStyle w:val="TableDescription"/>
      </w:pPr>
      <w:r w:rsidRPr="00C94C33">
        <w:t>* Cmax, AUCtau, CLss/F: n = 8, 7, and 7, respectively, for normal hepatic function. Abbreviations: ANOVA = analysis of variance; AUC0-inf = area under the plasma concentration-time curve from time 0 to infinity; AUCtau = area under the plasma concentration-time curve from time 0 to the end of dosing interval for Day 12; CI = confidence interval; CL/F = oral clearance following single-dose; CLss/F = oral clearance at steady state; Cmax = maximum observed plasma concentration; FTD = trifluridine; GM = geometric mean; GMR = geometric mean ratio of test to reference; hr = hour; PK = pharmacokinetic.</w:t>
      </w:r>
    </w:p>
    <w:p w14:paraId="347BBAEA" w14:textId="418E2DCC" w:rsidR="00DF61BC" w:rsidRPr="00C94C33" w:rsidRDefault="00D81501" w:rsidP="00955252">
      <w:pPr>
        <w:pStyle w:val="Heading6"/>
      </w:pPr>
      <w:r w:rsidRPr="00C94C33">
        <w:t xml:space="preserve">Evaluator’s </w:t>
      </w:r>
      <w:r w:rsidR="00107A5F">
        <w:t>c</w:t>
      </w:r>
      <w:r w:rsidR="00107A5F" w:rsidRPr="00C94C33">
        <w:t>omment</w:t>
      </w:r>
    </w:p>
    <w:p w14:paraId="09BE6F23" w14:textId="6DD05A2A" w:rsidR="00DF61BC" w:rsidRPr="00C94C33" w:rsidRDefault="00DF61BC" w:rsidP="00DF61BC">
      <w:pPr>
        <w:rPr>
          <w:rFonts w:asciiTheme="minorHAnsi" w:hAnsiTheme="minorHAnsi" w:cstheme="minorHAnsi"/>
        </w:rPr>
      </w:pPr>
      <w:r w:rsidRPr="00C94C33">
        <w:rPr>
          <w:rFonts w:asciiTheme="minorHAnsi" w:hAnsiTheme="minorHAnsi" w:cstheme="minorHAnsi"/>
        </w:rPr>
        <w:t>The results for FTD at steady state (Cycle 1, Day 12) suggest that the observed differences in peak exposure (based on Cmax values) and systemic exposure (based on AUCtau values) between patients with normal hepatic function and patients with either mild or moderate hepatic impairment are unlikely to be clinically meaningful. However, the PK results for the comparison between patients with normal hepatic function and moderate hepatic impairment should be interpreted cautiously due to the small number of patients (</w:t>
      </w:r>
      <w:r w:rsidR="009C0389" w:rsidRPr="00C94C33">
        <w:rPr>
          <w:rFonts w:asciiTheme="minorHAnsi" w:hAnsiTheme="minorHAnsi" w:cstheme="minorHAnsi"/>
        </w:rPr>
        <w:t xml:space="preserve">n = </w:t>
      </w:r>
      <w:r w:rsidRPr="00C94C33">
        <w:rPr>
          <w:rFonts w:asciiTheme="minorHAnsi" w:hAnsiTheme="minorHAnsi" w:cstheme="minorHAnsi"/>
        </w:rPr>
        <w:t>3) in the moderate hepatic impairment cohort.</w:t>
      </w:r>
    </w:p>
    <w:p w14:paraId="69BA5A2B" w14:textId="6D1FE94D" w:rsidR="00DF61BC" w:rsidRPr="005C2FCA" w:rsidRDefault="00DF61BC" w:rsidP="00DF61BC">
      <w:pPr>
        <w:rPr>
          <w:rFonts w:asciiTheme="minorHAnsi" w:hAnsiTheme="minorHAnsi" w:cstheme="minorHAnsi"/>
        </w:rPr>
      </w:pPr>
      <w:r w:rsidRPr="005C2FCA">
        <w:rPr>
          <w:rFonts w:asciiTheme="minorHAnsi" w:hAnsiTheme="minorHAnsi" w:cstheme="minorHAnsi"/>
        </w:rPr>
        <w:t>No statistically significant differences were observed for Cmax (Cycle 1, Days 1 and 12), AUCinf (Cycle 1, Day 1), AUCtau (Cycle 1, Day 12), CL/F (Cycle 1, Day 1) or CLss/F (Cycle 1, Day 12) between patients with normal hepatic function and patients with either mild or moderate hepatic impairment. Peak exposure based on mean geometric Cmax values was 43% higher in patients with mild hepatic impairment compared to patients with normal hepatic function in Cycle 1, Day 1, but 13% lower in Cycle 1, Day 12. Peak exposure based on mean geometric Cmax values was 22% lower in patients with moderate hepatic impairment compared to patients with normal hepatic function in Cycle 1, Day 1, and almost identical in Cycle 1, Day 12. Systemic exposure at steady state (Cycle 1, Day 12) based on geometric mean AUCtau values was 18% lower in patients with mild hepatic impairment and 22% lower in patients with moderate hepatic impairment compared to patients with normal hepatic function. While there were no statistically significant differences in AUCtau values between the normal hepatic function cohort and both the mild and moderate hepatic impairment cohorts, the 90% CI were not enclosed entirely within the conventional bioequivalence interval of 0.80 to 1.25.</w:t>
      </w:r>
    </w:p>
    <w:p w14:paraId="2D221643" w14:textId="7C462C53" w:rsidR="00DF61BC" w:rsidRPr="005C2FCA" w:rsidRDefault="00DF61BC" w:rsidP="00DF61BC">
      <w:pPr>
        <w:widowControl w:val="0"/>
        <w:autoSpaceDE w:val="0"/>
        <w:autoSpaceDN w:val="0"/>
        <w:adjustRightInd w:val="0"/>
        <w:rPr>
          <w:rFonts w:cs="Times"/>
        </w:rPr>
      </w:pPr>
      <w:r w:rsidRPr="005C2FCA">
        <w:rPr>
          <w:rFonts w:cs="Times"/>
        </w:rPr>
        <w:t>The results for TPI are summarised below.</w:t>
      </w:r>
    </w:p>
    <w:p w14:paraId="0FBCDEBC" w14:textId="30CC6DE8" w:rsidR="00DF61BC" w:rsidRPr="005C2FCA" w:rsidRDefault="00996E3F" w:rsidP="00184C38">
      <w:pPr>
        <w:pStyle w:val="Tabletitle"/>
        <w:rPr>
          <w:sz w:val="28"/>
        </w:rPr>
      </w:pPr>
      <w:r>
        <w:t>Table 70</w:t>
      </w:r>
      <w:r w:rsidR="00DF61BC" w:rsidRPr="00C94C33">
        <w:t xml:space="preserve">: </w:t>
      </w:r>
      <w:r w:rsidR="00DF61BC" w:rsidRPr="005C2FCA">
        <w:t>Effect of hepatic impairment (one-way ANOVA) for TPI PK Parameters, PK</w:t>
      </w:r>
      <w:r w:rsidR="0071718C">
        <w:t> </w:t>
      </w:r>
      <w:r w:rsidR="00DF61BC" w:rsidRPr="005C2FCA">
        <w:t>Population</w:t>
      </w:r>
    </w:p>
    <w:tbl>
      <w:tblPr>
        <w:tblStyle w:val="TableGrid"/>
        <w:tblW w:w="0" w:type="auto"/>
        <w:tblLook w:val="04A0" w:firstRow="1" w:lastRow="0" w:firstColumn="1" w:lastColumn="0" w:noHBand="0" w:noVBand="1"/>
        <w:tblDescription w:val="Table 70: Effect of hepatic impairment (one-way ANOVA) for TPI PK Parameters, PK Population"/>
      </w:tblPr>
      <w:tblGrid>
        <w:gridCol w:w="1448"/>
        <w:gridCol w:w="1492"/>
        <w:gridCol w:w="997"/>
        <w:gridCol w:w="2296"/>
        <w:gridCol w:w="2017"/>
      </w:tblGrid>
      <w:tr w:rsidR="00DF61BC" w:rsidRPr="00C94C33" w14:paraId="15C2CB91" w14:textId="77777777" w:rsidTr="007B0D96">
        <w:trPr>
          <w:tblHeader/>
        </w:trPr>
        <w:tc>
          <w:tcPr>
            <w:tcW w:w="1448" w:type="dxa"/>
            <w:tcBorders>
              <w:left w:val="single" w:sz="4" w:space="0" w:color="auto"/>
              <w:right w:val="single" w:sz="4" w:space="0" w:color="auto"/>
            </w:tcBorders>
            <w:shd w:val="clear" w:color="auto" w:fill="auto"/>
          </w:tcPr>
          <w:p w14:paraId="5BB99655" w14:textId="77777777" w:rsidR="00DF61BC" w:rsidRPr="00C94C33" w:rsidRDefault="00DF61BC" w:rsidP="00A02F57">
            <w:pPr>
              <w:pStyle w:val="TableHeading"/>
            </w:pPr>
          </w:p>
        </w:tc>
        <w:tc>
          <w:tcPr>
            <w:tcW w:w="1492" w:type="dxa"/>
            <w:tcBorders>
              <w:left w:val="single" w:sz="4" w:space="0" w:color="auto"/>
              <w:right w:val="single" w:sz="4" w:space="0" w:color="auto"/>
            </w:tcBorders>
            <w:shd w:val="clear" w:color="auto" w:fill="auto"/>
          </w:tcPr>
          <w:p w14:paraId="79C91204" w14:textId="77777777" w:rsidR="00DF61BC" w:rsidRPr="00C94C33" w:rsidRDefault="00DF61BC" w:rsidP="00A02F57">
            <w:pPr>
              <w:pStyle w:val="TableHeading"/>
            </w:pPr>
          </w:p>
        </w:tc>
        <w:tc>
          <w:tcPr>
            <w:tcW w:w="997" w:type="dxa"/>
            <w:tcBorders>
              <w:left w:val="single" w:sz="4" w:space="0" w:color="auto"/>
              <w:right w:val="single" w:sz="4" w:space="0" w:color="auto"/>
            </w:tcBorders>
            <w:shd w:val="clear" w:color="auto" w:fill="auto"/>
          </w:tcPr>
          <w:p w14:paraId="31C52D2C" w14:textId="28509EF6" w:rsidR="00DF61BC" w:rsidRPr="00C94C33" w:rsidRDefault="00A02F57" w:rsidP="00A02F57">
            <w:pPr>
              <w:pStyle w:val="TableHeading"/>
            </w:pPr>
            <w:r>
              <w:t>Normal</w:t>
            </w:r>
          </w:p>
        </w:tc>
        <w:tc>
          <w:tcPr>
            <w:tcW w:w="2296" w:type="dxa"/>
            <w:tcBorders>
              <w:left w:val="single" w:sz="4" w:space="0" w:color="auto"/>
              <w:right w:val="single" w:sz="4" w:space="0" w:color="auto"/>
            </w:tcBorders>
            <w:shd w:val="clear" w:color="auto" w:fill="auto"/>
          </w:tcPr>
          <w:p w14:paraId="7462C56D" w14:textId="6A90F3D0" w:rsidR="00DF61BC" w:rsidRPr="00C94C33" w:rsidRDefault="00A02F57" w:rsidP="00A02F57">
            <w:pPr>
              <w:pStyle w:val="TableHeading"/>
            </w:pPr>
            <w:r>
              <w:t>Mild HI</w:t>
            </w:r>
          </w:p>
        </w:tc>
        <w:tc>
          <w:tcPr>
            <w:tcW w:w="2017" w:type="dxa"/>
            <w:tcBorders>
              <w:left w:val="single" w:sz="4" w:space="0" w:color="auto"/>
              <w:right w:val="single" w:sz="4" w:space="0" w:color="auto"/>
            </w:tcBorders>
            <w:shd w:val="clear" w:color="auto" w:fill="auto"/>
          </w:tcPr>
          <w:p w14:paraId="0C3CDBA4" w14:textId="022A1945" w:rsidR="00DF61BC" w:rsidRPr="00C94C33" w:rsidRDefault="00A02F57" w:rsidP="00A02F57">
            <w:pPr>
              <w:pStyle w:val="TableHeading"/>
            </w:pPr>
            <w:r>
              <w:t>Moderate HI</w:t>
            </w:r>
          </w:p>
        </w:tc>
      </w:tr>
      <w:tr w:rsidR="00DF61BC" w:rsidRPr="00C94C33" w14:paraId="1944F416" w14:textId="77777777" w:rsidTr="00DE5BBC">
        <w:tc>
          <w:tcPr>
            <w:tcW w:w="1448" w:type="dxa"/>
            <w:tcBorders>
              <w:left w:val="single" w:sz="4" w:space="0" w:color="auto"/>
              <w:right w:val="single" w:sz="4" w:space="0" w:color="auto"/>
            </w:tcBorders>
            <w:shd w:val="clear" w:color="auto" w:fill="auto"/>
          </w:tcPr>
          <w:p w14:paraId="6D083ADC" w14:textId="77777777" w:rsidR="00DF61BC" w:rsidRPr="00C94C33" w:rsidRDefault="00DF61BC" w:rsidP="00A02F57">
            <w:pPr>
              <w:pStyle w:val="Tabletext"/>
            </w:pPr>
            <w:r w:rsidRPr="00C94C33">
              <w:t xml:space="preserve">Cycle 1, Day 1 </w:t>
            </w:r>
          </w:p>
        </w:tc>
        <w:tc>
          <w:tcPr>
            <w:tcW w:w="1492" w:type="dxa"/>
            <w:tcBorders>
              <w:left w:val="single" w:sz="4" w:space="0" w:color="auto"/>
              <w:right w:val="single" w:sz="4" w:space="0" w:color="auto"/>
            </w:tcBorders>
            <w:shd w:val="clear" w:color="auto" w:fill="auto"/>
          </w:tcPr>
          <w:p w14:paraId="6FC70B2C" w14:textId="77777777" w:rsidR="00DF61BC" w:rsidRPr="00C94C33" w:rsidRDefault="00DF61BC" w:rsidP="00A02F57">
            <w:pPr>
              <w:pStyle w:val="Tabletext"/>
            </w:pPr>
          </w:p>
        </w:tc>
        <w:tc>
          <w:tcPr>
            <w:tcW w:w="997" w:type="dxa"/>
            <w:tcBorders>
              <w:left w:val="single" w:sz="4" w:space="0" w:color="auto"/>
              <w:right w:val="single" w:sz="4" w:space="0" w:color="auto"/>
            </w:tcBorders>
            <w:shd w:val="clear" w:color="auto" w:fill="auto"/>
          </w:tcPr>
          <w:p w14:paraId="42047D90" w14:textId="0773B18A" w:rsidR="00DF61BC" w:rsidRPr="00C94C33" w:rsidRDefault="009C0389" w:rsidP="00A02F57">
            <w:pPr>
              <w:pStyle w:val="Tabletext"/>
            </w:pPr>
            <w:r w:rsidRPr="00C94C33">
              <w:t xml:space="preserve">n = </w:t>
            </w:r>
            <w:r w:rsidR="00DF61BC" w:rsidRPr="00C94C33">
              <w:t xml:space="preserve"> 6-7 *</w:t>
            </w:r>
          </w:p>
        </w:tc>
        <w:tc>
          <w:tcPr>
            <w:tcW w:w="2296" w:type="dxa"/>
            <w:tcBorders>
              <w:left w:val="single" w:sz="4" w:space="0" w:color="auto"/>
              <w:right w:val="single" w:sz="4" w:space="0" w:color="auto"/>
            </w:tcBorders>
            <w:shd w:val="clear" w:color="auto" w:fill="auto"/>
          </w:tcPr>
          <w:p w14:paraId="4151CA6A" w14:textId="7C6EAF81" w:rsidR="00DF61BC" w:rsidRPr="00C94C33" w:rsidRDefault="009C0389" w:rsidP="00A02F57">
            <w:pPr>
              <w:pStyle w:val="Tabletext"/>
            </w:pPr>
            <w:r w:rsidRPr="00C94C33">
              <w:t xml:space="preserve">n = </w:t>
            </w:r>
            <w:r w:rsidR="00DF61BC" w:rsidRPr="00C94C33">
              <w:t xml:space="preserve"> 6-7 * </w:t>
            </w:r>
          </w:p>
        </w:tc>
        <w:tc>
          <w:tcPr>
            <w:tcW w:w="2017" w:type="dxa"/>
            <w:tcBorders>
              <w:left w:val="single" w:sz="4" w:space="0" w:color="auto"/>
              <w:right w:val="single" w:sz="4" w:space="0" w:color="auto"/>
            </w:tcBorders>
            <w:shd w:val="clear" w:color="auto" w:fill="auto"/>
          </w:tcPr>
          <w:p w14:paraId="79CF1AD2" w14:textId="77777777" w:rsidR="00DF61BC" w:rsidRPr="00C94C33" w:rsidRDefault="00DF61BC" w:rsidP="00A02F57">
            <w:pPr>
              <w:pStyle w:val="Tabletext"/>
            </w:pPr>
            <w:r w:rsidRPr="00C94C33">
              <w:t xml:space="preserve">n = 4-5 * </w:t>
            </w:r>
          </w:p>
        </w:tc>
      </w:tr>
      <w:tr w:rsidR="00DF61BC" w:rsidRPr="00C94C33" w14:paraId="3050A53A" w14:textId="77777777" w:rsidTr="00DE5BBC">
        <w:tc>
          <w:tcPr>
            <w:tcW w:w="1448" w:type="dxa"/>
            <w:tcBorders>
              <w:left w:val="single" w:sz="4" w:space="0" w:color="auto"/>
              <w:bottom w:val="nil"/>
              <w:right w:val="single" w:sz="4" w:space="0" w:color="auto"/>
            </w:tcBorders>
            <w:shd w:val="clear" w:color="auto" w:fill="auto"/>
          </w:tcPr>
          <w:p w14:paraId="0554A4F8" w14:textId="77777777" w:rsidR="00DF61BC" w:rsidRPr="00C94C33" w:rsidRDefault="00DF61BC" w:rsidP="00A02F57">
            <w:pPr>
              <w:pStyle w:val="Tabletext"/>
            </w:pPr>
            <w:r w:rsidRPr="00C94C33">
              <w:t xml:space="preserve">Cmax </w:t>
            </w:r>
          </w:p>
        </w:tc>
        <w:tc>
          <w:tcPr>
            <w:tcW w:w="1492" w:type="dxa"/>
            <w:tcBorders>
              <w:left w:val="single" w:sz="4" w:space="0" w:color="auto"/>
              <w:bottom w:val="nil"/>
              <w:right w:val="single" w:sz="4" w:space="0" w:color="auto"/>
            </w:tcBorders>
            <w:shd w:val="clear" w:color="auto" w:fill="auto"/>
          </w:tcPr>
          <w:p w14:paraId="1B4981AE" w14:textId="77777777" w:rsidR="00DF61BC" w:rsidRPr="00C94C33" w:rsidRDefault="00DF61BC" w:rsidP="00A02F57">
            <w:pPr>
              <w:pStyle w:val="Tabletext"/>
            </w:pPr>
            <w:r w:rsidRPr="00C94C33">
              <w:t>GM</w:t>
            </w:r>
          </w:p>
        </w:tc>
        <w:tc>
          <w:tcPr>
            <w:tcW w:w="997" w:type="dxa"/>
            <w:tcBorders>
              <w:left w:val="single" w:sz="4" w:space="0" w:color="auto"/>
              <w:bottom w:val="nil"/>
              <w:right w:val="single" w:sz="4" w:space="0" w:color="auto"/>
            </w:tcBorders>
            <w:shd w:val="clear" w:color="auto" w:fill="auto"/>
          </w:tcPr>
          <w:p w14:paraId="6E00C3E7" w14:textId="77777777" w:rsidR="00DF61BC" w:rsidRPr="00C94C33" w:rsidRDefault="00DF61BC" w:rsidP="00A02F57">
            <w:pPr>
              <w:pStyle w:val="Tabletext"/>
            </w:pPr>
            <w:r w:rsidRPr="00C94C33">
              <w:t>63.82</w:t>
            </w:r>
          </w:p>
        </w:tc>
        <w:tc>
          <w:tcPr>
            <w:tcW w:w="2296" w:type="dxa"/>
            <w:tcBorders>
              <w:left w:val="single" w:sz="4" w:space="0" w:color="auto"/>
              <w:bottom w:val="nil"/>
              <w:right w:val="single" w:sz="4" w:space="0" w:color="auto"/>
            </w:tcBorders>
            <w:shd w:val="clear" w:color="auto" w:fill="auto"/>
          </w:tcPr>
          <w:p w14:paraId="2E687100" w14:textId="77777777" w:rsidR="00DF61BC" w:rsidRPr="00C94C33" w:rsidRDefault="00DF61BC" w:rsidP="00A02F57">
            <w:pPr>
              <w:pStyle w:val="Tabletext"/>
            </w:pPr>
            <w:r w:rsidRPr="00C94C33">
              <w:t>57.00</w:t>
            </w:r>
          </w:p>
        </w:tc>
        <w:tc>
          <w:tcPr>
            <w:tcW w:w="2017" w:type="dxa"/>
            <w:tcBorders>
              <w:left w:val="single" w:sz="4" w:space="0" w:color="auto"/>
              <w:bottom w:val="nil"/>
              <w:right w:val="single" w:sz="4" w:space="0" w:color="auto"/>
            </w:tcBorders>
            <w:shd w:val="clear" w:color="auto" w:fill="auto"/>
          </w:tcPr>
          <w:p w14:paraId="77C3DF0B" w14:textId="77777777" w:rsidR="00DF61BC" w:rsidRPr="00C94C33" w:rsidRDefault="00DF61BC" w:rsidP="00A02F57">
            <w:pPr>
              <w:pStyle w:val="Tabletext"/>
            </w:pPr>
            <w:r w:rsidRPr="00C94C33">
              <w:t>78.69</w:t>
            </w:r>
          </w:p>
        </w:tc>
      </w:tr>
      <w:tr w:rsidR="00DF61BC" w:rsidRPr="00C94C33" w14:paraId="0E2CBBDB" w14:textId="77777777" w:rsidTr="00DE5BBC">
        <w:tc>
          <w:tcPr>
            <w:tcW w:w="1448" w:type="dxa"/>
            <w:tcBorders>
              <w:top w:val="nil"/>
              <w:left w:val="single" w:sz="4" w:space="0" w:color="auto"/>
              <w:bottom w:val="nil"/>
              <w:right w:val="single" w:sz="4" w:space="0" w:color="auto"/>
            </w:tcBorders>
            <w:shd w:val="clear" w:color="auto" w:fill="auto"/>
          </w:tcPr>
          <w:p w14:paraId="20DF8235" w14:textId="77777777" w:rsidR="00DF61BC" w:rsidRPr="00C94C33" w:rsidRDefault="00DF61BC" w:rsidP="00A02F57">
            <w:pPr>
              <w:pStyle w:val="Tabletext"/>
            </w:pPr>
            <w:r w:rsidRPr="00C94C33">
              <w:t>(ng/mL)</w:t>
            </w:r>
          </w:p>
        </w:tc>
        <w:tc>
          <w:tcPr>
            <w:tcW w:w="1492" w:type="dxa"/>
            <w:tcBorders>
              <w:top w:val="nil"/>
              <w:left w:val="single" w:sz="4" w:space="0" w:color="auto"/>
              <w:bottom w:val="nil"/>
              <w:right w:val="single" w:sz="4" w:space="0" w:color="auto"/>
            </w:tcBorders>
            <w:shd w:val="clear" w:color="auto" w:fill="auto"/>
          </w:tcPr>
          <w:p w14:paraId="3992E074" w14:textId="77777777" w:rsidR="00DF61BC" w:rsidRPr="00C94C33" w:rsidRDefault="00DF61BC" w:rsidP="00A02F57">
            <w:pPr>
              <w:pStyle w:val="Tabletext"/>
            </w:pPr>
            <w:r w:rsidRPr="00C94C33">
              <w:t xml:space="preserve">GMR to Normal </w:t>
            </w:r>
          </w:p>
        </w:tc>
        <w:tc>
          <w:tcPr>
            <w:tcW w:w="997" w:type="dxa"/>
            <w:tcBorders>
              <w:top w:val="nil"/>
              <w:left w:val="single" w:sz="4" w:space="0" w:color="auto"/>
              <w:bottom w:val="nil"/>
              <w:right w:val="single" w:sz="4" w:space="0" w:color="auto"/>
            </w:tcBorders>
            <w:shd w:val="clear" w:color="auto" w:fill="auto"/>
          </w:tcPr>
          <w:p w14:paraId="52B99AA1" w14:textId="77777777" w:rsidR="00DF61BC" w:rsidRPr="00C94C33" w:rsidRDefault="00DF61BC" w:rsidP="00A02F57">
            <w:pPr>
              <w:pStyle w:val="Tabletext"/>
            </w:pPr>
            <w:r w:rsidRPr="00C94C33">
              <w:t>-</w:t>
            </w:r>
          </w:p>
        </w:tc>
        <w:tc>
          <w:tcPr>
            <w:tcW w:w="2296" w:type="dxa"/>
            <w:tcBorders>
              <w:top w:val="nil"/>
              <w:left w:val="single" w:sz="4" w:space="0" w:color="auto"/>
              <w:bottom w:val="nil"/>
              <w:right w:val="single" w:sz="4" w:space="0" w:color="auto"/>
            </w:tcBorders>
            <w:shd w:val="clear" w:color="auto" w:fill="auto"/>
          </w:tcPr>
          <w:p w14:paraId="356E002F" w14:textId="77777777" w:rsidR="00DF61BC" w:rsidRPr="00C94C33" w:rsidRDefault="00DF61BC" w:rsidP="00A02F57">
            <w:pPr>
              <w:pStyle w:val="Tabletext"/>
            </w:pPr>
            <w:r w:rsidRPr="00C94C33">
              <w:t>0.89 (90% CI: 0.51, 1.58)</w:t>
            </w:r>
          </w:p>
        </w:tc>
        <w:tc>
          <w:tcPr>
            <w:tcW w:w="2017" w:type="dxa"/>
            <w:tcBorders>
              <w:top w:val="nil"/>
              <w:left w:val="single" w:sz="4" w:space="0" w:color="auto"/>
              <w:bottom w:val="nil"/>
              <w:right w:val="single" w:sz="4" w:space="0" w:color="auto"/>
            </w:tcBorders>
            <w:shd w:val="clear" w:color="auto" w:fill="auto"/>
          </w:tcPr>
          <w:p w14:paraId="5809E1EA" w14:textId="77777777" w:rsidR="00DF61BC" w:rsidRPr="00C94C33" w:rsidRDefault="00DF61BC" w:rsidP="00A02F57">
            <w:pPr>
              <w:pStyle w:val="Tabletext"/>
            </w:pPr>
            <w:r w:rsidRPr="00C94C33">
              <w:t>1.23 (90% CI: 0.66, 2.30)</w:t>
            </w:r>
          </w:p>
        </w:tc>
      </w:tr>
      <w:tr w:rsidR="00DF61BC" w:rsidRPr="00C94C33" w14:paraId="54F6E56B" w14:textId="77777777" w:rsidTr="00DE5BBC">
        <w:tc>
          <w:tcPr>
            <w:tcW w:w="1448" w:type="dxa"/>
            <w:tcBorders>
              <w:top w:val="nil"/>
              <w:left w:val="single" w:sz="4" w:space="0" w:color="auto"/>
              <w:right w:val="single" w:sz="4" w:space="0" w:color="auto"/>
            </w:tcBorders>
            <w:shd w:val="clear" w:color="auto" w:fill="auto"/>
          </w:tcPr>
          <w:p w14:paraId="652F7EF9" w14:textId="77777777" w:rsidR="00DF61BC" w:rsidRPr="00C94C33" w:rsidRDefault="00DF61BC" w:rsidP="00A02F57">
            <w:pPr>
              <w:pStyle w:val="Tabletext"/>
            </w:pPr>
          </w:p>
        </w:tc>
        <w:tc>
          <w:tcPr>
            <w:tcW w:w="1492" w:type="dxa"/>
            <w:tcBorders>
              <w:top w:val="nil"/>
              <w:left w:val="single" w:sz="4" w:space="0" w:color="auto"/>
              <w:right w:val="single" w:sz="4" w:space="0" w:color="auto"/>
            </w:tcBorders>
            <w:shd w:val="clear" w:color="auto" w:fill="auto"/>
          </w:tcPr>
          <w:p w14:paraId="6A26FC0F" w14:textId="77777777" w:rsidR="00DF61BC" w:rsidRPr="00C94C33" w:rsidRDefault="00DF61BC" w:rsidP="00A02F57">
            <w:pPr>
              <w:pStyle w:val="Tabletext"/>
            </w:pPr>
            <w:r w:rsidRPr="00C94C33">
              <w:t>p value for GMR</w:t>
            </w:r>
          </w:p>
        </w:tc>
        <w:tc>
          <w:tcPr>
            <w:tcW w:w="997" w:type="dxa"/>
            <w:tcBorders>
              <w:top w:val="nil"/>
              <w:left w:val="single" w:sz="4" w:space="0" w:color="auto"/>
              <w:right w:val="single" w:sz="4" w:space="0" w:color="auto"/>
            </w:tcBorders>
            <w:shd w:val="clear" w:color="auto" w:fill="auto"/>
          </w:tcPr>
          <w:p w14:paraId="74A0B0F9" w14:textId="77777777" w:rsidR="00DF61BC" w:rsidRPr="00C94C33" w:rsidRDefault="00DF61BC" w:rsidP="00A02F57">
            <w:pPr>
              <w:pStyle w:val="Tabletext"/>
            </w:pPr>
          </w:p>
        </w:tc>
        <w:tc>
          <w:tcPr>
            <w:tcW w:w="2296" w:type="dxa"/>
            <w:tcBorders>
              <w:top w:val="nil"/>
              <w:left w:val="single" w:sz="4" w:space="0" w:color="auto"/>
              <w:right w:val="single" w:sz="4" w:space="0" w:color="auto"/>
            </w:tcBorders>
            <w:shd w:val="clear" w:color="auto" w:fill="auto"/>
          </w:tcPr>
          <w:p w14:paraId="53B24561" w14:textId="77777777" w:rsidR="00DF61BC" w:rsidRPr="00C94C33" w:rsidRDefault="00DF61BC" w:rsidP="00A02F57">
            <w:pPr>
              <w:pStyle w:val="Tabletext"/>
            </w:pPr>
            <w:r w:rsidRPr="00C94C33">
              <w:t>p = 0.7330</w:t>
            </w:r>
          </w:p>
        </w:tc>
        <w:tc>
          <w:tcPr>
            <w:tcW w:w="2017" w:type="dxa"/>
            <w:tcBorders>
              <w:top w:val="nil"/>
              <w:left w:val="single" w:sz="4" w:space="0" w:color="auto"/>
              <w:right w:val="single" w:sz="4" w:space="0" w:color="auto"/>
            </w:tcBorders>
            <w:shd w:val="clear" w:color="auto" w:fill="auto"/>
          </w:tcPr>
          <w:p w14:paraId="791C7D11" w14:textId="77777777" w:rsidR="00DF61BC" w:rsidRPr="00C94C33" w:rsidRDefault="00DF61BC" w:rsidP="00A02F57">
            <w:pPr>
              <w:pStyle w:val="Tabletext"/>
            </w:pPr>
            <w:r w:rsidRPr="00C94C33">
              <w:t>p = 0.5653</w:t>
            </w:r>
          </w:p>
        </w:tc>
      </w:tr>
      <w:tr w:rsidR="00DF61BC" w:rsidRPr="00C94C33" w14:paraId="0F3D73A3" w14:textId="77777777" w:rsidTr="00DE5BBC">
        <w:tc>
          <w:tcPr>
            <w:tcW w:w="1448" w:type="dxa"/>
            <w:tcBorders>
              <w:left w:val="single" w:sz="4" w:space="0" w:color="auto"/>
              <w:bottom w:val="nil"/>
              <w:right w:val="single" w:sz="4" w:space="0" w:color="auto"/>
            </w:tcBorders>
            <w:shd w:val="clear" w:color="auto" w:fill="auto"/>
          </w:tcPr>
          <w:p w14:paraId="1ECC179C" w14:textId="77777777" w:rsidR="00DF61BC" w:rsidRPr="00C94C33" w:rsidRDefault="00DF61BC" w:rsidP="00A02F57">
            <w:pPr>
              <w:pStyle w:val="Tabletext"/>
            </w:pPr>
            <w:r w:rsidRPr="00C94C33">
              <w:t xml:space="preserve">AUC0-inf </w:t>
            </w:r>
          </w:p>
        </w:tc>
        <w:tc>
          <w:tcPr>
            <w:tcW w:w="1492" w:type="dxa"/>
            <w:tcBorders>
              <w:left w:val="single" w:sz="4" w:space="0" w:color="auto"/>
              <w:bottom w:val="nil"/>
              <w:right w:val="single" w:sz="4" w:space="0" w:color="auto"/>
            </w:tcBorders>
            <w:shd w:val="clear" w:color="auto" w:fill="auto"/>
          </w:tcPr>
          <w:p w14:paraId="16B27811" w14:textId="77777777" w:rsidR="00DF61BC" w:rsidRPr="00C94C33" w:rsidRDefault="00DF61BC" w:rsidP="00A02F57">
            <w:pPr>
              <w:pStyle w:val="Tabletext"/>
            </w:pPr>
            <w:r w:rsidRPr="00C94C33">
              <w:t xml:space="preserve">GM </w:t>
            </w:r>
          </w:p>
        </w:tc>
        <w:tc>
          <w:tcPr>
            <w:tcW w:w="997" w:type="dxa"/>
            <w:tcBorders>
              <w:left w:val="single" w:sz="4" w:space="0" w:color="auto"/>
              <w:bottom w:val="nil"/>
              <w:right w:val="single" w:sz="4" w:space="0" w:color="auto"/>
            </w:tcBorders>
            <w:shd w:val="clear" w:color="auto" w:fill="auto"/>
          </w:tcPr>
          <w:p w14:paraId="57B4E716" w14:textId="77777777" w:rsidR="00DF61BC" w:rsidRPr="00C94C33" w:rsidRDefault="00DF61BC" w:rsidP="00A02F57">
            <w:pPr>
              <w:pStyle w:val="Tabletext"/>
            </w:pPr>
            <w:r w:rsidRPr="00C94C33">
              <w:t>383.39</w:t>
            </w:r>
          </w:p>
        </w:tc>
        <w:tc>
          <w:tcPr>
            <w:tcW w:w="2296" w:type="dxa"/>
            <w:tcBorders>
              <w:left w:val="single" w:sz="4" w:space="0" w:color="auto"/>
              <w:bottom w:val="nil"/>
              <w:right w:val="single" w:sz="4" w:space="0" w:color="auto"/>
            </w:tcBorders>
            <w:shd w:val="clear" w:color="auto" w:fill="auto"/>
          </w:tcPr>
          <w:p w14:paraId="521218B3" w14:textId="77777777" w:rsidR="00DF61BC" w:rsidRPr="00C94C33" w:rsidRDefault="00DF61BC" w:rsidP="00A02F57">
            <w:pPr>
              <w:pStyle w:val="Tabletext"/>
            </w:pPr>
            <w:r w:rsidRPr="00C94C33">
              <w:t xml:space="preserve">247.04 </w:t>
            </w:r>
          </w:p>
        </w:tc>
        <w:tc>
          <w:tcPr>
            <w:tcW w:w="2017" w:type="dxa"/>
            <w:tcBorders>
              <w:left w:val="single" w:sz="4" w:space="0" w:color="auto"/>
              <w:bottom w:val="nil"/>
              <w:right w:val="single" w:sz="4" w:space="0" w:color="auto"/>
            </w:tcBorders>
            <w:shd w:val="clear" w:color="auto" w:fill="auto"/>
          </w:tcPr>
          <w:p w14:paraId="1B4A5F79" w14:textId="77777777" w:rsidR="00DF61BC" w:rsidRPr="00C94C33" w:rsidRDefault="00DF61BC" w:rsidP="00A02F57">
            <w:pPr>
              <w:pStyle w:val="Tabletext"/>
            </w:pPr>
            <w:r w:rsidRPr="00C94C33">
              <w:t>462.64</w:t>
            </w:r>
          </w:p>
        </w:tc>
      </w:tr>
      <w:tr w:rsidR="00DF61BC" w:rsidRPr="00C94C33" w14:paraId="6CC25327" w14:textId="77777777" w:rsidTr="00DE5BBC">
        <w:tc>
          <w:tcPr>
            <w:tcW w:w="1448" w:type="dxa"/>
            <w:tcBorders>
              <w:top w:val="nil"/>
              <w:left w:val="single" w:sz="4" w:space="0" w:color="auto"/>
              <w:bottom w:val="nil"/>
              <w:right w:val="single" w:sz="4" w:space="0" w:color="auto"/>
            </w:tcBorders>
            <w:shd w:val="clear" w:color="auto" w:fill="auto"/>
          </w:tcPr>
          <w:p w14:paraId="4389DD0D" w14:textId="77777777" w:rsidR="00DF61BC" w:rsidRPr="00C94C33" w:rsidRDefault="00DF61BC" w:rsidP="00A02F57">
            <w:pPr>
              <w:pStyle w:val="Tabletext"/>
            </w:pPr>
            <w:r w:rsidRPr="00C94C33">
              <w:t>(ng.hr/mL)</w:t>
            </w:r>
          </w:p>
        </w:tc>
        <w:tc>
          <w:tcPr>
            <w:tcW w:w="1492" w:type="dxa"/>
            <w:tcBorders>
              <w:top w:val="nil"/>
              <w:left w:val="single" w:sz="4" w:space="0" w:color="auto"/>
              <w:bottom w:val="nil"/>
              <w:right w:val="single" w:sz="4" w:space="0" w:color="auto"/>
            </w:tcBorders>
            <w:shd w:val="clear" w:color="auto" w:fill="auto"/>
          </w:tcPr>
          <w:p w14:paraId="1AF21557" w14:textId="77777777" w:rsidR="00DF61BC" w:rsidRPr="00C94C33" w:rsidRDefault="00DF61BC" w:rsidP="00A02F57">
            <w:pPr>
              <w:pStyle w:val="Tabletext"/>
            </w:pPr>
            <w:r w:rsidRPr="00C94C33">
              <w:t xml:space="preserve">GMR to Normal </w:t>
            </w:r>
          </w:p>
        </w:tc>
        <w:tc>
          <w:tcPr>
            <w:tcW w:w="997" w:type="dxa"/>
            <w:tcBorders>
              <w:top w:val="nil"/>
              <w:left w:val="single" w:sz="4" w:space="0" w:color="auto"/>
              <w:bottom w:val="nil"/>
              <w:right w:val="single" w:sz="4" w:space="0" w:color="auto"/>
            </w:tcBorders>
            <w:shd w:val="clear" w:color="auto" w:fill="auto"/>
          </w:tcPr>
          <w:p w14:paraId="5429675F" w14:textId="77777777" w:rsidR="00DF61BC" w:rsidRPr="00C94C33" w:rsidRDefault="00DF61BC" w:rsidP="00A02F57">
            <w:pPr>
              <w:pStyle w:val="Tabletext"/>
            </w:pPr>
            <w:r w:rsidRPr="00C94C33">
              <w:t>-</w:t>
            </w:r>
          </w:p>
        </w:tc>
        <w:tc>
          <w:tcPr>
            <w:tcW w:w="2296" w:type="dxa"/>
            <w:tcBorders>
              <w:top w:val="nil"/>
              <w:left w:val="single" w:sz="4" w:space="0" w:color="auto"/>
              <w:bottom w:val="nil"/>
              <w:right w:val="single" w:sz="4" w:space="0" w:color="auto"/>
            </w:tcBorders>
            <w:shd w:val="clear" w:color="auto" w:fill="auto"/>
          </w:tcPr>
          <w:p w14:paraId="536F8D43" w14:textId="77777777" w:rsidR="00DF61BC" w:rsidRPr="00C94C33" w:rsidRDefault="00DF61BC" w:rsidP="00A02F57">
            <w:pPr>
              <w:pStyle w:val="Tabletext"/>
            </w:pPr>
            <w:r w:rsidRPr="00C94C33">
              <w:t xml:space="preserve">0.64 (90% CI: 0.35, 1.18) </w:t>
            </w:r>
          </w:p>
        </w:tc>
        <w:tc>
          <w:tcPr>
            <w:tcW w:w="2017" w:type="dxa"/>
            <w:tcBorders>
              <w:top w:val="nil"/>
              <w:left w:val="single" w:sz="4" w:space="0" w:color="auto"/>
              <w:bottom w:val="nil"/>
              <w:right w:val="single" w:sz="4" w:space="0" w:color="auto"/>
            </w:tcBorders>
            <w:shd w:val="clear" w:color="auto" w:fill="auto"/>
          </w:tcPr>
          <w:p w14:paraId="798B36CD" w14:textId="77777777" w:rsidR="00DF61BC" w:rsidRPr="00C94C33" w:rsidRDefault="00DF61BC" w:rsidP="00A02F57">
            <w:pPr>
              <w:pStyle w:val="Tabletext"/>
            </w:pPr>
            <w:r w:rsidRPr="00C94C33">
              <w:t>1.21 (90% CI: 0.61, 2.38)</w:t>
            </w:r>
          </w:p>
        </w:tc>
      </w:tr>
      <w:tr w:rsidR="00DF61BC" w:rsidRPr="00C94C33" w14:paraId="07F0BBAB" w14:textId="77777777" w:rsidTr="00DE5BBC">
        <w:tc>
          <w:tcPr>
            <w:tcW w:w="1448" w:type="dxa"/>
            <w:tcBorders>
              <w:top w:val="nil"/>
              <w:left w:val="single" w:sz="4" w:space="0" w:color="auto"/>
              <w:right w:val="single" w:sz="4" w:space="0" w:color="auto"/>
            </w:tcBorders>
            <w:shd w:val="clear" w:color="auto" w:fill="auto"/>
          </w:tcPr>
          <w:p w14:paraId="75FCE298" w14:textId="77777777" w:rsidR="00DF61BC" w:rsidRPr="00C94C33" w:rsidRDefault="00DF61BC" w:rsidP="00A02F57">
            <w:pPr>
              <w:pStyle w:val="Tabletext"/>
            </w:pPr>
          </w:p>
        </w:tc>
        <w:tc>
          <w:tcPr>
            <w:tcW w:w="1492" w:type="dxa"/>
            <w:tcBorders>
              <w:top w:val="nil"/>
              <w:left w:val="single" w:sz="4" w:space="0" w:color="auto"/>
              <w:right w:val="single" w:sz="4" w:space="0" w:color="auto"/>
            </w:tcBorders>
            <w:shd w:val="clear" w:color="auto" w:fill="auto"/>
          </w:tcPr>
          <w:p w14:paraId="018DE2EC" w14:textId="77777777" w:rsidR="00DF61BC" w:rsidRPr="00C94C33" w:rsidRDefault="00DF61BC" w:rsidP="00A02F57">
            <w:pPr>
              <w:pStyle w:val="Tabletext"/>
            </w:pPr>
            <w:r w:rsidRPr="00C94C33">
              <w:t>p value for GMR</w:t>
            </w:r>
          </w:p>
        </w:tc>
        <w:tc>
          <w:tcPr>
            <w:tcW w:w="997" w:type="dxa"/>
            <w:tcBorders>
              <w:top w:val="nil"/>
              <w:left w:val="single" w:sz="4" w:space="0" w:color="auto"/>
              <w:right w:val="single" w:sz="4" w:space="0" w:color="auto"/>
            </w:tcBorders>
            <w:shd w:val="clear" w:color="auto" w:fill="auto"/>
          </w:tcPr>
          <w:p w14:paraId="3B473B65" w14:textId="77777777" w:rsidR="00DF61BC" w:rsidRPr="00C94C33" w:rsidRDefault="00DF61BC" w:rsidP="00A02F57">
            <w:pPr>
              <w:pStyle w:val="Tabletext"/>
            </w:pPr>
            <w:r w:rsidRPr="00C94C33">
              <w:t>-</w:t>
            </w:r>
          </w:p>
        </w:tc>
        <w:tc>
          <w:tcPr>
            <w:tcW w:w="2296" w:type="dxa"/>
            <w:tcBorders>
              <w:top w:val="nil"/>
              <w:left w:val="single" w:sz="4" w:space="0" w:color="auto"/>
              <w:right w:val="single" w:sz="4" w:space="0" w:color="auto"/>
            </w:tcBorders>
            <w:shd w:val="clear" w:color="auto" w:fill="auto"/>
          </w:tcPr>
          <w:p w14:paraId="36BE6C5B" w14:textId="77777777" w:rsidR="00DF61BC" w:rsidRPr="00C94C33" w:rsidRDefault="00DF61BC" w:rsidP="00A02F57">
            <w:pPr>
              <w:pStyle w:val="Tabletext"/>
            </w:pPr>
            <w:r w:rsidRPr="00C94C33">
              <w:t>p = 0.2216</w:t>
            </w:r>
          </w:p>
        </w:tc>
        <w:tc>
          <w:tcPr>
            <w:tcW w:w="2017" w:type="dxa"/>
            <w:tcBorders>
              <w:top w:val="nil"/>
              <w:left w:val="single" w:sz="4" w:space="0" w:color="auto"/>
              <w:right w:val="single" w:sz="4" w:space="0" w:color="auto"/>
            </w:tcBorders>
            <w:shd w:val="clear" w:color="auto" w:fill="auto"/>
          </w:tcPr>
          <w:p w14:paraId="424FBC1F" w14:textId="77777777" w:rsidR="00DF61BC" w:rsidRPr="00C94C33" w:rsidRDefault="00DF61BC" w:rsidP="00A02F57">
            <w:pPr>
              <w:pStyle w:val="Tabletext"/>
            </w:pPr>
            <w:r w:rsidRPr="00C94C33">
              <w:t>p = 0.6316</w:t>
            </w:r>
          </w:p>
        </w:tc>
      </w:tr>
      <w:tr w:rsidR="00DF61BC" w:rsidRPr="00C94C33" w14:paraId="492B5DF7" w14:textId="77777777" w:rsidTr="00DE5BBC">
        <w:tc>
          <w:tcPr>
            <w:tcW w:w="1448" w:type="dxa"/>
            <w:tcBorders>
              <w:left w:val="single" w:sz="4" w:space="0" w:color="auto"/>
              <w:bottom w:val="nil"/>
              <w:right w:val="single" w:sz="4" w:space="0" w:color="auto"/>
            </w:tcBorders>
            <w:shd w:val="clear" w:color="auto" w:fill="auto"/>
          </w:tcPr>
          <w:p w14:paraId="395C50C2" w14:textId="77777777" w:rsidR="00DF61BC" w:rsidRPr="00C94C33" w:rsidRDefault="00DF61BC" w:rsidP="00A02F57">
            <w:pPr>
              <w:pStyle w:val="Tabletext"/>
            </w:pPr>
            <w:r w:rsidRPr="00C94C33">
              <w:t xml:space="preserve">CL/F </w:t>
            </w:r>
          </w:p>
        </w:tc>
        <w:tc>
          <w:tcPr>
            <w:tcW w:w="1492" w:type="dxa"/>
            <w:tcBorders>
              <w:left w:val="single" w:sz="4" w:space="0" w:color="auto"/>
              <w:bottom w:val="nil"/>
              <w:right w:val="single" w:sz="4" w:space="0" w:color="auto"/>
            </w:tcBorders>
            <w:shd w:val="clear" w:color="auto" w:fill="auto"/>
          </w:tcPr>
          <w:p w14:paraId="259300D0" w14:textId="77777777" w:rsidR="00DF61BC" w:rsidRPr="00C94C33" w:rsidRDefault="00DF61BC" w:rsidP="00A02F57">
            <w:pPr>
              <w:pStyle w:val="Tabletext"/>
            </w:pPr>
            <w:r w:rsidRPr="00C94C33">
              <w:t>GM</w:t>
            </w:r>
          </w:p>
        </w:tc>
        <w:tc>
          <w:tcPr>
            <w:tcW w:w="997" w:type="dxa"/>
            <w:tcBorders>
              <w:left w:val="single" w:sz="4" w:space="0" w:color="auto"/>
              <w:bottom w:val="nil"/>
              <w:right w:val="single" w:sz="4" w:space="0" w:color="auto"/>
            </w:tcBorders>
            <w:shd w:val="clear" w:color="auto" w:fill="auto"/>
          </w:tcPr>
          <w:p w14:paraId="1392F957" w14:textId="77777777" w:rsidR="00DF61BC" w:rsidRPr="00C94C33" w:rsidRDefault="00DF61BC" w:rsidP="00A02F57">
            <w:pPr>
              <w:pStyle w:val="Tabletext"/>
            </w:pPr>
            <w:r w:rsidRPr="00C94C33">
              <w:t>71.20</w:t>
            </w:r>
          </w:p>
        </w:tc>
        <w:tc>
          <w:tcPr>
            <w:tcW w:w="2296" w:type="dxa"/>
            <w:tcBorders>
              <w:left w:val="single" w:sz="4" w:space="0" w:color="auto"/>
              <w:bottom w:val="nil"/>
              <w:right w:val="single" w:sz="4" w:space="0" w:color="auto"/>
            </w:tcBorders>
            <w:shd w:val="clear" w:color="auto" w:fill="auto"/>
          </w:tcPr>
          <w:p w14:paraId="087446EA" w14:textId="77777777" w:rsidR="00DF61BC" w:rsidRPr="00C94C33" w:rsidRDefault="00DF61BC" w:rsidP="00A02F57">
            <w:pPr>
              <w:pStyle w:val="Tabletext"/>
            </w:pPr>
            <w:r w:rsidRPr="00C94C33">
              <w:t>120.19</w:t>
            </w:r>
          </w:p>
        </w:tc>
        <w:tc>
          <w:tcPr>
            <w:tcW w:w="2017" w:type="dxa"/>
            <w:tcBorders>
              <w:left w:val="single" w:sz="4" w:space="0" w:color="auto"/>
              <w:bottom w:val="nil"/>
              <w:right w:val="single" w:sz="4" w:space="0" w:color="auto"/>
            </w:tcBorders>
            <w:shd w:val="clear" w:color="auto" w:fill="auto"/>
          </w:tcPr>
          <w:p w14:paraId="6FD13D58" w14:textId="77777777" w:rsidR="00DF61BC" w:rsidRPr="00C94C33" w:rsidRDefault="00DF61BC" w:rsidP="00A02F57">
            <w:pPr>
              <w:pStyle w:val="Tabletext"/>
            </w:pPr>
            <w:r w:rsidRPr="00C94C33">
              <w:t>67.31</w:t>
            </w:r>
          </w:p>
        </w:tc>
      </w:tr>
      <w:tr w:rsidR="00DF61BC" w:rsidRPr="00C94C33" w14:paraId="7AF4CA55" w14:textId="77777777" w:rsidTr="00DE5BBC">
        <w:tc>
          <w:tcPr>
            <w:tcW w:w="1448" w:type="dxa"/>
            <w:tcBorders>
              <w:top w:val="nil"/>
              <w:left w:val="single" w:sz="4" w:space="0" w:color="auto"/>
              <w:bottom w:val="nil"/>
              <w:right w:val="single" w:sz="4" w:space="0" w:color="auto"/>
            </w:tcBorders>
            <w:shd w:val="clear" w:color="auto" w:fill="auto"/>
          </w:tcPr>
          <w:p w14:paraId="1FC0B675" w14:textId="77777777" w:rsidR="00DF61BC" w:rsidRPr="00C94C33" w:rsidRDefault="00DF61BC" w:rsidP="00A02F57">
            <w:pPr>
              <w:pStyle w:val="Tabletext"/>
            </w:pPr>
            <w:r w:rsidRPr="00C94C33">
              <w:lastRenderedPageBreak/>
              <w:t>(L/hr)</w:t>
            </w:r>
          </w:p>
        </w:tc>
        <w:tc>
          <w:tcPr>
            <w:tcW w:w="1492" w:type="dxa"/>
            <w:tcBorders>
              <w:top w:val="nil"/>
              <w:left w:val="single" w:sz="4" w:space="0" w:color="auto"/>
              <w:bottom w:val="nil"/>
              <w:right w:val="single" w:sz="4" w:space="0" w:color="auto"/>
            </w:tcBorders>
            <w:shd w:val="clear" w:color="auto" w:fill="auto"/>
          </w:tcPr>
          <w:p w14:paraId="3F24654B" w14:textId="77777777" w:rsidR="00DF61BC" w:rsidRPr="00C94C33" w:rsidRDefault="00DF61BC" w:rsidP="00A02F57">
            <w:pPr>
              <w:pStyle w:val="Tabletext"/>
            </w:pPr>
            <w:r w:rsidRPr="00C94C33">
              <w:t>GMR to Normal</w:t>
            </w:r>
          </w:p>
        </w:tc>
        <w:tc>
          <w:tcPr>
            <w:tcW w:w="997" w:type="dxa"/>
            <w:tcBorders>
              <w:top w:val="nil"/>
              <w:left w:val="single" w:sz="4" w:space="0" w:color="auto"/>
              <w:bottom w:val="nil"/>
              <w:right w:val="single" w:sz="4" w:space="0" w:color="auto"/>
            </w:tcBorders>
            <w:shd w:val="clear" w:color="auto" w:fill="auto"/>
          </w:tcPr>
          <w:p w14:paraId="724ED053" w14:textId="77777777" w:rsidR="00DF61BC" w:rsidRPr="00C94C33" w:rsidRDefault="00DF61BC" w:rsidP="00A02F57">
            <w:pPr>
              <w:pStyle w:val="Tabletext"/>
            </w:pPr>
            <w:r w:rsidRPr="00C94C33">
              <w:t>-</w:t>
            </w:r>
          </w:p>
        </w:tc>
        <w:tc>
          <w:tcPr>
            <w:tcW w:w="2296" w:type="dxa"/>
            <w:tcBorders>
              <w:top w:val="nil"/>
              <w:left w:val="single" w:sz="4" w:space="0" w:color="auto"/>
              <w:bottom w:val="nil"/>
              <w:right w:val="single" w:sz="4" w:space="0" w:color="auto"/>
            </w:tcBorders>
            <w:shd w:val="clear" w:color="auto" w:fill="auto"/>
          </w:tcPr>
          <w:p w14:paraId="549AF770" w14:textId="77777777" w:rsidR="00DF61BC" w:rsidRPr="00C94C33" w:rsidRDefault="00DF61BC" w:rsidP="00A02F57">
            <w:pPr>
              <w:pStyle w:val="Tabletext"/>
            </w:pPr>
            <w:r w:rsidRPr="00C94C33">
              <w:t>1.69 (90% CI: 0.86, 3.32)</w:t>
            </w:r>
          </w:p>
        </w:tc>
        <w:tc>
          <w:tcPr>
            <w:tcW w:w="2017" w:type="dxa"/>
            <w:tcBorders>
              <w:top w:val="nil"/>
              <w:left w:val="single" w:sz="4" w:space="0" w:color="auto"/>
              <w:bottom w:val="nil"/>
              <w:right w:val="single" w:sz="4" w:space="0" w:color="auto"/>
            </w:tcBorders>
            <w:shd w:val="clear" w:color="auto" w:fill="auto"/>
          </w:tcPr>
          <w:p w14:paraId="5813641E" w14:textId="77777777" w:rsidR="00DF61BC" w:rsidRPr="00C94C33" w:rsidRDefault="00DF61BC" w:rsidP="00A02F57">
            <w:pPr>
              <w:pStyle w:val="Tabletext"/>
            </w:pPr>
            <w:r w:rsidRPr="00C94C33">
              <w:t>0.95 (90% CI: 0.44, 2.02)</w:t>
            </w:r>
          </w:p>
        </w:tc>
      </w:tr>
      <w:tr w:rsidR="00DF61BC" w:rsidRPr="00C94C33" w14:paraId="43E7CB15" w14:textId="77777777" w:rsidTr="00DE5BBC">
        <w:tc>
          <w:tcPr>
            <w:tcW w:w="1448" w:type="dxa"/>
            <w:tcBorders>
              <w:top w:val="nil"/>
              <w:left w:val="single" w:sz="4" w:space="0" w:color="auto"/>
              <w:bottom w:val="double" w:sz="4" w:space="0" w:color="auto"/>
              <w:right w:val="single" w:sz="4" w:space="0" w:color="auto"/>
            </w:tcBorders>
            <w:shd w:val="clear" w:color="auto" w:fill="auto"/>
          </w:tcPr>
          <w:p w14:paraId="1C030D40" w14:textId="77777777" w:rsidR="00DF61BC" w:rsidRPr="00C94C33" w:rsidRDefault="00DF61BC" w:rsidP="00A02F57">
            <w:pPr>
              <w:pStyle w:val="Tabletext"/>
            </w:pPr>
          </w:p>
        </w:tc>
        <w:tc>
          <w:tcPr>
            <w:tcW w:w="1492" w:type="dxa"/>
            <w:tcBorders>
              <w:top w:val="nil"/>
              <w:left w:val="single" w:sz="4" w:space="0" w:color="auto"/>
              <w:bottom w:val="double" w:sz="4" w:space="0" w:color="auto"/>
              <w:right w:val="single" w:sz="4" w:space="0" w:color="auto"/>
            </w:tcBorders>
            <w:shd w:val="clear" w:color="auto" w:fill="auto"/>
          </w:tcPr>
          <w:p w14:paraId="3C201928" w14:textId="77777777" w:rsidR="00DF61BC" w:rsidRPr="00C94C33" w:rsidRDefault="00DF61BC" w:rsidP="00A02F57">
            <w:pPr>
              <w:pStyle w:val="Tabletext"/>
            </w:pPr>
            <w:r w:rsidRPr="00C94C33">
              <w:t>p value for GMR</w:t>
            </w:r>
          </w:p>
        </w:tc>
        <w:tc>
          <w:tcPr>
            <w:tcW w:w="997" w:type="dxa"/>
            <w:tcBorders>
              <w:top w:val="nil"/>
              <w:left w:val="single" w:sz="4" w:space="0" w:color="auto"/>
              <w:bottom w:val="double" w:sz="4" w:space="0" w:color="auto"/>
              <w:right w:val="single" w:sz="4" w:space="0" w:color="auto"/>
            </w:tcBorders>
            <w:shd w:val="clear" w:color="auto" w:fill="auto"/>
          </w:tcPr>
          <w:p w14:paraId="3671E342" w14:textId="77777777" w:rsidR="00DF61BC" w:rsidRPr="00C94C33" w:rsidRDefault="00DF61BC" w:rsidP="00A02F57">
            <w:pPr>
              <w:pStyle w:val="Tabletext"/>
            </w:pPr>
            <w:r w:rsidRPr="00C94C33">
              <w:t>-</w:t>
            </w:r>
          </w:p>
        </w:tc>
        <w:tc>
          <w:tcPr>
            <w:tcW w:w="2296" w:type="dxa"/>
            <w:tcBorders>
              <w:top w:val="nil"/>
              <w:left w:val="single" w:sz="4" w:space="0" w:color="auto"/>
              <w:bottom w:val="double" w:sz="4" w:space="0" w:color="auto"/>
              <w:right w:val="single" w:sz="4" w:space="0" w:color="auto"/>
            </w:tcBorders>
            <w:shd w:val="clear" w:color="auto" w:fill="auto"/>
          </w:tcPr>
          <w:p w14:paraId="4A2818A4" w14:textId="77777777" w:rsidR="00DF61BC" w:rsidRPr="00C94C33" w:rsidRDefault="00DF61BC" w:rsidP="00A02F57">
            <w:pPr>
              <w:pStyle w:val="Tabletext"/>
            </w:pPr>
            <w:r w:rsidRPr="00C94C33">
              <w:t>p = 0.1946</w:t>
            </w:r>
          </w:p>
        </w:tc>
        <w:tc>
          <w:tcPr>
            <w:tcW w:w="2017" w:type="dxa"/>
            <w:tcBorders>
              <w:top w:val="nil"/>
              <w:left w:val="single" w:sz="4" w:space="0" w:color="auto"/>
              <w:bottom w:val="double" w:sz="4" w:space="0" w:color="auto"/>
              <w:right w:val="single" w:sz="4" w:space="0" w:color="auto"/>
            </w:tcBorders>
            <w:shd w:val="clear" w:color="auto" w:fill="auto"/>
          </w:tcPr>
          <w:p w14:paraId="7F463838" w14:textId="77777777" w:rsidR="00DF61BC" w:rsidRPr="00C94C33" w:rsidRDefault="00DF61BC" w:rsidP="00A02F57">
            <w:pPr>
              <w:pStyle w:val="Tabletext"/>
            </w:pPr>
            <w:r w:rsidRPr="00C94C33">
              <w:t>p = 0.8975</w:t>
            </w:r>
          </w:p>
        </w:tc>
      </w:tr>
      <w:tr w:rsidR="00DF61BC" w:rsidRPr="00C94C33" w14:paraId="298212CA" w14:textId="77777777" w:rsidTr="00DE5BBC">
        <w:tc>
          <w:tcPr>
            <w:tcW w:w="1448" w:type="dxa"/>
            <w:tcBorders>
              <w:top w:val="double" w:sz="4" w:space="0" w:color="auto"/>
              <w:left w:val="single" w:sz="4" w:space="0" w:color="auto"/>
              <w:right w:val="single" w:sz="4" w:space="0" w:color="auto"/>
            </w:tcBorders>
            <w:shd w:val="clear" w:color="auto" w:fill="auto"/>
          </w:tcPr>
          <w:p w14:paraId="2E66BF85" w14:textId="77777777" w:rsidR="00DF61BC" w:rsidRPr="00C94C33" w:rsidRDefault="00DF61BC" w:rsidP="00A02F57">
            <w:pPr>
              <w:pStyle w:val="Tabletext"/>
            </w:pPr>
            <w:r w:rsidRPr="00C94C33">
              <w:t xml:space="preserve">Cycle 1, Day 12 </w:t>
            </w:r>
          </w:p>
        </w:tc>
        <w:tc>
          <w:tcPr>
            <w:tcW w:w="1492" w:type="dxa"/>
            <w:tcBorders>
              <w:top w:val="double" w:sz="4" w:space="0" w:color="auto"/>
              <w:left w:val="single" w:sz="4" w:space="0" w:color="auto"/>
              <w:right w:val="single" w:sz="4" w:space="0" w:color="auto"/>
            </w:tcBorders>
            <w:shd w:val="clear" w:color="auto" w:fill="auto"/>
          </w:tcPr>
          <w:p w14:paraId="36CE1175" w14:textId="77777777" w:rsidR="00DF61BC" w:rsidRPr="00C94C33" w:rsidRDefault="00DF61BC" w:rsidP="00A02F57">
            <w:pPr>
              <w:pStyle w:val="Tabletext"/>
            </w:pPr>
          </w:p>
        </w:tc>
        <w:tc>
          <w:tcPr>
            <w:tcW w:w="997" w:type="dxa"/>
            <w:tcBorders>
              <w:top w:val="double" w:sz="4" w:space="0" w:color="auto"/>
              <w:left w:val="single" w:sz="4" w:space="0" w:color="auto"/>
              <w:right w:val="single" w:sz="4" w:space="0" w:color="auto"/>
            </w:tcBorders>
            <w:shd w:val="clear" w:color="auto" w:fill="auto"/>
          </w:tcPr>
          <w:p w14:paraId="1A807B91" w14:textId="77777777" w:rsidR="00DF61BC" w:rsidRPr="00C94C33" w:rsidRDefault="00DF61BC" w:rsidP="00A02F57">
            <w:pPr>
              <w:pStyle w:val="Tabletext"/>
            </w:pPr>
            <w:r w:rsidRPr="00C94C33">
              <w:t>n = 7-8 **</w:t>
            </w:r>
          </w:p>
        </w:tc>
        <w:tc>
          <w:tcPr>
            <w:tcW w:w="2296" w:type="dxa"/>
            <w:tcBorders>
              <w:top w:val="double" w:sz="4" w:space="0" w:color="auto"/>
              <w:left w:val="single" w:sz="4" w:space="0" w:color="auto"/>
              <w:right w:val="single" w:sz="4" w:space="0" w:color="auto"/>
            </w:tcBorders>
            <w:shd w:val="clear" w:color="auto" w:fill="auto"/>
          </w:tcPr>
          <w:p w14:paraId="4E1116C8" w14:textId="3D4FE6CB" w:rsidR="00DF61BC" w:rsidRPr="00C94C33" w:rsidRDefault="009C0389" w:rsidP="00A02F57">
            <w:pPr>
              <w:pStyle w:val="Tabletext"/>
            </w:pPr>
            <w:r w:rsidRPr="00C94C33">
              <w:t xml:space="preserve">n = </w:t>
            </w:r>
            <w:r w:rsidR="00DF61BC" w:rsidRPr="00C94C33">
              <w:t xml:space="preserve"> 7-8 **</w:t>
            </w:r>
          </w:p>
        </w:tc>
        <w:tc>
          <w:tcPr>
            <w:tcW w:w="2017" w:type="dxa"/>
            <w:tcBorders>
              <w:top w:val="double" w:sz="4" w:space="0" w:color="auto"/>
              <w:left w:val="single" w:sz="4" w:space="0" w:color="auto"/>
              <w:right w:val="single" w:sz="4" w:space="0" w:color="auto"/>
            </w:tcBorders>
            <w:shd w:val="clear" w:color="auto" w:fill="auto"/>
          </w:tcPr>
          <w:p w14:paraId="00A3DDD6" w14:textId="3D55C80C" w:rsidR="00DF61BC" w:rsidRPr="00C94C33" w:rsidRDefault="009C0389" w:rsidP="00A02F57">
            <w:pPr>
              <w:pStyle w:val="Tabletext"/>
            </w:pPr>
            <w:r w:rsidRPr="00C94C33">
              <w:t xml:space="preserve">n = </w:t>
            </w:r>
            <w:r w:rsidR="00DF61BC" w:rsidRPr="00C94C33">
              <w:t xml:space="preserve">3 </w:t>
            </w:r>
          </w:p>
        </w:tc>
      </w:tr>
      <w:tr w:rsidR="00DF61BC" w:rsidRPr="00C94C33" w14:paraId="657B6A44" w14:textId="77777777" w:rsidTr="00DE5BBC">
        <w:tc>
          <w:tcPr>
            <w:tcW w:w="1448" w:type="dxa"/>
            <w:tcBorders>
              <w:left w:val="single" w:sz="4" w:space="0" w:color="auto"/>
              <w:bottom w:val="nil"/>
              <w:right w:val="single" w:sz="4" w:space="0" w:color="auto"/>
            </w:tcBorders>
            <w:shd w:val="clear" w:color="auto" w:fill="auto"/>
          </w:tcPr>
          <w:p w14:paraId="7E17A420" w14:textId="77777777" w:rsidR="00DF61BC" w:rsidRPr="00C94C33" w:rsidRDefault="00DF61BC" w:rsidP="00A02F57">
            <w:pPr>
              <w:pStyle w:val="Tabletext"/>
            </w:pPr>
            <w:r w:rsidRPr="00C94C33">
              <w:t xml:space="preserve">Cmax </w:t>
            </w:r>
          </w:p>
        </w:tc>
        <w:tc>
          <w:tcPr>
            <w:tcW w:w="1492" w:type="dxa"/>
            <w:tcBorders>
              <w:left w:val="single" w:sz="4" w:space="0" w:color="auto"/>
              <w:bottom w:val="nil"/>
              <w:right w:val="single" w:sz="4" w:space="0" w:color="auto"/>
            </w:tcBorders>
            <w:shd w:val="clear" w:color="auto" w:fill="auto"/>
          </w:tcPr>
          <w:p w14:paraId="6C0055AC" w14:textId="77777777" w:rsidR="00DF61BC" w:rsidRPr="00C94C33" w:rsidRDefault="00DF61BC" w:rsidP="00A02F57">
            <w:pPr>
              <w:pStyle w:val="Tabletext"/>
            </w:pPr>
            <w:r w:rsidRPr="00C94C33">
              <w:t>GM</w:t>
            </w:r>
          </w:p>
        </w:tc>
        <w:tc>
          <w:tcPr>
            <w:tcW w:w="997" w:type="dxa"/>
            <w:tcBorders>
              <w:left w:val="single" w:sz="4" w:space="0" w:color="auto"/>
              <w:bottom w:val="nil"/>
              <w:right w:val="single" w:sz="4" w:space="0" w:color="auto"/>
            </w:tcBorders>
            <w:shd w:val="clear" w:color="auto" w:fill="auto"/>
          </w:tcPr>
          <w:p w14:paraId="63E39B3F" w14:textId="77777777" w:rsidR="00DF61BC" w:rsidRPr="00C94C33" w:rsidRDefault="00DF61BC" w:rsidP="00A02F57">
            <w:pPr>
              <w:pStyle w:val="Tabletext"/>
            </w:pPr>
            <w:r w:rsidRPr="00C94C33">
              <w:t>57.38</w:t>
            </w:r>
          </w:p>
        </w:tc>
        <w:tc>
          <w:tcPr>
            <w:tcW w:w="2296" w:type="dxa"/>
            <w:tcBorders>
              <w:left w:val="single" w:sz="4" w:space="0" w:color="auto"/>
              <w:bottom w:val="nil"/>
              <w:right w:val="single" w:sz="4" w:space="0" w:color="auto"/>
            </w:tcBorders>
            <w:shd w:val="clear" w:color="auto" w:fill="auto"/>
          </w:tcPr>
          <w:p w14:paraId="2DC7B227" w14:textId="77777777" w:rsidR="00DF61BC" w:rsidRPr="00C94C33" w:rsidRDefault="00DF61BC" w:rsidP="00A02F57">
            <w:pPr>
              <w:pStyle w:val="Tabletext"/>
            </w:pPr>
            <w:r w:rsidRPr="00C94C33">
              <w:t>56.68</w:t>
            </w:r>
          </w:p>
        </w:tc>
        <w:tc>
          <w:tcPr>
            <w:tcW w:w="2017" w:type="dxa"/>
            <w:tcBorders>
              <w:left w:val="single" w:sz="4" w:space="0" w:color="auto"/>
              <w:bottom w:val="nil"/>
              <w:right w:val="single" w:sz="4" w:space="0" w:color="auto"/>
            </w:tcBorders>
            <w:shd w:val="clear" w:color="auto" w:fill="auto"/>
          </w:tcPr>
          <w:p w14:paraId="610A5C15" w14:textId="77777777" w:rsidR="00DF61BC" w:rsidRPr="00C94C33" w:rsidRDefault="00DF61BC" w:rsidP="00A02F57">
            <w:pPr>
              <w:pStyle w:val="Tabletext"/>
            </w:pPr>
            <w:r w:rsidRPr="00C94C33">
              <w:t>82.97</w:t>
            </w:r>
          </w:p>
        </w:tc>
      </w:tr>
      <w:tr w:rsidR="00DF61BC" w:rsidRPr="00C94C33" w14:paraId="203E047F" w14:textId="77777777" w:rsidTr="00DE5BBC">
        <w:tc>
          <w:tcPr>
            <w:tcW w:w="1448" w:type="dxa"/>
            <w:tcBorders>
              <w:top w:val="nil"/>
              <w:left w:val="single" w:sz="4" w:space="0" w:color="auto"/>
              <w:bottom w:val="nil"/>
              <w:right w:val="single" w:sz="4" w:space="0" w:color="auto"/>
            </w:tcBorders>
            <w:shd w:val="clear" w:color="auto" w:fill="auto"/>
          </w:tcPr>
          <w:p w14:paraId="4AA8AE56" w14:textId="77777777" w:rsidR="00DF61BC" w:rsidRPr="00C94C33" w:rsidRDefault="00DF61BC" w:rsidP="00A02F57">
            <w:pPr>
              <w:pStyle w:val="Tabletext"/>
            </w:pPr>
            <w:r w:rsidRPr="00C94C33">
              <w:t>(ng/mL)</w:t>
            </w:r>
          </w:p>
        </w:tc>
        <w:tc>
          <w:tcPr>
            <w:tcW w:w="1492" w:type="dxa"/>
            <w:tcBorders>
              <w:top w:val="nil"/>
              <w:left w:val="single" w:sz="4" w:space="0" w:color="auto"/>
              <w:bottom w:val="nil"/>
              <w:right w:val="single" w:sz="4" w:space="0" w:color="auto"/>
            </w:tcBorders>
            <w:shd w:val="clear" w:color="auto" w:fill="auto"/>
          </w:tcPr>
          <w:p w14:paraId="4434E7D8" w14:textId="77777777" w:rsidR="00DF61BC" w:rsidRPr="00C94C33" w:rsidRDefault="00DF61BC" w:rsidP="00A02F57">
            <w:pPr>
              <w:pStyle w:val="Tabletext"/>
            </w:pPr>
            <w:r w:rsidRPr="00C94C33">
              <w:t xml:space="preserve">GMR to Normal </w:t>
            </w:r>
          </w:p>
        </w:tc>
        <w:tc>
          <w:tcPr>
            <w:tcW w:w="997" w:type="dxa"/>
            <w:tcBorders>
              <w:top w:val="nil"/>
              <w:left w:val="single" w:sz="4" w:space="0" w:color="auto"/>
              <w:bottom w:val="nil"/>
              <w:right w:val="single" w:sz="4" w:space="0" w:color="auto"/>
            </w:tcBorders>
            <w:shd w:val="clear" w:color="auto" w:fill="auto"/>
          </w:tcPr>
          <w:p w14:paraId="3CAF11B3" w14:textId="77777777" w:rsidR="00DF61BC" w:rsidRPr="00C94C33" w:rsidRDefault="00DF61BC" w:rsidP="00A02F57">
            <w:pPr>
              <w:pStyle w:val="Tabletext"/>
            </w:pPr>
            <w:r w:rsidRPr="00C94C33">
              <w:t>-</w:t>
            </w:r>
          </w:p>
        </w:tc>
        <w:tc>
          <w:tcPr>
            <w:tcW w:w="2296" w:type="dxa"/>
            <w:tcBorders>
              <w:top w:val="nil"/>
              <w:left w:val="single" w:sz="4" w:space="0" w:color="auto"/>
              <w:bottom w:val="nil"/>
              <w:right w:val="single" w:sz="4" w:space="0" w:color="auto"/>
            </w:tcBorders>
            <w:shd w:val="clear" w:color="auto" w:fill="auto"/>
          </w:tcPr>
          <w:p w14:paraId="2346DDC4" w14:textId="77777777" w:rsidR="00DF61BC" w:rsidRPr="00C94C33" w:rsidRDefault="00DF61BC" w:rsidP="00A02F57">
            <w:pPr>
              <w:pStyle w:val="Tabletext"/>
            </w:pPr>
            <w:r w:rsidRPr="00C94C33">
              <w:t>0.99 (90% CI: 0.59, 1.65)</w:t>
            </w:r>
          </w:p>
        </w:tc>
        <w:tc>
          <w:tcPr>
            <w:tcW w:w="2017" w:type="dxa"/>
            <w:tcBorders>
              <w:top w:val="nil"/>
              <w:left w:val="single" w:sz="4" w:space="0" w:color="auto"/>
              <w:bottom w:val="nil"/>
              <w:right w:val="single" w:sz="4" w:space="0" w:color="auto"/>
            </w:tcBorders>
            <w:shd w:val="clear" w:color="auto" w:fill="auto"/>
          </w:tcPr>
          <w:p w14:paraId="70B66498" w14:textId="77777777" w:rsidR="00DF61BC" w:rsidRPr="00C94C33" w:rsidRDefault="00DF61BC" w:rsidP="00A02F57">
            <w:pPr>
              <w:pStyle w:val="Tabletext"/>
            </w:pPr>
            <w:r w:rsidRPr="00C94C33">
              <w:t>1.45 (90% CI: 0.72, 2.90)</w:t>
            </w:r>
          </w:p>
        </w:tc>
      </w:tr>
      <w:tr w:rsidR="00DF61BC" w:rsidRPr="00C94C33" w14:paraId="40E0096F" w14:textId="77777777" w:rsidTr="00DE5BBC">
        <w:tc>
          <w:tcPr>
            <w:tcW w:w="1448" w:type="dxa"/>
            <w:tcBorders>
              <w:top w:val="nil"/>
              <w:left w:val="single" w:sz="4" w:space="0" w:color="auto"/>
              <w:right w:val="single" w:sz="4" w:space="0" w:color="auto"/>
            </w:tcBorders>
            <w:shd w:val="clear" w:color="auto" w:fill="auto"/>
          </w:tcPr>
          <w:p w14:paraId="063F378F" w14:textId="77777777" w:rsidR="00DF61BC" w:rsidRPr="00C94C33" w:rsidRDefault="00DF61BC" w:rsidP="00A02F57">
            <w:pPr>
              <w:pStyle w:val="Tabletext"/>
            </w:pPr>
          </w:p>
        </w:tc>
        <w:tc>
          <w:tcPr>
            <w:tcW w:w="1492" w:type="dxa"/>
            <w:tcBorders>
              <w:top w:val="nil"/>
              <w:left w:val="single" w:sz="4" w:space="0" w:color="auto"/>
              <w:right w:val="single" w:sz="4" w:space="0" w:color="auto"/>
            </w:tcBorders>
            <w:shd w:val="clear" w:color="auto" w:fill="auto"/>
          </w:tcPr>
          <w:p w14:paraId="42431E00" w14:textId="77777777" w:rsidR="00DF61BC" w:rsidRPr="00C94C33" w:rsidRDefault="00DF61BC" w:rsidP="00A02F57">
            <w:pPr>
              <w:pStyle w:val="Tabletext"/>
            </w:pPr>
            <w:r w:rsidRPr="00C94C33">
              <w:t>p value for GMR</w:t>
            </w:r>
          </w:p>
        </w:tc>
        <w:tc>
          <w:tcPr>
            <w:tcW w:w="997" w:type="dxa"/>
            <w:tcBorders>
              <w:top w:val="nil"/>
              <w:left w:val="single" w:sz="4" w:space="0" w:color="auto"/>
              <w:right w:val="single" w:sz="4" w:space="0" w:color="auto"/>
            </w:tcBorders>
            <w:shd w:val="clear" w:color="auto" w:fill="auto"/>
          </w:tcPr>
          <w:p w14:paraId="23E2B08E" w14:textId="77777777" w:rsidR="00DF61BC" w:rsidRPr="00C94C33" w:rsidRDefault="00DF61BC" w:rsidP="00A02F57">
            <w:pPr>
              <w:pStyle w:val="Tabletext"/>
            </w:pPr>
            <w:r w:rsidRPr="00C94C33">
              <w:t>-</w:t>
            </w:r>
          </w:p>
        </w:tc>
        <w:tc>
          <w:tcPr>
            <w:tcW w:w="2296" w:type="dxa"/>
            <w:tcBorders>
              <w:top w:val="nil"/>
              <w:left w:val="single" w:sz="4" w:space="0" w:color="auto"/>
              <w:right w:val="single" w:sz="4" w:space="0" w:color="auto"/>
            </w:tcBorders>
            <w:shd w:val="clear" w:color="auto" w:fill="auto"/>
          </w:tcPr>
          <w:p w14:paraId="4A9C0729" w14:textId="77777777" w:rsidR="00DF61BC" w:rsidRPr="00C94C33" w:rsidRDefault="00DF61BC" w:rsidP="00A02F57">
            <w:pPr>
              <w:pStyle w:val="Tabletext"/>
            </w:pPr>
            <w:r w:rsidRPr="00C94C33">
              <w:t>p = 0.9673</w:t>
            </w:r>
          </w:p>
        </w:tc>
        <w:tc>
          <w:tcPr>
            <w:tcW w:w="2017" w:type="dxa"/>
            <w:tcBorders>
              <w:top w:val="nil"/>
              <w:left w:val="single" w:sz="4" w:space="0" w:color="auto"/>
              <w:right w:val="single" w:sz="4" w:space="0" w:color="auto"/>
            </w:tcBorders>
            <w:shd w:val="clear" w:color="auto" w:fill="auto"/>
          </w:tcPr>
          <w:p w14:paraId="5ECB85FC" w14:textId="77777777" w:rsidR="00DF61BC" w:rsidRPr="00C94C33" w:rsidRDefault="00DF61BC" w:rsidP="00A02F57">
            <w:pPr>
              <w:pStyle w:val="Tabletext"/>
            </w:pPr>
            <w:r w:rsidRPr="00C94C33">
              <w:t xml:space="preserve">p = 0.3678 </w:t>
            </w:r>
          </w:p>
        </w:tc>
      </w:tr>
      <w:tr w:rsidR="00DF61BC" w:rsidRPr="00C94C33" w14:paraId="47AC5814" w14:textId="77777777" w:rsidTr="00DE5BBC">
        <w:tc>
          <w:tcPr>
            <w:tcW w:w="1448" w:type="dxa"/>
            <w:tcBorders>
              <w:left w:val="single" w:sz="4" w:space="0" w:color="auto"/>
              <w:bottom w:val="nil"/>
              <w:right w:val="single" w:sz="4" w:space="0" w:color="auto"/>
            </w:tcBorders>
            <w:shd w:val="clear" w:color="auto" w:fill="auto"/>
          </w:tcPr>
          <w:p w14:paraId="6DD6CEF3" w14:textId="77777777" w:rsidR="00DF61BC" w:rsidRPr="00C94C33" w:rsidRDefault="00DF61BC" w:rsidP="00A02F57">
            <w:pPr>
              <w:pStyle w:val="Tabletext"/>
            </w:pPr>
            <w:r w:rsidRPr="00C94C33">
              <w:t>AUCtau</w:t>
            </w:r>
          </w:p>
        </w:tc>
        <w:tc>
          <w:tcPr>
            <w:tcW w:w="1492" w:type="dxa"/>
            <w:tcBorders>
              <w:left w:val="single" w:sz="4" w:space="0" w:color="auto"/>
              <w:bottom w:val="nil"/>
              <w:right w:val="single" w:sz="4" w:space="0" w:color="auto"/>
            </w:tcBorders>
            <w:shd w:val="clear" w:color="auto" w:fill="auto"/>
          </w:tcPr>
          <w:p w14:paraId="64CE2222" w14:textId="77777777" w:rsidR="00DF61BC" w:rsidRPr="00C94C33" w:rsidRDefault="00DF61BC" w:rsidP="00A02F57">
            <w:pPr>
              <w:pStyle w:val="Tabletext"/>
            </w:pPr>
            <w:r w:rsidRPr="00C94C33">
              <w:t xml:space="preserve">GM </w:t>
            </w:r>
          </w:p>
        </w:tc>
        <w:tc>
          <w:tcPr>
            <w:tcW w:w="997" w:type="dxa"/>
            <w:tcBorders>
              <w:left w:val="single" w:sz="4" w:space="0" w:color="auto"/>
              <w:bottom w:val="nil"/>
              <w:right w:val="single" w:sz="4" w:space="0" w:color="auto"/>
            </w:tcBorders>
            <w:shd w:val="clear" w:color="auto" w:fill="auto"/>
          </w:tcPr>
          <w:p w14:paraId="530054E2" w14:textId="77777777" w:rsidR="00DF61BC" w:rsidRPr="00C94C33" w:rsidRDefault="00DF61BC" w:rsidP="00A02F57">
            <w:pPr>
              <w:pStyle w:val="Tabletext"/>
            </w:pPr>
            <w:r w:rsidRPr="00C94C33">
              <w:t>287.23</w:t>
            </w:r>
          </w:p>
        </w:tc>
        <w:tc>
          <w:tcPr>
            <w:tcW w:w="2296" w:type="dxa"/>
            <w:tcBorders>
              <w:left w:val="single" w:sz="4" w:space="0" w:color="auto"/>
              <w:bottom w:val="nil"/>
              <w:right w:val="single" w:sz="4" w:space="0" w:color="auto"/>
            </w:tcBorders>
            <w:shd w:val="clear" w:color="auto" w:fill="auto"/>
          </w:tcPr>
          <w:p w14:paraId="4EC53678" w14:textId="77777777" w:rsidR="00DF61BC" w:rsidRPr="00C94C33" w:rsidRDefault="00DF61BC" w:rsidP="00A02F57">
            <w:pPr>
              <w:pStyle w:val="Tabletext"/>
            </w:pPr>
            <w:r w:rsidRPr="00C94C33">
              <w:t>287.35</w:t>
            </w:r>
          </w:p>
        </w:tc>
        <w:tc>
          <w:tcPr>
            <w:tcW w:w="2017" w:type="dxa"/>
            <w:tcBorders>
              <w:left w:val="single" w:sz="4" w:space="0" w:color="auto"/>
              <w:bottom w:val="nil"/>
              <w:right w:val="single" w:sz="4" w:space="0" w:color="auto"/>
            </w:tcBorders>
            <w:shd w:val="clear" w:color="auto" w:fill="auto"/>
          </w:tcPr>
          <w:p w14:paraId="7EC787A9" w14:textId="77777777" w:rsidR="00DF61BC" w:rsidRPr="00C94C33" w:rsidRDefault="00DF61BC" w:rsidP="00A02F57">
            <w:pPr>
              <w:pStyle w:val="Tabletext"/>
            </w:pPr>
            <w:r w:rsidRPr="00C94C33">
              <w:t>420.36</w:t>
            </w:r>
          </w:p>
        </w:tc>
      </w:tr>
      <w:tr w:rsidR="00DF61BC" w:rsidRPr="00C94C33" w14:paraId="643D9182" w14:textId="77777777" w:rsidTr="00DE5BBC">
        <w:tc>
          <w:tcPr>
            <w:tcW w:w="1448" w:type="dxa"/>
            <w:tcBorders>
              <w:top w:val="nil"/>
              <w:left w:val="single" w:sz="4" w:space="0" w:color="auto"/>
              <w:bottom w:val="nil"/>
              <w:right w:val="single" w:sz="4" w:space="0" w:color="auto"/>
            </w:tcBorders>
            <w:shd w:val="clear" w:color="auto" w:fill="auto"/>
          </w:tcPr>
          <w:p w14:paraId="39BBD082" w14:textId="77777777" w:rsidR="00DF61BC" w:rsidRPr="00C94C33" w:rsidRDefault="00DF61BC" w:rsidP="00A02F57">
            <w:pPr>
              <w:pStyle w:val="Tabletext"/>
            </w:pPr>
            <w:r w:rsidRPr="00C94C33">
              <w:t>(ng.hr/mL)</w:t>
            </w:r>
          </w:p>
        </w:tc>
        <w:tc>
          <w:tcPr>
            <w:tcW w:w="1492" w:type="dxa"/>
            <w:tcBorders>
              <w:top w:val="nil"/>
              <w:left w:val="single" w:sz="4" w:space="0" w:color="auto"/>
              <w:bottom w:val="nil"/>
              <w:right w:val="single" w:sz="4" w:space="0" w:color="auto"/>
            </w:tcBorders>
            <w:shd w:val="clear" w:color="auto" w:fill="auto"/>
          </w:tcPr>
          <w:p w14:paraId="753ACB83" w14:textId="77777777" w:rsidR="00DF61BC" w:rsidRPr="00C94C33" w:rsidRDefault="00DF61BC" w:rsidP="00A02F57">
            <w:pPr>
              <w:pStyle w:val="Tabletext"/>
            </w:pPr>
            <w:r w:rsidRPr="00C94C33">
              <w:t xml:space="preserve">GMR to Normal </w:t>
            </w:r>
          </w:p>
        </w:tc>
        <w:tc>
          <w:tcPr>
            <w:tcW w:w="997" w:type="dxa"/>
            <w:tcBorders>
              <w:top w:val="nil"/>
              <w:left w:val="single" w:sz="4" w:space="0" w:color="auto"/>
              <w:bottom w:val="nil"/>
              <w:right w:val="single" w:sz="4" w:space="0" w:color="auto"/>
            </w:tcBorders>
            <w:shd w:val="clear" w:color="auto" w:fill="auto"/>
          </w:tcPr>
          <w:p w14:paraId="6B9E5AF2" w14:textId="77777777" w:rsidR="00DF61BC" w:rsidRPr="00C94C33" w:rsidRDefault="00DF61BC" w:rsidP="00A02F57">
            <w:pPr>
              <w:pStyle w:val="Tabletext"/>
            </w:pPr>
            <w:r w:rsidRPr="00C94C33">
              <w:t>-</w:t>
            </w:r>
          </w:p>
        </w:tc>
        <w:tc>
          <w:tcPr>
            <w:tcW w:w="2296" w:type="dxa"/>
            <w:tcBorders>
              <w:top w:val="nil"/>
              <w:left w:val="single" w:sz="4" w:space="0" w:color="auto"/>
              <w:bottom w:val="nil"/>
              <w:right w:val="single" w:sz="4" w:space="0" w:color="auto"/>
            </w:tcBorders>
            <w:shd w:val="clear" w:color="auto" w:fill="auto"/>
          </w:tcPr>
          <w:p w14:paraId="3513E795" w14:textId="77777777" w:rsidR="00DF61BC" w:rsidRPr="00C94C33" w:rsidRDefault="00DF61BC" w:rsidP="00A02F57">
            <w:pPr>
              <w:pStyle w:val="Tabletext"/>
            </w:pPr>
            <w:r w:rsidRPr="00C94C33">
              <w:t>1.00 (90% CI: 0.61, 1.65)</w:t>
            </w:r>
          </w:p>
        </w:tc>
        <w:tc>
          <w:tcPr>
            <w:tcW w:w="2017" w:type="dxa"/>
            <w:tcBorders>
              <w:top w:val="nil"/>
              <w:left w:val="single" w:sz="4" w:space="0" w:color="auto"/>
              <w:bottom w:val="nil"/>
              <w:right w:val="single" w:sz="4" w:space="0" w:color="auto"/>
            </w:tcBorders>
            <w:shd w:val="clear" w:color="auto" w:fill="auto"/>
          </w:tcPr>
          <w:p w14:paraId="57A807BC" w14:textId="77777777" w:rsidR="00DF61BC" w:rsidRPr="00C94C33" w:rsidRDefault="00DF61BC" w:rsidP="00A02F57">
            <w:pPr>
              <w:pStyle w:val="Tabletext"/>
            </w:pPr>
            <w:r w:rsidRPr="00C94C33">
              <w:t>1.46 (90% CI: 0.77, 2.78)</w:t>
            </w:r>
          </w:p>
        </w:tc>
      </w:tr>
      <w:tr w:rsidR="00DF61BC" w:rsidRPr="00C94C33" w14:paraId="2E596570" w14:textId="77777777" w:rsidTr="00DE5BBC">
        <w:tc>
          <w:tcPr>
            <w:tcW w:w="1448" w:type="dxa"/>
            <w:tcBorders>
              <w:top w:val="nil"/>
              <w:left w:val="single" w:sz="4" w:space="0" w:color="auto"/>
              <w:right w:val="single" w:sz="4" w:space="0" w:color="auto"/>
            </w:tcBorders>
            <w:shd w:val="clear" w:color="auto" w:fill="auto"/>
          </w:tcPr>
          <w:p w14:paraId="29041CBE" w14:textId="77777777" w:rsidR="00DF61BC" w:rsidRPr="00C94C33" w:rsidRDefault="00DF61BC" w:rsidP="00A02F57">
            <w:pPr>
              <w:pStyle w:val="Tabletext"/>
            </w:pPr>
          </w:p>
        </w:tc>
        <w:tc>
          <w:tcPr>
            <w:tcW w:w="1492" w:type="dxa"/>
            <w:tcBorders>
              <w:top w:val="nil"/>
              <w:left w:val="single" w:sz="4" w:space="0" w:color="auto"/>
              <w:right w:val="single" w:sz="4" w:space="0" w:color="auto"/>
            </w:tcBorders>
            <w:shd w:val="clear" w:color="auto" w:fill="auto"/>
          </w:tcPr>
          <w:p w14:paraId="1DCF69CF" w14:textId="77777777" w:rsidR="00DF61BC" w:rsidRPr="00C94C33" w:rsidRDefault="00DF61BC" w:rsidP="00A02F57">
            <w:pPr>
              <w:pStyle w:val="Tabletext"/>
            </w:pPr>
            <w:r w:rsidRPr="00C94C33">
              <w:t>p value for GMR</w:t>
            </w:r>
          </w:p>
        </w:tc>
        <w:tc>
          <w:tcPr>
            <w:tcW w:w="997" w:type="dxa"/>
            <w:tcBorders>
              <w:top w:val="nil"/>
              <w:left w:val="single" w:sz="4" w:space="0" w:color="auto"/>
              <w:right w:val="single" w:sz="4" w:space="0" w:color="auto"/>
            </w:tcBorders>
            <w:shd w:val="clear" w:color="auto" w:fill="auto"/>
          </w:tcPr>
          <w:p w14:paraId="391AFA4C" w14:textId="77777777" w:rsidR="00DF61BC" w:rsidRPr="00C94C33" w:rsidRDefault="00DF61BC" w:rsidP="00A02F57">
            <w:pPr>
              <w:pStyle w:val="Tabletext"/>
            </w:pPr>
            <w:r w:rsidRPr="00C94C33">
              <w:t>-</w:t>
            </w:r>
          </w:p>
        </w:tc>
        <w:tc>
          <w:tcPr>
            <w:tcW w:w="2296" w:type="dxa"/>
            <w:tcBorders>
              <w:top w:val="nil"/>
              <w:left w:val="single" w:sz="4" w:space="0" w:color="auto"/>
              <w:right w:val="single" w:sz="4" w:space="0" w:color="auto"/>
            </w:tcBorders>
            <w:shd w:val="clear" w:color="auto" w:fill="auto"/>
          </w:tcPr>
          <w:p w14:paraId="5B01161E" w14:textId="77777777" w:rsidR="00DF61BC" w:rsidRPr="00C94C33" w:rsidRDefault="00DF61BC" w:rsidP="00A02F57">
            <w:pPr>
              <w:pStyle w:val="Tabletext"/>
            </w:pPr>
            <w:r w:rsidRPr="00C94C33">
              <w:t>p = 0.9988</w:t>
            </w:r>
          </w:p>
        </w:tc>
        <w:tc>
          <w:tcPr>
            <w:tcW w:w="2017" w:type="dxa"/>
            <w:tcBorders>
              <w:top w:val="nil"/>
              <w:left w:val="single" w:sz="4" w:space="0" w:color="auto"/>
              <w:right w:val="single" w:sz="4" w:space="0" w:color="auto"/>
            </w:tcBorders>
            <w:shd w:val="clear" w:color="auto" w:fill="auto"/>
          </w:tcPr>
          <w:p w14:paraId="53BA54F0" w14:textId="77777777" w:rsidR="00DF61BC" w:rsidRPr="00C94C33" w:rsidRDefault="00DF61BC" w:rsidP="00A02F57">
            <w:pPr>
              <w:pStyle w:val="Tabletext"/>
            </w:pPr>
            <w:r w:rsidRPr="00C94C33">
              <w:t xml:space="preserve">p = 0.3147 </w:t>
            </w:r>
          </w:p>
        </w:tc>
      </w:tr>
      <w:tr w:rsidR="00DF61BC" w:rsidRPr="00C94C33" w14:paraId="530567C1" w14:textId="77777777" w:rsidTr="00DE5BBC">
        <w:tc>
          <w:tcPr>
            <w:tcW w:w="1448" w:type="dxa"/>
            <w:tcBorders>
              <w:left w:val="single" w:sz="4" w:space="0" w:color="auto"/>
              <w:bottom w:val="nil"/>
              <w:right w:val="single" w:sz="4" w:space="0" w:color="auto"/>
            </w:tcBorders>
            <w:shd w:val="clear" w:color="auto" w:fill="auto"/>
          </w:tcPr>
          <w:p w14:paraId="369542E5" w14:textId="77777777" w:rsidR="00DF61BC" w:rsidRPr="00C94C33" w:rsidRDefault="00DF61BC" w:rsidP="00A02F57">
            <w:pPr>
              <w:pStyle w:val="Tabletext"/>
            </w:pPr>
            <w:r w:rsidRPr="00C94C33">
              <w:t xml:space="preserve">CLss/F </w:t>
            </w:r>
          </w:p>
        </w:tc>
        <w:tc>
          <w:tcPr>
            <w:tcW w:w="1492" w:type="dxa"/>
            <w:tcBorders>
              <w:left w:val="single" w:sz="4" w:space="0" w:color="auto"/>
              <w:bottom w:val="nil"/>
              <w:right w:val="single" w:sz="4" w:space="0" w:color="auto"/>
            </w:tcBorders>
            <w:shd w:val="clear" w:color="auto" w:fill="auto"/>
          </w:tcPr>
          <w:p w14:paraId="1734106E" w14:textId="77777777" w:rsidR="00DF61BC" w:rsidRPr="00C94C33" w:rsidRDefault="00DF61BC" w:rsidP="00A02F57">
            <w:pPr>
              <w:pStyle w:val="Tabletext"/>
            </w:pPr>
            <w:r w:rsidRPr="00C94C33">
              <w:t xml:space="preserve">GM </w:t>
            </w:r>
          </w:p>
        </w:tc>
        <w:tc>
          <w:tcPr>
            <w:tcW w:w="997" w:type="dxa"/>
            <w:tcBorders>
              <w:left w:val="single" w:sz="4" w:space="0" w:color="auto"/>
              <w:bottom w:val="nil"/>
              <w:right w:val="single" w:sz="4" w:space="0" w:color="auto"/>
            </w:tcBorders>
            <w:shd w:val="clear" w:color="auto" w:fill="auto"/>
          </w:tcPr>
          <w:p w14:paraId="4366F925" w14:textId="77777777" w:rsidR="00DF61BC" w:rsidRPr="00C94C33" w:rsidRDefault="00DF61BC" w:rsidP="00A02F57">
            <w:pPr>
              <w:pStyle w:val="Tabletext"/>
            </w:pPr>
            <w:r w:rsidRPr="00C94C33">
              <w:t>97.64</w:t>
            </w:r>
          </w:p>
        </w:tc>
        <w:tc>
          <w:tcPr>
            <w:tcW w:w="2296" w:type="dxa"/>
            <w:tcBorders>
              <w:left w:val="single" w:sz="4" w:space="0" w:color="auto"/>
              <w:bottom w:val="nil"/>
              <w:right w:val="single" w:sz="4" w:space="0" w:color="auto"/>
            </w:tcBorders>
            <w:shd w:val="clear" w:color="auto" w:fill="auto"/>
          </w:tcPr>
          <w:p w14:paraId="6070C839" w14:textId="77777777" w:rsidR="00DF61BC" w:rsidRPr="00C94C33" w:rsidRDefault="00DF61BC" w:rsidP="00A02F57">
            <w:pPr>
              <w:pStyle w:val="Tabletext"/>
            </w:pPr>
            <w:r w:rsidRPr="00C94C33">
              <w:t>102.60</w:t>
            </w:r>
          </w:p>
        </w:tc>
        <w:tc>
          <w:tcPr>
            <w:tcW w:w="2017" w:type="dxa"/>
            <w:tcBorders>
              <w:left w:val="single" w:sz="4" w:space="0" w:color="auto"/>
              <w:bottom w:val="nil"/>
              <w:right w:val="single" w:sz="4" w:space="0" w:color="auto"/>
            </w:tcBorders>
            <w:shd w:val="clear" w:color="auto" w:fill="auto"/>
          </w:tcPr>
          <w:p w14:paraId="61BE0CFE" w14:textId="77777777" w:rsidR="00DF61BC" w:rsidRPr="00C94C33" w:rsidRDefault="00DF61BC" w:rsidP="00A02F57">
            <w:pPr>
              <w:pStyle w:val="Tabletext"/>
            </w:pPr>
            <w:r w:rsidRPr="00C94C33">
              <w:t>74.65</w:t>
            </w:r>
          </w:p>
        </w:tc>
      </w:tr>
      <w:tr w:rsidR="00DF61BC" w:rsidRPr="00C94C33" w14:paraId="78C48D6E" w14:textId="77777777" w:rsidTr="00DE5BBC">
        <w:tc>
          <w:tcPr>
            <w:tcW w:w="1448" w:type="dxa"/>
            <w:tcBorders>
              <w:top w:val="nil"/>
              <w:left w:val="single" w:sz="4" w:space="0" w:color="auto"/>
              <w:bottom w:val="nil"/>
              <w:right w:val="single" w:sz="4" w:space="0" w:color="auto"/>
            </w:tcBorders>
            <w:shd w:val="clear" w:color="auto" w:fill="auto"/>
          </w:tcPr>
          <w:p w14:paraId="116A3E25" w14:textId="77777777" w:rsidR="00DF61BC" w:rsidRPr="00C94C33" w:rsidRDefault="00DF61BC" w:rsidP="00A02F57">
            <w:pPr>
              <w:pStyle w:val="Tabletext"/>
            </w:pPr>
            <w:r w:rsidRPr="00C94C33">
              <w:t>(L/hr)</w:t>
            </w:r>
          </w:p>
        </w:tc>
        <w:tc>
          <w:tcPr>
            <w:tcW w:w="1492" w:type="dxa"/>
            <w:tcBorders>
              <w:top w:val="nil"/>
              <w:left w:val="single" w:sz="4" w:space="0" w:color="auto"/>
              <w:bottom w:val="nil"/>
              <w:right w:val="single" w:sz="4" w:space="0" w:color="auto"/>
            </w:tcBorders>
            <w:shd w:val="clear" w:color="auto" w:fill="auto"/>
          </w:tcPr>
          <w:p w14:paraId="33DEBB8D" w14:textId="77777777" w:rsidR="00DF61BC" w:rsidRPr="00C94C33" w:rsidRDefault="00DF61BC" w:rsidP="00A02F57">
            <w:pPr>
              <w:pStyle w:val="Tabletext"/>
            </w:pPr>
            <w:r w:rsidRPr="00C94C33">
              <w:t xml:space="preserve">GMR to Normal </w:t>
            </w:r>
          </w:p>
        </w:tc>
        <w:tc>
          <w:tcPr>
            <w:tcW w:w="997" w:type="dxa"/>
            <w:tcBorders>
              <w:top w:val="nil"/>
              <w:left w:val="single" w:sz="4" w:space="0" w:color="auto"/>
              <w:bottom w:val="nil"/>
              <w:right w:val="single" w:sz="4" w:space="0" w:color="auto"/>
            </w:tcBorders>
            <w:shd w:val="clear" w:color="auto" w:fill="auto"/>
          </w:tcPr>
          <w:p w14:paraId="02CDED36" w14:textId="77777777" w:rsidR="00DF61BC" w:rsidRPr="00C94C33" w:rsidRDefault="00DF61BC" w:rsidP="00A02F57">
            <w:pPr>
              <w:pStyle w:val="Tabletext"/>
            </w:pPr>
            <w:r w:rsidRPr="00C94C33">
              <w:t>-</w:t>
            </w:r>
          </w:p>
        </w:tc>
        <w:tc>
          <w:tcPr>
            <w:tcW w:w="2296" w:type="dxa"/>
            <w:tcBorders>
              <w:top w:val="nil"/>
              <w:left w:val="single" w:sz="4" w:space="0" w:color="auto"/>
              <w:bottom w:val="nil"/>
              <w:right w:val="single" w:sz="4" w:space="0" w:color="auto"/>
            </w:tcBorders>
            <w:shd w:val="clear" w:color="auto" w:fill="auto"/>
          </w:tcPr>
          <w:p w14:paraId="3111F40E" w14:textId="77777777" w:rsidR="00DF61BC" w:rsidRPr="00C94C33" w:rsidRDefault="00DF61BC" w:rsidP="00A02F57">
            <w:pPr>
              <w:pStyle w:val="Tabletext"/>
            </w:pPr>
            <w:r w:rsidRPr="00C94C33">
              <w:t>1.05 (90% CI: 0.58, 1.90)</w:t>
            </w:r>
          </w:p>
        </w:tc>
        <w:tc>
          <w:tcPr>
            <w:tcW w:w="2017" w:type="dxa"/>
            <w:tcBorders>
              <w:top w:val="nil"/>
              <w:left w:val="single" w:sz="4" w:space="0" w:color="auto"/>
              <w:bottom w:val="nil"/>
              <w:right w:val="single" w:sz="4" w:space="0" w:color="auto"/>
            </w:tcBorders>
            <w:shd w:val="clear" w:color="auto" w:fill="auto"/>
          </w:tcPr>
          <w:p w14:paraId="18CC82D9" w14:textId="77777777" w:rsidR="00DF61BC" w:rsidRPr="00C94C33" w:rsidRDefault="00DF61BC" w:rsidP="00A02F57">
            <w:pPr>
              <w:pStyle w:val="Tabletext"/>
            </w:pPr>
            <w:r w:rsidRPr="00C94C33">
              <w:t>0.76 (90% CI: 0.35, 1.65)</w:t>
            </w:r>
          </w:p>
        </w:tc>
      </w:tr>
      <w:tr w:rsidR="00DF61BC" w:rsidRPr="00C94C33" w14:paraId="52D1EDCE" w14:textId="77777777" w:rsidTr="00DE5BBC">
        <w:tc>
          <w:tcPr>
            <w:tcW w:w="1448" w:type="dxa"/>
            <w:tcBorders>
              <w:top w:val="nil"/>
              <w:left w:val="single" w:sz="4" w:space="0" w:color="auto"/>
              <w:right w:val="single" w:sz="4" w:space="0" w:color="auto"/>
            </w:tcBorders>
            <w:shd w:val="clear" w:color="auto" w:fill="auto"/>
          </w:tcPr>
          <w:p w14:paraId="2772A38F" w14:textId="77777777" w:rsidR="00DF61BC" w:rsidRPr="00C94C33" w:rsidRDefault="00DF61BC" w:rsidP="00A02F57">
            <w:pPr>
              <w:pStyle w:val="Tabletext"/>
            </w:pPr>
          </w:p>
        </w:tc>
        <w:tc>
          <w:tcPr>
            <w:tcW w:w="1492" w:type="dxa"/>
            <w:tcBorders>
              <w:top w:val="nil"/>
              <w:left w:val="single" w:sz="4" w:space="0" w:color="auto"/>
              <w:right w:val="single" w:sz="4" w:space="0" w:color="auto"/>
            </w:tcBorders>
            <w:shd w:val="clear" w:color="auto" w:fill="auto"/>
          </w:tcPr>
          <w:p w14:paraId="73F95C52" w14:textId="77777777" w:rsidR="00DF61BC" w:rsidRPr="00C94C33" w:rsidRDefault="00DF61BC" w:rsidP="00A02F57">
            <w:pPr>
              <w:pStyle w:val="Tabletext"/>
            </w:pPr>
            <w:r w:rsidRPr="00C94C33">
              <w:t>p value for GMR</w:t>
            </w:r>
          </w:p>
        </w:tc>
        <w:tc>
          <w:tcPr>
            <w:tcW w:w="997" w:type="dxa"/>
            <w:tcBorders>
              <w:top w:val="nil"/>
              <w:left w:val="single" w:sz="4" w:space="0" w:color="auto"/>
              <w:right w:val="single" w:sz="4" w:space="0" w:color="auto"/>
            </w:tcBorders>
            <w:shd w:val="clear" w:color="auto" w:fill="auto"/>
          </w:tcPr>
          <w:p w14:paraId="4057988B" w14:textId="77777777" w:rsidR="00DF61BC" w:rsidRPr="00C94C33" w:rsidRDefault="00DF61BC" w:rsidP="00A02F57">
            <w:pPr>
              <w:pStyle w:val="Tabletext"/>
            </w:pPr>
            <w:r w:rsidRPr="00C94C33">
              <w:t>-</w:t>
            </w:r>
          </w:p>
        </w:tc>
        <w:tc>
          <w:tcPr>
            <w:tcW w:w="2296" w:type="dxa"/>
            <w:tcBorders>
              <w:top w:val="nil"/>
              <w:left w:val="single" w:sz="4" w:space="0" w:color="auto"/>
              <w:right w:val="single" w:sz="4" w:space="0" w:color="auto"/>
            </w:tcBorders>
            <w:shd w:val="clear" w:color="auto" w:fill="auto"/>
          </w:tcPr>
          <w:p w14:paraId="7B83F5EB" w14:textId="77777777" w:rsidR="00DF61BC" w:rsidRPr="00C94C33" w:rsidRDefault="00DF61BC" w:rsidP="00A02F57">
            <w:pPr>
              <w:pStyle w:val="Tabletext"/>
            </w:pPr>
            <w:r w:rsidRPr="00C94C33">
              <w:t>p = 0.8854</w:t>
            </w:r>
          </w:p>
        </w:tc>
        <w:tc>
          <w:tcPr>
            <w:tcW w:w="2017" w:type="dxa"/>
            <w:tcBorders>
              <w:top w:val="nil"/>
              <w:left w:val="single" w:sz="4" w:space="0" w:color="auto"/>
              <w:right w:val="single" w:sz="4" w:space="0" w:color="auto"/>
            </w:tcBorders>
            <w:shd w:val="clear" w:color="auto" w:fill="auto"/>
          </w:tcPr>
          <w:p w14:paraId="107E2804" w14:textId="77777777" w:rsidR="00DF61BC" w:rsidRPr="00C94C33" w:rsidRDefault="00DF61BC" w:rsidP="00A02F57">
            <w:pPr>
              <w:pStyle w:val="Tabletext"/>
            </w:pPr>
            <w:r w:rsidRPr="00C94C33">
              <w:t xml:space="preserve">p = 0.5478 </w:t>
            </w:r>
          </w:p>
        </w:tc>
      </w:tr>
    </w:tbl>
    <w:p w14:paraId="5A9CD532" w14:textId="06E14E4F" w:rsidR="00DF61BC" w:rsidRPr="00C94C33" w:rsidRDefault="00DF61BC" w:rsidP="00184C38">
      <w:pPr>
        <w:pStyle w:val="TableDescription"/>
      </w:pPr>
      <w:r w:rsidRPr="00C94C33">
        <w:t>* Cmax, AUC0-inf, CL/F: n = 7, 6, respectively, for normal hepatic function and mild hepatic impairment cohorts; and n = 5, 5, 4, respectively for moderate hepatic impairment. ** Cmax, AUCtau, CLss/F: n = 8, 7, 7, respectively, for normal hepatic function and mild hepatic impairment cohorts. Abbreviations: ANOVA = analysis of variance; AUC0-inf = area under the plasma concentration-time curve from time 0 to infinity; AUCtau = area under the plasma concentration-time curve from time 0 to the end of dosing interval for Day 12 only; CI = confidence interval; CL/F</w:t>
      </w:r>
      <w:r w:rsidR="0071718C">
        <w:t> </w:t>
      </w:r>
      <w:r w:rsidRPr="00C94C33">
        <w:t>=</w:t>
      </w:r>
      <w:r w:rsidR="0071718C">
        <w:t> </w:t>
      </w:r>
      <w:r w:rsidRPr="00C94C33">
        <w:t>oral clearance following single dose; CLss/F = oral clearance at steady state; Cmax = maximum observed plasma concentration; TPI = tipiracil; GM = geometric mean GMR = geometric mean ratio of test to reference; hr = hour; PK</w:t>
      </w:r>
      <w:r w:rsidR="0071718C">
        <w:t> </w:t>
      </w:r>
      <w:r w:rsidRPr="00C94C33">
        <w:t>= pharmacokinetic.</w:t>
      </w:r>
    </w:p>
    <w:p w14:paraId="4DABC571" w14:textId="0C85D756" w:rsidR="00DF61BC" w:rsidRPr="00C94C33" w:rsidRDefault="00D81501" w:rsidP="00955252">
      <w:pPr>
        <w:pStyle w:val="Heading6"/>
      </w:pPr>
      <w:r w:rsidRPr="00C94C33">
        <w:t xml:space="preserve">Evaluator’s </w:t>
      </w:r>
      <w:r w:rsidR="0071718C">
        <w:t>c</w:t>
      </w:r>
      <w:r w:rsidR="0071718C" w:rsidRPr="00C94C33">
        <w:t>omment</w:t>
      </w:r>
    </w:p>
    <w:p w14:paraId="51C25791" w14:textId="4F90FA1B" w:rsidR="00DF61BC" w:rsidRPr="00C94C33" w:rsidRDefault="00DF61BC" w:rsidP="00DF61BC">
      <w:pPr>
        <w:rPr>
          <w:rFonts w:asciiTheme="minorHAnsi" w:hAnsiTheme="minorHAnsi" w:cstheme="minorHAnsi"/>
        </w:rPr>
      </w:pPr>
      <w:r w:rsidRPr="00C94C33">
        <w:rPr>
          <w:rFonts w:asciiTheme="minorHAnsi" w:hAnsiTheme="minorHAnsi" w:cstheme="minorHAnsi"/>
        </w:rPr>
        <w:t>The results for TPI suggest that the observed differences in peak exposure (based on Cmax values) and systemic exposure (based on AUC values) between patients with normal hepatic function and patients with mild hepatic impairment are unlikely to be clinically meaningful following single- and multiple-dosing with TAS-102. However, both peak exposure (based Cmax values) and systemic exposure (based on AUC values) were greater in patients with moderate hepatic impairment compared to patients with normal hepatic function following both single- and multiple-dosing. In the moderate hepatic impairment cohort, the results for systemic exposure to TPI at steady state based on the AUCtau should be interpreted cautiously due to the small sample size (</w:t>
      </w:r>
      <w:r w:rsidR="009C0389" w:rsidRPr="00C94C33">
        <w:rPr>
          <w:rFonts w:asciiTheme="minorHAnsi" w:hAnsiTheme="minorHAnsi" w:cstheme="minorHAnsi"/>
        </w:rPr>
        <w:t xml:space="preserve">n = </w:t>
      </w:r>
      <w:r w:rsidRPr="00C94C33">
        <w:rPr>
          <w:rFonts w:asciiTheme="minorHAnsi" w:hAnsiTheme="minorHAnsi" w:cstheme="minorHAnsi"/>
        </w:rPr>
        <w:t>3) and the high inter-subject variability (CV%=58.1%).</w:t>
      </w:r>
    </w:p>
    <w:p w14:paraId="27A63583" w14:textId="07D7CC8E" w:rsidR="00DF61BC" w:rsidRPr="005C2FCA" w:rsidRDefault="00DF61BC" w:rsidP="00DF61BC">
      <w:pPr>
        <w:rPr>
          <w:rFonts w:asciiTheme="minorHAnsi" w:hAnsiTheme="minorHAnsi" w:cstheme="minorHAnsi"/>
        </w:rPr>
      </w:pPr>
      <w:r w:rsidRPr="005C2FCA">
        <w:rPr>
          <w:rFonts w:asciiTheme="minorHAnsi" w:hAnsiTheme="minorHAnsi" w:cstheme="minorHAnsi"/>
        </w:rPr>
        <w:t>No statistically significant differences were observed for C</w:t>
      </w:r>
      <w:r w:rsidRPr="005C2FCA">
        <w:rPr>
          <w:rFonts w:asciiTheme="minorHAnsi" w:hAnsiTheme="minorHAnsi" w:cstheme="minorHAnsi"/>
          <w:sz w:val="18"/>
          <w:szCs w:val="18"/>
        </w:rPr>
        <w:t xml:space="preserve">max </w:t>
      </w:r>
      <w:r w:rsidRPr="005C2FCA">
        <w:rPr>
          <w:rFonts w:asciiTheme="minorHAnsi" w:hAnsiTheme="minorHAnsi" w:cstheme="minorHAnsi"/>
        </w:rPr>
        <w:t>(Cycle 1, Days 1 and 12), AUCinf (Cycle 1, Day 1), AUC</w:t>
      </w:r>
      <w:r w:rsidRPr="005C2FCA">
        <w:rPr>
          <w:rFonts w:asciiTheme="minorHAnsi" w:hAnsiTheme="minorHAnsi" w:cstheme="minorHAnsi"/>
          <w:sz w:val="18"/>
          <w:szCs w:val="18"/>
        </w:rPr>
        <w:t>tau</w:t>
      </w:r>
      <w:r w:rsidRPr="005C2FCA">
        <w:rPr>
          <w:rFonts w:asciiTheme="minorHAnsi" w:hAnsiTheme="minorHAnsi" w:cstheme="minorHAnsi"/>
        </w:rPr>
        <w:t xml:space="preserve"> (Cycle 1, Day 12), CL/F (Cycle 1, Day 1) or CLss/F (Cycle 1, Day 12) between patients with normal hepatic function and patients with either mild or moderate hepatic impairment. Peak exposure based on mean geometric C</w:t>
      </w:r>
      <w:r w:rsidRPr="005C2FCA">
        <w:rPr>
          <w:rFonts w:asciiTheme="minorHAnsi" w:hAnsiTheme="minorHAnsi" w:cstheme="minorHAnsi"/>
          <w:sz w:val="18"/>
          <w:szCs w:val="18"/>
        </w:rPr>
        <w:t>max</w:t>
      </w:r>
      <w:r w:rsidRPr="005C2FCA">
        <w:rPr>
          <w:rFonts w:asciiTheme="minorHAnsi" w:hAnsiTheme="minorHAnsi" w:cstheme="minorHAnsi"/>
        </w:rPr>
        <w:t xml:space="preserve"> values was 11% lower in patients with mild hepatic impairment compared to patients with normal hepatic function in Cycle 1, Day 1, and almost identical in the two treatment groups in Cycle 1, Day 12. Peak exposure based on mean geometric C</w:t>
      </w:r>
      <w:r w:rsidRPr="005C2FCA">
        <w:rPr>
          <w:rFonts w:asciiTheme="minorHAnsi" w:hAnsiTheme="minorHAnsi" w:cstheme="minorHAnsi"/>
          <w:sz w:val="18"/>
          <w:szCs w:val="18"/>
        </w:rPr>
        <w:t>max</w:t>
      </w:r>
      <w:r w:rsidRPr="005C2FCA">
        <w:rPr>
          <w:rFonts w:asciiTheme="minorHAnsi" w:hAnsiTheme="minorHAnsi" w:cstheme="minorHAnsi"/>
        </w:rPr>
        <w:t xml:space="preserve"> values was 23% higher in patients with moderate hepatic impairment compared to patients with normal hepatic function in Cycle 1, Day 1, and 45% higher in Cycle 1, Day 12. Systemic exposure at steady state (Cycle 1, Day 12) based on geometric mean AUC</w:t>
      </w:r>
      <w:r w:rsidRPr="005C2FCA">
        <w:rPr>
          <w:rFonts w:asciiTheme="minorHAnsi" w:hAnsiTheme="minorHAnsi" w:cstheme="minorHAnsi"/>
          <w:sz w:val="18"/>
          <w:szCs w:val="18"/>
        </w:rPr>
        <w:t xml:space="preserve">tau </w:t>
      </w:r>
      <w:r w:rsidRPr="005C2FCA">
        <w:rPr>
          <w:rFonts w:asciiTheme="minorHAnsi" w:hAnsiTheme="minorHAnsi" w:cstheme="minorHAnsi"/>
        </w:rPr>
        <w:t xml:space="preserve">values was almost identical in patients with mild hepatic impairment and normal hepatic function, and 46% </w:t>
      </w:r>
      <w:r w:rsidRPr="005C2FCA">
        <w:rPr>
          <w:rFonts w:asciiTheme="minorHAnsi" w:hAnsiTheme="minorHAnsi" w:cstheme="minorHAnsi"/>
        </w:rPr>
        <w:lastRenderedPageBreak/>
        <w:t>higher in patients with moderate hepatic impairment compared to patients with normal hepatic function. While there were no statistically significant differences in AUC</w:t>
      </w:r>
      <w:r w:rsidRPr="005C2FCA">
        <w:rPr>
          <w:rFonts w:asciiTheme="minorHAnsi" w:hAnsiTheme="minorHAnsi" w:cstheme="minorHAnsi"/>
          <w:sz w:val="18"/>
          <w:szCs w:val="18"/>
        </w:rPr>
        <w:t>tau</w:t>
      </w:r>
      <w:r w:rsidRPr="005C2FCA">
        <w:rPr>
          <w:rFonts w:asciiTheme="minorHAnsi" w:hAnsiTheme="minorHAnsi" w:cstheme="minorHAnsi"/>
        </w:rPr>
        <w:t xml:space="preserve"> values between the normal hepatic function cohort and both the mild and moderate hepatic impairment cohorts, the 90% CI were not enclosed entirely within the conventional bioequivalence interval of 0.80 to 1.25.</w:t>
      </w:r>
    </w:p>
    <w:p w14:paraId="56AE80C5" w14:textId="77777777" w:rsidR="00AA7141" w:rsidRDefault="00DF61BC" w:rsidP="00955252">
      <w:pPr>
        <w:pStyle w:val="Heading5"/>
      </w:pPr>
      <w:r w:rsidRPr="00C94C33">
        <w:t>Regression analysis of PK parameters with hepatic function tests</w:t>
      </w:r>
    </w:p>
    <w:p w14:paraId="25E166C5" w14:textId="40A00A0E" w:rsidR="00DF61BC" w:rsidRPr="00C94C33" w:rsidRDefault="00DF61BC" w:rsidP="00184C38">
      <w:r w:rsidRPr="00C94C33">
        <w:t>The relationships between oral clearance (CL/F for Day 1, CLss/F for Day 12) for FTD and TPI, and baseline aspartate transferase (AST) and total bilirubin levels (TBL) were assessed by regression analysis using power models. The models used the log transformed PK parameters as the dependent variable and the log of the AST or TBL as the independent variable. No significant relationships were observed between the clearance (CL/F and CLss/F) of FTD or TPI and liver function parameters AST or TBL.</w:t>
      </w:r>
    </w:p>
    <w:p w14:paraId="26B02F5F" w14:textId="77777777" w:rsidR="00AA7141" w:rsidRDefault="00DF61BC" w:rsidP="00955252">
      <w:pPr>
        <w:pStyle w:val="Heading5"/>
      </w:pPr>
      <w:r w:rsidRPr="00C94C33">
        <w:t>Relationship between AUC0-last (FTD and TPI) and Grade 3/4 TBL increased</w:t>
      </w:r>
    </w:p>
    <w:p w14:paraId="00E282FD" w14:textId="7F8EDC8E" w:rsidR="00DF61BC" w:rsidRPr="005C2FCA" w:rsidRDefault="00DF61BC" w:rsidP="00DF61BC">
      <w:r w:rsidRPr="005C2FCA">
        <w:t>No trend was seen for individual PK parameters of FTD or TPI in patients with Grade 3 or Grade 4 increased TBL. Grade 3 or Grade 4 increased TBL were not associated with increased FTD or TPI exposure.</w:t>
      </w:r>
    </w:p>
    <w:p w14:paraId="0CC7CABA" w14:textId="4DD4F9C8" w:rsidR="00DF61BC" w:rsidRPr="005C2FCA" w:rsidRDefault="00A02F57" w:rsidP="00955252">
      <w:pPr>
        <w:pStyle w:val="Heading5"/>
      </w:pPr>
      <w:r>
        <w:t>Safety results</w:t>
      </w:r>
    </w:p>
    <w:p w14:paraId="67B8F87E" w14:textId="42DAEA6A" w:rsidR="00DF61BC" w:rsidRPr="005C2FCA" w:rsidRDefault="00DF61BC" w:rsidP="00DF61BC">
      <w:pPr>
        <w:widowControl w:val="0"/>
        <w:autoSpaceDE w:val="0"/>
        <w:autoSpaceDN w:val="0"/>
        <w:adjustRightInd w:val="0"/>
        <w:rPr>
          <w:rFonts w:cs="Times"/>
        </w:rPr>
      </w:pPr>
      <w:r w:rsidRPr="005C2FCA">
        <w:rPr>
          <w:rFonts w:cs="Times"/>
        </w:rPr>
        <w:t>Safety data were presented for a total of 24 patients in the total population, comprising 8 patients in the normal hepatic function cohort, 10 patients in the mild hepatic impairment cohort and 6 patients in the moderate hepatic impairment cohort. The mean total dosage of TAS-102 was highest in the mild impairment cohort (1590 mg/m</w:t>
      </w:r>
      <w:r w:rsidRPr="005C2FCA">
        <w:rPr>
          <w:rFonts w:cs="Times"/>
          <w:vertAlign w:val="superscript"/>
        </w:rPr>
        <w:t>2</w:t>
      </w:r>
      <w:r w:rsidRPr="005C2FCA">
        <w:rPr>
          <w:rFonts w:cs="Times"/>
        </w:rPr>
        <w:t>) followed by the normal hepatic function cohort (1265 mg/m</w:t>
      </w:r>
      <w:r w:rsidRPr="005C2FCA">
        <w:rPr>
          <w:rFonts w:cs="Times"/>
          <w:vertAlign w:val="superscript"/>
        </w:rPr>
        <w:t>2</w:t>
      </w:r>
      <w:r w:rsidRPr="005C2FCA">
        <w:rPr>
          <w:rFonts w:cs="Times"/>
        </w:rPr>
        <w:t>) and the moderate hepatic impairment cohort (947 mg/m</w:t>
      </w:r>
      <w:r w:rsidRPr="005C2FCA">
        <w:rPr>
          <w:rFonts w:cs="Times"/>
          <w:vertAlign w:val="superscript"/>
        </w:rPr>
        <w:t>2</w:t>
      </w:r>
      <w:r w:rsidRPr="005C2FCA">
        <w:rPr>
          <w:rFonts w:cs="Times"/>
        </w:rPr>
        <w:t>). The mean treatment duration was longest for the mild hepatic impairment cohort (70.4 days) followed by the normal hepatic function cohort (48.5 days) and the moderate hepatic impairment cohort (32 days). Six of the 24 patients in the total population initiated more than 2 cycles of TAS-102 (2 patients in the normal cohort, 3 patients in the mild hepatic impairment cohort, and 1 patient in the moderate impairment cohort). The remaining patients initiated 1 or 2 cycles of TAS-102. Overall, the maximum number of TAS-102 cycles initiated and completed was 8 cycles in the mild hepatic impairment cohort followed by 4 cycles in the normal hepatic function cohort and 3 cycles in the moderate hepatic impairment cohort.</w:t>
      </w:r>
    </w:p>
    <w:p w14:paraId="3E21E496" w14:textId="09F6428E" w:rsidR="00DF61BC" w:rsidRPr="005C2FCA" w:rsidRDefault="00DF61BC" w:rsidP="00DF61BC">
      <w:pPr>
        <w:widowControl w:val="0"/>
        <w:autoSpaceDE w:val="0"/>
        <w:autoSpaceDN w:val="0"/>
        <w:adjustRightInd w:val="0"/>
        <w:rPr>
          <w:rFonts w:ascii="Times" w:hAnsi="Times" w:cs="Times"/>
          <w:sz w:val="32"/>
          <w:szCs w:val="32"/>
        </w:rPr>
      </w:pPr>
      <w:r w:rsidRPr="005C2FCA">
        <w:rPr>
          <w:rFonts w:cs="Times"/>
        </w:rPr>
        <w:t>With the exception of ≥ Grade 3 increased blood bilirubin levels, most of the treatment-related AEs reported during the study were expected effects of treatment with TAS-102. Treatment-related AEs reported in &gt; 10% of patients in the total population were nausea (50%), anaemia (37.5%), fatigue (37.5%), diarrhoea (29.2%), decreased appetite (25%), vomiting (20.8%), neutro</w:t>
      </w:r>
      <w:r w:rsidR="00B50F67">
        <w:rPr>
          <w:rFonts w:cs="Times"/>
        </w:rPr>
        <w:t>paenia</w:t>
      </w:r>
      <w:r w:rsidRPr="005C2FCA">
        <w:rPr>
          <w:rFonts w:cs="Times"/>
        </w:rPr>
        <w:t xml:space="preserve"> (20.8%), decreased neutrophil count (12.5%), decreased white blood cell count (12.5%), and alopecia (12.5%). Patients in the mild hepatic impairment cohort experienced a higher percentage of these treatment-related AEs than patients in the other 2 cohorts. However, both the total dose and the duration of exposure were higher in patients with mild hepatic impairment compared to patients with either normal hepatic function or moderate hepatic impairment. Treatment-related AEs reported in at least 2 (8.3%) patients in the total safety population (</w:t>
      </w:r>
      <w:r w:rsidR="009C0389" w:rsidRPr="005C2FCA">
        <w:rPr>
          <w:rFonts w:cs="Times"/>
        </w:rPr>
        <w:t xml:space="preserve">n = </w:t>
      </w:r>
      <w:r w:rsidRPr="005C2FCA">
        <w:rPr>
          <w:rFonts w:cs="Times"/>
        </w:rPr>
        <w:t>24) are summarised below.</w:t>
      </w:r>
    </w:p>
    <w:p w14:paraId="1C0CDC72" w14:textId="1A7C4C94" w:rsidR="00DF61BC" w:rsidRPr="005C2FCA" w:rsidRDefault="00184C38" w:rsidP="00184C38">
      <w:pPr>
        <w:pStyle w:val="Tabletitle"/>
      </w:pPr>
      <w:r w:rsidRPr="005C2FCA">
        <w:lastRenderedPageBreak/>
        <w:t>Table 7</w:t>
      </w:r>
      <w:r w:rsidR="00996E3F">
        <w:t>1</w:t>
      </w:r>
      <w:r w:rsidR="00DF61BC" w:rsidRPr="005C2FCA">
        <w:t>: Summary of treatment-related AEs observed in at least 2 patients in the overall patient population (</w:t>
      </w:r>
      <w:r w:rsidR="009C0389" w:rsidRPr="005C2FCA">
        <w:t xml:space="preserve">n = </w:t>
      </w:r>
      <w:r w:rsidR="00DF61BC" w:rsidRPr="005C2FCA">
        <w:t>24) by SOC and PT, As Treated Population</w:t>
      </w:r>
    </w:p>
    <w:p w14:paraId="3471C6A6" w14:textId="77777777" w:rsidR="00D81501" w:rsidRDefault="00D81501" w:rsidP="00DF61BC">
      <w:pPr>
        <w:widowControl w:val="0"/>
        <w:autoSpaceDE w:val="0"/>
        <w:autoSpaceDN w:val="0"/>
        <w:adjustRightInd w:val="0"/>
        <w:spacing w:after="0"/>
        <w:rPr>
          <w:rFonts w:ascii="Times" w:hAnsi="Times" w:cs="Times"/>
          <w:sz w:val="32"/>
          <w:szCs w:val="32"/>
        </w:rPr>
      </w:pPr>
      <w:r w:rsidRPr="00691F71">
        <w:rPr>
          <w:rFonts w:ascii="Times" w:hAnsi="Times" w:cs="Times"/>
          <w:noProof/>
          <w:sz w:val="32"/>
          <w:szCs w:val="32"/>
          <w:lang w:eastAsia="en-AU"/>
        </w:rPr>
        <w:drawing>
          <wp:inline distT="0" distB="0" distL="0" distR="0" wp14:anchorId="4ED5BA86" wp14:editId="78618A68">
            <wp:extent cx="6177600" cy="4147200"/>
            <wp:effectExtent l="0" t="0" r="0" b="0"/>
            <wp:docPr id="35" name="Picture 35" descr="Table 70: Summary of treatment-related AEs observed in at least 2 patients in the overall patient population (n=24) by SOC and PT, As Treated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77600" cy="4147200"/>
                    </a:xfrm>
                    <a:prstGeom prst="rect">
                      <a:avLst/>
                    </a:prstGeom>
                    <a:noFill/>
                    <a:ln>
                      <a:noFill/>
                    </a:ln>
                  </pic:spPr>
                </pic:pic>
              </a:graphicData>
            </a:graphic>
          </wp:inline>
        </w:drawing>
      </w:r>
    </w:p>
    <w:p w14:paraId="0BDEA1DA" w14:textId="77777777" w:rsidR="00DF61BC" w:rsidRPr="005C2FCA" w:rsidRDefault="00D81501" w:rsidP="00DF61BC">
      <w:pPr>
        <w:widowControl w:val="0"/>
        <w:autoSpaceDE w:val="0"/>
        <w:autoSpaceDN w:val="0"/>
        <w:adjustRightInd w:val="0"/>
        <w:spacing w:after="0"/>
        <w:rPr>
          <w:rFonts w:ascii="Times" w:hAnsi="Times" w:cs="Times"/>
          <w:sz w:val="32"/>
          <w:szCs w:val="32"/>
        </w:rPr>
      </w:pPr>
      <w:r w:rsidRPr="00691F71">
        <w:rPr>
          <w:rFonts w:cs="Times"/>
          <w:noProof/>
          <w:lang w:eastAsia="en-AU"/>
        </w:rPr>
        <w:drawing>
          <wp:inline distT="0" distB="0" distL="0" distR="0" wp14:anchorId="5107AEEB" wp14:editId="2ECE4005">
            <wp:extent cx="6170400" cy="342000"/>
            <wp:effectExtent l="0" t="0" r="1905" b="1270"/>
            <wp:docPr id="36" name="Picture 36" descr="Table 70: Summary of treatment-related AEs observed in at least 2 patients in the overall patient population (n=24) by SOC and PT, As Treated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70400" cy="342000"/>
                    </a:xfrm>
                    <a:prstGeom prst="rect">
                      <a:avLst/>
                    </a:prstGeom>
                    <a:noFill/>
                    <a:ln>
                      <a:noFill/>
                    </a:ln>
                  </pic:spPr>
                </pic:pic>
              </a:graphicData>
            </a:graphic>
          </wp:inline>
        </w:drawing>
      </w:r>
    </w:p>
    <w:p w14:paraId="77E4F0EC" w14:textId="77777777" w:rsidR="00AA7141" w:rsidRDefault="00DF61BC" w:rsidP="00184C38">
      <w:pPr>
        <w:pStyle w:val="TableDescription"/>
      </w:pPr>
      <w:r w:rsidRPr="005C2FCA">
        <w:t>Note: A patient was counted once for each system organ class and once for each preferred term within the system organ class. Percentages were based on number of patients in the As Treated Population within the same cohort.</w:t>
      </w:r>
    </w:p>
    <w:p w14:paraId="074A241D" w14:textId="501605AF" w:rsidR="00DF61BC" w:rsidRPr="005C2FCA" w:rsidRDefault="00DF61BC" w:rsidP="00DF61BC">
      <w:pPr>
        <w:widowControl w:val="0"/>
        <w:autoSpaceDE w:val="0"/>
        <w:autoSpaceDN w:val="0"/>
        <w:adjustRightInd w:val="0"/>
        <w:rPr>
          <w:rFonts w:cs="Times"/>
        </w:rPr>
      </w:pPr>
      <w:r w:rsidRPr="005C2FCA">
        <w:rPr>
          <w:rFonts w:cs="Times"/>
        </w:rPr>
        <w:t>During the study, CTCAE Grade 3 or higher AEs reported for at least 2 patients in the normal hepatic function cohort were increased blood bilirubin, anaemia, neutro</w:t>
      </w:r>
      <w:r w:rsidR="00B50F67">
        <w:rPr>
          <w:rFonts w:cs="Times"/>
        </w:rPr>
        <w:t>paenia</w:t>
      </w:r>
      <w:r w:rsidRPr="005C2FCA">
        <w:rPr>
          <w:rFonts w:cs="Times"/>
        </w:rPr>
        <w:t xml:space="preserve">, and abdominal pain (2 of 8 patients </w:t>
      </w:r>
      <w:r w:rsidR="00A0007E" w:rsidRPr="005C2FCA">
        <w:rPr>
          <w:rFonts w:cs="Times"/>
        </w:rPr>
        <w:t>(</w:t>
      </w:r>
      <w:r w:rsidRPr="005C2FCA">
        <w:rPr>
          <w:rFonts w:cs="Times"/>
        </w:rPr>
        <w:t>25%</w:t>
      </w:r>
      <w:r w:rsidR="00A0007E" w:rsidRPr="005C2FCA">
        <w:rPr>
          <w:rFonts w:cs="Times"/>
        </w:rPr>
        <w:t>)</w:t>
      </w:r>
      <w:r w:rsidRPr="005C2FCA">
        <w:rPr>
          <w:rFonts w:cs="Times"/>
        </w:rPr>
        <w:t xml:space="preserve"> each event). CTCAE Grade 3 or higher AEs reported for at least 2 patients in the mild hepatic impairment cohort were decreased neutrophil count (2 of 10 patients </w:t>
      </w:r>
      <w:r w:rsidR="00A0007E" w:rsidRPr="005C2FCA">
        <w:rPr>
          <w:rFonts w:cs="Times"/>
        </w:rPr>
        <w:t>(</w:t>
      </w:r>
      <w:r w:rsidRPr="005C2FCA">
        <w:rPr>
          <w:rFonts w:cs="Times"/>
        </w:rPr>
        <w:t>20%</w:t>
      </w:r>
      <w:r w:rsidR="00A0007E" w:rsidRPr="005C2FCA">
        <w:rPr>
          <w:rFonts w:cs="Times"/>
        </w:rPr>
        <w:t>)</w:t>
      </w:r>
      <w:r w:rsidRPr="005C2FCA">
        <w:rPr>
          <w:rFonts w:cs="Times"/>
        </w:rPr>
        <w:t xml:space="preserve">), decreased white blood cell count (3 of 10 patients </w:t>
      </w:r>
      <w:r w:rsidR="00A0007E" w:rsidRPr="005C2FCA">
        <w:rPr>
          <w:rFonts w:cs="Times"/>
        </w:rPr>
        <w:t>(</w:t>
      </w:r>
      <w:r w:rsidRPr="005C2FCA">
        <w:rPr>
          <w:rFonts w:cs="Times"/>
        </w:rPr>
        <w:t>30%</w:t>
      </w:r>
      <w:r w:rsidR="00A0007E" w:rsidRPr="005C2FCA">
        <w:rPr>
          <w:rFonts w:cs="Times"/>
        </w:rPr>
        <w:t>)</w:t>
      </w:r>
      <w:r w:rsidRPr="005C2FCA">
        <w:rPr>
          <w:rFonts w:cs="Times"/>
        </w:rPr>
        <w:t xml:space="preserve">), decreased lymphocyte count (2 of 10 patients </w:t>
      </w:r>
      <w:r w:rsidR="00A0007E" w:rsidRPr="005C2FCA">
        <w:rPr>
          <w:rFonts w:cs="Times"/>
        </w:rPr>
        <w:t>(</w:t>
      </w:r>
      <w:r w:rsidRPr="005C2FCA">
        <w:rPr>
          <w:rFonts w:cs="Times"/>
        </w:rPr>
        <w:t>20%</w:t>
      </w:r>
      <w:r w:rsidR="00A0007E" w:rsidRPr="005C2FCA">
        <w:rPr>
          <w:rFonts w:cs="Times"/>
        </w:rPr>
        <w:t>)</w:t>
      </w:r>
      <w:r w:rsidRPr="005C2FCA">
        <w:rPr>
          <w:rFonts w:cs="Times"/>
        </w:rPr>
        <w:t xml:space="preserve">), and hypertension (2 of 10 patients </w:t>
      </w:r>
      <w:r w:rsidR="00A0007E" w:rsidRPr="005C2FCA">
        <w:rPr>
          <w:rFonts w:cs="Times"/>
        </w:rPr>
        <w:t>(</w:t>
      </w:r>
      <w:r w:rsidRPr="005C2FCA">
        <w:rPr>
          <w:rFonts w:cs="Times"/>
        </w:rPr>
        <w:t>20%</w:t>
      </w:r>
      <w:r w:rsidR="00A0007E" w:rsidRPr="005C2FCA">
        <w:rPr>
          <w:rFonts w:cs="Times"/>
        </w:rPr>
        <w:t>)</w:t>
      </w:r>
      <w:r w:rsidRPr="005C2FCA">
        <w:rPr>
          <w:rFonts w:cs="Times"/>
        </w:rPr>
        <w:t xml:space="preserve">). CTCAE Grade 3 or higher AEs reported for at least 2 patients in the moderate hepatic impairment cohort were increased blood bilirubin levels (5 of 6 patients </w:t>
      </w:r>
      <w:r w:rsidR="00A0007E" w:rsidRPr="005C2FCA">
        <w:rPr>
          <w:rFonts w:cs="Times"/>
        </w:rPr>
        <w:t>(</w:t>
      </w:r>
      <w:r w:rsidRPr="005C2FCA">
        <w:rPr>
          <w:rFonts w:cs="Times"/>
        </w:rPr>
        <w:t>83.3%</w:t>
      </w:r>
      <w:r w:rsidR="00A0007E" w:rsidRPr="005C2FCA">
        <w:rPr>
          <w:rFonts w:cs="Times"/>
        </w:rPr>
        <w:t>)</w:t>
      </w:r>
      <w:r w:rsidRPr="005C2FCA">
        <w:rPr>
          <w:rFonts w:cs="Times"/>
        </w:rPr>
        <w:t xml:space="preserve">) and anaemia (2 of 6 patients </w:t>
      </w:r>
      <w:r w:rsidR="00A0007E" w:rsidRPr="005C2FCA">
        <w:rPr>
          <w:rFonts w:cs="Times"/>
        </w:rPr>
        <w:t>(</w:t>
      </w:r>
      <w:r w:rsidRPr="005C2FCA">
        <w:rPr>
          <w:rFonts w:cs="Times"/>
        </w:rPr>
        <w:t>33.3%</w:t>
      </w:r>
      <w:r w:rsidR="00A0007E" w:rsidRPr="005C2FCA">
        <w:rPr>
          <w:rFonts w:cs="Times"/>
        </w:rPr>
        <w:t>)</w:t>
      </w:r>
      <w:r w:rsidRPr="005C2FCA">
        <w:rPr>
          <w:rFonts w:cs="Times"/>
        </w:rPr>
        <w:t>). As a result of CTCAE Grade 3 or higher increased blood bilirubin levels experienced by 5 of the 6 patients in the moderate hepatic impairment cohort, enrollment into the study was stopped on 15 April 2016. CTCAE Grade</w:t>
      </w:r>
      <w:r w:rsidR="006B7C58">
        <w:rPr>
          <w:rFonts w:cs="Times"/>
        </w:rPr>
        <w:t> </w:t>
      </w:r>
      <w:r w:rsidRPr="005C2FCA">
        <w:rPr>
          <w:rFonts w:cs="Times"/>
        </w:rPr>
        <w:t>3 or higher AEs are summarised below.</w:t>
      </w:r>
    </w:p>
    <w:p w14:paraId="76F90EF6" w14:textId="13DEE9FB" w:rsidR="00DF61BC" w:rsidRPr="005C2FCA" w:rsidRDefault="00184C38" w:rsidP="00184C38">
      <w:pPr>
        <w:pStyle w:val="Tabletitle"/>
      </w:pPr>
      <w:r w:rsidRPr="005C2FCA">
        <w:lastRenderedPageBreak/>
        <w:t>Table 7</w:t>
      </w:r>
      <w:r w:rsidR="00996E3F">
        <w:t>2</w:t>
      </w:r>
      <w:r w:rsidR="00DF61BC" w:rsidRPr="005C2FCA">
        <w:t>: Summary of Grade 3 or higher AEs observed in at least 2 patients in the overall patient population (</w:t>
      </w:r>
      <w:r w:rsidR="009C0389" w:rsidRPr="005C2FCA">
        <w:t xml:space="preserve">n = </w:t>
      </w:r>
      <w:r w:rsidR="00DF61BC" w:rsidRPr="005C2FCA">
        <w:t>24) by SOC and PT, As Treated Population</w:t>
      </w:r>
    </w:p>
    <w:p w14:paraId="4BBFD97E" w14:textId="77777777" w:rsidR="00DF61BC" w:rsidRPr="005C2FCA" w:rsidRDefault="00DF61BC" w:rsidP="00DF61BC">
      <w:pPr>
        <w:widowControl w:val="0"/>
        <w:autoSpaceDE w:val="0"/>
        <w:autoSpaceDN w:val="0"/>
        <w:adjustRightInd w:val="0"/>
        <w:spacing w:after="0"/>
        <w:rPr>
          <w:rFonts w:ascii="Times" w:hAnsi="Times" w:cs="Times"/>
        </w:rPr>
      </w:pPr>
      <w:r w:rsidRPr="00691F71">
        <w:rPr>
          <w:rFonts w:ascii="Times" w:hAnsi="Times" w:cs="Times"/>
          <w:noProof/>
          <w:lang w:eastAsia="en-AU"/>
        </w:rPr>
        <w:drawing>
          <wp:inline distT="0" distB="0" distL="0" distR="0" wp14:anchorId="397AC0B4" wp14:editId="353F9EC5">
            <wp:extent cx="6174000" cy="3326400"/>
            <wp:effectExtent l="0" t="0" r="0" b="7620"/>
            <wp:docPr id="37" name="Picture 37" descr="Table 71: Summary of Grade 3 or higher AEs observed in at least 2 patients in the overall patient population (n=24) by SOC and PT, As Treated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74000" cy="3326400"/>
                    </a:xfrm>
                    <a:prstGeom prst="rect">
                      <a:avLst/>
                    </a:prstGeom>
                    <a:noFill/>
                    <a:ln>
                      <a:noFill/>
                    </a:ln>
                  </pic:spPr>
                </pic:pic>
              </a:graphicData>
            </a:graphic>
          </wp:inline>
        </w:drawing>
      </w:r>
    </w:p>
    <w:p w14:paraId="1A07A6CB" w14:textId="7FDDA98B" w:rsidR="00DF61BC" w:rsidRPr="005C2FCA" w:rsidRDefault="00DF61BC" w:rsidP="00184C38">
      <w:pPr>
        <w:pStyle w:val="TableDescription"/>
      </w:pPr>
      <w:r w:rsidRPr="005C2FCA">
        <w:t>Note: A patient was counted once for each system organ class and once for each preferred term within the system organ class. Percentages were based on number of patients in the As Treated Population within the same cohort.</w:t>
      </w:r>
    </w:p>
    <w:p w14:paraId="3296826D" w14:textId="1D1A40D1" w:rsidR="00DF61BC" w:rsidRPr="005C2FCA" w:rsidRDefault="00DF61BC" w:rsidP="00DF61BC">
      <w:pPr>
        <w:widowControl w:val="0"/>
        <w:autoSpaceDE w:val="0"/>
        <w:autoSpaceDN w:val="0"/>
        <w:adjustRightInd w:val="0"/>
        <w:rPr>
          <w:rFonts w:cs="Times"/>
        </w:rPr>
      </w:pPr>
      <w:r w:rsidRPr="005C2FCA">
        <w:rPr>
          <w:rFonts w:cs="Times"/>
        </w:rPr>
        <w:t>Three patients (1 in each cohort) died due to disease progression during the study, including 2</w:t>
      </w:r>
      <w:r w:rsidR="00691F71">
        <w:rPr>
          <w:rFonts w:cs="Times"/>
        </w:rPr>
        <w:t> </w:t>
      </w:r>
      <w:r w:rsidRPr="005C2FCA">
        <w:rPr>
          <w:rFonts w:cs="Times"/>
        </w:rPr>
        <w:t>patients with both small bowel obstruction and disease progression. In this study, disease progression itself was not considered to be an AE or SAE. One patient in the mild hepatic impairment cohort experienced a fatal Grade 5 AE small intestine obstruction (SAE) considered to be unrelated to treatment with TAS-102 (occurred 28 days after treatment discontinuation).</w:t>
      </w:r>
    </w:p>
    <w:p w14:paraId="531670C7" w14:textId="77BD4356" w:rsidR="00DF61BC" w:rsidRPr="005C2FCA" w:rsidRDefault="00DF61BC" w:rsidP="00DF61BC">
      <w:pPr>
        <w:widowControl w:val="0"/>
        <w:autoSpaceDE w:val="0"/>
        <w:autoSpaceDN w:val="0"/>
        <w:adjustRightInd w:val="0"/>
        <w:rPr>
          <w:rFonts w:cs="Times"/>
        </w:rPr>
      </w:pPr>
      <w:r w:rsidRPr="005C2FCA">
        <w:rPr>
          <w:rFonts w:cs="Times"/>
        </w:rPr>
        <w:t>Overall, 14 (58.3%) patients in the total population (</w:t>
      </w:r>
      <w:r w:rsidR="009C0389" w:rsidRPr="005C2FCA">
        <w:rPr>
          <w:rFonts w:cs="Times"/>
        </w:rPr>
        <w:t xml:space="preserve">n = </w:t>
      </w:r>
      <w:r w:rsidRPr="005C2FCA">
        <w:rPr>
          <w:rFonts w:cs="Times"/>
        </w:rPr>
        <w:t>24) reported at least 1 SAE. The percentage of patients with at least 1 SAE was higher in the hepatic impairment cohorts than in the normal hepatic function cohort (</w:t>
      </w:r>
      <w:r w:rsidR="00B2072D" w:rsidRPr="005C2FCA">
        <w:rPr>
          <w:rFonts w:cs="Times"/>
        </w:rPr>
        <w:t>that is,</w:t>
      </w:r>
      <w:r w:rsidRPr="005C2FCA">
        <w:rPr>
          <w:rFonts w:cs="Times"/>
        </w:rPr>
        <w:t xml:space="preserve"> 60% </w:t>
      </w:r>
      <w:r w:rsidR="00A0007E" w:rsidRPr="005C2FCA">
        <w:rPr>
          <w:rFonts w:cs="Times"/>
        </w:rPr>
        <w:t>(</w:t>
      </w:r>
      <w:r w:rsidR="009C0389" w:rsidRPr="005C2FCA">
        <w:rPr>
          <w:rFonts w:cs="Times"/>
        </w:rPr>
        <w:t xml:space="preserve">n = </w:t>
      </w:r>
      <w:r w:rsidRPr="005C2FCA">
        <w:rPr>
          <w:rFonts w:cs="Times"/>
        </w:rPr>
        <w:t>6</w:t>
      </w:r>
      <w:r w:rsidR="00A0007E" w:rsidRPr="005C2FCA">
        <w:rPr>
          <w:rFonts w:cs="Times"/>
        </w:rPr>
        <w:t>)</w:t>
      </w:r>
      <w:r w:rsidRPr="005C2FCA">
        <w:rPr>
          <w:rFonts w:cs="Times"/>
        </w:rPr>
        <w:t xml:space="preserve"> mild hepatic impairment</w:t>
      </w:r>
      <w:r w:rsidR="00C11183">
        <w:rPr>
          <w:rFonts w:cs="Times"/>
        </w:rPr>
        <w:t xml:space="preserve"> versus </w:t>
      </w:r>
      <w:r w:rsidRPr="005C2FCA">
        <w:rPr>
          <w:rFonts w:cs="Times"/>
        </w:rPr>
        <w:t xml:space="preserve">66.7% </w:t>
      </w:r>
      <w:r w:rsidR="00A0007E" w:rsidRPr="005C2FCA">
        <w:rPr>
          <w:rFonts w:cs="Times"/>
        </w:rPr>
        <w:t>(</w:t>
      </w:r>
      <w:r w:rsidR="009C0389" w:rsidRPr="005C2FCA">
        <w:rPr>
          <w:rFonts w:cs="Times"/>
        </w:rPr>
        <w:t xml:space="preserve">n = </w:t>
      </w:r>
      <w:r w:rsidRPr="005C2FCA">
        <w:rPr>
          <w:rFonts w:cs="Times"/>
        </w:rPr>
        <w:t>4</w:t>
      </w:r>
      <w:r w:rsidR="00A0007E" w:rsidRPr="005C2FCA">
        <w:rPr>
          <w:rFonts w:cs="Times"/>
        </w:rPr>
        <w:t>)</w:t>
      </w:r>
      <w:r w:rsidRPr="005C2FCA">
        <w:rPr>
          <w:rFonts w:cs="Times"/>
        </w:rPr>
        <w:t xml:space="preserve"> moderate hepatic impairment</w:t>
      </w:r>
      <w:r w:rsidR="00C11183">
        <w:rPr>
          <w:rFonts w:cs="Times"/>
        </w:rPr>
        <w:t xml:space="preserve"> versus </w:t>
      </w:r>
      <w:r w:rsidRPr="005C2FCA">
        <w:rPr>
          <w:rFonts w:cs="Times"/>
        </w:rPr>
        <w:t xml:space="preserve">50% </w:t>
      </w:r>
      <w:r w:rsidR="00A0007E" w:rsidRPr="005C2FCA">
        <w:rPr>
          <w:rFonts w:cs="Times"/>
        </w:rPr>
        <w:t>(</w:t>
      </w:r>
      <w:r w:rsidR="009C0389" w:rsidRPr="005C2FCA">
        <w:rPr>
          <w:rFonts w:cs="Times"/>
        </w:rPr>
        <w:t xml:space="preserve">n = </w:t>
      </w:r>
      <w:r w:rsidRPr="005C2FCA">
        <w:rPr>
          <w:rFonts w:cs="Times"/>
        </w:rPr>
        <w:t>4</w:t>
      </w:r>
      <w:r w:rsidR="00A0007E" w:rsidRPr="005C2FCA">
        <w:rPr>
          <w:rFonts w:cs="Times"/>
        </w:rPr>
        <w:t>)</w:t>
      </w:r>
      <w:r w:rsidRPr="005C2FCA">
        <w:rPr>
          <w:rFonts w:cs="Times"/>
        </w:rPr>
        <w:t>, normal hepatic function). SAEs reported for more than 1 patient in the total population (</w:t>
      </w:r>
      <w:r w:rsidR="009C0389" w:rsidRPr="005C2FCA">
        <w:rPr>
          <w:rFonts w:cs="Times"/>
        </w:rPr>
        <w:t xml:space="preserve">n = </w:t>
      </w:r>
      <w:r w:rsidRPr="005C2FCA">
        <w:rPr>
          <w:rFonts w:cs="Times"/>
        </w:rPr>
        <w:t>24) included small intestinal obstruction (</w:t>
      </w:r>
      <w:r w:rsidR="009C0389" w:rsidRPr="005C2FCA">
        <w:rPr>
          <w:rFonts w:cs="Times"/>
        </w:rPr>
        <w:t xml:space="preserve">n = </w:t>
      </w:r>
      <w:r w:rsidRPr="005C2FCA">
        <w:rPr>
          <w:rFonts w:cs="Times"/>
        </w:rPr>
        <w:t xml:space="preserve">2 </w:t>
      </w:r>
      <w:r w:rsidR="00A0007E" w:rsidRPr="005C2FCA">
        <w:rPr>
          <w:rFonts w:cs="Times"/>
        </w:rPr>
        <w:t>(</w:t>
      </w:r>
      <w:r w:rsidRPr="005C2FCA">
        <w:rPr>
          <w:rFonts w:cs="Times"/>
        </w:rPr>
        <w:t>8.3%</w:t>
      </w:r>
      <w:r w:rsidR="00A0007E" w:rsidRPr="005C2FCA">
        <w:rPr>
          <w:rFonts w:cs="Times"/>
        </w:rPr>
        <w:t>)</w:t>
      </w:r>
      <w:r w:rsidRPr="005C2FCA">
        <w:rPr>
          <w:rFonts w:cs="Times"/>
        </w:rPr>
        <w:t>; 1 each in the normal hepatic function and mild hepatic impairment cohorts), increased blood bilirubin levels (</w:t>
      </w:r>
      <w:r w:rsidR="009C0389" w:rsidRPr="005C2FCA">
        <w:rPr>
          <w:rFonts w:cs="Times"/>
        </w:rPr>
        <w:t xml:space="preserve">n = </w:t>
      </w:r>
      <w:r w:rsidRPr="005C2FCA">
        <w:rPr>
          <w:rFonts w:cs="Times"/>
        </w:rPr>
        <w:t xml:space="preserve">4 </w:t>
      </w:r>
      <w:r w:rsidR="00A0007E" w:rsidRPr="005C2FCA">
        <w:rPr>
          <w:rFonts w:cs="Times"/>
        </w:rPr>
        <w:t>(</w:t>
      </w:r>
      <w:r w:rsidRPr="005C2FCA">
        <w:rPr>
          <w:rFonts w:cs="Times"/>
        </w:rPr>
        <w:t>16.7%</w:t>
      </w:r>
      <w:r w:rsidR="00A0007E" w:rsidRPr="005C2FCA">
        <w:rPr>
          <w:rFonts w:cs="Times"/>
        </w:rPr>
        <w:t>)</w:t>
      </w:r>
      <w:r w:rsidRPr="005C2FCA">
        <w:rPr>
          <w:rFonts w:cs="Times"/>
        </w:rPr>
        <w:t>; 2 each in the normal hepatic function and moderate hepatic impairment cohorts), hyponatraemia (</w:t>
      </w:r>
      <w:r w:rsidR="009C0389" w:rsidRPr="005C2FCA">
        <w:rPr>
          <w:rFonts w:cs="Times"/>
        </w:rPr>
        <w:t xml:space="preserve">n = </w:t>
      </w:r>
      <w:r w:rsidRPr="005C2FCA">
        <w:rPr>
          <w:rFonts w:cs="Times"/>
        </w:rPr>
        <w:t xml:space="preserve">2 </w:t>
      </w:r>
      <w:r w:rsidR="00A0007E" w:rsidRPr="005C2FCA">
        <w:rPr>
          <w:rFonts w:cs="Times"/>
        </w:rPr>
        <w:t>(</w:t>
      </w:r>
      <w:r w:rsidRPr="005C2FCA">
        <w:rPr>
          <w:rFonts w:cs="Times"/>
        </w:rPr>
        <w:t>8.3%</w:t>
      </w:r>
      <w:r w:rsidR="00A0007E" w:rsidRPr="005C2FCA">
        <w:rPr>
          <w:rFonts w:cs="Times"/>
        </w:rPr>
        <w:t>)</w:t>
      </w:r>
      <w:r w:rsidRPr="005C2FCA">
        <w:rPr>
          <w:rFonts w:cs="Times"/>
        </w:rPr>
        <w:t>; 1 each in the normal hepatic function and mild hepatic impairment cohorts), and deep vein thrombosis (</w:t>
      </w:r>
      <w:r w:rsidR="009C0389" w:rsidRPr="005C2FCA">
        <w:rPr>
          <w:rFonts w:cs="Times"/>
        </w:rPr>
        <w:t xml:space="preserve">n = </w:t>
      </w:r>
      <w:r w:rsidRPr="005C2FCA">
        <w:rPr>
          <w:rFonts w:cs="Times"/>
        </w:rPr>
        <w:t xml:space="preserve">2 </w:t>
      </w:r>
      <w:r w:rsidR="00A0007E" w:rsidRPr="005C2FCA">
        <w:rPr>
          <w:rFonts w:cs="Times"/>
        </w:rPr>
        <w:t>(</w:t>
      </w:r>
      <w:r w:rsidRPr="005C2FCA">
        <w:rPr>
          <w:rFonts w:cs="Times"/>
        </w:rPr>
        <w:t>8.3%</w:t>
      </w:r>
      <w:r w:rsidR="00A0007E" w:rsidRPr="005C2FCA">
        <w:rPr>
          <w:rFonts w:cs="Times"/>
        </w:rPr>
        <w:t>)</w:t>
      </w:r>
      <w:r w:rsidRPr="005C2FCA">
        <w:rPr>
          <w:rFonts w:cs="Times"/>
        </w:rPr>
        <w:t>; both in the mild hepatic impairment cohort).</w:t>
      </w:r>
    </w:p>
    <w:p w14:paraId="1EF172B0" w14:textId="32CD35A6" w:rsidR="00DF61BC" w:rsidRPr="005C2FCA" w:rsidRDefault="00DF61BC" w:rsidP="00DF61BC">
      <w:pPr>
        <w:widowControl w:val="0"/>
        <w:autoSpaceDE w:val="0"/>
        <w:autoSpaceDN w:val="0"/>
        <w:adjustRightInd w:val="0"/>
        <w:rPr>
          <w:rFonts w:cs="Times"/>
        </w:rPr>
      </w:pPr>
      <w:r w:rsidRPr="005C2FCA">
        <w:rPr>
          <w:rFonts w:cs="Times"/>
        </w:rPr>
        <w:t xml:space="preserve">Only 3 patients reported treatment-related SAEs during the study (2 in the moderate hepatic impairment cohort and 1 in the mild hepatic impairment cohort). In the moderate hepatic impairment cohort, 1 patient reported one treatment-related SAE of increased blood bilirubin levels and 1 patient reported two treatment-related SAEs of increased blood bilirubin levels and bacteraemia. The two SAEs of increased bilirubin levels reported in these patient were considered to be suspected unexpected serious adverse reactions (SUSARs) of Grade 4 intensity and resulted in </w:t>
      </w:r>
      <w:r w:rsidRPr="00C94C33">
        <w:t>discontinuation of TAS-102 in both patients. In the mild hepatic impairment cohort, 1 patient reported one treatment-related SAE of hyponatraemia.</w:t>
      </w:r>
    </w:p>
    <w:p w14:paraId="2FC98F19" w14:textId="34D2F15E" w:rsidR="00DF61BC" w:rsidRPr="005C2FCA" w:rsidRDefault="00DF61BC" w:rsidP="00DF61BC">
      <w:r w:rsidRPr="005C2FCA">
        <w:t>AEs leading to study treatment discontinuation were reported in 12 (50%) patients in the total population (</w:t>
      </w:r>
      <w:r w:rsidR="009C0389" w:rsidRPr="005C2FCA">
        <w:t xml:space="preserve">n = </w:t>
      </w:r>
      <w:r w:rsidRPr="005C2FCA">
        <w:t>24), comprising 2 (25%) patients in the normal hepatic function cohort (1 x fatigue, 1 x neutro</w:t>
      </w:r>
      <w:r w:rsidR="00B50F67">
        <w:t>paenia</w:t>
      </w:r>
      <w:r w:rsidRPr="005C2FCA">
        <w:t>), 5 (50%) patients in the mild hepatic impairment cohort (1 x each for device dislocation, neutro</w:t>
      </w:r>
      <w:r w:rsidR="00B50F67">
        <w:t>paenia</w:t>
      </w:r>
      <w:r w:rsidRPr="005C2FCA">
        <w:t>, thrombocyto</w:t>
      </w:r>
      <w:r w:rsidR="00B50F67">
        <w:t>paenia</w:t>
      </w:r>
      <w:r w:rsidRPr="005C2FCA">
        <w:t xml:space="preserve">, ascites, small intestinal obstruction, pathological </w:t>
      </w:r>
      <w:r w:rsidRPr="005C2FCA">
        <w:lastRenderedPageBreak/>
        <w:t>fracture, sciatica and pelvic pain) and 5 (83.3%) patients in the moderate hepatic impairment cohort (4 x blood bilirubin levels increased, 2 x fatigue, 1 x each for oedema peripheral and bacteraemia).</w:t>
      </w:r>
    </w:p>
    <w:p w14:paraId="62837EA8" w14:textId="1B82629E" w:rsidR="00DF61BC" w:rsidRPr="005C2FCA" w:rsidRDefault="00DF61BC" w:rsidP="00DF61BC">
      <w:r w:rsidRPr="005C2FCA">
        <w:t>During the study, 7 patients experienced Grade 3 or 4 increased blood bilirubin, comprising 2 of the 8 patients in the normal hepatic cohort and 5 of the 6 patients in the moderate hepatic impairment cohort. Both of the 2 cases of Grade 3 or 4 increased blood bilirubin levels in the normal hepatic function cohort were considered to be related to disease progression. In the moderate hepatic impairment cohort, 3 of the 5 cases of increased blood bilirubin levels were considered to be Grade 3 non-serious treatment unrelated AEs, and the remaining 2 cases were considered to be Grade 4 SUSARs. All of the 5 patients in the moderate hepatic impairment cohort with Grade 3 or 4 increased blood bilirubin levels had liver metastases. No patients in the mild hepatic impairment cohort experienced Grade 3 or 4 increased blood bilirubin levels.</w:t>
      </w:r>
    </w:p>
    <w:p w14:paraId="699EE54B" w14:textId="740DF51A" w:rsidR="00DF61BC" w:rsidRPr="005C2FCA" w:rsidRDefault="00DF61BC" w:rsidP="00955252">
      <w:pPr>
        <w:pStyle w:val="Heading5"/>
      </w:pPr>
      <w:r w:rsidRPr="005C2FCA">
        <w:t>Evaluator’s overall conclusions on the hepatic impairment study</w:t>
      </w:r>
    </w:p>
    <w:p w14:paraId="0FCF6E87" w14:textId="5680DF01" w:rsidR="00DF61BC" w:rsidRPr="005C2FCA" w:rsidRDefault="00DF61BC" w:rsidP="00DF61BC">
      <w:r w:rsidRPr="005C2FCA">
        <w:t>The PK data for TAS-102 in patients with mild hepatic impairment are considered to be satisfactory. Steady state systemic exposure (based on AUC</w:t>
      </w:r>
      <w:r w:rsidRPr="005C2FCA">
        <w:rPr>
          <w:sz w:val="18"/>
          <w:szCs w:val="18"/>
        </w:rPr>
        <w:t>tau</w:t>
      </w:r>
      <w:r w:rsidRPr="005C2FCA">
        <w:t>) for FTD was 18% lower in the mild hepatic impairment cohort compared to the normal hepatic function cohort, while steady state systemic exposure (based on AUC</w:t>
      </w:r>
      <w:r w:rsidRPr="005C2FCA">
        <w:rPr>
          <w:sz w:val="18"/>
          <w:szCs w:val="18"/>
        </w:rPr>
        <w:t>tau</w:t>
      </w:r>
      <w:r w:rsidRPr="005C2FCA">
        <w:t>) for TPI was almost identical for the two treatment cohorts. Steady state peak exposure (based on C</w:t>
      </w:r>
      <w:r w:rsidRPr="005C2FCA">
        <w:rPr>
          <w:sz w:val="18"/>
          <w:szCs w:val="18"/>
        </w:rPr>
        <w:t>max</w:t>
      </w:r>
      <w:r w:rsidRPr="005C2FCA">
        <w:t>) for FTD was 13% lower in the mild hepatic impairment cohort compared to the normal hepatic function group, while steady state peak exposure (based on C</w:t>
      </w:r>
      <w:r w:rsidRPr="005C2FCA">
        <w:rPr>
          <w:sz w:val="18"/>
          <w:szCs w:val="18"/>
        </w:rPr>
        <w:t>max</w:t>
      </w:r>
      <w:r w:rsidRPr="005C2FCA">
        <w:t>) for TPI was almost identical for the two treatment cohorts. The Cycle 1, Day 1 results for peak exposure (based on C</w:t>
      </w:r>
      <w:r w:rsidRPr="005C2FCA">
        <w:rPr>
          <w:sz w:val="18"/>
          <w:szCs w:val="18"/>
        </w:rPr>
        <w:t>max</w:t>
      </w:r>
      <w:r w:rsidRPr="005C2FCA">
        <w:t>) and systemic exposure (based on AUC</w:t>
      </w:r>
      <w:r w:rsidRPr="005C2FCA">
        <w:rPr>
          <w:sz w:val="18"/>
          <w:szCs w:val="18"/>
        </w:rPr>
        <w:t>0-inf</w:t>
      </w:r>
      <w:r w:rsidRPr="005C2FCA">
        <w:t>) for FTD and TPI in the mild hepatic impairment group relative to the normal hepatic function group do not give rise to concern. Overall, the PK results suggest that no adjustment to TAS-102 dosage is required for patients with mild hepatic impairment.</w:t>
      </w:r>
    </w:p>
    <w:p w14:paraId="23CFE352" w14:textId="4F20E23B" w:rsidR="00DF61BC" w:rsidRPr="005C2FCA" w:rsidRDefault="00DF61BC" w:rsidP="00DF61BC">
      <w:r w:rsidRPr="005C2FCA">
        <w:t>The PK data for TAS-102 in patients with moderate hepatic impairment are more problematic. The steady state PK data in patients with moderate hepatic impairment were based on 3 patients, while the single-dose PK data were based on 4 to 5 patients. The sample size for PK analysis in patients with moderate hepatic impairment was smaller than that planned for the study (</w:t>
      </w:r>
      <w:r w:rsidR="00B2072D" w:rsidRPr="005C2FCA">
        <w:t>that is,</w:t>
      </w:r>
      <w:r w:rsidRPr="005C2FCA">
        <w:t xml:space="preserve"> at least 6 patients with evaluable PK data). The small sample size for patients with moderate hepatic impairment makes meaningful interpretation of the exposure data difficult in this patient cohort. Both the geometric mean steady state systemic exposure (based on AUC</w:t>
      </w:r>
      <w:r w:rsidRPr="005C2FCA">
        <w:rPr>
          <w:sz w:val="18"/>
          <w:szCs w:val="18"/>
        </w:rPr>
        <w:t>tau</w:t>
      </w:r>
      <w:r w:rsidRPr="005C2FCA">
        <w:t>) and peak exposure (based on C</w:t>
      </w:r>
      <w:r w:rsidRPr="005C2FCA">
        <w:rPr>
          <w:sz w:val="18"/>
          <w:szCs w:val="18"/>
        </w:rPr>
        <w:t>max</w:t>
      </w:r>
      <w:r w:rsidRPr="005C2FCA">
        <w:t>) for FTD were not increased in patients with moderate hepatic impairment compared to patients with normal hepatic function, but both geometric mean steady state systemic exposure (based on AUCtau) and peak exposure (based on Cmax) for TPI were increased by 46% and 45%, respectively, compared to patients with normal hepatic function. There were no PK data in patients with severe hepatic impairment.</w:t>
      </w:r>
    </w:p>
    <w:p w14:paraId="7950960E" w14:textId="3B93E20D" w:rsidR="00DF61BC" w:rsidRPr="005C2FCA" w:rsidRDefault="00DF61BC" w:rsidP="00DF61BC">
      <w:pPr>
        <w:autoSpaceDE w:val="0"/>
        <w:autoSpaceDN w:val="0"/>
        <w:adjustRightInd w:val="0"/>
      </w:pPr>
      <w:r w:rsidRPr="005C2FCA">
        <w:t>Overall, the safety data for patients with normal hepatic function and patients with hepatic impairment (mild; moderate) in the dedicated hepatic impairment study were consistent with the safety data from the pivotal efficacy and safety study (RECOURSE). However, the dedicated hepatic impairment study was stopped prematurely because of reports of Grade 3 or 4 increased blood bilirubin levels in 5 (83.3%) of the 6 patients in the moderate hepatic  impairment cohort. Of the 5 patients in the moderate hepatic impairment cohort with increased bilirubin levels, 2 patients had Grade 4 events, which were considered to be SUSARs related to treatment with TAS-102, and 3 patients had non-serious Grade 3 events considered to be unrelated to treatment with TAS-102. Of the 5 patients, 2 had rectal cancer, 2 had colon cancer and 1 had biliary tract cancer. All 5 patients had liver metastases. The high incidence of increased bilirubin levels in patients with moderate hepatic impairment treated with TAS-102 suggests that patients with moderate or severe hepatic impairment should not be treated with the drug.</w:t>
      </w:r>
    </w:p>
    <w:p w14:paraId="623339EA" w14:textId="77777777" w:rsidR="00AA7141" w:rsidRDefault="00DF61BC" w:rsidP="00DF61BC">
      <w:pPr>
        <w:autoSpaceDE w:val="0"/>
        <w:autoSpaceDN w:val="0"/>
        <w:adjustRightInd w:val="0"/>
      </w:pPr>
      <w:r w:rsidRPr="005C2FCA">
        <w:t>Grade 3 or 4 increased blood bilirubin levels were also reported in 2 (25%) of the 8 patients with normal hepatic function, comprising 1 patient with prostate cancer and liver metastases and 1</w:t>
      </w:r>
      <w:r w:rsidR="00691F71">
        <w:t> </w:t>
      </w:r>
      <w:r w:rsidRPr="005C2FCA">
        <w:t xml:space="preserve">patient with pancreatic cancer and lung metastases at the start of the study. Therefore, in the 2 </w:t>
      </w:r>
      <w:r w:rsidRPr="005C2FCA">
        <w:lastRenderedPageBreak/>
        <w:t xml:space="preserve">patients with normal hepatic function at baseline who developed Grade 3 or 4 increased bilirubin levels during treatment, liver metastases (with probable biliary obstruction) were a likely contributing factor. </w:t>
      </w:r>
      <w:r w:rsidRPr="00C94C33">
        <w:rPr>
          <w:rFonts w:cs="TimesNewRoman"/>
        </w:rPr>
        <w:t>In both cases, the investigator reported progressive disease as the cause of study discontinuation and blood bilirubin elevation was assessed as not related to TAS-102</w:t>
      </w:r>
      <w:r w:rsidRPr="005C2FCA">
        <w:t>. None of the 10 patients in the mild hepatic impairment cohort had Grade 3 or 4 increased bilirubin levels.</w:t>
      </w:r>
    </w:p>
    <w:p w14:paraId="549E9707" w14:textId="24FB9296" w:rsidR="00DF61BC" w:rsidRPr="005C2FCA" w:rsidRDefault="00DF61BC" w:rsidP="00DF61BC">
      <w:r w:rsidRPr="005C2FCA">
        <w:t>In summary, it is considered that the PK data from the dedicated hepatic impairment study suggest that no TAS-102 dosage adjustment is required for patients with mild hepatic impairment. However, the PK data for patients with moderate hepatic impairment are considered too limited to make meaningful recommendations relating to dosing. Furthermore, the high incidence of Grade 3 or 4 increased bilirubin levels in patients with moderate hepatic impairment is of concern and suggests that treatment with TAS-102 should not be undertaken in this patient population. There are no PK data on patients with severe hepatic impairment.</w:t>
      </w:r>
    </w:p>
    <w:p w14:paraId="6314CC3F" w14:textId="77777777" w:rsidR="00D81501" w:rsidRPr="00C94C33" w:rsidRDefault="00184C38" w:rsidP="00955252">
      <w:pPr>
        <w:pStyle w:val="Heading4"/>
      </w:pPr>
      <w:r w:rsidRPr="00C94C33">
        <w:t>Question 2</w:t>
      </w:r>
    </w:p>
    <w:p w14:paraId="2FEC6B86" w14:textId="77777777" w:rsidR="00DF61BC" w:rsidRPr="00C94C33" w:rsidRDefault="00DF61BC" w:rsidP="00D81501">
      <w:pPr>
        <w:autoSpaceDE w:val="0"/>
        <w:autoSpaceDN w:val="0"/>
        <w:adjustRightInd w:val="0"/>
        <w:spacing w:after="0"/>
        <w:rPr>
          <w:rFonts w:asciiTheme="minorHAnsi" w:hAnsiTheme="minorHAnsi"/>
          <w:bCs/>
          <w:i/>
        </w:rPr>
      </w:pPr>
      <w:r w:rsidRPr="00C94C33">
        <w:rPr>
          <w:rFonts w:asciiTheme="minorHAnsi" w:hAnsiTheme="minorHAnsi"/>
          <w:bCs/>
          <w:i/>
        </w:rPr>
        <w:t>TPI is metabolised primarily to 6-hydroxymethyl uracil (6-HMU). Please identify the</w:t>
      </w:r>
      <w:bookmarkStart w:id="492" w:name="_Toc470948628"/>
      <w:r w:rsidR="00D81501" w:rsidRPr="00C94C33">
        <w:rPr>
          <w:rFonts w:asciiTheme="minorHAnsi" w:hAnsiTheme="minorHAnsi"/>
          <w:bCs/>
          <w:i/>
        </w:rPr>
        <w:t xml:space="preserve"> </w:t>
      </w:r>
      <w:r w:rsidRPr="00C94C33">
        <w:rPr>
          <w:rFonts w:asciiTheme="minorHAnsi" w:hAnsiTheme="minorHAnsi"/>
          <w:i/>
        </w:rPr>
        <w:t>sites and mechanisms involved in this transformation.</w:t>
      </w:r>
      <w:bookmarkEnd w:id="492"/>
    </w:p>
    <w:p w14:paraId="1BE5B6F8" w14:textId="35862D06" w:rsidR="00DF61BC" w:rsidRPr="00C94C33" w:rsidRDefault="00D81501" w:rsidP="00955252">
      <w:pPr>
        <w:pStyle w:val="Heading5"/>
      </w:pPr>
      <w:r w:rsidRPr="00C94C33">
        <w:t>Sponsor</w:t>
      </w:r>
      <w:r w:rsidR="00691F71">
        <w:t>’s r</w:t>
      </w:r>
      <w:r w:rsidR="00184C38" w:rsidRPr="00C94C33">
        <w:t>esponse</w:t>
      </w:r>
    </w:p>
    <w:p w14:paraId="56A8FFEA" w14:textId="5FA26E49" w:rsidR="00DF61BC" w:rsidRPr="00C94C33" w:rsidRDefault="00DF61BC" w:rsidP="00DF61BC">
      <w:pPr>
        <w:autoSpaceDE w:val="0"/>
        <w:autoSpaceDN w:val="0"/>
        <w:adjustRightInd w:val="0"/>
        <w:rPr>
          <w:rFonts w:asciiTheme="minorHAnsi" w:hAnsiTheme="minorHAnsi"/>
        </w:rPr>
      </w:pPr>
      <w:r w:rsidRPr="005C2FCA">
        <w:rPr>
          <w:rFonts w:asciiTheme="minorHAnsi" w:hAnsiTheme="minorHAnsi"/>
          <w:iCs/>
        </w:rPr>
        <w:t>In vitro</w:t>
      </w:r>
      <w:r w:rsidRPr="00C94C33">
        <w:rPr>
          <w:rFonts w:asciiTheme="minorHAnsi" w:hAnsiTheme="minorHAnsi"/>
          <w:i/>
          <w:iCs/>
        </w:rPr>
        <w:t xml:space="preserve"> </w:t>
      </w:r>
      <w:r w:rsidRPr="00C94C33">
        <w:rPr>
          <w:rFonts w:asciiTheme="minorHAnsi" w:hAnsiTheme="minorHAnsi"/>
        </w:rPr>
        <w:t xml:space="preserve">metabolic study of </w:t>
      </w:r>
      <w:r w:rsidR="00394543" w:rsidRPr="00C94C33">
        <w:rPr>
          <w:rFonts w:asciiTheme="minorHAnsi" w:hAnsiTheme="minorHAnsi"/>
        </w:rPr>
        <w:t>[14C]</w:t>
      </w:r>
      <w:r w:rsidRPr="00C94C33">
        <w:rPr>
          <w:rFonts w:asciiTheme="minorHAnsi" w:hAnsiTheme="minorHAnsi"/>
        </w:rPr>
        <w:t>-TPI using human and rat liver S9 was performed in order to determine if metabolism involving cytochrome P-450 (P-450) was involved in generating TPI metabolites (</w:t>
      </w:r>
      <w:r w:rsidR="009D54A4">
        <w:rPr>
          <w:rFonts w:asciiTheme="minorHAnsi" w:hAnsiTheme="minorHAnsi"/>
        </w:rPr>
        <w:t>S</w:t>
      </w:r>
      <w:r w:rsidR="009D54A4" w:rsidRPr="00C94C33">
        <w:rPr>
          <w:rFonts w:asciiTheme="minorHAnsi" w:hAnsiTheme="minorHAnsi"/>
        </w:rPr>
        <w:t xml:space="preserve">tudy </w:t>
      </w:r>
      <w:r w:rsidRPr="00C94C33">
        <w:rPr>
          <w:rFonts w:asciiTheme="minorHAnsi" w:hAnsiTheme="minorHAnsi"/>
        </w:rPr>
        <w:t xml:space="preserve">99C42, </w:t>
      </w:r>
      <w:r w:rsidR="006B7C58">
        <w:rPr>
          <w:rFonts w:asciiTheme="minorHAnsi" w:hAnsiTheme="minorHAnsi"/>
        </w:rPr>
        <w:t>S</w:t>
      </w:r>
      <w:r w:rsidR="006B7C58" w:rsidRPr="00C94C33">
        <w:rPr>
          <w:rFonts w:asciiTheme="minorHAnsi" w:hAnsiTheme="minorHAnsi"/>
        </w:rPr>
        <w:t xml:space="preserve">tudy </w:t>
      </w:r>
      <w:r w:rsidR="006B7C58">
        <w:rPr>
          <w:rFonts w:asciiTheme="minorHAnsi" w:hAnsiTheme="minorHAnsi"/>
        </w:rPr>
        <w:t>R</w:t>
      </w:r>
      <w:r w:rsidR="006B7C58" w:rsidRPr="00C94C33">
        <w:rPr>
          <w:rFonts w:asciiTheme="minorHAnsi" w:hAnsiTheme="minorHAnsi"/>
        </w:rPr>
        <w:t xml:space="preserve">eport </w:t>
      </w:r>
      <w:r w:rsidRPr="00C94C33">
        <w:rPr>
          <w:rFonts w:asciiTheme="minorHAnsi" w:hAnsiTheme="minorHAnsi"/>
        </w:rPr>
        <w:t>NP34092). However, no metabolite was found during the investigation using liver S9 (+NADPH system). These findings indicate that TPI was not metabolised by cytochrome P-450 in the liver.</w:t>
      </w:r>
    </w:p>
    <w:p w14:paraId="2C6E9A36" w14:textId="3B4A5075" w:rsidR="00DF61BC" w:rsidRPr="00C94C33" w:rsidRDefault="00DF61BC" w:rsidP="00DF61BC">
      <w:pPr>
        <w:autoSpaceDE w:val="0"/>
        <w:autoSpaceDN w:val="0"/>
        <w:adjustRightInd w:val="0"/>
        <w:rPr>
          <w:rFonts w:asciiTheme="minorHAnsi" w:hAnsiTheme="minorHAnsi" w:cs="Calibri"/>
        </w:rPr>
      </w:pPr>
      <w:r w:rsidRPr="00C94C33">
        <w:rPr>
          <w:rFonts w:asciiTheme="minorHAnsi" w:hAnsiTheme="minorHAnsi"/>
        </w:rPr>
        <w:t xml:space="preserve">During the clinical development of TAS-102, a </w:t>
      </w:r>
      <w:r w:rsidR="00842E8F" w:rsidRPr="00C94C33">
        <w:rPr>
          <w:rFonts w:asciiTheme="minorHAnsi" w:hAnsiTheme="minorHAnsi"/>
        </w:rPr>
        <w:t>Phase I</w:t>
      </w:r>
      <w:r w:rsidRPr="00C94C33">
        <w:rPr>
          <w:rFonts w:asciiTheme="minorHAnsi" w:hAnsiTheme="minorHAnsi"/>
        </w:rPr>
        <w:t xml:space="preserve"> open</w:t>
      </w:r>
      <w:r w:rsidR="009D54A4">
        <w:rPr>
          <w:rFonts w:asciiTheme="minorHAnsi" w:hAnsiTheme="minorHAnsi"/>
        </w:rPr>
        <w:t xml:space="preserve"> </w:t>
      </w:r>
      <w:r w:rsidRPr="00C94C33">
        <w:rPr>
          <w:rFonts w:asciiTheme="minorHAnsi" w:hAnsiTheme="minorHAnsi"/>
        </w:rPr>
        <w:t xml:space="preserve">label study was performed to evaluate the mass balance of orally administered FTD and TPI as components of TAS-102 in patients with advanced solid tumours, using a light tracer dose of </w:t>
      </w:r>
      <w:r w:rsidR="00394543" w:rsidRPr="00C94C33">
        <w:rPr>
          <w:rFonts w:asciiTheme="minorHAnsi" w:hAnsiTheme="minorHAnsi"/>
        </w:rPr>
        <w:t>[14C]</w:t>
      </w:r>
      <w:r w:rsidRPr="00C94C33">
        <w:rPr>
          <w:rFonts w:asciiTheme="minorHAnsi" w:hAnsiTheme="minorHAnsi"/>
        </w:rPr>
        <w:t xml:space="preserve">-FTD or </w:t>
      </w:r>
      <w:r w:rsidR="00394543" w:rsidRPr="00C94C33">
        <w:rPr>
          <w:rFonts w:asciiTheme="minorHAnsi" w:hAnsiTheme="minorHAnsi"/>
        </w:rPr>
        <w:t>[14C]</w:t>
      </w:r>
      <w:r w:rsidRPr="00C94C33">
        <w:rPr>
          <w:rFonts w:asciiTheme="minorHAnsi" w:hAnsiTheme="minorHAnsi"/>
        </w:rPr>
        <w:t>-TPI (</w:t>
      </w:r>
      <w:r w:rsidR="009D54A4">
        <w:rPr>
          <w:rFonts w:asciiTheme="minorHAnsi" w:hAnsiTheme="minorHAnsi"/>
        </w:rPr>
        <w:t>S</w:t>
      </w:r>
      <w:r w:rsidR="009D54A4" w:rsidRPr="00C94C33">
        <w:rPr>
          <w:rFonts w:asciiTheme="minorHAnsi" w:hAnsiTheme="minorHAnsi"/>
        </w:rPr>
        <w:t>tudy</w:t>
      </w:r>
      <w:r w:rsidR="002D1CA1">
        <w:rPr>
          <w:rFonts w:asciiTheme="minorHAnsi" w:hAnsiTheme="minorHAnsi"/>
        </w:rPr>
        <w:t> </w:t>
      </w:r>
      <w:r w:rsidRPr="00C94C33">
        <w:rPr>
          <w:rFonts w:asciiTheme="minorHAnsi" w:hAnsiTheme="minorHAnsi"/>
        </w:rPr>
        <w:t>TPU</w:t>
      </w:r>
      <w:r w:rsidR="002D1CA1">
        <w:rPr>
          <w:rFonts w:asciiTheme="minorHAnsi" w:hAnsiTheme="minorHAnsi"/>
        </w:rPr>
        <w:noBreakHyphen/>
      </w:r>
      <w:r w:rsidRPr="00C94C33">
        <w:rPr>
          <w:rFonts w:asciiTheme="minorHAnsi" w:hAnsiTheme="minorHAnsi"/>
        </w:rPr>
        <w:t>TAS</w:t>
      </w:r>
      <w:r w:rsidR="002D1CA1">
        <w:rPr>
          <w:rFonts w:asciiTheme="minorHAnsi" w:hAnsiTheme="minorHAnsi"/>
        </w:rPr>
        <w:noBreakHyphen/>
      </w:r>
      <w:r w:rsidRPr="00C94C33">
        <w:rPr>
          <w:rFonts w:asciiTheme="minorHAnsi" w:hAnsiTheme="minorHAnsi"/>
        </w:rPr>
        <w:t>102</w:t>
      </w:r>
      <w:r w:rsidR="002D1CA1">
        <w:rPr>
          <w:rFonts w:asciiTheme="minorHAnsi" w:hAnsiTheme="minorHAnsi"/>
        </w:rPr>
        <w:noBreakHyphen/>
      </w:r>
      <w:r w:rsidRPr="00C94C33">
        <w:rPr>
          <w:rFonts w:asciiTheme="minorHAnsi" w:hAnsiTheme="minorHAnsi"/>
        </w:rPr>
        <w:t xml:space="preserve">108, </w:t>
      </w:r>
      <w:r w:rsidR="009D54A4">
        <w:rPr>
          <w:rFonts w:asciiTheme="minorHAnsi" w:hAnsiTheme="minorHAnsi"/>
        </w:rPr>
        <w:t>S</w:t>
      </w:r>
      <w:r w:rsidR="009D54A4" w:rsidRPr="00C94C33">
        <w:rPr>
          <w:rFonts w:asciiTheme="minorHAnsi" w:hAnsiTheme="minorHAnsi"/>
        </w:rPr>
        <w:t xml:space="preserve">tudy </w:t>
      </w:r>
      <w:r w:rsidR="009D54A4">
        <w:rPr>
          <w:rFonts w:asciiTheme="minorHAnsi" w:hAnsiTheme="minorHAnsi"/>
        </w:rPr>
        <w:t>R</w:t>
      </w:r>
      <w:r w:rsidR="009D54A4" w:rsidRPr="00C94C33">
        <w:rPr>
          <w:rFonts w:asciiTheme="minorHAnsi" w:hAnsiTheme="minorHAnsi"/>
        </w:rPr>
        <w:t xml:space="preserve">eport </w:t>
      </w:r>
      <w:r w:rsidRPr="00C94C33">
        <w:rPr>
          <w:rFonts w:asciiTheme="minorHAnsi" w:hAnsiTheme="minorHAnsi"/>
        </w:rPr>
        <w:t xml:space="preserve">NP34337). After oral administration of TAS-102 with </w:t>
      </w:r>
      <w:r w:rsidR="00394543" w:rsidRPr="00C94C33">
        <w:rPr>
          <w:rFonts w:asciiTheme="minorHAnsi" w:hAnsiTheme="minorHAnsi"/>
        </w:rPr>
        <w:t>[14C]</w:t>
      </w:r>
      <w:r w:rsidRPr="00C94C33">
        <w:rPr>
          <w:rFonts w:asciiTheme="minorHAnsi" w:hAnsiTheme="minorHAnsi"/>
        </w:rPr>
        <w:t xml:space="preserve">-TPI, overall, on average, 76.8 % of the total radioactivity (TRA) dose was recovered, consisting of 27.0 % urinary excretion and 49.7 % faecal excretion. Based on the animal study in rats with </w:t>
      </w:r>
      <w:r w:rsidR="00394543" w:rsidRPr="00C94C33">
        <w:rPr>
          <w:rFonts w:asciiTheme="minorHAnsi" w:hAnsiTheme="minorHAnsi"/>
        </w:rPr>
        <w:t>[14C]</w:t>
      </w:r>
      <w:r w:rsidRPr="00C94C33">
        <w:rPr>
          <w:rFonts w:asciiTheme="minorHAnsi" w:hAnsiTheme="minorHAnsi"/>
        </w:rPr>
        <w:t>-TPI (</w:t>
      </w:r>
      <w:r w:rsidR="009D54A4">
        <w:rPr>
          <w:rFonts w:asciiTheme="minorHAnsi" w:hAnsiTheme="minorHAnsi"/>
        </w:rPr>
        <w:t>S</w:t>
      </w:r>
      <w:r w:rsidR="009D54A4" w:rsidRPr="00C94C33">
        <w:rPr>
          <w:rFonts w:asciiTheme="minorHAnsi" w:hAnsiTheme="minorHAnsi"/>
        </w:rPr>
        <w:t>tudy</w:t>
      </w:r>
      <w:r w:rsidR="009D54A4">
        <w:rPr>
          <w:rFonts w:asciiTheme="minorHAnsi" w:hAnsiTheme="minorHAnsi"/>
        </w:rPr>
        <w:t> </w:t>
      </w:r>
      <w:r w:rsidRPr="00C94C33">
        <w:rPr>
          <w:rFonts w:asciiTheme="minorHAnsi" w:hAnsiTheme="minorHAnsi"/>
        </w:rPr>
        <w:t>AE</w:t>
      </w:r>
      <w:r w:rsidR="002D1CA1">
        <w:rPr>
          <w:rFonts w:asciiTheme="minorHAnsi" w:hAnsiTheme="minorHAnsi"/>
        </w:rPr>
        <w:noBreakHyphen/>
      </w:r>
      <w:r w:rsidRPr="00C94C33">
        <w:rPr>
          <w:rFonts w:asciiTheme="minorHAnsi" w:hAnsiTheme="minorHAnsi"/>
        </w:rPr>
        <w:t xml:space="preserve">2350-2G, </w:t>
      </w:r>
      <w:r w:rsidR="009D54A4">
        <w:rPr>
          <w:rFonts w:asciiTheme="minorHAnsi" w:hAnsiTheme="minorHAnsi"/>
        </w:rPr>
        <w:t>S</w:t>
      </w:r>
      <w:r w:rsidR="009D54A4" w:rsidRPr="00C94C33">
        <w:rPr>
          <w:rFonts w:asciiTheme="minorHAnsi" w:hAnsiTheme="minorHAnsi"/>
        </w:rPr>
        <w:t xml:space="preserve">tudy </w:t>
      </w:r>
      <w:r w:rsidR="009D54A4">
        <w:rPr>
          <w:rFonts w:asciiTheme="minorHAnsi" w:hAnsiTheme="minorHAnsi"/>
        </w:rPr>
        <w:t>R</w:t>
      </w:r>
      <w:r w:rsidR="009D54A4" w:rsidRPr="00C94C33">
        <w:rPr>
          <w:rFonts w:asciiTheme="minorHAnsi" w:hAnsiTheme="minorHAnsi"/>
        </w:rPr>
        <w:t xml:space="preserve">eport </w:t>
      </w:r>
      <w:r w:rsidRPr="00C94C33">
        <w:rPr>
          <w:rFonts w:asciiTheme="minorHAnsi" w:hAnsiTheme="minorHAnsi"/>
        </w:rPr>
        <w:t xml:space="preserve">NP34137), the biliary excretion of TPI and metabolites is expected to be negligible in human. Thus, the majority of the TRA that was recovered in the faeces suggests moderate gastrointestinal absorption of TPI. In urine, TPI was the major component (79.1 % of urine TRA) and 6-HMU was the major metabolite of TPI (14.0 % of urine TRA). Therefore, renal clearance seems to be the major TPI elimination pathway, which minimises the potential impact of </w:t>
      </w:r>
      <w:r w:rsidRPr="00C94C33">
        <w:rPr>
          <w:rFonts w:asciiTheme="minorHAnsi" w:hAnsiTheme="minorHAnsi" w:cs="Calibri"/>
        </w:rPr>
        <w:t>an inhibitor of the enzyme involved in the metabolism of TPI to 6-HMU.</w:t>
      </w:r>
    </w:p>
    <w:p w14:paraId="2A1EDA2B" w14:textId="77777777" w:rsidR="00DF61BC" w:rsidRPr="00C94C33" w:rsidRDefault="00DF61BC" w:rsidP="00955252">
      <w:pPr>
        <w:pStyle w:val="Heading5"/>
      </w:pPr>
      <w:r w:rsidRPr="00C94C33">
        <w:t>Evaluat</w:t>
      </w:r>
      <w:r w:rsidR="00184C38" w:rsidRPr="00C94C33">
        <w:t>ion of response</w:t>
      </w:r>
    </w:p>
    <w:p w14:paraId="7CA46135" w14:textId="5FBEFF2F" w:rsidR="00DF61BC" w:rsidRPr="005C2FCA" w:rsidRDefault="00DF61BC" w:rsidP="00DF61BC">
      <w:pPr>
        <w:widowControl w:val="0"/>
        <w:autoSpaceDE w:val="0"/>
        <w:autoSpaceDN w:val="0"/>
        <w:adjustRightInd w:val="0"/>
        <w:rPr>
          <w:rFonts w:asciiTheme="majorHAnsi" w:hAnsiTheme="majorHAnsi" w:cs="Calibri"/>
        </w:rPr>
      </w:pPr>
      <w:r w:rsidRPr="00C94C33">
        <w:rPr>
          <w:rFonts w:asciiTheme="minorHAnsi" w:hAnsiTheme="minorHAnsi" w:cstheme="minorHAnsi"/>
          <w:bCs/>
        </w:rPr>
        <w:t xml:space="preserve">The sponsor’s response did not state the mechanism of conversion of the transformation of TPI to 6-HMU, nor did it identify possible sites where the transformation might occur. </w:t>
      </w:r>
      <w:r w:rsidRPr="00C94C33">
        <w:rPr>
          <w:rFonts w:asciiTheme="minorHAnsi" w:hAnsiTheme="minorHAnsi" w:cstheme="minorHAnsi"/>
        </w:rPr>
        <w:t xml:space="preserve">Review of the mass balance study report (TPU-TAS-102-108) indicates that 6-HMU </w:t>
      </w:r>
      <w:r w:rsidRPr="005C2FCA">
        <w:rPr>
          <w:rFonts w:asciiTheme="minorHAnsi" w:hAnsiTheme="minorHAnsi" w:cstheme="minorHAnsi"/>
        </w:rPr>
        <w:t xml:space="preserve">as been identified as a major metabolite in rats, whereas in a Japanese clinical study </w:t>
      </w:r>
      <w:r w:rsidR="00A0007E" w:rsidRPr="005C2FCA">
        <w:rPr>
          <w:rFonts w:asciiTheme="minorHAnsi" w:hAnsiTheme="minorHAnsi" w:cstheme="minorHAnsi"/>
        </w:rPr>
        <w:t>(</w:t>
      </w:r>
      <w:r w:rsidRPr="005C2FCA">
        <w:rPr>
          <w:rFonts w:asciiTheme="minorHAnsi" w:hAnsiTheme="minorHAnsi" w:cstheme="minorHAnsi"/>
        </w:rPr>
        <w:t>Study J001-10040010</w:t>
      </w:r>
      <w:r w:rsidR="00A0007E" w:rsidRPr="005C2FCA">
        <w:rPr>
          <w:rFonts w:asciiTheme="minorHAnsi" w:hAnsiTheme="minorHAnsi" w:cstheme="minorHAnsi"/>
        </w:rPr>
        <w:t>)</w:t>
      </w:r>
      <w:r w:rsidRPr="005C2FCA">
        <w:rPr>
          <w:rFonts w:asciiTheme="minorHAnsi" w:hAnsiTheme="minorHAnsi" w:cstheme="minorHAnsi"/>
        </w:rPr>
        <w:t xml:space="preserve"> the concentration of this metabolite was at trace levels both in both plasma and urine. Furthermore, in vitro studies using human hepatocytes or liver microsomes revealed that TPI is sparingly metabolised in these biomaterials, suggesting poor hepatic metabolism of this compound in humans. However, in the mass balance study, the radiochromatograms of pooled samples suggested that plasma total radio-activity (TRA) consisted of 30.9% 6-HMU and 53.1% TPI, urine TRA consisted of 14.0% 6-HMU and 79.1% TPI, and fecal TRA consisted of 34.4% 6-HMU and 48.2% TPI. The sponsor comments that the relatively large proportion of 6-HMU in the mass balance study is due to the longer sample collection time (up to 1 week) compared to the Japanese clinical study.  In the mass balance study, broad secondary peaks in 6-HMU were observed at both plasma and blood at time-points later than 48 hours. Furthermore, the metabolite appeared in plasma or in blood after disappearance of TPI, which suggests that 6-HMU was slowly produced via a metabolic pathway other than hepatic metabolism.</w:t>
      </w:r>
    </w:p>
    <w:p w14:paraId="49323A4B" w14:textId="7E7F4000" w:rsidR="00DF61BC" w:rsidRPr="00C94C33" w:rsidRDefault="00DF61BC" w:rsidP="00955252">
      <w:pPr>
        <w:pStyle w:val="Heading3"/>
      </w:pPr>
      <w:bookmarkStart w:id="493" w:name="_Toc470948629"/>
      <w:bookmarkStart w:id="494" w:name="_Toc510016911"/>
      <w:r w:rsidRPr="00C94C33">
        <w:lastRenderedPageBreak/>
        <w:t>Safety</w:t>
      </w:r>
      <w:bookmarkEnd w:id="493"/>
      <w:bookmarkEnd w:id="494"/>
    </w:p>
    <w:p w14:paraId="26F33BD2" w14:textId="3D5089F0" w:rsidR="00D81501" w:rsidRPr="00C94C33" w:rsidRDefault="00DF61BC" w:rsidP="00955252">
      <w:pPr>
        <w:pStyle w:val="Heading4"/>
      </w:pPr>
      <w:r w:rsidRPr="00C94C33">
        <w:t>Q</w:t>
      </w:r>
      <w:r w:rsidR="00D81501" w:rsidRPr="00C94C33">
        <w:t>uestion 1</w:t>
      </w:r>
    </w:p>
    <w:p w14:paraId="5C4AA255" w14:textId="328EAF1D" w:rsidR="00DF61BC" w:rsidRPr="00C94C33" w:rsidRDefault="00DF61BC" w:rsidP="00D81501">
      <w:pPr>
        <w:autoSpaceDE w:val="0"/>
        <w:autoSpaceDN w:val="0"/>
        <w:adjustRightInd w:val="0"/>
        <w:spacing w:after="0"/>
        <w:rPr>
          <w:rFonts w:asciiTheme="minorHAnsi" w:hAnsiTheme="minorHAnsi"/>
          <w:bCs/>
          <w:i/>
        </w:rPr>
      </w:pPr>
      <w:r w:rsidRPr="00C94C33">
        <w:rPr>
          <w:rFonts w:asciiTheme="minorHAnsi" w:hAnsiTheme="minorHAnsi"/>
          <w:bCs/>
          <w:i/>
        </w:rPr>
        <w:t xml:space="preserve">In the pivotal study </w:t>
      </w:r>
      <w:r w:rsidR="00A0007E" w:rsidRPr="00C94C33">
        <w:rPr>
          <w:rFonts w:asciiTheme="minorHAnsi" w:hAnsiTheme="minorHAnsi"/>
          <w:bCs/>
          <w:i/>
        </w:rPr>
        <w:t>(</w:t>
      </w:r>
      <w:r w:rsidRPr="00C94C33">
        <w:rPr>
          <w:rFonts w:asciiTheme="minorHAnsi" w:hAnsiTheme="minorHAnsi"/>
          <w:bCs/>
          <w:i/>
        </w:rPr>
        <w:t>RECOURSE</w:t>
      </w:r>
      <w:r w:rsidR="00A0007E" w:rsidRPr="00C94C33">
        <w:rPr>
          <w:rFonts w:asciiTheme="minorHAnsi" w:hAnsiTheme="minorHAnsi"/>
          <w:bCs/>
          <w:i/>
        </w:rPr>
        <w:t>)</w:t>
      </w:r>
      <w:r w:rsidRPr="00C94C33">
        <w:rPr>
          <w:rFonts w:asciiTheme="minorHAnsi" w:hAnsiTheme="minorHAnsi"/>
          <w:bCs/>
          <w:i/>
        </w:rPr>
        <w:t>, the total number of weeks of exposure was</w:t>
      </w:r>
      <w:r w:rsidR="00D81501" w:rsidRPr="00C94C33">
        <w:rPr>
          <w:rFonts w:asciiTheme="minorHAnsi" w:hAnsiTheme="minorHAnsi"/>
          <w:bCs/>
          <w:i/>
        </w:rPr>
        <w:t xml:space="preserve"> </w:t>
      </w:r>
      <w:r w:rsidRPr="00C94C33">
        <w:rPr>
          <w:rFonts w:asciiTheme="minorHAnsi" w:hAnsiTheme="minorHAnsi"/>
          <w:bCs/>
          <w:i/>
        </w:rPr>
        <w:t>approximately 4-fold longer in the TAS-102 group tha</w:t>
      </w:r>
      <w:r w:rsidR="00D81501" w:rsidRPr="00C94C33">
        <w:rPr>
          <w:rFonts w:asciiTheme="minorHAnsi" w:hAnsiTheme="minorHAnsi"/>
          <w:bCs/>
          <w:i/>
        </w:rPr>
        <w:t>n in the placebo group (6743</w:t>
      </w:r>
      <w:r w:rsidR="00C11183">
        <w:rPr>
          <w:rFonts w:asciiTheme="minorHAnsi" w:hAnsiTheme="minorHAnsi"/>
          <w:bCs/>
          <w:i/>
        </w:rPr>
        <w:t xml:space="preserve"> versus </w:t>
      </w:r>
      <w:r w:rsidRPr="00C94C33">
        <w:rPr>
          <w:rFonts w:asciiTheme="minorHAnsi" w:hAnsiTheme="minorHAnsi"/>
          <w:bCs/>
          <w:i/>
        </w:rPr>
        <w:t>1791 weeks respectively). No safety data could be</w:t>
      </w:r>
      <w:r w:rsidR="00D81501" w:rsidRPr="00C94C33">
        <w:rPr>
          <w:rFonts w:asciiTheme="minorHAnsi" w:hAnsiTheme="minorHAnsi"/>
          <w:bCs/>
          <w:i/>
        </w:rPr>
        <w:t xml:space="preserve"> identified in the study report </w:t>
      </w:r>
      <w:r w:rsidRPr="00C94C33">
        <w:rPr>
          <w:rFonts w:asciiTheme="minorHAnsi" w:hAnsiTheme="minorHAnsi"/>
          <w:bCs/>
          <w:i/>
        </w:rPr>
        <w:t>comparing safety outcomes in the two treatment gr</w:t>
      </w:r>
      <w:r w:rsidR="00D81501" w:rsidRPr="00C94C33">
        <w:rPr>
          <w:rFonts w:asciiTheme="minorHAnsi" w:hAnsiTheme="minorHAnsi"/>
          <w:bCs/>
          <w:i/>
        </w:rPr>
        <w:t xml:space="preserve">oups adjusted for duration of </w:t>
      </w:r>
      <w:r w:rsidRPr="00C94C33">
        <w:rPr>
          <w:rFonts w:asciiTheme="minorHAnsi" w:hAnsiTheme="minorHAnsi"/>
          <w:bCs/>
          <w:i/>
        </w:rPr>
        <w:t>exposure. Please justify the absence of pivotal com</w:t>
      </w:r>
      <w:r w:rsidR="00D81501" w:rsidRPr="00C94C33">
        <w:rPr>
          <w:rFonts w:asciiTheme="minorHAnsi" w:hAnsiTheme="minorHAnsi"/>
          <w:bCs/>
          <w:i/>
        </w:rPr>
        <w:t xml:space="preserve">parative safety data </w:t>
      </w:r>
      <w:r w:rsidR="00A0007E" w:rsidRPr="00C94C33">
        <w:rPr>
          <w:rFonts w:asciiTheme="minorHAnsi" w:hAnsiTheme="minorHAnsi"/>
          <w:bCs/>
          <w:i/>
        </w:rPr>
        <w:t>(</w:t>
      </w:r>
      <w:r w:rsidR="00D81501" w:rsidRPr="00C94C33">
        <w:rPr>
          <w:rFonts w:asciiTheme="minorHAnsi" w:hAnsiTheme="minorHAnsi"/>
          <w:bCs/>
          <w:i/>
        </w:rPr>
        <w:t>RECOURSE</w:t>
      </w:r>
      <w:r w:rsidR="00A0007E" w:rsidRPr="00C94C33">
        <w:rPr>
          <w:rFonts w:asciiTheme="minorHAnsi" w:hAnsiTheme="minorHAnsi"/>
          <w:bCs/>
          <w:i/>
        </w:rPr>
        <w:t>)</w:t>
      </w:r>
      <w:r w:rsidR="00D81501" w:rsidRPr="00C94C33">
        <w:rPr>
          <w:rFonts w:asciiTheme="minorHAnsi" w:hAnsiTheme="minorHAnsi"/>
          <w:bCs/>
          <w:i/>
        </w:rPr>
        <w:t xml:space="preserve"> </w:t>
      </w:r>
      <w:r w:rsidRPr="00C94C33">
        <w:rPr>
          <w:rFonts w:asciiTheme="minorHAnsi" w:hAnsiTheme="minorHAnsi"/>
          <w:bCs/>
          <w:i/>
        </w:rPr>
        <w:t>adjusted for duration of exposure.</w:t>
      </w:r>
    </w:p>
    <w:p w14:paraId="364275D0" w14:textId="1523C687" w:rsidR="00DF61BC" w:rsidRPr="00C94C33" w:rsidRDefault="00D81501" w:rsidP="00184C38">
      <w:pPr>
        <w:pStyle w:val="Heading5"/>
      </w:pPr>
      <w:r w:rsidRPr="00C94C33">
        <w:t>Sponsor</w:t>
      </w:r>
      <w:r w:rsidR="002D1CA1">
        <w:t>’s r</w:t>
      </w:r>
      <w:r w:rsidR="00184C38" w:rsidRPr="00C94C33">
        <w:t>esponse</w:t>
      </w:r>
    </w:p>
    <w:p w14:paraId="2EAE8BB9" w14:textId="77777777" w:rsidR="00184C38" w:rsidRPr="00C94C33" w:rsidRDefault="00DF61BC" w:rsidP="00DF61BC">
      <w:pPr>
        <w:autoSpaceDE w:val="0"/>
        <w:autoSpaceDN w:val="0"/>
        <w:adjustRightInd w:val="0"/>
        <w:rPr>
          <w:rFonts w:asciiTheme="minorHAnsi" w:hAnsiTheme="minorHAnsi"/>
        </w:rPr>
      </w:pPr>
      <w:r w:rsidRPr="00C94C33">
        <w:rPr>
          <w:rFonts w:asciiTheme="minorHAnsi" w:hAnsiTheme="minorHAnsi"/>
        </w:rPr>
        <w:t>The sponsor stated that in the clinical study report submitted for RECOURSE analysis of the safety data adjusted for duration of exposure was performed and presented for treatment-related AEs. The sponsor states that although these results were not detailed (in the study report), it was concluded in the safe</w:t>
      </w:r>
      <w:r w:rsidR="00184C38" w:rsidRPr="00C94C33">
        <w:rPr>
          <w:rFonts w:asciiTheme="minorHAnsi" w:hAnsiTheme="minorHAnsi"/>
        </w:rPr>
        <w:t>ty part that:</w:t>
      </w:r>
    </w:p>
    <w:p w14:paraId="793305E8" w14:textId="1883EB22" w:rsidR="00184C38" w:rsidRPr="00C94C33" w:rsidRDefault="002D1CA1" w:rsidP="00184C38">
      <w:pPr>
        <w:ind w:left="720"/>
        <w:rPr>
          <w:i/>
        </w:rPr>
      </w:pPr>
      <w:r>
        <w:rPr>
          <w:i/>
        </w:rPr>
        <w:t>‘</w:t>
      </w:r>
      <w:r w:rsidR="00DF61BC" w:rsidRPr="00C94C33">
        <w:rPr>
          <w:i/>
        </w:rPr>
        <w:t>while there were several safety aspects that showed a higher frequency for TAS-102 compared to placebo, the total time on treatment was nearly 4 times greater in the TAS-102 group than in the placebo group (TAS-102: 6744 weeks, placebo: 1791 weeks), thereby rendering a greater probability to detect events on the TAS-102 treatment arm than on placebo</w:t>
      </w:r>
      <w:r>
        <w:rPr>
          <w:i/>
        </w:rPr>
        <w:t>’.</w:t>
      </w:r>
    </w:p>
    <w:p w14:paraId="35767CFC" w14:textId="17E032C6" w:rsidR="00DF61BC" w:rsidRPr="00C94C33" w:rsidRDefault="00DF61BC" w:rsidP="00DF61BC">
      <w:pPr>
        <w:autoSpaceDE w:val="0"/>
        <w:autoSpaceDN w:val="0"/>
        <w:adjustRightInd w:val="0"/>
        <w:rPr>
          <w:rFonts w:asciiTheme="minorHAnsi" w:hAnsiTheme="minorHAnsi"/>
        </w:rPr>
      </w:pPr>
      <w:r w:rsidRPr="00C94C33">
        <w:rPr>
          <w:rFonts w:asciiTheme="minorHAnsi" w:hAnsiTheme="minorHAnsi"/>
        </w:rPr>
        <w:t xml:space="preserve">Moreover, treatment-related AE incidence rates adjusted for drug exposure were presented as a part of the answer to the major objection question at D120 of the </w:t>
      </w:r>
      <w:r w:rsidR="00184C38" w:rsidRPr="00C94C33">
        <w:rPr>
          <w:rFonts w:asciiTheme="minorHAnsi" w:hAnsiTheme="minorHAnsi"/>
        </w:rPr>
        <w:t>EMA</w:t>
      </w:r>
      <w:r w:rsidRPr="00C94C33">
        <w:rPr>
          <w:rFonts w:asciiTheme="minorHAnsi" w:hAnsiTheme="minorHAnsi"/>
        </w:rPr>
        <w:t>.</w:t>
      </w:r>
    </w:p>
    <w:p w14:paraId="73DF34FC" w14:textId="01C6FF5B" w:rsidR="00184C38" w:rsidRPr="00C94C33" w:rsidRDefault="00DF61BC" w:rsidP="005C2FCA">
      <w:pPr>
        <w:autoSpaceDE w:val="0"/>
        <w:autoSpaceDN w:val="0"/>
        <w:adjustRightInd w:val="0"/>
        <w:rPr>
          <w:rFonts w:cstheme="minorBidi"/>
          <w:b/>
        </w:rPr>
      </w:pPr>
      <w:r w:rsidRPr="00C94C33">
        <w:rPr>
          <w:rFonts w:asciiTheme="minorHAnsi" w:hAnsiTheme="minorHAnsi"/>
          <w:color w:val="000000"/>
        </w:rPr>
        <w:t>The sponsor provided an analysis of treatment-related AEs occurring during RECOURSE summarised by frequency and incidence rate adjusted for duration of exposure (based on a 100 patient-years exposure rate). The sponsor provided a discussion on the differences between the two treatment groups (TAS-102</w:t>
      </w:r>
      <w:r w:rsidR="00C11183">
        <w:rPr>
          <w:rFonts w:asciiTheme="minorHAnsi" w:hAnsiTheme="minorHAnsi"/>
          <w:color w:val="000000"/>
        </w:rPr>
        <w:t xml:space="preserve"> versus </w:t>
      </w:r>
      <w:r w:rsidRPr="00C94C33">
        <w:rPr>
          <w:rFonts w:asciiTheme="minorHAnsi" w:hAnsiTheme="minorHAnsi"/>
          <w:color w:val="000000"/>
        </w:rPr>
        <w:t>placebo) in the treatment-related incidence rates (unadjusted</w:t>
      </w:r>
      <w:r w:rsidR="00C11183">
        <w:rPr>
          <w:rFonts w:asciiTheme="minorHAnsi" w:hAnsiTheme="minorHAnsi"/>
          <w:color w:val="000000"/>
        </w:rPr>
        <w:t xml:space="preserve"> versus </w:t>
      </w:r>
      <w:r w:rsidRPr="00C94C33">
        <w:rPr>
          <w:rFonts w:asciiTheme="minorHAnsi" w:hAnsiTheme="minorHAnsi"/>
          <w:color w:val="000000"/>
        </w:rPr>
        <w:t>adjusted for duration of exposure) based on the data provided below.</w:t>
      </w:r>
    </w:p>
    <w:p w14:paraId="550094B7" w14:textId="780F1DC9" w:rsidR="00DF61BC" w:rsidRPr="00C94C33" w:rsidRDefault="00184C38" w:rsidP="00184C38">
      <w:pPr>
        <w:pStyle w:val="Tabletitle"/>
      </w:pPr>
      <w:r w:rsidRPr="00C94C33">
        <w:t>Table 7</w:t>
      </w:r>
      <w:r w:rsidR="00996E3F">
        <w:t>3</w:t>
      </w:r>
      <w:r w:rsidRPr="00C94C33">
        <w:t xml:space="preserve">: </w:t>
      </w:r>
      <w:r w:rsidR="00DF61BC" w:rsidRPr="00C94C33">
        <w:t>RECOURSE pivotal Phase III study</w:t>
      </w:r>
      <w:r w:rsidR="002D1CA1">
        <w:t xml:space="preserve">; </w:t>
      </w:r>
      <w:r w:rsidR="00DF61BC" w:rsidRPr="00C94C33">
        <w:t xml:space="preserve">Treatment-related adverse events as reported by the </w:t>
      </w:r>
      <w:r w:rsidR="00DF61BC" w:rsidRPr="00C94C33">
        <w:rPr>
          <w:rFonts w:eastAsia="TimesNewRomanPS-BoldMT"/>
        </w:rPr>
        <w:t>Investigator (≥ 10% in the TAS</w:t>
      </w:r>
      <w:r w:rsidR="00DF61BC" w:rsidRPr="00C94C33">
        <w:t>-102 group considering adverse events with PT clinically similar)</w:t>
      </w:r>
      <w:r w:rsidR="002D1CA1">
        <w:t>;</w:t>
      </w:r>
      <w:r w:rsidR="00DF61BC" w:rsidRPr="00C94C33">
        <w:t xml:space="preserve"> Frequency and exposure adjusted incidence rates (% Patient-Years </w:t>
      </w:r>
      <w:r w:rsidR="00A0007E" w:rsidRPr="00C94C33">
        <w:t>(</w:t>
      </w:r>
      <w:r w:rsidR="00DF61BC" w:rsidRPr="00C94C33">
        <w:t>PY</w:t>
      </w:r>
      <w:r w:rsidR="00A0007E" w:rsidRPr="00C94C33">
        <w:t>)</w:t>
      </w:r>
      <w:r w:rsidR="00DF61BC" w:rsidRPr="00C94C33">
        <w:t>)</w:t>
      </w:r>
      <w:r w:rsidR="002D1CA1">
        <w:t>,</w:t>
      </w:r>
      <w:r w:rsidR="00DF61BC" w:rsidRPr="00C94C33">
        <w:t xml:space="preserve"> </w:t>
      </w:r>
      <w:r w:rsidR="00DF61BC" w:rsidRPr="00C94C33">
        <w:rPr>
          <w:rFonts w:eastAsia="TimesNewRomanPS-BoldMT"/>
        </w:rPr>
        <w:t xml:space="preserve">All grades and </w:t>
      </w:r>
      <w:r w:rsidR="002D1CA1">
        <w:rPr>
          <w:rFonts w:eastAsia="TimesNewRomanPS-BoldMT"/>
        </w:rPr>
        <w:t>G</w:t>
      </w:r>
      <w:r w:rsidR="002D1CA1" w:rsidRPr="00C94C33">
        <w:rPr>
          <w:rFonts w:eastAsia="TimesNewRomanPS-BoldMT"/>
        </w:rPr>
        <w:t xml:space="preserve">rade </w:t>
      </w:r>
      <w:r w:rsidR="00DF61BC" w:rsidRPr="00C94C33">
        <w:rPr>
          <w:rFonts w:eastAsia="TimesNewRomanPS-BoldMT"/>
        </w:rPr>
        <w:t>≥ 3 in the</w:t>
      </w:r>
      <w:r w:rsidR="00DF61BC" w:rsidRPr="00C94C33">
        <w:t xml:space="preserve"> Safety Set (N = 798)</w:t>
      </w:r>
    </w:p>
    <w:p w14:paraId="12562359" w14:textId="60AD626B" w:rsidR="00DF61BC" w:rsidRPr="00C94C33" w:rsidRDefault="00A02F57" w:rsidP="00DF61BC">
      <w:pPr>
        <w:autoSpaceDE w:val="0"/>
        <w:autoSpaceDN w:val="0"/>
        <w:adjustRightInd w:val="0"/>
        <w:spacing w:after="0"/>
        <w:rPr>
          <w:rFonts w:ascii="Times New Roman" w:hAnsi="Times New Roman"/>
          <w:b/>
          <w:bCs/>
          <w:sz w:val="24"/>
        </w:rPr>
      </w:pPr>
      <w:r>
        <w:rPr>
          <w:noProof/>
          <w:lang w:eastAsia="en-AU"/>
        </w:rPr>
        <w:drawing>
          <wp:inline distT="0" distB="0" distL="0" distR="0" wp14:anchorId="64C80883" wp14:editId="68FB8585">
            <wp:extent cx="4741052" cy="3546674"/>
            <wp:effectExtent l="0" t="0" r="2540" b="0"/>
            <wp:docPr id="38" name="Picture 27" descr="Table 72: RECOURSE pivotal Phase III study - Treatment-related adverse events as reported by the Investigator (≥ 10% in the TAS-102 group considering adverse events with PT clinically similar) – Frequency and exposure adjusted incidence rates (% Patient-Years [PY])- All grades and grade ≥ 3 in the Safety Set (N =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7" descr="Table 72: RECOURSE pivotal Phase III study - Treatment-related adverse events as reported by the Investigator (≥ 10% in the TAS-102 group considering adverse events with PT clinically similar) – Frequency and exposure adjusted incidence rates (% Patient-Years [PY])- All grades and grade ≥ 3 in the Safety Set (N = 798)"/>
                    <pic:cNvPicPr preferRelativeResize="0">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41052" cy="3546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11222EE" w14:textId="13FC3C18" w:rsidR="00DF61BC" w:rsidRPr="00C94C33" w:rsidRDefault="00DF61BC" w:rsidP="00184C38">
      <w:pPr>
        <w:pStyle w:val="TableDescription"/>
      </w:pPr>
      <w:r w:rsidRPr="00C94C33">
        <w:lastRenderedPageBreak/>
        <w:t xml:space="preserve">N: total number of patients; Patient-Years (PY) = Total days of safety exposure (first dose through last dose + 30 days) from all patients in the group combined divided by 365.25; </w:t>
      </w:r>
      <w:r w:rsidR="00184C38" w:rsidRPr="00C94C33">
        <w:t xml:space="preserve">a. </w:t>
      </w:r>
      <w:r w:rsidRPr="00C94C33">
        <w:t xml:space="preserve">Treatment-related AEs in different SOC but corresponding to the same medical concept were also presented, </w:t>
      </w:r>
      <w:r w:rsidR="00B2072D" w:rsidRPr="00C94C33">
        <w:t>that is,</w:t>
      </w:r>
      <w:r w:rsidRPr="00C94C33">
        <w:t xml:space="preserve"> neutrophil and neutrophil count decreased</w:t>
      </w:r>
      <w:r w:rsidR="00DB50C3">
        <w:t xml:space="preserve">; </w:t>
      </w:r>
      <w:r w:rsidR="00184C38" w:rsidRPr="00C94C33">
        <w:t xml:space="preserve">b. </w:t>
      </w:r>
      <w:r w:rsidRPr="00C94C33">
        <w:t>Incidence rates adjusted on drug exposure calculated as Patients/100 patient-Years.</w:t>
      </w:r>
    </w:p>
    <w:p w14:paraId="7FD2B709" w14:textId="77777777" w:rsidR="00DF61BC" w:rsidRPr="00C94C33" w:rsidRDefault="00184C38" w:rsidP="00184C38">
      <w:pPr>
        <w:pStyle w:val="Heading5"/>
      </w:pPr>
      <w:r w:rsidRPr="00C94C33">
        <w:t>Evaluation of response</w:t>
      </w:r>
    </w:p>
    <w:p w14:paraId="51C4C569" w14:textId="2C1CADF1" w:rsidR="00DF61BC" w:rsidRPr="00C94C33" w:rsidRDefault="00DF61BC" w:rsidP="00DF61BC">
      <w:pPr>
        <w:autoSpaceDE w:val="0"/>
        <w:autoSpaceDN w:val="0"/>
        <w:adjustRightInd w:val="0"/>
        <w:rPr>
          <w:rFonts w:asciiTheme="minorHAnsi" w:hAnsiTheme="minorHAnsi" w:cs="Calibri"/>
          <w:iCs/>
          <w:color w:val="000000"/>
        </w:rPr>
      </w:pPr>
      <w:r w:rsidRPr="00C94C33">
        <w:rPr>
          <w:rFonts w:asciiTheme="minorHAnsi" w:hAnsiTheme="minorHAnsi" w:cs="Calibri"/>
          <w:iCs/>
          <w:color w:val="000000"/>
        </w:rPr>
        <w:t>The sponsor’s response is satisfactory. The results discussed in this section are derived from the study report for RECOURSE. In RECOURSE, treatment-related AEs (any) adjusted for 100 patient years of exposure were reported with a similar incidence in the TAS-102 and placebo groups (267.3/100PY</w:t>
      </w:r>
      <w:r w:rsidR="00C11183">
        <w:rPr>
          <w:rFonts w:asciiTheme="minorHAnsi" w:hAnsiTheme="minorHAnsi" w:cs="Calibri"/>
          <w:iCs/>
          <w:color w:val="000000"/>
        </w:rPr>
        <w:t xml:space="preserve"> versus </w:t>
      </w:r>
      <w:r w:rsidRPr="00C94C33">
        <w:rPr>
          <w:rFonts w:asciiTheme="minorHAnsi" w:hAnsiTheme="minorHAnsi" w:cs="Calibri"/>
          <w:iCs/>
          <w:color w:val="000000"/>
        </w:rPr>
        <w:t>262.2/100PY, respectively), while the incidence of ≥ Grade 3 treatment-related AEs was higher in the TAS-102 group than in the placebo group (152.6/100PY</w:t>
      </w:r>
      <w:r w:rsidR="00C11183">
        <w:rPr>
          <w:rFonts w:asciiTheme="minorHAnsi" w:hAnsiTheme="minorHAnsi" w:cs="Calibri"/>
          <w:iCs/>
          <w:color w:val="000000"/>
        </w:rPr>
        <w:t xml:space="preserve"> versus </w:t>
      </w:r>
      <w:r w:rsidRPr="00C94C33">
        <w:rPr>
          <w:rFonts w:asciiTheme="minorHAnsi" w:hAnsiTheme="minorHAnsi" w:cs="Calibri"/>
          <w:iCs/>
          <w:color w:val="000000"/>
        </w:rPr>
        <w:t>47.0/100PY, respectively).</w:t>
      </w:r>
    </w:p>
    <w:p w14:paraId="04D631C7" w14:textId="32C3DCBD" w:rsidR="00DF61BC" w:rsidRPr="00C94C33" w:rsidRDefault="00DF61BC" w:rsidP="00DF61BC">
      <w:pPr>
        <w:autoSpaceDE w:val="0"/>
        <w:autoSpaceDN w:val="0"/>
        <w:adjustRightInd w:val="0"/>
        <w:rPr>
          <w:rFonts w:asciiTheme="minorHAnsi" w:hAnsiTheme="minorHAnsi" w:cs="Calibri"/>
          <w:iCs/>
          <w:color w:val="000000"/>
        </w:rPr>
      </w:pPr>
      <w:r w:rsidRPr="00C94C33">
        <w:rPr>
          <w:rFonts w:asciiTheme="minorHAnsi" w:hAnsiTheme="minorHAnsi" w:cs="Calibri"/>
          <w:iCs/>
          <w:color w:val="000000"/>
        </w:rPr>
        <w:t>Treatment-related ≥ Grade 3 AEs (preferred terms) reported with an incidence of ≥ 2 patients/100PY in the TAS-102 group and ≥ 2-fold higher in the TAS-102 group than in the placebo group in descending order of frequency in the TAS-102 group were neutro</w:t>
      </w:r>
      <w:r w:rsidR="00B50F67">
        <w:rPr>
          <w:rFonts w:asciiTheme="minorHAnsi" w:hAnsiTheme="minorHAnsi" w:cs="Calibri"/>
          <w:iCs/>
          <w:color w:val="000000"/>
        </w:rPr>
        <w:t>paenia</w:t>
      </w:r>
      <w:r w:rsidRPr="00C94C33">
        <w:rPr>
          <w:rFonts w:asciiTheme="minorHAnsi" w:hAnsiTheme="minorHAnsi" w:cs="Calibri"/>
          <w:iCs/>
          <w:color w:val="000000"/>
        </w:rPr>
        <w:t xml:space="preserve"> (62.6</w:t>
      </w:r>
      <w:r w:rsidR="00C11183">
        <w:rPr>
          <w:rFonts w:asciiTheme="minorHAnsi" w:hAnsiTheme="minorHAnsi" w:cs="Calibri"/>
          <w:iCs/>
          <w:color w:val="000000"/>
        </w:rPr>
        <w:t xml:space="preserve"> versus </w:t>
      </w:r>
      <w:r w:rsidRPr="00C94C33">
        <w:rPr>
          <w:rFonts w:asciiTheme="minorHAnsi" w:hAnsiTheme="minorHAnsi" w:cs="Calibri"/>
          <w:iCs/>
          <w:color w:val="000000"/>
        </w:rPr>
        <w:t>0), neutrophil count decreased (48.5</w:t>
      </w:r>
      <w:r w:rsidR="00C11183">
        <w:rPr>
          <w:rFonts w:asciiTheme="minorHAnsi" w:hAnsiTheme="minorHAnsi" w:cs="Calibri"/>
          <w:iCs/>
          <w:color w:val="000000"/>
        </w:rPr>
        <w:t xml:space="preserve"> versus </w:t>
      </w:r>
      <w:r w:rsidRPr="00C94C33">
        <w:rPr>
          <w:rFonts w:asciiTheme="minorHAnsi" w:hAnsiTheme="minorHAnsi" w:cs="Calibri"/>
          <w:iCs/>
          <w:color w:val="000000"/>
        </w:rPr>
        <w:t>0), anaemia (38.0</w:t>
      </w:r>
      <w:r w:rsidR="00C11183">
        <w:rPr>
          <w:rFonts w:asciiTheme="minorHAnsi" w:hAnsiTheme="minorHAnsi" w:cs="Calibri"/>
          <w:iCs/>
          <w:color w:val="000000"/>
        </w:rPr>
        <w:t xml:space="preserve"> versus </w:t>
      </w:r>
      <w:r w:rsidRPr="00C94C33">
        <w:rPr>
          <w:rFonts w:asciiTheme="minorHAnsi" w:hAnsiTheme="minorHAnsi" w:cs="Calibri"/>
          <w:iCs/>
          <w:color w:val="000000"/>
        </w:rPr>
        <w:t>9.0), white blood cell count decreased (30.4</w:t>
      </w:r>
      <w:r w:rsidR="00C11183">
        <w:rPr>
          <w:rFonts w:asciiTheme="minorHAnsi" w:hAnsiTheme="minorHAnsi" w:cs="Calibri"/>
          <w:iCs/>
          <w:color w:val="000000"/>
        </w:rPr>
        <w:t xml:space="preserve"> versus </w:t>
      </w:r>
      <w:r w:rsidRPr="00C94C33">
        <w:rPr>
          <w:rFonts w:asciiTheme="minorHAnsi" w:hAnsiTheme="minorHAnsi" w:cs="Calibri"/>
          <w:iCs/>
          <w:color w:val="000000"/>
        </w:rPr>
        <w:t>0), febrile neutro</w:t>
      </w:r>
      <w:r w:rsidR="00B50F67">
        <w:rPr>
          <w:rFonts w:asciiTheme="minorHAnsi" w:hAnsiTheme="minorHAnsi" w:cs="Calibri"/>
          <w:iCs/>
          <w:color w:val="000000"/>
        </w:rPr>
        <w:t>paenia</w:t>
      </w:r>
      <w:r w:rsidRPr="00C94C33">
        <w:rPr>
          <w:rFonts w:asciiTheme="minorHAnsi" w:hAnsiTheme="minorHAnsi" w:cs="Calibri"/>
          <w:iCs/>
          <w:color w:val="000000"/>
        </w:rPr>
        <w:t xml:space="preserve"> (11.7</w:t>
      </w:r>
      <w:r w:rsidR="00C11183">
        <w:rPr>
          <w:rFonts w:asciiTheme="minorHAnsi" w:hAnsiTheme="minorHAnsi" w:cs="Calibri"/>
          <w:iCs/>
          <w:color w:val="000000"/>
        </w:rPr>
        <w:t xml:space="preserve"> versus </w:t>
      </w:r>
      <w:r w:rsidRPr="00C94C33">
        <w:rPr>
          <w:rFonts w:asciiTheme="minorHAnsi" w:hAnsiTheme="minorHAnsi" w:cs="Calibri"/>
          <w:iCs/>
          <w:color w:val="000000"/>
        </w:rPr>
        <w:t>0), platelet count decreased (7.6</w:t>
      </w:r>
      <w:r w:rsidR="00C11183">
        <w:rPr>
          <w:rFonts w:asciiTheme="minorHAnsi" w:hAnsiTheme="minorHAnsi" w:cs="Calibri"/>
          <w:iCs/>
          <w:color w:val="000000"/>
        </w:rPr>
        <w:t xml:space="preserve"> versus </w:t>
      </w:r>
      <w:r w:rsidRPr="00C94C33">
        <w:rPr>
          <w:rFonts w:asciiTheme="minorHAnsi" w:hAnsiTheme="minorHAnsi" w:cs="Calibri"/>
          <w:iCs/>
          <w:color w:val="000000"/>
        </w:rPr>
        <w:t>0), diarrhoea (7.0</w:t>
      </w:r>
      <w:r w:rsidR="00C11183">
        <w:rPr>
          <w:rFonts w:asciiTheme="minorHAnsi" w:hAnsiTheme="minorHAnsi" w:cs="Calibri"/>
          <w:iCs/>
          <w:color w:val="000000"/>
        </w:rPr>
        <w:t xml:space="preserve"> versus </w:t>
      </w:r>
      <w:r w:rsidRPr="00C94C33">
        <w:rPr>
          <w:rFonts w:asciiTheme="minorHAnsi" w:hAnsiTheme="minorHAnsi" w:cs="Calibri"/>
          <w:iCs/>
          <w:color w:val="000000"/>
        </w:rPr>
        <w:t>0), leuko</w:t>
      </w:r>
      <w:r w:rsidR="00B50F67">
        <w:rPr>
          <w:rFonts w:asciiTheme="minorHAnsi" w:hAnsiTheme="minorHAnsi" w:cs="Calibri"/>
          <w:iCs/>
          <w:color w:val="000000"/>
        </w:rPr>
        <w:t>paenia</w:t>
      </w:r>
      <w:r w:rsidRPr="00C94C33">
        <w:rPr>
          <w:rFonts w:asciiTheme="minorHAnsi" w:hAnsiTheme="minorHAnsi" w:cs="Calibri"/>
          <w:iCs/>
          <w:color w:val="000000"/>
        </w:rPr>
        <w:t xml:space="preserve"> (6.4</w:t>
      </w:r>
      <w:r w:rsidR="00C11183">
        <w:rPr>
          <w:rFonts w:asciiTheme="minorHAnsi" w:hAnsiTheme="minorHAnsi" w:cs="Calibri"/>
          <w:iCs/>
          <w:color w:val="000000"/>
        </w:rPr>
        <w:t xml:space="preserve"> versus </w:t>
      </w:r>
      <w:r w:rsidRPr="00C94C33">
        <w:rPr>
          <w:rFonts w:asciiTheme="minorHAnsi" w:hAnsiTheme="minorHAnsi" w:cs="Calibri"/>
          <w:iCs/>
          <w:color w:val="000000"/>
        </w:rPr>
        <w:t>0), thrombocyto</w:t>
      </w:r>
      <w:r w:rsidR="00B50F67">
        <w:rPr>
          <w:rFonts w:asciiTheme="minorHAnsi" w:hAnsiTheme="minorHAnsi" w:cs="Calibri"/>
          <w:iCs/>
          <w:color w:val="000000"/>
        </w:rPr>
        <w:t>paenia</w:t>
      </w:r>
      <w:r w:rsidRPr="00C94C33">
        <w:rPr>
          <w:rFonts w:asciiTheme="minorHAnsi" w:hAnsiTheme="minorHAnsi" w:cs="Calibri"/>
          <w:iCs/>
          <w:color w:val="000000"/>
        </w:rPr>
        <w:t xml:space="preserve"> (5.3</w:t>
      </w:r>
      <w:r w:rsidR="00C11183">
        <w:rPr>
          <w:rFonts w:asciiTheme="minorHAnsi" w:hAnsiTheme="minorHAnsi" w:cs="Calibri"/>
          <w:iCs/>
          <w:color w:val="000000"/>
        </w:rPr>
        <w:t xml:space="preserve"> versus </w:t>
      </w:r>
      <w:r w:rsidRPr="00C94C33">
        <w:rPr>
          <w:rFonts w:asciiTheme="minorHAnsi" w:hAnsiTheme="minorHAnsi" w:cs="Calibri"/>
          <w:iCs/>
          <w:color w:val="000000"/>
        </w:rPr>
        <w:t>1.8), decreased appetite (5.3</w:t>
      </w:r>
      <w:r w:rsidR="00C11183">
        <w:rPr>
          <w:rFonts w:asciiTheme="minorHAnsi" w:hAnsiTheme="minorHAnsi" w:cs="Calibri"/>
          <w:iCs/>
          <w:color w:val="000000"/>
        </w:rPr>
        <w:t xml:space="preserve"> versus </w:t>
      </w:r>
      <w:r w:rsidRPr="00C94C33">
        <w:rPr>
          <w:rFonts w:asciiTheme="minorHAnsi" w:hAnsiTheme="minorHAnsi" w:cs="Calibri"/>
          <w:iCs/>
          <w:color w:val="000000"/>
        </w:rPr>
        <w:t>0), lymphocyte count decreased (4.7</w:t>
      </w:r>
      <w:r w:rsidR="00C11183">
        <w:rPr>
          <w:rFonts w:asciiTheme="minorHAnsi" w:hAnsiTheme="minorHAnsi" w:cs="Calibri"/>
          <w:iCs/>
          <w:color w:val="000000"/>
        </w:rPr>
        <w:t xml:space="preserve"> versus </w:t>
      </w:r>
      <w:r w:rsidRPr="00C94C33">
        <w:rPr>
          <w:rFonts w:asciiTheme="minorHAnsi" w:hAnsiTheme="minorHAnsi" w:cs="Calibri"/>
          <w:iCs/>
          <w:color w:val="000000"/>
        </w:rPr>
        <w:t>1.8), and nausea (2.9</w:t>
      </w:r>
      <w:r w:rsidR="00C11183">
        <w:rPr>
          <w:rFonts w:asciiTheme="minorHAnsi" w:hAnsiTheme="minorHAnsi" w:cs="Calibri"/>
          <w:iCs/>
          <w:color w:val="000000"/>
        </w:rPr>
        <w:t xml:space="preserve"> versus </w:t>
      </w:r>
      <w:r w:rsidRPr="00C94C33">
        <w:rPr>
          <w:rFonts w:asciiTheme="minorHAnsi" w:hAnsiTheme="minorHAnsi" w:cs="Calibri"/>
          <w:iCs/>
          <w:color w:val="000000"/>
        </w:rPr>
        <w:t>0). There were no treatment-related ≥ Grade 3 AEs (preferred terms) reported with an incidence  of ≥ 2 patients/100PY in the placebo group and ≥ 2-fold higher in the placebo  group than in the TAS-102 group.</w:t>
      </w:r>
    </w:p>
    <w:p w14:paraId="28405099" w14:textId="77777777" w:rsidR="000142FD" w:rsidRPr="00C94C33" w:rsidRDefault="00C618F7" w:rsidP="00955252">
      <w:pPr>
        <w:pStyle w:val="Heading2"/>
      </w:pPr>
      <w:bookmarkStart w:id="495" w:name="_Toc510016912"/>
      <w:r w:rsidRPr="00C94C33">
        <w:t>Second round benefit-risk assessment</w:t>
      </w:r>
      <w:bookmarkEnd w:id="495"/>
    </w:p>
    <w:p w14:paraId="4660C4FD" w14:textId="77777777" w:rsidR="00DF61BC" w:rsidRPr="00C94C33" w:rsidRDefault="00DF61BC" w:rsidP="00955252">
      <w:pPr>
        <w:pStyle w:val="Heading3"/>
      </w:pPr>
      <w:bookmarkStart w:id="496" w:name="_Toc272414709"/>
      <w:bookmarkStart w:id="497" w:name="_Toc290846349"/>
      <w:bookmarkStart w:id="498" w:name="_Toc470948632"/>
      <w:bookmarkStart w:id="499" w:name="_Toc510016913"/>
      <w:r w:rsidRPr="00C94C33">
        <w:t>Second round assessment of benefits</w:t>
      </w:r>
      <w:bookmarkEnd w:id="496"/>
      <w:bookmarkEnd w:id="497"/>
      <w:bookmarkEnd w:id="498"/>
      <w:bookmarkEnd w:id="499"/>
    </w:p>
    <w:p w14:paraId="0971FBB9" w14:textId="2E693CD4" w:rsidR="00DF61BC" w:rsidRPr="00C94C33" w:rsidRDefault="00DF61BC" w:rsidP="00DF61BC">
      <w:r w:rsidRPr="00C94C33">
        <w:t xml:space="preserve">No new efficacy data were submitted with the </w:t>
      </w:r>
      <w:r w:rsidR="00807CBC" w:rsidRPr="005C2FCA">
        <w:t>sponsor’s</w:t>
      </w:r>
      <w:r w:rsidR="00807CBC">
        <w:t xml:space="preserve"> post-first round response</w:t>
      </w:r>
      <w:r w:rsidRPr="00807CBC">
        <w:t>.</w:t>
      </w:r>
      <w:r w:rsidRPr="00C94C33">
        <w:t xml:space="preserve"> Accordingly, the benefits of trifluridine/tipiracil (LONSURF) are unchanged from those identified in </w:t>
      </w:r>
      <w:r w:rsidR="00FB45D2" w:rsidRPr="00C94C33">
        <w:t>the first round evaluation</w:t>
      </w:r>
      <w:r w:rsidRPr="00C94C33">
        <w:t>.</w:t>
      </w:r>
    </w:p>
    <w:p w14:paraId="74D2AB91" w14:textId="77777777" w:rsidR="00DF61BC" w:rsidRPr="00C94C33" w:rsidRDefault="00DF61BC" w:rsidP="00955252">
      <w:pPr>
        <w:pStyle w:val="Heading3"/>
      </w:pPr>
      <w:bookmarkStart w:id="500" w:name="_Toc272414710"/>
      <w:bookmarkStart w:id="501" w:name="_Toc290846350"/>
      <w:bookmarkStart w:id="502" w:name="_Toc470948633"/>
      <w:bookmarkStart w:id="503" w:name="_Toc510016914"/>
      <w:r w:rsidRPr="00C94C33">
        <w:t>Second round assessment of risks</w:t>
      </w:r>
      <w:bookmarkEnd w:id="500"/>
      <w:bookmarkEnd w:id="501"/>
      <w:bookmarkEnd w:id="502"/>
      <w:bookmarkEnd w:id="503"/>
    </w:p>
    <w:p w14:paraId="510CBED4" w14:textId="33A73AF3" w:rsidR="00DF61BC" w:rsidRPr="00C94C33" w:rsidRDefault="00DF61BC" w:rsidP="00DF61BC">
      <w:r w:rsidRPr="00C94C33">
        <w:t>After consideration of the safety data submitted with the</w:t>
      </w:r>
      <w:r w:rsidR="00807CBC">
        <w:t xml:space="preserve"> sponsor’s post-first round response</w:t>
      </w:r>
      <w:r w:rsidRPr="00C94C33">
        <w:t>, the risks of treatment with trifluridine/tipiracil (</w:t>
      </w:r>
      <w:r w:rsidR="00807CBC" w:rsidRPr="00C94C33">
        <w:t>L</w:t>
      </w:r>
      <w:r w:rsidR="00807CBC">
        <w:t>onsurf</w:t>
      </w:r>
      <w:r w:rsidRPr="00C94C33">
        <w:t xml:space="preserve">) remain substantially unchanged from those identified </w:t>
      </w:r>
      <w:r w:rsidR="009F5E3D" w:rsidRPr="00C94C33">
        <w:t>in the first round evaluation</w:t>
      </w:r>
      <w:r w:rsidRPr="00C94C33">
        <w:t xml:space="preserve">. However, based on the results of the dedicated hepatic impairment study submitted with the response it is recommended that </w:t>
      </w:r>
      <w:r w:rsidR="00807CBC" w:rsidRPr="00C94C33">
        <w:t>Lonsurf</w:t>
      </w:r>
      <w:r w:rsidRPr="00C94C33">
        <w:t xml:space="preserve"> should not be used to treat patients with moderate or severe hepatic impairment. The single- and multiple-dose PK data for FTD suggested that exposure to this component of TAS-102 in patients with moderate hepatic impairment was comparable to exposure in patients with normal hepatic function. However, the single- and multiple-dose PK data for TPI suggested increased exposure to this component of TAS-102 in patients with moderate hepatic impairment compared to patients with normal hepatic function. The PK exposure data for patients with moderate hepatic impairment should be interpreted cautiously due to the small number of patients in this patient population. Overall, it is considered that the PK data in patients with moderate hepatic impairment are too limited to allow clinically meaningful conclusions on dosage to be made for this patient population. Furthermore, the high incidence of Grade 3 or 4 increased bilirubin levels in patients with moderate hepatic impairment observed in the study raises concerns about the safety of L</w:t>
      </w:r>
      <w:r w:rsidR="00807CBC" w:rsidRPr="00C94C33">
        <w:t>onsurf</w:t>
      </w:r>
      <w:r w:rsidRPr="00C94C33">
        <w:t xml:space="preserve"> in this patient population. The study supports the use of L</w:t>
      </w:r>
      <w:r w:rsidR="00807CBC" w:rsidRPr="00C94C33">
        <w:t>onsurf</w:t>
      </w:r>
      <w:r w:rsidRPr="00C94C33">
        <w:t xml:space="preserve"> in patients with mild hepatic impairment without dose adjustment.</w:t>
      </w:r>
    </w:p>
    <w:p w14:paraId="7101AD3E" w14:textId="77777777" w:rsidR="00DF61BC" w:rsidRPr="00C94C33" w:rsidRDefault="00DF61BC" w:rsidP="00955252">
      <w:pPr>
        <w:pStyle w:val="Heading3"/>
      </w:pPr>
      <w:bookmarkStart w:id="504" w:name="_Toc272414711"/>
      <w:bookmarkStart w:id="505" w:name="_Toc290846351"/>
      <w:bookmarkStart w:id="506" w:name="_Toc470948634"/>
      <w:bookmarkStart w:id="507" w:name="_Toc510016915"/>
      <w:r w:rsidRPr="00C94C33">
        <w:lastRenderedPageBreak/>
        <w:t>Second round assessment of benefit-risk balance</w:t>
      </w:r>
      <w:bookmarkEnd w:id="504"/>
      <w:bookmarkEnd w:id="505"/>
      <w:bookmarkEnd w:id="506"/>
      <w:bookmarkEnd w:id="507"/>
    </w:p>
    <w:p w14:paraId="686028BE" w14:textId="318D470F" w:rsidR="0085068D" w:rsidRPr="00C94C33" w:rsidRDefault="00DF61BC" w:rsidP="0085068D">
      <w:r w:rsidRPr="00C94C33">
        <w:t>The benefit-risk balance for trifluridine/tipiracil (L</w:t>
      </w:r>
      <w:r w:rsidR="00807CBC" w:rsidRPr="00C94C33">
        <w:t>onsurf</w:t>
      </w:r>
      <w:r w:rsidRPr="00C94C33">
        <w:t>) given the proposed usage remains favour</w:t>
      </w:r>
      <w:r w:rsidR="009F5E3D" w:rsidRPr="00C94C33">
        <w:t>able for the reasons identified in the first round evaluation</w:t>
      </w:r>
      <w:r w:rsidR="00231894" w:rsidRPr="00C94C33">
        <w:t>.</w:t>
      </w:r>
    </w:p>
    <w:p w14:paraId="4C07FFBA" w14:textId="77777777" w:rsidR="00C618F7" w:rsidRPr="00C94C33" w:rsidRDefault="00C618F7" w:rsidP="00955252">
      <w:pPr>
        <w:pStyle w:val="Heading2"/>
      </w:pPr>
      <w:bookmarkStart w:id="508" w:name="_Toc510016916"/>
      <w:r w:rsidRPr="00C94C33">
        <w:t>Second round recommendation regarding authorisation</w:t>
      </w:r>
      <w:bookmarkEnd w:id="508"/>
    </w:p>
    <w:p w14:paraId="69EA6254" w14:textId="77777777" w:rsidR="0085068D" w:rsidRPr="00C94C33" w:rsidRDefault="00DF61BC" w:rsidP="0085068D">
      <w:r w:rsidRPr="00C94C33">
        <w:t>It is recommended that trifluridine/tipiracil (LONSURF) be approved for the treatment of adult patients with metastatic colorectal cancer (mCRC) who have been previously treated with, or are not considered candidates for, available therapies including fluoropyrimidine-, oxaliplatin- and irinotecan-based chemotherapies, anti-VEG</w:t>
      </w:r>
      <w:r w:rsidR="006B2ED1" w:rsidRPr="00C94C33">
        <w:t>F agents, and anti-EGFR agents.</w:t>
      </w:r>
    </w:p>
    <w:p w14:paraId="5FCB0F99" w14:textId="77777777" w:rsidR="009C740E" w:rsidRPr="00C94C33" w:rsidRDefault="00BC00DE" w:rsidP="00955252">
      <w:pPr>
        <w:pStyle w:val="Heading2"/>
      </w:pPr>
      <w:bookmarkStart w:id="509" w:name="_Toc510016917"/>
      <w:r w:rsidRPr="00C94C33">
        <w:t>R</w:t>
      </w:r>
      <w:r w:rsidR="00C618F7" w:rsidRPr="00C94C33">
        <w:t>eferences</w:t>
      </w:r>
      <w:bookmarkEnd w:id="509"/>
    </w:p>
    <w:p w14:paraId="0C224DAE" w14:textId="13EBC891" w:rsidR="00DF61BC" w:rsidRPr="00C94C33" w:rsidRDefault="00DF61BC" w:rsidP="00DF61BC">
      <w:pPr>
        <w:autoSpaceDE w:val="0"/>
        <w:autoSpaceDN w:val="0"/>
        <w:adjustRightInd w:val="0"/>
        <w:ind w:left="284" w:hanging="284"/>
        <w:rPr>
          <w:rFonts w:asciiTheme="minorHAnsi" w:hAnsiTheme="minorHAnsi"/>
        </w:rPr>
      </w:pPr>
      <w:r w:rsidRPr="00C94C33">
        <w:rPr>
          <w:rFonts w:asciiTheme="minorHAnsi" w:hAnsiTheme="minorHAnsi"/>
        </w:rPr>
        <w:t>1.</w:t>
      </w:r>
      <w:r w:rsidRPr="00C94C33">
        <w:rPr>
          <w:rFonts w:asciiTheme="minorHAnsi" w:hAnsiTheme="minorHAnsi"/>
        </w:rPr>
        <w:tab/>
        <w:t xml:space="preserve">Fukushima, M., N. Suzuki, T. Emura, S. Yano, H. Kazuno, Y. Tada, Y. Yamada &amp; T. Asao (2000) Structure and activity of specific inhibitors of thymidine phosphorylase to potentiate the function of antitumor 2'-deoxyribonucleosides. </w:t>
      </w:r>
      <w:r w:rsidRPr="00C94C33">
        <w:rPr>
          <w:rFonts w:asciiTheme="minorHAnsi" w:hAnsiTheme="minorHAnsi"/>
          <w:i/>
          <w:iCs/>
        </w:rPr>
        <w:t xml:space="preserve">Biochem Pharmacol, </w:t>
      </w:r>
      <w:r w:rsidRPr="00C94C33">
        <w:rPr>
          <w:rFonts w:asciiTheme="minorHAnsi" w:hAnsiTheme="minorHAnsi"/>
        </w:rPr>
        <w:t>59</w:t>
      </w:r>
      <w:r w:rsidRPr="00C94C33">
        <w:rPr>
          <w:rFonts w:asciiTheme="minorHAnsi" w:hAnsiTheme="minorHAnsi"/>
          <w:b/>
          <w:bCs/>
        </w:rPr>
        <w:t>,</w:t>
      </w:r>
      <w:r w:rsidRPr="00C94C33">
        <w:rPr>
          <w:rFonts w:asciiTheme="minorHAnsi" w:hAnsiTheme="minorHAnsi"/>
        </w:rPr>
        <w:t xml:space="preserve"> 1227-36.</w:t>
      </w:r>
      <w:r w:rsidR="00A0007E" w:rsidRPr="00C94C33">
        <w:rPr>
          <w:rFonts w:asciiTheme="minorHAnsi" w:hAnsiTheme="minorHAnsi"/>
        </w:rPr>
        <w:t>)</w:t>
      </w:r>
    </w:p>
    <w:p w14:paraId="1B0AD1AC" w14:textId="577A2C67" w:rsidR="00DF61BC" w:rsidRPr="00C94C33" w:rsidRDefault="00DF61BC" w:rsidP="00DF61BC">
      <w:pPr>
        <w:autoSpaceDE w:val="0"/>
        <w:autoSpaceDN w:val="0"/>
        <w:adjustRightInd w:val="0"/>
        <w:ind w:left="284" w:hanging="284"/>
        <w:rPr>
          <w:rFonts w:asciiTheme="minorHAnsi" w:hAnsiTheme="minorHAnsi"/>
          <w:color w:val="0000FF"/>
        </w:rPr>
      </w:pPr>
      <w:r w:rsidRPr="005C2FCA">
        <w:rPr>
          <w:rFonts w:asciiTheme="minorHAnsi" w:hAnsiTheme="minorHAnsi"/>
        </w:rPr>
        <w:t xml:space="preserve">2. </w:t>
      </w:r>
      <w:r w:rsidRPr="005C2FCA">
        <w:rPr>
          <w:rFonts w:asciiTheme="minorHAnsi" w:hAnsiTheme="minorHAnsi"/>
        </w:rPr>
        <w:tab/>
        <w:t>Sarapa N, Britto MR. Challenges of characterizing proarrhythmic risk due to QTc prolongation induced by nonadjuvant anticancer agents. Expert Opin Drug Saf. 2008 May;7(3):305-18</w:t>
      </w:r>
      <w:r w:rsidR="00A0007E" w:rsidRPr="005C2FCA">
        <w:rPr>
          <w:rFonts w:asciiTheme="minorHAnsi" w:hAnsiTheme="minorHAnsi"/>
        </w:rPr>
        <w:t>)</w:t>
      </w:r>
      <w:r w:rsidRPr="005C2FCA">
        <w:rPr>
          <w:rFonts w:asciiTheme="minorHAnsi" w:hAnsiTheme="minorHAnsi"/>
        </w:rPr>
        <w:t>.</w:t>
      </w:r>
    </w:p>
    <w:p w14:paraId="0D8C57C1" w14:textId="77777777" w:rsidR="00AA7141" w:rsidRDefault="00DF61BC" w:rsidP="00DF61BC">
      <w:pPr>
        <w:ind w:left="284" w:hanging="284"/>
        <w:rPr>
          <w:rFonts w:asciiTheme="minorHAnsi" w:hAnsiTheme="minorHAnsi"/>
        </w:rPr>
      </w:pPr>
      <w:r w:rsidRPr="00C94C33">
        <w:rPr>
          <w:rFonts w:asciiTheme="minorHAnsi" w:hAnsiTheme="minorHAnsi"/>
        </w:rPr>
        <w:t xml:space="preserve">3. </w:t>
      </w:r>
      <w:r w:rsidRPr="00C94C33">
        <w:rPr>
          <w:rFonts w:asciiTheme="minorHAnsi" w:hAnsiTheme="minorHAnsi"/>
        </w:rPr>
        <w:tab/>
        <w:t>Mayer RJ et al., Randomized trial of TAS-102 for refractory metastatic colorectal cancer. N Engl J Med, 2015; 372:1909-19.</w:t>
      </w:r>
    </w:p>
    <w:p w14:paraId="571D43D2" w14:textId="6241B367" w:rsidR="00DF61BC" w:rsidRPr="00C94C33" w:rsidRDefault="00DF61BC" w:rsidP="00DF61BC">
      <w:pPr>
        <w:autoSpaceDE w:val="0"/>
        <w:autoSpaceDN w:val="0"/>
        <w:adjustRightInd w:val="0"/>
        <w:ind w:left="284" w:hanging="284"/>
        <w:rPr>
          <w:rFonts w:asciiTheme="minorHAnsi" w:hAnsiTheme="minorHAnsi"/>
        </w:rPr>
      </w:pPr>
      <w:r w:rsidRPr="00C94C33">
        <w:rPr>
          <w:rFonts w:asciiTheme="minorHAnsi" w:hAnsiTheme="minorHAnsi"/>
        </w:rPr>
        <w:t>4.</w:t>
      </w:r>
      <w:r w:rsidRPr="00C94C33">
        <w:rPr>
          <w:rFonts w:asciiTheme="minorHAnsi" w:hAnsiTheme="minorHAnsi"/>
        </w:rPr>
        <w:tab/>
        <w:t>Eisenhauer EA, Therasse P, Bogaerts J, Schwartz LH, Sargent D, Ford R, et al. New response evaluation criteria in solid tumours: Revised RECIST guideline (version 1.1). Eur J Cancer. 2009;45:228-247.</w:t>
      </w:r>
    </w:p>
    <w:p w14:paraId="18BFAAB4" w14:textId="77777777" w:rsidR="00DF61BC" w:rsidRPr="00C94C33" w:rsidRDefault="00DF61BC" w:rsidP="00DF61BC">
      <w:pPr>
        <w:autoSpaceDE w:val="0"/>
        <w:autoSpaceDN w:val="0"/>
        <w:adjustRightInd w:val="0"/>
        <w:ind w:left="284" w:hanging="284"/>
        <w:rPr>
          <w:rFonts w:asciiTheme="minorHAnsi" w:hAnsiTheme="minorHAnsi"/>
        </w:rPr>
      </w:pPr>
      <w:r w:rsidRPr="00C94C33">
        <w:rPr>
          <w:rFonts w:asciiTheme="minorHAnsi" w:hAnsiTheme="minorHAnsi"/>
        </w:rPr>
        <w:t xml:space="preserve">5. </w:t>
      </w:r>
      <w:r w:rsidRPr="00C94C33">
        <w:rPr>
          <w:rFonts w:asciiTheme="minorHAnsi" w:hAnsiTheme="minorHAnsi"/>
        </w:rPr>
        <w:tab/>
        <w:t>Jonker DJ, O’Callaghan CJ, Karapetis CS, Zalcberg JR, Tu D, Au H-J, et al. Cetuximab for the treatment of colorectal cancer. N Engl J Med. 2007;357:2040-48.</w:t>
      </w:r>
    </w:p>
    <w:p w14:paraId="0C0485F3" w14:textId="77777777" w:rsidR="00DF61BC" w:rsidRPr="00C94C33" w:rsidRDefault="00DF61BC" w:rsidP="00DF61BC">
      <w:pPr>
        <w:autoSpaceDE w:val="0"/>
        <w:autoSpaceDN w:val="0"/>
        <w:adjustRightInd w:val="0"/>
        <w:spacing w:after="0"/>
        <w:ind w:left="284" w:hanging="284"/>
        <w:rPr>
          <w:rFonts w:asciiTheme="minorHAnsi" w:hAnsiTheme="minorHAnsi"/>
        </w:rPr>
      </w:pPr>
      <w:r w:rsidRPr="00C94C33">
        <w:rPr>
          <w:rFonts w:asciiTheme="minorHAnsi" w:hAnsiTheme="minorHAnsi"/>
        </w:rPr>
        <w:t>6.</w:t>
      </w:r>
      <w:r w:rsidRPr="00C94C33">
        <w:rPr>
          <w:rFonts w:asciiTheme="minorHAnsi" w:hAnsiTheme="minorHAnsi"/>
        </w:rPr>
        <w:tab/>
        <w:t>Brookmeyer and Crowley, A Confidence Interval for the Median Survival Time, Biometrics 38, 29-41, March 1982.</w:t>
      </w:r>
    </w:p>
    <w:p w14:paraId="7ECDD817" w14:textId="77777777" w:rsidR="00307475" w:rsidRPr="00C94C33" w:rsidRDefault="00307475" w:rsidP="009C740E">
      <w:pPr>
        <w:sectPr w:rsidR="00307475" w:rsidRPr="00C94C33" w:rsidSect="00B0220F">
          <w:headerReference w:type="even" r:id="rId43"/>
          <w:headerReference w:type="default" r:id="rId44"/>
          <w:headerReference w:type="first" r:id="rId45"/>
          <w:footnotePr>
            <w:numFmt w:val="lowerLetter"/>
          </w:footnotePr>
          <w:endnotePr>
            <w:numFmt w:val="decimal"/>
          </w:endnotePr>
          <w:pgSz w:w="11906" w:h="16838" w:code="9"/>
          <w:pgMar w:top="1134" w:right="1134" w:bottom="1276" w:left="1440" w:header="737" w:footer="737" w:gutter="0"/>
          <w:cols w:space="720"/>
        </w:sectPr>
      </w:pP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7A323C" w:rsidRPr="00C94C33" w14:paraId="49AB5463" w14:textId="77777777" w:rsidTr="009021F5">
        <w:trPr>
          <w:trHeight w:hRule="exact" w:val="564"/>
        </w:trPr>
        <w:tc>
          <w:tcPr>
            <w:tcW w:w="9175" w:type="dxa"/>
          </w:tcPr>
          <w:bookmarkEnd w:id="4"/>
          <w:bookmarkEnd w:id="5"/>
          <w:bookmarkEnd w:id="6"/>
          <w:p w14:paraId="4582E581" w14:textId="77777777" w:rsidR="007A323C" w:rsidRPr="00C94C33" w:rsidRDefault="007A323C" w:rsidP="009021F5">
            <w:pPr>
              <w:pStyle w:val="TGASignoff"/>
            </w:pPr>
            <w:r w:rsidRPr="00C94C33">
              <w:lastRenderedPageBreak/>
              <w:t>Therapeutic Goods Administration</w:t>
            </w:r>
          </w:p>
        </w:tc>
      </w:tr>
      <w:tr w:rsidR="007A323C" w:rsidRPr="00C94C33" w14:paraId="005FD3F0" w14:textId="77777777" w:rsidTr="009021F5">
        <w:trPr>
          <w:trHeight w:val="1221"/>
        </w:trPr>
        <w:tc>
          <w:tcPr>
            <w:tcW w:w="9175" w:type="dxa"/>
            <w:tcMar>
              <w:top w:w="28" w:type="dxa"/>
            </w:tcMar>
          </w:tcPr>
          <w:p w14:paraId="4CD14197" w14:textId="77777777" w:rsidR="007A323C" w:rsidRPr="00C94C33" w:rsidRDefault="007A323C" w:rsidP="009021F5">
            <w:pPr>
              <w:pStyle w:val="Address"/>
            </w:pPr>
            <w:r w:rsidRPr="00C94C33">
              <w:t>PO Box 100 Woden ACT 2606 Australia</w:t>
            </w:r>
          </w:p>
          <w:p w14:paraId="12CE1FB7" w14:textId="77777777" w:rsidR="007A323C" w:rsidRPr="00C94C33" w:rsidRDefault="007A323C" w:rsidP="009021F5">
            <w:pPr>
              <w:pStyle w:val="Address"/>
            </w:pPr>
            <w:r w:rsidRPr="00C94C33">
              <w:t xml:space="preserve">Email: </w:t>
            </w:r>
            <w:hyperlink r:id="rId46" w:history="1">
              <w:r w:rsidRPr="00C94C33">
                <w:rPr>
                  <w:rStyle w:val="Hyperlink"/>
                </w:rPr>
                <w:t>info@tga.gov.au</w:t>
              </w:r>
            </w:hyperlink>
            <w:r w:rsidRPr="00C94C33">
              <w:t xml:space="preserve">  Phone: 1800 020 653  Fax: 02 6232 8605</w:t>
            </w:r>
          </w:p>
          <w:p w14:paraId="08A36B80" w14:textId="77777777" w:rsidR="007A323C" w:rsidRPr="00C94C33" w:rsidRDefault="002254D9" w:rsidP="009021F5">
            <w:pPr>
              <w:pStyle w:val="Address"/>
              <w:spacing w:line="260" w:lineRule="atLeast"/>
              <w:rPr>
                <w:b/>
                <w:color w:val="0000FF"/>
                <w:highlight w:val="yellow"/>
                <w:u w:val="single"/>
              </w:rPr>
            </w:pPr>
            <w:hyperlink r:id="rId47" w:history="1">
              <w:r w:rsidR="007A323C" w:rsidRPr="00C94C33">
                <w:rPr>
                  <w:rStyle w:val="Hyperlink"/>
                </w:rPr>
                <w:t>https://www.tga.gov.au</w:t>
              </w:r>
            </w:hyperlink>
          </w:p>
        </w:tc>
      </w:tr>
    </w:tbl>
    <w:p w14:paraId="775247C5" w14:textId="77777777" w:rsidR="00774E1D" w:rsidRPr="00C94C33" w:rsidRDefault="00774E1D" w:rsidP="00F02B2E"/>
    <w:sectPr w:rsidR="00774E1D" w:rsidRPr="00C94C33" w:rsidSect="00F02B2E">
      <w:headerReference w:type="even" r:id="rId48"/>
      <w:headerReference w:type="default" r:id="rId49"/>
      <w:headerReference w:type="first" r:id="rId50"/>
      <w:footerReference w:type="first" r:id="rId51"/>
      <w:pgSz w:w="11906" w:h="16838" w:code="9"/>
      <w:pgMar w:top="13014" w:right="1701" w:bottom="993"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53AEEC" w14:textId="77777777" w:rsidR="00845512" w:rsidRDefault="00845512" w:rsidP="00C40A36">
      <w:pPr>
        <w:spacing w:after="0"/>
      </w:pPr>
      <w:r>
        <w:separator/>
      </w:r>
    </w:p>
  </w:endnote>
  <w:endnote w:type="continuationSeparator" w:id="0">
    <w:p w14:paraId="3DD20860" w14:textId="77777777" w:rsidR="00845512" w:rsidRDefault="0084551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TimesNewRomanPSMT">
    <w:altName w:val="Times New Roman"/>
    <w:charset w:val="00"/>
    <w:family w:val="roman"/>
    <w:pitch w:val="variable"/>
    <w:sig w:usb0="E0002AEF" w:usb1="C0007841" w:usb2="00000009" w:usb3="00000000" w:csb0="000001FF" w:csb1="00000000"/>
  </w:font>
  <w:font w:name="TimesNewRoman">
    <w:altName w:val="MS Mincho"/>
    <w:panose1 w:val="00000000000000000000"/>
    <w:charset w:val="00"/>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imesNewRomanPS-ItalicMT">
    <w:panose1 w:val="00000000000000000000"/>
    <w:charset w:val="00"/>
    <w:family w:val="swiss"/>
    <w:notTrueType/>
    <w:pitch w:val="default"/>
    <w:sig w:usb0="00000003" w:usb1="00000000" w:usb2="00000000" w:usb3="00000000" w:csb0="00000001"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åSˇ">
    <w:altName w:val="Cambria"/>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SymbolMT">
    <w:charset w:val="02"/>
    <w:family w:val="auto"/>
    <w:pitch w:val="variable"/>
    <w:sig w:usb0="00000000" w:usb1="10000000" w:usb2="00000000" w:usb3="00000000" w:csb0="80000000"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D4DF7" w14:textId="77777777" w:rsidR="00845512" w:rsidRDefault="00845512" w:rsidP="00DC2B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F34B3CD" w14:textId="77777777" w:rsidR="00845512" w:rsidRDefault="00845512" w:rsidP="004A270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8E263" w14:textId="77777777" w:rsidR="00845512" w:rsidRDefault="00845512" w:rsidP="00DF61BC">
    <w:pPr>
      <w:pStyle w:val="Footer"/>
      <w:framePr w:wrap="around" w:vAnchor="text" w:hAnchor="margin" w:xAlign="right" w:y="1"/>
      <w:rPr>
        <w:rStyle w:val="PageNumber"/>
      </w:rPr>
    </w:pPr>
  </w:p>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845512" w:rsidRPr="00487162" w14:paraId="25552DFD" w14:textId="77777777" w:rsidTr="000762BC">
      <w:trPr>
        <w:trHeight w:val="269"/>
      </w:trPr>
      <w:tc>
        <w:tcPr>
          <w:tcW w:w="7938" w:type="dxa"/>
          <w:tcMar>
            <w:top w:w="142" w:type="dxa"/>
            <w:bottom w:w="0" w:type="dxa"/>
          </w:tcMar>
        </w:tcPr>
        <w:p w14:paraId="51E1DE1C" w14:textId="77777777" w:rsidR="00845512" w:rsidRPr="00487162" w:rsidRDefault="00845512" w:rsidP="00F70BED">
          <w:pPr>
            <w:pStyle w:val="Footer"/>
          </w:pPr>
          <w:r>
            <w:t xml:space="preserve">AusPAR Attachment 2 Lonsurf and Orcantas </w:t>
          </w:r>
          <w:r w:rsidRPr="00487162">
            <w:t>PM-20</w:t>
          </w:r>
          <w:r>
            <w:t>16-00929-1-4 Extract from the Clinical Evaluation Report</w:t>
          </w:r>
        </w:p>
      </w:tc>
      <w:tc>
        <w:tcPr>
          <w:tcW w:w="923" w:type="dxa"/>
          <w:tcMar>
            <w:top w:w="142" w:type="dxa"/>
            <w:bottom w:w="0" w:type="dxa"/>
          </w:tcMar>
        </w:tcPr>
        <w:p w14:paraId="6112B275" w14:textId="77777777" w:rsidR="00845512" w:rsidRPr="00981D66" w:rsidRDefault="00845512" w:rsidP="000762BC">
          <w:pPr>
            <w:pStyle w:val="Footer"/>
            <w:jc w:val="right"/>
          </w:pPr>
          <w:r w:rsidRPr="00981D66">
            <w:fldChar w:fldCharType="begin"/>
          </w:r>
          <w:r w:rsidRPr="00981D66">
            <w:instrText xml:space="preserve"> PAGE  \* Arabic  \* MERGEFORMAT </w:instrText>
          </w:r>
          <w:r w:rsidRPr="00981D66">
            <w:fldChar w:fldCharType="separate"/>
          </w:r>
          <w:r w:rsidR="002254D9">
            <w:rPr>
              <w:noProof/>
            </w:rPr>
            <w:t>102</w:t>
          </w:r>
          <w:r w:rsidRPr="00981D66">
            <w:fldChar w:fldCharType="end"/>
          </w:r>
          <w:r w:rsidRPr="00981D66">
            <w:t xml:space="preserve"> of </w:t>
          </w:r>
          <w:r w:rsidR="002254D9">
            <w:fldChar w:fldCharType="begin"/>
          </w:r>
          <w:r w:rsidR="002254D9">
            <w:instrText xml:space="preserve"> NUMPAGES  \* Arabic  \* MERGEFORMAT </w:instrText>
          </w:r>
          <w:r w:rsidR="002254D9">
            <w:fldChar w:fldCharType="separate"/>
          </w:r>
          <w:r w:rsidR="002254D9">
            <w:rPr>
              <w:noProof/>
            </w:rPr>
            <w:t>136</w:t>
          </w:r>
          <w:r w:rsidR="002254D9">
            <w:rPr>
              <w:noProof/>
            </w:rPr>
            <w:fldChar w:fldCharType="end"/>
          </w:r>
        </w:p>
      </w:tc>
    </w:tr>
  </w:tbl>
  <w:p w14:paraId="4FD20393" w14:textId="77777777" w:rsidR="00845512" w:rsidRPr="00DC2B5F" w:rsidRDefault="00845512" w:rsidP="000762BC">
    <w:pPr>
      <w:pStyle w:val="Footer"/>
      <w:ind w:right="360"/>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5C231" w14:textId="77777777" w:rsidR="00845512" w:rsidRPr="00086428" w:rsidRDefault="00845512" w:rsidP="00086428">
    <w:pPr>
      <w:pStyle w:val="Footer"/>
      <w:ind w:right="360"/>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45512" w14:paraId="07FD31AF" w14:textId="77777777" w:rsidTr="0010601F">
      <w:trPr>
        <w:trHeight w:val="108"/>
      </w:trPr>
      <w:tc>
        <w:tcPr>
          <w:tcW w:w="8875" w:type="dxa"/>
          <w:gridSpan w:val="2"/>
          <w:tcBorders>
            <w:bottom w:val="single" w:sz="4" w:space="0" w:color="auto"/>
          </w:tcBorders>
          <w:tcMar>
            <w:right w:w="284" w:type="dxa"/>
          </w:tcMar>
        </w:tcPr>
        <w:p w14:paraId="3AF6FAC4" w14:textId="77777777" w:rsidR="00845512" w:rsidRDefault="00845512" w:rsidP="006E08B3">
          <w:pPr>
            <w:pStyle w:val="Heading3"/>
          </w:pPr>
          <w:r>
            <w:t>Copyright</w:t>
          </w:r>
        </w:p>
        <w:p w14:paraId="2FFF01FA" w14:textId="60D49605" w:rsidR="00845512" w:rsidRDefault="00845512" w:rsidP="006E08B3">
          <w:r>
            <w:t>© Commonwealth of Australia (add year)</w:t>
          </w:r>
        </w:p>
        <w:p w14:paraId="64FBA650" w14:textId="77777777" w:rsidR="00845512" w:rsidRDefault="00845512" w:rsidP="006E08B3"/>
        <w:p w14:paraId="25284ABE" w14:textId="77777777" w:rsidR="00845512" w:rsidRDefault="0084551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15C82248" w14:textId="77777777" w:rsidR="00845512" w:rsidRDefault="00845512" w:rsidP="006E08B3"/>
        <w:p w14:paraId="39D7F408" w14:textId="77777777" w:rsidR="00845512" w:rsidRDefault="00845512" w:rsidP="006E08B3">
          <w:pPr>
            <w:pStyle w:val="Heading3"/>
          </w:pPr>
          <w:r>
            <w:t>Confidentiality</w:t>
          </w:r>
        </w:p>
        <w:p w14:paraId="2CB9A283" w14:textId="5AE3F221" w:rsidR="00845512" w:rsidRDefault="0084551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89C39A1" w14:textId="77777777" w:rsidR="00845512" w:rsidRDefault="00845512" w:rsidP="006E08B3"/>
        <w:p w14:paraId="4C5BBE9D" w14:textId="77777777" w:rsidR="00845512" w:rsidRDefault="00845512" w:rsidP="006E08B3">
          <w:r>
            <w:t>For submission made by individuals, all personal details, other than your name, will be removed from your submission before it is published on the TGA’s Internet site.</w:t>
          </w:r>
        </w:p>
        <w:p w14:paraId="76AC60CD" w14:textId="77777777" w:rsidR="00845512" w:rsidRDefault="00845512" w:rsidP="006E08B3"/>
        <w:p w14:paraId="4E0A9B86" w14:textId="77777777" w:rsidR="00845512" w:rsidRDefault="00845512" w:rsidP="006E08B3">
          <w:r>
            <w:t>In addition, a list of parties making submissions will be published. If you do not wish to be identified with your submission you must specifically request this in the space provided ib the submission coversheet.</w:t>
          </w:r>
        </w:p>
      </w:tc>
    </w:tr>
    <w:tr w:rsidR="00845512" w14:paraId="5DAF1EFB" w14:textId="77777777" w:rsidTr="0010601F">
      <w:trPr>
        <w:trHeight w:val="417"/>
      </w:trPr>
      <w:tc>
        <w:tcPr>
          <w:tcW w:w="4519" w:type="dxa"/>
          <w:tcBorders>
            <w:top w:val="single" w:sz="4" w:space="0" w:color="auto"/>
          </w:tcBorders>
          <w:tcMar>
            <w:top w:w="142" w:type="dxa"/>
            <w:bottom w:w="0" w:type="dxa"/>
          </w:tcMar>
        </w:tcPr>
        <w:p w14:paraId="1767BD6D" w14:textId="77777777" w:rsidR="00845512" w:rsidRDefault="00845512" w:rsidP="006E08B3">
          <w:r>
            <w:t>Document title, Part #, Section # - Section title</w:t>
          </w:r>
        </w:p>
        <w:p w14:paraId="01DAB094" w14:textId="77777777" w:rsidR="00845512" w:rsidRDefault="00845512" w:rsidP="006E08B3">
          <w:r>
            <w:t>V1.0 October 2010</w:t>
          </w:r>
        </w:p>
      </w:tc>
      <w:tc>
        <w:tcPr>
          <w:tcW w:w="4356" w:type="dxa"/>
          <w:tcBorders>
            <w:top w:val="single" w:sz="4" w:space="0" w:color="auto"/>
          </w:tcBorders>
          <w:tcMar>
            <w:top w:w="142" w:type="dxa"/>
            <w:bottom w:w="0" w:type="dxa"/>
          </w:tcMar>
        </w:tcPr>
        <w:p w14:paraId="3DB4D729" w14:textId="77777777" w:rsidR="00845512" w:rsidRDefault="0084551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14:paraId="224460EC" w14:textId="77777777" w:rsidR="00845512" w:rsidRDefault="008455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822324" w14:textId="77777777" w:rsidR="00845512" w:rsidRDefault="00845512" w:rsidP="00C40A36">
      <w:pPr>
        <w:spacing w:after="0"/>
      </w:pPr>
      <w:r>
        <w:separator/>
      </w:r>
    </w:p>
  </w:footnote>
  <w:footnote w:type="continuationSeparator" w:id="0">
    <w:p w14:paraId="5A233FE6" w14:textId="77777777" w:rsidR="00845512" w:rsidRDefault="00845512"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0B828" w14:textId="77777777" w:rsidR="00845512" w:rsidRDefault="00845512"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BE45D" w14:textId="77777777" w:rsidR="00845512" w:rsidRDefault="00845512">
    <w:pPr>
      <w:rPr>
        <w:noProof/>
        <w:lang w:eastAsia="en-AU"/>
      </w:rPr>
    </w:pPr>
    <w:r w:rsidRPr="002D545C">
      <w:rPr>
        <w:noProof/>
        <w:lang w:eastAsia="en-AU"/>
      </w:rPr>
      <w:drawing>
        <wp:anchor distT="0" distB="0" distL="114300" distR="114300" simplePos="0" relativeHeight="251659264" behindDoc="1" locked="0" layoutInCell="1" allowOverlap="1" wp14:anchorId="09A20744" wp14:editId="27FD69C9">
          <wp:simplePos x="0" y="0"/>
          <wp:positionH relativeFrom="column">
            <wp:posOffset>-1089660</wp:posOffset>
          </wp:positionH>
          <wp:positionV relativeFrom="paragraph">
            <wp:posOffset>-585470</wp:posOffset>
          </wp:positionV>
          <wp:extent cx="7572375" cy="10706100"/>
          <wp:effectExtent l="19050" t="0" r="0" b="0"/>
          <wp:wrapNone/>
          <wp:docPr id="126"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14:paraId="69D48738" w14:textId="77777777" w:rsidR="00845512" w:rsidRDefault="00845512" w:rsidP="00593AD1">
    <w:pPr>
      <w:pStyle w:val="HeaderNoLine"/>
    </w:pPr>
    <w:r>
      <w:rPr>
        <w:noProof/>
        <w:lang w:eastAsia="en-AU"/>
      </w:rPr>
      <w:drawing>
        <wp:inline distT="0" distB="0" distL="0" distR="0" wp14:anchorId="3FD012B2" wp14:editId="77E34690">
          <wp:extent cx="5400675" cy="7639050"/>
          <wp:effectExtent l="0" t="0" r="9525" b="0"/>
          <wp:docPr id="127" name="Picture 127" descr="Lightblu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8D2FE" w14:textId="77777777" w:rsidR="00845512" w:rsidRDefault="00845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BFEB0" w14:textId="77777777" w:rsidR="00845512" w:rsidRDefault="00845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08080" w14:textId="77777777" w:rsidR="00845512" w:rsidRDefault="00845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DDCA0" w14:textId="77777777" w:rsidR="00845512" w:rsidRDefault="00845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1758F" w14:textId="77777777" w:rsidR="00845512" w:rsidRPr="000762BC" w:rsidRDefault="00845512" w:rsidP="000762B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6D7E3" w14:textId="77777777" w:rsidR="00845512" w:rsidRDefault="00845512" w:rsidP="006E08B3">
    <w:r>
      <w:t>Therapeutic Goods Administration</w:t>
    </w:r>
  </w:p>
  <w:p w14:paraId="2CF4EA78" w14:textId="77777777" w:rsidR="00845512" w:rsidRDefault="0084551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4085A32"/>
    <w:lvl w:ilvl="0">
      <w:start w:val="1"/>
      <w:numFmt w:val="bullet"/>
      <w:pStyle w:val="Style1"/>
      <w:lvlText w:val=""/>
      <w:lvlJc w:val="left"/>
      <w:pPr>
        <w:tabs>
          <w:tab w:val="num" w:pos="360"/>
        </w:tabs>
        <w:ind w:left="360" w:hanging="360"/>
      </w:pPr>
      <w:rPr>
        <w:rFonts w:ascii="Symbol" w:hAnsi="Symbol" w:hint="default"/>
      </w:rPr>
    </w:lvl>
  </w:abstractNum>
  <w:abstractNum w:abstractNumId="1">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6">
    <w:nsid w:val="57076D7D"/>
    <w:multiLevelType w:val="multilevel"/>
    <w:tmpl w:val="54944B0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color w:val="auto"/>
      </w:rPr>
    </w:lvl>
    <w:lvl w:ilvl="4">
      <w:start w:val="1"/>
      <w:numFmt w:val="decimal"/>
      <w:lvlText w:val="%1.%2.%3.%4.%5."/>
      <w:lvlJc w:val="left"/>
      <w:pPr>
        <w:tabs>
          <w:tab w:val="num" w:pos="1701"/>
        </w:tabs>
        <w:ind w:left="1701" w:hanging="1701"/>
      </w:pPr>
      <w:rPr>
        <w:rFonts w:hint="default"/>
        <w:color w:val="auto"/>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7">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8">
    <w:nsid w:val="6D0B1B75"/>
    <w:multiLevelType w:val="multilevel"/>
    <w:tmpl w:val="569898E0"/>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sz w:val="28"/>
      </w:rPr>
    </w:lvl>
    <w:lvl w:ilvl="2">
      <w:start w:val="1"/>
      <w:numFmt w:val="decimal"/>
      <w:pStyle w:val="Heading4"/>
      <w:lvlText w:val="%1.%2.%3."/>
      <w:lvlJc w:val="left"/>
      <w:pPr>
        <w:tabs>
          <w:tab w:val="num" w:pos="1134"/>
        </w:tabs>
        <w:ind w:left="1134" w:hanging="964"/>
      </w:pPr>
      <w:rPr>
        <w:rFonts w:hint="default"/>
        <w:color w:val="auto"/>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9">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2"/>
  </w:num>
  <w:num w:numId="4">
    <w:abstractNumId w:val="3"/>
  </w:num>
  <w:num w:numId="5">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6">
    <w:abstractNumId w:val="8"/>
  </w:num>
  <w:num w:numId="7">
    <w:abstractNumId w:val="4"/>
  </w:num>
  <w:num w:numId="8">
    <w:abstractNumId w:val="5"/>
  </w:num>
  <w:num w:numId="9">
    <w:abstractNumId w:val="9"/>
  </w:num>
  <w:num w:numId="10">
    <w:abstractNumId w:val="1"/>
  </w:num>
  <w:num w:numId="11">
    <w:abstractNumId w:val="7"/>
  </w:num>
  <w:num w:numId="12">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3">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8">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9">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0">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1">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2">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3">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4">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5">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6">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8">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9">
    <w:abstractNumId w:val="6"/>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A4D"/>
    <w:rsid w:val="00002031"/>
    <w:rsid w:val="00003E59"/>
    <w:rsid w:val="00004734"/>
    <w:rsid w:val="00004D58"/>
    <w:rsid w:val="00006B22"/>
    <w:rsid w:val="00010694"/>
    <w:rsid w:val="0001276A"/>
    <w:rsid w:val="000142FD"/>
    <w:rsid w:val="0001458C"/>
    <w:rsid w:val="00015D8E"/>
    <w:rsid w:val="00017585"/>
    <w:rsid w:val="00021EC4"/>
    <w:rsid w:val="000246AE"/>
    <w:rsid w:val="000252E7"/>
    <w:rsid w:val="00025C67"/>
    <w:rsid w:val="00040ACB"/>
    <w:rsid w:val="00041D5A"/>
    <w:rsid w:val="00042D6A"/>
    <w:rsid w:val="00045721"/>
    <w:rsid w:val="000513E3"/>
    <w:rsid w:val="00051CF4"/>
    <w:rsid w:val="0005351A"/>
    <w:rsid w:val="0005559E"/>
    <w:rsid w:val="00056A91"/>
    <w:rsid w:val="000603AB"/>
    <w:rsid w:val="000662F4"/>
    <w:rsid w:val="00066B24"/>
    <w:rsid w:val="0007174C"/>
    <w:rsid w:val="0007331E"/>
    <w:rsid w:val="000762BC"/>
    <w:rsid w:val="0007635C"/>
    <w:rsid w:val="000771AD"/>
    <w:rsid w:val="00077775"/>
    <w:rsid w:val="00083CFA"/>
    <w:rsid w:val="0008525E"/>
    <w:rsid w:val="00086428"/>
    <w:rsid w:val="00090471"/>
    <w:rsid w:val="00097B5E"/>
    <w:rsid w:val="000A1A7B"/>
    <w:rsid w:val="000A1E52"/>
    <w:rsid w:val="000A3AED"/>
    <w:rsid w:val="000A3EAA"/>
    <w:rsid w:val="000A4528"/>
    <w:rsid w:val="000A63AF"/>
    <w:rsid w:val="000B0E99"/>
    <w:rsid w:val="000B3532"/>
    <w:rsid w:val="000B3A75"/>
    <w:rsid w:val="000B3AB3"/>
    <w:rsid w:val="000C4D24"/>
    <w:rsid w:val="000C690F"/>
    <w:rsid w:val="000C7839"/>
    <w:rsid w:val="000D1295"/>
    <w:rsid w:val="000D23E3"/>
    <w:rsid w:val="000D382B"/>
    <w:rsid w:val="000D391B"/>
    <w:rsid w:val="000D3D6D"/>
    <w:rsid w:val="000D4FC7"/>
    <w:rsid w:val="000D635A"/>
    <w:rsid w:val="000D69EF"/>
    <w:rsid w:val="000E0A49"/>
    <w:rsid w:val="000E13D0"/>
    <w:rsid w:val="000E71F1"/>
    <w:rsid w:val="000F02F9"/>
    <w:rsid w:val="000F0C1F"/>
    <w:rsid w:val="000F4869"/>
    <w:rsid w:val="000F4BF7"/>
    <w:rsid w:val="000F4F8C"/>
    <w:rsid w:val="000F5B42"/>
    <w:rsid w:val="000F6E6F"/>
    <w:rsid w:val="0010193C"/>
    <w:rsid w:val="00104613"/>
    <w:rsid w:val="0010601F"/>
    <w:rsid w:val="001067D5"/>
    <w:rsid w:val="00106962"/>
    <w:rsid w:val="0010788A"/>
    <w:rsid w:val="00107A31"/>
    <w:rsid w:val="00107A5F"/>
    <w:rsid w:val="00110419"/>
    <w:rsid w:val="00110EA5"/>
    <w:rsid w:val="0011104D"/>
    <w:rsid w:val="001111C5"/>
    <w:rsid w:val="00112F56"/>
    <w:rsid w:val="0011710C"/>
    <w:rsid w:val="00117F9E"/>
    <w:rsid w:val="00125318"/>
    <w:rsid w:val="00125D77"/>
    <w:rsid w:val="00126510"/>
    <w:rsid w:val="001278AC"/>
    <w:rsid w:val="001305A2"/>
    <w:rsid w:val="00133238"/>
    <w:rsid w:val="00134970"/>
    <w:rsid w:val="00136E00"/>
    <w:rsid w:val="00140692"/>
    <w:rsid w:val="0014197B"/>
    <w:rsid w:val="00144770"/>
    <w:rsid w:val="001447CD"/>
    <w:rsid w:val="001448C5"/>
    <w:rsid w:val="00145690"/>
    <w:rsid w:val="001516B1"/>
    <w:rsid w:val="001534C9"/>
    <w:rsid w:val="00153F35"/>
    <w:rsid w:val="001542C5"/>
    <w:rsid w:val="00154EBB"/>
    <w:rsid w:val="00156316"/>
    <w:rsid w:val="001641DB"/>
    <w:rsid w:val="00164784"/>
    <w:rsid w:val="00165389"/>
    <w:rsid w:val="00166DA5"/>
    <w:rsid w:val="0017078F"/>
    <w:rsid w:val="00170E51"/>
    <w:rsid w:val="001735DA"/>
    <w:rsid w:val="00173A78"/>
    <w:rsid w:val="0017693F"/>
    <w:rsid w:val="00180048"/>
    <w:rsid w:val="0018110E"/>
    <w:rsid w:val="00181684"/>
    <w:rsid w:val="001843C6"/>
    <w:rsid w:val="00184C38"/>
    <w:rsid w:val="001850E0"/>
    <w:rsid w:val="00190DFC"/>
    <w:rsid w:val="001A2158"/>
    <w:rsid w:val="001A525F"/>
    <w:rsid w:val="001A6CF1"/>
    <w:rsid w:val="001A7A4D"/>
    <w:rsid w:val="001B02A1"/>
    <w:rsid w:val="001B09F9"/>
    <w:rsid w:val="001B2555"/>
    <w:rsid w:val="001B3A1D"/>
    <w:rsid w:val="001B5D98"/>
    <w:rsid w:val="001B6448"/>
    <w:rsid w:val="001B7F8D"/>
    <w:rsid w:val="001C03E7"/>
    <w:rsid w:val="001C0996"/>
    <w:rsid w:val="001C36A6"/>
    <w:rsid w:val="001C409D"/>
    <w:rsid w:val="001C657B"/>
    <w:rsid w:val="001C77BD"/>
    <w:rsid w:val="001C7C11"/>
    <w:rsid w:val="001C7D06"/>
    <w:rsid w:val="001D5B09"/>
    <w:rsid w:val="001D6441"/>
    <w:rsid w:val="001D6DF0"/>
    <w:rsid w:val="001E07CF"/>
    <w:rsid w:val="001E59F1"/>
    <w:rsid w:val="001F497A"/>
    <w:rsid w:val="001F49EB"/>
    <w:rsid w:val="001F69A8"/>
    <w:rsid w:val="001F6CBA"/>
    <w:rsid w:val="00201D4E"/>
    <w:rsid w:val="0020560E"/>
    <w:rsid w:val="0020724B"/>
    <w:rsid w:val="002076C9"/>
    <w:rsid w:val="00212720"/>
    <w:rsid w:val="00215B0F"/>
    <w:rsid w:val="00215C5A"/>
    <w:rsid w:val="00216FAA"/>
    <w:rsid w:val="00220B8A"/>
    <w:rsid w:val="00223595"/>
    <w:rsid w:val="002254D9"/>
    <w:rsid w:val="002257F3"/>
    <w:rsid w:val="0023188E"/>
    <w:rsid w:val="00231894"/>
    <w:rsid w:val="00231BC7"/>
    <w:rsid w:val="00232A78"/>
    <w:rsid w:val="00233456"/>
    <w:rsid w:val="002339A5"/>
    <w:rsid w:val="002369A6"/>
    <w:rsid w:val="00243A2F"/>
    <w:rsid w:val="002462D3"/>
    <w:rsid w:val="00246643"/>
    <w:rsid w:val="00256002"/>
    <w:rsid w:val="00256D80"/>
    <w:rsid w:val="00257329"/>
    <w:rsid w:val="00257610"/>
    <w:rsid w:val="00257848"/>
    <w:rsid w:val="00261552"/>
    <w:rsid w:val="00264580"/>
    <w:rsid w:val="00264F16"/>
    <w:rsid w:val="002658D4"/>
    <w:rsid w:val="002666AC"/>
    <w:rsid w:val="0027084A"/>
    <w:rsid w:val="00270871"/>
    <w:rsid w:val="0027708E"/>
    <w:rsid w:val="002776F2"/>
    <w:rsid w:val="002832BB"/>
    <w:rsid w:val="00286434"/>
    <w:rsid w:val="00286C59"/>
    <w:rsid w:val="002901F4"/>
    <w:rsid w:val="00291AC2"/>
    <w:rsid w:val="00292113"/>
    <w:rsid w:val="002942D1"/>
    <w:rsid w:val="0029501A"/>
    <w:rsid w:val="0029517C"/>
    <w:rsid w:val="00295C34"/>
    <w:rsid w:val="00296CD6"/>
    <w:rsid w:val="002A23D9"/>
    <w:rsid w:val="002A6A6E"/>
    <w:rsid w:val="002B1638"/>
    <w:rsid w:val="002B5366"/>
    <w:rsid w:val="002B5970"/>
    <w:rsid w:val="002C03EC"/>
    <w:rsid w:val="002C0BE5"/>
    <w:rsid w:val="002C0F7C"/>
    <w:rsid w:val="002C323E"/>
    <w:rsid w:val="002C3314"/>
    <w:rsid w:val="002C3B46"/>
    <w:rsid w:val="002C63ED"/>
    <w:rsid w:val="002D1CA1"/>
    <w:rsid w:val="002D3613"/>
    <w:rsid w:val="002D3FD1"/>
    <w:rsid w:val="002D545C"/>
    <w:rsid w:val="002D6161"/>
    <w:rsid w:val="002E110F"/>
    <w:rsid w:val="002E4C9A"/>
    <w:rsid w:val="002E6BC0"/>
    <w:rsid w:val="002F11F8"/>
    <w:rsid w:val="002F3F56"/>
    <w:rsid w:val="002F44B5"/>
    <w:rsid w:val="002F7F42"/>
    <w:rsid w:val="00301A4D"/>
    <w:rsid w:val="0030374B"/>
    <w:rsid w:val="00305956"/>
    <w:rsid w:val="00305C83"/>
    <w:rsid w:val="00307475"/>
    <w:rsid w:val="003106FF"/>
    <w:rsid w:val="00311AC0"/>
    <w:rsid w:val="00314D2F"/>
    <w:rsid w:val="00315D29"/>
    <w:rsid w:val="00323CC6"/>
    <w:rsid w:val="0032583B"/>
    <w:rsid w:val="00326BFE"/>
    <w:rsid w:val="00327883"/>
    <w:rsid w:val="00330EE4"/>
    <w:rsid w:val="003353DF"/>
    <w:rsid w:val="00335504"/>
    <w:rsid w:val="0033645C"/>
    <w:rsid w:val="00341788"/>
    <w:rsid w:val="0034419A"/>
    <w:rsid w:val="00344879"/>
    <w:rsid w:val="00344F75"/>
    <w:rsid w:val="003521E8"/>
    <w:rsid w:val="00354BDB"/>
    <w:rsid w:val="0036029B"/>
    <w:rsid w:val="00365AFE"/>
    <w:rsid w:val="003728F3"/>
    <w:rsid w:val="00373A6F"/>
    <w:rsid w:val="0037496E"/>
    <w:rsid w:val="0037623D"/>
    <w:rsid w:val="00376824"/>
    <w:rsid w:val="00380FD6"/>
    <w:rsid w:val="003825E8"/>
    <w:rsid w:val="00386150"/>
    <w:rsid w:val="003874CE"/>
    <w:rsid w:val="00390900"/>
    <w:rsid w:val="00394543"/>
    <w:rsid w:val="00394F0C"/>
    <w:rsid w:val="00396451"/>
    <w:rsid w:val="0039691C"/>
    <w:rsid w:val="00396C92"/>
    <w:rsid w:val="003A26A8"/>
    <w:rsid w:val="003A7F6C"/>
    <w:rsid w:val="003B0849"/>
    <w:rsid w:val="003B1113"/>
    <w:rsid w:val="003B4D60"/>
    <w:rsid w:val="003B634F"/>
    <w:rsid w:val="003B7E39"/>
    <w:rsid w:val="003C39EF"/>
    <w:rsid w:val="003C43AE"/>
    <w:rsid w:val="003C58DC"/>
    <w:rsid w:val="003C7180"/>
    <w:rsid w:val="003D0712"/>
    <w:rsid w:val="003D0A18"/>
    <w:rsid w:val="003D0A3B"/>
    <w:rsid w:val="003D1513"/>
    <w:rsid w:val="003D1E62"/>
    <w:rsid w:val="003E1712"/>
    <w:rsid w:val="003E2486"/>
    <w:rsid w:val="003E3208"/>
    <w:rsid w:val="003E5D1C"/>
    <w:rsid w:val="003F0B04"/>
    <w:rsid w:val="003F43B1"/>
    <w:rsid w:val="0040134E"/>
    <w:rsid w:val="00403E6C"/>
    <w:rsid w:val="0041178E"/>
    <w:rsid w:val="00413213"/>
    <w:rsid w:val="00415D59"/>
    <w:rsid w:val="0041712E"/>
    <w:rsid w:val="0042301C"/>
    <w:rsid w:val="00425863"/>
    <w:rsid w:val="0043046F"/>
    <w:rsid w:val="00431DF4"/>
    <w:rsid w:val="0043797D"/>
    <w:rsid w:val="00440A2D"/>
    <w:rsid w:val="004446C4"/>
    <w:rsid w:val="004564A7"/>
    <w:rsid w:val="004617BF"/>
    <w:rsid w:val="00463658"/>
    <w:rsid w:val="004642D3"/>
    <w:rsid w:val="00466059"/>
    <w:rsid w:val="004722CC"/>
    <w:rsid w:val="00472608"/>
    <w:rsid w:val="00474B25"/>
    <w:rsid w:val="004764BB"/>
    <w:rsid w:val="004806C6"/>
    <w:rsid w:val="00480A5B"/>
    <w:rsid w:val="00482C2F"/>
    <w:rsid w:val="0048322F"/>
    <w:rsid w:val="0048569B"/>
    <w:rsid w:val="004910B2"/>
    <w:rsid w:val="00493650"/>
    <w:rsid w:val="004936E4"/>
    <w:rsid w:val="00494E60"/>
    <w:rsid w:val="004950D9"/>
    <w:rsid w:val="00497487"/>
    <w:rsid w:val="004A1D4B"/>
    <w:rsid w:val="004A270C"/>
    <w:rsid w:val="004A3C55"/>
    <w:rsid w:val="004A5EBC"/>
    <w:rsid w:val="004A7E13"/>
    <w:rsid w:val="004B0A27"/>
    <w:rsid w:val="004B3C07"/>
    <w:rsid w:val="004B7B76"/>
    <w:rsid w:val="004C0FAA"/>
    <w:rsid w:val="004C160E"/>
    <w:rsid w:val="004C1BA8"/>
    <w:rsid w:val="004C1D75"/>
    <w:rsid w:val="004C2DCA"/>
    <w:rsid w:val="004C3EC7"/>
    <w:rsid w:val="004D00E8"/>
    <w:rsid w:val="004D44AE"/>
    <w:rsid w:val="004D6564"/>
    <w:rsid w:val="004E0025"/>
    <w:rsid w:val="004E44C4"/>
    <w:rsid w:val="004E4E6F"/>
    <w:rsid w:val="004F0F38"/>
    <w:rsid w:val="004F44BB"/>
    <w:rsid w:val="004F4AF5"/>
    <w:rsid w:val="004F4F56"/>
    <w:rsid w:val="004F54A0"/>
    <w:rsid w:val="004F5C66"/>
    <w:rsid w:val="00501921"/>
    <w:rsid w:val="00506026"/>
    <w:rsid w:val="00507897"/>
    <w:rsid w:val="00510509"/>
    <w:rsid w:val="00516FBF"/>
    <w:rsid w:val="00522831"/>
    <w:rsid w:val="00525703"/>
    <w:rsid w:val="00530354"/>
    <w:rsid w:val="00530957"/>
    <w:rsid w:val="0053625B"/>
    <w:rsid w:val="0054127A"/>
    <w:rsid w:val="005419D3"/>
    <w:rsid w:val="005434C6"/>
    <w:rsid w:val="00543B39"/>
    <w:rsid w:val="005457EF"/>
    <w:rsid w:val="00546F4F"/>
    <w:rsid w:val="00550096"/>
    <w:rsid w:val="00550F30"/>
    <w:rsid w:val="00551B28"/>
    <w:rsid w:val="00551B29"/>
    <w:rsid w:val="00555DC7"/>
    <w:rsid w:val="00557FF9"/>
    <w:rsid w:val="0056452C"/>
    <w:rsid w:val="0057256B"/>
    <w:rsid w:val="00575F1B"/>
    <w:rsid w:val="00576378"/>
    <w:rsid w:val="00577945"/>
    <w:rsid w:val="00577E38"/>
    <w:rsid w:val="00581D36"/>
    <w:rsid w:val="0058475B"/>
    <w:rsid w:val="00584F1D"/>
    <w:rsid w:val="00585322"/>
    <w:rsid w:val="005857C6"/>
    <w:rsid w:val="00586F98"/>
    <w:rsid w:val="005873F4"/>
    <w:rsid w:val="00592F6E"/>
    <w:rsid w:val="00593AD1"/>
    <w:rsid w:val="00595BD5"/>
    <w:rsid w:val="005965D0"/>
    <w:rsid w:val="005A05BC"/>
    <w:rsid w:val="005A68B6"/>
    <w:rsid w:val="005A6C22"/>
    <w:rsid w:val="005A7B91"/>
    <w:rsid w:val="005B3372"/>
    <w:rsid w:val="005B6120"/>
    <w:rsid w:val="005C2FCA"/>
    <w:rsid w:val="005C5570"/>
    <w:rsid w:val="005C79A4"/>
    <w:rsid w:val="005D2B97"/>
    <w:rsid w:val="005D2F63"/>
    <w:rsid w:val="005D3290"/>
    <w:rsid w:val="005D3D6C"/>
    <w:rsid w:val="005D5442"/>
    <w:rsid w:val="005D5DE3"/>
    <w:rsid w:val="005D6F72"/>
    <w:rsid w:val="005D6F94"/>
    <w:rsid w:val="005E056A"/>
    <w:rsid w:val="005E1326"/>
    <w:rsid w:val="005E1A1C"/>
    <w:rsid w:val="005E398C"/>
    <w:rsid w:val="005F0849"/>
    <w:rsid w:val="005F3C81"/>
    <w:rsid w:val="005F4483"/>
    <w:rsid w:val="005F6338"/>
    <w:rsid w:val="00601377"/>
    <w:rsid w:val="00603F32"/>
    <w:rsid w:val="00605611"/>
    <w:rsid w:val="00607BDB"/>
    <w:rsid w:val="006103BA"/>
    <w:rsid w:val="006118D3"/>
    <w:rsid w:val="0061214C"/>
    <w:rsid w:val="006170F0"/>
    <w:rsid w:val="00620406"/>
    <w:rsid w:val="00620CD3"/>
    <w:rsid w:val="006263CF"/>
    <w:rsid w:val="00631B12"/>
    <w:rsid w:val="00632398"/>
    <w:rsid w:val="006336EF"/>
    <w:rsid w:val="006354AD"/>
    <w:rsid w:val="00636DFB"/>
    <w:rsid w:val="00636E45"/>
    <w:rsid w:val="00640FC3"/>
    <w:rsid w:val="0064112E"/>
    <w:rsid w:val="00642020"/>
    <w:rsid w:val="006452F4"/>
    <w:rsid w:val="00646206"/>
    <w:rsid w:val="00650943"/>
    <w:rsid w:val="0065102C"/>
    <w:rsid w:val="0065337B"/>
    <w:rsid w:val="006538BF"/>
    <w:rsid w:val="0065419D"/>
    <w:rsid w:val="00656D19"/>
    <w:rsid w:val="006604D8"/>
    <w:rsid w:val="006605C5"/>
    <w:rsid w:val="0066222F"/>
    <w:rsid w:val="00663EC7"/>
    <w:rsid w:val="00664A5B"/>
    <w:rsid w:val="006717EC"/>
    <w:rsid w:val="006718BB"/>
    <w:rsid w:val="00673819"/>
    <w:rsid w:val="0067397A"/>
    <w:rsid w:val="00674D51"/>
    <w:rsid w:val="006763D2"/>
    <w:rsid w:val="00680C08"/>
    <w:rsid w:val="00680DCD"/>
    <w:rsid w:val="006828C4"/>
    <w:rsid w:val="00691F71"/>
    <w:rsid w:val="006931B1"/>
    <w:rsid w:val="00694369"/>
    <w:rsid w:val="006A15C0"/>
    <w:rsid w:val="006A2130"/>
    <w:rsid w:val="006A2830"/>
    <w:rsid w:val="006A3B00"/>
    <w:rsid w:val="006A7C10"/>
    <w:rsid w:val="006B24FD"/>
    <w:rsid w:val="006B2ED1"/>
    <w:rsid w:val="006B4C50"/>
    <w:rsid w:val="006B6288"/>
    <w:rsid w:val="006B7C58"/>
    <w:rsid w:val="006C0B37"/>
    <w:rsid w:val="006C130C"/>
    <w:rsid w:val="006C17D1"/>
    <w:rsid w:val="006C300A"/>
    <w:rsid w:val="006C3733"/>
    <w:rsid w:val="006C3E2A"/>
    <w:rsid w:val="006C4853"/>
    <w:rsid w:val="006C4B74"/>
    <w:rsid w:val="006C642F"/>
    <w:rsid w:val="006D03E5"/>
    <w:rsid w:val="006D19FE"/>
    <w:rsid w:val="006D5D3E"/>
    <w:rsid w:val="006D6165"/>
    <w:rsid w:val="006D790A"/>
    <w:rsid w:val="006E08B3"/>
    <w:rsid w:val="006E1752"/>
    <w:rsid w:val="006E4779"/>
    <w:rsid w:val="006F17AC"/>
    <w:rsid w:val="006F1D37"/>
    <w:rsid w:val="006F26D0"/>
    <w:rsid w:val="006F2707"/>
    <w:rsid w:val="006F2796"/>
    <w:rsid w:val="006F572E"/>
    <w:rsid w:val="006F7CDC"/>
    <w:rsid w:val="006F7F63"/>
    <w:rsid w:val="00702530"/>
    <w:rsid w:val="007046D6"/>
    <w:rsid w:val="00705DB0"/>
    <w:rsid w:val="0070629B"/>
    <w:rsid w:val="007073AB"/>
    <w:rsid w:val="007129EC"/>
    <w:rsid w:val="0071718C"/>
    <w:rsid w:val="00720731"/>
    <w:rsid w:val="00721E92"/>
    <w:rsid w:val="00722B57"/>
    <w:rsid w:val="00726A2C"/>
    <w:rsid w:val="00727081"/>
    <w:rsid w:val="00730E9B"/>
    <w:rsid w:val="007317F2"/>
    <w:rsid w:val="0073458D"/>
    <w:rsid w:val="007366B7"/>
    <w:rsid w:val="007419F8"/>
    <w:rsid w:val="0074253D"/>
    <w:rsid w:val="0074429B"/>
    <w:rsid w:val="00744EDB"/>
    <w:rsid w:val="00745B7F"/>
    <w:rsid w:val="00751040"/>
    <w:rsid w:val="007513B4"/>
    <w:rsid w:val="0075195F"/>
    <w:rsid w:val="007535A8"/>
    <w:rsid w:val="007615BC"/>
    <w:rsid w:val="00762DE4"/>
    <w:rsid w:val="00762F05"/>
    <w:rsid w:val="007652FF"/>
    <w:rsid w:val="00766E0D"/>
    <w:rsid w:val="007709B8"/>
    <w:rsid w:val="00770EF1"/>
    <w:rsid w:val="007715BA"/>
    <w:rsid w:val="00772CEB"/>
    <w:rsid w:val="00773EF7"/>
    <w:rsid w:val="00774E1D"/>
    <w:rsid w:val="007760AE"/>
    <w:rsid w:val="0077675A"/>
    <w:rsid w:val="007774FB"/>
    <w:rsid w:val="00780355"/>
    <w:rsid w:val="00780A89"/>
    <w:rsid w:val="00785721"/>
    <w:rsid w:val="00787410"/>
    <w:rsid w:val="0078778B"/>
    <w:rsid w:val="00791C25"/>
    <w:rsid w:val="0079223C"/>
    <w:rsid w:val="00792286"/>
    <w:rsid w:val="00793A59"/>
    <w:rsid w:val="00793E91"/>
    <w:rsid w:val="007A077C"/>
    <w:rsid w:val="007A1665"/>
    <w:rsid w:val="007A1D7E"/>
    <w:rsid w:val="007A1EF9"/>
    <w:rsid w:val="007A323C"/>
    <w:rsid w:val="007A5DE5"/>
    <w:rsid w:val="007B0D96"/>
    <w:rsid w:val="007B129E"/>
    <w:rsid w:val="007B24DF"/>
    <w:rsid w:val="007B2962"/>
    <w:rsid w:val="007B2B8D"/>
    <w:rsid w:val="007B43DB"/>
    <w:rsid w:val="007B6648"/>
    <w:rsid w:val="007B6BC4"/>
    <w:rsid w:val="007B6E9F"/>
    <w:rsid w:val="007C1216"/>
    <w:rsid w:val="007C1AF7"/>
    <w:rsid w:val="007C3E2E"/>
    <w:rsid w:val="007C58DE"/>
    <w:rsid w:val="007D0C25"/>
    <w:rsid w:val="007D1300"/>
    <w:rsid w:val="007E0D2F"/>
    <w:rsid w:val="007E22F1"/>
    <w:rsid w:val="007E369E"/>
    <w:rsid w:val="007E401A"/>
    <w:rsid w:val="007E6E27"/>
    <w:rsid w:val="007E7176"/>
    <w:rsid w:val="007F22AF"/>
    <w:rsid w:val="007F3E00"/>
    <w:rsid w:val="007F4C35"/>
    <w:rsid w:val="008037CA"/>
    <w:rsid w:val="00805D27"/>
    <w:rsid w:val="00807CBC"/>
    <w:rsid w:val="00810D5B"/>
    <w:rsid w:val="00811C68"/>
    <w:rsid w:val="008134C8"/>
    <w:rsid w:val="00821776"/>
    <w:rsid w:val="00821AB0"/>
    <w:rsid w:val="00821C1D"/>
    <w:rsid w:val="00824FCB"/>
    <w:rsid w:val="008321F5"/>
    <w:rsid w:val="00832369"/>
    <w:rsid w:val="00834660"/>
    <w:rsid w:val="00836BC2"/>
    <w:rsid w:val="00840E05"/>
    <w:rsid w:val="008414A0"/>
    <w:rsid w:val="00842E8F"/>
    <w:rsid w:val="008435FD"/>
    <w:rsid w:val="00844289"/>
    <w:rsid w:val="008448BF"/>
    <w:rsid w:val="00844BB4"/>
    <w:rsid w:val="00845512"/>
    <w:rsid w:val="008461E7"/>
    <w:rsid w:val="00846F50"/>
    <w:rsid w:val="00850113"/>
    <w:rsid w:val="0085068D"/>
    <w:rsid w:val="008548B4"/>
    <w:rsid w:val="0085641B"/>
    <w:rsid w:val="0085684A"/>
    <w:rsid w:val="00857136"/>
    <w:rsid w:val="00863ABC"/>
    <w:rsid w:val="00875618"/>
    <w:rsid w:val="00880372"/>
    <w:rsid w:val="00886893"/>
    <w:rsid w:val="00886D15"/>
    <w:rsid w:val="00887750"/>
    <w:rsid w:val="00887DD8"/>
    <w:rsid w:val="008911A1"/>
    <w:rsid w:val="00896018"/>
    <w:rsid w:val="008960DD"/>
    <w:rsid w:val="0089635C"/>
    <w:rsid w:val="008A1C03"/>
    <w:rsid w:val="008A2B9D"/>
    <w:rsid w:val="008A39A8"/>
    <w:rsid w:val="008A520A"/>
    <w:rsid w:val="008A5458"/>
    <w:rsid w:val="008A5C7C"/>
    <w:rsid w:val="008A5E0B"/>
    <w:rsid w:val="008A6D59"/>
    <w:rsid w:val="008A79FA"/>
    <w:rsid w:val="008B2C45"/>
    <w:rsid w:val="008B4B03"/>
    <w:rsid w:val="008B596F"/>
    <w:rsid w:val="008B5A3E"/>
    <w:rsid w:val="008C04E9"/>
    <w:rsid w:val="008C1388"/>
    <w:rsid w:val="008C159F"/>
    <w:rsid w:val="008C1623"/>
    <w:rsid w:val="008C1850"/>
    <w:rsid w:val="008C220A"/>
    <w:rsid w:val="008C51A9"/>
    <w:rsid w:val="008D084E"/>
    <w:rsid w:val="008D770F"/>
    <w:rsid w:val="008E57F5"/>
    <w:rsid w:val="008E7846"/>
    <w:rsid w:val="008F052A"/>
    <w:rsid w:val="008F1CCC"/>
    <w:rsid w:val="008F2967"/>
    <w:rsid w:val="008F6943"/>
    <w:rsid w:val="008F69AF"/>
    <w:rsid w:val="008F6AA9"/>
    <w:rsid w:val="00901311"/>
    <w:rsid w:val="009021F5"/>
    <w:rsid w:val="00902447"/>
    <w:rsid w:val="00902A21"/>
    <w:rsid w:val="00906445"/>
    <w:rsid w:val="00911D8C"/>
    <w:rsid w:val="00912FB8"/>
    <w:rsid w:val="00913DB1"/>
    <w:rsid w:val="00916B5E"/>
    <w:rsid w:val="00920330"/>
    <w:rsid w:val="009219D7"/>
    <w:rsid w:val="00922D53"/>
    <w:rsid w:val="00923B70"/>
    <w:rsid w:val="00924482"/>
    <w:rsid w:val="00924D13"/>
    <w:rsid w:val="00925759"/>
    <w:rsid w:val="009265E3"/>
    <w:rsid w:val="009266B2"/>
    <w:rsid w:val="00927D2A"/>
    <w:rsid w:val="00930237"/>
    <w:rsid w:val="0093094F"/>
    <w:rsid w:val="0093187B"/>
    <w:rsid w:val="009438E8"/>
    <w:rsid w:val="00944227"/>
    <w:rsid w:val="00944E3C"/>
    <w:rsid w:val="0094614A"/>
    <w:rsid w:val="00946EA5"/>
    <w:rsid w:val="0095160F"/>
    <w:rsid w:val="00955252"/>
    <w:rsid w:val="00963C08"/>
    <w:rsid w:val="00966BEA"/>
    <w:rsid w:val="0096796D"/>
    <w:rsid w:val="00967C91"/>
    <w:rsid w:val="00970403"/>
    <w:rsid w:val="00973683"/>
    <w:rsid w:val="00977A4F"/>
    <w:rsid w:val="00981D66"/>
    <w:rsid w:val="00982A0E"/>
    <w:rsid w:val="00983724"/>
    <w:rsid w:val="0098585A"/>
    <w:rsid w:val="0098669D"/>
    <w:rsid w:val="00986ED2"/>
    <w:rsid w:val="00990250"/>
    <w:rsid w:val="00991E93"/>
    <w:rsid w:val="00994C95"/>
    <w:rsid w:val="009961F4"/>
    <w:rsid w:val="00996E3F"/>
    <w:rsid w:val="009A186D"/>
    <w:rsid w:val="009A4A9B"/>
    <w:rsid w:val="009A4C16"/>
    <w:rsid w:val="009A4CED"/>
    <w:rsid w:val="009A690D"/>
    <w:rsid w:val="009A7319"/>
    <w:rsid w:val="009B1D12"/>
    <w:rsid w:val="009B3100"/>
    <w:rsid w:val="009B416B"/>
    <w:rsid w:val="009B49D4"/>
    <w:rsid w:val="009C0389"/>
    <w:rsid w:val="009C4BD5"/>
    <w:rsid w:val="009C5C72"/>
    <w:rsid w:val="009C6216"/>
    <w:rsid w:val="009C6797"/>
    <w:rsid w:val="009C740E"/>
    <w:rsid w:val="009D25A2"/>
    <w:rsid w:val="009D2CA4"/>
    <w:rsid w:val="009D4DCD"/>
    <w:rsid w:val="009D54A4"/>
    <w:rsid w:val="009D54B8"/>
    <w:rsid w:val="009D732A"/>
    <w:rsid w:val="009D7B77"/>
    <w:rsid w:val="009E0BB0"/>
    <w:rsid w:val="009E3FBB"/>
    <w:rsid w:val="009F0BDB"/>
    <w:rsid w:val="009F278F"/>
    <w:rsid w:val="009F2C7A"/>
    <w:rsid w:val="009F5E3D"/>
    <w:rsid w:val="009F62A7"/>
    <w:rsid w:val="00A0007E"/>
    <w:rsid w:val="00A02401"/>
    <w:rsid w:val="00A02F57"/>
    <w:rsid w:val="00A03D42"/>
    <w:rsid w:val="00A102E4"/>
    <w:rsid w:val="00A11062"/>
    <w:rsid w:val="00A12018"/>
    <w:rsid w:val="00A127F0"/>
    <w:rsid w:val="00A12C42"/>
    <w:rsid w:val="00A14DF7"/>
    <w:rsid w:val="00A1578F"/>
    <w:rsid w:val="00A167ED"/>
    <w:rsid w:val="00A17407"/>
    <w:rsid w:val="00A177F9"/>
    <w:rsid w:val="00A2006A"/>
    <w:rsid w:val="00A2171E"/>
    <w:rsid w:val="00A235D9"/>
    <w:rsid w:val="00A2590C"/>
    <w:rsid w:val="00A26576"/>
    <w:rsid w:val="00A2680A"/>
    <w:rsid w:val="00A3246D"/>
    <w:rsid w:val="00A33FB4"/>
    <w:rsid w:val="00A36FA7"/>
    <w:rsid w:val="00A4521E"/>
    <w:rsid w:val="00A46801"/>
    <w:rsid w:val="00A475B7"/>
    <w:rsid w:val="00A47AF7"/>
    <w:rsid w:val="00A47C3E"/>
    <w:rsid w:val="00A50226"/>
    <w:rsid w:val="00A509B7"/>
    <w:rsid w:val="00A549D4"/>
    <w:rsid w:val="00A562C2"/>
    <w:rsid w:val="00A56AC0"/>
    <w:rsid w:val="00A6065C"/>
    <w:rsid w:val="00A60BAD"/>
    <w:rsid w:val="00A67FC3"/>
    <w:rsid w:val="00A74D8A"/>
    <w:rsid w:val="00A7593F"/>
    <w:rsid w:val="00A76294"/>
    <w:rsid w:val="00A80A5B"/>
    <w:rsid w:val="00A827BB"/>
    <w:rsid w:val="00A84BC9"/>
    <w:rsid w:val="00A86387"/>
    <w:rsid w:val="00A93B04"/>
    <w:rsid w:val="00A96444"/>
    <w:rsid w:val="00A964D1"/>
    <w:rsid w:val="00A966C6"/>
    <w:rsid w:val="00AA0ED0"/>
    <w:rsid w:val="00AA3499"/>
    <w:rsid w:val="00AA42DD"/>
    <w:rsid w:val="00AA43B1"/>
    <w:rsid w:val="00AA52D5"/>
    <w:rsid w:val="00AA7141"/>
    <w:rsid w:val="00AB224E"/>
    <w:rsid w:val="00AB4565"/>
    <w:rsid w:val="00AB465B"/>
    <w:rsid w:val="00AB478B"/>
    <w:rsid w:val="00AB5983"/>
    <w:rsid w:val="00AB5FC5"/>
    <w:rsid w:val="00AB70CA"/>
    <w:rsid w:val="00AC09C5"/>
    <w:rsid w:val="00AC2B40"/>
    <w:rsid w:val="00AC2BB2"/>
    <w:rsid w:val="00AC2C3C"/>
    <w:rsid w:val="00AC2E8D"/>
    <w:rsid w:val="00AC340D"/>
    <w:rsid w:val="00AC3433"/>
    <w:rsid w:val="00AC4015"/>
    <w:rsid w:val="00AC512D"/>
    <w:rsid w:val="00AC6798"/>
    <w:rsid w:val="00AD0020"/>
    <w:rsid w:val="00AD34FE"/>
    <w:rsid w:val="00AD4115"/>
    <w:rsid w:val="00AD4292"/>
    <w:rsid w:val="00AD5B32"/>
    <w:rsid w:val="00AD6F54"/>
    <w:rsid w:val="00AD742C"/>
    <w:rsid w:val="00AD74B3"/>
    <w:rsid w:val="00AD7815"/>
    <w:rsid w:val="00AE01C2"/>
    <w:rsid w:val="00AE0F74"/>
    <w:rsid w:val="00AE13AB"/>
    <w:rsid w:val="00AE52DB"/>
    <w:rsid w:val="00AE65EB"/>
    <w:rsid w:val="00AE67A7"/>
    <w:rsid w:val="00AE716B"/>
    <w:rsid w:val="00AE7582"/>
    <w:rsid w:val="00AF08B9"/>
    <w:rsid w:val="00AF11CA"/>
    <w:rsid w:val="00AF1D94"/>
    <w:rsid w:val="00AF2299"/>
    <w:rsid w:val="00AF2A3B"/>
    <w:rsid w:val="00AF4AFA"/>
    <w:rsid w:val="00AF51AE"/>
    <w:rsid w:val="00AF60C5"/>
    <w:rsid w:val="00B009C6"/>
    <w:rsid w:val="00B01548"/>
    <w:rsid w:val="00B02208"/>
    <w:rsid w:val="00B0220F"/>
    <w:rsid w:val="00B1228A"/>
    <w:rsid w:val="00B122AD"/>
    <w:rsid w:val="00B12BEC"/>
    <w:rsid w:val="00B1425E"/>
    <w:rsid w:val="00B1523F"/>
    <w:rsid w:val="00B206E2"/>
    <w:rsid w:val="00B2072D"/>
    <w:rsid w:val="00B21D29"/>
    <w:rsid w:val="00B23CBC"/>
    <w:rsid w:val="00B24F0B"/>
    <w:rsid w:val="00B25034"/>
    <w:rsid w:val="00B27195"/>
    <w:rsid w:val="00B275F4"/>
    <w:rsid w:val="00B27A1A"/>
    <w:rsid w:val="00B30181"/>
    <w:rsid w:val="00B33588"/>
    <w:rsid w:val="00B33863"/>
    <w:rsid w:val="00B3428C"/>
    <w:rsid w:val="00B3567E"/>
    <w:rsid w:val="00B37006"/>
    <w:rsid w:val="00B37D17"/>
    <w:rsid w:val="00B4175E"/>
    <w:rsid w:val="00B452CE"/>
    <w:rsid w:val="00B46316"/>
    <w:rsid w:val="00B50545"/>
    <w:rsid w:val="00B50E3D"/>
    <w:rsid w:val="00B50F67"/>
    <w:rsid w:val="00B5151B"/>
    <w:rsid w:val="00B5329E"/>
    <w:rsid w:val="00B54C25"/>
    <w:rsid w:val="00B6099B"/>
    <w:rsid w:val="00B63962"/>
    <w:rsid w:val="00B64DE4"/>
    <w:rsid w:val="00B66EA5"/>
    <w:rsid w:val="00B6730B"/>
    <w:rsid w:val="00B72334"/>
    <w:rsid w:val="00B748B6"/>
    <w:rsid w:val="00B74A82"/>
    <w:rsid w:val="00B74CC4"/>
    <w:rsid w:val="00B75A7B"/>
    <w:rsid w:val="00B75DFC"/>
    <w:rsid w:val="00B76B91"/>
    <w:rsid w:val="00B77BE0"/>
    <w:rsid w:val="00B77EB1"/>
    <w:rsid w:val="00B80A4E"/>
    <w:rsid w:val="00B811C6"/>
    <w:rsid w:val="00B81A4F"/>
    <w:rsid w:val="00B82187"/>
    <w:rsid w:val="00B8513B"/>
    <w:rsid w:val="00B85A87"/>
    <w:rsid w:val="00B92E08"/>
    <w:rsid w:val="00B93B96"/>
    <w:rsid w:val="00B95240"/>
    <w:rsid w:val="00B96EBE"/>
    <w:rsid w:val="00BA2C62"/>
    <w:rsid w:val="00BB2B65"/>
    <w:rsid w:val="00BC00DE"/>
    <w:rsid w:val="00BC1AB8"/>
    <w:rsid w:val="00BC1ED0"/>
    <w:rsid w:val="00BC4666"/>
    <w:rsid w:val="00BC4B05"/>
    <w:rsid w:val="00BC622A"/>
    <w:rsid w:val="00BD45E3"/>
    <w:rsid w:val="00BD5617"/>
    <w:rsid w:val="00BE05B2"/>
    <w:rsid w:val="00BE0A78"/>
    <w:rsid w:val="00BE254B"/>
    <w:rsid w:val="00BE32A6"/>
    <w:rsid w:val="00BE50EB"/>
    <w:rsid w:val="00BE55F6"/>
    <w:rsid w:val="00BE5B4E"/>
    <w:rsid w:val="00BE6252"/>
    <w:rsid w:val="00BE79F0"/>
    <w:rsid w:val="00BF046D"/>
    <w:rsid w:val="00BF1190"/>
    <w:rsid w:val="00BF39D2"/>
    <w:rsid w:val="00BF4FAD"/>
    <w:rsid w:val="00BF54F4"/>
    <w:rsid w:val="00BF565E"/>
    <w:rsid w:val="00BF5D04"/>
    <w:rsid w:val="00BF6B48"/>
    <w:rsid w:val="00BF6EFD"/>
    <w:rsid w:val="00BF6F1F"/>
    <w:rsid w:val="00C00746"/>
    <w:rsid w:val="00C02533"/>
    <w:rsid w:val="00C05A68"/>
    <w:rsid w:val="00C07B6F"/>
    <w:rsid w:val="00C1052D"/>
    <w:rsid w:val="00C11183"/>
    <w:rsid w:val="00C1164D"/>
    <w:rsid w:val="00C12C76"/>
    <w:rsid w:val="00C137CE"/>
    <w:rsid w:val="00C16762"/>
    <w:rsid w:val="00C16861"/>
    <w:rsid w:val="00C1687C"/>
    <w:rsid w:val="00C17794"/>
    <w:rsid w:val="00C17F3F"/>
    <w:rsid w:val="00C22678"/>
    <w:rsid w:val="00C23AC2"/>
    <w:rsid w:val="00C24259"/>
    <w:rsid w:val="00C246E8"/>
    <w:rsid w:val="00C24BF9"/>
    <w:rsid w:val="00C26C44"/>
    <w:rsid w:val="00C26F4F"/>
    <w:rsid w:val="00C31B4E"/>
    <w:rsid w:val="00C404A6"/>
    <w:rsid w:val="00C40A36"/>
    <w:rsid w:val="00C42ED0"/>
    <w:rsid w:val="00C44419"/>
    <w:rsid w:val="00C45E7B"/>
    <w:rsid w:val="00C4625F"/>
    <w:rsid w:val="00C468E2"/>
    <w:rsid w:val="00C471B1"/>
    <w:rsid w:val="00C526D3"/>
    <w:rsid w:val="00C55E3D"/>
    <w:rsid w:val="00C60DD7"/>
    <w:rsid w:val="00C6117F"/>
    <w:rsid w:val="00C61364"/>
    <w:rsid w:val="00C618F7"/>
    <w:rsid w:val="00C620F5"/>
    <w:rsid w:val="00C6316B"/>
    <w:rsid w:val="00C634A9"/>
    <w:rsid w:val="00C63D00"/>
    <w:rsid w:val="00C64586"/>
    <w:rsid w:val="00C665B0"/>
    <w:rsid w:val="00C66B0C"/>
    <w:rsid w:val="00C705AB"/>
    <w:rsid w:val="00C70D53"/>
    <w:rsid w:val="00C72D19"/>
    <w:rsid w:val="00C73D0B"/>
    <w:rsid w:val="00C766FC"/>
    <w:rsid w:val="00C772FF"/>
    <w:rsid w:val="00C77E7B"/>
    <w:rsid w:val="00C801AF"/>
    <w:rsid w:val="00C80256"/>
    <w:rsid w:val="00C811C0"/>
    <w:rsid w:val="00C81CA2"/>
    <w:rsid w:val="00C83D84"/>
    <w:rsid w:val="00C844C0"/>
    <w:rsid w:val="00C87E20"/>
    <w:rsid w:val="00C91437"/>
    <w:rsid w:val="00C94C33"/>
    <w:rsid w:val="00C94C92"/>
    <w:rsid w:val="00C960A1"/>
    <w:rsid w:val="00CA0420"/>
    <w:rsid w:val="00CA232D"/>
    <w:rsid w:val="00CA3D86"/>
    <w:rsid w:val="00CA6016"/>
    <w:rsid w:val="00CB2D7E"/>
    <w:rsid w:val="00CB36BC"/>
    <w:rsid w:val="00CB6BC0"/>
    <w:rsid w:val="00CC1B7C"/>
    <w:rsid w:val="00CC49DA"/>
    <w:rsid w:val="00CC6492"/>
    <w:rsid w:val="00CC727F"/>
    <w:rsid w:val="00CD5AB6"/>
    <w:rsid w:val="00CD5AC0"/>
    <w:rsid w:val="00CD74AB"/>
    <w:rsid w:val="00CE46EB"/>
    <w:rsid w:val="00CE50C4"/>
    <w:rsid w:val="00CF031C"/>
    <w:rsid w:val="00CF078D"/>
    <w:rsid w:val="00CF095C"/>
    <w:rsid w:val="00CF15C3"/>
    <w:rsid w:val="00CF2B6F"/>
    <w:rsid w:val="00CF58B6"/>
    <w:rsid w:val="00CF7CF4"/>
    <w:rsid w:val="00D00520"/>
    <w:rsid w:val="00D017ED"/>
    <w:rsid w:val="00D0231E"/>
    <w:rsid w:val="00D040D3"/>
    <w:rsid w:val="00D04C65"/>
    <w:rsid w:val="00D070DB"/>
    <w:rsid w:val="00D10524"/>
    <w:rsid w:val="00D12929"/>
    <w:rsid w:val="00D16DD2"/>
    <w:rsid w:val="00D1733A"/>
    <w:rsid w:val="00D21685"/>
    <w:rsid w:val="00D224FE"/>
    <w:rsid w:val="00D22AB5"/>
    <w:rsid w:val="00D256D3"/>
    <w:rsid w:val="00D276A3"/>
    <w:rsid w:val="00D310E7"/>
    <w:rsid w:val="00D34C18"/>
    <w:rsid w:val="00D41EFE"/>
    <w:rsid w:val="00D462F7"/>
    <w:rsid w:val="00D53A31"/>
    <w:rsid w:val="00D60751"/>
    <w:rsid w:val="00D6172D"/>
    <w:rsid w:val="00D61A21"/>
    <w:rsid w:val="00D645C7"/>
    <w:rsid w:val="00D6493E"/>
    <w:rsid w:val="00D67E9B"/>
    <w:rsid w:val="00D7301E"/>
    <w:rsid w:val="00D81501"/>
    <w:rsid w:val="00D82798"/>
    <w:rsid w:val="00D83AE1"/>
    <w:rsid w:val="00D855D4"/>
    <w:rsid w:val="00D862B3"/>
    <w:rsid w:val="00D86547"/>
    <w:rsid w:val="00D87961"/>
    <w:rsid w:val="00D93466"/>
    <w:rsid w:val="00DA1124"/>
    <w:rsid w:val="00DA182C"/>
    <w:rsid w:val="00DA3776"/>
    <w:rsid w:val="00DA5868"/>
    <w:rsid w:val="00DA71CC"/>
    <w:rsid w:val="00DB1790"/>
    <w:rsid w:val="00DB31CD"/>
    <w:rsid w:val="00DB4914"/>
    <w:rsid w:val="00DB4C17"/>
    <w:rsid w:val="00DB50C3"/>
    <w:rsid w:val="00DB75B7"/>
    <w:rsid w:val="00DC156B"/>
    <w:rsid w:val="00DC2B5F"/>
    <w:rsid w:val="00DC5361"/>
    <w:rsid w:val="00DC6E02"/>
    <w:rsid w:val="00DD0AD2"/>
    <w:rsid w:val="00DD553F"/>
    <w:rsid w:val="00DE02AE"/>
    <w:rsid w:val="00DE255F"/>
    <w:rsid w:val="00DE45BC"/>
    <w:rsid w:val="00DE4967"/>
    <w:rsid w:val="00DE5BBC"/>
    <w:rsid w:val="00DE6294"/>
    <w:rsid w:val="00DF0358"/>
    <w:rsid w:val="00DF1424"/>
    <w:rsid w:val="00DF1CA6"/>
    <w:rsid w:val="00DF1D7F"/>
    <w:rsid w:val="00DF1DD2"/>
    <w:rsid w:val="00DF3DFC"/>
    <w:rsid w:val="00DF4BE4"/>
    <w:rsid w:val="00DF5C2C"/>
    <w:rsid w:val="00DF61BC"/>
    <w:rsid w:val="00DF75EE"/>
    <w:rsid w:val="00DF763E"/>
    <w:rsid w:val="00E02FB4"/>
    <w:rsid w:val="00E03FEE"/>
    <w:rsid w:val="00E07F15"/>
    <w:rsid w:val="00E10B9E"/>
    <w:rsid w:val="00E131C1"/>
    <w:rsid w:val="00E202DE"/>
    <w:rsid w:val="00E20571"/>
    <w:rsid w:val="00E235F7"/>
    <w:rsid w:val="00E23659"/>
    <w:rsid w:val="00E239D4"/>
    <w:rsid w:val="00E2424F"/>
    <w:rsid w:val="00E242B7"/>
    <w:rsid w:val="00E243A4"/>
    <w:rsid w:val="00E25BFA"/>
    <w:rsid w:val="00E25C48"/>
    <w:rsid w:val="00E26130"/>
    <w:rsid w:val="00E2741C"/>
    <w:rsid w:val="00E31AFA"/>
    <w:rsid w:val="00E35488"/>
    <w:rsid w:val="00E401EA"/>
    <w:rsid w:val="00E407A3"/>
    <w:rsid w:val="00E40B22"/>
    <w:rsid w:val="00E40B26"/>
    <w:rsid w:val="00E426F9"/>
    <w:rsid w:val="00E45619"/>
    <w:rsid w:val="00E4588F"/>
    <w:rsid w:val="00E46074"/>
    <w:rsid w:val="00E46D84"/>
    <w:rsid w:val="00E46DA3"/>
    <w:rsid w:val="00E51857"/>
    <w:rsid w:val="00E51BB1"/>
    <w:rsid w:val="00E61A81"/>
    <w:rsid w:val="00E6213A"/>
    <w:rsid w:val="00E624A5"/>
    <w:rsid w:val="00E6492D"/>
    <w:rsid w:val="00E709F7"/>
    <w:rsid w:val="00E71111"/>
    <w:rsid w:val="00E7344E"/>
    <w:rsid w:val="00E76E3D"/>
    <w:rsid w:val="00E77B22"/>
    <w:rsid w:val="00E912FA"/>
    <w:rsid w:val="00E93479"/>
    <w:rsid w:val="00E936E3"/>
    <w:rsid w:val="00E95C0F"/>
    <w:rsid w:val="00E979F4"/>
    <w:rsid w:val="00EB0798"/>
    <w:rsid w:val="00EB23FC"/>
    <w:rsid w:val="00EB27C6"/>
    <w:rsid w:val="00EB2B60"/>
    <w:rsid w:val="00EB30D2"/>
    <w:rsid w:val="00EB40AD"/>
    <w:rsid w:val="00EB4658"/>
    <w:rsid w:val="00EB586E"/>
    <w:rsid w:val="00EB5FC8"/>
    <w:rsid w:val="00EB7086"/>
    <w:rsid w:val="00EC3EC8"/>
    <w:rsid w:val="00EC48CE"/>
    <w:rsid w:val="00EC7215"/>
    <w:rsid w:val="00ED2BC9"/>
    <w:rsid w:val="00ED35B5"/>
    <w:rsid w:val="00ED3CAD"/>
    <w:rsid w:val="00ED5893"/>
    <w:rsid w:val="00ED5A41"/>
    <w:rsid w:val="00ED61DF"/>
    <w:rsid w:val="00ED7B07"/>
    <w:rsid w:val="00EE1DE8"/>
    <w:rsid w:val="00EE24C5"/>
    <w:rsid w:val="00EE3571"/>
    <w:rsid w:val="00EE47DB"/>
    <w:rsid w:val="00EE7AF1"/>
    <w:rsid w:val="00EF2434"/>
    <w:rsid w:val="00EF4038"/>
    <w:rsid w:val="00EF6AB7"/>
    <w:rsid w:val="00EF7198"/>
    <w:rsid w:val="00EF7F6D"/>
    <w:rsid w:val="00F01007"/>
    <w:rsid w:val="00F01110"/>
    <w:rsid w:val="00F02A54"/>
    <w:rsid w:val="00F02B2E"/>
    <w:rsid w:val="00F033EC"/>
    <w:rsid w:val="00F04F68"/>
    <w:rsid w:val="00F0668F"/>
    <w:rsid w:val="00F12670"/>
    <w:rsid w:val="00F1327C"/>
    <w:rsid w:val="00F14B27"/>
    <w:rsid w:val="00F14B60"/>
    <w:rsid w:val="00F207B3"/>
    <w:rsid w:val="00F21E23"/>
    <w:rsid w:val="00F242EE"/>
    <w:rsid w:val="00F24FBD"/>
    <w:rsid w:val="00F3148D"/>
    <w:rsid w:val="00F325C5"/>
    <w:rsid w:val="00F32FE0"/>
    <w:rsid w:val="00F35298"/>
    <w:rsid w:val="00F35B51"/>
    <w:rsid w:val="00F362E5"/>
    <w:rsid w:val="00F40D0B"/>
    <w:rsid w:val="00F413F7"/>
    <w:rsid w:val="00F4267E"/>
    <w:rsid w:val="00F458D7"/>
    <w:rsid w:val="00F458EC"/>
    <w:rsid w:val="00F47333"/>
    <w:rsid w:val="00F47E37"/>
    <w:rsid w:val="00F53C07"/>
    <w:rsid w:val="00F54B65"/>
    <w:rsid w:val="00F555AA"/>
    <w:rsid w:val="00F562B2"/>
    <w:rsid w:val="00F57D39"/>
    <w:rsid w:val="00F624FE"/>
    <w:rsid w:val="00F63152"/>
    <w:rsid w:val="00F63744"/>
    <w:rsid w:val="00F640B6"/>
    <w:rsid w:val="00F70BED"/>
    <w:rsid w:val="00F716B9"/>
    <w:rsid w:val="00F7213E"/>
    <w:rsid w:val="00F75831"/>
    <w:rsid w:val="00F75B73"/>
    <w:rsid w:val="00F80E40"/>
    <w:rsid w:val="00F8171B"/>
    <w:rsid w:val="00F81E90"/>
    <w:rsid w:val="00F822F2"/>
    <w:rsid w:val="00F848D9"/>
    <w:rsid w:val="00F87E50"/>
    <w:rsid w:val="00F905A6"/>
    <w:rsid w:val="00F92D69"/>
    <w:rsid w:val="00F93C9C"/>
    <w:rsid w:val="00F94110"/>
    <w:rsid w:val="00F948E8"/>
    <w:rsid w:val="00F96131"/>
    <w:rsid w:val="00FA5B82"/>
    <w:rsid w:val="00FA5CFB"/>
    <w:rsid w:val="00FA639E"/>
    <w:rsid w:val="00FB047B"/>
    <w:rsid w:val="00FB45D2"/>
    <w:rsid w:val="00FC25E4"/>
    <w:rsid w:val="00FC4EF7"/>
    <w:rsid w:val="00FD791C"/>
    <w:rsid w:val="00FE0CE6"/>
    <w:rsid w:val="00FE1DEE"/>
    <w:rsid w:val="00FE25A7"/>
    <w:rsid w:val="00FF2126"/>
    <w:rsid w:val="00FF403E"/>
    <w:rsid w:val="00FF5755"/>
    <w:rsid w:val="00FF5F83"/>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295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1"/>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9B310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9C740E"/>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4"/>
      </w:numPr>
    </w:pPr>
  </w:style>
  <w:style w:type="paragraph" w:styleId="ListBullet2">
    <w:name w:val="List Bullet 2"/>
    <w:basedOn w:val="Normal"/>
    <w:uiPriority w:val="99"/>
    <w:qFormat/>
    <w:rsid w:val="004C2DCA"/>
    <w:pPr>
      <w:numPr>
        <w:ilvl w:val="1"/>
        <w:numId w:val="4"/>
      </w:numPr>
    </w:pPr>
  </w:style>
  <w:style w:type="paragraph" w:styleId="ListBullet3">
    <w:name w:val="List Bullet 3"/>
    <w:basedOn w:val="Normal"/>
    <w:uiPriority w:val="99"/>
    <w:qFormat/>
    <w:rsid w:val="004C2DCA"/>
    <w:pPr>
      <w:numPr>
        <w:ilvl w:val="2"/>
        <w:numId w:val="4"/>
      </w:numPr>
    </w:pPr>
  </w:style>
  <w:style w:type="numbering" w:customStyle="1" w:styleId="ListBullets">
    <w:name w:val="ListBullets"/>
    <w:uiPriority w:val="99"/>
    <w:locked/>
    <w:rsid w:val="00F3148D"/>
    <w:pPr>
      <w:numPr>
        <w:numId w:val="2"/>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58475B"/>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5"/>
      </w:numPr>
    </w:pPr>
  </w:style>
  <w:style w:type="paragraph" w:customStyle="1" w:styleId="Numberbullet2">
    <w:name w:val="Number bullet 2"/>
    <w:basedOn w:val="ListBullet2"/>
    <w:qFormat/>
    <w:rsid w:val="004C2DCA"/>
    <w:pPr>
      <w:numPr>
        <w:numId w:val="5"/>
      </w:numPr>
    </w:pPr>
  </w:style>
  <w:style w:type="paragraph" w:customStyle="1" w:styleId="Numberbullet3">
    <w:name w:val="Number bullet 3"/>
    <w:basedOn w:val="ListBullet3"/>
    <w:qFormat/>
    <w:rsid w:val="004C2DCA"/>
    <w:pPr>
      <w:numPr>
        <w:numId w:val="5"/>
      </w:numPr>
    </w:pPr>
  </w:style>
  <w:style w:type="numbering" w:customStyle="1" w:styleId="NumberBullet">
    <w:name w:val="NumberBullet"/>
    <w:uiPriority w:val="99"/>
    <w:locked/>
    <w:rsid w:val="00F3148D"/>
    <w:pPr>
      <w:numPr>
        <w:numId w:val="3"/>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C665B0"/>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DF1424"/>
    <w:pPr>
      <w:spacing w:before="40" w:after="40" w:line="240" w:lineRule="auto"/>
      <w:ind w:left="57"/>
    </w:pPr>
    <w:rPr>
      <w:rFonts w:ascii="Calibri" w:eastAsia="Calibri" w:hAnsi="Calibri"/>
      <w:b/>
    </w:rPr>
  </w:style>
  <w:style w:type="paragraph" w:customStyle="1" w:styleId="Tabletext">
    <w:name w:val="Table text"/>
    <w:basedOn w:val="Normal"/>
    <w:rsid w:val="00DF1424"/>
    <w:pPr>
      <w:spacing w:before="40" w:after="40" w:line="240" w:lineRule="auto"/>
      <w:ind w:left="113"/>
    </w:pPr>
    <w:rPr>
      <w:sz w:val="20"/>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5D6F94"/>
    <w:pPr>
      <w:keepNext/>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58475B"/>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4910B2"/>
    <w:pPr>
      <w:spacing w:before="0" w:after="0" w:line="240" w:lineRule="auto"/>
    </w:pPr>
    <w:rPr>
      <w:sz w:val="20"/>
      <w:szCs w:val="20"/>
    </w:rPr>
  </w:style>
  <w:style w:type="character" w:customStyle="1" w:styleId="EndnoteTextChar">
    <w:name w:val="Endnote Text Char"/>
    <w:basedOn w:val="DefaultParagraphFont"/>
    <w:link w:val="EndnoteText"/>
    <w:semiHidden/>
    <w:rsid w:val="004910B2"/>
    <w:rPr>
      <w:rFonts w:ascii="Cambria" w:eastAsia="Cambria" w:hAnsi="Cambria" w:cs="Times New Roman"/>
      <w:sz w:val="20"/>
      <w:szCs w:val="20"/>
    </w:rPr>
  </w:style>
  <w:style w:type="character" w:styleId="EndnoteReference">
    <w:name w:val="endnote reference"/>
    <w:basedOn w:val="DefaultParagraphFont"/>
    <w:semiHidden/>
    <w:unhideWhenUsed/>
    <w:rsid w:val="004910B2"/>
    <w:rPr>
      <w:vertAlign w:val="superscript"/>
    </w:rPr>
  </w:style>
  <w:style w:type="character" w:styleId="PageNumber">
    <w:name w:val="page number"/>
    <w:basedOn w:val="DefaultParagraphFont"/>
    <w:unhideWhenUsed/>
    <w:rsid w:val="004A270C"/>
  </w:style>
  <w:style w:type="paragraph" w:styleId="ListParagraph">
    <w:name w:val="List Paragraph"/>
    <w:basedOn w:val="Normal"/>
    <w:uiPriority w:val="1"/>
    <w:qFormat/>
    <w:rsid w:val="00EB30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EB30D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rsid w:val="0011710C"/>
    <w:pPr>
      <w:numPr>
        <w:numId w:val="7"/>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11710C"/>
    <w:pPr>
      <w:numPr>
        <w:numId w:val="8"/>
      </w:numPr>
    </w:pPr>
  </w:style>
  <w:style w:type="table" w:customStyle="1" w:styleId="TableGrid1">
    <w:name w:val="Table Grid1"/>
    <w:basedOn w:val="TableNormal"/>
    <w:next w:val="TableGrid"/>
    <w:rsid w:val="00480A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26BF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9B3100"/>
    <w:rPr>
      <w:rFonts w:asciiTheme="majorHAnsi" w:eastAsiaTheme="majorEastAsia" w:hAnsiTheme="majorHAnsi" w:cstheme="majorBidi"/>
      <w:color w:val="404040" w:themeColor="text1" w:themeTint="BF"/>
      <w:sz w:val="20"/>
      <w:szCs w:val="20"/>
    </w:rPr>
  </w:style>
  <w:style w:type="paragraph" w:customStyle="1" w:styleId="Comment2">
    <w:name w:val="Comment 2"/>
    <w:basedOn w:val="Normal"/>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9Char">
    <w:name w:val="Heading 9 Char"/>
    <w:basedOn w:val="DefaultParagraphFont"/>
    <w:link w:val="Heading9"/>
    <w:rsid w:val="009C740E"/>
    <w:rPr>
      <w:rFonts w:ascii="Arial" w:eastAsia="Times New Roman" w:hAnsi="Arial" w:cs="Arial"/>
      <w:kern w:val="16"/>
      <w:u w:val="single"/>
      <w:lang w:eastAsia="en-AU"/>
    </w:rPr>
  </w:style>
  <w:style w:type="numbering" w:customStyle="1" w:styleId="NoList1">
    <w:name w:val="No List1"/>
    <w:next w:val="NoList"/>
    <w:uiPriority w:val="99"/>
    <w:semiHidden/>
    <w:unhideWhenUsed/>
    <w:rsid w:val="009C740E"/>
  </w:style>
  <w:style w:type="paragraph" w:customStyle="1" w:styleId="Heading0inTOC">
    <w:name w:val="Heading 0 (in TOC)"/>
    <w:basedOn w:val="Heading1"/>
    <w:next w:val="Normal"/>
    <w:rsid w:val="009C740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9C740E"/>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9C740E"/>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C740E"/>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C740E"/>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C740E"/>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C740E"/>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C740E"/>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semiHidden/>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9C740E"/>
    <w:rPr>
      <w:rFonts w:ascii="Cambria" w:eastAsia="Times New Roman" w:hAnsi="Cambria" w:cs="Times New Roman"/>
      <w:kern w:val="16"/>
      <w:sz w:val="20"/>
      <w:szCs w:val="20"/>
      <w:lang w:eastAsia="en-AU"/>
    </w:rPr>
  </w:style>
  <w:style w:type="character" w:styleId="FootnoteReference">
    <w:name w:val="footnote reference"/>
    <w:semiHidden/>
    <w:rsid w:val="009C740E"/>
    <w:rPr>
      <w:vertAlign w:val="superscript"/>
    </w:rPr>
  </w:style>
  <w:style w:type="paragraph" w:customStyle="1" w:styleId="Abbreviations">
    <w:name w:val="Abbreviations"/>
    <w:basedOn w:val="Normal"/>
    <w:rsid w:val="009C740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9C740E"/>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9C740E"/>
    <w:pPr>
      <w:numPr>
        <w:numId w:val="10"/>
      </w:numPr>
      <w:tabs>
        <w:tab w:val="clear" w:pos="1134"/>
      </w:tabs>
      <w:spacing w:before="120"/>
      <w:ind w:left="1418" w:hanging="284"/>
    </w:pPr>
  </w:style>
  <w:style w:type="paragraph" w:customStyle="1" w:styleId="Instructions1">
    <w:name w:val="Instructions 1"/>
    <w:basedOn w:val="Normal"/>
    <w:qFormat/>
    <w:rsid w:val="009C740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C740E"/>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9C740E"/>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C740E"/>
    <w:pPr>
      <w:spacing w:before="0" w:after="0"/>
    </w:pPr>
    <w:rPr>
      <w:b w:val="0"/>
    </w:rPr>
  </w:style>
  <w:style w:type="paragraph" w:styleId="DocumentMap">
    <w:name w:val="Document Map"/>
    <w:basedOn w:val="Normal"/>
    <w:link w:val="DocumentMap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9C740E"/>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9C740E"/>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295C34"/>
  </w:style>
  <w:style w:type="table" w:customStyle="1" w:styleId="TableGrid6">
    <w:name w:val="Table Grid6"/>
    <w:basedOn w:val="TableNormal"/>
    <w:next w:val="TableGrid"/>
    <w:rsid w:val="00295C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ullet1"/>
    <w:link w:val="Style1Char"/>
    <w:qFormat/>
    <w:rsid w:val="00341788"/>
    <w:pPr>
      <w:numPr>
        <w:numId w:val="1"/>
      </w:numPr>
    </w:pPr>
  </w:style>
  <w:style w:type="character" w:customStyle="1" w:styleId="Style1Char">
    <w:name w:val="Style1 Char"/>
    <w:basedOn w:val="DefaultParagraphFont"/>
    <w:link w:val="Style1"/>
    <w:rsid w:val="00341788"/>
    <w:rPr>
      <w:rFonts w:ascii="Cambria" w:eastAsia="Times New Roman" w:hAnsi="Cambria" w:cs="Times New Roman"/>
      <w:kern w:val="24"/>
      <w:szCs w:val="24"/>
      <w:lang w:eastAsia="en-AU"/>
    </w:rPr>
  </w:style>
  <w:style w:type="character" w:customStyle="1" w:styleId="Bullet1Char">
    <w:name w:val="Bullet 1 Char"/>
    <w:basedOn w:val="DefaultParagraphFont"/>
    <w:link w:val="Bullet1"/>
    <w:rsid w:val="00341788"/>
    <w:rPr>
      <w:rFonts w:ascii="Cambria" w:eastAsia="Times New Roman" w:hAnsi="Cambria" w:cs="Times New Roman"/>
      <w:kern w:val="24"/>
      <w:szCs w:val="24"/>
      <w:lang w:eastAsia="en-AU"/>
    </w:rPr>
  </w:style>
  <w:style w:type="numbering" w:customStyle="1" w:styleId="NoList3">
    <w:name w:val="No List3"/>
    <w:next w:val="NoList"/>
    <w:uiPriority w:val="99"/>
    <w:semiHidden/>
    <w:unhideWhenUsed/>
    <w:rsid w:val="00DF61BC"/>
  </w:style>
  <w:style w:type="table" w:customStyle="1" w:styleId="TableGrid7">
    <w:name w:val="Table Grid7"/>
    <w:basedOn w:val="TableNormal"/>
    <w:next w:val="TableGrid"/>
    <w:uiPriority w:val="59"/>
    <w:rsid w:val="00DF61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F61BC"/>
    <w:pPr>
      <w:autoSpaceDE w:val="0"/>
      <w:autoSpaceDN w:val="0"/>
      <w:adjustRightInd w:val="0"/>
      <w:spacing w:before="0" w:after="0" w:line="240" w:lineRule="auto"/>
    </w:pPr>
    <w:rPr>
      <w:rFonts w:ascii="Times New Roman" w:eastAsia="Times New Roman" w:hAnsi="Times New Roman"/>
      <w:sz w:val="24"/>
      <w:szCs w:val="24"/>
      <w:lang w:eastAsia="en-AU"/>
    </w:rPr>
  </w:style>
  <w:style w:type="paragraph" w:styleId="BodyText">
    <w:name w:val="Body Text"/>
    <w:basedOn w:val="Normal"/>
    <w:link w:val="BodyTextChar"/>
    <w:uiPriority w:val="1"/>
    <w:qFormat/>
    <w:rsid w:val="00DF61BC"/>
    <w:pPr>
      <w:autoSpaceDE w:val="0"/>
      <w:autoSpaceDN w:val="0"/>
      <w:adjustRightInd w:val="0"/>
      <w:spacing w:before="0" w:after="0" w:line="240" w:lineRule="auto"/>
      <w:ind w:left="39"/>
    </w:pPr>
    <w:rPr>
      <w:rFonts w:ascii="Times New Roman" w:eastAsia="Times New Roman" w:hAnsi="Times New Roman"/>
      <w:sz w:val="24"/>
      <w:szCs w:val="24"/>
      <w:lang w:eastAsia="en-AU"/>
    </w:rPr>
  </w:style>
  <w:style w:type="character" w:customStyle="1" w:styleId="BodyTextChar">
    <w:name w:val="Body Text Char"/>
    <w:basedOn w:val="DefaultParagraphFont"/>
    <w:link w:val="BodyText"/>
    <w:uiPriority w:val="1"/>
    <w:rsid w:val="00DF61BC"/>
    <w:rPr>
      <w:rFonts w:ascii="Times New Roman" w:eastAsia="Times New Roman"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1"/>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9B310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9C740E"/>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4"/>
      </w:numPr>
    </w:pPr>
  </w:style>
  <w:style w:type="paragraph" w:styleId="ListBullet2">
    <w:name w:val="List Bullet 2"/>
    <w:basedOn w:val="Normal"/>
    <w:uiPriority w:val="99"/>
    <w:qFormat/>
    <w:rsid w:val="004C2DCA"/>
    <w:pPr>
      <w:numPr>
        <w:ilvl w:val="1"/>
        <w:numId w:val="4"/>
      </w:numPr>
    </w:pPr>
  </w:style>
  <w:style w:type="paragraph" w:styleId="ListBullet3">
    <w:name w:val="List Bullet 3"/>
    <w:basedOn w:val="Normal"/>
    <w:uiPriority w:val="99"/>
    <w:qFormat/>
    <w:rsid w:val="004C2DCA"/>
    <w:pPr>
      <w:numPr>
        <w:ilvl w:val="2"/>
        <w:numId w:val="4"/>
      </w:numPr>
    </w:pPr>
  </w:style>
  <w:style w:type="numbering" w:customStyle="1" w:styleId="ListBullets">
    <w:name w:val="ListBullets"/>
    <w:uiPriority w:val="99"/>
    <w:locked/>
    <w:rsid w:val="00F3148D"/>
    <w:pPr>
      <w:numPr>
        <w:numId w:val="2"/>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58475B"/>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5"/>
      </w:numPr>
    </w:pPr>
  </w:style>
  <w:style w:type="paragraph" w:customStyle="1" w:styleId="Numberbullet2">
    <w:name w:val="Number bullet 2"/>
    <w:basedOn w:val="ListBullet2"/>
    <w:qFormat/>
    <w:rsid w:val="004C2DCA"/>
    <w:pPr>
      <w:numPr>
        <w:numId w:val="5"/>
      </w:numPr>
    </w:pPr>
  </w:style>
  <w:style w:type="paragraph" w:customStyle="1" w:styleId="Numberbullet3">
    <w:name w:val="Number bullet 3"/>
    <w:basedOn w:val="ListBullet3"/>
    <w:qFormat/>
    <w:rsid w:val="004C2DCA"/>
    <w:pPr>
      <w:numPr>
        <w:numId w:val="5"/>
      </w:numPr>
    </w:pPr>
  </w:style>
  <w:style w:type="numbering" w:customStyle="1" w:styleId="NumberBullet">
    <w:name w:val="NumberBullet"/>
    <w:uiPriority w:val="99"/>
    <w:locked/>
    <w:rsid w:val="00F3148D"/>
    <w:pPr>
      <w:numPr>
        <w:numId w:val="3"/>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C665B0"/>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DF1424"/>
    <w:pPr>
      <w:spacing w:before="40" w:after="40" w:line="240" w:lineRule="auto"/>
      <w:ind w:left="57"/>
    </w:pPr>
    <w:rPr>
      <w:rFonts w:ascii="Calibri" w:eastAsia="Calibri" w:hAnsi="Calibri"/>
      <w:b/>
    </w:rPr>
  </w:style>
  <w:style w:type="paragraph" w:customStyle="1" w:styleId="Tabletext">
    <w:name w:val="Table text"/>
    <w:basedOn w:val="Normal"/>
    <w:rsid w:val="00DF1424"/>
    <w:pPr>
      <w:spacing w:before="40" w:after="40" w:line="240" w:lineRule="auto"/>
      <w:ind w:left="113"/>
    </w:pPr>
    <w:rPr>
      <w:sz w:val="20"/>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5D6F94"/>
    <w:pPr>
      <w:keepNext/>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58475B"/>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4910B2"/>
    <w:pPr>
      <w:spacing w:before="0" w:after="0" w:line="240" w:lineRule="auto"/>
    </w:pPr>
    <w:rPr>
      <w:sz w:val="20"/>
      <w:szCs w:val="20"/>
    </w:rPr>
  </w:style>
  <w:style w:type="character" w:customStyle="1" w:styleId="EndnoteTextChar">
    <w:name w:val="Endnote Text Char"/>
    <w:basedOn w:val="DefaultParagraphFont"/>
    <w:link w:val="EndnoteText"/>
    <w:semiHidden/>
    <w:rsid w:val="004910B2"/>
    <w:rPr>
      <w:rFonts w:ascii="Cambria" w:eastAsia="Cambria" w:hAnsi="Cambria" w:cs="Times New Roman"/>
      <w:sz w:val="20"/>
      <w:szCs w:val="20"/>
    </w:rPr>
  </w:style>
  <w:style w:type="character" w:styleId="EndnoteReference">
    <w:name w:val="endnote reference"/>
    <w:basedOn w:val="DefaultParagraphFont"/>
    <w:semiHidden/>
    <w:unhideWhenUsed/>
    <w:rsid w:val="004910B2"/>
    <w:rPr>
      <w:vertAlign w:val="superscript"/>
    </w:rPr>
  </w:style>
  <w:style w:type="character" w:styleId="PageNumber">
    <w:name w:val="page number"/>
    <w:basedOn w:val="DefaultParagraphFont"/>
    <w:unhideWhenUsed/>
    <w:rsid w:val="004A270C"/>
  </w:style>
  <w:style w:type="paragraph" w:styleId="ListParagraph">
    <w:name w:val="List Paragraph"/>
    <w:basedOn w:val="Normal"/>
    <w:uiPriority w:val="1"/>
    <w:qFormat/>
    <w:rsid w:val="00EB30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EB30D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rsid w:val="0011710C"/>
    <w:pPr>
      <w:numPr>
        <w:numId w:val="7"/>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11710C"/>
    <w:pPr>
      <w:numPr>
        <w:numId w:val="8"/>
      </w:numPr>
    </w:pPr>
  </w:style>
  <w:style w:type="table" w:customStyle="1" w:styleId="TableGrid1">
    <w:name w:val="Table Grid1"/>
    <w:basedOn w:val="TableNormal"/>
    <w:next w:val="TableGrid"/>
    <w:rsid w:val="00480A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26BF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9B3100"/>
    <w:rPr>
      <w:rFonts w:asciiTheme="majorHAnsi" w:eastAsiaTheme="majorEastAsia" w:hAnsiTheme="majorHAnsi" w:cstheme="majorBidi"/>
      <w:color w:val="404040" w:themeColor="text1" w:themeTint="BF"/>
      <w:sz w:val="20"/>
      <w:szCs w:val="20"/>
    </w:rPr>
  </w:style>
  <w:style w:type="paragraph" w:customStyle="1" w:styleId="Comment2">
    <w:name w:val="Comment 2"/>
    <w:basedOn w:val="Normal"/>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9Char">
    <w:name w:val="Heading 9 Char"/>
    <w:basedOn w:val="DefaultParagraphFont"/>
    <w:link w:val="Heading9"/>
    <w:rsid w:val="009C740E"/>
    <w:rPr>
      <w:rFonts w:ascii="Arial" w:eastAsia="Times New Roman" w:hAnsi="Arial" w:cs="Arial"/>
      <w:kern w:val="16"/>
      <w:u w:val="single"/>
      <w:lang w:eastAsia="en-AU"/>
    </w:rPr>
  </w:style>
  <w:style w:type="numbering" w:customStyle="1" w:styleId="NoList1">
    <w:name w:val="No List1"/>
    <w:next w:val="NoList"/>
    <w:uiPriority w:val="99"/>
    <w:semiHidden/>
    <w:unhideWhenUsed/>
    <w:rsid w:val="009C740E"/>
  </w:style>
  <w:style w:type="paragraph" w:customStyle="1" w:styleId="Heading0inTOC">
    <w:name w:val="Heading 0 (in TOC)"/>
    <w:basedOn w:val="Heading1"/>
    <w:next w:val="Normal"/>
    <w:rsid w:val="009C740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9C740E"/>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9C740E"/>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C740E"/>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C740E"/>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C740E"/>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C740E"/>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C740E"/>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semiHidden/>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9C740E"/>
    <w:rPr>
      <w:rFonts w:ascii="Cambria" w:eastAsia="Times New Roman" w:hAnsi="Cambria" w:cs="Times New Roman"/>
      <w:kern w:val="16"/>
      <w:sz w:val="20"/>
      <w:szCs w:val="20"/>
      <w:lang w:eastAsia="en-AU"/>
    </w:rPr>
  </w:style>
  <w:style w:type="character" w:styleId="FootnoteReference">
    <w:name w:val="footnote reference"/>
    <w:semiHidden/>
    <w:rsid w:val="009C740E"/>
    <w:rPr>
      <w:vertAlign w:val="superscript"/>
    </w:rPr>
  </w:style>
  <w:style w:type="paragraph" w:customStyle="1" w:styleId="Abbreviations">
    <w:name w:val="Abbreviations"/>
    <w:basedOn w:val="Normal"/>
    <w:rsid w:val="009C740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9C740E"/>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9C740E"/>
    <w:pPr>
      <w:numPr>
        <w:numId w:val="10"/>
      </w:numPr>
      <w:tabs>
        <w:tab w:val="clear" w:pos="1134"/>
      </w:tabs>
      <w:spacing w:before="120"/>
      <w:ind w:left="1418" w:hanging="284"/>
    </w:pPr>
  </w:style>
  <w:style w:type="paragraph" w:customStyle="1" w:styleId="Instructions1">
    <w:name w:val="Instructions 1"/>
    <w:basedOn w:val="Normal"/>
    <w:qFormat/>
    <w:rsid w:val="009C740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C740E"/>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9C740E"/>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C740E"/>
    <w:pPr>
      <w:spacing w:before="0" w:after="0"/>
    </w:pPr>
    <w:rPr>
      <w:b w:val="0"/>
    </w:rPr>
  </w:style>
  <w:style w:type="paragraph" w:styleId="DocumentMap">
    <w:name w:val="Document Map"/>
    <w:basedOn w:val="Normal"/>
    <w:link w:val="DocumentMap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9C740E"/>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9C740E"/>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295C34"/>
  </w:style>
  <w:style w:type="table" w:customStyle="1" w:styleId="TableGrid6">
    <w:name w:val="Table Grid6"/>
    <w:basedOn w:val="TableNormal"/>
    <w:next w:val="TableGrid"/>
    <w:rsid w:val="00295C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ullet1"/>
    <w:link w:val="Style1Char"/>
    <w:qFormat/>
    <w:rsid w:val="00341788"/>
    <w:pPr>
      <w:numPr>
        <w:numId w:val="1"/>
      </w:numPr>
    </w:pPr>
  </w:style>
  <w:style w:type="character" w:customStyle="1" w:styleId="Style1Char">
    <w:name w:val="Style1 Char"/>
    <w:basedOn w:val="DefaultParagraphFont"/>
    <w:link w:val="Style1"/>
    <w:rsid w:val="00341788"/>
    <w:rPr>
      <w:rFonts w:ascii="Cambria" w:eastAsia="Times New Roman" w:hAnsi="Cambria" w:cs="Times New Roman"/>
      <w:kern w:val="24"/>
      <w:szCs w:val="24"/>
      <w:lang w:eastAsia="en-AU"/>
    </w:rPr>
  </w:style>
  <w:style w:type="character" w:customStyle="1" w:styleId="Bullet1Char">
    <w:name w:val="Bullet 1 Char"/>
    <w:basedOn w:val="DefaultParagraphFont"/>
    <w:link w:val="Bullet1"/>
    <w:rsid w:val="00341788"/>
    <w:rPr>
      <w:rFonts w:ascii="Cambria" w:eastAsia="Times New Roman" w:hAnsi="Cambria" w:cs="Times New Roman"/>
      <w:kern w:val="24"/>
      <w:szCs w:val="24"/>
      <w:lang w:eastAsia="en-AU"/>
    </w:rPr>
  </w:style>
  <w:style w:type="numbering" w:customStyle="1" w:styleId="NoList3">
    <w:name w:val="No List3"/>
    <w:next w:val="NoList"/>
    <w:uiPriority w:val="99"/>
    <w:semiHidden/>
    <w:unhideWhenUsed/>
    <w:rsid w:val="00DF61BC"/>
  </w:style>
  <w:style w:type="table" w:customStyle="1" w:styleId="TableGrid7">
    <w:name w:val="Table Grid7"/>
    <w:basedOn w:val="TableNormal"/>
    <w:next w:val="TableGrid"/>
    <w:uiPriority w:val="59"/>
    <w:rsid w:val="00DF61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F61BC"/>
    <w:pPr>
      <w:autoSpaceDE w:val="0"/>
      <w:autoSpaceDN w:val="0"/>
      <w:adjustRightInd w:val="0"/>
      <w:spacing w:before="0" w:after="0" w:line="240" w:lineRule="auto"/>
    </w:pPr>
    <w:rPr>
      <w:rFonts w:ascii="Times New Roman" w:eastAsia="Times New Roman" w:hAnsi="Times New Roman"/>
      <w:sz w:val="24"/>
      <w:szCs w:val="24"/>
      <w:lang w:eastAsia="en-AU"/>
    </w:rPr>
  </w:style>
  <w:style w:type="paragraph" w:styleId="BodyText">
    <w:name w:val="Body Text"/>
    <w:basedOn w:val="Normal"/>
    <w:link w:val="BodyTextChar"/>
    <w:uiPriority w:val="1"/>
    <w:qFormat/>
    <w:rsid w:val="00DF61BC"/>
    <w:pPr>
      <w:autoSpaceDE w:val="0"/>
      <w:autoSpaceDN w:val="0"/>
      <w:adjustRightInd w:val="0"/>
      <w:spacing w:before="0" w:after="0" w:line="240" w:lineRule="auto"/>
      <w:ind w:left="39"/>
    </w:pPr>
    <w:rPr>
      <w:rFonts w:ascii="Times New Roman" w:eastAsia="Times New Roman" w:hAnsi="Times New Roman"/>
      <w:sz w:val="24"/>
      <w:szCs w:val="24"/>
      <w:lang w:eastAsia="en-AU"/>
    </w:rPr>
  </w:style>
  <w:style w:type="character" w:customStyle="1" w:styleId="BodyTextChar">
    <w:name w:val="Body Text Char"/>
    <w:basedOn w:val="DefaultParagraphFont"/>
    <w:link w:val="BodyText"/>
    <w:uiPriority w:val="1"/>
    <w:rsid w:val="00DF61BC"/>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emf"/><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hyperlink" Target="https://www.tga.gov.au" TargetMode="External"/><Relationship Id="rId50"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microsoft.com/office/2007/relationships/hdphoto" Target="media/hdphoto1.wdp"/><Relationship Id="rId38" Type="http://schemas.openxmlformats.org/officeDocument/2006/relationships/image" Target="media/image22.jpeg"/><Relationship Id="rId46" Type="http://schemas.openxmlformats.org/officeDocument/2006/relationships/hyperlink" Target="mailto:info@tga.gov.au" TargetMode="Externa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4.emf"/><Relationship Id="rId45" Type="http://schemas.openxmlformats.org/officeDocument/2006/relationships/header" Target="header5.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emf"/><Relationship Id="rId49" Type="http://schemas.openxmlformats.org/officeDocument/2006/relationships/header" Target="header7.xml"/><Relationship Id="rId10" Type="http://schemas.openxmlformats.org/officeDocument/2006/relationships/hyperlink" Target="https://www.tga.gov.au/product-information-pi"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eader" Target="header4.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microsoft.com/office/2007/relationships/hdphoto" Target="media/hdphoto2.wdp"/><Relationship Id="rId43" Type="http://schemas.openxmlformats.org/officeDocument/2006/relationships/header" Target="header3.xml"/><Relationship Id="rId48"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nnac\AppData\Local\Hewlett-Packard\HP%20TRIM\TEMP\HPTRIM.5792\R13%20453302%20%20Clinical%20Evaluation%20Report%20Extract%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D517D-E9AD-4DA6-9A5E-D28767F16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template(2)</Template>
  <TotalTime>197</TotalTime>
  <Pages>136</Pages>
  <Words>68925</Words>
  <Characters>358413</Characters>
  <Application>Microsoft Office Word</Application>
  <DocSecurity>0</DocSecurity>
  <Lines>8533</Lines>
  <Paragraphs>4969</Paragraphs>
  <ScaleCrop>false</ScaleCrop>
  <HeadingPairs>
    <vt:vector size="2" baseType="variant">
      <vt:variant>
        <vt:lpstr>Title</vt:lpstr>
      </vt:variant>
      <vt:variant>
        <vt:i4>1</vt:i4>
      </vt:variant>
    </vt:vector>
  </HeadingPairs>
  <TitlesOfParts>
    <vt:vector size="1" baseType="lpstr">
      <vt:lpstr>Extract from the Clinical Evaluation Report for Trifluridine/tipiracil [Lonsurf and Orcantas]</vt:lpstr>
    </vt:vector>
  </TitlesOfParts>
  <Company>TGA</Company>
  <LinksUpToDate>false</LinksUpToDate>
  <CharactersWithSpaces>422369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Trifluridine/tipiracil [Lonsurf and Orcantas]</dc:title>
  <dc:subject>prescription medicines</dc:subject>
  <dc:creator>Therapeutic Goods Administration</dc:creator>
  <cp:keywords>AusPARs</cp:keywords>
  <cp:lastModifiedBy>Therapeutic Goods Administration</cp:lastModifiedBy>
  <cp:revision>47</cp:revision>
  <cp:lastPrinted>2015-09-22T23:53:00Z</cp:lastPrinted>
  <dcterms:created xsi:type="dcterms:W3CDTF">2018-05-07T07:47:00Z</dcterms:created>
  <dcterms:modified xsi:type="dcterms:W3CDTF">2018-06-14T04:06:00Z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1380527818</vt:i4>
  </property>
</Properties>
</file>