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987F374" w14:textId="77777777" w:rsidTr="00BF1190">
        <w:trPr>
          <w:trHeight w:val="1863"/>
        </w:trPr>
        <w:tc>
          <w:tcPr>
            <w:tcW w:w="3652" w:type="dxa"/>
            <w:tcBorders>
              <w:top w:val="nil"/>
              <w:left w:val="nil"/>
              <w:bottom w:val="nil"/>
              <w:right w:val="nil"/>
            </w:tcBorders>
          </w:tcPr>
          <w:p w14:paraId="6C9FCCFD" w14:textId="77777777" w:rsidR="008E7846" w:rsidRPr="00096AA7" w:rsidRDefault="0095526D" w:rsidP="00096AA7">
            <w:pPr>
              <w:rPr>
                <w:rFonts w:ascii="Arial" w:hAnsi="Arial" w:cs="Arial"/>
                <w:b/>
                <w:color w:val="002C47"/>
                <w:sz w:val="36"/>
                <w:szCs w:val="36"/>
              </w:rPr>
            </w:pPr>
            <w:r>
              <w:rPr>
                <w:rFonts w:ascii="Arial" w:hAnsi="Arial" w:cs="Arial"/>
                <w:b/>
                <w:color w:val="002C47"/>
                <w:sz w:val="36"/>
                <w:szCs w:val="36"/>
              </w:rPr>
              <w:t>March</w:t>
            </w:r>
            <w:r w:rsidR="00C346AB">
              <w:rPr>
                <w:rFonts w:ascii="Arial" w:hAnsi="Arial" w:cs="Arial"/>
                <w:b/>
                <w:color w:val="002C47"/>
                <w:sz w:val="36"/>
                <w:szCs w:val="36"/>
              </w:rPr>
              <w:t xml:space="preserve"> </w:t>
            </w:r>
            <w:r w:rsidR="00C834B1">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C50839C" w14:textId="77777777" w:rsidTr="0032583B">
        <w:trPr>
          <w:trHeight w:val="868"/>
        </w:trPr>
        <w:tc>
          <w:tcPr>
            <w:tcW w:w="9079" w:type="dxa"/>
          </w:tcPr>
          <w:p w14:paraId="7F93988E" w14:textId="77777777" w:rsidR="0032583B" w:rsidRPr="00A964D1" w:rsidRDefault="0032583B" w:rsidP="00C834B1">
            <w:pPr>
              <w:pStyle w:val="Title"/>
              <w:rPr>
                <w:color w:val="FFFFFF" w:themeColor="background1"/>
              </w:rPr>
            </w:pPr>
            <w:r w:rsidRPr="00A964D1">
              <w:rPr>
                <w:color w:val="FFFFFF" w:themeColor="background1"/>
              </w:rPr>
              <w:t>Australia</w:t>
            </w:r>
            <w:r w:rsidR="00C834B1">
              <w:rPr>
                <w:color w:val="FFFFFF" w:themeColor="background1"/>
              </w:rPr>
              <w:t xml:space="preserve">n Public Assessment Report for </w:t>
            </w:r>
            <w:r w:rsidR="00C834B1" w:rsidRPr="00C834B1">
              <w:rPr>
                <w:color w:val="FFFFFF" w:themeColor="background1"/>
              </w:rPr>
              <w:t>Trifarotene</w:t>
            </w:r>
          </w:p>
        </w:tc>
      </w:tr>
      <w:tr w:rsidR="0032583B" w:rsidRPr="00B64760" w14:paraId="0123DCA5" w14:textId="77777777" w:rsidTr="0032583B">
        <w:tc>
          <w:tcPr>
            <w:tcW w:w="9079" w:type="dxa"/>
          </w:tcPr>
          <w:p w14:paraId="17D5D39D" w14:textId="77777777" w:rsidR="0032583B" w:rsidRPr="008E7846" w:rsidRDefault="00C834B1" w:rsidP="00C834B1">
            <w:pPr>
              <w:pStyle w:val="Subtitle"/>
              <w:rPr>
                <w:color w:val="FFFFFF" w:themeColor="background1"/>
              </w:rPr>
            </w:pPr>
            <w:r>
              <w:rPr>
                <w:color w:val="FFFFFF" w:themeColor="background1"/>
              </w:rPr>
              <w:t>Proprietary Product Name: Aklief</w:t>
            </w:r>
          </w:p>
        </w:tc>
      </w:tr>
      <w:tr w:rsidR="0032583B" w:rsidRPr="00B64760" w14:paraId="085A70D7" w14:textId="77777777" w:rsidTr="0032583B">
        <w:trPr>
          <w:trHeight w:val="486"/>
        </w:trPr>
        <w:tc>
          <w:tcPr>
            <w:tcW w:w="9079" w:type="dxa"/>
          </w:tcPr>
          <w:p w14:paraId="57D458AB" w14:textId="77777777" w:rsidR="0032583B" w:rsidRPr="008E7846" w:rsidRDefault="00C834B1" w:rsidP="00C834B1">
            <w:pPr>
              <w:pStyle w:val="Subtitle"/>
              <w:rPr>
                <w:color w:val="FFFFFF" w:themeColor="background1"/>
              </w:rPr>
            </w:pPr>
            <w:r>
              <w:rPr>
                <w:color w:val="FFFFFF" w:themeColor="background1"/>
              </w:rPr>
              <w:t>Sponsor: Galderma A</w:t>
            </w:r>
            <w:r w:rsidRPr="00C834B1">
              <w:rPr>
                <w:color w:val="FFFFFF" w:themeColor="background1"/>
              </w:rPr>
              <w:t xml:space="preserve">ustralia </w:t>
            </w:r>
            <w:r>
              <w:rPr>
                <w:color w:val="FFFFFF" w:themeColor="background1"/>
              </w:rPr>
              <w:t>Pty Ltd</w:t>
            </w:r>
          </w:p>
        </w:tc>
      </w:tr>
    </w:tbl>
    <w:p w14:paraId="10A7A972" w14:textId="77777777" w:rsidR="008E7846" w:rsidRPr="0085156D" w:rsidRDefault="008E7846" w:rsidP="0085156D">
      <w:r w:rsidRPr="0085156D">
        <w:br w:type="page"/>
      </w:r>
    </w:p>
    <w:p w14:paraId="0B1C3CE1" w14:textId="77777777" w:rsidR="008E7846" w:rsidRPr="001F6CBA" w:rsidRDefault="008E7846" w:rsidP="008E7846">
      <w:pPr>
        <w:pStyle w:val="NonTOCHeading2"/>
      </w:pPr>
      <w:r w:rsidRPr="001F6CBA">
        <w:lastRenderedPageBreak/>
        <w:t>About the Therapeutic Goods Administration (TGA)</w:t>
      </w:r>
    </w:p>
    <w:p w14:paraId="55583BA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4F4A30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81EE99C"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4F4C3A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D02265E" w14:textId="6F3C2EC8"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5686E267" w14:textId="77777777" w:rsidR="008E7846" w:rsidRDefault="008E7846" w:rsidP="00875A6B">
      <w:pPr>
        <w:pStyle w:val="NonTOCHeading2"/>
      </w:pPr>
      <w:r>
        <w:t>About AusPARs</w:t>
      </w:r>
    </w:p>
    <w:p w14:paraId="0FA865CF"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A566840" w14:textId="77777777" w:rsidR="008E7846" w:rsidRDefault="008E7846" w:rsidP="008E7846">
      <w:pPr>
        <w:pStyle w:val="ListBullet"/>
        <w:numPr>
          <w:ilvl w:val="0"/>
          <w:numId w:val="3"/>
        </w:numPr>
        <w:ind w:left="357" w:hanging="357"/>
      </w:pPr>
      <w:r>
        <w:t>AusPARs are prepared and published by the TGA.</w:t>
      </w:r>
    </w:p>
    <w:p w14:paraId="6FEA45F9"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098B62C9"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359804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B9AF3AA" w14:textId="77777777" w:rsidR="00924482" w:rsidRPr="00DF1D7F" w:rsidRDefault="00924482" w:rsidP="00F54B65">
      <w:pPr>
        <w:pStyle w:val="LegalSubheading"/>
        <w:spacing w:before="3120"/>
      </w:pPr>
      <w:r w:rsidRPr="00DF1D7F">
        <w:t>Copyright</w:t>
      </w:r>
    </w:p>
    <w:p w14:paraId="6282B2B9" w14:textId="72DB9FA5"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4B0F479C"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3B14CC" w14:textId="77777777" w:rsidR="0089635C" w:rsidRPr="0089635C" w:rsidRDefault="0089635C" w:rsidP="0010788A">
          <w:pPr>
            <w:pStyle w:val="Contents"/>
          </w:pPr>
          <w:r w:rsidRPr="0010788A">
            <w:t>Cont</w:t>
          </w:r>
          <w:bookmarkStart w:id="2" w:name="_GoBack"/>
          <w:bookmarkEnd w:id="2"/>
          <w:r w:rsidRPr="0010788A">
            <w:t>ents</w:t>
          </w:r>
        </w:p>
        <w:p w14:paraId="4ED6B95A" w14:textId="740B2B4D" w:rsidR="00A1179C"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7320879" w:history="1">
            <w:r w:rsidR="00A1179C" w:rsidRPr="00021AC4">
              <w:rPr>
                <w:rStyle w:val="Hyperlink"/>
                <w:noProof/>
              </w:rPr>
              <w:t>List of abbreviations</w:t>
            </w:r>
            <w:r w:rsidR="00A1179C">
              <w:rPr>
                <w:noProof/>
                <w:webHidden/>
              </w:rPr>
              <w:tab/>
            </w:r>
            <w:r w:rsidR="00A1179C">
              <w:rPr>
                <w:noProof/>
                <w:webHidden/>
              </w:rPr>
              <w:fldChar w:fldCharType="begin"/>
            </w:r>
            <w:r w:rsidR="00A1179C">
              <w:rPr>
                <w:noProof/>
                <w:webHidden/>
              </w:rPr>
              <w:instrText xml:space="preserve"> PAGEREF _Toc67320879 \h </w:instrText>
            </w:r>
            <w:r w:rsidR="00A1179C">
              <w:rPr>
                <w:noProof/>
                <w:webHidden/>
              </w:rPr>
            </w:r>
            <w:r w:rsidR="00A1179C">
              <w:rPr>
                <w:noProof/>
                <w:webHidden/>
              </w:rPr>
              <w:fldChar w:fldCharType="separate"/>
            </w:r>
            <w:r w:rsidR="00A1179C">
              <w:rPr>
                <w:noProof/>
                <w:webHidden/>
              </w:rPr>
              <w:t>4</w:t>
            </w:r>
            <w:r w:rsidR="00A1179C">
              <w:rPr>
                <w:noProof/>
                <w:webHidden/>
              </w:rPr>
              <w:fldChar w:fldCharType="end"/>
            </w:r>
          </w:hyperlink>
        </w:p>
        <w:p w14:paraId="1E919DD2" w14:textId="0CF2D978" w:rsidR="00A1179C" w:rsidRDefault="00A1179C">
          <w:pPr>
            <w:pStyle w:val="TOC1"/>
            <w:rPr>
              <w:rFonts w:asciiTheme="minorHAnsi" w:eastAsiaTheme="minorEastAsia" w:hAnsiTheme="minorHAnsi" w:cstheme="minorBidi"/>
              <w:b w:val="0"/>
              <w:noProof/>
              <w:sz w:val="22"/>
              <w:lang w:eastAsia="en-AU"/>
            </w:rPr>
          </w:pPr>
          <w:hyperlink w:anchor="_Toc67320880" w:history="1">
            <w:r w:rsidRPr="00021AC4">
              <w:rPr>
                <w:rStyle w:val="Hyperlink"/>
                <w:noProof/>
              </w:rPr>
              <w:t>I. Introduction to product submission</w:t>
            </w:r>
            <w:r>
              <w:rPr>
                <w:noProof/>
                <w:webHidden/>
              </w:rPr>
              <w:tab/>
            </w:r>
            <w:r>
              <w:rPr>
                <w:noProof/>
                <w:webHidden/>
              </w:rPr>
              <w:fldChar w:fldCharType="begin"/>
            </w:r>
            <w:r>
              <w:rPr>
                <w:noProof/>
                <w:webHidden/>
              </w:rPr>
              <w:instrText xml:space="preserve"> PAGEREF _Toc67320880 \h </w:instrText>
            </w:r>
            <w:r>
              <w:rPr>
                <w:noProof/>
                <w:webHidden/>
              </w:rPr>
            </w:r>
            <w:r>
              <w:rPr>
                <w:noProof/>
                <w:webHidden/>
              </w:rPr>
              <w:fldChar w:fldCharType="separate"/>
            </w:r>
            <w:r>
              <w:rPr>
                <w:noProof/>
                <w:webHidden/>
              </w:rPr>
              <w:t>7</w:t>
            </w:r>
            <w:r>
              <w:rPr>
                <w:noProof/>
                <w:webHidden/>
              </w:rPr>
              <w:fldChar w:fldCharType="end"/>
            </w:r>
          </w:hyperlink>
        </w:p>
        <w:p w14:paraId="536038E3" w14:textId="37C4AC2C" w:rsidR="00A1179C" w:rsidRDefault="00A1179C">
          <w:pPr>
            <w:pStyle w:val="TOC2"/>
            <w:rPr>
              <w:rFonts w:asciiTheme="minorHAnsi" w:eastAsiaTheme="minorEastAsia" w:hAnsiTheme="minorHAnsi" w:cstheme="minorBidi"/>
              <w:b w:val="0"/>
              <w:noProof/>
              <w:sz w:val="22"/>
              <w:lang w:eastAsia="en-AU"/>
            </w:rPr>
          </w:pPr>
          <w:hyperlink w:anchor="_Toc67320881" w:history="1">
            <w:r w:rsidRPr="00021AC4">
              <w:rPr>
                <w:rStyle w:val="Hyperlink"/>
                <w:noProof/>
                <w:lang w:eastAsia="en-AU"/>
              </w:rPr>
              <w:t>Submission details</w:t>
            </w:r>
            <w:r>
              <w:rPr>
                <w:noProof/>
                <w:webHidden/>
              </w:rPr>
              <w:tab/>
            </w:r>
            <w:r>
              <w:rPr>
                <w:noProof/>
                <w:webHidden/>
              </w:rPr>
              <w:fldChar w:fldCharType="begin"/>
            </w:r>
            <w:r>
              <w:rPr>
                <w:noProof/>
                <w:webHidden/>
              </w:rPr>
              <w:instrText xml:space="preserve"> PAGEREF _Toc67320881 \h </w:instrText>
            </w:r>
            <w:r>
              <w:rPr>
                <w:noProof/>
                <w:webHidden/>
              </w:rPr>
            </w:r>
            <w:r>
              <w:rPr>
                <w:noProof/>
                <w:webHidden/>
              </w:rPr>
              <w:fldChar w:fldCharType="separate"/>
            </w:r>
            <w:r>
              <w:rPr>
                <w:noProof/>
                <w:webHidden/>
              </w:rPr>
              <w:t>7</w:t>
            </w:r>
            <w:r>
              <w:rPr>
                <w:noProof/>
                <w:webHidden/>
              </w:rPr>
              <w:fldChar w:fldCharType="end"/>
            </w:r>
          </w:hyperlink>
        </w:p>
        <w:p w14:paraId="2D732DC3" w14:textId="6D942061" w:rsidR="00A1179C" w:rsidRDefault="00A1179C">
          <w:pPr>
            <w:pStyle w:val="TOC2"/>
            <w:rPr>
              <w:rFonts w:asciiTheme="minorHAnsi" w:eastAsiaTheme="minorEastAsia" w:hAnsiTheme="minorHAnsi" w:cstheme="minorBidi"/>
              <w:b w:val="0"/>
              <w:noProof/>
              <w:sz w:val="22"/>
              <w:lang w:eastAsia="en-AU"/>
            </w:rPr>
          </w:pPr>
          <w:hyperlink w:anchor="_Toc67320882" w:history="1">
            <w:r w:rsidRPr="00021AC4">
              <w:rPr>
                <w:rStyle w:val="Hyperlink"/>
                <w:noProof/>
              </w:rPr>
              <w:t>Product background</w:t>
            </w:r>
            <w:r>
              <w:rPr>
                <w:noProof/>
                <w:webHidden/>
              </w:rPr>
              <w:tab/>
            </w:r>
            <w:r>
              <w:rPr>
                <w:noProof/>
                <w:webHidden/>
              </w:rPr>
              <w:fldChar w:fldCharType="begin"/>
            </w:r>
            <w:r>
              <w:rPr>
                <w:noProof/>
                <w:webHidden/>
              </w:rPr>
              <w:instrText xml:space="preserve"> PAGEREF _Toc67320882 \h </w:instrText>
            </w:r>
            <w:r>
              <w:rPr>
                <w:noProof/>
                <w:webHidden/>
              </w:rPr>
            </w:r>
            <w:r>
              <w:rPr>
                <w:noProof/>
                <w:webHidden/>
              </w:rPr>
              <w:fldChar w:fldCharType="separate"/>
            </w:r>
            <w:r>
              <w:rPr>
                <w:noProof/>
                <w:webHidden/>
              </w:rPr>
              <w:t>8</w:t>
            </w:r>
            <w:r>
              <w:rPr>
                <w:noProof/>
                <w:webHidden/>
              </w:rPr>
              <w:fldChar w:fldCharType="end"/>
            </w:r>
          </w:hyperlink>
        </w:p>
        <w:p w14:paraId="36AF6EC0" w14:textId="57770ABF" w:rsidR="00A1179C" w:rsidRDefault="00A1179C">
          <w:pPr>
            <w:pStyle w:val="TOC2"/>
            <w:rPr>
              <w:rFonts w:asciiTheme="minorHAnsi" w:eastAsiaTheme="minorEastAsia" w:hAnsiTheme="minorHAnsi" w:cstheme="minorBidi"/>
              <w:b w:val="0"/>
              <w:noProof/>
              <w:sz w:val="22"/>
              <w:lang w:eastAsia="en-AU"/>
            </w:rPr>
          </w:pPr>
          <w:hyperlink w:anchor="_Toc67320883" w:history="1">
            <w:r w:rsidRPr="00021AC4">
              <w:rPr>
                <w:rStyle w:val="Hyperlink"/>
                <w:noProof/>
              </w:rPr>
              <w:t>Regulatory status</w:t>
            </w:r>
            <w:r>
              <w:rPr>
                <w:noProof/>
                <w:webHidden/>
              </w:rPr>
              <w:tab/>
            </w:r>
            <w:r>
              <w:rPr>
                <w:noProof/>
                <w:webHidden/>
              </w:rPr>
              <w:fldChar w:fldCharType="begin"/>
            </w:r>
            <w:r>
              <w:rPr>
                <w:noProof/>
                <w:webHidden/>
              </w:rPr>
              <w:instrText xml:space="preserve"> PAGEREF _Toc67320883 \h </w:instrText>
            </w:r>
            <w:r>
              <w:rPr>
                <w:noProof/>
                <w:webHidden/>
              </w:rPr>
            </w:r>
            <w:r>
              <w:rPr>
                <w:noProof/>
                <w:webHidden/>
              </w:rPr>
              <w:fldChar w:fldCharType="separate"/>
            </w:r>
            <w:r>
              <w:rPr>
                <w:noProof/>
                <w:webHidden/>
              </w:rPr>
              <w:t>10</w:t>
            </w:r>
            <w:r>
              <w:rPr>
                <w:noProof/>
                <w:webHidden/>
              </w:rPr>
              <w:fldChar w:fldCharType="end"/>
            </w:r>
          </w:hyperlink>
        </w:p>
        <w:p w14:paraId="03389E96" w14:textId="1D1D9AFE" w:rsidR="00A1179C" w:rsidRDefault="00A1179C">
          <w:pPr>
            <w:pStyle w:val="TOC2"/>
            <w:rPr>
              <w:rFonts w:asciiTheme="minorHAnsi" w:eastAsiaTheme="minorEastAsia" w:hAnsiTheme="minorHAnsi" w:cstheme="minorBidi"/>
              <w:b w:val="0"/>
              <w:noProof/>
              <w:sz w:val="22"/>
              <w:lang w:eastAsia="en-AU"/>
            </w:rPr>
          </w:pPr>
          <w:hyperlink w:anchor="_Toc67320884" w:history="1">
            <w:r w:rsidRPr="00021AC4">
              <w:rPr>
                <w:rStyle w:val="Hyperlink"/>
                <w:noProof/>
              </w:rPr>
              <w:t>Product Information</w:t>
            </w:r>
            <w:r>
              <w:rPr>
                <w:noProof/>
                <w:webHidden/>
              </w:rPr>
              <w:tab/>
            </w:r>
            <w:r>
              <w:rPr>
                <w:noProof/>
                <w:webHidden/>
              </w:rPr>
              <w:fldChar w:fldCharType="begin"/>
            </w:r>
            <w:r>
              <w:rPr>
                <w:noProof/>
                <w:webHidden/>
              </w:rPr>
              <w:instrText xml:space="preserve"> PAGEREF _Toc67320884 \h </w:instrText>
            </w:r>
            <w:r>
              <w:rPr>
                <w:noProof/>
                <w:webHidden/>
              </w:rPr>
            </w:r>
            <w:r>
              <w:rPr>
                <w:noProof/>
                <w:webHidden/>
              </w:rPr>
              <w:fldChar w:fldCharType="separate"/>
            </w:r>
            <w:r>
              <w:rPr>
                <w:noProof/>
                <w:webHidden/>
              </w:rPr>
              <w:t>11</w:t>
            </w:r>
            <w:r>
              <w:rPr>
                <w:noProof/>
                <w:webHidden/>
              </w:rPr>
              <w:fldChar w:fldCharType="end"/>
            </w:r>
          </w:hyperlink>
        </w:p>
        <w:p w14:paraId="2E288402" w14:textId="55E3BBAD" w:rsidR="00A1179C" w:rsidRDefault="00A1179C">
          <w:pPr>
            <w:pStyle w:val="TOC1"/>
            <w:rPr>
              <w:rFonts w:asciiTheme="minorHAnsi" w:eastAsiaTheme="minorEastAsia" w:hAnsiTheme="minorHAnsi" w:cstheme="minorBidi"/>
              <w:b w:val="0"/>
              <w:noProof/>
              <w:sz w:val="22"/>
              <w:lang w:eastAsia="en-AU"/>
            </w:rPr>
          </w:pPr>
          <w:hyperlink w:anchor="_Toc67320885" w:history="1">
            <w:r w:rsidRPr="00021AC4">
              <w:rPr>
                <w:rStyle w:val="Hyperlink"/>
                <w:noProof/>
              </w:rPr>
              <w:t>II. Registration timeline</w:t>
            </w:r>
            <w:r>
              <w:rPr>
                <w:noProof/>
                <w:webHidden/>
              </w:rPr>
              <w:tab/>
            </w:r>
            <w:r>
              <w:rPr>
                <w:noProof/>
                <w:webHidden/>
              </w:rPr>
              <w:fldChar w:fldCharType="begin"/>
            </w:r>
            <w:r>
              <w:rPr>
                <w:noProof/>
                <w:webHidden/>
              </w:rPr>
              <w:instrText xml:space="preserve"> PAGEREF _Toc67320885 \h </w:instrText>
            </w:r>
            <w:r>
              <w:rPr>
                <w:noProof/>
                <w:webHidden/>
              </w:rPr>
            </w:r>
            <w:r>
              <w:rPr>
                <w:noProof/>
                <w:webHidden/>
              </w:rPr>
              <w:fldChar w:fldCharType="separate"/>
            </w:r>
            <w:r>
              <w:rPr>
                <w:noProof/>
                <w:webHidden/>
              </w:rPr>
              <w:t>11</w:t>
            </w:r>
            <w:r>
              <w:rPr>
                <w:noProof/>
                <w:webHidden/>
              </w:rPr>
              <w:fldChar w:fldCharType="end"/>
            </w:r>
          </w:hyperlink>
        </w:p>
        <w:p w14:paraId="635D1E50" w14:textId="22CF57F5" w:rsidR="00A1179C" w:rsidRDefault="00A1179C">
          <w:pPr>
            <w:pStyle w:val="TOC1"/>
            <w:rPr>
              <w:rFonts w:asciiTheme="minorHAnsi" w:eastAsiaTheme="minorEastAsia" w:hAnsiTheme="minorHAnsi" w:cstheme="minorBidi"/>
              <w:b w:val="0"/>
              <w:noProof/>
              <w:sz w:val="22"/>
              <w:lang w:eastAsia="en-AU"/>
            </w:rPr>
          </w:pPr>
          <w:hyperlink w:anchor="_Toc67320886" w:history="1">
            <w:r w:rsidRPr="00021AC4">
              <w:rPr>
                <w:rStyle w:val="Hyperlink"/>
                <w:noProof/>
              </w:rPr>
              <w:t>III. Submission overview and risk/benefit assessment</w:t>
            </w:r>
            <w:r>
              <w:rPr>
                <w:noProof/>
                <w:webHidden/>
              </w:rPr>
              <w:tab/>
            </w:r>
            <w:r>
              <w:rPr>
                <w:noProof/>
                <w:webHidden/>
              </w:rPr>
              <w:fldChar w:fldCharType="begin"/>
            </w:r>
            <w:r>
              <w:rPr>
                <w:noProof/>
                <w:webHidden/>
              </w:rPr>
              <w:instrText xml:space="preserve"> PAGEREF _Toc67320886 \h </w:instrText>
            </w:r>
            <w:r>
              <w:rPr>
                <w:noProof/>
                <w:webHidden/>
              </w:rPr>
            </w:r>
            <w:r>
              <w:rPr>
                <w:noProof/>
                <w:webHidden/>
              </w:rPr>
              <w:fldChar w:fldCharType="separate"/>
            </w:r>
            <w:r>
              <w:rPr>
                <w:noProof/>
                <w:webHidden/>
              </w:rPr>
              <w:t>12</w:t>
            </w:r>
            <w:r>
              <w:rPr>
                <w:noProof/>
                <w:webHidden/>
              </w:rPr>
              <w:fldChar w:fldCharType="end"/>
            </w:r>
          </w:hyperlink>
        </w:p>
        <w:p w14:paraId="0660CEE3" w14:textId="67DE6ABE" w:rsidR="00A1179C" w:rsidRDefault="00A1179C">
          <w:pPr>
            <w:pStyle w:val="TOC2"/>
            <w:rPr>
              <w:rFonts w:asciiTheme="minorHAnsi" w:eastAsiaTheme="minorEastAsia" w:hAnsiTheme="minorHAnsi" w:cstheme="minorBidi"/>
              <w:b w:val="0"/>
              <w:noProof/>
              <w:sz w:val="22"/>
              <w:lang w:eastAsia="en-AU"/>
            </w:rPr>
          </w:pPr>
          <w:hyperlink w:anchor="_Toc67320887" w:history="1">
            <w:r w:rsidRPr="00021AC4">
              <w:rPr>
                <w:rStyle w:val="Hyperlink"/>
                <w:noProof/>
              </w:rPr>
              <w:t>Quality</w:t>
            </w:r>
            <w:r>
              <w:rPr>
                <w:noProof/>
                <w:webHidden/>
              </w:rPr>
              <w:tab/>
            </w:r>
            <w:r>
              <w:rPr>
                <w:noProof/>
                <w:webHidden/>
              </w:rPr>
              <w:fldChar w:fldCharType="begin"/>
            </w:r>
            <w:r>
              <w:rPr>
                <w:noProof/>
                <w:webHidden/>
              </w:rPr>
              <w:instrText xml:space="preserve"> PAGEREF _Toc67320887 \h </w:instrText>
            </w:r>
            <w:r>
              <w:rPr>
                <w:noProof/>
                <w:webHidden/>
              </w:rPr>
            </w:r>
            <w:r>
              <w:rPr>
                <w:noProof/>
                <w:webHidden/>
              </w:rPr>
              <w:fldChar w:fldCharType="separate"/>
            </w:r>
            <w:r>
              <w:rPr>
                <w:noProof/>
                <w:webHidden/>
              </w:rPr>
              <w:t>12</w:t>
            </w:r>
            <w:r>
              <w:rPr>
                <w:noProof/>
                <w:webHidden/>
              </w:rPr>
              <w:fldChar w:fldCharType="end"/>
            </w:r>
          </w:hyperlink>
        </w:p>
        <w:p w14:paraId="4AED9C8D" w14:textId="2F7871D7" w:rsidR="00A1179C" w:rsidRDefault="00A1179C">
          <w:pPr>
            <w:pStyle w:val="TOC2"/>
            <w:rPr>
              <w:rFonts w:asciiTheme="minorHAnsi" w:eastAsiaTheme="minorEastAsia" w:hAnsiTheme="minorHAnsi" w:cstheme="minorBidi"/>
              <w:b w:val="0"/>
              <w:noProof/>
              <w:sz w:val="22"/>
              <w:lang w:eastAsia="en-AU"/>
            </w:rPr>
          </w:pPr>
          <w:hyperlink w:anchor="_Toc67320888" w:history="1">
            <w:r w:rsidRPr="00021AC4">
              <w:rPr>
                <w:rStyle w:val="Hyperlink"/>
                <w:noProof/>
              </w:rPr>
              <w:t>Nonclinical</w:t>
            </w:r>
            <w:r>
              <w:rPr>
                <w:noProof/>
                <w:webHidden/>
              </w:rPr>
              <w:tab/>
            </w:r>
            <w:r>
              <w:rPr>
                <w:noProof/>
                <w:webHidden/>
              </w:rPr>
              <w:fldChar w:fldCharType="begin"/>
            </w:r>
            <w:r>
              <w:rPr>
                <w:noProof/>
                <w:webHidden/>
              </w:rPr>
              <w:instrText xml:space="preserve"> PAGEREF _Toc67320888 \h </w:instrText>
            </w:r>
            <w:r>
              <w:rPr>
                <w:noProof/>
                <w:webHidden/>
              </w:rPr>
            </w:r>
            <w:r>
              <w:rPr>
                <w:noProof/>
                <w:webHidden/>
              </w:rPr>
              <w:fldChar w:fldCharType="separate"/>
            </w:r>
            <w:r>
              <w:rPr>
                <w:noProof/>
                <w:webHidden/>
              </w:rPr>
              <w:t>12</w:t>
            </w:r>
            <w:r>
              <w:rPr>
                <w:noProof/>
                <w:webHidden/>
              </w:rPr>
              <w:fldChar w:fldCharType="end"/>
            </w:r>
          </w:hyperlink>
        </w:p>
        <w:p w14:paraId="189BAF02" w14:textId="782CDE56" w:rsidR="00A1179C" w:rsidRDefault="00A1179C">
          <w:pPr>
            <w:pStyle w:val="TOC2"/>
            <w:rPr>
              <w:rFonts w:asciiTheme="minorHAnsi" w:eastAsiaTheme="minorEastAsia" w:hAnsiTheme="minorHAnsi" w:cstheme="minorBidi"/>
              <w:b w:val="0"/>
              <w:noProof/>
              <w:sz w:val="22"/>
              <w:lang w:eastAsia="en-AU"/>
            </w:rPr>
          </w:pPr>
          <w:hyperlink w:anchor="_Toc67320889" w:history="1">
            <w:r w:rsidRPr="00021AC4">
              <w:rPr>
                <w:rStyle w:val="Hyperlink"/>
                <w:noProof/>
              </w:rPr>
              <w:t>Clinical</w:t>
            </w:r>
            <w:r>
              <w:rPr>
                <w:noProof/>
                <w:webHidden/>
              </w:rPr>
              <w:tab/>
            </w:r>
            <w:r>
              <w:rPr>
                <w:noProof/>
                <w:webHidden/>
              </w:rPr>
              <w:fldChar w:fldCharType="begin"/>
            </w:r>
            <w:r>
              <w:rPr>
                <w:noProof/>
                <w:webHidden/>
              </w:rPr>
              <w:instrText xml:space="preserve"> PAGEREF _Toc67320889 \h </w:instrText>
            </w:r>
            <w:r>
              <w:rPr>
                <w:noProof/>
                <w:webHidden/>
              </w:rPr>
            </w:r>
            <w:r>
              <w:rPr>
                <w:noProof/>
                <w:webHidden/>
              </w:rPr>
              <w:fldChar w:fldCharType="separate"/>
            </w:r>
            <w:r>
              <w:rPr>
                <w:noProof/>
                <w:webHidden/>
              </w:rPr>
              <w:t>14</w:t>
            </w:r>
            <w:r>
              <w:rPr>
                <w:noProof/>
                <w:webHidden/>
              </w:rPr>
              <w:fldChar w:fldCharType="end"/>
            </w:r>
          </w:hyperlink>
        </w:p>
        <w:p w14:paraId="279594C7" w14:textId="37BC4FD0" w:rsidR="00A1179C" w:rsidRDefault="00A1179C">
          <w:pPr>
            <w:pStyle w:val="TOC2"/>
            <w:rPr>
              <w:rFonts w:asciiTheme="minorHAnsi" w:eastAsiaTheme="minorEastAsia" w:hAnsiTheme="minorHAnsi" w:cstheme="minorBidi"/>
              <w:b w:val="0"/>
              <w:noProof/>
              <w:sz w:val="22"/>
              <w:lang w:eastAsia="en-AU"/>
            </w:rPr>
          </w:pPr>
          <w:hyperlink w:anchor="_Toc67320890" w:history="1">
            <w:r w:rsidRPr="00021AC4">
              <w:rPr>
                <w:rStyle w:val="Hyperlink"/>
                <w:noProof/>
                <w:lang w:eastAsia="en-AU"/>
              </w:rPr>
              <w:t>Risk management plan</w:t>
            </w:r>
            <w:r>
              <w:rPr>
                <w:noProof/>
                <w:webHidden/>
              </w:rPr>
              <w:tab/>
            </w:r>
            <w:r>
              <w:rPr>
                <w:noProof/>
                <w:webHidden/>
              </w:rPr>
              <w:fldChar w:fldCharType="begin"/>
            </w:r>
            <w:r>
              <w:rPr>
                <w:noProof/>
                <w:webHidden/>
              </w:rPr>
              <w:instrText xml:space="preserve"> PAGEREF _Toc67320890 \h </w:instrText>
            </w:r>
            <w:r>
              <w:rPr>
                <w:noProof/>
                <w:webHidden/>
              </w:rPr>
            </w:r>
            <w:r>
              <w:rPr>
                <w:noProof/>
                <w:webHidden/>
              </w:rPr>
              <w:fldChar w:fldCharType="separate"/>
            </w:r>
            <w:r>
              <w:rPr>
                <w:noProof/>
                <w:webHidden/>
              </w:rPr>
              <w:t>30</w:t>
            </w:r>
            <w:r>
              <w:rPr>
                <w:noProof/>
                <w:webHidden/>
              </w:rPr>
              <w:fldChar w:fldCharType="end"/>
            </w:r>
          </w:hyperlink>
        </w:p>
        <w:p w14:paraId="307960D9" w14:textId="72906F31" w:rsidR="00A1179C" w:rsidRDefault="00A1179C">
          <w:pPr>
            <w:pStyle w:val="TOC2"/>
            <w:rPr>
              <w:rFonts w:asciiTheme="minorHAnsi" w:eastAsiaTheme="minorEastAsia" w:hAnsiTheme="minorHAnsi" w:cstheme="minorBidi"/>
              <w:b w:val="0"/>
              <w:noProof/>
              <w:sz w:val="22"/>
              <w:lang w:eastAsia="en-AU"/>
            </w:rPr>
          </w:pPr>
          <w:hyperlink w:anchor="_Toc67320891" w:history="1">
            <w:r w:rsidRPr="00021AC4">
              <w:rPr>
                <w:rStyle w:val="Hyperlink"/>
                <w:noProof/>
              </w:rPr>
              <w:t>Risk-benefit analysis</w:t>
            </w:r>
            <w:r>
              <w:rPr>
                <w:noProof/>
                <w:webHidden/>
              </w:rPr>
              <w:tab/>
            </w:r>
            <w:r>
              <w:rPr>
                <w:noProof/>
                <w:webHidden/>
              </w:rPr>
              <w:fldChar w:fldCharType="begin"/>
            </w:r>
            <w:r>
              <w:rPr>
                <w:noProof/>
                <w:webHidden/>
              </w:rPr>
              <w:instrText xml:space="preserve"> PAGEREF _Toc67320891 \h </w:instrText>
            </w:r>
            <w:r>
              <w:rPr>
                <w:noProof/>
                <w:webHidden/>
              </w:rPr>
            </w:r>
            <w:r>
              <w:rPr>
                <w:noProof/>
                <w:webHidden/>
              </w:rPr>
              <w:fldChar w:fldCharType="separate"/>
            </w:r>
            <w:r>
              <w:rPr>
                <w:noProof/>
                <w:webHidden/>
              </w:rPr>
              <w:t>31</w:t>
            </w:r>
            <w:r>
              <w:rPr>
                <w:noProof/>
                <w:webHidden/>
              </w:rPr>
              <w:fldChar w:fldCharType="end"/>
            </w:r>
          </w:hyperlink>
        </w:p>
        <w:p w14:paraId="3B853468" w14:textId="3A049DFA" w:rsidR="00A1179C" w:rsidRDefault="00A1179C">
          <w:pPr>
            <w:pStyle w:val="TOC2"/>
            <w:rPr>
              <w:rFonts w:asciiTheme="minorHAnsi" w:eastAsiaTheme="minorEastAsia" w:hAnsiTheme="minorHAnsi" w:cstheme="minorBidi"/>
              <w:b w:val="0"/>
              <w:noProof/>
              <w:sz w:val="22"/>
              <w:lang w:eastAsia="en-AU"/>
            </w:rPr>
          </w:pPr>
          <w:hyperlink w:anchor="_Toc67320892" w:history="1">
            <w:r w:rsidRPr="00021AC4">
              <w:rPr>
                <w:rStyle w:val="Hyperlink"/>
                <w:noProof/>
              </w:rPr>
              <w:t>Outcome</w:t>
            </w:r>
            <w:r>
              <w:rPr>
                <w:noProof/>
                <w:webHidden/>
              </w:rPr>
              <w:tab/>
            </w:r>
            <w:r>
              <w:rPr>
                <w:noProof/>
                <w:webHidden/>
              </w:rPr>
              <w:fldChar w:fldCharType="begin"/>
            </w:r>
            <w:r>
              <w:rPr>
                <w:noProof/>
                <w:webHidden/>
              </w:rPr>
              <w:instrText xml:space="preserve"> PAGEREF _Toc67320892 \h </w:instrText>
            </w:r>
            <w:r>
              <w:rPr>
                <w:noProof/>
                <w:webHidden/>
              </w:rPr>
            </w:r>
            <w:r>
              <w:rPr>
                <w:noProof/>
                <w:webHidden/>
              </w:rPr>
              <w:fldChar w:fldCharType="separate"/>
            </w:r>
            <w:r>
              <w:rPr>
                <w:noProof/>
                <w:webHidden/>
              </w:rPr>
              <w:t>35</w:t>
            </w:r>
            <w:r>
              <w:rPr>
                <w:noProof/>
                <w:webHidden/>
              </w:rPr>
              <w:fldChar w:fldCharType="end"/>
            </w:r>
          </w:hyperlink>
        </w:p>
        <w:p w14:paraId="00384FE1" w14:textId="1077D0F3" w:rsidR="00A1179C" w:rsidRDefault="00A1179C">
          <w:pPr>
            <w:pStyle w:val="TOC1"/>
            <w:rPr>
              <w:rFonts w:asciiTheme="minorHAnsi" w:eastAsiaTheme="minorEastAsia" w:hAnsiTheme="minorHAnsi" w:cstheme="minorBidi"/>
              <w:b w:val="0"/>
              <w:noProof/>
              <w:sz w:val="22"/>
              <w:lang w:eastAsia="en-AU"/>
            </w:rPr>
          </w:pPr>
          <w:hyperlink w:anchor="_Toc67320893" w:history="1">
            <w:r w:rsidRPr="00021AC4">
              <w:rPr>
                <w:rStyle w:val="Hyperlink"/>
                <w:noProof/>
              </w:rPr>
              <w:t>Attachment 1. Product Information</w:t>
            </w:r>
            <w:r>
              <w:rPr>
                <w:noProof/>
                <w:webHidden/>
              </w:rPr>
              <w:tab/>
            </w:r>
            <w:r>
              <w:rPr>
                <w:noProof/>
                <w:webHidden/>
              </w:rPr>
              <w:fldChar w:fldCharType="begin"/>
            </w:r>
            <w:r>
              <w:rPr>
                <w:noProof/>
                <w:webHidden/>
              </w:rPr>
              <w:instrText xml:space="preserve"> PAGEREF _Toc67320893 \h </w:instrText>
            </w:r>
            <w:r>
              <w:rPr>
                <w:noProof/>
                <w:webHidden/>
              </w:rPr>
            </w:r>
            <w:r>
              <w:rPr>
                <w:noProof/>
                <w:webHidden/>
              </w:rPr>
              <w:fldChar w:fldCharType="separate"/>
            </w:r>
            <w:r>
              <w:rPr>
                <w:noProof/>
                <w:webHidden/>
              </w:rPr>
              <w:t>35</w:t>
            </w:r>
            <w:r>
              <w:rPr>
                <w:noProof/>
                <w:webHidden/>
              </w:rPr>
              <w:fldChar w:fldCharType="end"/>
            </w:r>
          </w:hyperlink>
        </w:p>
        <w:p w14:paraId="73BA13F1" w14:textId="77CB5708" w:rsidR="003A7F6C" w:rsidRPr="00B811C6" w:rsidRDefault="00C525A2" w:rsidP="00B811C6">
          <w:pPr>
            <w:pStyle w:val="TOC2"/>
          </w:pPr>
          <w:r>
            <w:fldChar w:fldCharType="end"/>
          </w:r>
        </w:p>
      </w:sdtContent>
    </w:sdt>
    <w:bookmarkStart w:id="3" w:name="_Toc314842482" w:displacedByCustomXml="prev"/>
    <w:p w14:paraId="449C07C0" w14:textId="77777777" w:rsidR="00FD119B" w:rsidRDefault="00FD119B">
      <w:pPr>
        <w:spacing w:before="0" w:after="200" w:line="0" w:lineRule="auto"/>
      </w:pPr>
      <w:r>
        <w:br w:type="page"/>
      </w:r>
    </w:p>
    <w:p w14:paraId="30E22CB0" w14:textId="77777777" w:rsidR="00C52E24" w:rsidRPr="00C52E24" w:rsidRDefault="00324E45" w:rsidP="00C834B1">
      <w:pPr>
        <w:pStyle w:val="Heading2"/>
      </w:pPr>
      <w:bookmarkStart w:id="4" w:name="_Toc351716269"/>
      <w:bookmarkStart w:id="5" w:name="_Toc351718881"/>
      <w:bookmarkStart w:id="6" w:name="_Toc355338616"/>
      <w:bookmarkStart w:id="7" w:name="_Toc356306144"/>
      <w:bookmarkStart w:id="8" w:name="_Toc67320879"/>
      <w:r>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570FC6" w:rsidRPr="00FD119B" w14:paraId="06ABCE4E" w14:textId="77777777" w:rsidTr="00C35D17">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6FD930E7" w14:textId="77777777" w:rsidR="00570FC6" w:rsidRPr="00FD119B" w:rsidRDefault="00570FC6" w:rsidP="00520721">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7A360D5E" w14:textId="77777777" w:rsidR="00570FC6" w:rsidRPr="00FD119B" w:rsidRDefault="00570FC6" w:rsidP="00520721">
            <w:pPr>
              <w:keepNext w:val="0"/>
              <w:ind w:left="144" w:right="0"/>
              <w:rPr>
                <w:szCs w:val="22"/>
                <w:lang w:eastAsia="en-US"/>
              </w:rPr>
            </w:pPr>
            <w:r w:rsidRPr="00FD119B">
              <w:rPr>
                <w:szCs w:val="22"/>
                <w:lang w:eastAsia="en-US"/>
              </w:rPr>
              <w:t>Meaning</w:t>
            </w:r>
          </w:p>
        </w:tc>
      </w:tr>
      <w:tr w:rsidR="00570FC6" w:rsidRPr="00FD119B" w14:paraId="10CE9F6A" w14:textId="77777777" w:rsidTr="00C35D17">
        <w:tc>
          <w:tcPr>
            <w:tcW w:w="1809" w:type="dxa"/>
            <w:tcBorders>
              <w:top w:val="single" w:sz="4" w:space="0" w:color="auto"/>
            </w:tcBorders>
          </w:tcPr>
          <w:p w14:paraId="08164342" w14:textId="77777777" w:rsidR="00570FC6" w:rsidRPr="00FD119B" w:rsidRDefault="00570FC6" w:rsidP="00520721">
            <w:pPr>
              <w:ind w:left="144" w:right="0"/>
            </w:pPr>
            <w:r>
              <w:t>ACM</w:t>
            </w:r>
          </w:p>
        </w:tc>
        <w:tc>
          <w:tcPr>
            <w:tcW w:w="6911" w:type="dxa"/>
            <w:tcBorders>
              <w:top w:val="single" w:sz="4" w:space="0" w:color="auto"/>
            </w:tcBorders>
          </w:tcPr>
          <w:p w14:paraId="591EE1F0" w14:textId="77777777" w:rsidR="00570FC6" w:rsidRPr="00FD119B" w:rsidRDefault="00570FC6" w:rsidP="00520721">
            <w:pPr>
              <w:ind w:left="144" w:right="0"/>
            </w:pPr>
            <w:r w:rsidRPr="00460036">
              <w:t>Advisory Committee on Medicines</w:t>
            </w:r>
          </w:p>
        </w:tc>
      </w:tr>
      <w:tr w:rsidR="00570FC6" w:rsidRPr="00FD119B" w14:paraId="6A1928C7" w14:textId="77777777" w:rsidTr="00C35D17">
        <w:tc>
          <w:tcPr>
            <w:tcW w:w="1809" w:type="dxa"/>
          </w:tcPr>
          <w:p w14:paraId="61C65636" w14:textId="77777777" w:rsidR="00570FC6" w:rsidRDefault="00570FC6" w:rsidP="00520721">
            <w:pPr>
              <w:ind w:left="144"/>
            </w:pPr>
            <w:r>
              <w:t>AE</w:t>
            </w:r>
          </w:p>
        </w:tc>
        <w:tc>
          <w:tcPr>
            <w:tcW w:w="6911" w:type="dxa"/>
          </w:tcPr>
          <w:p w14:paraId="10E63202" w14:textId="77777777" w:rsidR="00570FC6" w:rsidRPr="00AD5F6C" w:rsidRDefault="00570FC6" w:rsidP="00520721">
            <w:pPr>
              <w:ind w:left="144"/>
            </w:pPr>
            <w:r>
              <w:t>Adverse event</w:t>
            </w:r>
          </w:p>
        </w:tc>
      </w:tr>
      <w:tr w:rsidR="00570FC6" w:rsidRPr="00FD119B" w14:paraId="0BD5BAC4" w14:textId="77777777" w:rsidTr="00C35D17">
        <w:tc>
          <w:tcPr>
            <w:tcW w:w="1809" w:type="dxa"/>
          </w:tcPr>
          <w:p w14:paraId="623E4105" w14:textId="77777777" w:rsidR="00570FC6" w:rsidRDefault="00570FC6" w:rsidP="00520721">
            <w:pPr>
              <w:ind w:left="144"/>
            </w:pPr>
            <w:r>
              <w:t>AESI</w:t>
            </w:r>
          </w:p>
        </w:tc>
        <w:tc>
          <w:tcPr>
            <w:tcW w:w="6911" w:type="dxa"/>
          </w:tcPr>
          <w:p w14:paraId="095137C8" w14:textId="77777777" w:rsidR="00570FC6" w:rsidRPr="00AD5F6C" w:rsidRDefault="00570FC6" w:rsidP="00520721">
            <w:pPr>
              <w:ind w:left="144"/>
            </w:pPr>
            <w:r>
              <w:t>A</w:t>
            </w:r>
            <w:r w:rsidRPr="00B83A60">
              <w:t>dverse event of special interest</w:t>
            </w:r>
          </w:p>
        </w:tc>
      </w:tr>
      <w:tr w:rsidR="00570FC6" w:rsidRPr="00FD119B" w14:paraId="350C2464" w14:textId="77777777" w:rsidTr="00C35D17">
        <w:tc>
          <w:tcPr>
            <w:tcW w:w="1809" w:type="dxa"/>
          </w:tcPr>
          <w:p w14:paraId="216AB324" w14:textId="77777777" w:rsidR="00570FC6" w:rsidRPr="00FD119B" w:rsidRDefault="00570FC6" w:rsidP="00520721">
            <w:pPr>
              <w:ind w:left="144"/>
            </w:pPr>
            <w:r>
              <w:t>ANCOVA</w:t>
            </w:r>
          </w:p>
        </w:tc>
        <w:tc>
          <w:tcPr>
            <w:tcW w:w="6911" w:type="dxa"/>
          </w:tcPr>
          <w:p w14:paraId="15673FED" w14:textId="77777777" w:rsidR="00570FC6" w:rsidRPr="00FD119B" w:rsidRDefault="00570FC6" w:rsidP="00520721">
            <w:pPr>
              <w:ind w:left="144"/>
            </w:pPr>
            <w:r w:rsidRPr="00F2784E">
              <w:t>Analysis of covariance</w:t>
            </w:r>
          </w:p>
        </w:tc>
      </w:tr>
      <w:tr w:rsidR="00570FC6" w:rsidRPr="00FD119B" w14:paraId="4F62A308" w14:textId="77777777" w:rsidTr="00C35D17">
        <w:tc>
          <w:tcPr>
            <w:tcW w:w="1809" w:type="dxa"/>
          </w:tcPr>
          <w:p w14:paraId="2DDCDA22" w14:textId="77777777" w:rsidR="00570FC6" w:rsidRPr="00FD119B" w:rsidRDefault="00570FC6" w:rsidP="00520721">
            <w:pPr>
              <w:ind w:left="144" w:right="0"/>
            </w:pPr>
            <w:r>
              <w:t>ARTG</w:t>
            </w:r>
          </w:p>
        </w:tc>
        <w:tc>
          <w:tcPr>
            <w:tcW w:w="6911" w:type="dxa"/>
          </w:tcPr>
          <w:p w14:paraId="0CA920F9" w14:textId="77777777" w:rsidR="00570FC6" w:rsidRPr="00FD119B" w:rsidRDefault="00570FC6" w:rsidP="00520721">
            <w:pPr>
              <w:ind w:left="144" w:right="0"/>
            </w:pPr>
            <w:r w:rsidRPr="00460036">
              <w:t>Australian Register of Therapeutic Goods</w:t>
            </w:r>
          </w:p>
        </w:tc>
      </w:tr>
      <w:tr w:rsidR="00570FC6" w:rsidRPr="00FD119B" w14:paraId="1D9664D6" w14:textId="77777777" w:rsidTr="00C35D17">
        <w:tc>
          <w:tcPr>
            <w:tcW w:w="1809" w:type="dxa"/>
          </w:tcPr>
          <w:p w14:paraId="16155B0D" w14:textId="77777777" w:rsidR="00570FC6" w:rsidRDefault="00570FC6" w:rsidP="00520721">
            <w:pPr>
              <w:ind w:left="144"/>
            </w:pPr>
            <w:r>
              <w:t>ASA</w:t>
            </w:r>
          </w:p>
        </w:tc>
        <w:tc>
          <w:tcPr>
            <w:tcW w:w="6911" w:type="dxa"/>
          </w:tcPr>
          <w:p w14:paraId="4C52BFD6" w14:textId="77777777" w:rsidR="00570FC6" w:rsidRPr="00AD5F6C" w:rsidRDefault="00570FC6" w:rsidP="00520721">
            <w:pPr>
              <w:ind w:left="144"/>
            </w:pPr>
            <w:r>
              <w:t>Australia specific annex</w:t>
            </w:r>
          </w:p>
        </w:tc>
      </w:tr>
      <w:tr w:rsidR="00570FC6" w:rsidRPr="00FD119B" w14:paraId="6BD938BB" w14:textId="77777777" w:rsidTr="00C35D17">
        <w:tc>
          <w:tcPr>
            <w:tcW w:w="1809" w:type="dxa"/>
          </w:tcPr>
          <w:p w14:paraId="2DA73564" w14:textId="77777777" w:rsidR="00570FC6" w:rsidRPr="00FD119B" w:rsidRDefault="00570FC6" w:rsidP="00520721">
            <w:pPr>
              <w:ind w:left="144"/>
            </w:pPr>
            <w:r w:rsidRPr="00B10F8B">
              <w:t>AUC</w:t>
            </w:r>
          </w:p>
        </w:tc>
        <w:tc>
          <w:tcPr>
            <w:tcW w:w="6911" w:type="dxa"/>
          </w:tcPr>
          <w:p w14:paraId="02B81A65" w14:textId="77777777" w:rsidR="00570FC6" w:rsidRPr="00FD119B" w:rsidRDefault="00570FC6" w:rsidP="00520721">
            <w:pPr>
              <w:ind w:left="144"/>
            </w:pPr>
            <w:r>
              <w:t>Area under concentration time curve</w:t>
            </w:r>
          </w:p>
        </w:tc>
      </w:tr>
      <w:tr w:rsidR="00570FC6" w:rsidRPr="00FD119B" w14:paraId="0D4B0AD7" w14:textId="77777777" w:rsidTr="00C35D17">
        <w:tc>
          <w:tcPr>
            <w:tcW w:w="1809" w:type="dxa"/>
          </w:tcPr>
          <w:p w14:paraId="076245F1" w14:textId="77777777" w:rsidR="00570FC6" w:rsidRPr="00FD119B" w:rsidRDefault="00570FC6" w:rsidP="00520721">
            <w:pPr>
              <w:ind w:left="144"/>
            </w:pPr>
            <w:r>
              <w:t>AUC</w:t>
            </w:r>
            <w:r w:rsidRPr="00A20401">
              <w:rPr>
                <w:vertAlign w:val="subscript"/>
              </w:rPr>
              <w:t>0-24hr</w:t>
            </w:r>
          </w:p>
        </w:tc>
        <w:tc>
          <w:tcPr>
            <w:tcW w:w="6911" w:type="dxa"/>
          </w:tcPr>
          <w:p w14:paraId="6021D73C" w14:textId="07BBA726" w:rsidR="00570FC6" w:rsidRPr="00FD119B" w:rsidRDefault="00570FC6" w:rsidP="00520721">
            <w:pPr>
              <w:ind w:left="144"/>
            </w:pPr>
            <w:r>
              <w:t xml:space="preserve">Area under the concentration time curve </w:t>
            </w:r>
            <w:r w:rsidR="00520721">
              <w:t xml:space="preserve">from time zero to </w:t>
            </w:r>
            <w:r>
              <w:t xml:space="preserve"> 24</w:t>
            </w:r>
            <w:r w:rsidR="00520721">
              <w:t> </w:t>
            </w:r>
            <w:r>
              <w:t>hours</w:t>
            </w:r>
          </w:p>
        </w:tc>
      </w:tr>
      <w:tr w:rsidR="00570FC6" w:rsidRPr="00FD119B" w14:paraId="6FD58246" w14:textId="77777777" w:rsidTr="00C35D17">
        <w:tc>
          <w:tcPr>
            <w:tcW w:w="1809" w:type="dxa"/>
          </w:tcPr>
          <w:p w14:paraId="12EB9F1E" w14:textId="77777777" w:rsidR="00570FC6" w:rsidRPr="00FD119B" w:rsidRDefault="00570FC6" w:rsidP="00520721">
            <w:pPr>
              <w:ind w:left="144"/>
            </w:pPr>
            <w:r>
              <w:t>AusPAR</w:t>
            </w:r>
          </w:p>
        </w:tc>
        <w:tc>
          <w:tcPr>
            <w:tcW w:w="6911" w:type="dxa"/>
          </w:tcPr>
          <w:p w14:paraId="74440089" w14:textId="77777777" w:rsidR="00570FC6" w:rsidRPr="00FD119B" w:rsidRDefault="0095526D" w:rsidP="00520721">
            <w:pPr>
              <w:ind w:left="144"/>
            </w:pPr>
            <w:r w:rsidRPr="0095526D">
              <w:t>Aust</w:t>
            </w:r>
            <w:r>
              <w:t>ralian Public Assessment Report</w:t>
            </w:r>
          </w:p>
        </w:tc>
      </w:tr>
      <w:tr w:rsidR="00570FC6" w:rsidRPr="00FD119B" w14:paraId="096FE5E5" w14:textId="77777777" w:rsidTr="00C35D17">
        <w:tc>
          <w:tcPr>
            <w:tcW w:w="1809" w:type="dxa"/>
          </w:tcPr>
          <w:p w14:paraId="6CF3B708" w14:textId="77777777" w:rsidR="00570FC6" w:rsidRPr="00FD119B" w:rsidRDefault="00570FC6" w:rsidP="00520721">
            <w:pPr>
              <w:ind w:left="144"/>
            </w:pPr>
            <w:r>
              <w:t>CI</w:t>
            </w:r>
          </w:p>
        </w:tc>
        <w:tc>
          <w:tcPr>
            <w:tcW w:w="6911" w:type="dxa"/>
          </w:tcPr>
          <w:p w14:paraId="5CC194A2" w14:textId="77777777" w:rsidR="00570FC6" w:rsidRPr="00FD119B" w:rsidRDefault="00570FC6" w:rsidP="00520721">
            <w:pPr>
              <w:ind w:left="144"/>
            </w:pPr>
            <w:r>
              <w:t>Confidence interval</w:t>
            </w:r>
          </w:p>
        </w:tc>
      </w:tr>
      <w:tr w:rsidR="00570FC6" w:rsidRPr="00FD119B" w14:paraId="6EAEFE4D" w14:textId="77777777" w:rsidTr="00C35D17">
        <w:tc>
          <w:tcPr>
            <w:tcW w:w="1809" w:type="dxa"/>
          </w:tcPr>
          <w:p w14:paraId="24D329E8" w14:textId="77777777" w:rsidR="00570FC6" w:rsidRDefault="00570FC6" w:rsidP="00520721">
            <w:pPr>
              <w:ind w:left="144"/>
            </w:pPr>
            <w:r>
              <w:t>CMI</w:t>
            </w:r>
          </w:p>
        </w:tc>
        <w:tc>
          <w:tcPr>
            <w:tcW w:w="6911" w:type="dxa"/>
          </w:tcPr>
          <w:p w14:paraId="53FB6719" w14:textId="0233E90E" w:rsidR="00570FC6" w:rsidRPr="00AD5F6C" w:rsidRDefault="00570FC6" w:rsidP="00520721">
            <w:pPr>
              <w:ind w:left="144"/>
            </w:pPr>
            <w:r>
              <w:t xml:space="preserve">Consumer </w:t>
            </w:r>
            <w:r w:rsidR="00520721">
              <w:t>M</w:t>
            </w:r>
            <w:r>
              <w:t xml:space="preserve">edicines </w:t>
            </w:r>
            <w:r w:rsidR="00520721">
              <w:t>I</w:t>
            </w:r>
            <w:r>
              <w:t>nformation</w:t>
            </w:r>
          </w:p>
        </w:tc>
      </w:tr>
      <w:tr w:rsidR="00570FC6" w:rsidRPr="00FD119B" w14:paraId="0ED40FE0" w14:textId="77777777" w:rsidTr="00C35D17">
        <w:tc>
          <w:tcPr>
            <w:tcW w:w="1809" w:type="dxa"/>
          </w:tcPr>
          <w:p w14:paraId="4A5EB01B" w14:textId="77777777" w:rsidR="00570FC6" w:rsidRPr="00FD119B" w:rsidRDefault="00570FC6" w:rsidP="00520721">
            <w:pPr>
              <w:ind w:left="144"/>
            </w:pPr>
            <w:r>
              <w:t>COR-B</w:t>
            </w:r>
          </w:p>
        </w:tc>
        <w:tc>
          <w:tcPr>
            <w:tcW w:w="6911" w:type="dxa"/>
          </w:tcPr>
          <w:p w14:paraId="2D96D773" w14:textId="77777777" w:rsidR="00570FC6" w:rsidRPr="00FD119B" w:rsidRDefault="00570FC6" w:rsidP="00520721">
            <w:pPr>
              <w:ind w:left="144"/>
            </w:pPr>
            <w:r>
              <w:t>Comparable Overseas Regulator approach B</w:t>
            </w:r>
          </w:p>
        </w:tc>
      </w:tr>
      <w:tr w:rsidR="00570FC6" w:rsidRPr="00FD119B" w14:paraId="3F42B614" w14:textId="77777777" w:rsidTr="00C35D17">
        <w:tc>
          <w:tcPr>
            <w:tcW w:w="1809" w:type="dxa"/>
          </w:tcPr>
          <w:p w14:paraId="7871C795" w14:textId="77777777" w:rsidR="00570FC6" w:rsidRPr="00FD119B" w:rsidRDefault="00570FC6" w:rsidP="00520721">
            <w:pPr>
              <w:ind w:left="144"/>
            </w:pPr>
            <w:r>
              <w:t>cps</w:t>
            </w:r>
          </w:p>
        </w:tc>
        <w:tc>
          <w:tcPr>
            <w:tcW w:w="6911" w:type="dxa"/>
          </w:tcPr>
          <w:p w14:paraId="40029CB6" w14:textId="77777777" w:rsidR="00570FC6" w:rsidRPr="00FD119B" w:rsidRDefault="00570FC6" w:rsidP="00520721">
            <w:pPr>
              <w:ind w:left="144"/>
            </w:pPr>
            <w:r>
              <w:t>C</w:t>
            </w:r>
            <w:r w:rsidRPr="00FC2A1B">
              <w:t>entipoise</w:t>
            </w:r>
          </w:p>
        </w:tc>
      </w:tr>
      <w:tr w:rsidR="00570FC6" w:rsidRPr="00FD119B" w14:paraId="15B62441" w14:textId="77777777" w:rsidTr="00C35D17">
        <w:tc>
          <w:tcPr>
            <w:tcW w:w="1809" w:type="dxa"/>
          </w:tcPr>
          <w:p w14:paraId="7D4FED6F" w14:textId="77777777" w:rsidR="00570FC6" w:rsidRPr="00FD119B" w:rsidRDefault="00570FC6" w:rsidP="00520721">
            <w:pPr>
              <w:ind w:left="144"/>
            </w:pPr>
            <w:r>
              <w:t>C</w:t>
            </w:r>
            <w:r w:rsidRPr="00740249">
              <w:rPr>
                <w:vertAlign w:val="subscript"/>
              </w:rPr>
              <w:t>trough</w:t>
            </w:r>
          </w:p>
        </w:tc>
        <w:tc>
          <w:tcPr>
            <w:tcW w:w="6911" w:type="dxa"/>
          </w:tcPr>
          <w:p w14:paraId="7E54C929" w14:textId="77777777" w:rsidR="00570FC6" w:rsidRPr="00FD119B" w:rsidRDefault="00570FC6" w:rsidP="00520721">
            <w:pPr>
              <w:ind w:left="144"/>
            </w:pPr>
            <w:r>
              <w:t>T</w:t>
            </w:r>
            <w:r w:rsidRPr="00740249">
              <w:t>rough concentration</w:t>
            </w:r>
          </w:p>
        </w:tc>
      </w:tr>
      <w:tr w:rsidR="00570FC6" w:rsidRPr="00FD119B" w14:paraId="5F409029" w14:textId="77777777" w:rsidTr="00C35D17">
        <w:tc>
          <w:tcPr>
            <w:tcW w:w="1809" w:type="dxa"/>
          </w:tcPr>
          <w:p w14:paraId="07999CEC" w14:textId="77777777" w:rsidR="00570FC6" w:rsidRPr="00FD119B" w:rsidRDefault="00570FC6" w:rsidP="00520721">
            <w:pPr>
              <w:ind w:left="144"/>
            </w:pPr>
            <w:r>
              <w:t>CYP</w:t>
            </w:r>
          </w:p>
        </w:tc>
        <w:tc>
          <w:tcPr>
            <w:tcW w:w="6911" w:type="dxa"/>
          </w:tcPr>
          <w:p w14:paraId="2B25ABE7" w14:textId="56A4B900" w:rsidR="00570FC6" w:rsidRPr="00FD119B" w:rsidRDefault="00570FC6" w:rsidP="00520721">
            <w:pPr>
              <w:ind w:left="144"/>
            </w:pPr>
            <w:r>
              <w:t>C</w:t>
            </w:r>
            <w:r w:rsidRPr="00A84375">
              <w:t>ytochrome P450</w:t>
            </w:r>
            <w:r w:rsidR="00520721">
              <w:t xml:space="preserve"> system</w:t>
            </w:r>
          </w:p>
        </w:tc>
      </w:tr>
      <w:tr w:rsidR="00570FC6" w:rsidRPr="00FD119B" w14:paraId="5FE22B8B" w14:textId="77777777" w:rsidTr="00C35D17">
        <w:tc>
          <w:tcPr>
            <w:tcW w:w="1809" w:type="dxa"/>
          </w:tcPr>
          <w:p w14:paraId="4AE76D87" w14:textId="77777777" w:rsidR="00570FC6" w:rsidRDefault="00570FC6" w:rsidP="00520721">
            <w:pPr>
              <w:ind w:left="144"/>
            </w:pPr>
            <w:r>
              <w:t>DLP</w:t>
            </w:r>
          </w:p>
        </w:tc>
        <w:tc>
          <w:tcPr>
            <w:tcW w:w="6911" w:type="dxa"/>
          </w:tcPr>
          <w:p w14:paraId="2B61BED1" w14:textId="77777777" w:rsidR="00570FC6" w:rsidRPr="00AD5F6C" w:rsidRDefault="00570FC6" w:rsidP="00520721">
            <w:pPr>
              <w:ind w:left="144"/>
            </w:pPr>
            <w:r>
              <w:t>Data lock point</w:t>
            </w:r>
          </w:p>
        </w:tc>
      </w:tr>
      <w:tr w:rsidR="00570FC6" w:rsidRPr="00FD119B" w14:paraId="0F47539B" w14:textId="77777777" w:rsidTr="00C35D17">
        <w:tc>
          <w:tcPr>
            <w:tcW w:w="1809" w:type="dxa"/>
          </w:tcPr>
          <w:p w14:paraId="02AD689D" w14:textId="77777777" w:rsidR="00570FC6" w:rsidRPr="00FD119B" w:rsidRDefault="00570FC6" w:rsidP="00520721">
            <w:pPr>
              <w:ind w:left="144"/>
            </w:pPr>
            <w:r>
              <w:t>EMA</w:t>
            </w:r>
          </w:p>
        </w:tc>
        <w:tc>
          <w:tcPr>
            <w:tcW w:w="6911" w:type="dxa"/>
          </w:tcPr>
          <w:p w14:paraId="5192FED7" w14:textId="77777777" w:rsidR="00570FC6" w:rsidRPr="00FD119B" w:rsidRDefault="00570FC6" w:rsidP="00520721">
            <w:pPr>
              <w:ind w:left="144"/>
            </w:pPr>
            <w:r w:rsidRPr="00E82B80">
              <w:t>European Medicines Agency</w:t>
            </w:r>
            <w:r w:rsidR="00520721">
              <w:t xml:space="preserve"> (European Union)</w:t>
            </w:r>
          </w:p>
        </w:tc>
      </w:tr>
      <w:tr w:rsidR="00570FC6" w:rsidRPr="00FD119B" w14:paraId="32E3D400" w14:textId="77777777" w:rsidTr="00C35D17">
        <w:tc>
          <w:tcPr>
            <w:tcW w:w="1809" w:type="dxa"/>
          </w:tcPr>
          <w:p w14:paraId="3E5F0F17" w14:textId="77777777" w:rsidR="00570FC6" w:rsidRPr="00FD119B" w:rsidRDefault="00570FC6" w:rsidP="00520721">
            <w:pPr>
              <w:ind w:left="144"/>
            </w:pPr>
            <w:r>
              <w:t>EU</w:t>
            </w:r>
          </w:p>
        </w:tc>
        <w:tc>
          <w:tcPr>
            <w:tcW w:w="6911" w:type="dxa"/>
          </w:tcPr>
          <w:p w14:paraId="5FD2BE85" w14:textId="77777777" w:rsidR="00570FC6" w:rsidRPr="00FD119B" w:rsidRDefault="00570FC6" w:rsidP="00520721">
            <w:pPr>
              <w:ind w:left="144"/>
            </w:pPr>
            <w:r>
              <w:t>European Union</w:t>
            </w:r>
          </w:p>
        </w:tc>
      </w:tr>
      <w:tr w:rsidR="00570FC6" w:rsidRPr="00FD119B" w14:paraId="19E7F233" w14:textId="77777777" w:rsidTr="00C35D17">
        <w:tc>
          <w:tcPr>
            <w:tcW w:w="1809" w:type="dxa"/>
          </w:tcPr>
          <w:p w14:paraId="6948DC1D" w14:textId="77777777" w:rsidR="00570FC6" w:rsidRDefault="00570FC6" w:rsidP="00520721">
            <w:pPr>
              <w:ind w:left="144"/>
            </w:pPr>
            <w:r>
              <w:t>FDA</w:t>
            </w:r>
          </w:p>
        </w:tc>
        <w:tc>
          <w:tcPr>
            <w:tcW w:w="6911" w:type="dxa"/>
          </w:tcPr>
          <w:p w14:paraId="2B3135C1" w14:textId="4F30E8BE" w:rsidR="00570FC6" w:rsidRPr="00AD5F6C" w:rsidRDefault="00570FC6" w:rsidP="00520721">
            <w:pPr>
              <w:ind w:left="144"/>
            </w:pPr>
            <w:r w:rsidRPr="00D36E03">
              <w:t>Food and Drug Administration</w:t>
            </w:r>
            <w:r>
              <w:t xml:space="preserve"> </w:t>
            </w:r>
            <w:r w:rsidR="00520721">
              <w:t>(</w:t>
            </w:r>
            <w:r>
              <w:t>United States of America</w:t>
            </w:r>
            <w:r w:rsidR="00520721">
              <w:t>)</w:t>
            </w:r>
          </w:p>
        </w:tc>
      </w:tr>
      <w:tr w:rsidR="00570FC6" w:rsidRPr="00FD119B" w14:paraId="36AD3633" w14:textId="77777777" w:rsidTr="00C35D17">
        <w:tc>
          <w:tcPr>
            <w:tcW w:w="1809" w:type="dxa"/>
          </w:tcPr>
          <w:p w14:paraId="72435422" w14:textId="77777777" w:rsidR="00570FC6" w:rsidRPr="00FD119B" w:rsidRDefault="00570FC6" w:rsidP="00520721">
            <w:pPr>
              <w:ind w:left="144"/>
            </w:pPr>
            <w:r>
              <w:t>GLP</w:t>
            </w:r>
          </w:p>
        </w:tc>
        <w:tc>
          <w:tcPr>
            <w:tcW w:w="6911" w:type="dxa"/>
          </w:tcPr>
          <w:p w14:paraId="1BFF92BE" w14:textId="18AF8782" w:rsidR="00570FC6" w:rsidRPr="00FD119B" w:rsidRDefault="00570FC6" w:rsidP="00520721">
            <w:pPr>
              <w:ind w:left="144"/>
            </w:pPr>
            <w:r>
              <w:t xml:space="preserve">Good </w:t>
            </w:r>
            <w:r w:rsidR="00520721">
              <w:t>L</w:t>
            </w:r>
            <w:r>
              <w:t xml:space="preserve">aboratory </w:t>
            </w:r>
            <w:r w:rsidR="00520721">
              <w:t>P</w:t>
            </w:r>
            <w:r>
              <w:t>ractice</w:t>
            </w:r>
          </w:p>
        </w:tc>
      </w:tr>
      <w:tr w:rsidR="00570FC6" w:rsidRPr="00FD119B" w14:paraId="18720B4B" w14:textId="77777777" w:rsidTr="00C35D17">
        <w:tc>
          <w:tcPr>
            <w:tcW w:w="1809" w:type="dxa"/>
          </w:tcPr>
          <w:p w14:paraId="2E051EB1" w14:textId="77777777" w:rsidR="00570FC6" w:rsidRDefault="00570FC6" w:rsidP="00520721">
            <w:pPr>
              <w:ind w:left="144"/>
            </w:pPr>
            <w:r>
              <w:t>GVP</w:t>
            </w:r>
          </w:p>
        </w:tc>
        <w:tc>
          <w:tcPr>
            <w:tcW w:w="6911" w:type="dxa"/>
          </w:tcPr>
          <w:p w14:paraId="15772FD0" w14:textId="77777777" w:rsidR="00570FC6" w:rsidRDefault="00570FC6" w:rsidP="00520721">
            <w:pPr>
              <w:ind w:left="144"/>
            </w:pPr>
            <w:r>
              <w:t>Good pharmacovigilance practices</w:t>
            </w:r>
          </w:p>
        </w:tc>
      </w:tr>
      <w:tr w:rsidR="00570FC6" w:rsidRPr="00FD119B" w14:paraId="23325A21" w14:textId="77777777" w:rsidTr="00C35D17">
        <w:tc>
          <w:tcPr>
            <w:tcW w:w="1809" w:type="dxa"/>
          </w:tcPr>
          <w:p w14:paraId="6A27EFB8" w14:textId="77777777" w:rsidR="00570FC6" w:rsidRPr="00FD119B" w:rsidRDefault="00570FC6" w:rsidP="00520721">
            <w:pPr>
              <w:ind w:left="144"/>
            </w:pPr>
            <w:r>
              <w:t>hERG</w:t>
            </w:r>
          </w:p>
        </w:tc>
        <w:tc>
          <w:tcPr>
            <w:tcW w:w="6911" w:type="dxa"/>
          </w:tcPr>
          <w:p w14:paraId="19245DE2" w14:textId="77777777" w:rsidR="00570FC6" w:rsidRPr="00FD119B" w:rsidRDefault="00570FC6" w:rsidP="00520721">
            <w:pPr>
              <w:ind w:left="144"/>
            </w:pPr>
            <w:r>
              <w:t>H</w:t>
            </w:r>
            <w:r w:rsidRPr="00A84375">
              <w:t>uman Ether-à-go-go-Related Gene</w:t>
            </w:r>
          </w:p>
        </w:tc>
      </w:tr>
      <w:tr w:rsidR="00570FC6" w:rsidRPr="00FD119B" w14:paraId="611EBF46" w14:textId="77777777" w:rsidTr="00C35D17">
        <w:tc>
          <w:tcPr>
            <w:tcW w:w="1809" w:type="dxa"/>
          </w:tcPr>
          <w:p w14:paraId="5DB87236" w14:textId="77777777" w:rsidR="00570FC6" w:rsidRPr="00FD119B" w:rsidRDefault="00570FC6" w:rsidP="00520721">
            <w:pPr>
              <w:ind w:left="144"/>
            </w:pPr>
            <w:r>
              <w:t>HPLC</w:t>
            </w:r>
          </w:p>
        </w:tc>
        <w:tc>
          <w:tcPr>
            <w:tcW w:w="6911" w:type="dxa"/>
          </w:tcPr>
          <w:p w14:paraId="080273BD" w14:textId="77777777" w:rsidR="00570FC6" w:rsidRPr="00FD119B" w:rsidRDefault="00570FC6" w:rsidP="00520721">
            <w:pPr>
              <w:ind w:left="144"/>
            </w:pPr>
            <w:r>
              <w:t>H</w:t>
            </w:r>
            <w:r w:rsidRPr="001B62C1">
              <w:t>igh performance liquid chromatography</w:t>
            </w:r>
          </w:p>
        </w:tc>
      </w:tr>
      <w:tr w:rsidR="00570FC6" w:rsidRPr="00FD119B" w14:paraId="21BD9FC6" w14:textId="77777777" w:rsidTr="00C35D17">
        <w:tc>
          <w:tcPr>
            <w:tcW w:w="1809" w:type="dxa"/>
          </w:tcPr>
          <w:p w14:paraId="739CC14F" w14:textId="77777777" w:rsidR="00570FC6" w:rsidRPr="00FD119B" w:rsidRDefault="00570FC6" w:rsidP="00520721">
            <w:pPr>
              <w:ind w:left="144"/>
            </w:pPr>
            <w:r>
              <w:t>ICH</w:t>
            </w:r>
          </w:p>
        </w:tc>
        <w:tc>
          <w:tcPr>
            <w:tcW w:w="6911" w:type="dxa"/>
          </w:tcPr>
          <w:p w14:paraId="5FB0EE94" w14:textId="77777777" w:rsidR="00570FC6" w:rsidRPr="00FD119B" w:rsidRDefault="00570FC6" w:rsidP="00520721">
            <w:pPr>
              <w:ind w:left="144"/>
            </w:pPr>
            <w:r w:rsidRPr="00A90115">
              <w:t xml:space="preserve">International Council for Harmonisation </w:t>
            </w:r>
            <w:r w:rsidR="00520721">
              <w:t>(</w:t>
            </w:r>
            <w:r w:rsidRPr="00A90115">
              <w:t>of Technical Requirements for Pharmaceuticals for Human Use</w:t>
            </w:r>
            <w:r w:rsidR="00520721">
              <w:t>)</w:t>
            </w:r>
          </w:p>
        </w:tc>
      </w:tr>
      <w:tr w:rsidR="00570FC6" w:rsidRPr="00FD119B" w14:paraId="33B1A418" w14:textId="77777777" w:rsidTr="00C35D17">
        <w:tc>
          <w:tcPr>
            <w:tcW w:w="1809" w:type="dxa"/>
          </w:tcPr>
          <w:p w14:paraId="02A73A03" w14:textId="77777777" w:rsidR="00570FC6" w:rsidRPr="00FD119B" w:rsidRDefault="00570FC6" w:rsidP="00520721">
            <w:pPr>
              <w:ind w:left="144"/>
            </w:pPr>
            <w:r>
              <w:t>IGA</w:t>
            </w:r>
          </w:p>
        </w:tc>
        <w:tc>
          <w:tcPr>
            <w:tcW w:w="6911" w:type="dxa"/>
          </w:tcPr>
          <w:p w14:paraId="646938B7" w14:textId="77777777" w:rsidR="00570FC6" w:rsidRPr="00FD119B" w:rsidRDefault="00570FC6" w:rsidP="00520721">
            <w:pPr>
              <w:ind w:left="144"/>
            </w:pPr>
            <w:r w:rsidRPr="00F2784E">
              <w:t>Investigator Global Assessment</w:t>
            </w:r>
          </w:p>
        </w:tc>
      </w:tr>
      <w:tr w:rsidR="00570FC6" w:rsidRPr="00FD119B" w14:paraId="2E507F40" w14:textId="77777777" w:rsidTr="00C35D17">
        <w:tc>
          <w:tcPr>
            <w:tcW w:w="1809" w:type="dxa"/>
          </w:tcPr>
          <w:p w14:paraId="40F0EE82" w14:textId="77777777" w:rsidR="00570FC6" w:rsidRPr="00FD119B" w:rsidRDefault="00570FC6" w:rsidP="00520721">
            <w:pPr>
              <w:ind w:left="144"/>
            </w:pPr>
            <w:r>
              <w:t>ITT</w:t>
            </w:r>
          </w:p>
        </w:tc>
        <w:tc>
          <w:tcPr>
            <w:tcW w:w="6911" w:type="dxa"/>
          </w:tcPr>
          <w:p w14:paraId="75FAB722" w14:textId="77777777" w:rsidR="00570FC6" w:rsidRPr="00FD119B" w:rsidRDefault="00570FC6" w:rsidP="00520721">
            <w:pPr>
              <w:ind w:left="144"/>
            </w:pPr>
            <w:r>
              <w:t>Intent to treat</w:t>
            </w:r>
          </w:p>
        </w:tc>
      </w:tr>
      <w:tr w:rsidR="00570FC6" w:rsidRPr="00FD119B" w14:paraId="7948266C" w14:textId="77777777" w:rsidTr="00C35D17">
        <w:tc>
          <w:tcPr>
            <w:tcW w:w="1809" w:type="dxa"/>
          </w:tcPr>
          <w:p w14:paraId="612E834E" w14:textId="77777777" w:rsidR="00570FC6" w:rsidRPr="00FD119B" w:rsidRDefault="00570FC6" w:rsidP="00520721">
            <w:pPr>
              <w:ind w:left="144"/>
            </w:pPr>
            <w:r>
              <w:t>ITTT</w:t>
            </w:r>
          </w:p>
        </w:tc>
        <w:tc>
          <w:tcPr>
            <w:tcW w:w="6911" w:type="dxa"/>
          </w:tcPr>
          <w:p w14:paraId="507024FF" w14:textId="6B05576D" w:rsidR="00570FC6" w:rsidRPr="00FD119B" w:rsidRDefault="00570FC6" w:rsidP="00520721">
            <w:pPr>
              <w:ind w:left="144"/>
            </w:pPr>
            <w:r>
              <w:t>I</w:t>
            </w:r>
            <w:r w:rsidRPr="00F2784E">
              <w:t>ntent</w:t>
            </w:r>
            <w:r w:rsidR="00520721">
              <w:t xml:space="preserve"> </w:t>
            </w:r>
            <w:r w:rsidRPr="00F2784E">
              <w:t>to</w:t>
            </w:r>
            <w:r w:rsidR="00520721">
              <w:t xml:space="preserve"> </w:t>
            </w:r>
            <w:r w:rsidRPr="00F2784E">
              <w:t>treat on the trunk</w:t>
            </w:r>
          </w:p>
        </w:tc>
      </w:tr>
      <w:tr w:rsidR="00570FC6" w:rsidRPr="00FD119B" w14:paraId="2F636742" w14:textId="77777777" w:rsidTr="00C35D17">
        <w:tc>
          <w:tcPr>
            <w:tcW w:w="1809" w:type="dxa"/>
          </w:tcPr>
          <w:p w14:paraId="5FF6EAA1" w14:textId="77777777" w:rsidR="00570FC6" w:rsidRPr="00FD119B" w:rsidRDefault="00570FC6" w:rsidP="00520721">
            <w:pPr>
              <w:ind w:left="144"/>
            </w:pPr>
            <w:r>
              <w:t>IV</w:t>
            </w:r>
          </w:p>
        </w:tc>
        <w:tc>
          <w:tcPr>
            <w:tcW w:w="6911" w:type="dxa"/>
          </w:tcPr>
          <w:p w14:paraId="1E9403D3" w14:textId="77777777" w:rsidR="00570FC6" w:rsidRPr="00FD119B" w:rsidRDefault="00570FC6" w:rsidP="00520721">
            <w:pPr>
              <w:ind w:left="144"/>
            </w:pPr>
            <w:r w:rsidRPr="00A84375">
              <w:t>Intravenous</w:t>
            </w:r>
          </w:p>
        </w:tc>
      </w:tr>
      <w:tr w:rsidR="00570FC6" w:rsidRPr="00FD119B" w14:paraId="4CFF3C2D" w14:textId="77777777" w:rsidTr="00C35D17">
        <w:tc>
          <w:tcPr>
            <w:tcW w:w="1809" w:type="dxa"/>
          </w:tcPr>
          <w:p w14:paraId="137D0BE5" w14:textId="77777777" w:rsidR="00570FC6" w:rsidRPr="00FD119B" w:rsidRDefault="00570FC6" w:rsidP="00520721">
            <w:pPr>
              <w:ind w:left="144"/>
            </w:pPr>
            <w:r>
              <w:t>LC/MS/MS</w:t>
            </w:r>
          </w:p>
        </w:tc>
        <w:tc>
          <w:tcPr>
            <w:tcW w:w="6911" w:type="dxa"/>
          </w:tcPr>
          <w:p w14:paraId="3F3E1D85" w14:textId="77777777" w:rsidR="00570FC6" w:rsidRPr="00FD119B" w:rsidRDefault="00570FC6" w:rsidP="00520721">
            <w:pPr>
              <w:ind w:left="144"/>
            </w:pPr>
            <w:r>
              <w:t>Tandem mass spectrometry</w:t>
            </w:r>
          </w:p>
        </w:tc>
      </w:tr>
      <w:tr w:rsidR="00570FC6" w:rsidRPr="00FD119B" w14:paraId="771158AE" w14:textId="77777777" w:rsidTr="00C35D17">
        <w:tc>
          <w:tcPr>
            <w:tcW w:w="1809" w:type="dxa"/>
          </w:tcPr>
          <w:p w14:paraId="76B46169" w14:textId="77777777" w:rsidR="00570FC6" w:rsidRPr="00FD119B" w:rsidRDefault="00570FC6" w:rsidP="00520721">
            <w:pPr>
              <w:ind w:left="144"/>
            </w:pPr>
            <w:r>
              <w:t>LOQ</w:t>
            </w:r>
          </w:p>
        </w:tc>
        <w:tc>
          <w:tcPr>
            <w:tcW w:w="6911" w:type="dxa"/>
          </w:tcPr>
          <w:p w14:paraId="0109FBE6" w14:textId="77777777" w:rsidR="00570FC6" w:rsidRPr="00FD119B" w:rsidRDefault="00570FC6" w:rsidP="00520721">
            <w:pPr>
              <w:ind w:left="144"/>
            </w:pPr>
            <w:r>
              <w:t>Limit of quantification</w:t>
            </w:r>
          </w:p>
        </w:tc>
      </w:tr>
      <w:tr w:rsidR="00570FC6" w:rsidRPr="00FD119B" w14:paraId="12CF4645" w14:textId="77777777" w:rsidTr="00C35D17">
        <w:tc>
          <w:tcPr>
            <w:tcW w:w="1809" w:type="dxa"/>
          </w:tcPr>
          <w:p w14:paraId="6F83F8E8" w14:textId="77777777" w:rsidR="00570FC6" w:rsidRPr="00FD119B" w:rsidRDefault="00570FC6" w:rsidP="00520721">
            <w:pPr>
              <w:ind w:left="144"/>
            </w:pPr>
            <w:r>
              <w:t>LS</w:t>
            </w:r>
          </w:p>
        </w:tc>
        <w:tc>
          <w:tcPr>
            <w:tcW w:w="6911" w:type="dxa"/>
          </w:tcPr>
          <w:p w14:paraId="34F0BEAA" w14:textId="77777777" w:rsidR="00570FC6" w:rsidRPr="00FD119B" w:rsidRDefault="00570FC6" w:rsidP="00520721">
            <w:pPr>
              <w:ind w:left="144"/>
            </w:pPr>
            <w:r>
              <w:t>Least squares</w:t>
            </w:r>
          </w:p>
        </w:tc>
      </w:tr>
      <w:tr w:rsidR="00570FC6" w:rsidRPr="00FD119B" w14:paraId="646BAF46" w14:textId="77777777" w:rsidTr="00C35D17">
        <w:tc>
          <w:tcPr>
            <w:tcW w:w="1809" w:type="dxa"/>
          </w:tcPr>
          <w:p w14:paraId="34C7759F" w14:textId="77777777" w:rsidR="00570FC6" w:rsidRPr="00FD119B" w:rsidRDefault="00570FC6" w:rsidP="00520721">
            <w:pPr>
              <w:ind w:left="144"/>
            </w:pPr>
            <w:r>
              <w:t>Max</w:t>
            </w:r>
          </w:p>
        </w:tc>
        <w:tc>
          <w:tcPr>
            <w:tcW w:w="6911" w:type="dxa"/>
          </w:tcPr>
          <w:p w14:paraId="62F82336" w14:textId="77777777" w:rsidR="00570FC6" w:rsidRPr="00FD119B" w:rsidRDefault="00570FC6" w:rsidP="00520721">
            <w:pPr>
              <w:ind w:left="144"/>
            </w:pPr>
            <w:r>
              <w:t>Maximum</w:t>
            </w:r>
          </w:p>
        </w:tc>
      </w:tr>
      <w:tr w:rsidR="00570FC6" w:rsidRPr="00FD119B" w14:paraId="68727056" w14:textId="77777777" w:rsidTr="00C35D17">
        <w:tc>
          <w:tcPr>
            <w:tcW w:w="1809" w:type="dxa"/>
          </w:tcPr>
          <w:p w14:paraId="122FF669" w14:textId="77777777" w:rsidR="00570FC6" w:rsidRPr="00FD119B" w:rsidRDefault="00570FC6" w:rsidP="00520721">
            <w:pPr>
              <w:ind w:left="144"/>
            </w:pPr>
            <w:r>
              <w:t>Min</w:t>
            </w:r>
          </w:p>
        </w:tc>
        <w:tc>
          <w:tcPr>
            <w:tcW w:w="6911" w:type="dxa"/>
          </w:tcPr>
          <w:p w14:paraId="550CD5C9" w14:textId="77777777" w:rsidR="00570FC6" w:rsidRPr="00FD119B" w:rsidRDefault="00570FC6" w:rsidP="00520721">
            <w:pPr>
              <w:ind w:left="144"/>
            </w:pPr>
            <w:r>
              <w:t>Minimum</w:t>
            </w:r>
          </w:p>
        </w:tc>
      </w:tr>
      <w:tr w:rsidR="00570FC6" w:rsidRPr="00FD119B" w14:paraId="745ED9B9" w14:textId="77777777" w:rsidTr="00C35D17">
        <w:tc>
          <w:tcPr>
            <w:tcW w:w="1809" w:type="dxa"/>
          </w:tcPr>
          <w:p w14:paraId="094C77CD" w14:textId="77777777" w:rsidR="00570FC6" w:rsidRPr="00FD119B" w:rsidRDefault="00570FC6" w:rsidP="00520721">
            <w:pPr>
              <w:ind w:left="144"/>
            </w:pPr>
            <w:r>
              <w:t>NOAEL</w:t>
            </w:r>
          </w:p>
        </w:tc>
        <w:tc>
          <w:tcPr>
            <w:tcW w:w="6911" w:type="dxa"/>
          </w:tcPr>
          <w:p w14:paraId="559C9DCE" w14:textId="77777777" w:rsidR="00570FC6" w:rsidRPr="00FD119B" w:rsidRDefault="00570FC6" w:rsidP="00520721">
            <w:pPr>
              <w:ind w:left="144"/>
            </w:pPr>
            <w:r>
              <w:t>No observed adverse effect l</w:t>
            </w:r>
            <w:r w:rsidRPr="001B62C1">
              <w:t>evel</w:t>
            </w:r>
          </w:p>
        </w:tc>
      </w:tr>
      <w:tr w:rsidR="00570FC6" w:rsidRPr="00FD119B" w14:paraId="03A09D04" w14:textId="77777777" w:rsidTr="00C35D17">
        <w:tc>
          <w:tcPr>
            <w:tcW w:w="1809" w:type="dxa"/>
          </w:tcPr>
          <w:p w14:paraId="75D39201" w14:textId="77777777" w:rsidR="00570FC6" w:rsidRPr="00FD119B" w:rsidRDefault="00570FC6" w:rsidP="00520721">
            <w:pPr>
              <w:ind w:left="144"/>
            </w:pPr>
            <w:r>
              <w:t>PBPK</w:t>
            </w:r>
          </w:p>
        </w:tc>
        <w:tc>
          <w:tcPr>
            <w:tcW w:w="6911" w:type="dxa"/>
          </w:tcPr>
          <w:p w14:paraId="50951DAF" w14:textId="77777777" w:rsidR="00570FC6" w:rsidRPr="00FD119B" w:rsidRDefault="00570FC6" w:rsidP="00520721">
            <w:pPr>
              <w:ind w:left="144"/>
            </w:pPr>
            <w:r w:rsidRPr="00740249">
              <w:t>Physiologically based pharmacokinetic</w:t>
            </w:r>
            <w:r w:rsidR="00520721">
              <w:t>(s)</w:t>
            </w:r>
          </w:p>
        </w:tc>
      </w:tr>
      <w:tr w:rsidR="00570FC6" w:rsidRPr="00FD119B" w14:paraId="60439B4A" w14:textId="77777777" w:rsidTr="00C35D17">
        <w:tc>
          <w:tcPr>
            <w:tcW w:w="1809" w:type="dxa"/>
          </w:tcPr>
          <w:p w14:paraId="43B45F25" w14:textId="77777777" w:rsidR="00570FC6" w:rsidRPr="00FD119B" w:rsidRDefault="00570FC6" w:rsidP="00520721">
            <w:pPr>
              <w:ind w:left="144"/>
            </w:pPr>
            <w:r>
              <w:t>PGA</w:t>
            </w:r>
          </w:p>
        </w:tc>
        <w:tc>
          <w:tcPr>
            <w:tcW w:w="6911" w:type="dxa"/>
          </w:tcPr>
          <w:p w14:paraId="79B2ED39" w14:textId="77777777" w:rsidR="00570FC6" w:rsidRPr="00FD119B" w:rsidRDefault="00570FC6" w:rsidP="00520721">
            <w:pPr>
              <w:ind w:left="144"/>
            </w:pPr>
            <w:r w:rsidRPr="00FB01EE">
              <w:t>Physician Global Assessment</w:t>
            </w:r>
          </w:p>
        </w:tc>
      </w:tr>
      <w:tr w:rsidR="00570FC6" w:rsidRPr="00FD119B" w14:paraId="19506FD6" w14:textId="77777777" w:rsidTr="00C35D17">
        <w:tc>
          <w:tcPr>
            <w:tcW w:w="1809" w:type="dxa"/>
          </w:tcPr>
          <w:p w14:paraId="1CA96231" w14:textId="77777777" w:rsidR="00570FC6" w:rsidRPr="00FD119B" w:rsidRDefault="00570FC6" w:rsidP="00520721">
            <w:pPr>
              <w:ind w:left="144"/>
            </w:pPr>
            <w:r>
              <w:t>PI</w:t>
            </w:r>
          </w:p>
        </w:tc>
        <w:tc>
          <w:tcPr>
            <w:tcW w:w="6911" w:type="dxa"/>
          </w:tcPr>
          <w:p w14:paraId="2928B264" w14:textId="77777777" w:rsidR="00570FC6" w:rsidRPr="00FD119B" w:rsidRDefault="00570FC6" w:rsidP="00520721">
            <w:pPr>
              <w:ind w:left="144"/>
            </w:pPr>
            <w:r>
              <w:t>Product Information</w:t>
            </w:r>
          </w:p>
        </w:tc>
      </w:tr>
      <w:tr w:rsidR="00570FC6" w:rsidRPr="00FD119B" w14:paraId="1156083D" w14:textId="77777777" w:rsidTr="00C35D17">
        <w:tc>
          <w:tcPr>
            <w:tcW w:w="1809" w:type="dxa"/>
          </w:tcPr>
          <w:p w14:paraId="3DDF1F7D" w14:textId="77777777" w:rsidR="00570FC6" w:rsidRPr="00FD119B" w:rsidRDefault="00570FC6" w:rsidP="00520721">
            <w:pPr>
              <w:ind w:left="144"/>
            </w:pPr>
            <w:r>
              <w:t>PK</w:t>
            </w:r>
          </w:p>
        </w:tc>
        <w:tc>
          <w:tcPr>
            <w:tcW w:w="6911" w:type="dxa"/>
          </w:tcPr>
          <w:p w14:paraId="33C7C179" w14:textId="510B4F4A" w:rsidR="00570FC6" w:rsidRPr="00FD119B" w:rsidRDefault="00570FC6" w:rsidP="00520721">
            <w:pPr>
              <w:ind w:left="144"/>
            </w:pPr>
            <w:r>
              <w:t>P</w:t>
            </w:r>
            <w:r w:rsidRPr="00740249">
              <w:t>harmacokinetic</w:t>
            </w:r>
            <w:r>
              <w:t>(</w:t>
            </w:r>
            <w:r w:rsidRPr="00740249">
              <w:t>s</w:t>
            </w:r>
            <w:r>
              <w:t>)</w:t>
            </w:r>
          </w:p>
        </w:tc>
      </w:tr>
      <w:tr w:rsidR="00570FC6" w:rsidRPr="00FD119B" w14:paraId="177DDAC7" w14:textId="77777777" w:rsidTr="00C35D17">
        <w:tc>
          <w:tcPr>
            <w:tcW w:w="1809" w:type="dxa"/>
          </w:tcPr>
          <w:p w14:paraId="2C86D85D" w14:textId="77777777" w:rsidR="00570FC6" w:rsidRPr="00FD119B" w:rsidRDefault="00570FC6" w:rsidP="00520721">
            <w:pPr>
              <w:ind w:left="144"/>
            </w:pPr>
            <w:r>
              <w:t>PO</w:t>
            </w:r>
          </w:p>
        </w:tc>
        <w:tc>
          <w:tcPr>
            <w:tcW w:w="6911" w:type="dxa"/>
          </w:tcPr>
          <w:p w14:paraId="4C273735" w14:textId="16A802A5" w:rsidR="00570FC6" w:rsidRPr="00520721" w:rsidRDefault="00570FC6" w:rsidP="00520721">
            <w:pPr>
              <w:ind w:left="144"/>
            </w:pPr>
            <w:r>
              <w:t xml:space="preserve">Oral </w:t>
            </w:r>
            <w:r w:rsidR="00520721">
              <w:t>(</w:t>
            </w:r>
            <w:r>
              <w:t>Latin</w:t>
            </w:r>
            <w:r w:rsidR="00520721">
              <w:t xml:space="preserve">: </w:t>
            </w:r>
            <w:r>
              <w:rPr>
                <w:i/>
              </w:rPr>
              <w:t>p</w:t>
            </w:r>
            <w:r w:rsidRPr="00A84375">
              <w:rPr>
                <w:i/>
              </w:rPr>
              <w:t>er os</w:t>
            </w:r>
            <w:r w:rsidR="00520721">
              <w:t>)</w:t>
            </w:r>
          </w:p>
        </w:tc>
      </w:tr>
      <w:tr w:rsidR="00570FC6" w:rsidRPr="00FD119B" w14:paraId="02735209" w14:textId="77777777" w:rsidTr="00C35D17">
        <w:tc>
          <w:tcPr>
            <w:tcW w:w="1809" w:type="dxa"/>
          </w:tcPr>
          <w:p w14:paraId="523EB4B2" w14:textId="42BC78E1" w:rsidR="00570FC6" w:rsidRDefault="00570FC6" w:rsidP="00520721">
            <w:pPr>
              <w:ind w:left="144"/>
            </w:pPr>
            <w:r>
              <w:t>PSUR</w:t>
            </w:r>
          </w:p>
        </w:tc>
        <w:tc>
          <w:tcPr>
            <w:tcW w:w="6911" w:type="dxa"/>
          </w:tcPr>
          <w:p w14:paraId="4AA6F78A" w14:textId="2523CE1A" w:rsidR="00570FC6" w:rsidRPr="00AD5F6C" w:rsidRDefault="00570FC6" w:rsidP="00520721">
            <w:pPr>
              <w:ind w:left="144"/>
            </w:pPr>
            <w:r>
              <w:t>Periodic safety update report</w:t>
            </w:r>
          </w:p>
        </w:tc>
      </w:tr>
      <w:tr w:rsidR="00570FC6" w:rsidRPr="00FD119B" w14:paraId="64E62238" w14:textId="77777777" w:rsidTr="00C35D17">
        <w:tc>
          <w:tcPr>
            <w:tcW w:w="1809" w:type="dxa"/>
          </w:tcPr>
          <w:p w14:paraId="1D1EE223" w14:textId="77777777" w:rsidR="00570FC6" w:rsidRDefault="00570FC6" w:rsidP="00520721">
            <w:pPr>
              <w:ind w:left="144"/>
            </w:pPr>
            <w:r>
              <w:t>PT</w:t>
            </w:r>
          </w:p>
        </w:tc>
        <w:tc>
          <w:tcPr>
            <w:tcW w:w="6911" w:type="dxa"/>
          </w:tcPr>
          <w:p w14:paraId="44D61B67" w14:textId="2EB10E9F" w:rsidR="00570FC6" w:rsidRPr="00AD5F6C" w:rsidRDefault="00570FC6" w:rsidP="00520721">
            <w:pPr>
              <w:ind w:left="144"/>
            </w:pPr>
            <w:r>
              <w:t xml:space="preserve">Preferred </w:t>
            </w:r>
            <w:r w:rsidR="00520721">
              <w:t>T</w:t>
            </w:r>
            <w:r>
              <w:t>erm</w:t>
            </w:r>
          </w:p>
        </w:tc>
      </w:tr>
      <w:tr w:rsidR="00570FC6" w:rsidRPr="00FD119B" w14:paraId="5EAAF001" w14:textId="77777777" w:rsidTr="00C35D17">
        <w:tc>
          <w:tcPr>
            <w:tcW w:w="1809" w:type="dxa"/>
          </w:tcPr>
          <w:p w14:paraId="6BBBBC72" w14:textId="77777777" w:rsidR="00570FC6" w:rsidRPr="00FD119B" w:rsidRDefault="00570FC6" w:rsidP="00520721">
            <w:pPr>
              <w:ind w:left="144"/>
            </w:pPr>
            <w:r>
              <w:t>RAR</w:t>
            </w:r>
          </w:p>
        </w:tc>
        <w:tc>
          <w:tcPr>
            <w:tcW w:w="6911" w:type="dxa"/>
          </w:tcPr>
          <w:p w14:paraId="1C395628" w14:textId="77777777" w:rsidR="00570FC6" w:rsidRPr="00FD119B" w:rsidRDefault="00570FC6" w:rsidP="00520721">
            <w:pPr>
              <w:ind w:left="144"/>
            </w:pPr>
            <w:r>
              <w:t>Retinoic acid receptor</w:t>
            </w:r>
          </w:p>
        </w:tc>
      </w:tr>
      <w:tr w:rsidR="00175B08" w:rsidRPr="00FD119B" w14:paraId="24AB7BA4" w14:textId="77777777" w:rsidTr="00C35D17">
        <w:tc>
          <w:tcPr>
            <w:tcW w:w="1809" w:type="dxa"/>
          </w:tcPr>
          <w:p w14:paraId="5EC64E66" w14:textId="77777777" w:rsidR="00175B08" w:rsidRDefault="00175B08" w:rsidP="00520721">
            <w:pPr>
              <w:ind w:left="144"/>
            </w:pPr>
            <w:r>
              <w:t>RAR α</w:t>
            </w:r>
          </w:p>
        </w:tc>
        <w:tc>
          <w:tcPr>
            <w:tcW w:w="6911" w:type="dxa"/>
          </w:tcPr>
          <w:p w14:paraId="78BA7871" w14:textId="77777777" w:rsidR="00175B08" w:rsidRDefault="00175B08" w:rsidP="00520721">
            <w:pPr>
              <w:ind w:left="144"/>
            </w:pPr>
            <w:r>
              <w:t>Retinoic acid receptor alpha</w:t>
            </w:r>
          </w:p>
        </w:tc>
      </w:tr>
      <w:tr w:rsidR="00175B08" w:rsidRPr="00FD119B" w14:paraId="16901872" w14:textId="77777777" w:rsidTr="00C35D17">
        <w:tc>
          <w:tcPr>
            <w:tcW w:w="1809" w:type="dxa"/>
          </w:tcPr>
          <w:p w14:paraId="61B30E54" w14:textId="77777777" w:rsidR="00175B08" w:rsidRDefault="00175B08" w:rsidP="00520721">
            <w:pPr>
              <w:ind w:left="144"/>
            </w:pPr>
            <w:r>
              <w:t>RAR β</w:t>
            </w:r>
          </w:p>
        </w:tc>
        <w:tc>
          <w:tcPr>
            <w:tcW w:w="6911" w:type="dxa"/>
          </w:tcPr>
          <w:p w14:paraId="2D399EDC" w14:textId="77777777" w:rsidR="00175B08" w:rsidRDefault="00175B08" w:rsidP="00520721">
            <w:pPr>
              <w:ind w:left="144"/>
            </w:pPr>
            <w:r>
              <w:t>Retinoic acid receptor beta</w:t>
            </w:r>
          </w:p>
        </w:tc>
      </w:tr>
      <w:tr w:rsidR="00175B08" w:rsidRPr="00FD119B" w14:paraId="29ACB5A7" w14:textId="77777777" w:rsidTr="00C35D17">
        <w:tc>
          <w:tcPr>
            <w:tcW w:w="1809" w:type="dxa"/>
          </w:tcPr>
          <w:p w14:paraId="31067B92" w14:textId="77777777" w:rsidR="00175B08" w:rsidRDefault="00175B08" w:rsidP="00520721">
            <w:pPr>
              <w:ind w:left="144"/>
            </w:pPr>
            <w:r>
              <w:t>RAR γ</w:t>
            </w:r>
          </w:p>
        </w:tc>
        <w:tc>
          <w:tcPr>
            <w:tcW w:w="6911" w:type="dxa"/>
          </w:tcPr>
          <w:p w14:paraId="60BF65AE" w14:textId="77777777" w:rsidR="00175B08" w:rsidRDefault="00175B08" w:rsidP="00520721">
            <w:pPr>
              <w:ind w:left="144"/>
            </w:pPr>
            <w:r>
              <w:t>Retinoic acid receptor gamma</w:t>
            </w:r>
          </w:p>
        </w:tc>
      </w:tr>
      <w:tr w:rsidR="00570FC6" w:rsidRPr="00FD119B" w14:paraId="71A429B9" w14:textId="77777777" w:rsidTr="00C35D17">
        <w:tc>
          <w:tcPr>
            <w:tcW w:w="1809" w:type="dxa"/>
          </w:tcPr>
          <w:p w14:paraId="61C1A1A8" w14:textId="77777777" w:rsidR="00570FC6" w:rsidRDefault="00570FC6" w:rsidP="00520721">
            <w:pPr>
              <w:ind w:left="144"/>
            </w:pPr>
            <w:r>
              <w:t>RMP</w:t>
            </w:r>
          </w:p>
        </w:tc>
        <w:tc>
          <w:tcPr>
            <w:tcW w:w="6911" w:type="dxa"/>
          </w:tcPr>
          <w:p w14:paraId="5C6389A3" w14:textId="77777777" w:rsidR="00570FC6" w:rsidRPr="00AD5F6C" w:rsidRDefault="00570FC6" w:rsidP="00520721">
            <w:pPr>
              <w:ind w:left="144"/>
            </w:pPr>
            <w:r>
              <w:t>Risk management plan</w:t>
            </w:r>
          </w:p>
        </w:tc>
      </w:tr>
      <w:tr w:rsidR="00570FC6" w:rsidRPr="00FD119B" w14:paraId="696837E9" w14:textId="77777777" w:rsidTr="00C35D17">
        <w:tc>
          <w:tcPr>
            <w:tcW w:w="1809" w:type="dxa"/>
          </w:tcPr>
          <w:p w14:paraId="41E1938C" w14:textId="77777777" w:rsidR="00570FC6" w:rsidRPr="00FD119B" w:rsidRDefault="00570FC6" w:rsidP="00520721">
            <w:pPr>
              <w:ind w:left="144"/>
            </w:pPr>
            <w:r>
              <w:t>RXR</w:t>
            </w:r>
          </w:p>
        </w:tc>
        <w:tc>
          <w:tcPr>
            <w:tcW w:w="6911" w:type="dxa"/>
          </w:tcPr>
          <w:p w14:paraId="05E626B9" w14:textId="7C8D98B3" w:rsidR="00570FC6" w:rsidRPr="00FD119B" w:rsidRDefault="00570FC6" w:rsidP="00520721">
            <w:pPr>
              <w:ind w:left="144"/>
            </w:pPr>
            <w:r>
              <w:t xml:space="preserve">Retinoid </w:t>
            </w:r>
            <w:r w:rsidR="00C93BEF">
              <w:t>X</w:t>
            </w:r>
            <w:r>
              <w:t xml:space="preserve"> receptor</w:t>
            </w:r>
          </w:p>
        </w:tc>
      </w:tr>
      <w:tr w:rsidR="00570FC6" w:rsidRPr="00FD119B" w14:paraId="6B448183" w14:textId="77777777" w:rsidTr="00C35D17">
        <w:tc>
          <w:tcPr>
            <w:tcW w:w="1809" w:type="dxa"/>
          </w:tcPr>
          <w:p w14:paraId="5E35C208" w14:textId="77777777" w:rsidR="00570FC6" w:rsidRDefault="00570FC6" w:rsidP="00520721">
            <w:pPr>
              <w:ind w:left="144"/>
            </w:pPr>
            <w:r>
              <w:t>SAE</w:t>
            </w:r>
          </w:p>
        </w:tc>
        <w:tc>
          <w:tcPr>
            <w:tcW w:w="6911" w:type="dxa"/>
          </w:tcPr>
          <w:p w14:paraId="4F618552" w14:textId="77777777" w:rsidR="00570FC6" w:rsidRPr="00AD5F6C" w:rsidRDefault="00570FC6" w:rsidP="00520721">
            <w:pPr>
              <w:ind w:left="144"/>
            </w:pPr>
            <w:r>
              <w:t>Serious adverse event</w:t>
            </w:r>
          </w:p>
        </w:tc>
      </w:tr>
      <w:tr w:rsidR="00570FC6" w:rsidRPr="00FD119B" w14:paraId="4D9FED5D" w14:textId="77777777" w:rsidTr="00C35D17">
        <w:tc>
          <w:tcPr>
            <w:tcW w:w="1809" w:type="dxa"/>
          </w:tcPr>
          <w:p w14:paraId="3E297FEB" w14:textId="77777777" w:rsidR="00570FC6" w:rsidRPr="00FD119B" w:rsidRDefault="00570FC6" w:rsidP="00520721">
            <w:pPr>
              <w:ind w:left="144"/>
            </w:pPr>
            <w:r>
              <w:t>SAF</w:t>
            </w:r>
          </w:p>
        </w:tc>
        <w:tc>
          <w:tcPr>
            <w:tcW w:w="6911" w:type="dxa"/>
          </w:tcPr>
          <w:p w14:paraId="591D21A0" w14:textId="77777777" w:rsidR="00570FC6" w:rsidRPr="00FD119B" w:rsidRDefault="00570FC6" w:rsidP="00520721">
            <w:pPr>
              <w:ind w:left="144"/>
            </w:pPr>
            <w:r>
              <w:t>Safety population</w:t>
            </w:r>
          </w:p>
        </w:tc>
      </w:tr>
      <w:tr w:rsidR="00570FC6" w:rsidRPr="00FD119B" w14:paraId="671D0545" w14:textId="77777777" w:rsidTr="00C35D17">
        <w:tc>
          <w:tcPr>
            <w:tcW w:w="1809" w:type="dxa"/>
          </w:tcPr>
          <w:p w14:paraId="0B61D464" w14:textId="77777777" w:rsidR="00570FC6" w:rsidRPr="00FD119B" w:rsidRDefault="00570FC6" w:rsidP="00520721">
            <w:pPr>
              <w:ind w:left="144"/>
            </w:pPr>
            <w:r>
              <w:t>SAFP</w:t>
            </w:r>
          </w:p>
        </w:tc>
        <w:tc>
          <w:tcPr>
            <w:tcW w:w="6911" w:type="dxa"/>
          </w:tcPr>
          <w:p w14:paraId="431DBE5E" w14:textId="1F2284CD" w:rsidR="00570FC6" w:rsidRPr="00FD119B" w:rsidRDefault="00570FC6" w:rsidP="00520721">
            <w:pPr>
              <w:ind w:left="144"/>
            </w:pPr>
            <w:r w:rsidRPr="00AD5F6C">
              <w:t xml:space="preserve">Safety population for the analysis of </w:t>
            </w:r>
            <w:r w:rsidR="00520721">
              <w:t>the Physician Global Assessment</w:t>
            </w:r>
          </w:p>
        </w:tc>
      </w:tr>
      <w:tr w:rsidR="00570FC6" w:rsidRPr="00FD119B" w14:paraId="36429AE8" w14:textId="77777777" w:rsidTr="00C35D17">
        <w:tc>
          <w:tcPr>
            <w:tcW w:w="1809" w:type="dxa"/>
          </w:tcPr>
          <w:p w14:paraId="5F602233" w14:textId="77777777" w:rsidR="00570FC6" w:rsidRPr="00FD119B" w:rsidRDefault="00570FC6" w:rsidP="00520721">
            <w:pPr>
              <w:ind w:left="144"/>
            </w:pPr>
            <w:r>
              <w:t>SAFT</w:t>
            </w:r>
          </w:p>
        </w:tc>
        <w:tc>
          <w:tcPr>
            <w:tcW w:w="6911" w:type="dxa"/>
          </w:tcPr>
          <w:p w14:paraId="060CDB38" w14:textId="77777777" w:rsidR="00570FC6" w:rsidRPr="00FD119B" w:rsidRDefault="00570FC6" w:rsidP="00520721">
            <w:pPr>
              <w:ind w:left="144"/>
            </w:pPr>
            <w:r w:rsidRPr="00AD5F6C">
              <w:t>Safety on the trunk population</w:t>
            </w:r>
          </w:p>
        </w:tc>
      </w:tr>
      <w:tr w:rsidR="00570FC6" w:rsidRPr="00FD119B" w14:paraId="427EBD76" w14:textId="77777777" w:rsidTr="00C35D17">
        <w:tc>
          <w:tcPr>
            <w:tcW w:w="1809" w:type="dxa"/>
          </w:tcPr>
          <w:p w14:paraId="343D8C86" w14:textId="77777777" w:rsidR="00570FC6" w:rsidRPr="00FD119B" w:rsidRDefault="00570FC6" w:rsidP="00520721">
            <w:pPr>
              <w:ind w:left="144"/>
            </w:pPr>
            <w:r>
              <w:t>SD</w:t>
            </w:r>
          </w:p>
        </w:tc>
        <w:tc>
          <w:tcPr>
            <w:tcW w:w="6911" w:type="dxa"/>
          </w:tcPr>
          <w:p w14:paraId="3844CD24" w14:textId="77777777" w:rsidR="00570FC6" w:rsidRPr="00FD119B" w:rsidRDefault="00570FC6" w:rsidP="00520721">
            <w:pPr>
              <w:ind w:left="144"/>
            </w:pPr>
            <w:r>
              <w:t>S</w:t>
            </w:r>
            <w:r w:rsidRPr="004679E9">
              <w:t>tandard deviation</w:t>
            </w:r>
          </w:p>
        </w:tc>
      </w:tr>
      <w:tr w:rsidR="00570FC6" w:rsidRPr="00FD119B" w14:paraId="31169A32" w14:textId="77777777" w:rsidTr="00C35D17">
        <w:tc>
          <w:tcPr>
            <w:tcW w:w="1809" w:type="dxa"/>
          </w:tcPr>
          <w:p w14:paraId="13373A7A" w14:textId="77777777" w:rsidR="00570FC6" w:rsidRPr="00FD119B" w:rsidRDefault="00570FC6" w:rsidP="00520721">
            <w:pPr>
              <w:ind w:left="144"/>
            </w:pPr>
            <w:r>
              <w:t>SE</w:t>
            </w:r>
          </w:p>
        </w:tc>
        <w:tc>
          <w:tcPr>
            <w:tcW w:w="6911" w:type="dxa"/>
          </w:tcPr>
          <w:p w14:paraId="48CB0F4B" w14:textId="77777777" w:rsidR="00570FC6" w:rsidRPr="00FD119B" w:rsidRDefault="00570FC6" w:rsidP="00520721">
            <w:pPr>
              <w:ind w:left="144"/>
            </w:pPr>
            <w:r>
              <w:t>Standard error</w:t>
            </w:r>
          </w:p>
        </w:tc>
      </w:tr>
      <w:tr w:rsidR="00570FC6" w:rsidRPr="00FD119B" w14:paraId="04B879A1" w14:textId="77777777" w:rsidTr="00C35D17">
        <w:tc>
          <w:tcPr>
            <w:tcW w:w="1809" w:type="dxa"/>
          </w:tcPr>
          <w:p w14:paraId="4B2643DC" w14:textId="77777777" w:rsidR="00570FC6" w:rsidRDefault="00570FC6" w:rsidP="00520721">
            <w:pPr>
              <w:ind w:left="144"/>
            </w:pPr>
            <w:r>
              <w:t>SOC</w:t>
            </w:r>
          </w:p>
        </w:tc>
        <w:tc>
          <w:tcPr>
            <w:tcW w:w="6911" w:type="dxa"/>
          </w:tcPr>
          <w:p w14:paraId="160624A5" w14:textId="18375DED" w:rsidR="00570FC6" w:rsidRPr="00AD5F6C" w:rsidRDefault="00570FC6" w:rsidP="00520721">
            <w:pPr>
              <w:ind w:left="144"/>
            </w:pPr>
            <w:r>
              <w:t xml:space="preserve">System </w:t>
            </w:r>
            <w:r w:rsidR="00520721">
              <w:t>O</w:t>
            </w:r>
            <w:r>
              <w:t xml:space="preserve">rgan </w:t>
            </w:r>
            <w:r w:rsidR="00520721">
              <w:t>C</w:t>
            </w:r>
            <w:r>
              <w:t>lass</w:t>
            </w:r>
          </w:p>
        </w:tc>
      </w:tr>
      <w:tr w:rsidR="00570FC6" w:rsidRPr="00FD119B" w14:paraId="6B13C59A" w14:textId="77777777" w:rsidTr="00C35D17">
        <w:tc>
          <w:tcPr>
            <w:tcW w:w="1809" w:type="dxa"/>
          </w:tcPr>
          <w:p w14:paraId="341EC4FE" w14:textId="77777777" w:rsidR="00570FC6" w:rsidRDefault="00570FC6" w:rsidP="00520721">
            <w:pPr>
              <w:ind w:left="144"/>
            </w:pPr>
            <w:r>
              <w:t>TEAE</w:t>
            </w:r>
          </w:p>
        </w:tc>
        <w:tc>
          <w:tcPr>
            <w:tcW w:w="6911" w:type="dxa"/>
          </w:tcPr>
          <w:p w14:paraId="1B782442" w14:textId="77777777" w:rsidR="00570FC6" w:rsidRPr="00AD5F6C" w:rsidRDefault="00570FC6" w:rsidP="00520721">
            <w:pPr>
              <w:ind w:left="144"/>
            </w:pPr>
            <w:r>
              <w:t>T</w:t>
            </w:r>
            <w:r w:rsidRPr="005D5E48">
              <w:t>reatment emergent adverse event</w:t>
            </w:r>
          </w:p>
        </w:tc>
      </w:tr>
      <w:tr w:rsidR="00570FC6" w:rsidRPr="00FD119B" w14:paraId="0B2A6B95" w14:textId="77777777" w:rsidTr="00C35D17">
        <w:tc>
          <w:tcPr>
            <w:tcW w:w="1809" w:type="dxa"/>
          </w:tcPr>
          <w:p w14:paraId="709085AD" w14:textId="77777777" w:rsidR="00570FC6" w:rsidRPr="00FD119B" w:rsidRDefault="00570FC6" w:rsidP="00520721">
            <w:pPr>
              <w:ind w:left="144"/>
            </w:pPr>
            <w:r>
              <w:t>TGA</w:t>
            </w:r>
          </w:p>
        </w:tc>
        <w:tc>
          <w:tcPr>
            <w:tcW w:w="6911" w:type="dxa"/>
          </w:tcPr>
          <w:p w14:paraId="73652ADE" w14:textId="77777777" w:rsidR="00570FC6" w:rsidRPr="00FD119B" w:rsidRDefault="0095526D" w:rsidP="00520721">
            <w:pPr>
              <w:ind w:left="144"/>
            </w:pPr>
            <w:r w:rsidRPr="0095526D">
              <w:t>Therapeutic Goods Administration</w:t>
            </w:r>
          </w:p>
        </w:tc>
      </w:tr>
      <w:tr w:rsidR="00570FC6" w:rsidRPr="00FD119B" w14:paraId="62CE8E17" w14:textId="77777777" w:rsidTr="00C35D17">
        <w:tc>
          <w:tcPr>
            <w:tcW w:w="1809" w:type="dxa"/>
          </w:tcPr>
          <w:p w14:paraId="756DDA04" w14:textId="77777777" w:rsidR="00570FC6" w:rsidRPr="00FD119B" w:rsidRDefault="00570FC6" w:rsidP="00520721">
            <w:pPr>
              <w:ind w:left="144"/>
            </w:pPr>
            <w:r>
              <w:t xml:space="preserve">TGO </w:t>
            </w:r>
            <w:r w:rsidR="0037112C">
              <w:t>91</w:t>
            </w:r>
          </w:p>
        </w:tc>
        <w:tc>
          <w:tcPr>
            <w:tcW w:w="6911" w:type="dxa"/>
          </w:tcPr>
          <w:p w14:paraId="1251AFB6" w14:textId="77777777" w:rsidR="00570FC6" w:rsidRPr="00FD119B" w:rsidRDefault="00570FC6" w:rsidP="00520721">
            <w:pPr>
              <w:ind w:left="144"/>
            </w:pPr>
            <w:r>
              <w:t>Therapeutic Goods Order Number</w:t>
            </w:r>
            <w:r w:rsidRPr="00A90115">
              <w:t xml:space="preserve"> 91</w:t>
            </w:r>
          </w:p>
        </w:tc>
      </w:tr>
      <w:tr w:rsidR="00570FC6" w:rsidRPr="00FD119B" w14:paraId="654AFE9F" w14:textId="77777777" w:rsidTr="00C35D17">
        <w:tc>
          <w:tcPr>
            <w:tcW w:w="1809" w:type="dxa"/>
          </w:tcPr>
          <w:p w14:paraId="292DF24E" w14:textId="77777777" w:rsidR="00570FC6" w:rsidRPr="00FD119B" w:rsidRDefault="00570FC6" w:rsidP="00520721">
            <w:pPr>
              <w:ind w:left="144"/>
            </w:pPr>
            <w:r>
              <w:t>TPA</w:t>
            </w:r>
          </w:p>
        </w:tc>
        <w:tc>
          <w:tcPr>
            <w:tcW w:w="6911" w:type="dxa"/>
          </w:tcPr>
          <w:p w14:paraId="62B56E07" w14:textId="77777777" w:rsidR="00570FC6" w:rsidRPr="00FD119B" w:rsidRDefault="00570FC6" w:rsidP="00520721">
            <w:pPr>
              <w:ind w:left="144"/>
            </w:pPr>
            <w:r w:rsidRPr="00A84375">
              <w:t>12-O-tetradecanoylphorbol-13-acetate</w:t>
            </w:r>
          </w:p>
        </w:tc>
      </w:tr>
      <w:tr w:rsidR="00570FC6" w:rsidRPr="00FD119B" w14:paraId="6CD1462D" w14:textId="77777777" w:rsidTr="00C35D17">
        <w:tc>
          <w:tcPr>
            <w:tcW w:w="1809" w:type="dxa"/>
          </w:tcPr>
          <w:p w14:paraId="0917122D" w14:textId="77777777" w:rsidR="00570FC6" w:rsidRPr="00FD119B" w:rsidRDefault="00570FC6" w:rsidP="00520721">
            <w:pPr>
              <w:ind w:left="144"/>
            </w:pPr>
            <w:r>
              <w:t>US</w:t>
            </w:r>
            <w:r w:rsidR="00520721">
              <w:t>(</w:t>
            </w:r>
            <w:r>
              <w:t>A</w:t>
            </w:r>
            <w:r w:rsidR="00520721">
              <w:t>)</w:t>
            </w:r>
          </w:p>
        </w:tc>
        <w:tc>
          <w:tcPr>
            <w:tcW w:w="6911" w:type="dxa"/>
          </w:tcPr>
          <w:p w14:paraId="5520F7DA" w14:textId="77777777" w:rsidR="00570FC6" w:rsidRPr="00FD119B" w:rsidRDefault="00570FC6" w:rsidP="00520721">
            <w:pPr>
              <w:ind w:left="144"/>
            </w:pPr>
            <w:r>
              <w:t xml:space="preserve">United States </w:t>
            </w:r>
            <w:r w:rsidR="00520721">
              <w:t>(</w:t>
            </w:r>
            <w:r>
              <w:t>of America</w:t>
            </w:r>
            <w:r w:rsidR="00520721">
              <w:t>)</w:t>
            </w:r>
          </w:p>
        </w:tc>
      </w:tr>
      <w:tr w:rsidR="00076871" w:rsidRPr="00FD119B" w14:paraId="32273467" w14:textId="77777777" w:rsidTr="00C35D17">
        <w:tc>
          <w:tcPr>
            <w:tcW w:w="1809" w:type="dxa"/>
          </w:tcPr>
          <w:p w14:paraId="337E2056" w14:textId="77777777" w:rsidR="00076871" w:rsidRDefault="00076871" w:rsidP="00520721">
            <w:pPr>
              <w:ind w:left="144"/>
            </w:pPr>
            <w:r>
              <w:t>v/v</w:t>
            </w:r>
          </w:p>
        </w:tc>
        <w:tc>
          <w:tcPr>
            <w:tcW w:w="6911" w:type="dxa"/>
          </w:tcPr>
          <w:p w14:paraId="08AB63FA" w14:textId="77777777" w:rsidR="00076871" w:rsidRDefault="00076871" w:rsidP="00520721">
            <w:pPr>
              <w:ind w:left="144"/>
            </w:pPr>
            <w:r>
              <w:t>Volume/volume</w:t>
            </w:r>
          </w:p>
        </w:tc>
      </w:tr>
      <w:tr w:rsidR="00076871" w:rsidRPr="00FD119B" w14:paraId="2D9C25CB" w14:textId="77777777" w:rsidTr="00C35D17">
        <w:tc>
          <w:tcPr>
            <w:tcW w:w="1809" w:type="dxa"/>
          </w:tcPr>
          <w:p w14:paraId="2512314E" w14:textId="77777777" w:rsidR="00076871" w:rsidRDefault="00076871" w:rsidP="00520721">
            <w:pPr>
              <w:ind w:left="144"/>
            </w:pPr>
            <w:r>
              <w:t>w/w</w:t>
            </w:r>
          </w:p>
        </w:tc>
        <w:tc>
          <w:tcPr>
            <w:tcW w:w="6911" w:type="dxa"/>
          </w:tcPr>
          <w:p w14:paraId="45FA47AA" w14:textId="77777777" w:rsidR="00076871" w:rsidRDefault="00076871" w:rsidP="00520721">
            <w:pPr>
              <w:ind w:left="144"/>
            </w:pPr>
            <w:r>
              <w:t>Weight/weight</w:t>
            </w:r>
          </w:p>
        </w:tc>
      </w:tr>
    </w:tbl>
    <w:p w14:paraId="5A6298D6" w14:textId="77777777" w:rsidR="00FD119B" w:rsidRDefault="00FD119B" w:rsidP="00FD119B"/>
    <w:p w14:paraId="138E3D8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2DA700E" w14:textId="77777777" w:rsidR="008E7846" w:rsidRDefault="00F53C07" w:rsidP="008E7846">
      <w:pPr>
        <w:pStyle w:val="Heading2"/>
      </w:pPr>
      <w:bookmarkStart w:id="9" w:name="_Toc67320880"/>
      <w:r>
        <w:t>I.</w:t>
      </w:r>
      <w:r w:rsidR="008E7846">
        <w:t xml:space="preserve"> Introduction to product submission</w:t>
      </w:r>
      <w:bookmarkEnd w:id="0"/>
      <w:bookmarkEnd w:id="3"/>
      <w:bookmarkEnd w:id="9"/>
    </w:p>
    <w:p w14:paraId="21099C09" w14:textId="77777777" w:rsidR="008E7846" w:rsidRDefault="008E7846" w:rsidP="008E7846">
      <w:pPr>
        <w:pStyle w:val="Heading3"/>
        <w:rPr>
          <w:lang w:eastAsia="en-AU"/>
        </w:rPr>
      </w:pPr>
      <w:bookmarkStart w:id="10" w:name="_Toc247691502"/>
      <w:bookmarkStart w:id="11" w:name="_Toc314842483"/>
      <w:bookmarkStart w:id="12" w:name="_Toc6732088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890BF93" w14:textId="77777777" w:rsidTr="003735BC">
        <w:tc>
          <w:tcPr>
            <w:tcW w:w="2907" w:type="dxa"/>
          </w:tcPr>
          <w:p w14:paraId="08B3BBA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2336403" w14:textId="77777777" w:rsidR="008E7846" w:rsidRPr="003D1E62" w:rsidRDefault="008E7846" w:rsidP="001B5C90">
            <w:r w:rsidRPr="003D1E62">
              <w:t xml:space="preserve">New </w:t>
            </w:r>
            <w:r w:rsidR="001B5C90">
              <w:t>c</w:t>
            </w:r>
            <w:r w:rsidRPr="003D1E62">
              <w:t xml:space="preserve">hemical </w:t>
            </w:r>
            <w:r w:rsidR="001B5C90">
              <w:t>e</w:t>
            </w:r>
            <w:r w:rsidR="00C834B1">
              <w:t>ntity</w:t>
            </w:r>
          </w:p>
        </w:tc>
      </w:tr>
      <w:tr w:rsidR="00460036" w:rsidRPr="003D1E62" w14:paraId="7FD0732D" w14:textId="77777777" w:rsidTr="003735BC">
        <w:tc>
          <w:tcPr>
            <w:tcW w:w="2907" w:type="dxa"/>
          </w:tcPr>
          <w:p w14:paraId="2412473E" w14:textId="77777777" w:rsidR="00460036" w:rsidRPr="003D1E62" w:rsidRDefault="00460036" w:rsidP="003D1E62">
            <w:pPr>
              <w:rPr>
                <w:i/>
              </w:rPr>
            </w:pPr>
            <w:r w:rsidRPr="00460036">
              <w:rPr>
                <w:i/>
              </w:rPr>
              <w:t>Prod</w:t>
            </w:r>
            <w:r w:rsidR="00C834B1">
              <w:rPr>
                <w:i/>
              </w:rPr>
              <w:t>uct name</w:t>
            </w:r>
            <w:r w:rsidRPr="00460036">
              <w:rPr>
                <w:i/>
              </w:rPr>
              <w:t>:</w:t>
            </w:r>
          </w:p>
        </w:tc>
        <w:tc>
          <w:tcPr>
            <w:tcW w:w="6307" w:type="dxa"/>
          </w:tcPr>
          <w:p w14:paraId="6C43CB05" w14:textId="77777777" w:rsidR="00460036" w:rsidRPr="003D1E62" w:rsidRDefault="00C834B1" w:rsidP="00C834B1">
            <w:r>
              <w:rPr>
                <w:rFonts w:eastAsiaTheme="minorHAnsi" w:cs="Cambria"/>
              </w:rPr>
              <w:t>Aklief</w:t>
            </w:r>
          </w:p>
        </w:tc>
      </w:tr>
      <w:tr w:rsidR="00460036" w:rsidRPr="003D1E62" w14:paraId="0ACA6880" w14:textId="77777777" w:rsidTr="003735BC">
        <w:tc>
          <w:tcPr>
            <w:tcW w:w="2907" w:type="dxa"/>
          </w:tcPr>
          <w:p w14:paraId="7ADF88FE" w14:textId="77777777" w:rsidR="00460036" w:rsidRPr="003D1E62" w:rsidRDefault="00C834B1" w:rsidP="003D1E62">
            <w:pPr>
              <w:rPr>
                <w:i/>
              </w:rPr>
            </w:pPr>
            <w:r>
              <w:rPr>
                <w:i/>
              </w:rPr>
              <w:t>Active ingredient</w:t>
            </w:r>
            <w:r w:rsidR="00460036" w:rsidRPr="00460036">
              <w:rPr>
                <w:i/>
              </w:rPr>
              <w:t>:</w:t>
            </w:r>
          </w:p>
        </w:tc>
        <w:tc>
          <w:tcPr>
            <w:tcW w:w="6307" w:type="dxa"/>
          </w:tcPr>
          <w:p w14:paraId="6C977E05" w14:textId="77777777" w:rsidR="00460036" w:rsidRPr="003D1E62" w:rsidRDefault="00C834B1" w:rsidP="00C834B1">
            <w:r>
              <w:t>T</w:t>
            </w:r>
            <w:r w:rsidRPr="00C834B1">
              <w:t>rifarotene</w:t>
            </w:r>
          </w:p>
        </w:tc>
      </w:tr>
      <w:tr w:rsidR="008E7846" w:rsidRPr="003D1E62" w14:paraId="51C7BBB3" w14:textId="77777777" w:rsidTr="003735BC">
        <w:tc>
          <w:tcPr>
            <w:tcW w:w="2907" w:type="dxa"/>
          </w:tcPr>
          <w:p w14:paraId="1217B285" w14:textId="77777777" w:rsidR="008E7846" w:rsidRPr="003D1E62" w:rsidRDefault="008E7846" w:rsidP="003D1E62">
            <w:r w:rsidRPr="003D1E62">
              <w:rPr>
                <w:i/>
              </w:rPr>
              <w:t>Decision</w:t>
            </w:r>
            <w:r w:rsidRPr="003D1E62">
              <w:t>:</w:t>
            </w:r>
          </w:p>
        </w:tc>
        <w:tc>
          <w:tcPr>
            <w:tcW w:w="6307" w:type="dxa"/>
          </w:tcPr>
          <w:p w14:paraId="32285EC0" w14:textId="77777777" w:rsidR="008E7846" w:rsidRPr="003D1E62" w:rsidRDefault="00C834B1" w:rsidP="00C834B1">
            <w:r>
              <w:t>Approved</w:t>
            </w:r>
          </w:p>
        </w:tc>
      </w:tr>
      <w:tr w:rsidR="008E7846" w:rsidRPr="003D1E62" w14:paraId="3D8DB4DC" w14:textId="77777777" w:rsidTr="003735BC">
        <w:tc>
          <w:tcPr>
            <w:tcW w:w="2907" w:type="dxa"/>
          </w:tcPr>
          <w:p w14:paraId="7678949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AE991DE" w14:textId="77777777" w:rsidR="008E7846" w:rsidRPr="003D1E62" w:rsidRDefault="00C834B1" w:rsidP="00C834B1">
            <w:r>
              <w:t>11 January 2021</w:t>
            </w:r>
          </w:p>
        </w:tc>
      </w:tr>
      <w:tr w:rsidR="00ED2922" w:rsidRPr="003D1E62" w14:paraId="00EC3FD0" w14:textId="77777777" w:rsidTr="003735BC">
        <w:tc>
          <w:tcPr>
            <w:tcW w:w="2907" w:type="dxa"/>
          </w:tcPr>
          <w:p w14:paraId="00603325" w14:textId="77777777" w:rsidR="00ED2922" w:rsidRPr="00441C3F" w:rsidRDefault="00ED2922" w:rsidP="001B5C90">
            <w:pPr>
              <w:rPr>
                <w:i/>
              </w:rPr>
            </w:pPr>
            <w:r w:rsidRPr="00441C3F">
              <w:rPr>
                <w:i/>
              </w:rPr>
              <w:t>Date of entry onto ARTG</w:t>
            </w:r>
            <w:r w:rsidR="00500337">
              <w:rPr>
                <w:i/>
              </w:rPr>
              <w:t>:</w:t>
            </w:r>
          </w:p>
        </w:tc>
        <w:tc>
          <w:tcPr>
            <w:tcW w:w="6307" w:type="dxa"/>
          </w:tcPr>
          <w:p w14:paraId="0596B00B" w14:textId="77777777" w:rsidR="00ED2922" w:rsidRPr="00441C3F" w:rsidRDefault="00C834B1" w:rsidP="00C834B1">
            <w:r>
              <w:t>18 January 2021</w:t>
            </w:r>
          </w:p>
        </w:tc>
      </w:tr>
      <w:tr w:rsidR="00500337" w:rsidRPr="003D1E62" w14:paraId="259A0B76" w14:textId="77777777" w:rsidTr="003735BC">
        <w:tc>
          <w:tcPr>
            <w:tcW w:w="2907" w:type="dxa"/>
          </w:tcPr>
          <w:p w14:paraId="0258B7B0" w14:textId="77777777" w:rsidR="00500337" w:rsidRPr="00441C3F" w:rsidRDefault="00500337" w:rsidP="00C834B1">
            <w:pPr>
              <w:rPr>
                <w:i/>
              </w:rPr>
            </w:pPr>
            <w:r>
              <w:rPr>
                <w:i/>
              </w:rPr>
              <w:t>ARTG number</w:t>
            </w:r>
            <w:r w:rsidR="00C834B1">
              <w:rPr>
                <w:i/>
              </w:rPr>
              <w:t>s</w:t>
            </w:r>
            <w:r>
              <w:rPr>
                <w:i/>
              </w:rPr>
              <w:t>:</w:t>
            </w:r>
          </w:p>
        </w:tc>
        <w:tc>
          <w:tcPr>
            <w:tcW w:w="6307" w:type="dxa"/>
          </w:tcPr>
          <w:p w14:paraId="208B932E" w14:textId="77777777" w:rsidR="00500337" w:rsidRPr="00441C3F" w:rsidRDefault="00C834B1" w:rsidP="00EC463D">
            <w:r>
              <w:t xml:space="preserve">332220 and </w:t>
            </w:r>
            <w:r w:rsidRPr="00C834B1">
              <w:t>340375</w:t>
            </w:r>
          </w:p>
        </w:tc>
      </w:tr>
      <w:tr w:rsidR="003735BC" w:rsidRPr="003D1E62" w14:paraId="17CCD1CC" w14:textId="77777777" w:rsidTr="003735BC">
        <w:tc>
          <w:tcPr>
            <w:tcW w:w="2907" w:type="dxa"/>
          </w:tcPr>
          <w:p w14:paraId="21B66FE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6EF0557C" w14:textId="77777777" w:rsidR="003735BC" w:rsidRDefault="00C834B1" w:rsidP="003735BC">
            <w:r>
              <w:t>Yes</w:t>
            </w:r>
          </w:p>
          <w:p w14:paraId="150C66B4" w14:textId="77777777" w:rsidR="003735BC" w:rsidRPr="00487162" w:rsidRDefault="003735BC" w:rsidP="003735BC">
            <w:r>
              <w:t xml:space="preserve">This product will remain in the scheme for 5 years, starting on the date the product is first supplied in </w:t>
            </w:r>
            <w:r w:rsidR="00C834B1">
              <w:t>Australia</w:t>
            </w:r>
          </w:p>
        </w:tc>
      </w:tr>
      <w:tr w:rsidR="008E7846" w:rsidRPr="00487162" w14:paraId="72C95730" w14:textId="77777777" w:rsidTr="00BF1190">
        <w:tc>
          <w:tcPr>
            <w:tcW w:w="2907" w:type="dxa"/>
          </w:tcPr>
          <w:p w14:paraId="3D55BDB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D5C2FFC" w14:textId="77777777" w:rsidR="00C834B1" w:rsidRDefault="00C834B1" w:rsidP="00C834B1">
            <w:r>
              <w:t>Galderma Australia Pty Ltd</w:t>
            </w:r>
          </w:p>
          <w:p w14:paraId="74A99EDA" w14:textId="77777777" w:rsidR="00C834B1" w:rsidRDefault="00C834B1" w:rsidP="00C834B1">
            <w:r>
              <w:t>Suite 4, 13B Narabang Way</w:t>
            </w:r>
          </w:p>
          <w:p w14:paraId="2A3FF5E7" w14:textId="77777777" w:rsidR="008E7846" w:rsidRPr="00487162" w:rsidRDefault="00C834B1" w:rsidP="00C834B1">
            <w:r>
              <w:t>Belrose NSW 2085</w:t>
            </w:r>
          </w:p>
        </w:tc>
      </w:tr>
      <w:tr w:rsidR="008E7846" w:rsidRPr="00487162" w14:paraId="54D38C4A" w14:textId="77777777" w:rsidTr="00BF1190">
        <w:tc>
          <w:tcPr>
            <w:tcW w:w="2907" w:type="dxa"/>
          </w:tcPr>
          <w:p w14:paraId="3122B616" w14:textId="77777777" w:rsidR="008E7846" w:rsidRPr="00487162" w:rsidRDefault="00C834B1" w:rsidP="00E45619">
            <w:pPr>
              <w:rPr>
                <w:i/>
              </w:rPr>
            </w:pPr>
            <w:r>
              <w:rPr>
                <w:i/>
              </w:rPr>
              <w:t>Dose form</w:t>
            </w:r>
            <w:r w:rsidR="001B5C90">
              <w:rPr>
                <w:i/>
              </w:rPr>
              <w:t>:</w:t>
            </w:r>
          </w:p>
        </w:tc>
        <w:tc>
          <w:tcPr>
            <w:tcW w:w="6307" w:type="dxa"/>
          </w:tcPr>
          <w:p w14:paraId="1BB04854" w14:textId="77777777" w:rsidR="008E7846" w:rsidRPr="00487162" w:rsidRDefault="00C834B1" w:rsidP="00E45619">
            <w:r>
              <w:t>Cream</w:t>
            </w:r>
          </w:p>
        </w:tc>
      </w:tr>
      <w:tr w:rsidR="008E7846" w:rsidRPr="00487162" w14:paraId="1158DCBC" w14:textId="77777777" w:rsidTr="00BF1190">
        <w:tc>
          <w:tcPr>
            <w:tcW w:w="2907" w:type="dxa"/>
          </w:tcPr>
          <w:p w14:paraId="52B9E18D" w14:textId="77777777" w:rsidR="008E7846" w:rsidRPr="00487162" w:rsidRDefault="00C834B1" w:rsidP="00E45619">
            <w:pPr>
              <w:rPr>
                <w:i/>
              </w:rPr>
            </w:pPr>
            <w:r>
              <w:rPr>
                <w:i/>
              </w:rPr>
              <w:t>Strength</w:t>
            </w:r>
            <w:r w:rsidR="00324E45">
              <w:rPr>
                <w:i/>
              </w:rPr>
              <w:t>:</w:t>
            </w:r>
          </w:p>
        </w:tc>
        <w:tc>
          <w:tcPr>
            <w:tcW w:w="6307" w:type="dxa"/>
          </w:tcPr>
          <w:p w14:paraId="400EC2ED" w14:textId="77777777" w:rsidR="008E7846" w:rsidRPr="00487162" w:rsidRDefault="00C834B1" w:rsidP="00E45619">
            <w:r>
              <w:t>50 µg/g</w:t>
            </w:r>
          </w:p>
        </w:tc>
      </w:tr>
      <w:tr w:rsidR="008E7846" w:rsidRPr="00487162" w14:paraId="23810044" w14:textId="77777777" w:rsidTr="00BF1190">
        <w:tc>
          <w:tcPr>
            <w:tcW w:w="2907" w:type="dxa"/>
          </w:tcPr>
          <w:p w14:paraId="1918DB96" w14:textId="77777777" w:rsidR="008E7846" w:rsidRPr="00487162" w:rsidRDefault="00C834B1" w:rsidP="00C834B1">
            <w:pPr>
              <w:rPr>
                <w:i/>
              </w:rPr>
            </w:pPr>
            <w:r>
              <w:rPr>
                <w:i/>
              </w:rPr>
              <w:t>Container</w:t>
            </w:r>
            <w:r w:rsidR="008E7846" w:rsidRPr="00487162">
              <w:rPr>
                <w:i/>
              </w:rPr>
              <w:t>s:</w:t>
            </w:r>
          </w:p>
        </w:tc>
        <w:tc>
          <w:tcPr>
            <w:tcW w:w="6307" w:type="dxa"/>
          </w:tcPr>
          <w:p w14:paraId="69ACC150" w14:textId="77777777" w:rsidR="008E7846" w:rsidRPr="00487162" w:rsidRDefault="00C834B1" w:rsidP="00E45619">
            <w:r>
              <w:t>Bottle and tube</w:t>
            </w:r>
          </w:p>
        </w:tc>
      </w:tr>
      <w:tr w:rsidR="008E7846" w:rsidRPr="00487162" w14:paraId="5CC82F3F" w14:textId="77777777" w:rsidTr="00BF1190">
        <w:tc>
          <w:tcPr>
            <w:tcW w:w="2907" w:type="dxa"/>
          </w:tcPr>
          <w:p w14:paraId="26F40141" w14:textId="452EC160" w:rsidR="008E7846" w:rsidRPr="00487162" w:rsidRDefault="008E7846" w:rsidP="00E45619">
            <w:pPr>
              <w:rPr>
                <w:i/>
              </w:rPr>
            </w:pPr>
            <w:r w:rsidRPr="00487162">
              <w:rPr>
                <w:i/>
              </w:rPr>
              <w:t>Pack sizes:</w:t>
            </w:r>
          </w:p>
        </w:tc>
        <w:tc>
          <w:tcPr>
            <w:tcW w:w="6307" w:type="dxa"/>
          </w:tcPr>
          <w:p w14:paraId="79E0D833" w14:textId="77777777" w:rsidR="008E7846" w:rsidRDefault="00C834B1" w:rsidP="00C834B1">
            <w:r>
              <w:t>Bottle: 15 g, 30 g and 75 g</w:t>
            </w:r>
          </w:p>
          <w:p w14:paraId="41D32892" w14:textId="77777777" w:rsidR="00C834B1" w:rsidRPr="00487162" w:rsidRDefault="00C834B1" w:rsidP="00C834B1">
            <w:r>
              <w:t>Tube: 5 g</w:t>
            </w:r>
          </w:p>
        </w:tc>
      </w:tr>
      <w:tr w:rsidR="008E7846" w:rsidRPr="00487162" w14:paraId="65AF3CDE" w14:textId="77777777" w:rsidTr="00BF1190">
        <w:tc>
          <w:tcPr>
            <w:tcW w:w="2907" w:type="dxa"/>
          </w:tcPr>
          <w:p w14:paraId="06C9654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73FCD2D" w14:textId="77777777" w:rsidR="008E7846" w:rsidRPr="00F11629" w:rsidRDefault="00F11629" w:rsidP="00F11629">
            <w:pPr>
              <w:rPr>
                <w:rFonts w:eastAsia="MS Mincho"/>
                <w:i/>
                <w:lang w:eastAsia="ja-JP"/>
              </w:rPr>
            </w:pPr>
            <w:r w:rsidRPr="00F11629">
              <w:rPr>
                <w:rFonts w:eastAsia="MS Mincho"/>
                <w:i/>
                <w:lang w:eastAsia="ja-JP"/>
              </w:rPr>
              <w:t>Aklief is indicated for the topical treatment of Acne Vulgaris of the face and/or the trunk in patients from 12 years of age and older, when many comedones, papules and/or pustules are present</w:t>
            </w:r>
          </w:p>
        </w:tc>
      </w:tr>
      <w:tr w:rsidR="008E7846" w:rsidRPr="00487162" w14:paraId="61ED8B88" w14:textId="77777777" w:rsidTr="00BF1190">
        <w:tc>
          <w:tcPr>
            <w:tcW w:w="2907" w:type="dxa"/>
          </w:tcPr>
          <w:p w14:paraId="0EBF04DE" w14:textId="77777777" w:rsidR="008E7846" w:rsidRPr="00487162" w:rsidRDefault="00F11629" w:rsidP="00F11629">
            <w:pPr>
              <w:rPr>
                <w:i/>
              </w:rPr>
            </w:pPr>
            <w:r>
              <w:rPr>
                <w:i/>
              </w:rPr>
              <w:t>Route</w:t>
            </w:r>
            <w:r w:rsidR="008E7846" w:rsidRPr="00487162">
              <w:rPr>
                <w:i/>
              </w:rPr>
              <w:t xml:space="preserve"> of administration:</w:t>
            </w:r>
          </w:p>
        </w:tc>
        <w:tc>
          <w:tcPr>
            <w:tcW w:w="6307" w:type="dxa"/>
          </w:tcPr>
          <w:p w14:paraId="512A618F" w14:textId="77777777" w:rsidR="008E7846" w:rsidRPr="00487162" w:rsidRDefault="00F11629" w:rsidP="00E45619">
            <w:r w:rsidRPr="00F11629">
              <w:t>Topical</w:t>
            </w:r>
          </w:p>
        </w:tc>
      </w:tr>
      <w:tr w:rsidR="008E7846" w:rsidRPr="00487162" w14:paraId="614A2B7B" w14:textId="77777777" w:rsidTr="00BF1190">
        <w:tc>
          <w:tcPr>
            <w:tcW w:w="2907" w:type="dxa"/>
          </w:tcPr>
          <w:p w14:paraId="710EBF6A" w14:textId="77777777" w:rsidR="008E7846" w:rsidRPr="00487162" w:rsidRDefault="008E7846" w:rsidP="00E45619">
            <w:pPr>
              <w:rPr>
                <w:i/>
              </w:rPr>
            </w:pPr>
            <w:r w:rsidRPr="00487162">
              <w:rPr>
                <w:i/>
              </w:rPr>
              <w:t>Dosage:</w:t>
            </w:r>
          </w:p>
        </w:tc>
        <w:tc>
          <w:tcPr>
            <w:tcW w:w="6307" w:type="dxa"/>
          </w:tcPr>
          <w:p w14:paraId="5DD22BA2" w14:textId="5F0B0C97" w:rsidR="00F11629" w:rsidRDefault="00F11629" w:rsidP="00F11629">
            <w:r>
              <w:t>Apply a thin layer of Aklief cream to the affected areas of the face and/or trunk once a day, in the evening, on clean and dry skin.</w:t>
            </w:r>
          </w:p>
          <w:p w14:paraId="45EEDE90" w14:textId="19406454" w:rsidR="008C06E5" w:rsidRDefault="008C06E5" w:rsidP="00F11629">
            <w:r>
              <w:t>One pump actuation should be enough to cover the face; two pump actuations should be enough to cover the upper trunk (</w:t>
            </w:r>
            <w:r w:rsidRPr="008C06E5">
              <w:t>reachable upper back, shoulders and chest</w:t>
            </w:r>
            <w:r>
              <w:t xml:space="preserve">). One additional pump actuation </w:t>
            </w:r>
            <w:r w:rsidRPr="008C06E5">
              <w:t>may be used for middle and lower back if acne is present.</w:t>
            </w:r>
          </w:p>
          <w:p w14:paraId="4B03CA87" w14:textId="119478C1" w:rsidR="008C06E5" w:rsidRDefault="008C06E5" w:rsidP="008C06E5">
            <w:r>
              <w:t xml:space="preserve">For topical use only; </w:t>
            </w:r>
            <w:r w:rsidRPr="008C06E5">
              <w:t>avoid contact with the eyes, eyelids, l</w:t>
            </w:r>
            <w:r>
              <w:t>ips and mucous membranes and wash</w:t>
            </w:r>
            <w:r w:rsidRPr="008C06E5">
              <w:t xml:space="preserve"> hands after applying</w:t>
            </w:r>
            <w:r>
              <w:t xml:space="preserve"> Aklief.</w:t>
            </w:r>
          </w:p>
          <w:p w14:paraId="62E0D5DE" w14:textId="616B4DC6" w:rsidR="008E7846" w:rsidRDefault="008C06E5" w:rsidP="00F11629">
            <w:r>
              <w:t>U</w:t>
            </w:r>
            <w:r w:rsidRPr="008C06E5">
              <w:t>se of a moisturiser is recommended as needed from the initiation of treatment, while allowing sufficient time before and after the application of Aklief cream to allow the skin to dry.</w:t>
            </w:r>
            <w:r w:rsidR="00F11629">
              <w:t>It is recommended that the physician assesses the continued improvement of the patient after three months of treatment. The duration of treatment should be determined by the doctor based on the clinical response.</w:t>
            </w:r>
          </w:p>
          <w:p w14:paraId="667994B1" w14:textId="77777777" w:rsidR="00460036" w:rsidRPr="00487162" w:rsidRDefault="00460036" w:rsidP="00E45619">
            <w:r w:rsidRPr="00460036">
              <w:t>For further information regarding dosage, refer to the Product Information.</w:t>
            </w:r>
          </w:p>
        </w:tc>
      </w:tr>
      <w:tr w:rsidR="00460036" w:rsidRPr="00487162" w14:paraId="3B6DE10E" w14:textId="77777777" w:rsidTr="00BF1190">
        <w:tc>
          <w:tcPr>
            <w:tcW w:w="2907" w:type="dxa"/>
          </w:tcPr>
          <w:p w14:paraId="7572FE13" w14:textId="77777777" w:rsidR="00460036" w:rsidRPr="00487162" w:rsidRDefault="00460036" w:rsidP="00E45619">
            <w:pPr>
              <w:rPr>
                <w:i/>
              </w:rPr>
            </w:pPr>
            <w:r w:rsidRPr="00460036">
              <w:rPr>
                <w:i/>
              </w:rPr>
              <w:t>Pregnancy category</w:t>
            </w:r>
            <w:r>
              <w:rPr>
                <w:i/>
              </w:rPr>
              <w:t>:</w:t>
            </w:r>
          </w:p>
        </w:tc>
        <w:tc>
          <w:tcPr>
            <w:tcW w:w="6307" w:type="dxa"/>
          </w:tcPr>
          <w:p w14:paraId="578A0A6C" w14:textId="77777777" w:rsidR="00460036" w:rsidRDefault="00F11629" w:rsidP="00F11629">
            <w:r>
              <w:t>D</w:t>
            </w:r>
          </w:p>
          <w:p w14:paraId="65BEC43F" w14:textId="77777777" w:rsidR="00F11629" w:rsidRDefault="00F11629" w:rsidP="00F11629">
            <w:r w:rsidRPr="00F11629">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627B9E1E"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F11629">
              <w:t>ces in your State or Territory.</w:t>
            </w:r>
          </w:p>
        </w:tc>
      </w:tr>
    </w:tbl>
    <w:p w14:paraId="015FAF1B" w14:textId="77777777" w:rsidR="008E7846" w:rsidRDefault="008E7846" w:rsidP="008E7846">
      <w:pPr>
        <w:pStyle w:val="Heading3"/>
      </w:pPr>
      <w:bookmarkStart w:id="13" w:name="_Toc247691503"/>
      <w:bookmarkStart w:id="14" w:name="_Toc314842484"/>
      <w:bookmarkStart w:id="15" w:name="_Toc67320882"/>
      <w:r>
        <w:t>Product background</w:t>
      </w:r>
      <w:bookmarkEnd w:id="13"/>
      <w:bookmarkEnd w:id="14"/>
      <w:bookmarkEnd w:id="15"/>
    </w:p>
    <w:p w14:paraId="4ECD4A31" w14:textId="77777777" w:rsidR="008E7846" w:rsidRDefault="00250271" w:rsidP="00940A89">
      <w:r w:rsidRPr="00250271">
        <w:t>This AusPAR d</w:t>
      </w:r>
      <w:r w:rsidR="00AA2195">
        <w:t>escribes the application by Galderma</w:t>
      </w:r>
      <w:r w:rsidR="00230968">
        <w:t xml:space="preserve"> Australia</w:t>
      </w:r>
      <w:r w:rsidR="00AA2195">
        <w:t xml:space="preserve"> Pty Ltd</w:t>
      </w:r>
      <w:r w:rsidRPr="00250271">
        <w:t xml:space="preserve"> (the sponsor) to register </w:t>
      </w:r>
      <w:r w:rsidR="00AA2195">
        <w:t>Aklief (</w:t>
      </w:r>
      <w:r w:rsidR="00AA2195" w:rsidRPr="00AA2195">
        <w:t>trifarotene</w:t>
      </w:r>
      <w:r w:rsidR="00AA2195">
        <w:t>) 50</w:t>
      </w:r>
      <w:r w:rsidR="00987D70">
        <w:t xml:space="preserve"> </w:t>
      </w:r>
      <w:r w:rsidR="00AA2195">
        <w:t>µg/g, cream</w:t>
      </w:r>
      <w:r w:rsidRPr="00250271">
        <w:t xml:space="preserve"> for the following proposed indication</w:t>
      </w:r>
      <w:r w:rsidR="00CF5DAD">
        <w:t>:</w:t>
      </w:r>
    </w:p>
    <w:p w14:paraId="34A41A29" w14:textId="77777777" w:rsidR="00F40382" w:rsidRPr="00F40382" w:rsidRDefault="00F40382" w:rsidP="00F40382">
      <w:pPr>
        <w:autoSpaceDE w:val="0"/>
        <w:autoSpaceDN w:val="0"/>
        <w:adjustRightInd w:val="0"/>
        <w:spacing w:before="0" w:after="0" w:line="240" w:lineRule="auto"/>
        <w:ind w:left="720"/>
        <w:rPr>
          <w:rFonts w:eastAsiaTheme="minorHAnsi" w:cs="Cambria"/>
          <w:i/>
        </w:rPr>
      </w:pPr>
      <w:r w:rsidRPr="00F40382">
        <w:rPr>
          <w:rFonts w:eastAsiaTheme="minorHAnsi" w:cs="Cambria"/>
          <w:i/>
        </w:rPr>
        <w:t>Aklief is indicated for the cutaneous treatment of Acne Vulgaris of the face and/or the trunk in patients from 9 years of age and older, when many comedones, papules and pustules are present.</w:t>
      </w:r>
    </w:p>
    <w:p w14:paraId="168C6C77" w14:textId="77777777" w:rsidR="00EF09F5" w:rsidRPr="00451C2D" w:rsidRDefault="00EF09F5" w:rsidP="00EF09F5">
      <w:r w:rsidRPr="00451C2D">
        <w:t xml:space="preserve">Acne vulgaris </w:t>
      </w:r>
      <w:r w:rsidR="00AF0A4B">
        <w:t xml:space="preserve">(often simply referred to as acne) </w:t>
      </w:r>
      <w:r w:rsidRPr="00451C2D">
        <w:t>is one of the most common skin diseases. Although it is a disease typical of</w:t>
      </w:r>
      <w:r>
        <w:t xml:space="preserve"> </w:t>
      </w:r>
      <w:r w:rsidRPr="00451C2D">
        <w:t>adolescence, with 50% to 95% of teenagers affected by acne in Western countries, it can also affect a si</w:t>
      </w:r>
      <w:r w:rsidR="00FC2A1B">
        <w:t>gnificant proportion of adults.</w:t>
      </w:r>
    </w:p>
    <w:p w14:paraId="2429D558" w14:textId="77777777" w:rsidR="00EF09F5" w:rsidRDefault="00EF09F5" w:rsidP="00EF09F5">
      <w:r w:rsidRPr="00451C2D">
        <w:t>The pathophysiologic factors primarily responsible for influencing the development of acne are sebaceous gland hyperplasia with seborrh</w:t>
      </w:r>
      <w:r w:rsidR="00AF0A4B">
        <w:t>o</w:t>
      </w:r>
      <w:r w:rsidRPr="00451C2D">
        <w:t>ea, altered follic</w:t>
      </w:r>
      <w:r>
        <w:t>ular growth and differentiation</w:t>
      </w:r>
      <w:r w:rsidR="00E20BD2">
        <w:t>, as shown in Figure 1, below</w:t>
      </w:r>
      <w:r>
        <w:t xml:space="preserve">. Acne has a </w:t>
      </w:r>
      <w:r w:rsidRPr="0035271A">
        <w:t>va</w:t>
      </w:r>
      <w:r>
        <w:t xml:space="preserve">riable presentation with a range of lesion </w:t>
      </w:r>
      <w:r w:rsidRPr="0035271A">
        <w:t>types inclu</w:t>
      </w:r>
      <w:r>
        <w:t xml:space="preserve">ding open and closed comedones, </w:t>
      </w:r>
      <w:r w:rsidRPr="0035271A">
        <w:t>papules, pustules, nodules, and cysts.</w:t>
      </w:r>
      <w:r w:rsidR="00E45CC6">
        <w:rPr>
          <w:rStyle w:val="FootnoteReference"/>
        </w:rPr>
        <w:footnoteReference w:id="2"/>
      </w:r>
    </w:p>
    <w:p w14:paraId="73EA48B6" w14:textId="147B320D" w:rsidR="00E82B80" w:rsidRDefault="00E82B80" w:rsidP="00E82B80">
      <w:pPr>
        <w:pStyle w:val="FigureTitle"/>
      </w:pPr>
      <w:bookmarkStart w:id="16" w:name="_Toc53575038"/>
      <w:r w:rsidRPr="00E82B80">
        <w:t xml:space="preserve">Figure </w:t>
      </w:r>
      <w:fldSimple w:instr=" SEQ Figure \* ARABIC ">
        <w:r w:rsidR="00F522B3">
          <w:rPr>
            <w:noProof/>
          </w:rPr>
          <w:t>1</w:t>
        </w:r>
      </w:fldSimple>
      <w:r>
        <w:t>: Pathophysiology of acne vulgaris</w:t>
      </w:r>
      <w:bookmarkEnd w:id="16"/>
    </w:p>
    <w:p w14:paraId="7DF473B6" w14:textId="77777777" w:rsidR="00E82B80" w:rsidRDefault="00E82B80" w:rsidP="00E82B80">
      <w:pPr>
        <w:spacing w:before="0" w:after="0" w:line="240" w:lineRule="auto"/>
        <w:rPr>
          <w:rFonts w:asciiTheme="minorHAnsi" w:hAnsiTheme="minorHAnsi"/>
          <w:b/>
        </w:rPr>
      </w:pPr>
      <w:r w:rsidRPr="00CB10E8">
        <w:rPr>
          <w:rFonts w:asciiTheme="minorHAnsi" w:hAnsiTheme="minorHAnsi"/>
          <w:b/>
          <w:noProof/>
          <w:lang w:eastAsia="en-AU"/>
        </w:rPr>
        <w:drawing>
          <wp:inline distT="0" distB="0" distL="0" distR="0" wp14:anchorId="58675A2C" wp14:editId="0FFB2720">
            <wp:extent cx="5305425" cy="3448561"/>
            <wp:effectExtent l="0" t="0" r="0" b="0"/>
            <wp:docPr id="15" name="Picture 15" descr="Pathogenesis of A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hogenesis of Ac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957" cy="3469707"/>
                    </a:xfrm>
                    <a:prstGeom prst="rect">
                      <a:avLst/>
                    </a:prstGeom>
                    <a:noFill/>
                    <a:ln>
                      <a:noFill/>
                    </a:ln>
                  </pic:spPr>
                </pic:pic>
              </a:graphicData>
            </a:graphic>
          </wp:inline>
        </w:drawing>
      </w:r>
    </w:p>
    <w:p w14:paraId="2608083A" w14:textId="77777777" w:rsidR="00E20BD2" w:rsidRPr="00E20BD2" w:rsidRDefault="00E20BD2" w:rsidP="00760AEE">
      <w:pPr>
        <w:pStyle w:val="FigureDescription"/>
      </w:pPr>
      <w:r>
        <w:t xml:space="preserve">P. acne = </w:t>
      </w:r>
      <w:r w:rsidRPr="008F10D2">
        <w:rPr>
          <w:i/>
        </w:rPr>
        <w:t>Cutibacterium acnes</w:t>
      </w:r>
      <w:r w:rsidRPr="00E20BD2">
        <w:t xml:space="preserve"> (formerly </w:t>
      </w:r>
      <w:r w:rsidRPr="008F10D2">
        <w:rPr>
          <w:i/>
        </w:rPr>
        <w:t>Propionibacterium acnes</w:t>
      </w:r>
      <w:r>
        <w:rPr>
          <w:i/>
        </w:rPr>
        <w:t xml:space="preserve">; </w:t>
      </w:r>
      <w:r>
        <w:t>5α reductase = 5-alpha reductase; DHT = dihydrotestosterone; FFA = free fatty acids.</w:t>
      </w:r>
    </w:p>
    <w:p w14:paraId="1D305D55" w14:textId="6AD13BF8" w:rsidR="00E82B80" w:rsidRPr="00E82B80" w:rsidRDefault="00E82B80" w:rsidP="00E82B80">
      <w:r w:rsidRPr="00CB10E8">
        <w:t>Comedo</w:t>
      </w:r>
      <w:r w:rsidR="00E20BD2">
        <w:t>n</w:t>
      </w:r>
      <w:r w:rsidRPr="00CB10E8">
        <w:t>es are the non-inflammatory types of acne. Papules, pustules, and cysts are</w:t>
      </w:r>
      <w:r>
        <w:t xml:space="preserve"> the inflammatory counterparts.</w:t>
      </w:r>
      <w:r w:rsidR="00E20BD2">
        <w:t xml:space="preserve"> Figure 2, below, demonstrates </w:t>
      </w:r>
      <w:r w:rsidR="00175B08">
        <w:t>the variety</w:t>
      </w:r>
      <w:r w:rsidR="00E20BD2">
        <w:t xml:space="preserve"> of the inflammatory and non-inflammatory types of acne vulgaris.</w:t>
      </w:r>
    </w:p>
    <w:p w14:paraId="63794B8F" w14:textId="3F768C6A" w:rsidR="00E82B80" w:rsidRDefault="00E82B80" w:rsidP="00E82B80">
      <w:pPr>
        <w:pStyle w:val="FigureTitle"/>
      </w:pPr>
      <w:bookmarkStart w:id="17" w:name="_Toc53575039"/>
      <w:r w:rsidRPr="00E82B80">
        <w:t xml:space="preserve">Figure </w:t>
      </w:r>
      <w:fldSimple w:instr=" SEQ Figure \* ARABIC ">
        <w:r w:rsidR="00F522B3">
          <w:rPr>
            <w:noProof/>
          </w:rPr>
          <w:t>2</w:t>
        </w:r>
      </w:fldSimple>
      <w:r>
        <w:t>: Inflammatory and non-inflammatory types of acne vulgaris</w:t>
      </w:r>
      <w:bookmarkEnd w:id="17"/>
      <w:r w:rsidR="00FF4447">
        <w:rPr>
          <w:rStyle w:val="FootnoteReference"/>
        </w:rPr>
        <w:footnoteReference w:id="3"/>
      </w:r>
    </w:p>
    <w:p w14:paraId="4C23AA22" w14:textId="6BCAB595" w:rsidR="00760AEE" w:rsidRPr="00451C2D" w:rsidRDefault="00E82B80" w:rsidP="00E82B80">
      <w:pPr>
        <w:spacing w:before="0" w:after="0" w:line="240" w:lineRule="auto"/>
        <w:rPr>
          <w:rFonts w:asciiTheme="minorHAnsi" w:hAnsiTheme="minorHAnsi"/>
        </w:rPr>
      </w:pPr>
      <w:r w:rsidRPr="00CB10E8">
        <w:rPr>
          <w:rFonts w:asciiTheme="minorHAnsi" w:hAnsiTheme="minorHAnsi"/>
          <w:noProof/>
          <w:lang w:eastAsia="en-AU"/>
        </w:rPr>
        <w:drawing>
          <wp:inline distT="0" distB="0" distL="0" distR="0" wp14:anchorId="3118A1A3" wp14:editId="18FDA7BC">
            <wp:extent cx="5248230" cy="2581275"/>
            <wp:effectExtent l="0" t="0" r="0" b="0"/>
            <wp:docPr id="16" name="Picture 16" descr="Diagram of the inflammatory and non-inflammatory types of acne vulgaris, including microcomedones, later comedones (including closed comedo (white head, with plug) and open comedo (blackhead), papule/pustule, and cyst/n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steps of acne pathogenes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527" cy="2600603"/>
                    </a:xfrm>
                    <a:prstGeom prst="rect">
                      <a:avLst/>
                    </a:prstGeom>
                    <a:noFill/>
                    <a:ln>
                      <a:noFill/>
                    </a:ln>
                  </pic:spPr>
                </pic:pic>
              </a:graphicData>
            </a:graphic>
          </wp:inline>
        </w:drawing>
      </w:r>
    </w:p>
    <w:p w14:paraId="2E1647C1" w14:textId="0DCC761C" w:rsidR="00E82B80" w:rsidRDefault="00E82B80" w:rsidP="00E82B80">
      <w:r w:rsidRPr="00451C2D">
        <w:t>Retinoids exert multiple biological effects that include modulation of cell proliferation and</w:t>
      </w:r>
      <w:r>
        <w:t xml:space="preserve"> </w:t>
      </w:r>
      <w:r w:rsidRPr="00451C2D">
        <w:t>di</w:t>
      </w:r>
      <w:r>
        <w:t>fferentiation, anti-keratinis</w:t>
      </w:r>
      <w:r w:rsidRPr="00451C2D">
        <w:t>ation, alteration of cellular cohesiveness, anti-acne and</w:t>
      </w:r>
      <w:r>
        <w:t xml:space="preserve"> </w:t>
      </w:r>
      <w:r w:rsidRPr="00451C2D">
        <w:t>anti</w:t>
      </w:r>
      <w:r w:rsidR="00175B08">
        <w:noBreakHyphen/>
      </w:r>
      <w:r w:rsidRPr="00451C2D">
        <w:t>seborrh</w:t>
      </w:r>
      <w:r w:rsidR="00175B08">
        <w:t>o</w:t>
      </w:r>
      <w:r w:rsidRPr="00451C2D">
        <w:t>eic effects, immunologic and anti-inflammatory effect, induction of apoptosis and</w:t>
      </w:r>
      <w:r>
        <w:t xml:space="preserve"> </w:t>
      </w:r>
      <w:r w:rsidRPr="00451C2D">
        <w:t>effects on extracellular matrix components in the skin. Retinoids impact cell signalling pathways</w:t>
      </w:r>
      <w:r>
        <w:t xml:space="preserve"> </w:t>
      </w:r>
      <w:r w:rsidRPr="00451C2D">
        <w:t>through</w:t>
      </w:r>
      <w:r w:rsidR="00C0351D">
        <w:t xml:space="preserve"> binding to nuclear receptors: retinoid </w:t>
      </w:r>
      <w:r w:rsidR="00C93BEF">
        <w:t>X</w:t>
      </w:r>
      <w:r w:rsidR="00C0351D">
        <w:t xml:space="preserve"> r</w:t>
      </w:r>
      <w:r w:rsidRPr="00451C2D">
        <w:t xml:space="preserve">eceptors (RXR) </w:t>
      </w:r>
      <w:r w:rsidR="00C0351D">
        <w:t>and retinoic acid r</w:t>
      </w:r>
      <w:r w:rsidR="007966BD">
        <w:t>eceptors (RAR). RAR</w:t>
      </w:r>
      <w:r>
        <w:t xml:space="preserve"> </w:t>
      </w:r>
      <w:r w:rsidRPr="00451C2D">
        <w:t>have</w:t>
      </w:r>
      <w:r>
        <w:t xml:space="preserve"> 3 sub-types α, β and γ. </w:t>
      </w:r>
      <w:r w:rsidR="00175B08">
        <w:t>The retinoic acid receptor gamma (</w:t>
      </w:r>
      <w:r w:rsidRPr="00451C2D">
        <w:t>RAR γ</w:t>
      </w:r>
      <w:r w:rsidR="00175B08">
        <w:t>)</w:t>
      </w:r>
      <w:r w:rsidRPr="00451C2D">
        <w:t xml:space="preserve"> is the receptor subtype</w:t>
      </w:r>
      <w:r>
        <w:t xml:space="preserve"> </w:t>
      </w:r>
      <w:r w:rsidRPr="00451C2D">
        <w:t xml:space="preserve">present </w:t>
      </w:r>
      <w:r w:rsidR="00AE3D62">
        <w:t>in keratinocytes and is recognis</w:t>
      </w:r>
      <w:r w:rsidRPr="00451C2D">
        <w:t xml:space="preserve">ed to be the most relevant in acne over </w:t>
      </w:r>
      <w:r w:rsidR="00175B08">
        <w:t>the retinoic acid receptors alpha and beta (</w:t>
      </w:r>
      <w:r w:rsidRPr="00451C2D">
        <w:t>RAR</w:t>
      </w:r>
      <w:r w:rsidR="00C0351D">
        <w:t xml:space="preserve"> </w:t>
      </w:r>
      <w:r w:rsidRPr="00451C2D">
        <w:t>α and RAR</w:t>
      </w:r>
      <w:r w:rsidR="00C0351D">
        <w:t xml:space="preserve"> </w:t>
      </w:r>
      <w:r w:rsidRPr="00451C2D">
        <w:t>β</w:t>
      </w:r>
      <w:r w:rsidR="00175B08">
        <w:t>)</w:t>
      </w:r>
      <w:r w:rsidRPr="00451C2D">
        <w:t>.</w:t>
      </w:r>
    </w:p>
    <w:p w14:paraId="47EC2DA8" w14:textId="77777777" w:rsidR="00917B1C" w:rsidRPr="00451C2D" w:rsidRDefault="00917B1C" w:rsidP="00E82B80">
      <w:r>
        <w:t>To date, the TGA has approved tretinoin, adapalene and tazarotene as retinoids for the topical treatment of acne vulgaris. Oral isotretinoin</w:t>
      </w:r>
      <w:r w:rsidR="00253340">
        <w:t>, also a retinoid,</w:t>
      </w:r>
      <w:r>
        <w:t xml:space="preserve"> has been approved for the treatment of </w:t>
      </w:r>
      <w:r w:rsidR="00253340">
        <w:t xml:space="preserve">acne vulgaris, whilst </w:t>
      </w:r>
      <w:r>
        <w:t>tretinoin</w:t>
      </w:r>
      <w:r w:rsidR="00253340">
        <w:t xml:space="preserve"> (in oral form)</w:t>
      </w:r>
      <w:r>
        <w:t xml:space="preserve"> is used for the treatment of </w:t>
      </w:r>
      <w:r w:rsidRPr="00917B1C">
        <w:t>acute promyelocytic leuk</w:t>
      </w:r>
      <w:r>
        <w:t>a</w:t>
      </w:r>
      <w:r w:rsidRPr="00917B1C">
        <w:t>emi</w:t>
      </w:r>
      <w:r>
        <w:t>a.</w:t>
      </w:r>
      <w:r w:rsidR="00253340">
        <w:t xml:space="preserve"> Topical tretinoin is also available in combination with clindamycin (an antibiotic) and adapalene is available in combination with benzoyl peroxide.</w:t>
      </w:r>
    </w:p>
    <w:p w14:paraId="4AA06484" w14:textId="77777777" w:rsidR="00940A89" w:rsidRDefault="00250271" w:rsidP="00EF09F5">
      <w:r>
        <w:t>This application was submitted through the TGA’s Comparable Overseas Regulator approach B (COR-B)</w:t>
      </w:r>
      <w:r w:rsidR="007966BD">
        <w:rPr>
          <w:rStyle w:val="FootnoteReference"/>
        </w:rPr>
        <w:footnoteReference w:id="4"/>
      </w:r>
      <w:r>
        <w:t xml:space="preserve"> process, using evaluation reports </w:t>
      </w:r>
      <w:r w:rsidRPr="00EF09F5">
        <w:t xml:space="preserve">from </w:t>
      </w:r>
      <w:r w:rsidR="00E82B80" w:rsidRPr="00E82B80">
        <w:t xml:space="preserve">European Medicines Agency </w:t>
      </w:r>
      <w:r w:rsidR="00E82B80">
        <w:t>(</w:t>
      </w:r>
      <w:r w:rsidR="00EF09F5" w:rsidRPr="00EF09F5">
        <w:t>EMA</w:t>
      </w:r>
      <w:r w:rsidR="00E82B80">
        <w:t>)</w:t>
      </w:r>
      <w:r>
        <w:t>. The full dossier was also submitted to the TGA.</w:t>
      </w:r>
    </w:p>
    <w:p w14:paraId="063CF7AB" w14:textId="77777777" w:rsidR="008E7846" w:rsidRPr="003F31A2" w:rsidRDefault="00386150" w:rsidP="008E7846">
      <w:pPr>
        <w:pStyle w:val="Heading3"/>
      </w:pPr>
      <w:bookmarkStart w:id="18" w:name="_Toc314842485"/>
      <w:bookmarkStart w:id="19" w:name="_Toc247691504"/>
      <w:bookmarkStart w:id="20" w:name="_Toc67320883"/>
      <w:r>
        <w:t>Regulatory s</w:t>
      </w:r>
      <w:r w:rsidR="008E7846">
        <w:t>tatus</w:t>
      </w:r>
      <w:bookmarkEnd w:id="18"/>
      <w:bookmarkEnd w:id="19"/>
      <w:bookmarkEnd w:id="20"/>
    </w:p>
    <w:p w14:paraId="6BF61B2F" w14:textId="77777777" w:rsidR="00940A89" w:rsidRDefault="00006FAB" w:rsidP="00940A89">
      <w:bookmarkStart w:id="21" w:name="_Toc247691505"/>
      <w:bookmarkStart w:id="22" w:name="_Toc314842486"/>
      <w:r w:rsidRPr="00006FAB">
        <w:t>This product is considered a new chemical</w:t>
      </w:r>
      <w:r w:rsidR="00253340">
        <w:t xml:space="preserve"> entity</w:t>
      </w:r>
      <w:r w:rsidRPr="00006FAB">
        <w:t xml:space="preserve"> for Australian regulatory purposes.</w:t>
      </w:r>
    </w:p>
    <w:p w14:paraId="5B7DBF87" w14:textId="36A488A3" w:rsidR="00006FAB" w:rsidRDefault="00006FAB" w:rsidP="00006FAB">
      <w:r>
        <w:t>At the time the TGA considered this application, similar application</w:t>
      </w:r>
      <w:r w:rsidR="00076871">
        <w:t>s</w:t>
      </w:r>
      <w:r>
        <w:t xml:space="preserve"> had been approved in </w:t>
      </w:r>
      <w:r w:rsidR="00FC2A1B">
        <w:t>United States of America (USA) on 4 October 2018, European Union (EU) on 18</w:t>
      </w:r>
      <w:r w:rsidR="00253340">
        <w:t> </w:t>
      </w:r>
      <w:r w:rsidR="00FC2A1B">
        <w:t>December 2019 and Canada on 25 November 2019.</w:t>
      </w:r>
    </w:p>
    <w:p w14:paraId="022975CA" w14:textId="10393AE4" w:rsidR="00324E45" w:rsidRPr="00F0146F" w:rsidRDefault="00324E45" w:rsidP="00324E45">
      <w:pPr>
        <w:pStyle w:val="TableTitle"/>
      </w:pPr>
      <w:r>
        <w:t xml:space="preserve">Table </w:t>
      </w:r>
      <w:fldSimple w:instr=" SEQ Table \* ARABIC ">
        <w:r w:rsidR="00F522B3">
          <w:rPr>
            <w:noProof/>
          </w:rPr>
          <w:t>1</w:t>
        </w:r>
      </w:fldSimple>
      <w:r>
        <w:t>: International regulatory status</w:t>
      </w:r>
    </w:p>
    <w:tbl>
      <w:tblPr>
        <w:tblStyle w:val="TableTGAblue"/>
        <w:tblW w:w="0" w:type="auto"/>
        <w:tblLook w:val="04A0" w:firstRow="1" w:lastRow="0" w:firstColumn="1" w:lastColumn="0" w:noHBand="0" w:noVBand="1"/>
      </w:tblPr>
      <w:tblGrid>
        <w:gridCol w:w="1809"/>
        <w:gridCol w:w="1985"/>
        <w:gridCol w:w="2524"/>
        <w:gridCol w:w="2402"/>
      </w:tblGrid>
      <w:tr w:rsidR="00006FAB" w14:paraId="74E092F7" w14:textId="77777777" w:rsidTr="00BF0F65">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0B986E66" w14:textId="77777777" w:rsidR="00006FAB" w:rsidRDefault="00006FAB" w:rsidP="00006FAB">
            <w:pPr>
              <w:ind w:left="0" w:right="0"/>
            </w:pPr>
            <w:r>
              <w:t>Region</w:t>
            </w:r>
          </w:p>
        </w:tc>
        <w:tc>
          <w:tcPr>
            <w:tcW w:w="1985" w:type="dxa"/>
            <w:tcBorders>
              <w:top w:val="single" w:sz="4" w:space="0" w:color="auto"/>
              <w:left w:val="single" w:sz="4" w:space="0" w:color="auto"/>
              <w:bottom w:val="single" w:sz="4" w:space="0" w:color="auto"/>
              <w:right w:val="single" w:sz="4" w:space="0" w:color="auto"/>
            </w:tcBorders>
          </w:tcPr>
          <w:p w14:paraId="71CFF261" w14:textId="77777777" w:rsidR="00006FAB" w:rsidRDefault="00006FAB" w:rsidP="00006FAB">
            <w:pPr>
              <w:ind w:left="0" w:right="0"/>
            </w:pPr>
            <w:r>
              <w:t>Submission date</w:t>
            </w:r>
          </w:p>
        </w:tc>
        <w:tc>
          <w:tcPr>
            <w:tcW w:w="2524" w:type="dxa"/>
            <w:tcBorders>
              <w:top w:val="single" w:sz="4" w:space="0" w:color="auto"/>
              <w:left w:val="single" w:sz="4" w:space="0" w:color="auto"/>
              <w:bottom w:val="single" w:sz="4" w:space="0" w:color="auto"/>
              <w:right w:val="single" w:sz="4" w:space="0" w:color="auto"/>
            </w:tcBorders>
          </w:tcPr>
          <w:p w14:paraId="51927454" w14:textId="77777777" w:rsidR="00006FAB" w:rsidRDefault="00006FAB" w:rsidP="00006FAB">
            <w:pPr>
              <w:ind w:left="0" w:right="0"/>
            </w:pPr>
            <w:r>
              <w:t>Status</w:t>
            </w:r>
          </w:p>
        </w:tc>
        <w:tc>
          <w:tcPr>
            <w:tcW w:w="2402" w:type="dxa"/>
            <w:tcBorders>
              <w:top w:val="single" w:sz="4" w:space="0" w:color="auto"/>
              <w:left w:val="single" w:sz="4" w:space="0" w:color="auto"/>
              <w:bottom w:val="single" w:sz="4" w:space="0" w:color="auto"/>
              <w:right w:val="single" w:sz="4" w:space="0" w:color="auto"/>
            </w:tcBorders>
          </w:tcPr>
          <w:p w14:paraId="7A85AA3B" w14:textId="77777777" w:rsidR="00006FAB" w:rsidRDefault="00006FAB" w:rsidP="00006FAB">
            <w:pPr>
              <w:ind w:left="0" w:right="0"/>
            </w:pPr>
            <w:r>
              <w:t>Approved indications</w:t>
            </w:r>
          </w:p>
        </w:tc>
      </w:tr>
      <w:tr w:rsidR="00006FAB" w14:paraId="36E8A12D" w14:textId="77777777" w:rsidTr="00BF0F65">
        <w:tc>
          <w:tcPr>
            <w:tcW w:w="1809" w:type="dxa"/>
            <w:tcBorders>
              <w:top w:val="single" w:sz="4" w:space="0" w:color="auto"/>
            </w:tcBorders>
          </w:tcPr>
          <w:p w14:paraId="6672FF8B" w14:textId="77777777" w:rsidR="00006FAB" w:rsidRDefault="00E82B80" w:rsidP="00006FAB">
            <w:pPr>
              <w:ind w:left="0" w:right="0"/>
            </w:pPr>
            <w:r>
              <w:t>United States of America</w:t>
            </w:r>
          </w:p>
        </w:tc>
        <w:tc>
          <w:tcPr>
            <w:tcW w:w="1985" w:type="dxa"/>
            <w:tcBorders>
              <w:top w:val="single" w:sz="4" w:space="0" w:color="auto"/>
            </w:tcBorders>
          </w:tcPr>
          <w:p w14:paraId="64C27466" w14:textId="77777777" w:rsidR="00006FAB" w:rsidRDefault="00E82B80" w:rsidP="00006FAB">
            <w:pPr>
              <w:ind w:left="0" w:right="0"/>
            </w:pPr>
            <w:r>
              <w:t>4 October 2018</w:t>
            </w:r>
          </w:p>
        </w:tc>
        <w:tc>
          <w:tcPr>
            <w:tcW w:w="2524" w:type="dxa"/>
            <w:tcBorders>
              <w:top w:val="single" w:sz="4" w:space="0" w:color="auto"/>
            </w:tcBorders>
          </w:tcPr>
          <w:p w14:paraId="12F86565" w14:textId="4D1E7D9D" w:rsidR="00006FAB" w:rsidRDefault="00E82B80" w:rsidP="00006FAB">
            <w:pPr>
              <w:ind w:left="0" w:right="0"/>
            </w:pPr>
            <w:r>
              <w:t>Approved on 4</w:t>
            </w:r>
            <w:r w:rsidR="00076871">
              <w:t> </w:t>
            </w:r>
            <w:r>
              <w:t>October 2019</w:t>
            </w:r>
          </w:p>
        </w:tc>
        <w:tc>
          <w:tcPr>
            <w:tcW w:w="2402" w:type="dxa"/>
            <w:tcBorders>
              <w:top w:val="single" w:sz="4" w:space="0" w:color="auto"/>
            </w:tcBorders>
          </w:tcPr>
          <w:p w14:paraId="5E567C3A" w14:textId="33BCA6D0" w:rsidR="00006FAB" w:rsidRDefault="00171A00" w:rsidP="00171A00">
            <w:pPr>
              <w:ind w:left="0"/>
            </w:pPr>
            <w:r w:rsidRPr="00171A00">
              <w:rPr>
                <w:i/>
              </w:rPr>
              <w:t>Aklief (trifarotene) cream for the topical treatment of acne vulgaris in patients 9</w:t>
            </w:r>
            <w:r w:rsidR="00076871">
              <w:rPr>
                <w:i/>
              </w:rPr>
              <w:t> </w:t>
            </w:r>
            <w:r w:rsidRPr="00171A00">
              <w:rPr>
                <w:i/>
              </w:rPr>
              <w:t>years of age and older</w:t>
            </w:r>
            <w:r>
              <w:t>.</w:t>
            </w:r>
          </w:p>
        </w:tc>
      </w:tr>
      <w:tr w:rsidR="00006FAB" w14:paraId="7B9A94E4" w14:textId="77777777" w:rsidTr="00BF0F65">
        <w:tc>
          <w:tcPr>
            <w:tcW w:w="1809" w:type="dxa"/>
          </w:tcPr>
          <w:p w14:paraId="157C089A" w14:textId="77777777" w:rsidR="00E82B80" w:rsidRDefault="00E82B80" w:rsidP="00006FAB">
            <w:pPr>
              <w:ind w:left="0" w:right="0"/>
            </w:pPr>
            <w:r>
              <w:t>European Union</w:t>
            </w:r>
          </w:p>
        </w:tc>
        <w:tc>
          <w:tcPr>
            <w:tcW w:w="1985" w:type="dxa"/>
          </w:tcPr>
          <w:p w14:paraId="5262B9D6" w14:textId="77777777" w:rsidR="00006FAB" w:rsidRDefault="00E82B80" w:rsidP="00006FAB">
            <w:pPr>
              <w:ind w:left="0" w:right="0"/>
            </w:pPr>
            <w:r>
              <w:t>31 October 2018</w:t>
            </w:r>
          </w:p>
        </w:tc>
        <w:tc>
          <w:tcPr>
            <w:tcW w:w="2524" w:type="dxa"/>
          </w:tcPr>
          <w:p w14:paraId="308021EE" w14:textId="02B8FBFD" w:rsidR="00006FAB" w:rsidRDefault="00E82B80" w:rsidP="00006FAB">
            <w:pPr>
              <w:ind w:left="0" w:right="0"/>
            </w:pPr>
            <w:r>
              <w:t>Approved on 18</w:t>
            </w:r>
            <w:r w:rsidR="00076871">
              <w:t> </w:t>
            </w:r>
            <w:r>
              <w:t>December 2019</w:t>
            </w:r>
          </w:p>
        </w:tc>
        <w:tc>
          <w:tcPr>
            <w:tcW w:w="2402" w:type="dxa"/>
          </w:tcPr>
          <w:p w14:paraId="3EA28379" w14:textId="6A0E9CCB" w:rsidR="00006FAB" w:rsidRPr="00171A00" w:rsidRDefault="00171A00" w:rsidP="00171A00">
            <w:pPr>
              <w:ind w:left="0"/>
              <w:rPr>
                <w:i/>
              </w:rPr>
            </w:pPr>
            <w:r w:rsidRPr="00171A00">
              <w:rPr>
                <w:i/>
              </w:rPr>
              <w:t>Aklief is indicated for the cutaneous treatment of Acne Vulgaris of the face and/or the trunk in patients from 12</w:t>
            </w:r>
            <w:r w:rsidR="00076871">
              <w:rPr>
                <w:i/>
              </w:rPr>
              <w:t> </w:t>
            </w:r>
            <w:r w:rsidRPr="00171A00">
              <w:rPr>
                <w:i/>
              </w:rPr>
              <w:t>years of age and older, when many comedones, papules and pustules are present.</w:t>
            </w:r>
          </w:p>
        </w:tc>
      </w:tr>
      <w:tr w:rsidR="00E82B80" w14:paraId="41FA07B1" w14:textId="77777777" w:rsidTr="00BF0F65">
        <w:tc>
          <w:tcPr>
            <w:tcW w:w="1809" w:type="dxa"/>
          </w:tcPr>
          <w:p w14:paraId="744EEA28" w14:textId="77777777" w:rsidR="00E82B80" w:rsidRDefault="00E82B80" w:rsidP="00E82B80">
            <w:pPr>
              <w:ind w:left="0"/>
            </w:pPr>
            <w:r>
              <w:t>Canada</w:t>
            </w:r>
          </w:p>
        </w:tc>
        <w:tc>
          <w:tcPr>
            <w:tcW w:w="1985" w:type="dxa"/>
          </w:tcPr>
          <w:p w14:paraId="127A0023" w14:textId="77777777" w:rsidR="00E82B80" w:rsidRDefault="00E82B80" w:rsidP="00E82B80">
            <w:pPr>
              <w:ind w:left="0"/>
            </w:pPr>
            <w:r>
              <w:t>30 November 2018</w:t>
            </w:r>
          </w:p>
        </w:tc>
        <w:tc>
          <w:tcPr>
            <w:tcW w:w="2524" w:type="dxa"/>
          </w:tcPr>
          <w:p w14:paraId="6D63FF13" w14:textId="72A0DDE3" w:rsidR="00E82B80" w:rsidRDefault="00E82B80" w:rsidP="00E82B80">
            <w:pPr>
              <w:ind w:left="0"/>
            </w:pPr>
            <w:r>
              <w:t>Approved on 25</w:t>
            </w:r>
            <w:r w:rsidR="00076871">
              <w:t> </w:t>
            </w:r>
            <w:r>
              <w:t>November 2019</w:t>
            </w:r>
          </w:p>
        </w:tc>
        <w:tc>
          <w:tcPr>
            <w:tcW w:w="2402" w:type="dxa"/>
          </w:tcPr>
          <w:p w14:paraId="303D7D3B" w14:textId="1147A561" w:rsidR="00E82B80" w:rsidRPr="001E7574" w:rsidRDefault="00171A00" w:rsidP="00171A00">
            <w:pPr>
              <w:ind w:left="0"/>
              <w:rPr>
                <w:i/>
              </w:rPr>
            </w:pPr>
            <w:r w:rsidRPr="001E7574">
              <w:rPr>
                <w:i/>
              </w:rPr>
              <w:t>Aklief (trifar</w:t>
            </w:r>
            <w:r w:rsidR="00987D70">
              <w:rPr>
                <w:i/>
              </w:rPr>
              <w:t>otene 50</w:t>
            </w:r>
            <w:r w:rsidR="00076871">
              <w:rPr>
                <w:i/>
              </w:rPr>
              <w:t> </w:t>
            </w:r>
            <w:r w:rsidR="00987D70">
              <w:rPr>
                <w:i/>
              </w:rPr>
              <w:t>µ</w:t>
            </w:r>
            <w:r w:rsidR="001E7574" w:rsidRPr="001E7574">
              <w:rPr>
                <w:i/>
              </w:rPr>
              <w:t xml:space="preserve">g/g) topical cream is </w:t>
            </w:r>
            <w:r w:rsidRPr="001E7574">
              <w:rPr>
                <w:i/>
              </w:rPr>
              <w:t>indicated for the top</w:t>
            </w:r>
            <w:r w:rsidR="001E7574" w:rsidRPr="001E7574">
              <w:rPr>
                <w:i/>
              </w:rPr>
              <w:t xml:space="preserve">ical treatment of acne vulgaris </w:t>
            </w:r>
            <w:r w:rsidRPr="001E7574">
              <w:rPr>
                <w:i/>
              </w:rPr>
              <w:t>of the face and/or th</w:t>
            </w:r>
            <w:r w:rsidR="001E7574" w:rsidRPr="001E7574">
              <w:rPr>
                <w:i/>
              </w:rPr>
              <w:t xml:space="preserve">e trunk in patients 12 years of </w:t>
            </w:r>
            <w:r w:rsidRPr="001E7574">
              <w:rPr>
                <w:i/>
              </w:rPr>
              <w:t>age and older.</w:t>
            </w:r>
          </w:p>
        </w:tc>
      </w:tr>
    </w:tbl>
    <w:p w14:paraId="3005E12D" w14:textId="77777777" w:rsidR="008E7846" w:rsidRDefault="008E7846" w:rsidP="00940A89">
      <w:pPr>
        <w:pStyle w:val="Heading3"/>
      </w:pPr>
      <w:bookmarkStart w:id="23" w:name="_Toc67320884"/>
      <w:r>
        <w:t>Product Information</w:t>
      </w:r>
      <w:bookmarkEnd w:id="21"/>
      <w:bookmarkEnd w:id="22"/>
      <w:bookmarkEnd w:id="23"/>
    </w:p>
    <w:p w14:paraId="6C9C46F3" w14:textId="7E94EFC7" w:rsidR="00006FAB" w:rsidRDefault="006136D7" w:rsidP="00171A00">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14:paraId="425ABCAE" w14:textId="77777777" w:rsidR="00500337" w:rsidRDefault="00500337" w:rsidP="00500337">
      <w:pPr>
        <w:pStyle w:val="Heading2"/>
      </w:pPr>
      <w:bookmarkStart w:id="26" w:name="_Toc504480011"/>
      <w:bookmarkStart w:id="27" w:name="_Toc67320885"/>
      <w:r>
        <w:t>II. Registration timeline</w:t>
      </w:r>
      <w:bookmarkEnd w:id="26"/>
      <w:bookmarkEnd w:id="27"/>
    </w:p>
    <w:p w14:paraId="2E054856" w14:textId="77777777" w:rsidR="00500337" w:rsidRDefault="00500337" w:rsidP="00500337">
      <w:r>
        <w:t>The following table captures the key steps and dates for this application and which are detailed and discussed in this AusPAR.</w:t>
      </w:r>
    </w:p>
    <w:p w14:paraId="1BB4DF04" w14:textId="253C66D6" w:rsidR="00500337" w:rsidRPr="00377BD4" w:rsidRDefault="00A01A43" w:rsidP="00A01A43">
      <w:pPr>
        <w:pStyle w:val="TableTitle"/>
      </w:pPr>
      <w:r w:rsidRPr="00A01A43">
        <w:t xml:space="preserve">Table </w:t>
      </w:r>
      <w:fldSimple w:instr=" SEQ Table \* ARABIC ">
        <w:r w:rsidR="00F522B3">
          <w:rPr>
            <w:noProof/>
          </w:rPr>
          <w:t>2</w:t>
        </w:r>
      </w:fldSimple>
      <w:r w:rsidR="00006FAB">
        <w:t>:</w:t>
      </w:r>
      <w:r w:rsidR="006A58A8" w:rsidRPr="006A58A8">
        <w:t xml:space="preserve"> Timeline for Submission PM-20</w:t>
      </w:r>
      <w:r w:rsidR="00324E45">
        <w:t>2</w:t>
      </w:r>
      <w:r w:rsidR="001E7574">
        <w:t>0-01095-1-1</w:t>
      </w:r>
    </w:p>
    <w:tbl>
      <w:tblPr>
        <w:tblStyle w:val="TableTGAblue"/>
        <w:tblW w:w="0" w:type="auto"/>
        <w:tblLook w:val="04A0" w:firstRow="1" w:lastRow="0" w:firstColumn="1" w:lastColumn="0" w:noHBand="0" w:noVBand="1"/>
      </w:tblPr>
      <w:tblGrid>
        <w:gridCol w:w="5920"/>
        <w:gridCol w:w="2800"/>
      </w:tblGrid>
      <w:tr w:rsidR="00500337" w14:paraId="74D7BC95" w14:textId="77777777" w:rsidTr="006A6DCA">
        <w:trPr>
          <w:cnfStyle w:val="100000000000" w:firstRow="1" w:lastRow="0" w:firstColumn="0" w:lastColumn="0" w:oddVBand="0" w:evenVBand="0" w:oddHBand="0" w:evenHBand="0" w:firstRowFirstColumn="0" w:firstRowLastColumn="0" w:lastRowFirstColumn="0" w:lastRowLastColumn="0"/>
          <w:cantSplit/>
        </w:trPr>
        <w:tc>
          <w:tcPr>
            <w:tcW w:w="5920" w:type="dxa"/>
            <w:tcBorders>
              <w:top w:val="single" w:sz="4" w:space="0" w:color="auto"/>
              <w:left w:val="single" w:sz="4" w:space="0" w:color="auto"/>
              <w:bottom w:val="single" w:sz="4" w:space="0" w:color="auto"/>
              <w:right w:val="single" w:sz="4" w:space="0" w:color="auto"/>
            </w:tcBorders>
          </w:tcPr>
          <w:p w14:paraId="04DC52C8" w14:textId="77777777" w:rsidR="00500337" w:rsidRDefault="00500337" w:rsidP="00500337">
            <w:pPr>
              <w:ind w:left="0" w:right="0"/>
            </w:pPr>
            <w:r>
              <w:t>Description</w:t>
            </w:r>
          </w:p>
        </w:tc>
        <w:tc>
          <w:tcPr>
            <w:tcW w:w="2800" w:type="dxa"/>
            <w:tcBorders>
              <w:top w:val="single" w:sz="4" w:space="0" w:color="auto"/>
              <w:left w:val="single" w:sz="4" w:space="0" w:color="auto"/>
              <w:bottom w:val="single" w:sz="4" w:space="0" w:color="auto"/>
              <w:right w:val="single" w:sz="4" w:space="0" w:color="auto"/>
            </w:tcBorders>
          </w:tcPr>
          <w:p w14:paraId="13606A39" w14:textId="77777777" w:rsidR="00500337" w:rsidRDefault="00500337" w:rsidP="00500337">
            <w:pPr>
              <w:ind w:left="0" w:right="0"/>
            </w:pPr>
            <w:r>
              <w:t>Date</w:t>
            </w:r>
          </w:p>
        </w:tc>
      </w:tr>
      <w:tr w:rsidR="00500337" w14:paraId="28FC6A87" w14:textId="77777777" w:rsidTr="006A6DCA">
        <w:tc>
          <w:tcPr>
            <w:tcW w:w="5920" w:type="dxa"/>
            <w:tcBorders>
              <w:top w:val="single" w:sz="4" w:space="0" w:color="auto"/>
            </w:tcBorders>
          </w:tcPr>
          <w:p w14:paraId="136AA2F5" w14:textId="77777777" w:rsidR="00500337" w:rsidRPr="003521DB" w:rsidRDefault="00500337" w:rsidP="00500337">
            <w:pPr>
              <w:ind w:left="0" w:right="0"/>
            </w:pPr>
            <w:r w:rsidRPr="003521DB">
              <w:t>Submission dossier accepted and first round evaluation commenced</w:t>
            </w:r>
          </w:p>
        </w:tc>
        <w:tc>
          <w:tcPr>
            <w:tcW w:w="2800" w:type="dxa"/>
            <w:tcBorders>
              <w:top w:val="single" w:sz="4" w:space="0" w:color="auto"/>
            </w:tcBorders>
          </w:tcPr>
          <w:p w14:paraId="7CFA4A2C" w14:textId="77777777" w:rsidR="00500337" w:rsidRPr="003521DB" w:rsidRDefault="003521DB" w:rsidP="00500337">
            <w:pPr>
              <w:ind w:left="0" w:right="0"/>
            </w:pPr>
            <w:r w:rsidRPr="003521DB">
              <w:t>30 April 2020</w:t>
            </w:r>
          </w:p>
        </w:tc>
      </w:tr>
      <w:tr w:rsidR="00500337" w14:paraId="03607818" w14:textId="77777777" w:rsidTr="006A6DCA">
        <w:tc>
          <w:tcPr>
            <w:tcW w:w="5920" w:type="dxa"/>
          </w:tcPr>
          <w:p w14:paraId="768F9049" w14:textId="77777777" w:rsidR="00500337" w:rsidRPr="003521DB" w:rsidRDefault="00500337" w:rsidP="00500337">
            <w:pPr>
              <w:ind w:left="0" w:right="0"/>
            </w:pPr>
            <w:r w:rsidRPr="003521DB">
              <w:t>First round evaluation completed</w:t>
            </w:r>
          </w:p>
        </w:tc>
        <w:tc>
          <w:tcPr>
            <w:tcW w:w="2800" w:type="dxa"/>
          </w:tcPr>
          <w:p w14:paraId="7C9F3927" w14:textId="77777777" w:rsidR="00500337" w:rsidRPr="003521DB" w:rsidRDefault="003521DB" w:rsidP="00500337">
            <w:pPr>
              <w:ind w:left="0" w:right="0"/>
            </w:pPr>
            <w:r w:rsidRPr="003521DB">
              <w:t>28 August 2020</w:t>
            </w:r>
          </w:p>
        </w:tc>
      </w:tr>
      <w:tr w:rsidR="00500337" w14:paraId="146CA6C3" w14:textId="77777777" w:rsidTr="006A6DCA">
        <w:tc>
          <w:tcPr>
            <w:tcW w:w="5920" w:type="dxa"/>
          </w:tcPr>
          <w:p w14:paraId="26EBEBFD" w14:textId="77777777" w:rsidR="00500337" w:rsidRPr="003521DB" w:rsidRDefault="00500337" w:rsidP="00500337">
            <w:pPr>
              <w:ind w:left="0" w:right="0"/>
            </w:pPr>
            <w:r w:rsidRPr="003521DB">
              <w:t>Sponsor provides responses on questions raised in first round evaluation</w:t>
            </w:r>
          </w:p>
        </w:tc>
        <w:tc>
          <w:tcPr>
            <w:tcW w:w="2800" w:type="dxa"/>
          </w:tcPr>
          <w:p w14:paraId="43C91663" w14:textId="77777777" w:rsidR="00500337" w:rsidRPr="003521DB" w:rsidRDefault="003521DB" w:rsidP="00500337">
            <w:pPr>
              <w:ind w:left="0" w:right="0"/>
            </w:pPr>
            <w:r w:rsidRPr="003521DB">
              <w:t>28 September 2020</w:t>
            </w:r>
          </w:p>
        </w:tc>
      </w:tr>
      <w:tr w:rsidR="00500337" w14:paraId="56DA1D90" w14:textId="77777777" w:rsidTr="006A6DCA">
        <w:tc>
          <w:tcPr>
            <w:tcW w:w="5920" w:type="dxa"/>
          </w:tcPr>
          <w:p w14:paraId="274655AB" w14:textId="77777777" w:rsidR="00500337" w:rsidRDefault="00500337" w:rsidP="00500337">
            <w:pPr>
              <w:ind w:left="0" w:right="0"/>
            </w:pPr>
            <w:r>
              <w:t>Second round evaluation completed</w:t>
            </w:r>
          </w:p>
        </w:tc>
        <w:tc>
          <w:tcPr>
            <w:tcW w:w="2800" w:type="dxa"/>
          </w:tcPr>
          <w:p w14:paraId="505137E5" w14:textId="77777777" w:rsidR="00500337" w:rsidRDefault="001E7574" w:rsidP="00500337">
            <w:pPr>
              <w:ind w:left="0" w:right="0"/>
            </w:pPr>
            <w:r>
              <w:t>15 October 2020</w:t>
            </w:r>
          </w:p>
        </w:tc>
      </w:tr>
      <w:tr w:rsidR="00500337" w14:paraId="3A0ED2D8" w14:textId="77777777" w:rsidTr="006A6DCA">
        <w:tc>
          <w:tcPr>
            <w:tcW w:w="5920" w:type="dxa"/>
          </w:tcPr>
          <w:p w14:paraId="08AD0132" w14:textId="77777777" w:rsidR="00500337" w:rsidRDefault="00324E45" w:rsidP="001E7574">
            <w:pPr>
              <w:ind w:left="0" w:right="0"/>
            </w:pPr>
            <w:r>
              <w:t xml:space="preserve">Delegate’s Overall benefit-risk assessment </w:t>
            </w:r>
            <w:r w:rsidRPr="001E7574">
              <w:rPr>
                <w:color w:val="auto"/>
              </w:rPr>
              <w:t>and reques</w:t>
            </w:r>
            <w:r w:rsidR="001E7574" w:rsidRPr="001E7574">
              <w:rPr>
                <w:color w:val="auto"/>
              </w:rPr>
              <w:t>t for Advisory Committee advice</w:t>
            </w:r>
          </w:p>
        </w:tc>
        <w:tc>
          <w:tcPr>
            <w:tcW w:w="2800" w:type="dxa"/>
          </w:tcPr>
          <w:p w14:paraId="70139382" w14:textId="77777777" w:rsidR="00500337" w:rsidRDefault="001E7574" w:rsidP="00500337">
            <w:pPr>
              <w:ind w:left="0" w:right="0"/>
            </w:pPr>
            <w:r>
              <w:t>3 November 2020</w:t>
            </w:r>
          </w:p>
        </w:tc>
      </w:tr>
      <w:tr w:rsidR="00500337" w14:paraId="224CD777" w14:textId="77777777" w:rsidTr="006A6DCA">
        <w:tc>
          <w:tcPr>
            <w:tcW w:w="5920" w:type="dxa"/>
          </w:tcPr>
          <w:p w14:paraId="65BB829B" w14:textId="77777777" w:rsidR="00500337" w:rsidRDefault="00500337" w:rsidP="00500337">
            <w:pPr>
              <w:ind w:left="0" w:right="0"/>
            </w:pPr>
            <w:r>
              <w:t>Sponsor’s pre-Advisory Committee response</w:t>
            </w:r>
          </w:p>
        </w:tc>
        <w:tc>
          <w:tcPr>
            <w:tcW w:w="2800" w:type="dxa"/>
          </w:tcPr>
          <w:p w14:paraId="658E61DA" w14:textId="77777777" w:rsidR="00500337" w:rsidRDefault="001E7574" w:rsidP="00500337">
            <w:pPr>
              <w:ind w:left="0" w:right="0"/>
            </w:pPr>
            <w:r>
              <w:t>12 November 2020</w:t>
            </w:r>
          </w:p>
        </w:tc>
      </w:tr>
      <w:tr w:rsidR="00500337" w14:paraId="01F0A7D9" w14:textId="77777777" w:rsidTr="006A6DCA">
        <w:tc>
          <w:tcPr>
            <w:tcW w:w="5920" w:type="dxa"/>
          </w:tcPr>
          <w:p w14:paraId="78F2BFF3" w14:textId="77777777" w:rsidR="00500337" w:rsidRDefault="00500337" w:rsidP="00500337">
            <w:pPr>
              <w:ind w:left="0" w:right="0"/>
            </w:pPr>
            <w:r>
              <w:t>Advisory Committee meeting</w:t>
            </w:r>
          </w:p>
        </w:tc>
        <w:tc>
          <w:tcPr>
            <w:tcW w:w="2800" w:type="dxa"/>
          </w:tcPr>
          <w:p w14:paraId="13BAD7AC" w14:textId="77777777" w:rsidR="00500337" w:rsidRDefault="001E7574" w:rsidP="00500337">
            <w:pPr>
              <w:ind w:left="0" w:right="0"/>
            </w:pPr>
            <w:r>
              <w:t>3 and 4 December 2020</w:t>
            </w:r>
          </w:p>
        </w:tc>
      </w:tr>
      <w:tr w:rsidR="00500337" w14:paraId="62215E7E" w14:textId="77777777" w:rsidTr="006A6DCA">
        <w:tc>
          <w:tcPr>
            <w:tcW w:w="5920" w:type="dxa"/>
          </w:tcPr>
          <w:p w14:paraId="0863D274" w14:textId="77777777" w:rsidR="00500337" w:rsidRDefault="00500337" w:rsidP="00500337">
            <w:pPr>
              <w:ind w:left="0" w:right="0"/>
            </w:pPr>
            <w:r>
              <w:t>Registration decision (Outcome)</w:t>
            </w:r>
          </w:p>
        </w:tc>
        <w:tc>
          <w:tcPr>
            <w:tcW w:w="2800" w:type="dxa"/>
          </w:tcPr>
          <w:p w14:paraId="788D5C78" w14:textId="77777777" w:rsidR="00500337" w:rsidRDefault="001E7574" w:rsidP="00500337">
            <w:pPr>
              <w:ind w:left="0" w:right="0"/>
            </w:pPr>
            <w:r>
              <w:t>11 January 2021</w:t>
            </w:r>
          </w:p>
        </w:tc>
      </w:tr>
      <w:tr w:rsidR="00500337" w14:paraId="529B4199" w14:textId="77777777" w:rsidTr="006A6DCA">
        <w:tc>
          <w:tcPr>
            <w:tcW w:w="5920" w:type="dxa"/>
          </w:tcPr>
          <w:p w14:paraId="353302E2" w14:textId="77777777" w:rsidR="00500337" w:rsidRDefault="00500337" w:rsidP="00500337">
            <w:pPr>
              <w:ind w:left="0" w:right="0"/>
            </w:pPr>
            <w:r>
              <w:t xml:space="preserve">Completion of administrative activities and registration on </w:t>
            </w:r>
            <w:r w:rsidR="00006FAB">
              <w:t xml:space="preserve">the </w:t>
            </w:r>
            <w:r>
              <w:t>ARTG</w:t>
            </w:r>
          </w:p>
        </w:tc>
        <w:tc>
          <w:tcPr>
            <w:tcW w:w="2800" w:type="dxa"/>
          </w:tcPr>
          <w:p w14:paraId="01025C4A" w14:textId="77777777" w:rsidR="00500337" w:rsidRDefault="001E7574" w:rsidP="00500337">
            <w:pPr>
              <w:ind w:left="0" w:right="0"/>
            </w:pPr>
            <w:r>
              <w:t>18 January 2021</w:t>
            </w:r>
          </w:p>
        </w:tc>
      </w:tr>
      <w:tr w:rsidR="00500337" w14:paraId="43EFF606" w14:textId="77777777" w:rsidTr="006A6DCA">
        <w:tc>
          <w:tcPr>
            <w:tcW w:w="5920" w:type="dxa"/>
          </w:tcPr>
          <w:p w14:paraId="293065B3" w14:textId="77777777" w:rsidR="00500337" w:rsidRDefault="00500337" w:rsidP="00500337">
            <w:pPr>
              <w:ind w:left="0" w:right="0"/>
            </w:pPr>
            <w:r>
              <w:t>Number of working days from submission dossier acceptance to registration decision*</w:t>
            </w:r>
          </w:p>
        </w:tc>
        <w:tc>
          <w:tcPr>
            <w:tcW w:w="2800" w:type="dxa"/>
          </w:tcPr>
          <w:p w14:paraId="40BA3E2C" w14:textId="77777777" w:rsidR="00500337" w:rsidRDefault="001E7574" w:rsidP="00500337">
            <w:pPr>
              <w:ind w:left="0" w:right="0"/>
            </w:pPr>
            <w:r>
              <w:t>166</w:t>
            </w:r>
          </w:p>
        </w:tc>
      </w:tr>
    </w:tbl>
    <w:p w14:paraId="67BE2E6D" w14:textId="77777777" w:rsidR="00006FAB" w:rsidRDefault="00006FAB" w:rsidP="00500337">
      <w:pPr>
        <w:pStyle w:val="TableDescription"/>
      </w:pPr>
      <w:r w:rsidRPr="00006FAB">
        <w:t>* The COR-B process has a 175 working day evaluation and decision timeframe.</w:t>
      </w:r>
    </w:p>
    <w:p w14:paraId="0607FB2B" w14:textId="77777777" w:rsidR="008E7846" w:rsidRPr="00792A32" w:rsidRDefault="00456765" w:rsidP="008E7846">
      <w:pPr>
        <w:pStyle w:val="Heading2"/>
      </w:pPr>
      <w:bookmarkStart w:id="28" w:name="_Toc196046504"/>
      <w:bookmarkStart w:id="29" w:name="_Toc247691527"/>
      <w:bookmarkStart w:id="30" w:name="_Toc314842510"/>
      <w:bookmarkStart w:id="31" w:name="_Toc163441390"/>
      <w:bookmarkStart w:id="32" w:name="_Toc67320886"/>
      <w:bookmarkEnd w:id="24"/>
      <w:bookmarkEnd w:id="25"/>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7B3B65DA" w14:textId="77777777" w:rsidR="00006FAB" w:rsidRDefault="00006FAB" w:rsidP="00006FAB">
      <w:bookmarkStart w:id="33" w:name="_Toc247691528"/>
      <w:r>
        <w:t>This section is a TGA summary of wording used in TGA’s evaluation report, which discussed numerous aspects of overseas evaluation reports and included some information that was commercial-in-confidence.</w:t>
      </w:r>
    </w:p>
    <w:p w14:paraId="30BF561B" w14:textId="77777777" w:rsidR="00E45619" w:rsidRDefault="008E7846" w:rsidP="008E38D3">
      <w:pPr>
        <w:pStyle w:val="Heading3"/>
      </w:pPr>
      <w:bookmarkStart w:id="34" w:name="_Toc314842511"/>
      <w:bookmarkStart w:id="35" w:name="_Toc67320887"/>
      <w:r>
        <w:t>Quality</w:t>
      </w:r>
      <w:bookmarkEnd w:id="33"/>
      <w:bookmarkEnd w:id="34"/>
      <w:bookmarkEnd w:id="35"/>
    </w:p>
    <w:p w14:paraId="375711AA" w14:textId="77777777" w:rsidR="008E38D3" w:rsidRDefault="008E38D3" w:rsidP="008E38D3">
      <w:r>
        <w:t>Pharmaceutical chemistry and microbiology evalua</w:t>
      </w:r>
      <w:r w:rsidR="000163D5">
        <w:t>tors have recommended approval.</w:t>
      </w:r>
    </w:p>
    <w:p w14:paraId="224D8804" w14:textId="77777777" w:rsidR="00076871" w:rsidRDefault="00076871" w:rsidP="008E38D3">
      <w:r>
        <w:t>Figure 3, shown below, demonstrates the chemical structure of trifarotene.</w:t>
      </w:r>
    </w:p>
    <w:p w14:paraId="1367D274" w14:textId="0F61DBCA" w:rsidR="000163D5" w:rsidRDefault="000163D5" w:rsidP="000163D5">
      <w:pPr>
        <w:pStyle w:val="FigureTitle"/>
      </w:pPr>
      <w:r w:rsidRPr="000163D5">
        <w:t xml:space="preserve">Figure </w:t>
      </w:r>
      <w:fldSimple w:instr=" SEQ Figure \* ARABIC ">
        <w:r w:rsidR="00F522B3">
          <w:rPr>
            <w:noProof/>
          </w:rPr>
          <w:t>3</w:t>
        </w:r>
      </w:fldSimple>
      <w:r>
        <w:t xml:space="preserve">: Chemical structure of </w:t>
      </w:r>
      <w:r w:rsidR="00076871">
        <w:t>trifarotene (</w:t>
      </w:r>
      <w:r>
        <w:t>Aklief</w:t>
      </w:r>
      <w:r w:rsidR="00076871">
        <w:t>)</w:t>
      </w:r>
    </w:p>
    <w:p w14:paraId="11016D2E" w14:textId="77777777" w:rsidR="000163D5" w:rsidRPr="000163D5" w:rsidRDefault="000163D5" w:rsidP="000163D5">
      <w:r w:rsidRPr="00642CF2">
        <w:rPr>
          <w:noProof/>
          <w:lang w:eastAsia="en-AU"/>
        </w:rPr>
        <w:drawing>
          <wp:inline distT="0" distB="0" distL="0" distR="0" wp14:anchorId="56188FA4" wp14:editId="074B7733">
            <wp:extent cx="2662328" cy="1419908"/>
            <wp:effectExtent l="0" t="0" r="5080" b="8890"/>
            <wp:docPr id="3" name="Picture 3" descr="Chemical structure of Ak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1868" cy="1424996"/>
                    </a:xfrm>
                    <a:prstGeom prst="rect">
                      <a:avLst/>
                    </a:prstGeom>
                  </pic:spPr>
                </pic:pic>
              </a:graphicData>
            </a:graphic>
          </wp:inline>
        </w:drawing>
      </w:r>
    </w:p>
    <w:p w14:paraId="7EC64AA9" w14:textId="77777777" w:rsidR="008E38D3" w:rsidRDefault="008E38D3" w:rsidP="008E38D3">
      <w:r>
        <w:t>The following are the evaluator's comments:</w:t>
      </w:r>
    </w:p>
    <w:p w14:paraId="182B2424" w14:textId="76A99C4B" w:rsidR="008E38D3" w:rsidRDefault="008E38D3" w:rsidP="008E38D3">
      <w:r>
        <w:t>Trifarotene is</w:t>
      </w:r>
      <w:r w:rsidRPr="00BF3690">
        <w:t xml:space="preserve"> formulated as a semi-solid, light, oil-in water emulsion and appears as a white, homogenous cream containing trifarotene 50 </w:t>
      </w:r>
      <w:r w:rsidR="00FC2A1B">
        <w:t>µg</w:t>
      </w:r>
      <w:r w:rsidRPr="00BF3690">
        <w:t>/g (0.005%</w:t>
      </w:r>
      <w:r w:rsidR="00076871">
        <w:t xml:space="preserve"> weight/weight (</w:t>
      </w:r>
      <w:r w:rsidRPr="00BF3690">
        <w:t>w/w</w:t>
      </w:r>
      <w:r w:rsidR="00076871">
        <w:t>)</w:t>
      </w:r>
      <w:r w:rsidRPr="00BF3690">
        <w:t>).</w:t>
      </w:r>
      <w:r>
        <w:t xml:space="preserve"> </w:t>
      </w:r>
      <w:r w:rsidRPr="00BF3690">
        <w:t>It is a semi-solid preparation and is not a pourable liquid and</w:t>
      </w:r>
      <w:r>
        <w:t xml:space="preserve"> the viscosity is &gt;</w:t>
      </w:r>
      <w:r w:rsidR="00076871">
        <w:t> </w:t>
      </w:r>
      <w:r>
        <w:t>30</w:t>
      </w:r>
      <w:r w:rsidR="00076871">
        <w:t>,</w:t>
      </w:r>
      <w:r>
        <w:t>000</w:t>
      </w:r>
      <w:r w:rsidR="00076871">
        <w:t> </w:t>
      </w:r>
      <w:r w:rsidR="00FC2A1B">
        <w:t>c</w:t>
      </w:r>
      <w:r w:rsidR="00FC2A1B" w:rsidRPr="00FC2A1B">
        <w:t>entipoise</w:t>
      </w:r>
      <w:r w:rsidR="00FC2A1B">
        <w:t xml:space="preserve"> (</w:t>
      </w:r>
      <w:r>
        <w:t>cps</w:t>
      </w:r>
      <w:r w:rsidR="00FC2A1B">
        <w:t>)</w:t>
      </w:r>
      <w:r>
        <w:t xml:space="preserve">. </w:t>
      </w:r>
      <w:r w:rsidRPr="00BF3690">
        <w:t>The formulation contains &gt;</w:t>
      </w:r>
      <w:r w:rsidR="00FC2A1B">
        <w:t xml:space="preserve"> </w:t>
      </w:r>
      <w:r w:rsidRPr="00BF3690">
        <w:t>50% of water and volatiles and is thus cons</w:t>
      </w:r>
      <w:r w:rsidR="00A671E9">
        <w:t xml:space="preserve">idered as a hydrophilic cream. </w:t>
      </w:r>
      <w:r w:rsidRPr="00BF3690">
        <w:t xml:space="preserve">The ethanol content for the cream (5.0% w/w) equates to 6.335% </w:t>
      </w:r>
      <w:r w:rsidR="00076871">
        <w:t>volume/volume (</w:t>
      </w:r>
      <w:r w:rsidRPr="00BF3690">
        <w:t>v/v</w:t>
      </w:r>
      <w:r w:rsidR="00076871">
        <w:t>)</w:t>
      </w:r>
      <w:r w:rsidRPr="00BF3690">
        <w:t xml:space="preserve"> and is specified on the product labels as required by the Labelling Order for Prescription Medicines, </w:t>
      </w:r>
      <w:r w:rsidRPr="00FC2A1B">
        <w:rPr>
          <w:i/>
        </w:rPr>
        <w:t>TGO 91</w:t>
      </w:r>
      <w:r w:rsidRPr="00BF3690">
        <w:t>.</w:t>
      </w:r>
    </w:p>
    <w:p w14:paraId="4A163E89" w14:textId="5E22D8E2" w:rsidR="008E38D3" w:rsidRDefault="008E38D3" w:rsidP="00006FAB">
      <w:r w:rsidRPr="00BF3690">
        <w:t xml:space="preserve">The drug product is stable upon storage and </w:t>
      </w:r>
      <w:r>
        <w:t xml:space="preserve">the </w:t>
      </w:r>
      <w:r w:rsidRPr="00BF3690">
        <w:t>stability data supplied supported a shelf life of 24 months for the unopened product (bottles and tubes)</w:t>
      </w:r>
      <w:r w:rsidR="007966BD">
        <w:t xml:space="preserve"> when stored at or below 25</w:t>
      </w:r>
      <w:r w:rsidR="00076871">
        <w:t>°C</w:t>
      </w:r>
      <w:r>
        <w:t xml:space="preserve">. </w:t>
      </w:r>
      <w:r w:rsidRPr="00BF3690">
        <w:t>No other storage conditions are required.</w:t>
      </w:r>
    </w:p>
    <w:p w14:paraId="5269F638" w14:textId="77777777" w:rsidR="008E7846" w:rsidRDefault="008E7846" w:rsidP="008E7846">
      <w:pPr>
        <w:pStyle w:val="Heading3"/>
      </w:pPr>
      <w:bookmarkStart w:id="36" w:name="_Toc314842512"/>
      <w:bookmarkStart w:id="37" w:name="_Toc67320888"/>
      <w:r>
        <w:t>Nonclinical</w:t>
      </w:r>
      <w:bookmarkEnd w:id="36"/>
      <w:bookmarkEnd w:id="37"/>
    </w:p>
    <w:p w14:paraId="4617A420" w14:textId="37FBB893" w:rsidR="00A53B11" w:rsidRDefault="00A53B11" w:rsidP="00A53B11">
      <w:r>
        <w:t>The nonclinical evaluator has recommended approval.</w:t>
      </w:r>
    </w:p>
    <w:p w14:paraId="14003B0A" w14:textId="3C5987DF" w:rsidR="00B10F8B" w:rsidRDefault="00B10F8B" w:rsidP="00B10F8B">
      <w:bookmarkStart w:id="38" w:name="_Toc247691530"/>
      <w:bookmarkStart w:id="39" w:name="_Toc314842513"/>
      <w:r w:rsidRPr="00B10F8B">
        <w:t xml:space="preserve">The submitted </w:t>
      </w:r>
      <w:r>
        <w:t>nonclinical</w:t>
      </w:r>
      <w:r w:rsidRPr="00B10F8B">
        <w:t xml:space="preserve"> dossier was in accordance with the relevant </w:t>
      </w:r>
      <w:r w:rsidR="007966BD" w:rsidRPr="007966BD">
        <w:t>International Council for Harmonisation of Technical Requirements for Pharmaceuticals for Human Use</w:t>
      </w:r>
      <w:r w:rsidR="004C6B00">
        <w:t xml:space="preserve"> (</w:t>
      </w:r>
      <w:r w:rsidRPr="00B10F8B">
        <w:t>ICH</w:t>
      </w:r>
      <w:r w:rsidR="004C6B00">
        <w:t>)</w:t>
      </w:r>
      <w:r w:rsidRPr="00B10F8B">
        <w:t xml:space="preserve"> guideline for the nonclinical</w:t>
      </w:r>
      <w:r>
        <w:t xml:space="preserve"> assessment of pharmaceuticals (ICH M3(R2))</w:t>
      </w:r>
      <w:r w:rsidRPr="00B10F8B">
        <w:t>.</w:t>
      </w:r>
      <w:r w:rsidR="004C6B00">
        <w:rPr>
          <w:rStyle w:val="FootnoteReference"/>
        </w:rPr>
        <w:footnoteReference w:id="5"/>
      </w:r>
      <w:r w:rsidRPr="00B10F8B">
        <w:t xml:space="preserve"> The overall quality of the nonclinical dossier was satisfactory with no major deficiencies. All pivotal safety-related studies were </w:t>
      </w:r>
      <w:r w:rsidR="00076871">
        <w:t>G</w:t>
      </w:r>
      <w:r w:rsidR="004C6B00">
        <w:t xml:space="preserve">ood </w:t>
      </w:r>
      <w:r w:rsidR="00076871">
        <w:t>L</w:t>
      </w:r>
      <w:r w:rsidR="004C6B00" w:rsidRPr="004C6B00">
        <w:t xml:space="preserve">aboratory </w:t>
      </w:r>
      <w:r w:rsidR="00076871">
        <w:t>P</w:t>
      </w:r>
      <w:r w:rsidR="004C6B00" w:rsidRPr="004C6B00">
        <w:t xml:space="preserve">ractice </w:t>
      </w:r>
      <w:r w:rsidR="004C6B00">
        <w:t>(</w:t>
      </w:r>
      <w:r w:rsidRPr="00B10F8B">
        <w:t>GLP</w:t>
      </w:r>
      <w:r w:rsidR="004C6B00">
        <w:t>)</w:t>
      </w:r>
      <w:r w:rsidRPr="00B10F8B">
        <w:t xml:space="preserve"> compliant </w:t>
      </w:r>
      <w:r>
        <w:t xml:space="preserve">except the </w:t>
      </w:r>
      <w:r w:rsidRPr="00A20401">
        <w:rPr>
          <w:i/>
        </w:rPr>
        <w:t>in vitro</w:t>
      </w:r>
      <w:r>
        <w:t xml:space="preserve"> </w:t>
      </w:r>
      <w:r w:rsidR="004C6B00" w:rsidRPr="004C6B00">
        <w:t xml:space="preserve">human Ether-à-go-go-Related Gene </w:t>
      </w:r>
      <w:r w:rsidR="004C6B00">
        <w:t>(</w:t>
      </w:r>
      <w:r>
        <w:t>hERG</w:t>
      </w:r>
      <w:r w:rsidR="004C6B00">
        <w:t>)</w:t>
      </w:r>
      <w:r>
        <w:t xml:space="preserve"> assay.</w:t>
      </w:r>
    </w:p>
    <w:p w14:paraId="67E5B92F" w14:textId="7E429462" w:rsidR="00B10F8B" w:rsidRPr="00B10F8B" w:rsidRDefault="00B10F8B" w:rsidP="00B10F8B">
      <w:r w:rsidRPr="00B10F8B">
        <w:rPr>
          <w:i/>
        </w:rPr>
        <w:t>In vitro</w:t>
      </w:r>
      <w:r w:rsidRPr="00B10F8B">
        <w:t xml:space="preserve">, trifarotene showed agonistic activity at the </w:t>
      </w:r>
      <w:r w:rsidR="00076871">
        <w:t xml:space="preserve">RAR </w:t>
      </w:r>
      <w:r w:rsidRPr="00B10F8B">
        <w:t>γ with relatively high selectivity over the RAR</w:t>
      </w:r>
      <w:r w:rsidR="00076871">
        <w:t xml:space="preserve"> </w:t>
      </w:r>
      <w:r w:rsidRPr="00B10F8B">
        <w:t>α and RAR</w:t>
      </w:r>
      <w:r w:rsidR="00076871">
        <w:t xml:space="preserve"> </w:t>
      </w:r>
      <w:r w:rsidRPr="00B10F8B">
        <w:t xml:space="preserve">β receptors. In keratinocytes, trifarotene showed activity in modulating retinoid target genes for keratinisation and/or inflammation at clinically-relevant concentrations. </w:t>
      </w:r>
      <w:r w:rsidRPr="00A20401">
        <w:rPr>
          <w:i/>
        </w:rPr>
        <w:t>In vivo</w:t>
      </w:r>
      <w:r w:rsidRPr="00B10F8B">
        <w:t>, trifarotene showed efficacy in an adequate mouse acne model with comedone reductions and increases in epidermal thickness, supporting the proposed indication.</w:t>
      </w:r>
    </w:p>
    <w:p w14:paraId="72FE3602" w14:textId="7F9D36FC" w:rsidR="00B10F8B" w:rsidRPr="00B10F8B" w:rsidRDefault="00B10F8B" w:rsidP="00B10F8B">
      <w:r w:rsidRPr="00B10F8B">
        <w:t xml:space="preserve">Secondary pharmacodynamic effects of trifarotene are anti-inflammatory effects in the </w:t>
      </w:r>
      <w:r w:rsidR="004C6B00" w:rsidRPr="004C6B00">
        <w:t>12</w:t>
      </w:r>
      <w:r w:rsidR="00140986">
        <w:noBreakHyphen/>
      </w:r>
      <w:r w:rsidR="004C6B00" w:rsidRPr="004C6B00">
        <w:t xml:space="preserve">O-tetradecanoylphorbol-13-acetate </w:t>
      </w:r>
      <w:r w:rsidR="004C6B00">
        <w:t>(</w:t>
      </w:r>
      <w:r w:rsidRPr="00B10F8B">
        <w:t>TPA</w:t>
      </w:r>
      <w:r w:rsidR="004C6B00">
        <w:t>)</w:t>
      </w:r>
      <w:r w:rsidRPr="00B10F8B">
        <w:t xml:space="preserve"> induced ear oedema model in mice (1000</w:t>
      </w:r>
      <w:r w:rsidR="00140986">
        <w:t> </w:t>
      </w:r>
      <w:r w:rsidRPr="00B10F8B">
        <w:t>µg/g) and at clinically relevant doses, depigme</w:t>
      </w:r>
      <w:r>
        <w:t>ntation in two mouse models at ≥</w:t>
      </w:r>
      <w:r w:rsidR="00140986">
        <w:t> </w:t>
      </w:r>
      <w:r w:rsidRPr="00B10F8B">
        <w:t xml:space="preserve">0.003% to 0.01% (30 µg/g to 100 µg/g). Safety pharmacology studies indicated acute effects on </w:t>
      </w:r>
      <w:r w:rsidR="00140986">
        <w:t>central nervous system</w:t>
      </w:r>
      <w:r w:rsidRPr="00B10F8B">
        <w:t>, cardiovascular or respiratory function in patients are unlikely.</w:t>
      </w:r>
    </w:p>
    <w:p w14:paraId="1D6AE72F" w14:textId="77777777" w:rsidR="00B10F8B" w:rsidRPr="00B10F8B" w:rsidRDefault="00B10F8B" w:rsidP="00B10F8B">
      <w:r w:rsidRPr="00B10F8B">
        <w:t xml:space="preserve">Dermal bioavailability was low in rats and negligible in minipigs. Oral bioavailability was higher in rats and dogs, therefore, this route of administration was chosen to assess </w:t>
      </w:r>
      <w:r w:rsidR="004C6B00">
        <w:t>systemic toxicity. Following i</w:t>
      </w:r>
      <w:r w:rsidR="004C6B00" w:rsidRPr="004C6B00">
        <w:t xml:space="preserve">ntravenous </w:t>
      </w:r>
      <w:r w:rsidR="004C6B00">
        <w:t>(IV)</w:t>
      </w:r>
      <w:r w:rsidR="00230968">
        <w:t xml:space="preserve"> </w:t>
      </w:r>
      <w:r w:rsidRPr="00B10F8B">
        <w:t xml:space="preserve">and </w:t>
      </w:r>
      <w:r w:rsidR="004C6B00">
        <w:t>oral (</w:t>
      </w:r>
      <w:r w:rsidRPr="00B10F8B">
        <w:t>PO</w:t>
      </w:r>
      <w:r w:rsidR="004C6B00">
        <w:t>)</w:t>
      </w:r>
      <w:r w:rsidRPr="00B10F8B">
        <w:t xml:space="preserve"> dosing, tissue distribution of drug-related material was wide. There was no evidence of binding to or retention in melanin containing tissues. There was minimal metabolism of trifarotene in human skin in an </w:t>
      </w:r>
      <w:r w:rsidRPr="00A20401">
        <w:rPr>
          <w:i/>
        </w:rPr>
        <w:t>in vitro</w:t>
      </w:r>
      <w:r w:rsidRPr="00B10F8B">
        <w:t xml:space="preserve"> study. More extensive metabolism was evident in the liver. Experiments with recombinant human </w:t>
      </w:r>
      <w:r w:rsidR="004C6B00" w:rsidRPr="004C6B00">
        <w:t>cytochrome</w:t>
      </w:r>
      <w:r w:rsidR="004C6B00">
        <w:t>s</w:t>
      </w:r>
      <w:r w:rsidR="004C6B00" w:rsidRPr="004C6B00">
        <w:t xml:space="preserve"> </w:t>
      </w:r>
      <w:r w:rsidR="004C6B00">
        <w:t>P450 (CYP)</w:t>
      </w:r>
      <w:r w:rsidR="004C6B00">
        <w:rPr>
          <w:rStyle w:val="FootnoteReference"/>
        </w:rPr>
        <w:footnoteReference w:id="6"/>
      </w:r>
      <w:r w:rsidRPr="00B10F8B">
        <w:t xml:space="preserve"> </w:t>
      </w:r>
      <w:r w:rsidR="00140986">
        <w:t xml:space="preserve">enzymes </w:t>
      </w:r>
      <w:r w:rsidRPr="00B10F8B">
        <w:t>indicated a predominant role for CYP2C9 in the metabolism of trifarotene with lesser roles by CYP3A4, CYP2C8 and CYP2B6.</w:t>
      </w:r>
    </w:p>
    <w:p w14:paraId="2933C4AD" w14:textId="77777777" w:rsidR="00B10F8B" w:rsidRPr="00B10F8B" w:rsidRDefault="00B10F8B" w:rsidP="00B10F8B">
      <w:r w:rsidRPr="00B10F8B">
        <w:t>Once absorbed systemically, drug-related material was excreted primarily in the faeces in animals and humans. Overall, the pharmacokinetic profile in animals was qualitativ</w:t>
      </w:r>
      <w:r>
        <w:t>ely similar to that of humans.</w:t>
      </w:r>
    </w:p>
    <w:p w14:paraId="420CE914" w14:textId="77777777" w:rsidR="00B10F8B" w:rsidRPr="00B10F8B" w:rsidRDefault="00B10F8B" w:rsidP="00B10F8B">
      <w:r w:rsidRPr="00B10F8B">
        <w:t>Based on low anticipated systemic exposures to trifarotene, systemic pharmacokinetic</w:t>
      </w:r>
      <w:r>
        <w:t xml:space="preserve"> interactions are not expected.</w:t>
      </w:r>
    </w:p>
    <w:p w14:paraId="04568201" w14:textId="77777777" w:rsidR="00B10F8B" w:rsidRPr="00B10F8B" w:rsidRDefault="00B10F8B" w:rsidP="00B10F8B">
      <w:r w:rsidRPr="00B10F8B">
        <w:t>Trifarotene had a low order of acute dermal or IV toxicity in rats. Following single dermal and IV doses, skin (crusts/scabs, desquamation, discoloration) and the growth plate were the target or</w:t>
      </w:r>
      <w:r w:rsidR="007338B3">
        <w:t>gans of toxicity, respectively.</w:t>
      </w:r>
    </w:p>
    <w:p w14:paraId="05C61CC2" w14:textId="77777777" w:rsidR="00B10F8B" w:rsidRPr="00B10F8B" w:rsidRDefault="00B10F8B" w:rsidP="00B10F8B">
      <w:r w:rsidRPr="00B10F8B">
        <w:t>Repeat-dose toxicity studies by the dermal route were conducte</w:t>
      </w:r>
      <w:r w:rsidR="00A20401">
        <w:t xml:space="preserve">d in mice (up to 13 weeks) and </w:t>
      </w:r>
      <w:r w:rsidRPr="00B10F8B">
        <w:t>minipigs (up to 39 weeks) and by the oral route in rats (up to 6 months) and dogs (up to 9 months). Systemic clinical signs and toxicity were only observed following oral dosing in rats and dogs (and in mice following dermal dosing) at very high exposure levels, and these can largely be attributed to the (dose-related) pharmacological action of trifarotene. No clear signs of overt systemic toxicity were observed follow</w:t>
      </w:r>
      <w:r w:rsidR="007338B3">
        <w:t>ing dermal dosing in minipigs.</w:t>
      </w:r>
    </w:p>
    <w:p w14:paraId="1C4A0164" w14:textId="77777777" w:rsidR="00B10F8B" w:rsidRPr="00B10F8B" w:rsidRDefault="00B10F8B" w:rsidP="00B10F8B">
      <w:r w:rsidRPr="00B10F8B">
        <w:t>Local dermal irritation reactions were very slight to severe at clinically-relevant concentrations (0.005%) in minipigs with minimal to slight histological findings (greater irritation at 0.01%).</w:t>
      </w:r>
    </w:p>
    <w:p w14:paraId="5E2414AB" w14:textId="77777777" w:rsidR="00B10F8B" w:rsidRPr="00B10F8B" w:rsidRDefault="00B10F8B" w:rsidP="00B10F8B">
      <w:r w:rsidRPr="00B10F8B">
        <w:t xml:space="preserve">In a standard battery of </w:t>
      </w:r>
      <w:r w:rsidRPr="00B10F8B">
        <w:rPr>
          <w:i/>
        </w:rPr>
        <w:t>in vitro</w:t>
      </w:r>
      <w:r w:rsidRPr="00B10F8B">
        <w:t xml:space="preserve"> and </w:t>
      </w:r>
      <w:r w:rsidRPr="00B10F8B">
        <w:rPr>
          <w:i/>
        </w:rPr>
        <w:t>in vivo</w:t>
      </w:r>
      <w:r w:rsidRPr="00B10F8B">
        <w:t xml:space="preserve"> genotoxicity studies, trifarotene returned mostly negative results. While an equivocal result was seen in an </w:t>
      </w:r>
      <w:r w:rsidRPr="00A20401">
        <w:rPr>
          <w:i/>
        </w:rPr>
        <w:t>in vitro</w:t>
      </w:r>
      <w:r w:rsidRPr="00B10F8B">
        <w:t xml:space="preserve"> micronucleus assay, this was not reproduced in a second clastogenicity assay and negative results were seen in </w:t>
      </w:r>
      <w:r w:rsidR="00A20401">
        <w:t xml:space="preserve">an </w:t>
      </w:r>
      <w:r w:rsidR="00A20401" w:rsidRPr="00A20401">
        <w:rPr>
          <w:i/>
        </w:rPr>
        <w:t>in vivo</w:t>
      </w:r>
      <w:r w:rsidR="00A20401">
        <w:t xml:space="preserve"> micronucleus assay. </w:t>
      </w:r>
      <w:r w:rsidRPr="00B10F8B">
        <w:t>On balance, trifarotene is not considered to be mutagenic or clastogenic.</w:t>
      </w:r>
    </w:p>
    <w:p w14:paraId="2939DEEE" w14:textId="77777777" w:rsidR="00B10F8B" w:rsidRPr="00B10F8B" w:rsidRDefault="00B10F8B" w:rsidP="00B10F8B">
      <w:r w:rsidRPr="00B10F8B">
        <w:t>There were no trifarotene-related neoplastic findings (either local or systemic) that could be attributed to trifarotene cream (final clinical formulation with dermal dosing in mice) or trifarotene in solution</w:t>
      </w:r>
      <w:r w:rsidR="00A20401">
        <w:t xml:space="preserve"> given to rats (PO dosing) in 2 </w:t>
      </w:r>
      <w:r w:rsidRPr="00B10F8B">
        <w:t>year</w:t>
      </w:r>
      <w:r w:rsidR="007338B3">
        <w:t xml:space="preserve"> rodent carcinogenicity assays.</w:t>
      </w:r>
    </w:p>
    <w:p w14:paraId="2C2A1F23" w14:textId="77777777" w:rsidR="00B10F8B" w:rsidRPr="00B10F8B" w:rsidRDefault="00B10F8B" w:rsidP="00B10F8B">
      <w:r w:rsidRPr="00B10F8B">
        <w:t>Functional fertility was unaffected in male and female rats treated with trifarotene at exposure levels &gt;</w:t>
      </w:r>
      <w:r>
        <w:t xml:space="preserve"> </w:t>
      </w:r>
      <w:r w:rsidRPr="00B10F8B">
        <w:t xml:space="preserve">1700 times the clinical </w:t>
      </w:r>
      <w:r w:rsidR="009E6E59">
        <w:t>area under</w:t>
      </w:r>
      <w:r w:rsidR="00140986">
        <w:t xml:space="preserve"> the</w:t>
      </w:r>
      <w:r w:rsidR="009E6E59">
        <w:t xml:space="preserve"> concentration time curve</w:t>
      </w:r>
      <w:r w:rsidR="009E6E59" w:rsidRPr="00B10F8B">
        <w:t xml:space="preserve"> </w:t>
      </w:r>
      <w:r w:rsidR="009E6E59">
        <w:t>(</w:t>
      </w:r>
      <w:r w:rsidRPr="00B10F8B">
        <w:t>AUC</w:t>
      </w:r>
      <w:r w:rsidR="009E6E59">
        <w:t>)</w:t>
      </w:r>
      <w:r w:rsidRPr="00B10F8B">
        <w:t xml:space="preserve">. However, testicular germ cell degeneration and hypospermatogenesis were seen in dogs treated with </w:t>
      </w:r>
      <w:r w:rsidR="007338B3">
        <w:t>≥ 0.02 mg/kg/day PO trifarotene.</w:t>
      </w:r>
    </w:p>
    <w:p w14:paraId="66F950E9" w14:textId="77777777" w:rsidR="00B10F8B" w:rsidRPr="00B10F8B" w:rsidRDefault="00B10F8B" w:rsidP="00B10F8B">
      <w:r w:rsidRPr="00B10F8B">
        <w:t xml:space="preserve">A </w:t>
      </w:r>
      <w:r w:rsidR="009E6E59">
        <w:t>no observed adverse effect l</w:t>
      </w:r>
      <w:r w:rsidR="009E6E59" w:rsidRPr="009E6E59">
        <w:t xml:space="preserve">evel </w:t>
      </w:r>
      <w:r w:rsidR="009E6E59">
        <w:t>(</w:t>
      </w:r>
      <w:r w:rsidRPr="00B10F8B">
        <w:t>NOAEL</w:t>
      </w:r>
      <w:r w:rsidR="009E6E59">
        <w:t>)</w:t>
      </w:r>
      <w:r w:rsidRPr="00B10F8B">
        <w:t xml:space="preserve"> was not established. Similar to other retinoids, trifarotene was teratogenic in both rats and rabbits, but at high maternal exposures. No adverse effects on pups at birth or postnatal development were evident in pups of rats treated with trifarotene during pregnancy and lactation.</w:t>
      </w:r>
    </w:p>
    <w:p w14:paraId="05A1FAA0" w14:textId="77777777" w:rsidR="00B10F8B" w:rsidRPr="00B10F8B" w:rsidRDefault="00B10F8B" w:rsidP="00B10F8B">
      <w:r w:rsidRPr="00B10F8B">
        <w:t>Trifarotene gel was considered to show ocular irritant potential in rabbits, but trifarotene cream was considered not to be a skin sensitiser in guinea pigs.</w:t>
      </w:r>
    </w:p>
    <w:p w14:paraId="321888E5" w14:textId="77777777" w:rsidR="00B10F8B" w:rsidRDefault="00B10F8B" w:rsidP="00B10F8B">
      <w:pPr>
        <w:rPr>
          <w:b/>
          <w:bCs/>
        </w:rPr>
      </w:pPr>
      <w:r w:rsidRPr="00B10F8B">
        <w:t xml:space="preserve">A photoirritation/photosensitisation (phototoxicity) study with trifarotene gel in guinea-pigs was inconclusive. Trifarotene was not photomutagenic or photoclastogenic </w:t>
      </w:r>
      <w:r w:rsidRPr="007338B3">
        <w:rPr>
          <w:i/>
        </w:rPr>
        <w:t>in vitro</w:t>
      </w:r>
      <w:r w:rsidRPr="00B10F8B">
        <w:t>.</w:t>
      </w:r>
    </w:p>
    <w:p w14:paraId="72487894" w14:textId="77777777" w:rsidR="008E7846" w:rsidRDefault="008E7846" w:rsidP="00B10F8B">
      <w:pPr>
        <w:pStyle w:val="Heading3"/>
      </w:pPr>
      <w:bookmarkStart w:id="40" w:name="_Toc67320889"/>
      <w:r>
        <w:t>Clinical</w:t>
      </w:r>
      <w:bookmarkEnd w:id="38"/>
      <w:bookmarkEnd w:id="39"/>
      <w:bookmarkEnd w:id="40"/>
    </w:p>
    <w:p w14:paraId="6146B93A" w14:textId="77777777" w:rsidR="00A01A43" w:rsidRDefault="00A01A43" w:rsidP="00A01A43">
      <w:pPr>
        <w:pStyle w:val="Heading4"/>
      </w:pPr>
      <w:bookmarkStart w:id="41" w:name="_Toc314842514"/>
      <w:r>
        <w:t>Pharmacology</w:t>
      </w:r>
    </w:p>
    <w:p w14:paraId="713CE2D3" w14:textId="77777777" w:rsidR="00A01A43" w:rsidRDefault="00A01A43" w:rsidP="00A01A43">
      <w:r>
        <w:t>The assessment of systemic exposure was made primarily from a safety perspective.</w:t>
      </w:r>
    </w:p>
    <w:p w14:paraId="47D6A30D" w14:textId="77777777" w:rsidR="00A01A43" w:rsidRDefault="00A01A43" w:rsidP="00A01A43">
      <w:pPr>
        <w:pStyle w:val="Heading5"/>
      </w:pPr>
      <w:r>
        <w:t>Absorption</w:t>
      </w:r>
    </w:p>
    <w:p w14:paraId="103A00DE" w14:textId="77777777" w:rsidR="00A01A43" w:rsidRDefault="00A01A43" w:rsidP="00A01A43">
      <w:r>
        <w:t>Trifarotene plasma concentrations were determined by high performance liquid chromatography (HPLC) coupled with tandem mass spectrometry (LC/MS/MS) and solid phase extraction. The method was initially validated with a Limit of Quantification (LOQ) of 10</w:t>
      </w:r>
      <w:r w:rsidR="00140986">
        <w:t xml:space="preserve"> </w:t>
      </w:r>
      <w:r>
        <w:t xml:space="preserve">pg/ml. </w:t>
      </w:r>
    </w:p>
    <w:p w14:paraId="1C4001A4" w14:textId="77777777" w:rsidR="00A01A43" w:rsidRDefault="00A01A43" w:rsidP="00A01A43">
      <w:r>
        <w:t>A dose-dependent increase in the systemic absorption of trifarotene was noted. Pre-dose concentrations (C</w:t>
      </w:r>
      <w:r w:rsidRPr="008C7C3F">
        <w:rPr>
          <w:vertAlign w:val="subscript"/>
        </w:rPr>
        <w:t>trough</w:t>
      </w:r>
      <w:r>
        <w:t xml:space="preserve">) were generally below LOQ in bioavailability studies. A higher proportion of subjects had quantifiable concentrations at Day 15, compared to Day1. The mean </w:t>
      </w:r>
      <w:r w:rsidR="008C7C3F">
        <w:t>area under the concentration time curve during 24 hours (</w:t>
      </w:r>
      <w:r>
        <w:t>AUC</w:t>
      </w:r>
      <w:r w:rsidRPr="00A20401">
        <w:rPr>
          <w:vertAlign w:val="subscript"/>
        </w:rPr>
        <w:t>0-24hr</w:t>
      </w:r>
      <w:r w:rsidR="008C7C3F">
        <w:t xml:space="preserve">) </w:t>
      </w:r>
      <w:r>
        <w:t xml:space="preserve">at Day 15 was comparable to Day 29, indicative of </w:t>
      </w:r>
      <w:r w:rsidR="008C7C3F">
        <w:t>steady state achievement after two weeks of treatment.</w:t>
      </w:r>
    </w:p>
    <w:p w14:paraId="5E8BC4DF" w14:textId="77777777" w:rsidR="00A01A43" w:rsidRDefault="00A01A43" w:rsidP="00A01A43">
      <w:r>
        <w:t>No studies were conducted that specifically examined absolute bioavailability.</w:t>
      </w:r>
    </w:p>
    <w:p w14:paraId="330C861D" w14:textId="77777777" w:rsidR="00A01A43" w:rsidRDefault="00A01A43" w:rsidP="00A01A43">
      <w:pPr>
        <w:pStyle w:val="Heading5"/>
      </w:pPr>
      <w:r>
        <w:t>Metabolism</w:t>
      </w:r>
    </w:p>
    <w:p w14:paraId="0281DDFB" w14:textId="77777777" w:rsidR="00A01A43" w:rsidRDefault="00A01A43" w:rsidP="00A01A43">
      <w:r>
        <w:t xml:space="preserve">Trifarotene is primarily metabolised via CYP2C9, CYP3A4, CYP2C8, and to a lesser extent by CYP2B6 </w:t>
      </w:r>
      <w:r w:rsidRPr="00A20401">
        <w:rPr>
          <w:i/>
        </w:rPr>
        <w:t>in vitro</w:t>
      </w:r>
      <w:r>
        <w:t xml:space="preserve">. None of the four phase one metabolites that were identified in-vitro were reported </w:t>
      </w:r>
      <w:r w:rsidR="008C7C3F">
        <w:t>from the use of trifarotene 50 µg/g cream in bioavailability Studies 18327 and 40182.</w:t>
      </w:r>
    </w:p>
    <w:p w14:paraId="4B2D98AF" w14:textId="77777777" w:rsidR="00A01A43" w:rsidRDefault="00A01A43" w:rsidP="00A01A43">
      <w:pPr>
        <w:pStyle w:val="Heading5"/>
      </w:pPr>
      <w:r>
        <w:t>Excretion</w:t>
      </w:r>
    </w:p>
    <w:p w14:paraId="2F475BC0" w14:textId="77777777" w:rsidR="00A01A43" w:rsidRDefault="00A01A43" w:rsidP="00A01A43">
      <w:r>
        <w:t>The terminal half-life and clearance were not able to be determined as the plasma levels of trifarotene declined below the LOQ rapidly following topical administration.</w:t>
      </w:r>
    </w:p>
    <w:p w14:paraId="5F97ADFD" w14:textId="77777777" w:rsidR="00A01A43" w:rsidRDefault="00A01A43" w:rsidP="00F03519">
      <w:pPr>
        <w:pStyle w:val="Heading5"/>
      </w:pPr>
      <w:r>
        <w:t>Pharmacokinetics in children</w:t>
      </w:r>
    </w:p>
    <w:p w14:paraId="58FAA990" w14:textId="3D83AD29" w:rsidR="00A01A43" w:rsidRDefault="00A01A43" w:rsidP="00A01A43">
      <w:r>
        <w:t>The AUC</w:t>
      </w:r>
      <w:r w:rsidRPr="00A20401">
        <w:rPr>
          <w:vertAlign w:val="subscript"/>
        </w:rPr>
        <w:t>0-24h</w:t>
      </w:r>
      <w:r>
        <w:t xml:space="preserve"> values in adults and children were from 89 to 106 pg.h/mL and 75 to 104</w:t>
      </w:r>
      <w:r w:rsidR="00182F87">
        <w:t> </w:t>
      </w:r>
      <w:r>
        <w:t xml:space="preserve">pg.h/mL, based on findings from </w:t>
      </w:r>
      <w:r w:rsidR="008C7C3F" w:rsidRPr="008C7C3F">
        <w:t xml:space="preserve">pharmacokinetics </w:t>
      </w:r>
      <w:r w:rsidR="008C7C3F">
        <w:t>(</w:t>
      </w:r>
      <w:r>
        <w:t>PK</w:t>
      </w:r>
      <w:r w:rsidR="008C7C3F">
        <w:t>) S</w:t>
      </w:r>
      <w:r>
        <w:t>tudies 18237 and 40182 resp</w:t>
      </w:r>
      <w:r w:rsidR="008C7C3F">
        <w:t>ectively. It was noted that in S</w:t>
      </w:r>
      <w:r>
        <w:t>tudy 18237, there were only two subjects in the 9</w:t>
      </w:r>
      <w:r w:rsidR="00A20401">
        <w:t xml:space="preserve"> to </w:t>
      </w:r>
      <w:r>
        <w:t>12</w:t>
      </w:r>
      <w:r w:rsidR="007B5848">
        <w:t> </w:t>
      </w:r>
      <w:r w:rsidR="00120EBF">
        <w:t xml:space="preserve">years of </w:t>
      </w:r>
      <w:r>
        <w:t>age range. Rest of the study population was adolescents. Similarly, another PK study also had two subjects in the 9</w:t>
      </w:r>
      <w:r w:rsidR="00A20401">
        <w:t xml:space="preserve"> to </w:t>
      </w:r>
      <w:r>
        <w:t xml:space="preserve">11 years </w:t>
      </w:r>
      <w:r w:rsidR="007B5848">
        <w:t xml:space="preserve">of </w:t>
      </w:r>
      <w:r>
        <w:t xml:space="preserve">age group. For these reasons, </w:t>
      </w:r>
      <w:r w:rsidR="008C7C3F">
        <w:t>p</w:t>
      </w:r>
      <w:r w:rsidR="008C7C3F" w:rsidRPr="008C7C3F">
        <w:t xml:space="preserve">hysiologically based pharmacokinetic </w:t>
      </w:r>
      <w:r w:rsidR="008C7C3F">
        <w:t>(</w:t>
      </w:r>
      <w:r>
        <w:t>PBPK</w:t>
      </w:r>
      <w:r w:rsidR="008C7C3F">
        <w:t>)</w:t>
      </w:r>
      <w:r>
        <w:t xml:space="preserve"> modelling was utilised to simulate systemic exposure in this age group.</w:t>
      </w:r>
    </w:p>
    <w:p w14:paraId="2347CD4F" w14:textId="77777777" w:rsidR="00A01A43" w:rsidRDefault="00A01A43" w:rsidP="00A01A43">
      <w:r>
        <w:t>The PBPK model did not include 9 year old children and limited number of samples from children in the 10</w:t>
      </w:r>
      <w:r w:rsidR="00A20401">
        <w:t xml:space="preserve"> to </w:t>
      </w:r>
      <w:r>
        <w:t>11 year age group.</w:t>
      </w:r>
    </w:p>
    <w:p w14:paraId="149C1AEE" w14:textId="642000C9" w:rsidR="00A01A43" w:rsidRDefault="00F03519" w:rsidP="00A01A43">
      <w:r>
        <w:t>The</w:t>
      </w:r>
      <w:r w:rsidR="00A01A43">
        <w:t xml:space="preserve"> evaluator highlighted that the PBPK model had limitations such as model mis</w:t>
      </w:r>
      <w:r w:rsidR="00120EBF">
        <w:noBreakHyphen/>
      </w:r>
      <w:r w:rsidR="00A01A43">
        <w:t>specification and lack of information about percentiles. The evaluator concluded that the model did not adequately describe variability and hence not able to simulate the exposure in 9</w:t>
      </w:r>
      <w:r w:rsidR="00A20401">
        <w:t xml:space="preserve"> to </w:t>
      </w:r>
      <w:r w:rsidR="00A01A43">
        <w:t xml:space="preserve">11 year old children. </w:t>
      </w:r>
    </w:p>
    <w:p w14:paraId="43C1DE06" w14:textId="77777777" w:rsidR="00A01A43" w:rsidRDefault="00F03519" w:rsidP="00A01A43">
      <w:r>
        <w:t>The</w:t>
      </w:r>
      <w:r w:rsidR="008C7C3F">
        <w:t xml:space="preserve"> D</w:t>
      </w:r>
      <w:r w:rsidR="00A01A43">
        <w:t>elega</w:t>
      </w:r>
      <w:r>
        <w:t xml:space="preserve">te agrees with the </w:t>
      </w:r>
      <w:r w:rsidR="00A01A43">
        <w:t>evaluator's conclusions regarding the PBPK model and its potential implications on the d</w:t>
      </w:r>
      <w:r w:rsidR="008C7C3F">
        <w:t>ata provided by the model. The D</w:t>
      </w:r>
      <w:r w:rsidR="00A01A43">
        <w:t>elegate considers that a fair representation of all age groups is pivotal in a PBPK model to account for the variabilities due to developme</w:t>
      </w:r>
      <w:r w:rsidR="00230968">
        <w:t>ntal changes across age groups</w:t>
      </w:r>
      <w:r w:rsidR="00A01A43">
        <w:t>. The level of evidence provided by the PBPK model for the efficacy and safety of trifarotene for subjects in 9</w:t>
      </w:r>
      <w:r w:rsidR="00A20401">
        <w:t xml:space="preserve"> to </w:t>
      </w:r>
      <w:r w:rsidR="00A01A43">
        <w:t>11 year age group is not sufficient enough to waive the requirement for clinical data in this age group.</w:t>
      </w:r>
    </w:p>
    <w:p w14:paraId="7F6F638B" w14:textId="77777777" w:rsidR="00A01A43" w:rsidRDefault="00A01A43" w:rsidP="00A01A43">
      <w:pPr>
        <w:pStyle w:val="Heading4"/>
      </w:pPr>
      <w:r>
        <w:t>Efficacy</w:t>
      </w:r>
    </w:p>
    <w:p w14:paraId="6F4AC3C1" w14:textId="41B5EF19" w:rsidR="00A01A43" w:rsidRDefault="00A01A43" w:rsidP="00A01A43">
      <w:pPr>
        <w:pStyle w:val="Heading5"/>
      </w:pPr>
      <w:r>
        <w:t xml:space="preserve">Dose selection for </w:t>
      </w:r>
      <w:r w:rsidR="00120EBF">
        <w:t xml:space="preserve">the </w:t>
      </w:r>
      <w:r>
        <w:t>pivotal stud</w:t>
      </w:r>
      <w:r w:rsidR="00120EBF">
        <w:t>ies</w:t>
      </w:r>
    </w:p>
    <w:p w14:paraId="2244B17C" w14:textId="77777777" w:rsidR="00A01A43" w:rsidRDefault="00A01A43" w:rsidP="00A01A43">
      <w:r>
        <w:t>Trifarotene demonstrated a dose dependent increase in total skin penetration</w:t>
      </w:r>
      <w:r w:rsidR="00182F87">
        <w:t>, when applied from 25 to 100 µ</w:t>
      </w:r>
      <w:r>
        <w:t>g/g.</w:t>
      </w:r>
    </w:p>
    <w:p w14:paraId="4059AAF4" w14:textId="6E493E3D" w:rsidR="00A01A43" w:rsidRDefault="00A01A43" w:rsidP="00A01A43">
      <w:r>
        <w:t>The effect of formulation on skin penetration was assessed across two preparations of cream (Cream A and Cream B) and gel forms of trifarotene. Skin penetration was comparable between gel and Cream B and 3 fol</w:t>
      </w:r>
      <w:r w:rsidR="00182F87">
        <w:t>d higher with gel, compared to C</w:t>
      </w:r>
      <w:r>
        <w:t>ream A. Studies 18314 and 40129 compared efficacy and tolerability between cream and gel preparations of trifarotene. Efficacy was comparable, meanwhile tolerability was high</w:t>
      </w:r>
      <w:r w:rsidR="00120EBF">
        <w:t>er</w:t>
      </w:r>
      <w:r>
        <w:t xml:space="preserve"> for </w:t>
      </w:r>
      <w:r w:rsidR="00120EBF">
        <w:t xml:space="preserve">the </w:t>
      </w:r>
      <w:r>
        <w:t>cream, compared to gel formulation</w:t>
      </w:r>
      <w:r w:rsidR="00120EBF">
        <w:t>s</w:t>
      </w:r>
      <w:r>
        <w:t>.</w:t>
      </w:r>
    </w:p>
    <w:p w14:paraId="4B00225D" w14:textId="69B173FB" w:rsidR="00A01A43" w:rsidRDefault="00A01A43" w:rsidP="00A01A43">
      <w:r>
        <w:t>Study 18223 compared</w:t>
      </w:r>
      <w:r w:rsidR="00182F87">
        <w:t xml:space="preserve"> the efficacy and safety of 25 µg/g, 50 µg/g and 100 µ</w:t>
      </w:r>
      <w:r>
        <w:t>g</w:t>
      </w:r>
      <w:r w:rsidR="008C7C3F">
        <w:t>/g strengths of trifarotene to t</w:t>
      </w:r>
      <w:r>
        <w:t>azarotene 0.1%, when ad</w:t>
      </w:r>
      <w:r w:rsidR="0069094F">
        <w:t>ministered once daily for 12</w:t>
      </w:r>
      <w:r>
        <w:t xml:space="preserve"> weeks. The magnitude of efficacy was not large and was comparable across </w:t>
      </w:r>
      <w:r w:rsidR="00182F87">
        <w:t>doses of trifarotene. The 100 µ</w:t>
      </w:r>
      <w:r>
        <w:t xml:space="preserve">g/g cream of trifarotene caused </w:t>
      </w:r>
      <w:r w:rsidR="00182F87">
        <w:t xml:space="preserve">more local irritation than </w:t>
      </w:r>
      <w:r w:rsidR="00120EBF">
        <w:t xml:space="preserve">the </w:t>
      </w:r>
      <w:r w:rsidR="00182F87">
        <w:t>50 µ</w:t>
      </w:r>
      <w:r w:rsidR="008C7C3F">
        <w:t>g/g cream.</w:t>
      </w:r>
    </w:p>
    <w:p w14:paraId="5F332DD0" w14:textId="5263E4D3" w:rsidR="00A01A43" w:rsidRDefault="00A01A43" w:rsidP="00A01A43">
      <w:r>
        <w:t>The safety</w:t>
      </w:r>
      <w:r w:rsidR="00182F87">
        <w:t xml:space="preserve"> and local tolerability of </w:t>
      </w:r>
      <w:r w:rsidR="00120EBF">
        <w:t xml:space="preserve">the </w:t>
      </w:r>
      <w:r w:rsidR="00182F87">
        <w:t>50 µ</w:t>
      </w:r>
      <w:r>
        <w:t>g/g cream was the rationale to choose this dose for the pivotal study.</w:t>
      </w:r>
    </w:p>
    <w:p w14:paraId="49717135" w14:textId="77777777" w:rsidR="00A01A43" w:rsidRDefault="008C7C3F" w:rsidP="00A01A43">
      <w:r>
        <w:t>Two pivotal P</w:t>
      </w:r>
      <w:r w:rsidR="00A01A43">
        <w:t xml:space="preserve">hase III studies (Study 18251 and 18252) were included in this submission. Both studies </w:t>
      </w:r>
      <w:r>
        <w:t>were identical in study design.</w:t>
      </w:r>
    </w:p>
    <w:p w14:paraId="2010E6A2" w14:textId="77777777" w:rsidR="00A01A43" w:rsidRDefault="008C7C3F" w:rsidP="00A01A43">
      <w:pPr>
        <w:pStyle w:val="Heading5"/>
      </w:pPr>
      <w:r>
        <w:t xml:space="preserve">Pivotal </w:t>
      </w:r>
      <w:r w:rsidR="00A01A43">
        <w:t>Studies 18251 and 18252</w:t>
      </w:r>
    </w:p>
    <w:p w14:paraId="436C894D" w14:textId="77777777" w:rsidR="00A01A43" w:rsidRDefault="00A01A43" w:rsidP="00A01A43">
      <w:r w:rsidRPr="00FB01EE">
        <w:rPr>
          <w:i/>
        </w:rPr>
        <w:t>Study design</w:t>
      </w:r>
      <w:r>
        <w:t>: Multicentre, parallel</w:t>
      </w:r>
      <w:r w:rsidR="00A20401">
        <w:t xml:space="preserve"> </w:t>
      </w:r>
      <w:r>
        <w:t>group, randomised vehicle controlled study.</w:t>
      </w:r>
    </w:p>
    <w:p w14:paraId="35DC2E82" w14:textId="77777777" w:rsidR="00A01A43" w:rsidRDefault="00A01A43" w:rsidP="00A01A43">
      <w:r>
        <w:t>The objective of these studies were to assess efficac</w:t>
      </w:r>
      <w:r w:rsidR="00182F87">
        <w:t>y and safety of trifarotene 50 µ</w:t>
      </w:r>
      <w:r>
        <w:t>g/g cream applied once daily for 12 weeks in subjec</w:t>
      </w:r>
      <w:r w:rsidR="00FB01EE">
        <w:t>ts with moderate acne vulgaris.</w:t>
      </w:r>
    </w:p>
    <w:p w14:paraId="5AF0FB67" w14:textId="78430EB1" w:rsidR="00A01A43" w:rsidRDefault="00A01A43" w:rsidP="00A01A43">
      <w:r>
        <w:t xml:space="preserve">The studies had 2 weeks of screening period, followed by 12 weeks of treatment period. </w:t>
      </w:r>
      <w:r w:rsidR="00516191">
        <w:t>The p</w:t>
      </w:r>
      <w:r>
        <w:t xml:space="preserve">rimary efficacy endpoint was measured at </w:t>
      </w:r>
      <w:r w:rsidR="00E71F8E">
        <w:t>Baseline</w:t>
      </w:r>
      <w:r w:rsidR="00FB01EE">
        <w:t xml:space="preserve"> and W</w:t>
      </w:r>
      <w:r>
        <w:t>eeks 1, 2, 4, 8 and 12.</w:t>
      </w:r>
    </w:p>
    <w:p w14:paraId="69E997E0" w14:textId="54975F11" w:rsidR="00A01A43" w:rsidRDefault="00A01A43" w:rsidP="00BF0F65">
      <w:pPr>
        <w:pStyle w:val="Heading6"/>
        <w:pageBreakBefore/>
      </w:pPr>
      <w:r>
        <w:t>Key inclusion criteria</w:t>
      </w:r>
    </w:p>
    <w:p w14:paraId="4E26DFF3" w14:textId="56353D11" w:rsidR="00516191" w:rsidRPr="00516191" w:rsidRDefault="00516191" w:rsidP="008F10D2">
      <w:r>
        <w:t>Key inclusion criteria included:</w:t>
      </w:r>
    </w:p>
    <w:p w14:paraId="41745713" w14:textId="4BF72343" w:rsidR="00A01A43" w:rsidRDefault="00A01A43" w:rsidP="00A01A43">
      <w:pPr>
        <w:pStyle w:val="ListBullet"/>
      </w:pPr>
      <w:r>
        <w:t>≥ 9 years of age</w:t>
      </w:r>
      <w:r w:rsidR="00516191">
        <w:t>;</w:t>
      </w:r>
    </w:p>
    <w:p w14:paraId="273D408E" w14:textId="680BF21B" w:rsidR="00A01A43" w:rsidRDefault="00FB01EE" w:rsidP="00FB01EE">
      <w:pPr>
        <w:pStyle w:val="ListBullet"/>
      </w:pPr>
      <w:r>
        <w:t>f</w:t>
      </w:r>
      <w:r w:rsidR="00182F87">
        <w:t>acial acne severity G</w:t>
      </w:r>
      <w:r>
        <w:t xml:space="preserve">rade of 3 (moderate) on the </w:t>
      </w:r>
      <w:r w:rsidRPr="00FB01EE">
        <w:t>Investigator Global Assessment</w:t>
      </w:r>
      <w:r>
        <w:t>(IGA)</w:t>
      </w:r>
      <w:r w:rsidR="00A01A43">
        <w:t xml:space="preserve"> scale</w:t>
      </w:r>
      <w:r w:rsidR="00516191">
        <w:t>;</w:t>
      </w:r>
      <w:r w:rsidR="00024AFF">
        <w:rPr>
          <w:rStyle w:val="FootnoteReference"/>
        </w:rPr>
        <w:footnoteReference w:id="7"/>
      </w:r>
    </w:p>
    <w:p w14:paraId="73E25A74" w14:textId="6B911A59" w:rsidR="00A01A43" w:rsidRDefault="00FB01EE" w:rsidP="00A01A43">
      <w:pPr>
        <w:pStyle w:val="ListBullet"/>
      </w:pPr>
      <w:r>
        <w:t>a</w:t>
      </w:r>
      <w:r w:rsidR="00A01A43">
        <w:t xml:space="preserve"> minimum of 20 inflammatory lesions and 25 non-inflammatory lesions on the face</w:t>
      </w:r>
      <w:r w:rsidR="00516191">
        <w:t>;</w:t>
      </w:r>
    </w:p>
    <w:p w14:paraId="4DB5104C" w14:textId="6027246B" w:rsidR="00A01A43" w:rsidRDefault="00FB01EE" w:rsidP="00FB01EE">
      <w:pPr>
        <w:pStyle w:val="ListBullet"/>
      </w:pPr>
      <w:r>
        <w:t>t</w:t>
      </w:r>
      <w:r w:rsidR="00182F87">
        <w:t>runcal acne severity G</w:t>
      </w:r>
      <w:r w:rsidR="00A01A43">
        <w:t xml:space="preserve">rade of 3 (moderate) on the </w:t>
      </w:r>
      <w:r w:rsidRPr="00FB01EE">
        <w:t xml:space="preserve">Physician Global Assessment </w:t>
      </w:r>
      <w:r>
        <w:t>(</w:t>
      </w:r>
      <w:r w:rsidR="00A01A43">
        <w:t>PGA</w:t>
      </w:r>
      <w:r>
        <w:t>)</w:t>
      </w:r>
      <w:r w:rsidR="00A01A43">
        <w:t xml:space="preserve"> scale on trunk (shoulders, upper back and upper anterior chest) reachable for self</w:t>
      </w:r>
      <w:r w:rsidR="00D436B4">
        <w:noBreakHyphen/>
      </w:r>
      <w:r w:rsidR="00A01A43">
        <w:t>application (optional criterion for subject between 9 and 11 years of age)</w:t>
      </w:r>
      <w:r w:rsidR="00516191">
        <w:t>;</w:t>
      </w:r>
      <w:r w:rsidR="00D436B4">
        <w:rPr>
          <w:rStyle w:val="FootnoteReference"/>
        </w:rPr>
        <w:footnoteReference w:id="8"/>
      </w:r>
      <w:r w:rsidR="00516191">
        <w:t xml:space="preserve"> and</w:t>
      </w:r>
    </w:p>
    <w:p w14:paraId="363F0CB3" w14:textId="77777777" w:rsidR="00A01A43" w:rsidRDefault="00FB01EE" w:rsidP="00A01A43">
      <w:pPr>
        <w:pStyle w:val="ListBullet"/>
      </w:pPr>
      <w:r>
        <w:t>a</w:t>
      </w:r>
      <w:r w:rsidR="00A01A43">
        <w:t xml:space="preserve"> minimum of 20 inflammatory lesions and 20 non-inflammatory lesions but no more than 100 non-inflammatory lesion counts on the trunk.</w:t>
      </w:r>
    </w:p>
    <w:p w14:paraId="2BD707BE" w14:textId="459231AA" w:rsidR="00A01A43" w:rsidRDefault="00A01A43" w:rsidP="00A01A43">
      <w:pPr>
        <w:pStyle w:val="Heading6"/>
      </w:pPr>
      <w:r>
        <w:t>Key exclusion criteria</w:t>
      </w:r>
    </w:p>
    <w:p w14:paraId="14882CBD" w14:textId="6CDC18CE" w:rsidR="00516191" w:rsidRPr="00516191" w:rsidRDefault="00516191" w:rsidP="00760AEE">
      <w:r>
        <w:t>Key exclusion criteria included:</w:t>
      </w:r>
    </w:p>
    <w:p w14:paraId="7350E042" w14:textId="6608D396" w:rsidR="00A01A43" w:rsidRDefault="00FB01EE" w:rsidP="00A01A43">
      <w:pPr>
        <w:pStyle w:val="ListBullet"/>
      </w:pPr>
      <w:r>
        <w:t>s</w:t>
      </w:r>
      <w:r w:rsidR="00A01A43">
        <w:t>evere or secondary forms of acne</w:t>
      </w:r>
      <w:r w:rsidR="00516191">
        <w:t>;</w:t>
      </w:r>
    </w:p>
    <w:p w14:paraId="00B834D3" w14:textId="71B4348A" w:rsidR="00A01A43" w:rsidRDefault="00FB01EE" w:rsidP="00A01A43">
      <w:pPr>
        <w:pStyle w:val="ListBullet"/>
      </w:pPr>
      <w:r>
        <w:t>m</w:t>
      </w:r>
      <w:r w:rsidR="00A01A43">
        <w:t>ore than 1 nodule on the face or trunk</w:t>
      </w:r>
      <w:r w:rsidR="00516191">
        <w:t>; and</w:t>
      </w:r>
    </w:p>
    <w:p w14:paraId="35CF250C" w14:textId="42B9CBB6" w:rsidR="00A01A43" w:rsidRDefault="00FB01EE" w:rsidP="00A01A43">
      <w:pPr>
        <w:pStyle w:val="ListBullet"/>
      </w:pPr>
      <w:r>
        <w:t>a</w:t>
      </w:r>
      <w:r w:rsidR="00A01A43">
        <w:t>ny acne cyst on the face or trunk</w:t>
      </w:r>
      <w:r w:rsidR="00516191">
        <w:t>.</w:t>
      </w:r>
    </w:p>
    <w:p w14:paraId="66CCFF25" w14:textId="559278B3" w:rsidR="00A01A43" w:rsidRDefault="00182F87" w:rsidP="00A01A43">
      <w:r w:rsidRPr="00FB01EE">
        <w:rPr>
          <w:i/>
        </w:rPr>
        <w:t>Study treatment</w:t>
      </w:r>
      <w:r>
        <w:t>: 50 µ</w:t>
      </w:r>
      <w:r w:rsidR="00FB01EE">
        <w:t>g/g of trifarotene and vehicle.</w:t>
      </w:r>
      <w:r w:rsidR="00AD3D28">
        <w:rPr>
          <w:rStyle w:val="FootnoteReference"/>
        </w:rPr>
        <w:footnoteReference w:id="9"/>
      </w:r>
    </w:p>
    <w:p w14:paraId="6165262D" w14:textId="77777777" w:rsidR="00A01A43" w:rsidRDefault="00A01A43" w:rsidP="00A01A43">
      <w:r w:rsidRPr="00FB01EE">
        <w:rPr>
          <w:i/>
        </w:rPr>
        <w:t>Dose</w:t>
      </w:r>
      <w:r>
        <w:t>: One pump actuation to cover the facial region and two pump actuations for the upper truncal regions. Both trifarotene and vehicle were applied once daily in the evening.</w:t>
      </w:r>
    </w:p>
    <w:p w14:paraId="0076703B" w14:textId="77777777" w:rsidR="00A01A43" w:rsidRDefault="00A01A43" w:rsidP="00A01A43">
      <w:r>
        <w:t>There w</w:t>
      </w:r>
      <w:r w:rsidR="00C35D17">
        <w:t>ere three co-primary endpoints:</w:t>
      </w:r>
    </w:p>
    <w:p w14:paraId="5ABC3FC7" w14:textId="418114F6" w:rsidR="00A01A43" w:rsidRDefault="00FB01EE" w:rsidP="00A01A43">
      <w:pPr>
        <w:pStyle w:val="ListBullet"/>
      </w:pPr>
      <w:r>
        <w:t>s</w:t>
      </w:r>
      <w:r w:rsidR="00A01A43">
        <w:t>uccess rate: defined as the percentage of subjects with an IGA s</w:t>
      </w:r>
      <w:r>
        <w:t>core of 1 (almost clear) or 0 (c</w:t>
      </w:r>
      <w:r w:rsidR="00A01A43">
        <w:t>lear) and at least</w:t>
      </w:r>
      <w:r>
        <w:t xml:space="preserve"> a two </w:t>
      </w:r>
      <w:r w:rsidR="00A01A43">
        <w:t xml:space="preserve">grade improvement from </w:t>
      </w:r>
      <w:r w:rsidR="00E71F8E">
        <w:t>Baseline</w:t>
      </w:r>
      <w:r w:rsidR="00182F87">
        <w:t xml:space="preserve"> at W</w:t>
      </w:r>
      <w:r w:rsidR="00A01A43">
        <w:t>eek 12. Success rate was calculated as the number of subjects who achieved success divided by the number of su</w:t>
      </w:r>
      <w:r>
        <w:t>bjects with IGA data at Week 12</w:t>
      </w:r>
      <w:r w:rsidR="00AD3D28">
        <w:t>;</w:t>
      </w:r>
    </w:p>
    <w:p w14:paraId="02E7A5EA" w14:textId="6E5747E0" w:rsidR="00A01A43" w:rsidRDefault="00FB01EE" w:rsidP="00A01A43">
      <w:pPr>
        <w:pStyle w:val="ListBullet"/>
      </w:pPr>
      <w:r>
        <w:t>a</w:t>
      </w:r>
      <w:r w:rsidR="00A01A43">
        <w:t>bsolute change in facia</w:t>
      </w:r>
      <w:r>
        <w:t>l inflammatory lesion count</w:t>
      </w:r>
      <w:r w:rsidR="00AD3D28">
        <w:t>;</w:t>
      </w:r>
      <w:r>
        <w:t xml:space="preserve"> and</w:t>
      </w:r>
    </w:p>
    <w:p w14:paraId="0BD4C12D" w14:textId="77777777" w:rsidR="00A01A43" w:rsidRDefault="00FB01EE" w:rsidP="00A01A43">
      <w:pPr>
        <w:pStyle w:val="ListBullet"/>
      </w:pPr>
      <w:r>
        <w:t>a</w:t>
      </w:r>
      <w:r w:rsidR="00A01A43">
        <w:t xml:space="preserve">bsolute change in facial non-inflammatory lesion count from </w:t>
      </w:r>
      <w:r w:rsidR="00E71F8E">
        <w:t>Baseline</w:t>
      </w:r>
      <w:r w:rsidR="00182F87">
        <w:t xml:space="preserve"> at W</w:t>
      </w:r>
      <w:r w:rsidR="00A01A43">
        <w:t>eek 12.</w:t>
      </w:r>
    </w:p>
    <w:p w14:paraId="7C03938B" w14:textId="77777777" w:rsidR="00A01A43" w:rsidRDefault="00A01A43" w:rsidP="00A01A43">
      <w:r>
        <w:t>There were three co-secondary endpoints</w:t>
      </w:r>
    </w:p>
    <w:p w14:paraId="3040352C" w14:textId="77777777" w:rsidR="00A01A43" w:rsidRDefault="00FB01EE" w:rsidP="00A01A43">
      <w:pPr>
        <w:pStyle w:val="ListBullet"/>
      </w:pPr>
      <w:r>
        <w:t>p</w:t>
      </w:r>
      <w:r w:rsidR="00A01A43">
        <w:t xml:space="preserve">ercentage of subjects with a PGA score of 1 or 0 and at least a 2 grade improvement from </w:t>
      </w:r>
      <w:r w:rsidR="00E71F8E">
        <w:t>Baseline</w:t>
      </w:r>
      <w:r w:rsidR="0069094F">
        <w:t xml:space="preserve"> at W</w:t>
      </w:r>
      <w:r>
        <w:t>eek 12,</w:t>
      </w:r>
    </w:p>
    <w:p w14:paraId="2A44A317" w14:textId="77777777" w:rsidR="00A01A43" w:rsidRDefault="00FB01EE" w:rsidP="00A01A43">
      <w:pPr>
        <w:pStyle w:val="ListBullet"/>
      </w:pPr>
      <w:r>
        <w:t>a</w:t>
      </w:r>
      <w:r w:rsidR="00A01A43">
        <w:t>bsolute change in truncal inflammator</w:t>
      </w:r>
      <w:r>
        <w:t>y lesion count and</w:t>
      </w:r>
    </w:p>
    <w:p w14:paraId="2631757C" w14:textId="77777777" w:rsidR="00A01A43" w:rsidRDefault="00FB01EE" w:rsidP="00A01A43">
      <w:pPr>
        <w:pStyle w:val="ListBullet"/>
      </w:pPr>
      <w:r>
        <w:t>a</w:t>
      </w:r>
      <w:r w:rsidR="00A01A43">
        <w:t xml:space="preserve">bsolute change in truncal non-inflammatory lesion count from </w:t>
      </w:r>
      <w:r w:rsidR="00E71F8E">
        <w:t>Baseline</w:t>
      </w:r>
      <w:r w:rsidR="00182F87">
        <w:t xml:space="preserve"> at W</w:t>
      </w:r>
      <w:r w:rsidR="00A01A43">
        <w:t>eek 12.</w:t>
      </w:r>
    </w:p>
    <w:p w14:paraId="5274DE80" w14:textId="77777777" w:rsidR="00A01A43" w:rsidRDefault="00A01A43" w:rsidP="00A01A43">
      <w:r>
        <w:t xml:space="preserve">Percentage change in facial and truncal inflammatory and non-inflammatory lesion counts from </w:t>
      </w:r>
      <w:r w:rsidR="00E71F8E">
        <w:t>Baseline</w:t>
      </w:r>
      <w:r w:rsidR="00182F87">
        <w:t xml:space="preserve"> at W</w:t>
      </w:r>
      <w:r>
        <w:t>eek 12 were supportive endpoints.</w:t>
      </w:r>
    </w:p>
    <w:p w14:paraId="6888C723" w14:textId="77777777" w:rsidR="00A01A43" w:rsidRDefault="00A01A43" w:rsidP="00A01A43">
      <w:pPr>
        <w:pStyle w:val="Heading6"/>
      </w:pPr>
      <w:r>
        <w:t>Statistical analysis</w:t>
      </w:r>
    </w:p>
    <w:p w14:paraId="624C8678" w14:textId="12B3D148" w:rsidR="00A01A43" w:rsidRDefault="00AD3D28" w:rsidP="00A01A43">
      <w:r>
        <w:t>The i</w:t>
      </w:r>
      <w:r w:rsidR="00FB01EE">
        <w:t>ntent to treat (</w:t>
      </w:r>
      <w:r w:rsidR="00A01A43">
        <w:t>ITT</w:t>
      </w:r>
      <w:r w:rsidR="00FB01EE">
        <w:t>)</w:t>
      </w:r>
      <w:r w:rsidR="00A01A43">
        <w:t xml:space="preserve"> population included all subjects; meanwhile, </w:t>
      </w:r>
      <w:r>
        <w:t xml:space="preserve">the </w:t>
      </w:r>
      <w:r w:rsidR="00A01A43">
        <w:t>intent</w:t>
      </w:r>
      <w:r>
        <w:t xml:space="preserve"> </w:t>
      </w:r>
      <w:r w:rsidR="00A01A43">
        <w:t>to</w:t>
      </w:r>
      <w:r>
        <w:t xml:space="preserve"> </w:t>
      </w:r>
      <w:r w:rsidR="00A01A43">
        <w:t>treat on the trunk</w:t>
      </w:r>
      <w:r>
        <w:t xml:space="preserve"> (ITTT</w:t>
      </w:r>
      <w:r w:rsidR="00A01A43">
        <w:t xml:space="preserve">) population included subjects with moderate truncal acne at </w:t>
      </w:r>
      <w:r w:rsidR="00E71F8E">
        <w:t>Baseline</w:t>
      </w:r>
      <w:r w:rsidR="00A01A43">
        <w:t>.</w:t>
      </w:r>
    </w:p>
    <w:p w14:paraId="2CCF93FE" w14:textId="5F2CCA70" w:rsidR="00A01A43" w:rsidRDefault="00A01A43" w:rsidP="00A01A43">
      <w:r>
        <w:t xml:space="preserve">IGA success rate was analysed using the Cochran-mantel Haenszel test. Changes from </w:t>
      </w:r>
      <w:r w:rsidR="00E71F8E">
        <w:t>Baseline</w:t>
      </w:r>
      <w:r>
        <w:t xml:space="preserve"> in facial counts were analysed by lesion type using </w:t>
      </w:r>
      <w:r w:rsidR="00FB01EE">
        <w:t>a</w:t>
      </w:r>
      <w:r w:rsidR="00FB01EE" w:rsidRPr="00FB01EE">
        <w:t xml:space="preserve">nalysis of covariance </w:t>
      </w:r>
      <w:r w:rsidR="00FB01EE">
        <w:t>(</w:t>
      </w:r>
      <w:r>
        <w:t>ANCOVA</w:t>
      </w:r>
      <w:r w:rsidR="00FB01EE">
        <w:t>)</w:t>
      </w:r>
      <w:r>
        <w:t>. Superior</w:t>
      </w:r>
      <w:r w:rsidR="00FB01EE">
        <w:t>ity of trifarotene 50</w:t>
      </w:r>
      <w:r w:rsidR="00987D70">
        <w:t xml:space="preserve"> </w:t>
      </w:r>
      <w:r w:rsidR="00FB01EE">
        <w:t>μg/g to vehicle c</w:t>
      </w:r>
      <w:r>
        <w:t>ream on the face was tested (p</w:t>
      </w:r>
      <w:r w:rsidR="00AD3D28">
        <w:t> </w:t>
      </w:r>
      <w:r>
        <w:t>&lt;</w:t>
      </w:r>
      <w:r w:rsidR="00AD3D28">
        <w:t> </w:t>
      </w:r>
      <w:r w:rsidR="00FB01EE">
        <w:t>0.05) for all three</w:t>
      </w:r>
      <w:r>
        <w:t xml:space="preserve"> co-primary efficacy endp</w:t>
      </w:r>
      <w:r w:rsidR="00FB01EE">
        <w:t>oints. If successful then, all three</w:t>
      </w:r>
      <w:r>
        <w:t xml:space="preserve"> co</w:t>
      </w:r>
      <w:r w:rsidR="00024AFF">
        <w:noBreakHyphen/>
      </w:r>
      <w:r>
        <w:t>secondary efficacy endpoints were tested (p</w:t>
      </w:r>
      <w:r w:rsidR="00FB01EE">
        <w:t xml:space="preserve"> </w:t>
      </w:r>
      <w:r>
        <w:t>&lt;</w:t>
      </w:r>
      <w:r w:rsidR="00FB01EE">
        <w:t xml:space="preserve"> </w:t>
      </w:r>
      <w:r>
        <w:t>0.05) for superiority.</w:t>
      </w:r>
    </w:p>
    <w:p w14:paraId="326D4E6B" w14:textId="77777777" w:rsidR="00A01A43" w:rsidRDefault="00A01A43" w:rsidP="00A01A43">
      <w:pPr>
        <w:pStyle w:val="Heading6"/>
      </w:pPr>
      <w:r>
        <w:t>Baseline characteristics</w:t>
      </w:r>
    </w:p>
    <w:p w14:paraId="26661BDD" w14:textId="47DE69C5" w:rsidR="00A01A43" w:rsidRDefault="00A01A43" w:rsidP="00A01A43">
      <w:r>
        <w:t xml:space="preserve">A total of 1208 subjects were randomised, with 612 in trifarotene arm and 596 in placebo arm. The median age was 18, with 9 years as the lowest age and 58 years as the highest age. There </w:t>
      </w:r>
      <w:r w:rsidR="00FB01EE">
        <w:t xml:space="preserve">were 10 and 9 subjects in the 9 to </w:t>
      </w:r>
      <w:r>
        <w:t xml:space="preserve">11 years </w:t>
      </w:r>
      <w:r w:rsidR="007B5848">
        <w:t xml:space="preserve">of </w:t>
      </w:r>
      <w:r>
        <w:t>age group in trifarotene and placebo arms respectively. Overall, 49% of subjects were children and 52% of subjects were females. 100% of subjects had a baseline IGA grade that corresponds to moderate grade of severity. Similarly, 98% of subjects had a PGA score reflecting moderate severity.</w:t>
      </w:r>
    </w:p>
    <w:p w14:paraId="3647C195" w14:textId="45800CBF" w:rsidR="007C62A9" w:rsidRDefault="00D436B4" w:rsidP="00A01A43">
      <w:r>
        <w:t>The s</w:t>
      </w:r>
      <w:r w:rsidR="00A01A43">
        <w:t xml:space="preserve">ummary of quantitative assessment of facial lesions at </w:t>
      </w:r>
      <w:r w:rsidR="00E71F8E">
        <w:t>Baseline</w:t>
      </w:r>
      <w:r w:rsidR="00A01A43">
        <w:t xml:space="preserve"> are </w:t>
      </w:r>
      <w:r>
        <w:t>shown in Table 3, below.</w:t>
      </w:r>
    </w:p>
    <w:p w14:paraId="33AAA337" w14:textId="21B499A1" w:rsidR="00D436B4" w:rsidRDefault="00D436B4" w:rsidP="00760AEE">
      <w:pPr>
        <w:pStyle w:val="TableTitle"/>
      </w:pPr>
      <w:r>
        <w:t xml:space="preserve">Table </w:t>
      </w:r>
      <w:fldSimple w:instr=" SEQ Table \* ARABIC ">
        <w:r w:rsidR="00F522B3">
          <w:rPr>
            <w:noProof/>
          </w:rPr>
          <w:t>3</w:t>
        </w:r>
      </w:fldSimple>
      <w:r>
        <w:t xml:space="preserve">: </w:t>
      </w:r>
      <w:r w:rsidRPr="00A01A43">
        <w:t>Studies 18251 and 18252</w:t>
      </w:r>
      <w:r>
        <w:t xml:space="preserve"> Facial lesions at Baseline</w:t>
      </w:r>
    </w:p>
    <w:p w14:paraId="42B7E917" w14:textId="77777777" w:rsidR="00A01A43" w:rsidRDefault="00A01A43" w:rsidP="00A01A43">
      <w:r>
        <w:rPr>
          <w:noProof/>
          <w:lang w:eastAsia="en-AU"/>
        </w:rPr>
        <w:drawing>
          <wp:inline distT="0" distB="0" distL="0" distR="0" wp14:anchorId="7528933A" wp14:editId="30A4FEA6">
            <wp:extent cx="4835347" cy="4021696"/>
            <wp:effectExtent l="0" t="0" r="3810" b="0"/>
            <wp:docPr id="1" name="Picture 1" descr="Studies 18251 and 18252 Facial lesion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999"/>
                    <a:stretch/>
                  </pic:blipFill>
                  <pic:spPr bwMode="auto">
                    <a:xfrm>
                      <a:off x="0" y="0"/>
                      <a:ext cx="4843866" cy="4028781"/>
                    </a:xfrm>
                    <a:prstGeom prst="rect">
                      <a:avLst/>
                    </a:prstGeom>
                    <a:ln>
                      <a:noFill/>
                    </a:ln>
                    <a:extLst>
                      <a:ext uri="{53640926-AAD7-44D8-BBD7-CCE9431645EC}">
                        <a14:shadowObscured xmlns:a14="http://schemas.microsoft.com/office/drawing/2010/main"/>
                      </a:ext>
                    </a:extLst>
                  </pic:spPr>
                </pic:pic>
              </a:graphicData>
            </a:graphic>
          </wp:inline>
        </w:drawing>
      </w:r>
    </w:p>
    <w:p w14:paraId="2475F04C" w14:textId="77777777" w:rsidR="001B364B" w:rsidRDefault="001B364B" w:rsidP="001B364B">
      <w:pPr>
        <w:pStyle w:val="TableDescription"/>
      </w:pPr>
      <w:r>
        <w:t>SD = Standard deviation, Min = minimum, Max = maximum.</w:t>
      </w:r>
    </w:p>
    <w:p w14:paraId="5B905E63" w14:textId="77777777" w:rsidR="00A01A43" w:rsidRDefault="00A01A43" w:rsidP="00A01A43">
      <w:pPr>
        <w:pStyle w:val="Heading6"/>
      </w:pPr>
      <w:r>
        <w:t>Results</w:t>
      </w:r>
    </w:p>
    <w:p w14:paraId="4C81E071" w14:textId="77EA4CC3" w:rsidR="00A01A43" w:rsidRDefault="00A01A43" w:rsidP="00A01A43">
      <w:r>
        <w:t>Co-primary endpoints: 29.4% of subjects in trifarotene arm achieved ‘success’, compared to 19.5% subjects in placebo arm</w:t>
      </w:r>
      <w:r w:rsidR="00D436B4">
        <w:t xml:space="preserve"> as shown in Table 4, below</w:t>
      </w:r>
      <w:r>
        <w:t>. The treatment difference was statistically significant.</w:t>
      </w:r>
    </w:p>
    <w:p w14:paraId="2D8C3F25" w14:textId="62473AC4" w:rsidR="00D40625" w:rsidRDefault="00A01A43" w:rsidP="00D40625">
      <w:pPr>
        <w:pStyle w:val="TableTitle"/>
      </w:pPr>
      <w:r>
        <w:t xml:space="preserve">Table </w:t>
      </w:r>
      <w:fldSimple w:instr=" SEQ Table \* ARABIC ">
        <w:r w:rsidR="00F522B3">
          <w:rPr>
            <w:noProof/>
          </w:rPr>
          <w:t>4</w:t>
        </w:r>
      </w:fldSimple>
      <w:r>
        <w:t xml:space="preserve">: </w:t>
      </w:r>
      <w:r w:rsidR="00230968" w:rsidRPr="00A01A43">
        <w:t>Studies 18251 and 18252</w:t>
      </w:r>
      <w:r w:rsidR="00230968">
        <w:t xml:space="preserve"> </w:t>
      </w:r>
      <w:r w:rsidR="00D40625">
        <w:t xml:space="preserve">Success rate on face based on </w:t>
      </w:r>
      <w:r w:rsidR="00D40625" w:rsidRPr="000D45A3">
        <w:t>Investigator’s Global Assessment severity score</w:t>
      </w:r>
    </w:p>
    <w:p w14:paraId="785F3E16" w14:textId="77777777" w:rsidR="00A01A43" w:rsidRDefault="00D40625" w:rsidP="00D40625">
      <w:r>
        <w:rPr>
          <w:noProof/>
          <w:lang w:eastAsia="en-AU"/>
        </w:rPr>
        <w:drawing>
          <wp:inline distT="0" distB="0" distL="0" distR="0" wp14:anchorId="44C9F368" wp14:editId="128BB31A">
            <wp:extent cx="4930444" cy="898214"/>
            <wp:effectExtent l="0" t="0" r="3810" b="0"/>
            <wp:docPr id="4" name="Picture 4" descr="Success rate on face based on Investigator’s Global Assessment sever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48" t="7746" r="1597"/>
                    <a:stretch/>
                  </pic:blipFill>
                  <pic:spPr bwMode="auto">
                    <a:xfrm>
                      <a:off x="0" y="0"/>
                      <a:ext cx="4965104" cy="904528"/>
                    </a:xfrm>
                    <a:prstGeom prst="rect">
                      <a:avLst/>
                    </a:prstGeom>
                    <a:ln>
                      <a:noFill/>
                    </a:ln>
                    <a:extLst>
                      <a:ext uri="{53640926-AAD7-44D8-BBD7-CCE9431645EC}">
                        <a14:shadowObscured xmlns:a14="http://schemas.microsoft.com/office/drawing/2010/main"/>
                      </a:ext>
                    </a:extLst>
                  </pic:spPr>
                </pic:pic>
              </a:graphicData>
            </a:graphic>
          </wp:inline>
        </w:drawing>
      </w:r>
    </w:p>
    <w:p w14:paraId="78DDD56A" w14:textId="77777777" w:rsidR="001B364B" w:rsidRDefault="001B364B" w:rsidP="001B364B">
      <w:pPr>
        <w:pStyle w:val="TableDescription"/>
      </w:pPr>
      <w:r>
        <w:t>CI = Confidence interval</w:t>
      </w:r>
    </w:p>
    <w:p w14:paraId="7151346C" w14:textId="6A52780D" w:rsidR="00D40625" w:rsidRDefault="00D40625" w:rsidP="00D40625">
      <w:r>
        <w:t>The mean absolute change (reduction) from Baseline in the facial inflammatory and non-inflammatory lesion count were significantly higher for subjects in trifarotene arm, compared to placebo arm. At 12 weeks of treatment period, subjects treated with trifarotene had fewer inflammatory lesions by a count of 3 and non-inflammatory lesions by a count of 7</w:t>
      </w:r>
      <w:r w:rsidR="00D436B4">
        <w:t>, as shown in Tables 5 and 6, below</w:t>
      </w:r>
      <w:r>
        <w:t>.</w:t>
      </w:r>
    </w:p>
    <w:p w14:paraId="5355093F" w14:textId="675B8FD4" w:rsidR="00D40625" w:rsidRDefault="00D40625" w:rsidP="00D40625">
      <w:r>
        <w:t xml:space="preserve">A greater treatment response was observed </w:t>
      </w:r>
      <w:r w:rsidR="00182F87">
        <w:t>in trifarotene arm as early as W</w:t>
      </w:r>
      <w:r>
        <w:t>eek 2 of treatment period, compared to placebo arm</w:t>
      </w:r>
      <w:r w:rsidR="00D436B4">
        <w:t>, as shown in Figure 4, below.</w:t>
      </w:r>
    </w:p>
    <w:p w14:paraId="00509307" w14:textId="34AA75BF" w:rsidR="00D40625" w:rsidRDefault="00D40625" w:rsidP="00D40625">
      <w:pPr>
        <w:pStyle w:val="FigureTitle"/>
      </w:pPr>
      <w:r w:rsidRPr="00D40625">
        <w:t xml:space="preserve">Figure </w:t>
      </w:r>
      <w:fldSimple w:instr=" SEQ Figure \* ARABIC ">
        <w:r w:rsidR="00F522B3">
          <w:rPr>
            <w:noProof/>
          </w:rPr>
          <w:t>4</w:t>
        </w:r>
      </w:fldSimple>
      <w:r>
        <w:t xml:space="preserve">: </w:t>
      </w:r>
      <w:r w:rsidR="00230968" w:rsidRPr="00A01A43">
        <w:t>Studies 18251 and 18252</w:t>
      </w:r>
      <w:r w:rsidR="00230968">
        <w:t xml:space="preserve"> </w:t>
      </w:r>
      <w:r>
        <w:t>Comparison of treatment response between trifarotene and placebo arms</w:t>
      </w:r>
    </w:p>
    <w:p w14:paraId="2E251E8E" w14:textId="77777777" w:rsidR="00D40625" w:rsidRDefault="00D40625" w:rsidP="00D40625">
      <w:r>
        <w:rPr>
          <w:noProof/>
          <w:lang w:eastAsia="en-AU"/>
        </w:rPr>
        <w:drawing>
          <wp:inline distT="0" distB="0" distL="0" distR="0" wp14:anchorId="1462A984" wp14:editId="280DE1DB">
            <wp:extent cx="4798771" cy="2404948"/>
            <wp:effectExtent l="0" t="0" r="1905" b="0"/>
            <wp:docPr id="2" name="Picture 2" descr="Comparison of treatment response between trifarotene and placebo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46"/>
                    <a:stretch/>
                  </pic:blipFill>
                  <pic:spPr bwMode="auto">
                    <a:xfrm>
                      <a:off x="0" y="0"/>
                      <a:ext cx="4818509" cy="2414840"/>
                    </a:xfrm>
                    <a:prstGeom prst="rect">
                      <a:avLst/>
                    </a:prstGeom>
                    <a:ln>
                      <a:noFill/>
                    </a:ln>
                    <a:extLst>
                      <a:ext uri="{53640926-AAD7-44D8-BBD7-CCE9431645EC}">
                        <a14:shadowObscured xmlns:a14="http://schemas.microsoft.com/office/drawing/2010/main"/>
                      </a:ext>
                    </a:extLst>
                  </pic:spPr>
                </pic:pic>
              </a:graphicData>
            </a:graphic>
          </wp:inline>
        </w:drawing>
      </w:r>
    </w:p>
    <w:p w14:paraId="6111EB1A" w14:textId="21B4D73C" w:rsidR="008A5D95" w:rsidRDefault="008A5D95" w:rsidP="008A5D95">
      <w:pPr>
        <w:pStyle w:val="TableTitle"/>
      </w:pPr>
      <w:r w:rsidRPr="008A5D95">
        <w:t xml:space="preserve">Table </w:t>
      </w:r>
      <w:fldSimple w:instr=" SEQ Table \* ARABIC ">
        <w:r w:rsidR="00F522B3">
          <w:rPr>
            <w:noProof/>
          </w:rPr>
          <w:t>5</w:t>
        </w:r>
      </w:fldSimple>
      <w:r>
        <w:t xml:space="preserve">: </w:t>
      </w:r>
      <w:r w:rsidR="00230968" w:rsidRPr="00A01A43">
        <w:t>Studies 18251 and 18252</w:t>
      </w:r>
      <w:r w:rsidR="00230968">
        <w:t xml:space="preserve"> </w:t>
      </w:r>
      <w:r>
        <w:t>Absolute reduction in facial inflammatory lesion count</w:t>
      </w:r>
    </w:p>
    <w:p w14:paraId="0775318B" w14:textId="77777777" w:rsidR="00D40625" w:rsidRDefault="008A5D95" w:rsidP="00BF0F65">
      <w:r>
        <w:rPr>
          <w:noProof/>
          <w:lang w:eastAsia="en-AU"/>
        </w:rPr>
        <w:drawing>
          <wp:inline distT="0" distB="0" distL="0" distR="0" wp14:anchorId="379E4B2D" wp14:editId="6B6895BD">
            <wp:extent cx="5337226" cy="1038225"/>
            <wp:effectExtent l="0" t="0" r="0" b="0"/>
            <wp:docPr id="6" name="Picture 6" descr="Absolute reduction in facial 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0" t="6726" r="2148" b="1"/>
                    <a:stretch/>
                  </pic:blipFill>
                  <pic:spPr bwMode="auto">
                    <a:xfrm>
                      <a:off x="0" y="0"/>
                      <a:ext cx="5360563" cy="1042765"/>
                    </a:xfrm>
                    <a:prstGeom prst="rect">
                      <a:avLst/>
                    </a:prstGeom>
                    <a:ln>
                      <a:noFill/>
                    </a:ln>
                    <a:extLst>
                      <a:ext uri="{53640926-AAD7-44D8-BBD7-CCE9431645EC}">
                        <a14:shadowObscured xmlns:a14="http://schemas.microsoft.com/office/drawing/2010/main"/>
                      </a:ext>
                    </a:extLst>
                  </pic:spPr>
                </pic:pic>
              </a:graphicData>
            </a:graphic>
          </wp:inline>
        </w:drawing>
      </w:r>
    </w:p>
    <w:p w14:paraId="35FA66F5" w14:textId="77777777" w:rsidR="001B364B" w:rsidRPr="001B364B" w:rsidRDefault="001B364B" w:rsidP="001B364B">
      <w:pPr>
        <w:pStyle w:val="TableDescription"/>
      </w:pPr>
      <w:r>
        <w:t>LS = least square, SE = standard error, CI = confidence interval</w:t>
      </w:r>
    </w:p>
    <w:p w14:paraId="624C8717" w14:textId="0D679C03" w:rsidR="008A5D95" w:rsidRDefault="008A5D95" w:rsidP="008A5D95">
      <w:pPr>
        <w:pStyle w:val="TableTitle"/>
      </w:pPr>
      <w:r w:rsidRPr="008A5D95">
        <w:t xml:space="preserve">Table </w:t>
      </w:r>
      <w:fldSimple w:instr=" SEQ Table \* ARABIC ">
        <w:r w:rsidR="00F522B3">
          <w:rPr>
            <w:noProof/>
          </w:rPr>
          <w:t>6</w:t>
        </w:r>
      </w:fldSimple>
      <w:r>
        <w:t xml:space="preserve">: </w:t>
      </w:r>
      <w:r w:rsidR="00230968" w:rsidRPr="00A01A43">
        <w:t>Studies 18251 and 18252</w:t>
      </w:r>
      <w:r w:rsidR="00230968">
        <w:t xml:space="preserve"> </w:t>
      </w:r>
      <w:r>
        <w:t>Absolute reduction in facial non-inflammatory lesion count</w:t>
      </w:r>
    </w:p>
    <w:p w14:paraId="2CE75F23" w14:textId="77777777" w:rsidR="008A5D95" w:rsidRDefault="008A5D95" w:rsidP="008A5D95">
      <w:r>
        <w:rPr>
          <w:noProof/>
          <w:lang w:eastAsia="en-AU"/>
        </w:rPr>
        <w:drawing>
          <wp:inline distT="0" distB="0" distL="0" distR="0" wp14:anchorId="571C819A" wp14:editId="107D940C">
            <wp:extent cx="5221565" cy="1047750"/>
            <wp:effectExtent l="0" t="0" r="0" b="0"/>
            <wp:docPr id="5" name="Picture 5" descr="Absolute reduction in facial non-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84" t="3824" r="1600" b="4378"/>
                    <a:stretch/>
                  </pic:blipFill>
                  <pic:spPr bwMode="auto">
                    <a:xfrm>
                      <a:off x="0" y="0"/>
                      <a:ext cx="5252132" cy="1053884"/>
                    </a:xfrm>
                    <a:prstGeom prst="rect">
                      <a:avLst/>
                    </a:prstGeom>
                    <a:ln>
                      <a:noFill/>
                    </a:ln>
                    <a:extLst>
                      <a:ext uri="{53640926-AAD7-44D8-BBD7-CCE9431645EC}">
                        <a14:shadowObscured xmlns:a14="http://schemas.microsoft.com/office/drawing/2010/main"/>
                      </a:ext>
                    </a:extLst>
                  </pic:spPr>
                </pic:pic>
              </a:graphicData>
            </a:graphic>
          </wp:inline>
        </w:drawing>
      </w:r>
    </w:p>
    <w:p w14:paraId="43399D21" w14:textId="77777777" w:rsidR="001B364B" w:rsidRDefault="001B364B" w:rsidP="001B364B">
      <w:pPr>
        <w:pStyle w:val="TableDescription"/>
      </w:pPr>
      <w:r>
        <w:t>LS = least square, SE = s</w:t>
      </w:r>
      <w:r w:rsidRPr="001B364B">
        <w:t>tandard error, CI = confidence interval</w:t>
      </w:r>
    </w:p>
    <w:p w14:paraId="144DC58C" w14:textId="77777777" w:rsidR="008A5D95" w:rsidRDefault="008A5D95" w:rsidP="008A5D95">
      <w:pPr>
        <w:rPr>
          <w:lang w:eastAsia="ja-JP"/>
        </w:rPr>
      </w:pPr>
      <w:r w:rsidRPr="008A5D95">
        <w:rPr>
          <w:i/>
        </w:rPr>
        <w:t>Secondary endpoints</w:t>
      </w:r>
      <w:r>
        <w:rPr>
          <w:lang w:eastAsia="ja-JP"/>
        </w:rPr>
        <w:t>:</w:t>
      </w:r>
    </w:p>
    <w:p w14:paraId="06A03513" w14:textId="25F57D98" w:rsidR="008A5D95" w:rsidRDefault="008A5D95" w:rsidP="008A5D95">
      <w:pPr>
        <w:rPr>
          <w:lang w:eastAsia="ja-JP"/>
        </w:rPr>
      </w:pPr>
      <w:r>
        <w:rPr>
          <w:lang w:eastAsia="ja-JP"/>
        </w:rPr>
        <w:t>A significantly higher percentage of subjects in trifarotene arm achieved success, compared to placebo arm</w:t>
      </w:r>
      <w:r w:rsidR="00D436B4">
        <w:rPr>
          <w:lang w:eastAsia="ja-JP"/>
        </w:rPr>
        <w:t>, as shown in Table 7, below</w:t>
      </w:r>
      <w:r>
        <w:rPr>
          <w:lang w:eastAsia="ja-JP"/>
        </w:rPr>
        <w:t xml:space="preserve">. The mean absolute change from </w:t>
      </w:r>
      <w:r w:rsidR="00E71F8E">
        <w:rPr>
          <w:lang w:eastAsia="ja-JP"/>
        </w:rPr>
        <w:t>Baseline</w:t>
      </w:r>
      <w:r>
        <w:rPr>
          <w:lang w:eastAsia="ja-JP"/>
        </w:rPr>
        <w:t xml:space="preserve"> in the inflammatory and non-inflammatory lesion count on the trunk was significantly higher in trifarotene arm, compared to placebo arm</w:t>
      </w:r>
      <w:r w:rsidR="00D436B4">
        <w:rPr>
          <w:lang w:eastAsia="ja-JP"/>
        </w:rPr>
        <w:t>, shown in Table</w:t>
      </w:r>
      <w:r w:rsidR="00257ABB">
        <w:rPr>
          <w:lang w:eastAsia="ja-JP"/>
        </w:rPr>
        <w:t>s</w:t>
      </w:r>
      <w:r w:rsidR="00D436B4">
        <w:rPr>
          <w:lang w:eastAsia="ja-JP"/>
        </w:rPr>
        <w:t xml:space="preserve"> 8</w:t>
      </w:r>
      <w:r w:rsidR="00257ABB">
        <w:rPr>
          <w:lang w:eastAsia="ja-JP"/>
        </w:rPr>
        <w:t xml:space="preserve"> and 9</w:t>
      </w:r>
      <w:r w:rsidR="00D436B4">
        <w:rPr>
          <w:lang w:eastAsia="ja-JP"/>
        </w:rPr>
        <w:t>, below</w:t>
      </w:r>
      <w:r>
        <w:rPr>
          <w:lang w:eastAsia="ja-JP"/>
        </w:rPr>
        <w:t>.</w:t>
      </w:r>
    </w:p>
    <w:p w14:paraId="4B20C9A2" w14:textId="0A7AAB00" w:rsidR="00101985" w:rsidRDefault="00101985" w:rsidP="00101985">
      <w:pPr>
        <w:pStyle w:val="TableTitle"/>
      </w:pPr>
      <w:r w:rsidRPr="00101985">
        <w:t xml:space="preserve">Table </w:t>
      </w:r>
      <w:fldSimple w:instr=" SEQ Table \* ARABIC ">
        <w:r w:rsidR="00F522B3">
          <w:rPr>
            <w:noProof/>
          </w:rPr>
          <w:t>7</w:t>
        </w:r>
      </w:fldSimple>
      <w:r>
        <w:t xml:space="preserve">: </w:t>
      </w:r>
      <w:r w:rsidR="00230968" w:rsidRPr="00A01A43">
        <w:t>Studies 18251 and 18252</w:t>
      </w:r>
      <w:r w:rsidR="00230968">
        <w:t xml:space="preserve"> </w:t>
      </w:r>
      <w:r>
        <w:t>Success rate on trunk based on Physician Global Assessment severity score</w:t>
      </w:r>
    </w:p>
    <w:p w14:paraId="43E41A60" w14:textId="77777777" w:rsidR="00101985" w:rsidRDefault="00101985" w:rsidP="00101985">
      <w:r>
        <w:rPr>
          <w:noProof/>
          <w:lang w:eastAsia="en-AU"/>
        </w:rPr>
        <w:drawing>
          <wp:inline distT="0" distB="0" distL="0" distR="0" wp14:anchorId="7B607A0F" wp14:editId="3F3795FF">
            <wp:extent cx="5236030" cy="812165"/>
            <wp:effectExtent l="0" t="0" r="3175" b="6985"/>
            <wp:docPr id="9" name="Picture 9" descr="Success rate on trunk based on Physician Global Assessment sever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50" t="4308" r="1994"/>
                    <a:stretch/>
                  </pic:blipFill>
                  <pic:spPr bwMode="auto">
                    <a:xfrm>
                      <a:off x="0" y="0"/>
                      <a:ext cx="5241104" cy="812952"/>
                    </a:xfrm>
                    <a:prstGeom prst="rect">
                      <a:avLst/>
                    </a:prstGeom>
                    <a:ln>
                      <a:noFill/>
                    </a:ln>
                    <a:extLst>
                      <a:ext uri="{53640926-AAD7-44D8-BBD7-CCE9431645EC}">
                        <a14:shadowObscured xmlns:a14="http://schemas.microsoft.com/office/drawing/2010/main"/>
                      </a:ext>
                    </a:extLst>
                  </pic:spPr>
                </pic:pic>
              </a:graphicData>
            </a:graphic>
          </wp:inline>
        </w:drawing>
      </w:r>
    </w:p>
    <w:p w14:paraId="20D4BC81" w14:textId="77777777" w:rsidR="001B364B" w:rsidRDefault="001B364B" w:rsidP="001B364B">
      <w:pPr>
        <w:pStyle w:val="TableDescription"/>
      </w:pPr>
      <w:r>
        <w:t>CI = confidence interval</w:t>
      </w:r>
    </w:p>
    <w:p w14:paraId="1C505C5C" w14:textId="2139AF3B" w:rsidR="00101985" w:rsidRDefault="00101985" w:rsidP="00101985">
      <w:pPr>
        <w:pStyle w:val="TableTitle"/>
      </w:pPr>
      <w:r w:rsidRPr="00101985">
        <w:t xml:space="preserve">Table </w:t>
      </w:r>
      <w:fldSimple w:instr=" SEQ Table \* ARABIC ">
        <w:r w:rsidR="00F522B3">
          <w:rPr>
            <w:noProof/>
          </w:rPr>
          <w:t>8</w:t>
        </w:r>
      </w:fldSimple>
      <w:r>
        <w:t xml:space="preserve">: </w:t>
      </w:r>
      <w:r w:rsidR="00230968" w:rsidRPr="00A01A43">
        <w:t>Studies 18251 and 18252</w:t>
      </w:r>
      <w:r w:rsidR="00230968">
        <w:t xml:space="preserve"> </w:t>
      </w:r>
      <w:r>
        <w:t>Absolute reduction in truncal inflammatory lesion count</w:t>
      </w:r>
    </w:p>
    <w:p w14:paraId="51F3F170" w14:textId="77777777" w:rsidR="00101985" w:rsidRDefault="00101985" w:rsidP="00101985">
      <w:r>
        <w:rPr>
          <w:noProof/>
          <w:lang w:eastAsia="en-AU"/>
        </w:rPr>
        <w:drawing>
          <wp:inline distT="0" distB="0" distL="0" distR="0" wp14:anchorId="52823DEA" wp14:editId="698E1186">
            <wp:extent cx="5271037" cy="965200"/>
            <wp:effectExtent l="0" t="0" r="6350" b="6350"/>
            <wp:docPr id="10" name="Picture 10" descr="Absolute reduction in truncal 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49" t="2941" r="1332"/>
                    <a:stretch/>
                  </pic:blipFill>
                  <pic:spPr bwMode="auto">
                    <a:xfrm>
                      <a:off x="0" y="0"/>
                      <a:ext cx="5276804" cy="966256"/>
                    </a:xfrm>
                    <a:prstGeom prst="rect">
                      <a:avLst/>
                    </a:prstGeom>
                    <a:ln>
                      <a:noFill/>
                    </a:ln>
                    <a:extLst>
                      <a:ext uri="{53640926-AAD7-44D8-BBD7-CCE9431645EC}">
                        <a14:shadowObscured xmlns:a14="http://schemas.microsoft.com/office/drawing/2010/main"/>
                      </a:ext>
                    </a:extLst>
                  </pic:spPr>
                </pic:pic>
              </a:graphicData>
            </a:graphic>
          </wp:inline>
        </w:drawing>
      </w:r>
    </w:p>
    <w:p w14:paraId="1682427C" w14:textId="77777777" w:rsidR="001B364B" w:rsidRDefault="001B364B" w:rsidP="001B364B">
      <w:pPr>
        <w:pStyle w:val="TableDescription"/>
      </w:pPr>
      <w:r>
        <w:t>LS = least square, SE = standard error, CI = confidence interval</w:t>
      </w:r>
    </w:p>
    <w:p w14:paraId="1E3D5EFF" w14:textId="5F7C51DE" w:rsidR="00F26DB5" w:rsidRDefault="00F26DB5" w:rsidP="00F26DB5">
      <w:pPr>
        <w:pStyle w:val="TableTitle"/>
      </w:pPr>
      <w:r w:rsidRPr="00F26DB5">
        <w:t xml:space="preserve">Table </w:t>
      </w:r>
      <w:fldSimple w:instr=" SEQ Table \* ARABIC ">
        <w:r w:rsidR="00F522B3">
          <w:rPr>
            <w:noProof/>
          </w:rPr>
          <w:t>9</w:t>
        </w:r>
      </w:fldSimple>
      <w:r>
        <w:t xml:space="preserve">: </w:t>
      </w:r>
      <w:r w:rsidR="00230968" w:rsidRPr="00A01A43">
        <w:t>Studies 18251 and 18252</w:t>
      </w:r>
      <w:r w:rsidR="00230968">
        <w:t xml:space="preserve"> </w:t>
      </w:r>
      <w:r>
        <w:t>Absolute reduction in truncal non-inflammatory lesion count</w:t>
      </w:r>
    </w:p>
    <w:p w14:paraId="33722F35" w14:textId="77777777" w:rsidR="00F26DB5" w:rsidRDefault="00F26DB5" w:rsidP="00F26DB5">
      <w:r>
        <w:rPr>
          <w:noProof/>
          <w:lang w:eastAsia="en-AU"/>
        </w:rPr>
        <w:drawing>
          <wp:inline distT="0" distB="0" distL="0" distR="0" wp14:anchorId="0A432184" wp14:editId="4C6984A4">
            <wp:extent cx="5207416" cy="934720"/>
            <wp:effectExtent l="0" t="0" r="0" b="0"/>
            <wp:docPr id="19" name="Picture 19" descr="Absolute reduction in truncal non-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98" t="7925" r="1602"/>
                    <a:stretch/>
                  </pic:blipFill>
                  <pic:spPr bwMode="auto">
                    <a:xfrm>
                      <a:off x="0" y="0"/>
                      <a:ext cx="5211009" cy="935365"/>
                    </a:xfrm>
                    <a:prstGeom prst="rect">
                      <a:avLst/>
                    </a:prstGeom>
                    <a:ln>
                      <a:noFill/>
                    </a:ln>
                    <a:extLst>
                      <a:ext uri="{53640926-AAD7-44D8-BBD7-CCE9431645EC}">
                        <a14:shadowObscured xmlns:a14="http://schemas.microsoft.com/office/drawing/2010/main"/>
                      </a:ext>
                    </a:extLst>
                  </pic:spPr>
                </pic:pic>
              </a:graphicData>
            </a:graphic>
          </wp:inline>
        </w:drawing>
      </w:r>
    </w:p>
    <w:p w14:paraId="3E89E48A" w14:textId="77777777" w:rsidR="001B364B" w:rsidRDefault="001B364B" w:rsidP="001B364B">
      <w:pPr>
        <w:pStyle w:val="TableDescription"/>
      </w:pPr>
      <w:r>
        <w:t>LS = least square, SE = standard error, CI = confidence interval</w:t>
      </w:r>
    </w:p>
    <w:p w14:paraId="4B114545" w14:textId="77777777" w:rsidR="00101985" w:rsidRPr="00101985" w:rsidRDefault="00101985" w:rsidP="00101985">
      <w:pPr>
        <w:rPr>
          <w:i/>
          <w:lang w:eastAsia="ja-JP"/>
        </w:rPr>
      </w:pPr>
      <w:r w:rsidRPr="00101985">
        <w:rPr>
          <w:i/>
          <w:lang w:eastAsia="ja-JP"/>
        </w:rPr>
        <w:t>Supportive endpoints</w:t>
      </w:r>
    </w:p>
    <w:p w14:paraId="709B3850" w14:textId="77777777" w:rsidR="00101985" w:rsidRDefault="00101985" w:rsidP="00101985">
      <w:pPr>
        <w:rPr>
          <w:lang w:eastAsia="ja-JP"/>
        </w:rPr>
      </w:pPr>
      <w:r>
        <w:rPr>
          <w:lang w:eastAsia="ja-JP"/>
        </w:rPr>
        <w:t>Subjects in trifarotene arm achieved 54.4% and 49.7% mean reduction in inflammatory and non-inflammatory lesion counts in face respectively. Meanwhile, subjects in placebo arm achieved a 44.8% and 35.7% reduction in inflammatory and non-inflammatory lesion counts and the treatment difference was statistically significant.</w:t>
      </w:r>
    </w:p>
    <w:p w14:paraId="0DCC4383" w14:textId="77777777" w:rsidR="00101985" w:rsidRDefault="00101985" w:rsidP="00101985">
      <w:pPr>
        <w:rPr>
          <w:lang w:eastAsia="ja-JP"/>
        </w:rPr>
      </w:pPr>
      <w:r>
        <w:rPr>
          <w:lang w:eastAsia="ja-JP"/>
        </w:rPr>
        <w:t>A similar outcome was reported for truncal inflammatory and non-inflammatory lesion counts.</w:t>
      </w:r>
    </w:p>
    <w:p w14:paraId="7046A22C" w14:textId="77777777" w:rsidR="00101985" w:rsidRDefault="00101985" w:rsidP="00101985">
      <w:pPr>
        <w:pStyle w:val="Heading5"/>
        <w:rPr>
          <w:lang w:eastAsia="ja-JP"/>
        </w:rPr>
      </w:pPr>
      <w:r w:rsidRPr="00101985">
        <w:rPr>
          <w:lang w:eastAsia="ja-JP"/>
        </w:rPr>
        <w:t>Study 18252</w:t>
      </w:r>
    </w:p>
    <w:p w14:paraId="60C86AEB" w14:textId="7814E40C" w:rsidR="00101985" w:rsidRDefault="00101985" w:rsidP="00101985">
      <w:pPr>
        <w:rPr>
          <w:lang w:eastAsia="ja-JP"/>
        </w:rPr>
      </w:pPr>
      <w:r>
        <w:rPr>
          <w:lang w:eastAsia="ja-JP"/>
        </w:rPr>
        <w:t xml:space="preserve">The overall baseline characteristics </w:t>
      </w:r>
      <w:r w:rsidR="00182F87">
        <w:rPr>
          <w:lang w:eastAsia="ja-JP"/>
        </w:rPr>
        <w:t>of subjects were comparable to S</w:t>
      </w:r>
      <w:r>
        <w:rPr>
          <w:lang w:eastAsia="ja-JP"/>
        </w:rPr>
        <w:t>tudy 18251</w:t>
      </w:r>
      <w:r w:rsidR="00257ABB">
        <w:rPr>
          <w:lang w:eastAsia="ja-JP"/>
        </w:rPr>
        <w:t xml:space="preserve"> (discussed above)</w:t>
      </w:r>
      <w:r>
        <w:rPr>
          <w:lang w:eastAsia="ja-JP"/>
        </w:rPr>
        <w:t>. 1252 subjects were randomised, with 602 and 610 subjects in trifarotene and placebo arms respectively.</w:t>
      </w:r>
      <w:r w:rsidR="0037112C">
        <w:rPr>
          <w:lang w:eastAsia="ja-JP"/>
        </w:rPr>
        <w:t xml:space="preserve"> </w:t>
      </w:r>
      <w:r>
        <w:rPr>
          <w:lang w:eastAsia="ja-JP"/>
        </w:rPr>
        <w:t>There</w:t>
      </w:r>
      <w:r w:rsidR="00A20401">
        <w:rPr>
          <w:lang w:eastAsia="ja-JP"/>
        </w:rPr>
        <w:t xml:space="preserve"> were 9 and 6 subjects in the 9 to </w:t>
      </w:r>
      <w:r>
        <w:rPr>
          <w:lang w:eastAsia="ja-JP"/>
        </w:rPr>
        <w:t>11 years age group in trifarotene and placebo arms respectively.</w:t>
      </w:r>
    </w:p>
    <w:p w14:paraId="03BA99CF" w14:textId="77777777" w:rsidR="00101985" w:rsidRPr="00643CD2" w:rsidRDefault="00101985" w:rsidP="00101985">
      <w:pPr>
        <w:pStyle w:val="Heading6"/>
        <w:rPr>
          <w:lang w:eastAsia="ja-JP"/>
        </w:rPr>
      </w:pPr>
      <w:r w:rsidRPr="00643CD2">
        <w:rPr>
          <w:lang w:eastAsia="ja-JP"/>
        </w:rPr>
        <w:t>Results</w:t>
      </w:r>
    </w:p>
    <w:p w14:paraId="28AB44E9" w14:textId="4B895901" w:rsidR="00101985" w:rsidRDefault="00101985" w:rsidP="00101985">
      <w:pPr>
        <w:rPr>
          <w:lang w:eastAsia="ja-JP"/>
        </w:rPr>
      </w:pPr>
      <w:r>
        <w:rPr>
          <w:lang w:eastAsia="ja-JP"/>
        </w:rPr>
        <w:t>A significantly higher percentage of subjects in trifarotene arm achieved su</w:t>
      </w:r>
      <w:r w:rsidR="00F26DB5">
        <w:rPr>
          <w:lang w:eastAsia="ja-JP"/>
        </w:rPr>
        <w:t>ccess, compared to placebo arm</w:t>
      </w:r>
      <w:r w:rsidR="00257ABB">
        <w:rPr>
          <w:lang w:eastAsia="ja-JP"/>
        </w:rPr>
        <w:t>, as shown in Table 10, below.</w:t>
      </w:r>
    </w:p>
    <w:p w14:paraId="4D7F66A6" w14:textId="01A39437" w:rsidR="00F26DB5" w:rsidRDefault="00F26DB5" w:rsidP="00F26DB5">
      <w:pPr>
        <w:pStyle w:val="TableTitle"/>
      </w:pPr>
      <w:r w:rsidRPr="00F26DB5">
        <w:t xml:space="preserve">Table </w:t>
      </w:r>
      <w:fldSimple w:instr=" SEQ Table \* ARABIC ">
        <w:r w:rsidR="00F522B3">
          <w:rPr>
            <w:noProof/>
          </w:rPr>
          <w:t>10</w:t>
        </w:r>
      </w:fldSimple>
      <w:r>
        <w:t xml:space="preserve">: </w:t>
      </w:r>
      <w:r w:rsidR="00230968" w:rsidRPr="00230968">
        <w:t>Study 18252</w:t>
      </w:r>
      <w:r w:rsidR="00230968">
        <w:t xml:space="preserve"> </w:t>
      </w:r>
      <w:r>
        <w:t xml:space="preserve">Success rate based on </w:t>
      </w:r>
      <w:r w:rsidRPr="000D45A3">
        <w:t>Investigator’s Global Assessment severity score</w:t>
      </w:r>
    </w:p>
    <w:p w14:paraId="2B91DD80" w14:textId="77777777" w:rsidR="00101985" w:rsidRDefault="00F26DB5" w:rsidP="00F26DB5">
      <w:pPr>
        <w:rPr>
          <w:lang w:eastAsia="ja-JP"/>
        </w:rPr>
      </w:pPr>
      <w:r>
        <w:rPr>
          <w:noProof/>
          <w:lang w:eastAsia="en-AU"/>
        </w:rPr>
        <w:drawing>
          <wp:inline distT="0" distB="0" distL="0" distR="0" wp14:anchorId="0712708E" wp14:editId="6974BD6B">
            <wp:extent cx="5188130" cy="899770"/>
            <wp:effectExtent l="0" t="0" r="0" b="0"/>
            <wp:docPr id="11" name="Picture 11" descr="Success rate based on Investigator’s Global Assessment severity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12" t="3542" r="1099"/>
                    <a:stretch/>
                  </pic:blipFill>
                  <pic:spPr bwMode="auto">
                    <a:xfrm>
                      <a:off x="0" y="0"/>
                      <a:ext cx="5215110" cy="904449"/>
                    </a:xfrm>
                    <a:prstGeom prst="rect">
                      <a:avLst/>
                    </a:prstGeom>
                    <a:ln>
                      <a:noFill/>
                    </a:ln>
                    <a:extLst>
                      <a:ext uri="{53640926-AAD7-44D8-BBD7-CCE9431645EC}">
                        <a14:shadowObscured xmlns:a14="http://schemas.microsoft.com/office/drawing/2010/main"/>
                      </a:ext>
                    </a:extLst>
                  </pic:spPr>
                </pic:pic>
              </a:graphicData>
            </a:graphic>
          </wp:inline>
        </w:drawing>
      </w:r>
    </w:p>
    <w:p w14:paraId="15EB4042" w14:textId="77777777" w:rsidR="001B364B" w:rsidRDefault="001B364B" w:rsidP="001B364B">
      <w:pPr>
        <w:pStyle w:val="TableDescription"/>
        <w:rPr>
          <w:lang w:eastAsia="ja-JP"/>
        </w:rPr>
      </w:pPr>
      <w:r>
        <w:t>CI = confidence interval</w:t>
      </w:r>
    </w:p>
    <w:p w14:paraId="7D0CE5C3" w14:textId="0F3C5572" w:rsidR="00F26DB5" w:rsidRDefault="00F26DB5" w:rsidP="00F26DB5">
      <w:pPr>
        <w:rPr>
          <w:lang w:eastAsia="ja-JP"/>
        </w:rPr>
      </w:pPr>
      <w:r w:rsidRPr="00F26DB5">
        <w:rPr>
          <w:lang w:eastAsia="ja-JP"/>
        </w:rPr>
        <w:t>The mean reduction in facial inflammatory and non-inflammatory lesion count was significantly higher in trifarotene ar</w:t>
      </w:r>
      <w:r w:rsidR="00182F87">
        <w:rPr>
          <w:lang w:eastAsia="ja-JP"/>
        </w:rPr>
        <w:t>m, compared to placebo arm. At W</w:t>
      </w:r>
      <w:r w:rsidRPr="00F26DB5">
        <w:rPr>
          <w:lang w:eastAsia="ja-JP"/>
        </w:rPr>
        <w:t xml:space="preserve">eek 12, subjects in trifarotene </w:t>
      </w:r>
      <w:r w:rsidR="001B364B">
        <w:rPr>
          <w:lang w:eastAsia="ja-JP"/>
        </w:rPr>
        <w:t>arm benefited by having around five</w:t>
      </w:r>
      <w:r w:rsidRPr="00F26DB5">
        <w:rPr>
          <w:lang w:eastAsia="ja-JP"/>
        </w:rPr>
        <w:t xml:space="preserve"> fewer i</w:t>
      </w:r>
      <w:r w:rsidR="001B364B">
        <w:rPr>
          <w:lang w:eastAsia="ja-JP"/>
        </w:rPr>
        <w:t>nflammatory lesions and around eight</w:t>
      </w:r>
      <w:r w:rsidRPr="00F26DB5">
        <w:rPr>
          <w:lang w:eastAsia="ja-JP"/>
        </w:rPr>
        <w:t xml:space="preserve"> non-inflammatory lesions, compared to placebo</w:t>
      </w:r>
      <w:r w:rsidR="00257ABB">
        <w:rPr>
          <w:lang w:eastAsia="ja-JP"/>
        </w:rPr>
        <w:t>, shown in Tables 11 and 12 respectively</w:t>
      </w:r>
      <w:r w:rsidRPr="00F26DB5">
        <w:rPr>
          <w:lang w:eastAsia="ja-JP"/>
        </w:rPr>
        <w:t>.</w:t>
      </w:r>
    </w:p>
    <w:p w14:paraId="72D7561C" w14:textId="1A63D5A0" w:rsidR="00F26DB5" w:rsidRDefault="00F26DB5" w:rsidP="00F26DB5">
      <w:pPr>
        <w:pStyle w:val="TableTitle"/>
      </w:pPr>
      <w:r w:rsidRPr="00F26DB5">
        <w:t xml:space="preserve">Table </w:t>
      </w:r>
      <w:fldSimple w:instr=" SEQ Table \* ARABIC ">
        <w:r w:rsidR="00F522B3">
          <w:rPr>
            <w:noProof/>
          </w:rPr>
          <w:t>11</w:t>
        </w:r>
      </w:fldSimple>
      <w:r>
        <w:t xml:space="preserve">: </w:t>
      </w:r>
      <w:r w:rsidR="00230968" w:rsidRPr="00230968">
        <w:t>Study 18252</w:t>
      </w:r>
      <w:r w:rsidR="00230968">
        <w:t xml:space="preserve"> </w:t>
      </w:r>
      <w:r>
        <w:t>Absolute reduction in facial inflammatory lesion count</w:t>
      </w:r>
    </w:p>
    <w:p w14:paraId="4A0F5C25" w14:textId="77777777" w:rsidR="00F26DB5" w:rsidRDefault="00F26DB5" w:rsidP="00F26DB5">
      <w:pPr>
        <w:rPr>
          <w:lang w:eastAsia="ja-JP"/>
        </w:rPr>
      </w:pPr>
      <w:r>
        <w:rPr>
          <w:noProof/>
          <w:lang w:eastAsia="en-AU"/>
        </w:rPr>
        <w:drawing>
          <wp:inline distT="0" distB="0" distL="0" distR="0" wp14:anchorId="3E9396CD" wp14:editId="3F0D03A6">
            <wp:extent cx="5148739" cy="1068019"/>
            <wp:effectExtent l="0" t="0" r="0" b="0"/>
            <wp:docPr id="12" name="Picture 12" descr="Absolute reduction in facial 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84" t="6098" r="1379"/>
                    <a:stretch/>
                  </pic:blipFill>
                  <pic:spPr bwMode="auto">
                    <a:xfrm>
                      <a:off x="0" y="0"/>
                      <a:ext cx="5166832" cy="1071772"/>
                    </a:xfrm>
                    <a:prstGeom prst="rect">
                      <a:avLst/>
                    </a:prstGeom>
                    <a:ln>
                      <a:noFill/>
                    </a:ln>
                    <a:extLst>
                      <a:ext uri="{53640926-AAD7-44D8-BBD7-CCE9431645EC}">
                        <a14:shadowObscured xmlns:a14="http://schemas.microsoft.com/office/drawing/2010/main"/>
                      </a:ext>
                    </a:extLst>
                  </pic:spPr>
                </pic:pic>
              </a:graphicData>
            </a:graphic>
          </wp:inline>
        </w:drawing>
      </w:r>
    </w:p>
    <w:p w14:paraId="4A4EC78A" w14:textId="77777777" w:rsidR="001B364B" w:rsidRDefault="001B364B" w:rsidP="001B364B">
      <w:pPr>
        <w:pStyle w:val="TableDescription"/>
        <w:rPr>
          <w:lang w:eastAsia="ja-JP"/>
        </w:rPr>
      </w:pPr>
      <w:r>
        <w:t>LS = least square, SE = standard error, CI = confidence interval</w:t>
      </w:r>
    </w:p>
    <w:p w14:paraId="4B49D9A4" w14:textId="35414B48" w:rsidR="00F26DB5" w:rsidRDefault="00F26DB5" w:rsidP="00F26DB5">
      <w:pPr>
        <w:pStyle w:val="TableTitle"/>
      </w:pPr>
      <w:r w:rsidRPr="00F26DB5">
        <w:t xml:space="preserve">Table </w:t>
      </w:r>
      <w:fldSimple w:instr=" SEQ Table \* ARABIC ">
        <w:r w:rsidR="00F522B3">
          <w:rPr>
            <w:noProof/>
          </w:rPr>
          <w:t>12</w:t>
        </w:r>
      </w:fldSimple>
      <w:r>
        <w:t xml:space="preserve">: </w:t>
      </w:r>
      <w:r w:rsidR="00230968" w:rsidRPr="00230968">
        <w:t>Study 18252</w:t>
      </w:r>
      <w:r w:rsidR="00230968">
        <w:t xml:space="preserve"> </w:t>
      </w:r>
      <w:r w:rsidRPr="00F26DB5">
        <w:t>Absolute reduction in facial non-inflammatory lesion count</w:t>
      </w:r>
    </w:p>
    <w:p w14:paraId="6B2F409E" w14:textId="77777777" w:rsidR="00F26DB5" w:rsidRDefault="00F26DB5" w:rsidP="00F26DB5">
      <w:pPr>
        <w:rPr>
          <w:lang w:eastAsia="ja-JP"/>
        </w:rPr>
      </w:pPr>
      <w:r w:rsidRPr="000D7277">
        <w:rPr>
          <w:noProof/>
          <w:sz w:val="16"/>
          <w:lang w:eastAsia="en-AU"/>
        </w:rPr>
        <w:drawing>
          <wp:inline distT="0" distB="0" distL="0" distR="0" wp14:anchorId="7151D496" wp14:editId="6B558429">
            <wp:extent cx="5112214" cy="1016813"/>
            <wp:effectExtent l="0" t="0" r="0" b="0"/>
            <wp:docPr id="36" name="Picture 36" descr="Absolute reduction in facial non-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43869" cy="1023109"/>
                    </a:xfrm>
                    <a:prstGeom prst="rect">
                      <a:avLst/>
                    </a:prstGeom>
                  </pic:spPr>
                </pic:pic>
              </a:graphicData>
            </a:graphic>
          </wp:inline>
        </w:drawing>
      </w:r>
    </w:p>
    <w:p w14:paraId="0ECED7A6" w14:textId="77777777" w:rsidR="001B364B" w:rsidRDefault="001B364B" w:rsidP="001B364B">
      <w:pPr>
        <w:pStyle w:val="TableDescription"/>
        <w:rPr>
          <w:lang w:eastAsia="ja-JP"/>
        </w:rPr>
      </w:pPr>
      <w:r>
        <w:t>LS = least square, SE = standard error, CI = confidence interval</w:t>
      </w:r>
    </w:p>
    <w:p w14:paraId="3033C4A9" w14:textId="77777777" w:rsidR="00F26DB5" w:rsidRPr="00F26DB5" w:rsidRDefault="00F26DB5" w:rsidP="00F26DB5">
      <w:pPr>
        <w:rPr>
          <w:i/>
          <w:lang w:eastAsia="ja-JP"/>
        </w:rPr>
      </w:pPr>
      <w:r w:rsidRPr="00F26DB5">
        <w:rPr>
          <w:i/>
          <w:lang w:eastAsia="ja-JP"/>
        </w:rPr>
        <w:t>Secondary endpoints</w:t>
      </w:r>
    </w:p>
    <w:p w14:paraId="4D0C5A91" w14:textId="6EDE342A" w:rsidR="00F26DB5" w:rsidRDefault="00F26DB5" w:rsidP="00F26DB5">
      <w:pPr>
        <w:rPr>
          <w:lang w:eastAsia="ja-JP"/>
        </w:rPr>
      </w:pPr>
      <w:r>
        <w:rPr>
          <w:lang w:eastAsia="ja-JP"/>
        </w:rPr>
        <w:t>The significantly higher percentage of subjects in trifarotene arm achieved success as per PGA assessment</w:t>
      </w:r>
      <w:r w:rsidR="00257ABB">
        <w:rPr>
          <w:lang w:eastAsia="ja-JP"/>
        </w:rPr>
        <w:t xml:space="preserve"> (see Table 13, below)</w:t>
      </w:r>
      <w:r>
        <w:rPr>
          <w:lang w:eastAsia="ja-JP"/>
        </w:rPr>
        <w:t>. A significantly higher reduction in truncal inflammatory and non-inflammatory lesion counts were reported for subjects in trifarotene arm, compared to placebo arm</w:t>
      </w:r>
      <w:r w:rsidR="00257ABB">
        <w:rPr>
          <w:lang w:eastAsia="ja-JP"/>
        </w:rPr>
        <w:t>, shown below in Tables 14 and 15 respectively</w:t>
      </w:r>
      <w:r>
        <w:rPr>
          <w:lang w:eastAsia="ja-JP"/>
        </w:rPr>
        <w:t>.</w:t>
      </w:r>
    </w:p>
    <w:p w14:paraId="6DFB37FA" w14:textId="42224653" w:rsidR="00F26DB5" w:rsidRDefault="00F26DB5" w:rsidP="00F26DB5">
      <w:pPr>
        <w:pStyle w:val="TableTitle"/>
      </w:pPr>
      <w:r w:rsidRPr="00F26DB5">
        <w:t xml:space="preserve">Table </w:t>
      </w:r>
      <w:fldSimple w:instr=" SEQ Table \* ARABIC ">
        <w:r w:rsidR="00F522B3">
          <w:rPr>
            <w:noProof/>
          </w:rPr>
          <w:t>13</w:t>
        </w:r>
      </w:fldSimple>
      <w:r w:rsidR="00C35D17">
        <w:t xml:space="preserve">: </w:t>
      </w:r>
      <w:r w:rsidR="00230968" w:rsidRPr="00230968">
        <w:t>Study 18252</w:t>
      </w:r>
      <w:r w:rsidR="00230968">
        <w:t xml:space="preserve"> </w:t>
      </w:r>
      <w:r w:rsidR="00C35D17">
        <w:t>Success rate</w:t>
      </w:r>
      <w:r w:rsidR="0037112C">
        <w:t xml:space="preserve"> </w:t>
      </w:r>
      <w:r w:rsidR="00C35D17">
        <w:t xml:space="preserve">based on </w:t>
      </w:r>
      <w:r w:rsidR="00C35D17" w:rsidRPr="00FB01EE">
        <w:t>Physician Global Assessment</w:t>
      </w:r>
    </w:p>
    <w:p w14:paraId="599F60B7" w14:textId="77777777" w:rsidR="00F26DB5" w:rsidRDefault="00F26DB5" w:rsidP="00F26DB5">
      <w:pPr>
        <w:rPr>
          <w:lang w:eastAsia="ja-JP"/>
        </w:rPr>
      </w:pPr>
      <w:r>
        <w:rPr>
          <w:noProof/>
          <w:lang w:eastAsia="en-AU"/>
        </w:rPr>
        <w:drawing>
          <wp:inline distT="0" distB="0" distL="0" distR="0" wp14:anchorId="4ABC1AE5" wp14:editId="2D60A2BA">
            <wp:extent cx="5170000" cy="855878"/>
            <wp:effectExtent l="0" t="0" r="0" b="1905"/>
            <wp:docPr id="42" name="Picture 42" descr="Success rate  based on Physician Glob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4891" cy="863310"/>
                    </a:xfrm>
                    <a:prstGeom prst="rect">
                      <a:avLst/>
                    </a:prstGeom>
                  </pic:spPr>
                </pic:pic>
              </a:graphicData>
            </a:graphic>
          </wp:inline>
        </w:drawing>
      </w:r>
    </w:p>
    <w:p w14:paraId="524E1FBA" w14:textId="77777777" w:rsidR="001B364B" w:rsidRDefault="001B364B" w:rsidP="001B364B">
      <w:pPr>
        <w:pStyle w:val="TableDescription"/>
        <w:rPr>
          <w:lang w:eastAsia="ja-JP"/>
        </w:rPr>
      </w:pPr>
      <w:r>
        <w:t>CI = confidence interval</w:t>
      </w:r>
    </w:p>
    <w:p w14:paraId="1A23F4D8" w14:textId="37798E1B" w:rsidR="00F26DB5" w:rsidRDefault="00F26DB5" w:rsidP="00F26DB5">
      <w:pPr>
        <w:pStyle w:val="TableTitle"/>
      </w:pPr>
      <w:r w:rsidRPr="00F26DB5">
        <w:t xml:space="preserve">Table </w:t>
      </w:r>
      <w:fldSimple w:instr=" SEQ Table \* ARABIC ">
        <w:r w:rsidR="00F522B3">
          <w:rPr>
            <w:noProof/>
          </w:rPr>
          <w:t>14</w:t>
        </w:r>
      </w:fldSimple>
      <w:r>
        <w:t xml:space="preserve">: </w:t>
      </w:r>
      <w:r w:rsidR="00230968" w:rsidRPr="00230968">
        <w:t>Study 18252</w:t>
      </w:r>
      <w:r w:rsidR="00230968">
        <w:t xml:space="preserve"> </w:t>
      </w:r>
      <w:r>
        <w:t>Absolute reduction in truncal inflammatory lesion count</w:t>
      </w:r>
    </w:p>
    <w:p w14:paraId="7074C6E0" w14:textId="77777777" w:rsidR="00F26DB5" w:rsidRDefault="00F26DB5" w:rsidP="00F26DB5">
      <w:pPr>
        <w:rPr>
          <w:lang w:eastAsia="ja-JP"/>
        </w:rPr>
      </w:pPr>
      <w:r>
        <w:rPr>
          <w:noProof/>
          <w:lang w:eastAsia="en-AU"/>
        </w:rPr>
        <w:drawing>
          <wp:inline distT="0" distB="0" distL="0" distR="0" wp14:anchorId="6F4F83BF" wp14:editId="587E2FD8">
            <wp:extent cx="5146847" cy="980237"/>
            <wp:effectExtent l="0" t="0" r="0" b="0"/>
            <wp:docPr id="44" name="Picture 44" descr="Absolute reduction in truncal 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81002" cy="986742"/>
                    </a:xfrm>
                    <a:prstGeom prst="rect">
                      <a:avLst/>
                    </a:prstGeom>
                  </pic:spPr>
                </pic:pic>
              </a:graphicData>
            </a:graphic>
          </wp:inline>
        </w:drawing>
      </w:r>
    </w:p>
    <w:p w14:paraId="4AFE795C" w14:textId="77777777" w:rsidR="001B364B" w:rsidRDefault="001B364B" w:rsidP="001B364B">
      <w:pPr>
        <w:pStyle w:val="TableDescription"/>
        <w:rPr>
          <w:lang w:eastAsia="ja-JP"/>
        </w:rPr>
      </w:pPr>
      <w:r>
        <w:t>LS = least square, SE = standard error, CI = confidence interval</w:t>
      </w:r>
    </w:p>
    <w:p w14:paraId="1F828D2C" w14:textId="25A5C73F" w:rsidR="00F26DB5" w:rsidRDefault="00F26DB5" w:rsidP="00F26DB5">
      <w:pPr>
        <w:pStyle w:val="TableTitle"/>
      </w:pPr>
      <w:r w:rsidRPr="00F26DB5">
        <w:t xml:space="preserve">Table </w:t>
      </w:r>
      <w:fldSimple w:instr=" SEQ Table \* ARABIC ">
        <w:r w:rsidR="00F522B3">
          <w:rPr>
            <w:noProof/>
          </w:rPr>
          <w:t>15</w:t>
        </w:r>
      </w:fldSimple>
      <w:r>
        <w:t xml:space="preserve">: </w:t>
      </w:r>
      <w:r w:rsidR="00230968" w:rsidRPr="00230968">
        <w:t>Study 18252</w:t>
      </w:r>
      <w:r w:rsidR="00230968">
        <w:t xml:space="preserve"> </w:t>
      </w:r>
      <w:r>
        <w:t>Absolute reduction in truncal non-inflammatory lesion count</w:t>
      </w:r>
    </w:p>
    <w:p w14:paraId="6E6EA726" w14:textId="77777777" w:rsidR="00F26DB5" w:rsidRDefault="00F26DB5" w:rsidP="00F26DB5">
      <w:r>
        <w:rPr>
          <w:noProof/>
          <w:lang w:eastAsia="en-AU"/>
        </w:rPr>
        <w:drawing>
          <wp:inline distT="0" distB="0" distL="0" distR="0" wp14:anchorId="7BFE5C3D" wp14:editId="68258A24">
            <wp:extent cx="5110018" cy="1016812"/>
            <wp:effectExtent l="0" t="0" r="0" b="0"/>
            <wp:docPr id="45" name="Picture 45" descr="Absolute reduction in truncal non-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2145" cy="1019225"/>
                    </a:xfrm>
                    <a:prstGeom prst="rect">
                      <a:avLst/>
                    </a:prstGeom>
                  </pic:spPr>
                </pic:pic>
              </a:graphicData>
            </a:graphic>
          </wp:inline>
        </w:drawing>
      </w:r>
    </w:p>
    <w:p w14:paraId="260F58AA" w14:textId="77777777" w:rsidR="001B364B" w:rsidRDefault="001B364B" w:rsidP="001B364B">
      <w:pPr>
        <w:pStyle w:val="TableDescription"/>
        <w:rPr>
          <w:lang w:eastAsia="ja-JP"/>
        </w:rPr>
      </w:pPr>
      <w:r>
        <w:t>LS = least square, SE = standard error, CI = confidence interval</w:t>
      </w:r>
    </w:p>
    <w:p w14:paraId="35C92EFA" w14:textId="77777777" w:rsidR="00F26DB5" w:rsidRPr="00F26DB5" w:rsidRDefault="00F26DB5" w:rsidP="00F26DB5">
      <w:pPr>
        <w:rPr>
          <w:i/>
        </w:rPr>
      </w:pPr>
      <w:r w:rsidRPr="00F26DB5">
        <w:rPr>
          <w:i/>
        </w:rPr>
        <w:t>Supportive endpoints</w:t>
      </w:r>
    </w:p>
    <w:p w14:paraId="021BEFA9" w14:textId="77777777" w:rsidR="00F26DB5" w:rsidRDefault="00F26DB5" w:rsidP="00F26DB5">
      <w:r>
        <w:t>Subjects in trifarotene arm achieved a 66.2% and 57.7% reduction in facial inflammatory and non-inflammatory lesion counts. Subjects in placebo achieved a 51.2% and 43.9% reduction for inflammatory and non-inflammatory lesion counts and the treatment difference was statistically significant.</w:t>
      </w:r>
    </w:p>
    <w:p w14:paraId="04C5DAC6" w14:textId="77777777" w:rsidR="00F26DB5" w:rsidRDefault="00E93E7E" w:rsidP="00E93E7E">
      <w:pPr>
        <w:pStyle w:val="Heading5"/>
      </w:pPr>
      <w:r w:rsidRPr="00E93E7E">
        <w:t>Sub group analyses</w:t>
      </w:r>
    </w:p>
    <w:p w14:paraId="3AB44DA5" w14:textId="08F5A0F6" w:rsidR="00E93E7E" w:rsidRDefault="00E93E7E" w:rsidP="00E93E7E">
      <w:pPr>
        <w:rPr>
          <w:lang w:eastAsia="ja-JP"/>
        </w:rPr>
      </w:pPr>
      <w:r>
        <w:rPr>
          <w:lang w:eastAsia="ja-JP"/>
        </w:rPr>
        <w:t xml:space="preserve">Success rate for </w:t>
      </w:r>
      <w:r w:rsidR="001B364B">
        <w:rPr>
          <w:lang w:eastAsia="ja-JP"/>
        </w:rPr>
        <w:t>facial inflammatory lesions at W</w:t>
      </w:r>
      <w:r>
        <w:rPr>
          <w:lang w:eastAsia="ja-JP"/>
        </w:rPr>
        <w:t>eek 12</w:t>
      </w:r>
      <w:r w:rsidR="00257ABB">
        <w:rPr>
          <w:lang w:eastAsia="ja-JP"/>
        </w:rPr>
        <w:t xml:space="preserve">: </w:t>
      </w:r>
      <w:r>
        <w:rPr>
          <w:lang w:eastAsia="ja-JP"/>
        </w:rPr>
        <w:t>The percentage of subjects who achieved success was</w:t>
      </w:r>
      <w:r w:rsidR="00A20401">
        <w:rPr>
          <w:lang w:eastAsia="ja-JP"/>
        </w:rPr>
        <w:t xml:space="preserve"> n</w:t>
      </w:r>
      <w:r w:rsidR="001B364B">
        <w:rPr>
          <w:lang w:eastAsia="ja-JP"/>
        </w:rPr>
        <w:t>ot significantly greater in 9 to</w:t>
      </w:r>
      <w:r w:rsidR="00A20401">
        <w:rPr>
          <w:lang w:eastAsia="ja-JP"/>
        </w:rPr>
        <w:t xml:space="preserve"> </w:t>
      </w:r>
      <w:r>
        <w:rPr>
          <w:lang w:eastAsia="ja-JP"/>
        </w:rPr>
        <w:t>11</w:t>
      </w:r>
      <w:r w:rsidR="00257ABB">
        <w:rPr>
          <w:lang w:eastAsia="ja-JP"/>
        </w:rPr>
        <w:t> </w:t>
      </w:r>
      <w:r>
        <w:rPr>
          <w:lang w:eastAsia="ja-JP"/>
        </w:rPr>
        <w:t xml:space="preserve">years age group in the trifarotene age group. Statistical significance </w:t>
      </w:r>
      <w:r w:rsidR="00A20401">
        <w:rPr>
          <w:lang w:eastAsia="ja-JP"/>
        </w:rPr>
        <w:t xml:space="preserve">was achieved for subjects in 12 to </w:t>
      </w:r>
      <w:r>
        <w:rPr>
          <w:lang w:eastAsia="ja-JP"/>
        </w:rPr>
        <w:t>17 years age group and adults.</w:t>
      </w:r>
      <w:r w:rsidR="00257ABB">
        <w:rPr>
          <w:lang w:eastAsia="ja-JP"/>
        </w:rPr>
        <w:t xml:space="preserve"> Sub group analysis is detailed in Table 16, below.</w:t>
      </w:r>
    </w:p>
    <w:p w14:paraId="321393AD" w14:textId="670AE98F" w:rsidR="00E93E7E" w:rsidRDefault="00E93E7E" w:rsidP="00257ABB">
      <w:pPr>
        <w:pStyle w:val="TableTitle"/>
      </w:pPr>
      <w:r w:rsidRPr="00E93E7E">
        <w:t xml:space="preserve">Table </w:t>
      </w:r>
      <w:fldSimple w:instr=" SEQ Table \* ARABIC ">
        <w:r w:rsidR="00F522B3">
          <w:rPr>
            <w:noProof/>
          </w:rPr>
          <w:t>16</w:t>
        </w:r>
      </w:fldSimple>
      <w:r>
        <w:t>: Sub group analysis of success rate across age groups</w:t>
      </w:r>
    </w:p>
    <w:tbl>
      <w:tblPr>
        <w:tblStyle w:val="TableTGAblue"/>
        <w:tblW w:w="8421" w:type="dxa"/>
        <w:tblLook w:val="04A0" w:firstRow="1" w:lastRow="0" w:firstColumn="1" w:lastColumn="0" w:noHBand="0" w:noVBand="1"/>
      </w:tblPr>
      <w:tblGrid>
        <w:gridCol w:w="3270"/>
        <w:gridCol w:w="2584"/>
        <w:gridCol w:w="2567"/>
      </w:tblGrid>
      <w:tr w:rsidR="00E93E7E" w:rsidRPr="00E93E7E" w14:paraId="1188358E" w14:textId="77777777" w:rsidTr="00E93E7E">
        <w:trPr>
          <w:cnfStyle w:val="100000000000" w:firstRow="1" w:lastRow="0" w:firstColumn="0" w:lastColumn="0" w:oddVBand="0" w:evenVBand="0" w:oddHBand="0" w:evenHBand="0" w:firstRowFirstColumn="0" w:firstRowLastColumn="0" w:lastRowFirstColumn="0" w:lastRowLastColumn="0"/>
          <w:trHeight w:val="823"/>
        </w:trPr>
        <w:tc>
          <w:tcPr>
            <w:tcW w:w="3270" w:type="dxa"/>
          </w:tcPr>
          <w:p w14:paraId="34151A6E" w14:textId="77777777" w:rsidR="00E93E7E" w:rsidRPr="00182F87" w:rsidRDefault="00E93E7E" w:rsidP="006F5665">
            <w:pPr>
              <w:pStyle w:val="Tabletext"/>
              <w:rPr>
                <w:lang w:eastAsia="ja-JP"/>
              </w:rPr>
            </w:pPr>
          </w:p>
        </w:tc>
        <w:tc>
          <w:tcPr>
            <w:tcW w:w="2584" w:type="dxa"/>
          </w:tcPr>
          <w:p w14:paraId="28A3CBD9" w14:textId="77777777" w:rsidR="00E93E7E" w:rsidRPr="00182F87" w:rsidRDefault="00E93E7E" w:rsidP="00296477">
            <w:pPr>
              <w:pStyle w:val="Tabletext"/>
              <w:rPr>
                <w:lang w:eastAsia="ja-JP"/>
              </w:rPr>
            </w:pPr>
            <w:r w:rsidRPr="00182F87">
              <w:rPr>
                <w:lang w:eastAsia="ja-JP"/>
              </w:rPr>
              <w:t xml:space="preserve"> Trifarotene 50</w:t>
            </w:r>
            <w:r w:rsidR="00987D70">
              <w:rPr>
                <w:lang w:eastAsia="ja-JP"/>
              </w:rPr>
              <w:t xml:space="preserve"> </w:t>
            </w:r>
            <w:r w:rsidRPr="00182F87">
              <w:rPr>
                <w:lang w:eastAsia="ja-JP"/>
              </w:rPr>
              <w:t>μg/g (N</w:t>
            </w:r>
            <w:r w:rsidR="001B364B">
              <w:rPr>
                <w:lang w:eastAsia="ja-JP"/>
              </w:rPr>
              <w:t xml:space="preserve"> = </w:t>
            </w:r>
            <w:r w:rsidRPr="00182F87">
              <w:rPr>
                <w:lang w:eastAsia="ja-JP"/>
              </w:rPr>
              <w:t>1214)</w:t>
            </w:r>
          </w:p>
        </w:tc>
        <w:tc>
          <w:tcPr>
            <w:tcW w:w="2567" w:type="dxa"/>
          </w:tcPr>
          <w:p w14:paraId="2ED00E2A" w14:textId="77777777" w:rsidR="00E93E7E" w:rsidRPr="00182F87" w:rsidRDefault="00E93E7E" w:rsidP="0080690D">
            <w:pPr>
              <w:pStyle w:val="Tabletext"/>
              <w:rPr>
                <w:lang w:eastAsia="ja-JP"/>
              </w:rPr>
            </w:pPr>
            <w:r w:rsidRPr="00182F87">
              <w:rPr>
                <w:lang w:eastAsia="ja-JP"/>
              </w:rPr>
              <w:t>Vehicle</w:t>
            </w:r>
          </w:p>
          <w:p w14:paraId="7EBC1BEC" w14:textId="77777777" w:rsidR="00E93E7E" w:rsidRPr="00182F87" w:rsidRDefault="00E93E7E" w:rsidP="007B5848">
            <w:pPr>
              <w:pStyle w:val="Tabletext"/>
              <w:rPr>
                <w:lang w:eastAsia="ja-JP"/>
              </w:rPr>
            </w:pPr>
            <w:r w:rsidRPr="00182F87">
              <w:rPr>
                <w:lang w:eastAsia="ja-JP"/>
              </w:rPr>
              <w:t>(N</w:t>
            </w:r>
            <w:r w:rsidR="001B364B">
              <w:rPr>
                <w:lang w:eastAsia="ja-JP"/>
              </w:rPr>
              <w:t xml:space="preserve"> </w:t>
            </w:r>
            <w:r w:rsidRPr="00182F87">
              <w:rPr>
                <w:lang w:eastAsia="ja-JP"/>
              </w:rPr>
              <w:t>=</w:t>
            </w:r>
            <w:r w:rsidR="001B364B">
              <w:rPr>
                <w:lang w:eastAsia="ja-JP"/>
              </w:rPr>
              <w:t xml:space="preserve"> </w:t>
            </w:r>
            <w:r w:rsidRPr="00182F87">
              <w:rPr>
                <w:lang w:eastAsia="ja-JP"/>
              </w:rPr>
              <w:t>1206)</w:t>
            </w:r>
          </w:p>
        </w:tc>
      </w:tr>
      <w:tr w:rsidR="00E93E7E" w:rsidRPr="00E93E7E" w14:paraId="63A4567A" w14:textId="77777777" w:rsidTr="00E93E7E">
        <w:trPr>
          <w:trHeight w:val="462"/>
        </w:trPr>
        <w:tc>
          <w:tcPr>
            <w:tcW w:w="0" w:type="auto"/>
            <w:gridSpan w:val="3"/>
          </w:tcPr>
          <w:p w14:paraId="317B5623" w14:textId="77777777" w:rsidR="00E93E7E" w:rsidRPr="00760AEE" w:rsidRDefault="00E93E7E" w:rsidP="00760AEE">
            <w:pPr>
              <w:pStyle w:val="Tabletext"/>
              <w:keepNext/>
              <w:jc w:val="center"/>
              <w:rPr>
                <w:b/>
                <w:lang w:eastAsia="ja-JP"/>
              </w:rPr>
            </w:pPr>
            <w:r w:rsidRPr="00760AEE">
              <w:rPr>
                <w:b/>
                <w:lang w:eastAsia="ja-JP"/>
              </w:rPr>
              <w:t>9 to 11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34)</w:t>
            </w:r>
          </w:p>
        </w:tc>
      </w:tr>
      <w:tr w:rsidR="00E93E7E" w:rsidRPr="00E93E7E" w14:paraId="7A714341" w14:textId="77777777" w:rsidTr="00E93E7E">
        <w:trPr>
          <w:trHeight w:val="462"/>
        </w:trPr>
        <w:tc>
          <w:tcPr>
            <w:tcW w:w="3270" w:type="dxa"/>
          </w:tcPr>
          <w:p w14:paraId="32967763" w14:textId="77777777" w:rsidR="00E93E7E" w:rsidRPr="00E93E7E" w:rsidRDefault="00E93E7E" w:rsidP="00760AEE">
            <w:pPr>
              <w:pStyle w:val="Tabletext"/>
              <w:keepNext/>
              <w:rPr>
                <w:lang w:eastAsia="ja-JP"/>
              </w:rPr>
            </w:pPr>
            <w:r w:rsidRPr="00E93E7E">
              <w:rPr>
                <w:lang w:eastAsia="ja-JP"/>
              </w:rPr>
              <w:t xml:space="preserve">Week 12 Change from Baseline, n </w:t>
            </w:r>
          </w:p>
        </w:tc>
        <w:tc>
          <w:tcPr>
            <w:tcW w:w="2584" w:type="dxa"/>
          </w:tcPr>
          <w:p w14:paraId="516EEE7A" w14:textId="77777777" w:rsidR="00E93E7E" w:rsidRPr="00E93E7E" w:rsidRDefault="00E93E7E" w:rsidP="00760AEE">
            <w:pPr>
              <w:pStyle w:val="Tabletext"/>
              <w:keepNext/>
              <w:rPr>
                <w:lang w:eastAsia="ja-JP"/>
              </w:rPr>
            </w:pPr>
            <w:r w:rsidRPr="00E93E7E">
              <w:rPr>
                <w:lang w:eastAsia="ja-JP"/>
              </w:rPr>
              <w:t>19</w:t>
            </w:r>
          </w:p>
        </w:tc>
        <w:tc>
          <w:tcPr>
            <w:tcW w:w="2567" w:type="dxa"/>
          </w:tcPr>
          <w:p w14:paraId="27BF8C2C" w14:textId="77777777" w:rsidR="00E93E7E" w:rsidRPr="00E93E7E" w:rsidRDefault="00E93E7E" w:rsidP="00760AEE">
            <w:pPr>
              <w:pStyle w:val="Tabletext"/>
              <w:keepNext/>
              <w:rPr>
                <w:lang w:eastAsia="ja-JP"/>
              </w:rPr>
            </w:pPr>
            <w:r w:rsidRPr="00E93E7E">
              <w:rPr>
                <w:lang w:eastAsia="ja-JP"/>
              </w:rPr>
              <w:t>15</w:t>
            </w:r>
          </w:p>
        </w:tc>
      </w:tr>
      <w:tr w:rsidR="00E93E7E" w:rsidRPr="00E93E7E" w14:paraId="60B487D2" w14:textId="77777777" w:rsidTr="00E93E7E">
        <w:trPr>
          <w:trHeight w:val="474"/>
        </w:trPr>
        <w:tc>
          <w:tcPr>
            <w:tcW w:w="3270" w:type="dxa"/>
          </w:tcPr>
          <w:p w14:paraId="662E1B8F" w14:textId="77777777" w:rsidR="00E93E7E" w:rsidRPr="00E93E7E" w:rsidRDefault="00E93E7E" w:rsidP="00760AEE">
            <w:pPr>
              <w:pStyle w:val="Tabletext"/>
              <w:keepNext/>
              <w:rPr>
                <w:lang w:eastAsia="ja-JP"/>
              </w:rPr>
            </w:pPr>
            <w:r w:rsidRPr="00E93E7E">
              <w:rPr>
                <w:lang w:eastAsia="ja-JP"/>
              </w:rPr>
              <w:t xml:space="preserve">LS Mean (SE) </w:t>
            </w:r>
          </w:p>
        </w:tc>
        <w:tc>
          <w:tcPr>
            <w:tcW w:w="2584" w:type="dxa"/>
          </w:tcPr>
          <w:p w14:paraId="11E41C09" w14:textId="77777777" w:rsidR="00E93E7E" w:rsidRPr="00E93E7E" w:rsidRDefault="00E93E7E" w:rsidP="00760AEE">
            <w:pPr>
              <w:pStyle w:val="Tabletext"/>
              <w:keepNext/>
              <w:rPr>
                <w:lang w:eastAsia="ja-JP"/>
              </w:rPr>
            </w:pPr>
            <w:r w:rsidRPr="00E93E7E">
              <w:rPr>
                <w:lang w:eastAsia="ja-JP"/>
              </w:rPr>
              <w:t>-22.5 (11.46)</w:t>
            </w:r>
          </w:p>
        </w:tc>
        <w:tc>
          <w:tcPr>
            <w:tcW w:w="2567" w:type="dxa"/>
          </w:tcPr>
          <w:p w14:paraId="77144C00" w14:textId="77777777" w:rsidR="00E93E7E" w:rsidRPr="00E93E7E" w:rsidRDefault="00E93E7E" w:rsidP="00760AEE">
            <w:pPr>
              <w:pStyle w:val="Tabletext"/>
              <w:keepNext/>
              <w:rPr>
                <w:lang w:eastAsia="ja-JP"/>
              </w:rPr>
            </w:pPr>
            <w:r w:rsidRPr="00E93E7E">
              <w:rPr>
                <w:lang w:eastAsia="ja-JP"/>
              </w:rPr>
              <w:t>-3.5 (12.56)</w:t>
            </w:r>
          </w:p>
        </w:tc>
      </w:tr>
      <w:tr w:rsidR="00E93E7E" w:rsidRPr="00E93E7E" w14:paraId="6FCA1B5A" w14:textId="77777777" w:rsidTr="00E93E7E">
        <w:trPr>
          <w:trHeight w:val="699"/>
        </w:trPr>
        <w:tc>
          <w:tcPr>
            <w:tcW w:w="3270" w:type="dxa"/>
          </w:tcPr>
          <w:p w14:paraId="08CB6BD1" w14:textId="77777777" w:rsidR="00E93E7E" w:rsidRPr="00E93E7E" w:rsidRDefault="00E93E7E" w:rsidP="00760AEE">
            <w:pPr>
              <w:pStyle w:val="Tabletext"/>
              <w:keepNext/>
              <w:rPr>
                <w:lang w:eastAsia="ja-JP"/>
              </w:rPr>
            </w:pPr>
            <w:r w:rsidRPr="00E93E7E">
              <w:rPr>
                <w:lang w:eastAsia="ja-JP"/>
              </w:rPr>
              <w:t xml:space="preserve">LS Means Difference from Vehicle (95% CI) </w:t>
            </w:r>
          </w:p>
        </w:tc>
        <w:tc>
          <w:tcPr>
            <w:tcW w:w="5151" w:type="dxa"/>
            <w:gridSpan w:val="2"/>
          </w:tcPr>
          <w:p w14:paraId="7EF3F34F" w14:textId="77777777" w:rsidR="00E93E7E" w:rsidRPr="00E93E7E" w:rsidRDefault="00E93E7E" w:rsidP="00760AEE">
            <w:pPr>
              <w:pStyle w:val="Tabletext"/>
              <w:keepNext/>
              <w:rPr>
                <w:lang w:eastAsia="ja-JP"/>
              </w:rPr>
            </w:pPr>
            <w:r w:rsidRPr="00E93E7E">
              <w:rPr>
                <w:lang w:eastAsia="ja-JP"/>
              </w:rPr>
              <w:t>-19.0 (-58.9, 21.0)</w:t>
            </w:r>
          </w:p>
        </w:tc>
      </w:tr>
      <w:tr w:rsidR="00E93E7E" w:rsidRPr="00E93E7E" w14:paraId="6407EBFA" w14:textId="77777777" w:rsidTr="00E93E7E">
        <w:trPr>
          <w:trHeight w:val="474"/>
        </w:trPr>
        <w:tc>
          <w:tcPr>
            <w:tcW w:w="3270" w:type="dxa"/>
          </w:tcPr>
          <w:p w14:paraId="37883D10" w14:textId="77777777" w:rsidR="00E93E7E" w:rsidRPr="00E93E7E" w:rsidRDefault="001B364B" w:rsidP="00760AEE">
            <w:pPr>
              <w:pStyle w:val="Tabletext"/>
              <w:keepNext/>
              <w:rPr>
                <w:lang w:eastAsia="ja-JP"/>
              </w:rPr>
            </w:pPr>
            <w:r>
              <w:rPr>
                <w:lang w:eastAsia="ja-JP"/>
              </w:rPr>
              <w:t>p-value</w:t>
            </w:r>
          </w:p>
        </w:tc>
        <w:tc>
          <w:tcPr>
            <w:tcW w:w="5151" w:type="dxa"/>
            <w:gridSpan w:val="2"/>
          </w:tcPr>
          <w:p w14:paraId="009B61EA" w14:textId="77777777" w:rsidR="00E93E7E" w:rsidRPr="00E93E7E" w:rsidRDefault="00E93E7E" w:rsidP="00760AEE">
            <w:pPr>
              <w:pStyle w:val="Tabletext"/>
              <w:keepNext/>
              <w:rPr>
                <w:lang w:eastAsia="ja-JP"/>
              </w:rPr>
            </w:pPr>
            <w:r w:rsidRPr="00E93E7E">
              <w:rPr>
                <w:lang w:eastAsia="ja-JP"/>
              </w:rPr>
              <w:t>0.352</w:t>
            </w:r>
          </w:p>
        </w:tc>
      </w:tr>
      <w:tr w:rsidR="00E93E7E" w:rsidRPr="00E93E7E" w14:paraId="2FC99814" w14:textId="77777777" w:rsidTr="00E93E7E">
        <w:trPr>
          <w:trHeight w:val="462"/>
        </w:trPr>
        <w:tc>
          <w:tcPr>
            <w:tcW w:w="0" w:type="auto"/>
            <w:gridSpan w:val="3"/>
          </w:tcPr>
          <w:p w14:paraId="1EF4C8D7" w14:textId="77777777" w:rsidR="00E93E7E" w:rsidRPr="00760AEE" w:rsidRDefault="00E93E7E" w:rsidP="00760AEE">
            <w:pPr>
              <w:pStyle w:val="Tabletext"/>
              <w:keepNext/>
              <w:jc w:val="center"/>
              <w:rPr>
                <w:b/>
                <w:lang w:eastAsia="ja-JP"/>
              </w:rPr>
            </w:pPr>
            <w:r w:rsidRPr="00760AEE">
              <w:rPr>
                <w:b/>
                <w:lang w:eastAsia="ja-JP"/>
              </w:rPr>
              <w:t>12 to 17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1128)</w:t>
            </w:r>
          </w:p>
        </w:tc>
      </w:tr>
      <w:tr w:rsidR="00E93E7E" w:rsidRPr="00E93E7E" w14:paraId="0119387C" w14:textId="77777777" w:rsidTr="00E93E7E">
        <w:trPr>
          <w:trHeight w:val="462"/>
        </w:trPr>
        <w:tc>
          <w:tcPr>
            <w:tcW w:w="3270" w:type="dxa"/>
          </w:tcPr>
          <w:p w14:paraId="63DC050A" w14:textId="77777777" w:rsidR="00E93E7E" w:rsidRPr="00E93E7E" w:rsidRDefault="00E93E7E" w:rsidP="00760AEE">
            <w:pPr>
              <w:pStyle w:val="Tabletext"/>
              <w:keepNext/>
              <w:rPr>
                <w:lang w:eastAsia="ja-JP"/>
              </w:rPr>
            </w:pPr>
            <w:r w:rsidRPr="00E93E7E">
              <w:rPr>
                <w:lang w:eastAsia="ja-JP"/>
              </w:rPr>
              <w:t xml:space="preserve">Week 12 Change from Baseline, n </w:t>
            </w:r>
          </w:p>
        </w:tc>
        <w:tc>
          <w:tcPr>
            <w:tcW w:w="2584" w:type="dxa"/>
          </w:tcPr>
          <w:p w14:paraId="0ABA3F4E" w14:textId="77777777" w:rsidR="00E93E7E" w:rsidRPr="00E93E7E" w:rsidRDefault="00E93E7E" w:rsidP="00760AEE">
            <w:pPr>
              <w:pStyle w:val="Tabletext"/>
              <w:keepNext/>
              <w:rPr>
                <w:lang w:eastAsia="ja-JP"/>
              </w:rPr>
            </w:pPr>
            <w:r w:rsidRPr="00E93E7E">
              <w:rPr>
                <w:lang w:eastAsia="ja-JP"/>
              </w:rPr>
              <w:t>571</w:t>
            </w:r>
          </w:p>
        </w:tc>
        <w:tc>
          <w:tcPr>
            <w:tcW w:w="2567" w:type="dxa"/>
          </w:tcPr>
          <w:p w14:paraId="261B51AE" w14:textId="77777777" w:rsidR="00E93E7E" w:rsidRPr="00E93E7E" w:rsidRDefault="00E93E7E" w:rsidP="00760AEE">
            <w:pPr>
              <w:pStyle w:val="Tabletext"/>
              <w:keepNext/>
              <w:rPr>
                <w:lang w:eastAsia="ja-JP"/>
              </w:rPr>
            </w:pPr>
            <w:r w:rsidRPr="00E93E7E">
              <w:rPr>
                <w:lang w:eastAsia="ja-JP"/>
              </w:rPr>
              <w:t>557</w:t>
            </w:r>
          </w:p>
        </w:tc>
      </w:tr>
      <w:tr w:rsidR="00E93E7E" w:rsidRPr="00E93E7E" w14:paraId="21A0F537" w14:textId="77777777" w:rsidTr="00E93E7E">
        <w:trPr>
          <w:trHeight w:val="474"/>
        </w:trPr>
        <w:tc>
          <w:tcPr>
            <w:tcW w:w="3270" w:type="dxa"/>
          </w:tcPr>
          <w:p w14:paraId="3F98B055" w14:textId="77777777" w:rsidR="00E93E7E" w:rsidRPr="00E93E7E" w:rsidRDefault="00E93E7E" w:rsidP="00760AEE">
            <w:pPr>
              <w:pStyle w:val="Tabletext"/>
              <w:keepNext/>
              <w:rPr>
                <w:lang w:eastAsia="ja-JP"/>
              </w:rPr>
            </w:pPr>
            <w:r w:rsidRPr="00E93E7E">
              <w:rPr>
                <w:lang w:eastAsia="ja-JP"/>
              </w:rPr>
              <w:t xml:space="preserve">LS Mean (SE) </w:t>
            </w:r>
          </w:p>
        </w:tc>
        <w:tc>
          <w:tcPr>
            <w:tcW w:w="2584" w:type="dxa"/>
          </w:tcPr>
          <w:p w14:paraId="5FB18B10" w14:textId="77777777" w:rsidR="00E93E7E" w:rsidRPr="00E93E7E" w:rsidRDefault="00E93E7E" w:rsidP="00760AEE">
            <w:pPr>
              <w:pStyle w:val="Tabletext"/>
              <w:keepNext/>
              <w:rPr>
                <w:lang w:eastAsia="ja-JP"/>
              </w:rPr>
            </w:pPr>
            <w:r w:rsidRPr="00E93E7E">
              <w:rPr>
                <w:lang w:eastAsia="ja-JP"/>
              </w:rPr>
              <w:t>-29.4 ( 0.91)</w:t>
            </w:r>
          </w:p>
        </w:tc>
        <w:tc>
          <w:tcPr>
            <w:tcW w:w="2567" w:type="dxa"/>
          </w:tcPr>
          <w:p w14:paraId="3930D67B" w14:textId="77777777" w:rsidR="00E93E7E" w:rsidRPr="00E93E7E" w:rsidRDefault="00E93E7E" w:rsidP="00760AEE">
            <w:pPr>
              <w:pStyle w:val="Tabletext"/>
              <w:keepNext/>
              <w:rPr>
                <w:lang w:eastAsia="ja-JP"/>
              </w:rPr>
            </w:pPr>
            <w:r w:rsidRPr="00E93E7E">
              <w:rPr>
                <w:lang w:eastAsia="ja-JP"/>
              </w:rPr>
              <w:t>-19.5 ( 0.91)</w:t>
            </w:r>
          </w:p>
        </w:tc>
      </w:tr>
      <w:tr w:rsidR="00E93E7E" w:rsidRPr="00E93E7E" w14:paraId="7A00AD60" w14:textId="77777777" w:rsidTr="00E93E7E">
        <w:trPr>
          <w:trHeight w:val="699"/>
        </w:trPr>
        <w:tc>
          <w:tcPr>
            <w:tcW w:w="3270" w:type="dxa"/>
          </w:tcPr>
          <w:p w14:paraId="36EC123A" w14:textId="77777777" w:rsidR="00E93E7E" w:rsidRPr="00E93E7E" w:rsidRDefault="00E93E7E" w:rsidP="00760AEE">
            <w:pPr>
              <w:pStyle w:val="Tabletext"/>
              <w:keepNext/>
              <w:rPr>
                <w:lang w:eastAsia="ja-JP"/>
              </w:rPr>
            </w:pPr>
            <w:r w:rsidRPr="00E93E7E">
              <w:rPr>
                <w:lang w:eastAsia="ja-JP"/>
              </w:rPr>
              <w:t xml:space="preserve">LS Means Difference from Vehicle (95% CI) </w:t>
            </w:r>
          </w:p>
        </w:tc>
        <w:tc>
          <w:tcPr>
            <w:tcW w:w="5151" w:type="dxa"/>
            <w:gridSpan w:val="2"/>
          </w:tcPr>
          <w:p w14:paraId="19840D58" w14:textId="77777777" w:rsidR="00E93E7E" w:rsidRPr="00E93E7E" w:rsidRDefault="00E93E7E" w:rsidP="00760AEE">
            <w:pPr>
              <w:pStyle w:val="Tabletext"/>
              <w:keepNext/>
              <w:rPr>
                <w:lang w:eastAsia="ja-JP"/>
              </w:rPr>
            </w:pPr>
            <w:r w:rsidRPr="00E93E7E">
              <w:rPr>
                <w:lang w:eastAsia="ja-JP"/>
              </w:rPr>
              <w:t>-9.9 (-12.2, -7.5)</w:t>
            </w:r>
          </w:p>
        </w:tc>
      </w:tr>
      <w:tr w:rsidR="00E93E7E" w:rsidRPr="00E93E7E" w14:paraId="65BE27A6" w14:textId="77777777" w:rsidTr="00E93E7E">
        <w:trPr>
          <w:trHeight w:val="462"/>
        </w:trPr>
        <w:tc>
          <w:tcPr>
            <w:tcW w:w="3270" w:type="dxa"/>
          </w:tcPr>
          <w:p w14:paraId="070835DD" w14:textId="77777777" w:rsidR="00E93E7E" w:rsidRPr="00E93E7E" w:rsidRDefault="001B364B" w:rsidP="00760AEE">
            <w:pPr>
              <w:pStyle w:val="Tabletext"/>
              <w:keepNext/>
              <w:rPr>
                <w:lang w:eastAsia="ja-JP"/>
              </w:rPr>
            </w:pPr>
            <w:r>
              <w:rPr>
                <w:lang w:eastAsia="ja-JP"/>
              </w:rPr>
              <w:t>p-value</w:t>
            </w:r>
          </w:p>
        </w:tc>
        <w:tc>
          <w:tcPr>
            <w:tcW w:w="5151" w:type="dxa"/>
            <w:gridSpan w:val="2"/>
          </w:tcPr>
          <w:p w14:paraId="610707AB" w14:textId="77777777" w:rsidR="00E93E7E" w:rsidRPr="00E93E7E" w:rsidRDefault="00E93E7E" w:rsidP="00760AEE">
            <w:pPr>
              <w:pStyle w:val="Tabletext"/>
              <w:keepNext/>
              <w:rPr>
                <w:lang w:eastAsia="ja-JP"/>
              </w:rPr>
            </w:pPr>
            <w:r w:rsidRPr="00E93E7E">
              <w:rPr>
                <w:lang w:eastAsia="ja-JP"/>
              </w:rPr>
              <w:t>&lt;</w:t>
            </w:r>
            <w:r w:rsidR="001B364B">
              <w:rPr>
                <w:lang w:eastAsia="ja-JP"/>
              </w:rPr>
              <w:t xml:space="preserve"> </w:t>
            </w:r>
            <w:r w:rsidRPr="00E93E7E">
              <w:rPr>
                <w:lang w:eastAsia="ja-JP"/>
              </w:rPr>
              <w:t>0.001</w:t>
            </w:r>
          </w:p>
        </w:tc>
      </w:tr>
      <w:tr w:rsidR="00E93E7E" w:rsidRPr="00E93E7E" w14:paraId="74939365" w14:textId="77777777" w:rsidTr="00E93E7E">
        <w:trPr>
          <w:trHeight w:val="474"/>
        </w:trPr>
        <w:tc>
          <w:tcPr>
            <w:tcW w:w="0" w:type="auto"/>
            <w:gridSpan w:val="3"/>
          </w:tcPr>
          <w:p w14:paraId="4B040729" w14:textId="77777777" w:rsidR="00E93E7E" w:rsidRPr="00760AEE" w:rsidRDefault="00E93E7E" w:rsidP="00760AEE">
            <w:pPr>
              <w:pStyle w:val="Tabletext"/>
              <w:keepNext/>
              <w:jc w:val="center"/>
              <w:rPr>
                <w:b/>
                <w:lang w:eastAsia="ja-JP"/>
              </w:rPr>
            </w:pPr>
            <w:r w:rsidRPr="00760AEE">
              <w:rPr>
                <w:b/>
                <w:lang w:eastAsia="ja-JP"/>
              </w:rPr>
              <w:t>≥ 18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1258)</w:t>
            </w:r>
          </w:p>
        </w:tc>
      </w:tr>
      <w:tr w:rsidR="00E93E7E" w:rsidRPr="00E93E7E" w14:paraId="240555AD" w14:textId="77777777" w:rsidTr="00E93E7E">
        <w:trPr>
          <w:trHeight w:val="462"/>
        </w:trPr>
        <w:tc>
          <w:tcPr>
            <w:tcW w:w="3270" w:type="dxa"/>
          </w:tcPr>
          <w:p w14:paraId="5C8A9249" w14:textId="77777777" w:rsidR="00E93E7E" w:rsidRPr="00E93E7E" w:rsidRDefault="00E93E7E" w:rsidP="00760AEE">
            <w:pPr>
              <w:pStyle w:val="Tabletext"/>
              <w:keepNext/>
              <w:rPr>
                <w:lang w:eastAsia="ja-JP"/>
              </w:rPr>
            </w:pPr>
            <w:r w:rsidRPr="00E93E7E">
              <w:rPr>
                <w:lang w:eastAsia="ja-JP"/>
              </w:rPr>
              <w:t>Week 12 Change from Baseline, n</w:t>
            </w:r>
          </w:p>
        </w:tc>
        <w:tc>
          <w:tcPr>
            <w:tcW w:w="2584" w:type="dxa"/>
          </w:tcPr>
          <w:p w14:paraId="4B1AD974" w14:textId="77777777" w:rsidR="00E93E7E" w:rsidRPr="00E93E7E" w:rsidRDefault="00E93E7E" w:rsidP="00760AEE">
            <w:pPr>
              <w:pStyle w:val="Tabletext"/>
              <w:keepNext/>
              <w:rPr>
                <w:lang w:eastAsia="ja-JP"/>
              </w:rPr>
            </w:pPr>
            <w:r w:rsidRPr="00E93E7E">
              <w:rPr>
                <w:lang w:eastAsia="ja-JP"/>
              </w:rPr>
              <w:t>624</w:t>
            </w:r>
          </w:p>
        </w:tc>
        <w:tc>
          <w:tcPr>
            <w:tcW w:w="2567" w:type="dxa"/>
          </w:tcPr>
          <w:p w14:paraId="6015164C" w14:textId="77777777" w:rsidR="00E93E7E" w:rsidRPr="00E93E7E" w:rsidRDefault="00E93E7E" w:rsidP="00760AEE">
            <w:pPr>
              <w:pStyle w:val="Tabletext"/>
              <w:keepNext/>
              <w:rPr>
                <w:lang w:eastAsia="ja-JP"/>
              </w:rPr>
            </w:pPr>
            <w:r w:rsidRPr="00E93E7E">
              <w:rPr>
                <w:lang w:eastAsia="ja-JP"/>
              </w:rPr>
              <w:t>634</w:t>
            </w:r>
          </w:p>
        </w:tc>
      </w:tr>
      <w:tr w:rsidR="00E93E7E" w:rsidRPr="00E93E7E" w14:paraId="234E6F9B" w14:textId="77777777" w:rsidTr="00E93E7E">
        <w:trPr>
          <w:trHeight w:val="474"/>
        </w:trPr>
        <w:tc>
          <w:tcPr>
            <w:tcW w:w="3270" w:type="dxa"/>
          </w:tcPr>
          <w:p w14:paraId="7BB48F2F" w14:textId="77777777" w:rsidR="00E93E7E" w:rsidRPr="00E93E7E" w:rsidRDefault="00E93E7E" w:rsidP="00760AEE">
            <w:pPr>
              <w:pStyle w:val="Tabletext"/>
              <w:keepNext/>
              <w:rPr>
                <w:lang w:eastAsia="ja-JP"/>
              </w:rPr>
            </w:pPr>
            <w:r w:rsidRPr="00E93E7E">
              <w:rPr>
                <w:lang w:eastAsia="ja-JP"/>
              </w:rPr>
              <w:t xml:space="preserve">LS Mean (SE) </w:t>
            </w:r>
          </w:p>
        </w:tc>
        <w:tc>
          <w:tcPr>
            <w:tcW w:w="2584" w:type="dxa"/>
          </w:tcPr>
          <w:p w14:paraId="58E5E6E6" w14:textId="77777777" w:rsidR="00E93E7E" w:rsidRPr="00E93E7E" w:rsidRDefault="00E93E7E" w:rsidP="00760AEE">
            <w:pPr>
              <w:pStyle w:val="Tabletext"/>
              <w:keepNext/>
              <w:rPr>
                <w:lang w:eastAsia="ja-JP"/>
              </w:rPr>
            </w:pPr>
            <w:r w:rsidRPr="00E93E7E">
              <w:rPr>
                <w:lang w:eastAsia="ja-JP"/>
              </w:rPr>
              <w:t>-26.4 ( 0.87)</w:t>
            </w:r>
          </w:p>
        </w:tc>
        <w:tc>
          <w:tcPr>
            <w:tcW w:w="2567" w:type="dxa"/>
          </w:tcPr>
          <w:p w14:paraId="06D7E3E5" w14:textId="77777777" w:rsidR="00E93E7E" w:rsidRPr="00E93E7E" w:rsidRDefault="00E93E7E" w:rsidP="00760AEE">
            <w:pPr>
              <w:pStyle w:val="Tabletext"/>
              <w:keepNext/>
              <w:rPr>
                <w:lang w:eastAsia="ja-JP"/>
              </w:rPr>
            </w:pPr>
            <w:r w:rsidRPr="00E93E7E">
              <w:rPr>
                <w:lang w:eastAsia="ja-JP"/>
              </w:rPr>
              <w:t>-19.7 ( 0.86)</w:t>
            </w:r>
          </w:p>
        </w:tc>
      </w:tr>
      <w:tr w:rsidR="00E93E7E" w:rsidRPr="00E93E7E" w14:paraId="3645CD4C" w14:textId="77777777" w:rsidTr="00E93E7E">
        <w:trPr>
          <w:trHeight w:val="699"/>
        </w:trPr>
        <w:tc>
          <w:tcPr>
            <w:tcW w:w="3270" w:type="dxa"/>
          </w:tcPr>
          <w:p w14:paraId="131C559E" w14:textId="77777777" w:rsidR="00E93E7E" w:rsidRPr="00E93E7E" w:rsidRDefault="00E93E7E" w:rsidP="00760AEE">
            <w:pPr>
              <w:pStyle w:val="Tabletext"/>
              <w:keepNext/>
              <w:rPr>
                <w:lang w:eastAsia="ja-JP"/>
              </w:rPr>
            </w:pPr>
            <w:r w:rsidRPr="00E93E7E">
              <w:rPr>
                <w:lang w:eastAsia="ja-JP"/>
              </w:rPr>
              <w:t>LS Means Difference from Vehicle (95% CI) -</w:t>
            </w:r>
          </w:p>
        </w:tc>
        <w:tc>
          <w:tcPr>
            <w:tcW w:w="5151" w:type="dxa"/>
            <w:gridSpan w:val="2"/>
          </w:tcPr>
          <w:p w14:paraId="410D4CBD" w14:textId="77777777" w:rsidR="00E93E7E" w:rsidRPr="00E93E7E" w:rsidRDefault="00E93E7E" w:rsidP="00760AEE">
            <w:pPr>
              <w:pStyle w:val="Tabletext"/>
              <w:keepNext/>
              <w:rPr>
                <w:lang w:eastAsia="ja-JP"/>
              </w:rPr>
            </w:pPr>
            <w:r w:rsidRPr="00E93E7E">
              <w:rPr>
                <w:lang w:eastAsia="ja-JP"/>
              </w:rPr>
              <w:t>6.7 (-8.6, -4.7)</w:t>
            </w:r>
          </w:p>
        </w:tc>
      </w:tr>
      <w:tr w:rsidR="00E93E7E" w:rsidRPr="00E93E7E" w14:paraId="7EC23313" w14:textId="77777777" w:rsidTr="00E93E7E">
        <w:trPr>
          <w:trHeight w:val="462"/>
        </w:trPr>
        <w:tc>
          <w:tcPr>
            <w:tcW w:w="3270" w:type="dxa"/>
          </w:tcPr>
          <w:p w14:paraId="2EE19FE5" w14:textId="77777777" w:rsidR="00E93E7E" w:rsidRPr="00E93E7E" w:rsidRDefault="00E93E7E" w:rsidP="00760AEE">
            <w:pPr>
              <w:pStyle w:val="Tabletext"/>
              <w:keepNext/>
              <w:rPr>
                <w:lang w:eastAsia="ja-JP"/>
              </w:rPr>
            </w:pPr>
            <w:r w:rsidRPr="00E93E7E">
              <w:rPr>
                <w:lang w:eastAsia="ja-JP"/>
              </w:rPr>
              <w:t>p-value</w:t>
            </w:r>
          </w:p>
        </w:tc>
        <w:tc>
          <w:tcPr>
            <w:tcW w:w="5151" w:type="dxa"/>
            <w:gridSpan w:val="2"/>
          </w:tcPr>
          <w:p w14:paraId="20BFF261" w14:textId="77777777" w:rsidR="00E93E7E" w:rsidRPr="00E93E7E" w:rsidRDefault="00E93E7E" w:rsidP="00760AEE">
            <w:pPr>
              <w:pStyle w:val="Tabletext"/>
              <w:keepNext/>
              <w:rPr>
                <w:lang w:eastAsia="ja-JP"/>
              </w:rPr>
            </w:pPr>
            <w:r w:rsidRPr="00E93E7E">
              <w:rPr>
                <w:lang w:eastAsia="ja-JP"/>
              </w:rPr>
              <w:t>&lt;</w:t>
            </w:r>
            <w:r w:rsidR="001B364B">
              <w:rPr>
                <w:lang w:eastAsia="ja-JP"/>
              </w:rPr>
              <w:t xml:space="preserve"> </w:t>
            </w:r>
            <w:r w:rsidRPr="00E93E7E">
              <w:rPr>
                <w:lang w:eastAsia="ja-JP"/>
              </w:rPr>
              <w:t>0.001</w:t>
            </w:r>
          </w:p>
        </w:tc>
      </w:tr>
    </w:tbl>
    <w:p w14:paraId="7B2E56CF" w14:textId="77777777" w:rsidR="001B364B" w:rsidRDefault="001B364B" w:rsidP="00760AEE">
      <w:pPr>
        <w:pStyle w:val="TableDescription"/>
        <w:keepNext/>
        <w:rPr>
          <w:lang w:eastAsia="ja-JP"/>
        </w:rPr>
      </w:pPr>
      <w:r>
        <w:t>LS = least square, SE = standard error, CI = confidence interval</w:t>
      </w:r>
    </w:p>
    <w:p w14:paraId="3BC54D98" w14:textId="0C09D301" w:rsidR="00E93E7E" w:rsidRDefault="00E93E7E" w:rsidP="00E93E7E">
      <w:r w:rsidRPr="00E93E7E">
        <w:t xml:space="preserve">The mean change from </w:t>
      </w:r>
      <w:r w:rsidR="00E71F8E">
        <w:t>Baseline</w:t>
      </w:r>
      <w:r w:rsidRPr="00E93E7E">
        <w:t xml:space="preserve"> in inflammatory and non-inflammatory f</w:t>
      </w:r>
      <w:r w:rsidR="00A20401">
        <w:t xml:space="preserve">acial lesions for subjects in 9 to </w:t>
      </w:r>
      <w:r w:rsidRPr="00E93E7E">
        <w:t>11 year age group in trifarotene arm was not significantly greater than the corresponding placebo arm. The treatment difference was s</w:t>
      </w:r>
      <w:r w:rsidR="00A20401">
        <w:t xml:space="preserve">tatistically significant for 12 to </w:t>
      </w:r>
      <w:r w:rsidRPr="00E93E7E">
        <w:t>17 years age group and adults.</w:t>
      </w:r>
      <w:r w:rsidR="00257ABB">
        <w:t xml:space="preserve"> </w:t>
      </w:r>
      <w:r w:rsidR="00257ABB" w:rsidRPr="00E93E7E">
        <w:t>Sub group analysis of mean reduction in facial inflammatory lesion count across age groups</w:t>
      </w:r>
      <w:r w:rsidR="00257ABB">
        <w:t xml:space="preserve"> is discussed in Table 17, below.</w:t>
      </w:r>
    </w:p>
    <w:p w14:paraId="1B3E8694" w14:textId="133BC581" w:rsidR="00E93E7E" w:rsidRDefault="00E93E7E" w:rsidP="00257ABB">
      <w:pPr>
        <w:pStyle w:val="TableTitle"/>
      </w:pPr>
      <w:r w:rsidRPr="00E93E7E">
        <w:t xml:space="preserve">Table </w:t>
      </w:r>
      <w:fldSimple w:instr=" SEQ Table \* ARABIC ">
        <w:r w:rsidR="00F522B3">
          <w:rPr>
            <w:noProof/>
          </w:rPr>
          <w:t>17</w:t>
        </w:r>
      </w:fldSimple>
      <w:r>
        <w:t xml:space="preserve">: </w:t>
      </w:r>
      <w:r w:rsidRPr="00E93E7E">
        <w:t>Sub group analysis of mean reduction in facial inflammatory lesion count across age groups</w:t>
      </w:r>
    </w:p>
    <w:tbl>
      <w:tblPr>
        <w:tblStyle w:val="TableTGAblue"/>
        <w:tblW w:w="8455" w:type="dxa"/>
        <w:tblLook w:val="04A0" w:firstRow="1" w:lastRow="0" w:firstColumn="1" w:lastColumn="0" w:noHBand="0" w:noVBand="1"/>
      </w:tblPr>
      <w:tblGrid>
        <w:gridCol w:w="3629"/>
        <w:gridCol w:w="2716"/>
        <w:gridCol w:w="2110"/>
      </w:tblGrid>
      <w:tr w:rsidR="00E93E7E" w14:paraId="0CC9A538" w14:textId="77777777" w:rsidTr="00E93E7E">
        <w:trPr>
          <w:cnfStyle w:val="100000000000" w:firstRow="1" w:lastRow="0" w:firstColumn="0" w:lastColumn="0" w:oddVBand="0" w:evenVBand="0" w:oddHBand="0" w:evenHBand="0" w:firstRowFirstColumn="0" w:firstRowLastColumn="0" w:lastRowFirstColumn="0" w:lastRowLastColumn="0"/>
          <w:trHeight w:val="705"/>
        </w:trPr>
        <w:tc>
          <w:tcPr>
            <w:tcW w:w="0" w:type="auto"/>
            <w:hideMark/>
          </w:tcPr>
          <w:p w14:paraId="48BDA4BF" w14:textId="77777777" w:rsidR="00E93E7E" w:rsidRDefault="00E93E7E" w:rsidP="006F5665">
            <w:pPr>
              <w:pStyle w:val="Tabletext"/>
              <w:rPr>
                <w:lang w:eastAsia="ja-JP"/>
              </w:rPr>
            </w:pPr>
          </w:p>
        </w:tc>
        <w:tc>
          <w:tcPr>
            <w:tcW w:w="2716" w:type="dxa"/>
            <w:hideMark/>
          </w:tcPr>
          <w:p w14:paraId="2E660A15" w14:textId="77777777" w:rsidR="00E93E7E" w:rsidRDefault="00E93E7E" w:rsidP="00296477">
            <w:pPr>
              <w:pStyle w:val="Tabletext"/>
              <w:rPr>
                <w:lang w:eastAsia="ja-JP"/>
              </w:rPr>
            </w:pPr>
            <w:r>
              <w:rPr>
                <w:lang w:eastAsia="ja-JP"/>
              </w:rPr>
              <w:t>Trifarotene 50</w:t>
            </w:r>
            <w:r w:rsidR="00987D70">
              <w:rPr>
                <w:lang w:eastAsia="ja-JP"/>
              </w:rPr>
              <w:t xml:space="preserve"> </w:t>
            </w:r>
            <w:r>
              <w:rPr>
                <w:lang w:eastAsia="ja-JP"/>
              </w:rPr>
              <w:t>μg/g (N</w:t>
            </w:r>
            <w:r w:rsidR="001B364B">
              <w:rPr>
                <w:lang w:eastAsia="ja-JP"/>
              </w:rPr>
              <w:t> </w:t>
            </w:r>
            <w:r>
              <w:rPr>
                <w:lang w:eastAsia="ja-JP"/>
              </w:rPr>
              <w:t>=</w:t>
            </w:r>
            <w:r w:rsidR="001B364B">
              <w:rPr>
                <w:lang w:eastAsia="ja-JP"/>
              </w:rPr>
              <w:t> </w:t>
            </w:r>
            <w:r>
              <w:rPr>
                <w:lang w:eastAsia="ja-JP"/>
              </w:rPr>
              <w:t>1214)</w:t>
            </w:r>
          </w:p>
        </w:tc>
        <w:tc>
          <w:tcPr>
            <w:tcW w:w="2110" w:type="dxa"/>
            <w:hideMark/>
          </w:tcPr>
          <w:p w14:paraId="1B9D812D" w14:textId="77777777" w:rsidR="00E93E7E" w:rsidRDefault="00E93E7E" w:rsidP="0080690D">
            <w:pPr>
              <w:pStyle w:val="Tabletext"/>
              <w:rPr>
                <w:lang w:eastAsia="ja-JP"/>
              </w:rPr>
            </w:pPr>
            <w:r>
              <w:rPr>
                <w:lang w:eastAsia="ja-JP"/>
              </w:rPr>
              <w:t>Vehicle</w:t>
            </w:r>
          </w:p>
          <w:p w14:paraId="04716202" w14:textId="77777777" w:rsidR="00E93E7E" w:rsidRDefault="00E93E7E" w:rsidP="007B5848">
            <w:pPr>
              <w:pStyle w:val="Tabletext"/>
              <w:rPr>
                <w:lang w:eastAsia="ja-JP"/>
              </w:rPr>
            </w:pPr>
            <w:r>
              <w:rPr>
                <w:lang w:eastAsia="ja-JP"/>
              </w:rPr>
              <w:t>(N</w:t>
            </w:r>
            <w:r w:rsidR="001B364B">
              <w:rPr>
                <w:lang w:eastAsia="ja-JP"/>
              </w:rPr>
              <w:t xml:space="preserve"> </w:t>
            </w:r>
            <w:r>
              <w:rPr>
                <w:lang w:eastAsia="ja-JP"/>
              </w:rPr>
              <w:t>=</w:t>
            </w:r>
            <w:r w:rsidR="001B364B">
              <w:rPr>
                <w:lang w:eastAsia="ja-JP"/>
              </w:rPr>
              <w:t xml:space="preserve"> </w:t>
            </w:r>
            <w:r>
              <w:rPr>
                <w:lang w:eastAsia="ja-JP"/>
              </w:rPr>
              <w:t>1206)</w:t>
            </w:r>
          </w:p>
        </w:tc>
      </w:tr>
      <w:tr w:rsidR="00E93E7E" w14:paraId="1A31D1A2" w14:textId="77777777" w:rsidTr="00E93E7E">
        <w:trPr>
          <w:trHeight w:val="478"/>
        </w:trPr>
        <w:tc>
          <w:tcPr>
            <w:tcW w:w="0" w:type="auto"/>
            <w:gridSpan w:val="3"/>
            <w:hideMark/>
          </w:tcPr>
          <w:p w14:paraId="2ED41B8E" w14:textId="77777777" w:rsidR="00E93E7E" w:rsidRPr="00760AEE" w:rsidRDefault="00E93E7E" w:rsidP="00760AEE">
            <w:pPr>
              <w:pStyle w:val="Tabletext"/>
              <w:keepNext/>
              <w:jc w:val="center"/>
              <w:rPr>
                <w:b/>
                <w:lang w:eastAsia="ja-JP"/>
              </w:rPr>
            </w:pPr>
            <w:r w:rsidRPr="00760AEE">
              <w:rPr>
                <w:b/>
                <w:lang w:eastAsia="ja-JP"/>
              </w:rPr>
              <w:t>9 to 11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34)</w:t>
            </w:r>
          </w:p>
        </w:tc>
      </w:tr>
      <w:tr w:rsidR="00E93E7E" w14:paraId="72BBAE07" w14:textId="77777777" w:rsidTr="00E93E7E">
        <w:trPr>
          <w:trHeight w:val="466"/>
        </w:trPr>
        <w:tc>
          <w:tcPr>
            <w:tcW w:w="0" w:type="auto"/>
            <w:hideMark/>
          </w:tcPr>
          <w:p w14:paraId="0443EC6D" w14:textId="77777777" w:rsidR="00E93E7E" w:rsidRDefault="00E93E7E" w:rsidP="00760AEE">
            <w:pPr>
              <w:pStyle w:val="Tabletext"/>
              <w:keepNext/>
              <w:rPr>
                <w:lang w:eastAsia="ja-JP"/>
              </w:rPr>
            </w:pPr>
            <w:r>
              <w:rPr>
                <w:lang w:eastAsia="ja-JP"/>
              </w:rPr>
              <w:t xml:space="preserve">Week 12 Change from Baseline, n </w:t>
            </w:r>
          </w:p>
        </w:tc>
        <w:tc>
          <w:tcPr>
            <w:tcW w:w="2716" w:type="dxa"/>
            <w:hideMark/>
          </w:tcPr>
          <w:p w14:paraId="3CD1CA65" w14:textId="77777777" w:rsidR="00E93E7E" w:rsidRDefault="00E93E7E" w:rsidP="00760AEE">
            <w:pPr>
              <w:pStyle w:val="Tabletext"/>
              <w:keepNext/>
              <w:rPr>
                <w:lang w:eastAsia="ja-JP"/>
              </w:rPr>
            </w:pPr>
            <w:r>
              <w:rPr>
                <w:lang w:eastAsia="ja-JP"/>
              </w:rPr>
              <w:t>19</w:t>
            </w:r>
          </w:p>
        </w:tc>
        <w:tc>
          <w:tcPr>
            <w:tcW w:w="2110" w:type="dxa"/>
            <w:hideMark/>
          </w:tcPr>
          <w:p w14:paraId="574E5264" w14:textId="77777777" w:rsidR="00E93E7E" w:rsidRDefault="00E93E7E" w:rsidP="00760AEE">
            <w:pPr>
              <w:pStyle w:val="Tabletext"/>
              <w:keepNext/>
              <w:rPr>
                <w:lang w:eastAsia="ja-JP"/>
              </w:rPr>
            </w:pPr>
            <w:r>
              <w:rPr>
                <w:lang w:eastAsia="ja-JP"/>
              </w:rPr>
              <w:t>15</w:t>
            </w:r>
          </w:p>
        </w:tc>
      </w:tr>
      <w:tr w:rsidR="00E93E7E" w14:paraId="24556C1C" w14:textId="77777777" w:rsidTr="00E93E7E">
        <w:trPr>
          <w:trHeight w:val="466"/>
        </w:trPr>
        <w:tc>
          <w:tcPr>
            <w:tcW w:w="0" w:type="auto"/>
            <w:hideMark/>
          </w:tcPr>
          <w:p w14:paraId="25102B5F" w14:textId="77777777" w:rsidR="00E93E7E" w:rsidRDefault="00E93E7E" w:rsidP="00760AEE">
            <w:pPr>
              <w:pStyle w:val="Tabletext"/>
              <w:keepNext/>
              <w:rPr>
                <w:lang w:eastAsia="ja-JP"/>
              </w:rPr>
            </w:pPr>
            <w:r>
              <w:rPr>
                <w:lang w:eastAsia="ja-JP"/>
              </w:rPr>
              <w:t xml:space="preserve">LS Mean (SE) </w:t>
            </w:r>
          </w:p>
        </w:tc>
        <w:tc>
          <w:tcPr>
            <w:tcW w:w="2716" w:type="dxa"/>
            <w:hideMark/>
          </w:tcPr>
          <w:p w14:paraId="785C937B" w14:textId="77777777" w:rsidR="00E93E7E" w:rsidRDefault="00E93E7E" w:rsidP="00760AEE">
            <w:pPr>
              <w:pStyle w:val="Tabletext"/>
              <w:keepNext/>
              <w:rPr>
                <w:lang w:eastAsia="ja-JP"/>
              </w:rPr>
            </w:pPr>
            <w:r>
              <w:rPr>
                <w:lang w:eastAsia="ja-JP"/>
              </w:rPr>
              <w:t>-16.0 ( 5.62)</w:t>
            </w:r>
          </w:p>
        </w:tc>
        <w:tc>
          <w:tcPr>
            <w:tcW w:w="2110" w:type="dxa"/>
            <w:hideMark/>
          </w:tcPr>
          <w:p w14:paraId="1292C9D3" w14:textId="77777777" w:rsidR="00E93E7E" w:rsidRDefault="00E93E7E" w:rsidP="00760AEE">
            <w:pPr>
              <w:pStyle w:val="Tabletext"/>
              <w:keepNext/>
              <w:rPr>
                <w:lang w:eastAsia="ja-JP"/>
              </w:rPr>
            </w:pPr>
            <w:r w:rsidRPr="005A27EC">
              <w:rPr>
                <w:lang w:eastAsia="ja-JP"/>
              </w:rPr>
              <w:t>-16.9 ( 5.92)</w:t>
            </w:r>
          </w:p>
        </w:tc>
      </w:tr>
      <w:tr w:rsidR="00E93E7E" w14:paraId="2F947018" w14:textId="77777777" w:rsidTr="00E93E7E">
        <w:trPr>
          <w:trHeight w:val="717"/>
        </w:trPr>
        <w:tc>
          <w:tcPr>
            <w:tcW w:w="0" w:type="auto"/>
            <w:hideMark/>
          </w:tcPr>
          <w:p w14:paraId="7C213A72" w14:textId="77777777" w:rsidR="00E93E7E" w:rsidRDefault="00E93E7E" w:rsidP="00760AEE">
            <w:pPr>
              <w:pStyle w:val="Tabletext"/>
              <w:keepNext/>
              <w:rPr>
                <w:lang w:eastAsia="ja-JP"/>
              </w:rPr>
            </w:pPr>
            <w:r>
              <w:rPr>
                <w:lang w:eastAsia="ja-JP"/>
              </w:rPr>
              <w:t xml:space="preserve">LS Means Difference from Vehicle (95% CI) </w:t>
            </w:r>
          </w:p>
        </w:tc>
        <w:tc>
          <w:tcPr>
            <w:tcW w:w="0" w:type="auto"/>
            <w:gridSpan w:val="2"/>
            <w:hideMark/>
          </w:tcPr>
          <w:p w14:paraId="21CC242C" w14:textId="77777777" w:rsidR="00E93E7E" w:rsidRDefault="00E93E7E" w:rsidP="00760AEE">
            <w:pPr>
              <w:pStyle w:val="Tabletext"/>
              <w:keepNext/>
              <w:rPr>
                <w:lang w:eastAsia="ja-JP"/>
              </w:rPr>
            </w:pPr>
            <w:r w:rsidRPr="005A27EC">
              <w:rPr>
                <w:lang w:eastAsia="ja-JP"/>
              </w:rPr>
              <w:t>0.9 (-19.0, 20.9)</w:t>
            </w:r>
          </w:p>
        </w:tc>
      </w:tr>
      <w:tr w:rsidR="00E93E7E" w14:paraId="4116D5FF" w14:textId="77777777" w:rsidTr="00E93E7E">
        <w:trPr>
          <w:trHeight w:val="466"/>
        </w:trPr>
        <w:tc>
          <w:tcPr>
            <w:tcW w:w="0" w:type="auto"/>
            <w:hideMark/>
          </w:tcPr>
          <w:p w14:paraId="6C9D26D4" w14:textId="77777777" w:rsidR="00E93E7E" w:rsidRDefault="001B364B" w:rsidP="00760AEE">
            <w:pPr>
              <w:pStyle w:val="Tabletext"/>
              <w:keepNext/>
              <w:rPr>
                <w:lang w:eastAsia="ja-JP"/>
              </w:rPr>
            </w:pPr>
            <w:r>
              <w:rPr>
                <w:lang w:eastAsia="ja-JP"/>
              </w:rPr>
              <w:t>p-value</w:t>
            </w:r>
          </w:p>
        </w:tc>
        <w:tc>
          <w:tcPr>
            <w:tcW w:w="0" w:type="auto"/>
            <w:gridSpan w:val="2"/>
            <w:hideMark/>
          </w:tcPr>
          <w:p w14:paraId="63E7723F" w14:textId="77777777" w:rsidR="00E93E7E" w:rsidRDefault="00E93E7E" w:rsidP="00760AEE">
            <w:pPr>
              <w:pStyle w:val="Tabletext"/>
              <w:keepNext/>
              <w:rPr>
                <w:lang w:eastAsia="ja-JP"/>
              </w:rPr>
            </w:pPr>
            <w:r w:rsidRPr="005A27EC">
              <w:rPr>
                <w:lang w:eastAsia="ja-JP"/>
              </w:rPr>
              <w:t>0.927</w:t>
            </w:r>
          </w:p>
        </w:tc>
      </w:tr>
      <w:tr w:rsidR="00E93E7E" w14:paraId="6EFB6C5D" w14:textId="77777777" w:rsidTr="00E93E7E">
        <w:trPr>
          <w:trHeight w:val="466"/>
        </w:trPr>
        <w:tc>
          <w:tcPr>
            <w:tcW w:w="0" w:type="auto"/>
            <w:gridSpan w:val="3"/>
            <w:hideMark/>
          </w:tcPr>
          <w:p w14:paraId="241C5BD3" w14:textId="77777777" w:rsidR="00E93E7E" w:rsidRPr="00760AEE" w:rsidRDefault="00E93E7E" w:rsidP="00760AEE">
            <w:pPr>
              <w:pStyle w:val="Tabletext"/>
              <w:keepNext/>
              <w:jc w:val="center"/>
              <w:rPr>
                <w:b/>
                <w:lang w:eastAsia="ja-JP"/>
              </w:rPr>
            </w:pPr>
            <w:r w:rsidRPr="00760AEE">
              <w:rPr>
                <w:b/>
                <w:lang w:eastAsia="ja-JP"/>
              </w:rPr>
              <w:t>12 to 17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1128)</w:t>
            </w:r>
          </w:p>
        </w:tc>
      </w:tr>
      <w:tr w:rsidR="00E93E7E" w14:paraId="0E8112FE" w14:textId="77777777" w:rsidTr="00E93E7E">
        <w:trPr>
          <w:trHeight w:val="478"/>
        </w:trPr>
        <w:tc>
          <w:tcPr>
            <w:tcW w:w="0" w:type="auto"/>
            <w:hideMark/>
          </w:tcPr>
          <w:p w14:paraId="3E792D43" w14:textId="77777777" w:rsidR="00E93E7E" w:rsidRDefault="00E93E7E" w:rsidP="00760AEE">
            <w:pPr>
              <w:pStyle w:val="Tabletext"/>
              <w:keepNext/>
              <w:rPr>
                <w:lang w:eastAsia="ja-JP"/>
              </w:rPr>
            </w:pPr>
            <w:r>
              <w:rPr>
                <w:lang w:eastAsia="ja-JP"/>
              </w:rPr>
              <w:t xml:space="preserve">Week 12 Change from Baseline, n </w:t>
            </w:r>
          </w:p>
        </w:tc>
        <w:tc>
          <w:tcPr>
            <w:tcW w:w="2716" w:type="dxa"/>
            <w:hideMark/>
          </w:tcPr>
          <w:p w14:paraId="49CA3862" w14:textId="77777777" w:rsidR="00E93E7E" w:rsidRDefault="00E93E7E" w:rsidP="00760AEE">
            <w:pPr>
              <w:pStyle w:val="Tabletext"/>
              <w:keepNext/>
              <w:rPr>
                <w:lang w:eastAsia="ja-JP"/>
              </w:rPr>
            </w:pPr>
            <w:r>
              <w:rPr>
                <w:lang w:eastAsia="ja-JP"/>
              </w:rPr>
              <w:t>571</w:t>
            </w:r>
          </w:p>
        </w:tc>
        <w:tc>
          <w:tcPr>
            <w:tcW w:w="2110" w:type="dxa"/>
            <w:hideMark/>
          </w:tcPr>
          <w:p w14:paraId="6DE1E7A8" w14:textId="77777777" w:rsidR="00E93E7E" w:rsidRDefault="00E93E7E" w:rsidP="00760AEE">
            <w:pPr>
              <w:pStyle w:val="Tabletext"/>
              <w:keepNext/>
              <w:rPr>
                <w:lang w:eastAsia="ja-JP"/>
              </w:rPr>
            </w:pPr>
            <w:r>
              <w:rPr>
                <w:lang w:eastAsia="ja-JP"/>
              </w:rPr>
              <w:t>557</w:t>
            </w:r>
          </w:p>
        </w:tc>
      </w:tr>
      <w:tr w:rsidR="00E93E7E" w14:paraId="614AA80E" w14:textId="77777777" w:rsidTr="00E93E7E">
        <w:trPr>
          <w:trHeight w:val="466"/>
        </w:trPr>
        <w:tc>
          <w:tcPr>
            <w:tcW w:w="0" w:type="auto"/>
            <w:hideMark/>
          </w:tcPr>
          <w:p w14:paraId="08C2509A" w14:textId="77777777" w:rsidR="00E93E7E" w:rsidRDefault="00E93E7E" w:rsidP="00760AEE">
            <w:pPr>
              <w:pStyle w:val="Tabletext"/>
              <w:keepNext/>
              <w:rPr>
                <w:lang w:eastAsia="ja-JP"/>
              </w:rPr>
            </w:pPr>
            <w:r>
              <w:rPr>
                <w:lang w:eastAsia="ja-JP"/>
              </w:rPr>
              <w:t xml:space="preserve">LS Mean (SE) </w:t>
            </w:r>
          </w:p>
        </w:tc>
        <w:tc>
          <w:tcPr>
            <w:tcW w:w="2716" w:type="dxa"/>
          </w:tcPr>
          <w:p w14:paraId="219ACB82" w14:textId="77777777" w:rsidR="00E93E7E" w:rsidRDefault="00E93E7E" w:rsidP="00760AEE">
            <w:pPr>
              <w:pStyle w:val="Tabletext"/>
              <w:keepNext/>
              <w:rPr>
                <w:lang w:eastAsia="ja-JP"/>
              </w:rPr>
            </w:pPr>
            <w:r w:rsidRPr="005A27EC">
              <w:rPr>
                <w:lang w:eastAsia="ja-JP"/>
              </w:rPr>
              <w:t>-21.0 ( 0.61)</w:t>
            </w:r>
          </w:p>
        </w:tc>
        <w:tc>
          <w:tcPr>
            <w:tcW w:w="2110" w:type="dxa"/>
          </w:tcPr>
          <w:p w14:paraId="4A7E1078" w14:textId="77777777" w:rsidR="00E93E7E" w:rsidRDefault="00E93E7E" w:rsidP="00760AEE">
            <w:pPr>
              <w:pStyle w:val="Tabletext"/>
              <w:keepNext/>
              <w:rPr>
                <w:lang w:eastAsia="ja-JP"/>
              </w:rPr>
            </w:pPr>
            <w:r w:rsidRPr="005A27EC">
              <w:rPr>
                <w:lang w:eastAsia="ja-JP"/>
              </w:rPr>
              <w:t>-15.9 ( 0.61)</w:t>
            </w:r>
          </w:p>
        </w:tc>
      </w:tr>
      <w:tr w:rsidR="00E93E7E" w14:paraId="0FCD25DE" w14:textId="77777777" w:rsidTr="00E93E7E">
        <w:trPr>
          <w:trHeight w:val="717"/>
        </w:trPr>
        <w:tc>
          <w:tcPr>
            <w:tcW w:w="0" w:type="auto"/>
            <w:hideMark/>
          </w:tcPr>
          <w:p w14:paraId="081E0079" w14:textId="77777777" w:rsidR="00E93E7E" w:rsidRDefault="00E93E7E" w:rsidP="00760AEE">
            <w:pPr>
              <w:pStyle w:val="Tabletext"/>
              <w:keepNext/>
              <w:rPr>
                <w:lang w:eastAsia="ja-JP"/>
              </w:rPr>
            </w:pPr>
            <w:r>
              <w:rPr>
                <w:lang w:eastAsia="ja-JP"/>
              </w:rPr>
              <w:t xml:space="preserve">LS Means Difference from Vehicle (95% CI) </w:t>
            </w:r>
          </w:p>
        </w:tc>
        <w:tc>
          <w:tcPr>
            <w:tcW w:w="0" w:type="auto"/>
            <w:gridSpan w:val="2"/>
            <w:hideMark/>
          </w:tcPr>
          <w:p w14:paraId="0204DE34" w14:textId="77777777" w:rsidR="00E93E7E" w:rsidRDefault="00E93E7E" w:rsidP="00760AEE">
            <w:pPr>
              <w:pStyle w:val="Tabletext"/>
              <w:keepNext/>
              <w:rPr>
                <w:lang w:eastAsia="ja-JP"/>
              </w:rPr>
            </w:pPr>
            <w:r w:rsidRPr="005A27EC">
              <w:rPr>
                <w:lang w:eastAsia="ja-JP"/>
              </w:rPr>
              <w:t>-5.1 (-6.7, -3.6)</w:t>
            </w:r>
          </w:p>
        </w:tc>
      </w:tr>
      <w:tr w:rsidR="00E93E7E" w14:paraId="107B1DCB" w14:textId="77777777" w:rsidTr="00E93E7E">
        <w:trPr>
          <w:trHeight w:val="466"/>
        </w:trPr>
        <w:tc>
          <w:tcPr>
            <w:tcW w:w="0" w:type="auto"/>
            <w:hideMark/>
          </w:tcPr>
          <w:p w14:paraId="4C32793C" w14:textId="77777777" w:rsidR="00E93E7E" w:rsidRDefault="001B364B" w:rsidP="00760AEE">
            <w:pPr>
              <w:pStyle w:val="Tabletext"/>
              <w:keepNext/>
              <w:rPr>
                <w:lang w:eastAsia="ja-JP"/>
              </w:rPr>
            </w:pPr>
            <w:r>
              <w:rPr>
                <w:lang w:eastAsia="ja-JP"/>
              </w:rPr>
              <w:t>p-value</w:t>
            </w:r>
          </w:p>
        </w:tc>
        <w:tc>
          <w:tcPr>
            <w:tcW w:w="0" w:type="auto"/>
            <w:gridSpan w:val="2"/>
            <w:hideMark/>
          </w:tcPr>
          <w:p w14:paraId="4761DD7F" w14:textId="77777777" w:rsidR="00E93E7E" w:rsidRDefault="00E93E7E" w:rsidP="00760AEE">
            <w:pPr>
              <w:pStyle w:val="Tabletext"/>
              <w:keepNext/>
              <w:rPr>
                <w:lang w:eastAsia="ja-JP"/>
              </w:rPr>
            </w:pPr>
            <w:r>
              <w:rPr>
                <w:lang w:eastAsia="ja-JP"/>
              </w:rPr>
              <w:t>&lt; 0.001</w:t>
            </w:r>
          </w:p>
        </w:tc>
      </w:tr>
      <w:tr w:rsidR="00E93E7E" w14:paraId="57611068" w14:textId="77777777" w:rsidTr="00E93E7E">
        <w:trPr>
          <w:trHeight w:val="466"/>
        </w:trPr>
        <w:tc>
          <w:tcPr>
            <w:tcW w:w="0" w:type="auto"/>
            <w:gridSpan w:val="3"/>
            <w:hideMark/>
          </w:tcPr>
          <w:p w14:paraId="5E32A141" w14:textId="77777777" w:rsidR="00E93E7E" w:rsidRPr="00760AEE" w:rsidRDefault="00E93E7E" w:rsidP="00760AEE">
            <w:pPr>
              <w:pStyle w:val="Tabletext"/>
              <w:keepNext/>
              <w:jc w:val="center"/>
              <w:rPr>
                <w:b/>
                <w:lang w:eastAsia="ja-JP"/>
              </w:rPr>
            </w:pPr>
            <w:r w:rsidRPr="00760AEE">
              <w:rPr>
                <w:b/>
                <w:lang w:eastAsia="ja-JP"/>
              </w:rPr>
              <w:t>≥ 18 Years (N</w:t>
            </w:r>
            <w:r w:rsidR="001B364B" w:rsidRPr="00760AEE">
              <w:rPr>
                <w:b/>
                <w:lang w:eastAsia="ja-JP"/>
              </w:rPr>
              <w:t xml:space="preserve"> </w:t>
            </w:r>
            <w:r w:rsidRPr="00760AEE">
              <w:rPr>
                <w:b/>
                <w:lang w:eastAsia="ja-JP"/>
              </w:rPr>
              <w:t>=</w:t>
            </w:r>
            <w:r w:rsidR="001B364B" w:rsidRPr="00760AEE">
              <w:rPr>
                <w:b/>
                <w:lang w:eastAsia="ja-JP"/>
              </w:rPr>
              <w:t xml:space="preserve"> </w:t>
            </w:r>
            <w:r w:rsidRPr="00760AEE">
              <w:rPr>
                <w:b/>
                <w:lang w:eastAsia="ja-JP"/>
              </w:rPr>
              <w:t>1258)</w:t>
            </w:r>
          </w:p>
        </w:tc>
      </w:tr>
      <w:tr w:rsidR="00E93E7E" w14:paraId="48633F7A" w14:textId="77777777" w:rsidTr="00E93E7E">
        <w:trPr>
          <w:trHeight w:val="478"/>
        </w:trPr>
        <w:tc>
          <w:tcPr>
            <w:tcW w:w="0" w:type="auto"/>
            <w:hideMark/>
          </w:tcPr>
          <w:p w14:paraId="41BF3ECC" w14:textId="77777777" w:rsidR="00E93E7E" w:rsidRDefault="00E93E7E" w:rsidP="00760AEE">
            <w:pPr>
              <w:pStyle w:val="Tabletext"/>
              <w:keepNext/>
              <w:rPr>
                <w:lang w:eastAsia="ja-JP"/>
              </w:rPr>
            </w:pPr>
            <w:r>
              <w:rPr>
                <w:lang w:eastAsia="ja-JP"/>
              </w:rPr>
              <w:t>Week 12 Change from Baseline, n</w:t>
            </w:r>
          </w:p>
        </w:tc>
        <w:tc>
          <w:tcPr>
            <w:tcW w:w="2716" w:type="dxa"/>
            <w:hideMark/>
          </w:tcPr>
          <w:p w14:paraId="60D8E9DB" w14:textId="77777777" w:rsidR="00E93E7E" w:rsidRDefault="00E93E7E" w:rsidP="00760AEE">
            <w:pPr>
              <w:pStyle w:val="Tabletext"/>
              <w:keepNext/>
              <w:rPr>
                <w:lang w:eastAsia="ja-JP"/>
              </w:rPr>
            </w:pPr>
            <w:r>
              <w:rPr>
                <w:lang w:eastAsia="ja-JP"/>
              </w:rPr>
              <w:t>624</w:t>
            </w:r>
          </w:p>
        </w:tc>
        <w:tc>
          <w:tcPr>
            <w:tcW w:w="2110" w:type="dxa"/>
            <w:hideMark/>
          </w:tcPr>
          <w:p w14:paraId="7C9056EA" w14:textId="77777777" w:rsidR="00E93E7E" w:rsidRDefault="00E93E7E" w:rsidP="00760AEE">
            <w:pPr>
              <w:pStyle w:val="Tabletext"/>
              <w:keepNext/>
              <w:rPr>
                <w:lang w:eastAsia="ja-JP"/>
              </w:rPr>
            </w:pPr>
            <w:r>
              <w:rPr>
                <w:lang w:eastAsia="ja-JP"/>
              </w:rPr>
              <w:t>634</w:t>
            </w:r>
          </w:p>
        </w:tc>
      </w:tr>
      <w:tr w:rsidR="00E93E7E" w14:paraId="5362587F" w14:textId="77777777" w:rsidTr="00E93E7E">
        <w:trPr>
          <w:trHeight w:val="466"/>
        </w:trPr>
        <w:tc>
          <w:tcPr>
            <w:tcW w:w="0" w:type="auto"/>
            <w:hideMark/>
          </w:tcPr>
          <w:p w14:paraId="2286F786" w14:textId="77777777" w:rsidR="00E93E7E" w:rsidRDefault="00E93E7E" w:rsidP="00760AEE">
            <w:pPr>
              <w:pStyle w:val="Tabletext"/>
              <w:keepNext/>
              <w:rPr>
                <w:lang w:eastAsia="ja-JP"/>
              </w:rPr>
            </w:pPr>
            <w:r>
              <w:rPr>
                <w:lang w:eastAsia="ja-JP"/>
              </w:rPr>
              <w:t xml:space="preserve">LS Mean (SE) </w:t>
            </w:r>
          </w:p>
        </w:tc>
        <w:tc>
          <w:tcPr>
            <w:tcW w:w="2716" w:type="dxa"/>
          </w:tcPr>
          <w:p w14:paraId="2ED29F1B" w14:textId="77777777" w:rsidR="00E93E7E" w:rsidRDefault="00E93E7E" w:rsidP="00760AEE">
            <w:pPr>
              <w:pStyle w:val="Tabletext"/>
              <w:keepNext/>
              <w:rPr>
                <w:lang w:eastAsia="ja-JP"/>
              </w:rPr>
            </w:pPr>
            <w:r w:rsidRPr="005A27EC">
              <w:rPr>
                <w:lang w:eastAsia="ja-JP"/>
              </w:rPr>
              <w:t xml:space="preserve">-21.2 ( 0.53) </w:t>
            </w:r>
          </w:p>
        </w:tc>
        <w:tc>
          <w:tcPr>
            <w:tcW w:w="2110" w:type="dxa"/>
          </w:tcPr>
          <w:p w14:paraId="612E96F6" w14:textId="77777777" w:rsidR="00E93E7E" w:rsidRDefault="00E93E7E" w:rsidP="00760AEE">
            <w:pPr>
              <w:pStyle w:val="Tabletext"/>
              <w:keepNext/>
              <w:rPr>
                <w:lang w:eastAsia="ja-JP"/>
              </w:rPr>
            </w:pPr>
            <w:r w:rsidRPr="005A27EC">
              <w:rPr>
                <w:lang w:eastAsia="ja-JP"/>
              </w:rPr>
              <w:t>-17.2 ( 0.52)</w:t>
            </w:r>
          </w:p>
        </w:tc>
      </w:tr>
      <w:tr w:rsidR="00E93E7E" w14:paraId="18C03D24" w14:textId="77777777" w:rsidTr="00E93E7E">
        <w:trPr>
          <w:trHeight w:val="705"/>
        </w:trPr>
        <w:tc>
          <w:tcPr>
            <w:tcW w:w="0" w:type="auto"/>
            <w:hideMark/>
          </w:tcPr>
          <w:p w14:paraId="7EE9E702" w14:textId="77777777" w:rsidR="00E93E7E" w:rsidRDefault="00E93E7E" w:rsidP="00760AEE">
            <w:pPr>
              <w:pStyle w:val="Tabletext"/>
              <w:keepNext/>
              <w:rPr>
                <w:lang w:eastAsia="ja-JP"/>
              </w:rPr>
            </w:pPr>
            <w:r>
              <w:rPr>
                <w:lang w:eastAsia="ja-JP"/>
              </w:rPr>
              <w:t>LS Means Difference from Vehicle (95% CI) -</w:t>
            </w:r>
          </w:p>
        </w:tc>
        <w:tc>
          <w:tcPr>
            <w:tcW w:w="0" w:type="auto"/>
            <w:gridSpan w:val="2"/>
            <w:hideMark/>
          </w:tcPr>
          <w:p w14:paraId="6E5046FD" w14:textId="77777777" w:rsidR="00E93E7E" w:rsidRDefault="00E93E7E" w:rsidP="00760AEE">
            <w:pPr>
              <w:pStyle w:val="Tabletext"/>
              <w:keepNext/>
              <w:rPr>
                <w:lang w:eastAsia="ja-JP"/>
              </w:rPr>
            </w:pPr>
            <w:r w:rsidRPr="005A27EC">
              <w:rPr>
                <w:lang w:eastAsia="ja-JP"/>
              </w:rPr>
              <w:t>-4.0 (-5.2, -2.7)</w:t>
            </w:r>
          </w:p>
        </w:tc>
      </w:tr>
      <w:tr w:rsidR="00E93E7E" w14:paraId="5DA23D0F" w14:textId="77777777" w:rsidTr="00E93E7E">
        <w:trPr>
          <w:trHeight w:val="478"/>
        </w:trPr>
        <w:tc>
          <w:tcPr>
            <w:tcW w:w="0" w:type="auto"/>
            <w:hideMark/>
          </w:tcPr>
          <w:p w14:paraId="21F650D7" w14:textId="77777777" w:rsidR="00E93E7E" w:rsidRDefault="00E93E7E" w:rsidP="00760AEE">
            <w:pPr>
              <w:pStyle w:val="Tabletext"/>
              <w:keepNext/>
              <w:rPr>
                <w:lang w:eastAsia="ja-JP"/>
              </w:rPr>
            </w:pPr>
            <w:r>
              <w:rPr>
                <w:lang w:eastAsia="ja-JP"/>
              </w:rPr>
              <w:t>p-value</w:t>
            </w:r>
          </w:p>
        </w:tc>
        <w:tc>
          <w:tcPr>
            <w:tcW w:w="0" w:type="auto"/>
            <w:gridSpan w:val="2"/>
            <w:hideMark/>
          </w:tcPr>
          <w:p w14:paraId="01881BE1" w14:textId="77777777" w:rsidR="00E93E7E" w:rsidRDefault="00E93E7E" w:rsidP="00760AEE">
            <w:pPr>
              <w:pStyle w:val="Tabletext"/>
              <w:keepNext/>
              <w:rPr>
                <w:lang w:eastAsia="ja-JP"/>
              </w:rPr>
            </w:pPr>
            <w:r>
              <w:rPr>
                <w:lang w:eastAsia="ja-JP"/>
              </w:rPr>
              <w:t>&lt; 0.001</w:t>
            </w:r>
          </w:p>
        </w:tc>
      </w:tr>
    </w:tbl>
    <w:p w14:paraId="340D5CBD" w14:textId="77777777" w:rsidR="001B364B" w:rsidRDefault="001B364B" w:rsidP="00A1179C">
      <w:pPr>
        <w:pStyle w:val="TableDescription"/>
        <w:rPr>
          <w:lang w:eastAsia="ja-JP"/>
        </w:rPr>
      </w:pPr>
      <w:r>
        <w:t>LS = least square, SE = standard error, CI = confidence interval</w:t>
      </w:r>
    </w:p>
    <w:p w14:paraId="7FABA05D" w14:textId="77777777" w:rsidR="001B364B" w:rsidRPr="001B364B" w:rsidRDefault="00E93E7E" w:rsidP="001B364B">
      <w:pPr>
        <w:pStyle w:val="Heading5"/>
      </w:pPr>
      <w:r w:rsidRPr="00E93E7E">
        <w:t>Study 18250</w:t>
      </w:r>
    </w:p>
    <w:p w14:paraId="76340A97" w14:textId="77777777" w:rsidR="00E93E7E" w:rsidRDefault="00E93E7E" w:rsidP="00E93E7E">
      <w:r>
        <w:t>Open label study that assessed long term efficacy as a secondary objective. Study duration was 52 weeks.</w:t>
      </w:r>
    </w:p>
    <w:p w14:paraId="458737F8" w14:textId="77777777" w:rsidR="00E93E7E" w:rsidRDefault="00E93E7E" w:rsidP="00E93E7E">
      <w:pPr>
        <w:pStyle w:val="Heading6"/>
      </w:pPr>
      <w:r>
        <w:t>Results</w:t>
      </w:r>
    </w:p>
    <w:p w14:paraId="6F7AFB55" w14:textId="77777777" w:rsidR="00E93E7E" w:rsidRDefault="00E93E7E" w:rsidP="00E93E7E">
      <w:r>
        <w:t>The success rate for IGA assessed facial lesion counts was</w:t>
      </w:r>
      <w:r w:rsidR="0009366D">
        <w:t xml:space="preserve"> 26.6% at W</w:t>
      </w:r>
      <w:r w:rsidR="001B364B">
        <w:t>eek 12 and 65.1% at W</w:t>
      </w:r>
      <w:r>
        <w:t>eek 52. A similar success rate was achieve</w:t>
      </w:r>
      <w:r w:rsidR="001B364B">
        <w:t>d for PGA as well. The overall success rate was 22.0% at Week 12 and 57.9% at W</w:t>
      </w:r>
      <w:r>
        <w:t>eek 52.</w:t>
      </w:r>
    </w:p>
    <w:p w14:paraId="5C08EEB4" w14:textId="77777777" w:rsidR="004C3D93" w:rsidRDefault="004C3D93" w:rsidP="004C3D93">
      <w:pPr>
        <w:pStyle w:val="Heading4"/>
      </w:pPr>
      <w:r>
        <w:t>Safety</w:t>
      </w:r>
    </w:p>
    <w:p w14:paraId="5DBA4EEC" w14:textId="77777777" w:rsidR="004C3D93" w:rsidRDefault="004C3D93" w:rsidP="004C3D93">
      <w:pPr>
        <w:rPr>
          <w:lang w:eastAsia="ja-JP"/>
        </w:rPr>
      </w:pPr>
      <w:r>
        <w:rPr>
          <w:lang w:eastAsia="ja-JP"/>
        </w:rPr>
        <w:t>Safety data was based on pooled analysis of pivotal studies and lo</w:t>
      </w:r>
      <w:r w:rsidR="001B364B">
        <w:rPr>
          <w:lang w:eastAsia="ja-JP"/>
        </w:rPr>
        <w:t>ng term safety study, where 50</w:t>
      </w:r>
      <w:r w:rsidR="0009366D">
        <w:rPr>
          <w:lang w:eastAsia="ja-JP"/>
        </w:rPr>
        <w:t xml:space="preserve"> </w:t>
      </w:r>
      <w:r w:rsidR="001B364B">
        <w:rPr>
          <w:lang w:eastAsia="ja-JP"/>
        </w:rPr>
        <w:t>µ</w:t>
      </w:r>
      <w:r>
        <w:rPr>
          <w:lang w:eastAsia="ja-JP"/>
        </w:rPr>
        <w:t>g/g of trifarotene was used (primary safety pool) and studies in healthy volunteers and subjects with acne vulgaris who wer</w:t>
      </w:r>
      <w:r w:rsidR="001B364B">
        <w:rPr>
          <w:lang w:eastAsia="ja-JP"/>
        </w:rPr>
        <w:t>e treated with 25, 50 and 100 µ</w:t>
      </w:r>
      <w:r>
        <w:rPr>
          <w:lang w:eastAsia="ja-JP"/>
        </w:rPr>
        <w:t>g/g strengths of trifarotene (supportive safety pool).</w:t>
      </w:r>
    </w:p>
    <w:p w14:paraId="4F72A447" w14:textId="04A4FEE3" w:rsidR="004C3D93" w:rsidRDefault="004C3D93" w:rsidP="004C3D93">
      <w:pPr>
        <w:rPr>
          <w:lang w:eastAsia="ja-JP"/>
        </w:rPr>
      </w:pPr>
      <w:r w:rsidRPr="001B364B">
        <w:rPr>
          <w:i/>
          <w:lang w:eastAsia="ja-JP"/>
        </w:rPr>
        <w:t>Treatment exposure</w:t>
      </w:r>
      <w:r>
        <w:rPr>
          <w:lang w:eastAsia="ja-JP"/>
        </w:rPr>
        <w:t>: 3662 subjects were exposed to treatment with trifarotene across 31</w:t>
      </w:r>
      <w:r w:rsidR="00257ABB">
        <w:rPr>
          <w:lang w:eastAsia="ja-JP"/>
        </w:rPr>
        <w:t> </w:t>
      </w:r>
      <w:r>
        <w:rPr>
          <w:lang w:eastAsia="ja-JP"/>
        </w:rPr>
        <w:t>studies.</w:t>
      </w:r>
    </w:p>
    <w:p w14:paraId="7C150AE3" w14:textId="77777777" w:rsidR="004C3D93" w:rsidRDefault="004C3D93" w:rsidP="004C3D93">
      <w:pPr>
        <w:pStyle w:val="Heading5"/>
        <w:rPr>
          <w:lang w:eastAsia="ja-JP"/>
        </w:rPr>
      </w:pPr>
      <w:r w:rsidRPr="004C3D93">
        <w:rPr>
          <w:lang w:eastAsia="ja-JP"/>
        </w:rPr>
        <w:t>Study 18250</w:t>
      </w:r>
    </w:p>
    <w:p w14:paraId="4E4F912A" w14:textId="77777777" w:rsidR="004C3D93" w:rsidRDefault="004C3D93" w:rsidP="004C3D93">
      <w:pPr>
        <w:rPr>
          <w:lang w:eastAsia="ja-JP"/>
        </w:rPr>
      </w:pPr>
      <w:r>
        <w:rPr>
          <w:lang w:eastAsia="ja-JP"/>
        </w:rPr>
        <w:t>Open label, non comparative study to evaluate long term safety of trifarotene in children (&gt; 9 years) and adults with acne vulgaris.</w:t>
      </w:r>
    </w:p>
    <w:p w14:paraId="5D80C4E8" w14:textId="77777777" w:rsidR="004C3D93" w:rsidRDefault="004C3D93" w:rsidP="004C3D93">
      <w:pPr>
        <w:rPr>
          <w:lang w:eastAsia="ja-JP"/>
        </w:rPr>
      </w:pPr>
      <w:r>
        <w:rPr>
          <w:lang w:eastAsia="ja-JP"/>
        </w:rPr>
        <w:t>The study duration was 52 weeks. Long term safety of trifarotene was the primary objective and efficacy was evaluated as secondary objective.</w:t>
      </w:r>
    </w:p>
    <w:p w14:paraId="300EF184" w14:textId="77777777" w:rsidR="004C3D93" w:rsidRDefault="004C3D93" w:rsidP="006941DD">
      <w:pPr>
        <w:pStyle w:val="Heading6"/>
        <w:rPr>
          <w:lang w:eastAsia="ja-JP"/>
        </w:rPr>
      </w:pPr>
      <w:r>
        <w:rPr>
          <w:lang w:eastAsia="ja-JP"/>
        </w:rPr>
        <w:t>Key inclusion and exclusion criteria</w:t>
      </w:r>
    </w:p>
    <w:p w14:paraId="48542ABF" w14:textId="77777777" w:rsidR="004C3D93" w:rsidRDefault="004C3D93" w:rsidP="004C3D93">
      <w:pPr>
        <w:rPr>
          <w:lang w:eastAsia="ja-JP"/>
        </w:rPr>
      </w:pPr>
      <w:r>
        <w:rPr>
          <w:lang w:eastAsia="ja-JP"/>
        </w:rPr>
        <w:t>Moderate facial acne, defined as IGA of grade 3, with a minimum of 20 inflammatory and 25 non-inflammatory lesions on face were required as inclusion criteria. Subjects &gt;</w:t>
      </w:r>
      <w:r w:rsidR="001B364B">
        <w:rPr>
          <w:lang w:eastAsia="ja-JP"/>
        </w:rPr>
        <w:t> 12 </w:t>
      </w:r>
      <w:r>
        <w:rPr>
          <w:lang w:eastAsia="ja-JP"/>
        </w:rPr>
        <w:t>years of age were required to have moderate truncal acne as an inclusion criteria and</w:t>
      </w:r>
      <w:r w:rsidR="00A20401">
        <w:rPr>
          <w:lang w:eastAsia="ja-JP"/>
        </w:rPr>
        <w:t xml:space="preserve"> it was optional for subjects 9 to </w:t>
      </w:r>
      <w:r>
        <w:rPr>
          <w:lang w:eastAsia="ja-JP"/>
        </w:rPr>
        <w:t>11 years of age.</w:t>
      </w:r>
    </w:p>
    <w:p w14:paraId="5FF8BA66" w14:textId="77777777" w:rsidR="004C3D93" w:rsidRDefault="004C3D93" w:rsidP="004C3D93">
      <w:pPr>
        <w:rPr>
          <w:lang w:eastAsia="ja-JP"/>
        </w:rPr>
      </w:pPr>
      <w:r>
        <w:rPr>
          <w:lang w:eastAsia="ja-JP"/>
        </w:rPr>
        <w:t>The study treatments were trifarotene and vehicle that were applied only if the IGA score was &gt; 0.</w:t>
      </w:r>
    </w:p>
    <w:p w14:paraId="6413D32A" w14:textId="77777777" w:rsidR="004C3D93" w:rsidRDefault="004C3D93" w:rsidP="004C3D93">
      <w:pPr>
        <w:rPr>
          <w:lang w:eastAsia="ja-JP"/>
        </w:rPr>
      </w:pPr>
      <w:r>
        <w:rPr>
          <w:lang w:eastAsia="ja-JP"/>
        </w:rPr>
        <w:t>Local tolerability parameters were erythema, scaling, dryness and burning.</w:t>
      </w:r>
    </w:p>
    <w:p w14:paraId="6798D29D" w14:textId="77777777" w:rsidR="004C3D93" w:rsidRPr="006941DD" w:rsidRDefault="004C3D93" w:rsidP="006941DD">
      <w:pPr>
        <w:pStyle w:val="Heading6"/>
      </w:pPr>
      <w:r w:rsidRPr="006941DD">
        <w:t>Analysis populations</w:t>
      </w:r>
    </w:p>
    <w:p w14:paraId="6CD4C180" w14:textId="26FE1B8E" w:rsidR="004C3D93" w:rsidRDefault="00257ABB" w:rsidP="004C3D93">
      <w:pPr>
        <w:rPr>
          <w:lang w:eastAsia="ja-JP"/>
        </w:rPr>
      </w:pPr>
      <w:r>
        <w:rPr>
          <w:lang w:eastAsia="ja-JP"/>
        </w:rPr>
        <w:t>The s</w:t>
      </w:r>
      <w:r w:rsidR="00A2007A">
        <w:rPr>
          <w:lang w:eastAsia="ja-JP"/>
        </w:rPr>
        <w:t>afety (SAF)</w:t>
      </w:r>
      <w:r w:rsidR="004C3D93">
        <w:rPr>
          <w:lang w:eastAsia="ja-JP"/>
        </w:rPr>
        <w:t xml:space="preserve"> population comprised of all subjects who received at least one dose of trifarotene. </w:t>
      </w:r>
      <w:r>
        <w:rPr>
          <w:lang w:eastAsia="ja-JP"/>
        </w:rPr>
        <w:t>The s</w:t>
      </w:r>
      <w:r w:rsidR="00A2007A" w:rsidRPr="00A2007A">
        <w:rPr>
          <w:lang w:eastAsia="ja-JP"/>
        </w:rPr>
        <w:t xml:space="preserve">afety on the trunk </w:t>
      </w:r>
      <w:r>
        <w:rPr>
          <w:lang w:eastAsia="ja-JP"/>
        </w:rPr>
        <w:t xml:space="preserve">(SAFT) </w:t>
      </w:r>
      <w:r w:rsidR="00A2007A" w:rsidRPr="00A2007A">
        <w:rPr>
          <w:lang w:eastAsia="ja-JP"/>
        </w:rPr>
        <w:t>population</w:t>
      </w:r>
      <w:r w:rsidR="004C3D93">
        <w:rPr>
          <w:lang w:eastAsia="ja-JP"/>
        </w:rPr>
        <w:t xml:space="preserve"> population comprised of all subjects who applied trifarotene to the trunk. </w:t>
      </w:r>
      <w:r w:rsidR="00A2007A" w:rsidRPr="00A2007A">
        <w:rPr>
          <w:lang w:eastAsia="ja-JP"/>
        </w:rPr>
        <w:t>Safety population for the analysis of PGA</w:t>
      </w:r>
      <w:r w:rsidR="00A2007A">
        <w:rPr>
          <w:lang w:eastAsia="ja-JP"/>
        </w:rPr>
        <w:t xml:space="preserve"> (SAFP)</w:t>
      </w:r>
      <w:r w:rsidR="004C3D93">
        <w:rPr>
          <w:lang w:eastAsia="ja-JP"/>
        </w:rPr>
        <w:t xml:space="preserve"> population were subjec</w:t>
      </w:r>
      <w:r w:rsidR="006E0A99">
        <w:rPr>
          <w:lang w:eastAsia="ja-JP"/>
        </w:rPr>
        <w:t>ts with moderate truncal acne.</w:t>
      </w:r>
    </w:p>
    <w:p w14:paraId="39103DFE" w14:textId="77777777" w:rsidR="004C3D93" w:rsidRDefault="004C3D93" w:rsidP="004C3D93">
      <w:pPr>
        <w:pStyle w:val="Heading6"/>
        <w:rPr>
          <w:lang w:eastAsia="ja-JP"/>
        </w:rPr>
      </w:pPr>
      <w:r>
        <w:rPr>
          <w:lang w:eastAsia="ja-JP"/>
        </w:rPr>
        <w:t>Baseline characteristics</w:t>
      </w:r>
    </w:p>
    <w:p w14:paraId="3F2701BB" w14:textId="32C239FB" w:rsidR="004C3D93" w:rsidRDefault="004C3D93" w:rsidP="004C3D93">
      <w:pPr>
        <w:rPr>
          <w:lang w:eastAsia="ja-JP"/>
        </w:rPr>
      </w:pPr>
      <w:r>
        <w:rPr>
          <w:lang w:eastAsia="ja-JP"/>
        </w:rPr>
        <w:t>453 subjects were included in the SAF popula</w:t>
      </w:r>
      <w:r w:rsidR="00A20401">
        <w:rPr>
          <w:lang w:eastAsia="ja-JP"/>
        </w:rPr>
        <w:t xml:space="preserve">tion. 18 subjects were in the 9 to </w:t>
      </w:r>
      <w:r>
        <w:rPr>
          <w:lang w:eastAsia="ja-JP"/>
        </w:rPr>
        <w:t>11 years</w:t>
      </w:r>
      <w:r w:rsidR="00A20401">
        <w:rPr>
          <w:lang w:eastAsia="ja-JP"/>
        </w:rPr>
        <w:t xml:space="preserve"> of age, 268 subjects in the 12 to </w:t>
      </w:r>
      <w:r>
        <w:rPr>
          <w:lang w:eastAsia="ja-JP"/>
        </w:rPr>
        <w:t>17 years and the rest were adults. The median age was 16 years with a minimum of 9 and maximum of 54 years. 49.9% of subjects were females. All subjects had moderate IGA grade for acne. Non-inflammatory lesion count was higher than the inflammatory type on the face and trunk.</w:t>
      </w:r>
      <w:r w:rsidR="00257ABB">
        <w:rPr>
          <w:lang w:eastAsia="ja-JP"/>
        </w:rPr>
        <w:t xml:space="preserve"> The baseline characteristics for the SAF and SAFP populations in Study 18250 are shown in Table 18, below.</w:t>
      </w:r>
    </w:p>
    <w:p w14:paraId="567A2F36" w14:textId="723825F2" w:rsidR="004C3D93" w:rsidRDefault="00B6003C" w:rsidP="00B6003C">
      <w:pPr>
        <w:pStyle w:val="TableTitle"/>
      </w:pPr>
      <w:r w:rsidRPr="00B6003C">
        <w:t xml:space="preserve">Table </w:t>
      </w:r>
      <w:fldSimple w:instr=" SEQ Table \* ARABIC ">
        <w:r w:rsidR="00F522B3">
          <w:rPr>
            <w:noProof/>
          </w:rPr>
          <w:t>18</w:t>
        </w:r>
      </w:fldSimple>
      <w:r>
        <w:t>:</w:t>
      </w:r>
      <w:r w:rsidR="00230968">
        <w:t xml:space="preserve"> </w:t>
      </w:r>
      <w:r>
        <w:t xml:space="preserve">Study 18250 </w:t>
      </w:r>
      <w:r w:rsidR="00257ABB">
        <w:t>B</w:t>
      </w:r>
      <w:r>
        <w:t>aseline characteristics</w:t>
      </w:r>
    </w:p>
    <w:p w14:paraId="28720103" w14:textId="77777777" w:rsidR="006941DD" w:rsidRDefault="006941DD" w:rsidP="006941DD">
      <w:pPr>
        <w:rPr>
          <w:lang w:eastAsia="ja-JP"/>
        </w:rPr>
      </w:pPr>
      <w:r>
        <w:rPr>
          <w:noProof/>
          <w:lang w:eastAsia="en-AU"/>
        </w:rPr>
        <w:drawing>
          <wp:inline distT="0" distB="0" distL="0" distR="0" wp14:anchorId="03317C32" wp14:editId="1C7639F9">
            <wp:extent cx="5040172" cy="5796615"/>
            <wp:effectExtent l="0" t="0" r="8255" b="0"/>
            <wp:docPr id="14" name="Picture 14" descr="Study 18250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9" t="689" r="1307" b="2146"/>
                    <a:stretch/>
                  </pic:blipFill>
                  <pic:spPr bwMode="auto">
                    <a:xfrm>
                      <a:off x="0" y="0"/>
                      <a:ext cx="5068101" cy="5828736"/>
                    </a:xfrm>
                    <a:prstGeom prst="rect">
                      <a:avLst/>
                    </a:prstGeom>
                    <a:ln>
                      <a:noFill/>
                    </a:ln>
                    <a:extLst>
                      <a:ext uri="{53640926-AAD7-44D8-BBD7-CCE9431645EC}">
                        <a14:shadowObscured xmlns:a14="http://schemas.microsoft.com/office/drawing/2010/main"/>
                      </a:ext>
                    </a:extLst>
                  </pic:spPr>
                </pic:pic>
              </a:graphicData>
            </a:graphic>
          </wp:inline>
        </w:drawing>
      </w:r>
    </w:p>
    <w:p w14:paraId="389D9420" w14:textId="77777777" w:rsidR="00A2007A" w:rsidRDefault="00C35D17" w:rsidP="00A2007A">
      <w:pPr>
        <w:pStyle w:val="TableDescription"/>
        <w:rPr>
          <w:lang w:eastAsia="ja-JP"/>
        </w:rPr>
      </w:pPr>
      <w:r>
        <w:rPr>
          <w:lang w:eastAsia="ja-JP"/>
        </w:rPr>
        <w:t xml:space="preserve">SAF = safety population, SAFP = </w:t>
      </w:r>
      <w:r w:rsidRPr="00C35D17">
        <w:rPr>
          <w:lang w:eastAsia="ja-JP"/>
        </w:rPr>
        <w:t>. S</w:t>
      </w:r>
      <w:r>
        <w:rPr>
          <w:lang w:eastAsia="ja-JP"/>
        </w:rPr>
        <w:t>s</w:t>
      </w:r>
      <w:r w:rsidRPr="00C35D17">
        <w:rPr>
          <w:lang w:eastAsia="ja-JP"/>
        </w:rPr>
        <w:t>afety population for the analysis of PGA</w:t>
      </w:r>
      <w:r>
        <w:rPr>
          <w:lang w:eastAsia="ja-JP"/>
        </w:rPr>
        <w:t>, SD = Standard deviation, Min </w:t>
      </w:r>
      <w:r w:rsidR="00A2007A">
        <w:rPr>
          <w:lang w:eastAsia="ja-JP"/>
        </w:rPr>
        <w:t>= minimum, Max = Maximum</w:t>
      </w:r>
    </w:p>
    <w:p w14:paraId="104866C5" w14:textId="77777777" w:rsidR="006941DD" w:rsidRDefault="006941DD" w:rsidP="006941DD">
      <w:pPr>
        <w:rPr>
          <w:lang w:eastAsia="ja-JP"/>
        </w:rPr>
      </w:pPr>
      <w:r w:rsidRPr="006941DD">
        <w:rPr>
          <w:lang w:eastAsia="ja-JP"/>
        </w:rPr>
        <w:t>Treatment exposure: The mean treatment duration was 298.2 days for face and 281.6 days for the trunk. Around 75% and 68% of subjects had treatment exposure for &gt;</w:t>
      </w:r>
      <w:r w:rsidR="00A2007A">
        <w:rPr>
          <w:lang w:eastAsia="ja-JP"/>
        </w:rPr>
        <w:t xml:space="preserve"> </w:t>
      </w:r>
      <w:r w:rsidRPr="006941DD">
        <w:rPr>
          <w:lang w:eastAsia="ja-JP"/>
        </w:rPr>
        <w:t>270 days for face and trunk respectively.</w:t>
      </w:r>
    </w:p>
    <w:p w14:paraId="449B508F" w14:textId="77777777" w:rsidR="006941DD" w:rsidRPr="00FC67BC" w:rsidRDefault="006941DD" w:rsidP="006941DD">
      <w:pPr>
        <w:pStyle w:val="Heading6"/>
        <w:rPr>
          <w:lang w:eastAsia="ja-JP"/>
        </w:rPr>
      </w:pPr>
      <w:r w:rsidRPr="00FC67BC">
        <w:rPr>
          <w:lang w:eastAsia="ja-JP"/>
        </w:rPr>
        <w:t>Results</w:t>
      </w:r>
    </w:p>
    <w:p w14:paraId="4455FBA0" w14:textId="62A69564" w:rsidR="006941DD" w:rsidRDefault="006941DD" w:rsidP="006941DD">
      <w:pPr>
        <w:rPr>
          <w:lang w:eastAsia="ja-JP"/>
        </w:rPr>
      </w:pPr>
      <w:r>
        <w:rPr>
          <w:lang w:eastAsia="ja-JP"/>
        </w:rPr>
        <w:t>Local tolerability on the face and trunk</w:t>
      </w:r>
      <w:r w:rsidR="00734F81">
        <w:rPr>
          <w:lang w:eastAsia="ja-JP"/>
        </w:rPr>
        <w:t>: The m</w:t>
      </w:r>
      <w:r>
        <w:rPr>
          <w:lang w:eastAsia="ja-JP"/>
        </w:rPr>
        <w:t xml:space="preserve">ajority of safety events such as erythema, scaling, dryness and stinging/burning were mild to moderate in severity, when trifarotene was applied to both face </w:t>
      </w:r>
      <w:r w:rsidR="00734F81">
        <w:rPr>
          <w:lang w:eastAsia="ja-JP"/>
        </w:rPr>
        <w:t xml:space="preserve">(see Table 19) </w:t>
      </w:r>
      <w:r>
        <w:rPr>
          <w:lang w:eastAsia="ja-JP"/>
        </w:rPr>
        <w:t>and trunk</w:t>
      </w:r>
      <w:r w:rsidR="00734F81">
        <w:rPr>
          <w:lang w:eastAsia="ja-JP"/>
        </w:rPr>
        <w:t xml:space="preserve"> (see Table 20)</w:t>
      </w:r>
      <w:r>
        <w:rPr>
          <w:lang w:eastAsia="ja-JP"/>
        </w:rPr>
        <w:t>.</w:t>
      </w:r>
    </w:p>
    <w:p w14:paraId="31A30091" w14:textId="70C323FD" w:rsidR="006941DD" w:rsidRDefault="006941DD" w:rsidP="006941DD">
      <w:pPr>
        <w:pStyle w:val="TableTitle"/>
      </w:pPr>
      <w:r w:rsidRPr="006941DD">
        <w:t xml:space="preserve">Table </w:t>
      </w:r>
      <w:fldSimple w:instr=" SEQ Table \* ARABIC ">
        <w:r w:rsidR="00F522B3">
          <w:rPr>
            <w:noProof/>
          </w:rPr>
          <w:t>19</w:t>
        </w:r>
      </w:fldSimple>
      <w:r>
        <w:t xml:space="preserve">: </w:t>
      </w:r>
      <w:r w:rsidR="00734F81">
        <w:t xml:space="preserve">Study 18250 </w:t>
      </w:r>
      <w:r>
        <w:t>Local tolerability for face</w:t>
      </w:r>
    </w:p>
    <w:p w14:paraId="5559938A" w14:textId="4064F9D9" w:rsidR="006941DD" w:rsidRDefault="006941DD" w:rsidP="006941DD">
      <w:pPr>
        <w:rPr>
          <w:lang w:eastAsia="ja-JP"/>
        </w:rPr>
      </w:pPr>
      <w:r>
        <w:rPr>
          <w:noProof/>
          <w:sz w:val="16"/>
          <w:lang w:eastAsia="en-AU"/>
        </w:rPr>
        <w:drawing>
          <wp:inline distT="0" distB="0" distL="0" distR="0" wp14:anchorId="7E9AB496" wp14:editId="100ED901">
            <wp:extent cx="2362809" cy="3315970"/>
            <wp:effectExtent l="0" t="0" r="0" b="0"/>
            <wp:docPr id="76" name="Picture 76" descr="Local tolerability fo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35">
                      <a:extLst>
                        <a:ext uri="{28A0092B-C50C-407E-A947-70E740481C1C}">
                          <a14:useLocalDpi xmlns:a14="http://schemas.microsoft.com/office/drawing/2010/main" val="0"/>
                        </a:ext>
                      </a:extLst>
                    </a:blip>
                    <a:srcRect t="2309" r="1951" b="874"/>
                    <a:stretch/>
                  </pic:blipFill>
                  <pic:spPr bwMode="auto">
                    <a:xfrm>
                      <a:off x="0" y="0"/>
                      <a:ext cx="2362809" cy="3315970"/>
                    </a:xfrm>
                    <a:prstGeom prst="rect">
                      <a:avLst/>
                    </a:prstGeom>
                    <a:noFill/>
                    <a:ln>
                      <a:noFill/>
                    </a:ln>
                    <a:extLst>
                      <a:ext uri="{53640926-AAD7-44D8-BBD7-CCE9431645EC}">
                        <a14:shadowObscured xmlns:a14="http://schemas.microsoft.com/office/drawing/2010/main"/>
                      </a:ext>
                    </a:extLst>
                  </pic:spPr>
                </pic:pic>
              </a:graphicData>
            </a:graphic>
          </wp:inline>
        </w:drawing>
      </w:r>
    </w:p>
    <w:p w14:paraId="7CD1C189" w14:textId="79301510" w:rsidR="00734F81" w:rsidRDefault="00734F81" w:rsidP="00760AEE">
      <w:pPr>
        <w:pStyle w:val="TableDescription"/>
        <w:rPr>
          <w:lang w:eastAsia="ja-JP"/>
        </w:rPr>
      </w:pPr>
      <w:r>
        <w:rPr>
          <w:lang w:eastAsia="ja-JP"/>
        </w:rPr>
        <w:t>CD5789 = drug development name for trifarotene cream</w:t>
      </w:r>
    </w:p>
    <w:p w14:paraId="687DFF4E" w14:textId="04BB9EBF" w:rsidR="006941DD" w:rsidRDefault="006941DD" w:rsidP="006941DD">
      <w:pPr>
        <w:pStyle w:val="TableTitle"/>
      </w:pPr>
      <w:r w:rsidRPr="006941DD">
        <w:t xml:space="preserve">Table </w:t>
      </w:r>
      <w:fldSimple w:instr=" SEQ Table \* ARABIC ">
        <w:r w:rsidR="00F522B3">
          <w:rPr>
            <w:noProof/>
          </w:rPr>
          <w:t>20</w:t>
        </w:r>
      </w:fldSimple>
      <w:r>
        <w:t xml:space="preserve">: </w:t>
      </w:r>
      <w:r w:rsidR="00734F81">
        <w:t xml:space="preserve">Study 18250 </w:t>
      </w:r>
      <w:r>
        <w:t>Local tolerability for trunk</w:t>
      </w:r>
    </w:p>
    <w:p w14:paraId="44B83BF0" w14:textId="16017248" w:rsidR="006941DD" w:rsidRDefault="006941DD" w:rsidP="006941DD">
      <w:r>
        <w:rPr>
          <w:noProof/>
          <w:sz w:val="16"/>
          <w:lang w:eastAsia="en-AU"/>
        </w:rPr>
        <w:drawing>
          <wp:inline distT="0" distB="0" distL="0" distR="0" wp14:anchorId="24A7AE3E" wp14:editId="4FD440D0">
            <wp:extent cx="2332990" cy="4067251"/>
            <wp:effectExtent l="0" t="0" r="0" b="9525"/>
            <wp:docPr id="75" name="Picture 75" descr="Local tolerability for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8500" cy="4076857"/>
                    </a:xfrm>
                    <a:prstGeom prst="rect">
                      <a:avLst/>
                    </a:prstGeom>
                    <a:noFill/>
                    <a:ln>
                      <a:noFill/>
                    </a:ln>
                  </pic:spPr>
                </pic:pic>
              </a:graphicData>
            </a:graphic>
          </wp:inline>
        </w:drawing>
      </w:r>
    </w:p>
    <w:p w14:paraId="5089FAE3" w14:textId="76931B62" w:rsidR="00734F81" w:rsidRDefault="00734F81" w:rsidP="00760AEE">
      <w:pPr>
        <w:pStyle w:val="TableDescription"/>
        <w:rPr>
          <w:lang w:eastAsia="ja-JP"/>
        </w:rPr>
      </w:pPr>
      <w:r>
        <w:rPr>
          <w:lang w:eastAsia="ja-JP"/>
        </w:rPr>
        <w:t>CD5789 = drug development name for trifarotene cream</w:t>
      </w:r>
    </w:p>
    <w:p w14:paraId="6AE02F8A" w14:textId="3A04DAC4" w:rsidR="006941DD" w:rsidRPr="00843C06" w:rsidRDefault="006941DD" w:rsidP="006941DD">
      <w:pPr>
        <w:pStyle w:val="Heading5"/>
        <w:rPr>
          <w:lang w:eastAsia="ja-JP"/>
        </w:rPr>
      </w:pPr>
      <w:r w:rsidRPr="00843C06">
        <w:rPr>
          <w:lang w:eastAsia="ja-JP"/>
        </w:rPr>
        <w:t>A</w:t>
      </w:r>
      <w:r w:rsidR="00612365">
        <w:rPr>
          <w:lang w:eastAsia="ja-JP"/>
        </w:rPr>
        <w:t xml:space="preserve">dverse </w:t>
      </w:r>
      <w:r w:rsidR="00A1179C">
        <w:rPr>
          <w:lang w:eastAsia="ja-JP"/>
        </w:rPr>
        <w:t>e</w:t>
      </w:r>
      <w:r w:rsidR="00612365">
        <w:rPr>
          <w:lang w:eastAsia="ja-JP"/>
        </w:rPr>
        <w:t>vent</w:t>
      </w:r>
      <w:r w:rsidRPr="00843C06">
        <w:rPr>
          <w:lang w:eastAsia="ja-JP"/>
        </w:rPr>
        <w:t>s</w:t>
      </w:r>
    </w:p>
    <w:p w14:paraId="358CBAAB" w14:textId="4612DC4F" w:rsidR="006941DD" w:rsidRDefault="006941DD" w:rsidP="006941DD">
      <w:pPr>
        <w:rPr>
          <w:lang w:eastAsia="ja-JP"/>
        </w:rPr>
      </w:pPr>
      <w:r>
        <w:rPr>
          <w:lang w:eastAsia="ja-JP"/>
        </w:rPr>
        <w:t xml:space="preserve">Majority of </w:t>
      </w:r>
      <w:r w:rsidR="00A2007A">
        <w:rPr>
          <w:lang w:eastAsia="ja-JP"/>
        </w:rPr>
        <w:t>adverse events (</w:t>
      </w:r>
      <w:r>
        <w:rPr>
          <w:lang w:eastAsia="ja-JP"/>
        </w:rPr>
        <w:t>AE</w:t>
      </w:r>
      <w:r w:rsidR="00A2007A">
        <w:rPr>
          <w:lang w:eastAsia="ja-JP"/>
        </w:rPr>
        <w:t>)</w:t>
      </w:r>
      <w:r>
        <w:rPr>
          <w:lang w:eastAsia="ja-JP"/>
        </w:rPr>
        <w:t xml:space="preserve"> were respiratory tract infections. An increase in the incidence of AEs was noted in </w:t>
      </w:r>
      <w:r w:rsidR="00734F81">
        <w:rPr>
          <w:lang w:eastAsia="ja-JP"/>
        </w:rPr>
        <w:t>Q</w:t>
      </w:r>
      <w:r w:rsidR="00A2007A">
        <w:rPr>
          <w:lang w:eastAsia="ja-JP"/>
        </w:rPr>
        <w:t>uarter 1,</w:t>
      </w:r>
      <w:r>
        <w:rPr>
          <w:lang w:eastAsia="ja-JP"/>
        </w:rPr>
        <w:t xml:space="preserve"> which is closer to the first application of trifarotene, followed by a relative reduction in the following quarters. Overall, around 5% of subjects experienced pruritus and irritation as signs of local irritability. The incidence of AEs was largely comparable across age groups, except for sunburn. </w:t>
      </w:r>
      <w:r w:rsidR="00A20401">
        <w:rPr>
          <w:lang w:eastAsia="ja-JP"/>
        </w:rPr>
        <w:t xml:space="preserve">Around 22% of subjects in the 9 to </w:t>
      </w:r>
      <w:r>
        <w:rPr>
          <w:lang w:eastAsia="ja-JP"/>
        </w:rPr>
        <w:t>11 years age group experienced sunburn, compared to around 5% of subjects in the adolescent and adults age groups.</w:t>
      </w:r>
      <w:r w:rsidR="00734F81">
        <w:rPr>
          <w:lang w:eastAsia="ja-JP"/>
        </w:rPr>
        <w:t xml:space="preserve"> A summary of treatment emergent adverse events (TEAE) is given in Table 21, and by age group in Table 22, below.</w:t>
      </w:r>
    </w:p>
    <w:p w14:paraId="72E1FD92" w14:textId="0F65D1C8" w:rsidR="006941DD" w:rsidRDefault="00612365" w:rsidP="00612365">
      <w:pPr>
        <w:pStyle w:val="TableTitle"/>
      </w:pPr>
      <w:r w:rsidRPr="00612365">
        <w:t xml:space="preserve">Table </w:t>
      </w:r>
      <w:fldSimple w:instr=" SEQ Table \* ARABIC ">
        <w:r w:rsidR="00F522B3">
          <w:rPr>
            <w:noProof/>
          </w:rPr>
          <w:t>21</w:t>
        </w:r>
      </w:fldSimple>
      <w:r>
        <w:t>: Summary of incidence of adverse events</w:t>
      </w:r>
      <w:r w:rsidR="00734F81">
        <w:t xml:space="preserve"> by System Order Class and Preferred Term</w:t>
      </w:r>
    </w:p>
    <w:p w14:paraId="62C9C6DE" w14:textId="77777777" w:rsidR="00612365" w:rsidRDefault="00612365" w:rsidP="00612365">
      <w:r>
        <w:rPr>
          <w:noProof/>
          <w:sz w:val="16"/>
          <w:lang w:eastAsia="en-AU"/>
        </w:rPr>
        <w:drawing>
          <wp:inline distT="0" distB="0" distL="0" distR="0" wp14:anchorId="1CC73F8F" wp14:editId="22DE1C2E">
            <wp:extent cx="5193792" cy="4248002"/>
            <wp:effectExtent l="0" t="0" r="6985" b="635"/>
            <wp:docPr id="74" name="Picture 74" descr="Summary of incidence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0440" cy="4286155"/>
                    </a:xfrm>
                    <a:prstGeom prst="rect">
                      <a:avLst/>
                    </a:prstGeom>
                    <a:noFill/>
                    <a:ln>
                      <a:noFill/>
                    </a:ln>
                  </pic:spPr>
                </pic:pic>
              </a:graphicData>
            </a:graphic>
          </wp:inline>
        </w:drawing>
      </w:r>
    </w:p>
    <w:p w14:paraId="71DF2429" w14:textId="5E93943E" w:rsidR="00C61289" w:rsidRDefault="00734F81" w:rsidP="00C61289">
      <w:pPr>
        <w:pStyle w:val="TableDescription"/>
        <w:rPr>
          <w:lang w:eastAsia="ja-JP"/>
        </w:rPr>
      </w:pPr>
      <w:r>
        <w:rPr>
          <w:lang w:eastAsia="ja-JP"/>
        </w:rPr>
        <w:t xml:space="preserve">CD5789 = drug development name for trifarotene cream, </w:t>
      </w:r>
      <w:r w:rsidR="009F242F">
        <w:t xml:space="preserve">SOC = </w:t>
      </w:r>
      <w:r>
        <w:t>System Organ Class</w:t>
      </w:r>
      <w:r w:rsidR="009F242F">
        <w:t xml:space="preserve">, PT = </w:t>
      </w:r>
      <w:r>
        <w:t xml:space="preserve">Preferred Term, </w:t>
      </w:r>
      <w:r w:rsidR="00C61289">
        <w:t xml:space="preserve">TEAE = </w:t>
      </w:r>
      <w:r w:rsidR="00C61289" w:rsidRPr="00C61289">
        <w:t>treatment emergent adverse event</w:t>
      </w:r>
      <w:r>
        <w:t>.</w:t>
      </w:r>
    </w:p>
    <w:p w14:paraId="187B4038" w14:textId="54EE58B2" w:rsidR="00612365" w:rsidRDefault="00612365" w:rsidP="00612365">
      <w:pPr>
        <w:pStyle w:val="TableTitle"/>
      </w:pPr>
      <w:r w:rsidRPr="00612365">
        <w:t xml:space="preserve">Table </w:t>
      </w:r>
      <w:fldSimple w:instr=" SEQ Table \* ARABIC ">
        <w:r w:rsidR="00F522B3">
          <w:rPr>
            <w:noProof/>
          </w:rPr>
          <w:t>22</w:t>
        </w:r>
      </w:fldSimple>
      <w:r>
        <w:t xml:space="preserve">: Summary of incidence of </w:t>
      </w:r>
      <w:r w:rsidR="00734F81">
        <w:t xml:space="preserve">treatment emergent </w:t>
      </w:r>
      <w:r>
        <w:t>adverse events across age groups</w:t>
      </w:r>
      <w:r w:rsidR="00734F81">
        <w:t>, by System Organ Class and Preferred Term</w:t>
      </w:r>
    </w:p>
    <w:p w14:paraId="4B5B599E" w14:textId="77777777" w:rsidR="00612365" w:rsidRDefault="00612365" w:rsidP="00612365">
      <w:r>
        <w:rPr>
          <w:noProof/>
          <w:sz w:val="16"/>
          <w:lang w:eastAsia="en-AU"/>
        </w:rPr>
        <w:drawing>
          <wp:inline distT="0" distB="0" distL="0" distR="0" wp14:anchorId="3DEBD246" wp14:editId="1AEE9ECC">
            <wp:extent cx="5171846" cy="2250721"/>
            <wp:effectExtent l="0" t="0" r="0" b="0"/>
            <wp:docPr id="72" name="Picture 72" descr="Summary of incidence of adverse events across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7741" cy="2253286"/>
                    </a:xfrm>
                    <a:prstGeom prst="rect">
                      <a:avLst/>
                    </a:prstGeom>
                    <a:noFill/>
                    <a:ln>
                      <a:noFill/>
                    </a:ln>
                  </pic:spPr>
                </pic:pic>
              </a:graphicData>
            </a:graphic>
          </wp:inline>
        </w:drawing>
      </w:r>
    </w:p>
    <w:p w14:paraId="0A89E1DC" w14:textId="77777777" w:rsidR="009F242F" w:rsidRDefault="009F242F" w:rsidP="009F242F">
      <w:pPr>
        <w:pStyle w:val="TableDescription"/>
      </w:pPr>
      <w:r>
        <w:t xml:space="preserve">SOC = system organ class, PT = preferred term, TEAE = </w:t>
      </w:r>
      <w:r w:rsidRPr="00C61289">
        <w:t>treatment emergent adverse event</w:t>
      </w:r>
    </w:p>
    <w:p w14:paraId="66AA7821" w14:textId="77777777" w:rsidR="00612365" w:rsidRDefault="00612365" w:rsidP="00612365">
      <w:r w:rsidRPr="00612365">
        <w:t>Most of the AEs were</w:t>
      </w:r>
      <w:r w:rsidR="009F242F">
        <w:t xml:space="preserve"> mild or moderate in severity. Nine severe AEs were reported in nine subjects, of which three</w:t>
      </w:r>
      <w:r w:rsidRPr="00612365">
        <w:t xml:space="preserve"> events were signs of local irritability such as pruritus, erythema and irritation and were considered as related to study drug.</w:t>
      </w:r>
    </w:p>
    <w:p w14:paraId="34CF8792" w14:textId="77777777" w:rsidR="00612365" w:rsidRDefault="00612365" w:rsidP="00612365">
      <w:pPr>
        <w:pStyle w:val="Heading5"/>
      </w:pPr>
      <w:r>
        <w:t>Serious adverse events</w:t>
      </w:r>
    </w:p>
    <w:p w14:paraId="1890B000" w14:textId="77777777" w:rsidR="00612365" w:rsidRDefault="00612365" w:rsidP="00612365">
      <w:r>
        <w:t xml:space="preserve">12 events were reported as </w:t>
      </w:r>
      <w:r w:rsidR="009F242F">
        <w:t>serious adverse events (SAE)</w:t>
      </w:r>
      <w:r>
        <w:t>, with none considered as related to study treatment.</w:t>
      </w:r>
    </w:p>
    <w:p w14:paraId="01BCC02D" w14:textId="77777777" w:rsidR="00612365" w:rsidRDefault="009F242F" w:rsidP="00612365">
      <w:r>
        <w:t>T</w:t>
      </w:r>
      <w:r w:rsidRPr="00C61289">
        <w:t>reatment emergent adverse event</w:t>
      </w:r>
      <w:r>
        <w:t>s (TEAE)</w:t>
      </w:r>
      <w:r w:rsidR="00612365">
        <w:t xml:space="preserve"> that led to discontinuation were reported in 3.5% of subjects. Application site irritation was the commonest, with 2.2% of subjects experiencing these events.</w:t>
      </w:r>
    </w:p>
    <w:p w14:paraId="41253F76" w14:textId="77777777" w:rsidR="009B07B8" w:rsidRDefault="009B07B8" w:rsidP="009B07B8">
      <w:pPr>
        <w:pStyle w:val="Heading4"/>
      </w:pPr>
      <w:r w:rsidRPr="009B07B8">
        <w:t>Pooled safety data</w:t>
      </w:r>
    </w:p>
    <w:p w14:paraId="4D0065CA" w14:textId="77777777" w:rsidR="009B07B8" w:rsidRDefault="006349DA" w:rsidP="009B07B8">
      <w:pPr>
        <w:pStyle w:val="Heading5"/>
      </w:pPr>
      <w:r>
        <w:t>Pool 1: Pivotal S</w:t>
      </w:r>
      <w:r w:rsidR="009B07B8">
        <w:t>tudies</w:t>
      </w:r>
      <w:r>
        <w:t xml:space="preserve"> 18251 and 18252</w:t>
      </w:r>
    </w:p>
    <w:p w14:paraId="234DD1A6" w14:textId="0D4F9C32" w:rsidR="009B07B8" w:rsidRDefault="009B07B8" w:rsidP="009B07B8">
      <w:r>
        <w:t>The proportion of subjects with TEAEs was comparable between trifarotene and placebo arms. However, a considerably higher proportion of subjects in trifarotene arm experienced TEAEs that were related to study treatment, compared to placebo (11.8 v</w:t>
      </w:r>
      <w:r w:rsidR="009F242F">
        <w:t>er</w:t>
      </w:r>
      <w:r>
        <w:t>s</w:t>
      </w:r>
      <w:r w:rsidR="009F242F">
        <w:t>us</w:t>
      </w:r>
      <w:r>
        <w:t xml:space="preserve"> 1.5). Most of these events appear to be mild to moderate severity. The proportion of subjects with TEAEs related to study treatment and leading to discontinuation was higher in trifarotene arm, compared to placebo.</w:t>
      </w:r>
      <w:r w:rsidR="00296477">
        <w:t xml:space="preserve"> A summary of the incidence of TEAEs is given in Table 23, below.</w:t>
      </w:r>
    </w:p>
    <w:p w14:paraId="7B7089EB" w14:textId="69F11C86" w:rsidR="009B07B8" w:rsidRDefault="009B07B8" w:rsidP="009B07B8">
      <w:pPr>
        <w:pStyle w:val="TableTitle"/>
      </w:pPr>
      <w:r w:rsidRPr="009B07B8">
        <w:t xml:space="preserve">Table </w:t>
      </w:r>
      <w:fldSimple w:instr=" SEQ Table \* ARABIC ">
        <w:r w:rsidR="00F522B3">
          <w:rPr>
            <w:noProof/>
          </w:rPr>
          <w:t>23</w:t>
        </w:r>
      </w:fldSimple>
      <w:r>
        <w:t>: Incidence of treatment emergent adverse events</w:t>
      </w:r>
    </w:p>
    <w:p w14:paraId="2767FA8D" w14:textId="77777777" w:rsidR="009B07B8" w:rsidRDefault="009B07B8" w:rsidP="00A1179C">
      <w:r w:rsidRPr="00DD794C">
        <w:rPr>
          <w:noProof/>
          <w:lang w:eastAsia="en-AU"/>
        </w:rPr>
        <w:drawing>
          <wp:inline distT="0" distB="0" distL="0" distR="0" wp14:anchorId="4F4ECA01" wp14:editId="1CA876A9">
            <wp:extent cx="5239554" cy="2662733"/>
            <wp:effectExtent l="0" t="0" r="0" b="4445"/>
            <wp:docPr id="37" name="Picture 37" descr="Incidence of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4081"/>
                    <a:stretch/>
                  </pic:blipFill>
                  <pic:spPr bwMode="auto">
                    <a:xfrm>
                      <a:off x="0" y="0"/>
                      <a:ext cx="5242201" cy="2664078"/>
                    </a:xfrm>
                    <a:prstGeom prst="rect">
                      <a:avLst/>
                    </a:prstGeom>
                    <a:ln>
                      <a:noFill/>
                    </a:ln>
                    <a:extLst>
                      <a:ext uri="{53640926-AAD7-44D8-BBD7-CCE9431645EC}">
                        <a14:shadowObscured xmlns:a14="http://schemas.microsoft.com/office/drawing/2010/main"/>
                      </a:ext>
                    </a:extLst>
                  </pic:spPr>
                </pic:pic>
              </a:graphicData>
            </a:graphic>
          </wp:inline>
        </w:drawing>
      </w:r>
    </w:p>
    <w:p w14:paraId="5B03C891" w14:textId="77777777" w:rsidR="009F242F" w:rsidRDefault="009F242F" w:rsidP="009F242F">
      <w:pPr>
        <w:pStyle w:val="TableDescription"/>
      </w:pPr>
      <w:r>
        <w:t>TEAE = t</w:t>
      </w:r>
      <w:r w:rsidRPr="009F242F">
        <w:t>reatment emergent adverse event</w:t>
      </w:r>
      <w:r>
        <w:t xml:space="preserve">, AESI = </w:t>
      </w:r>
      <w:r w:rsidRPr="009F242F">
        <w:t>adverse event of special interest</w:t>
      </w:r>
    </w:p>
    <w:p w14:paraId="3B32383F" w14:textId="51B3C3CB" w:rsidR="009B07B8" w:rsidRDefault="009B07B8" w:rsidP="009B07B8">
      <w:r w:rsidRPr="009B07B8">
        <w:t>A considerably higher proportion of subjects in trifarotene arm experienced application site irritation, pruritus and sunburn, compared to placebo</w:t>
      </w:r>
      <w:r w:rsidR="00296477">
        <w:t>, as shown in Table 24, below</w:t>
      </w:r>
      <w:r w:rsidRPr="009B07B8">
        <w:t>. Most of these events were adverse drug reactions</w:t>
      </w:r>
      <w:r w:rsidR="00296477">
        <w:t>, discussed in Table 25</w:t>
      </w:r>
      <w:r>
        <w:t>.</w:t>
      </w:r>
    </w:p>
    <w:p w14:paraId="10A48D00" w14:textId="690D5750" w:rsidR="009B07B8" w:rsidRDefault="009B07B8" w:rsidP="009B07B8">
      <w:pPr>
        <w:pStyle w:val="TableTitle"/>
      </w:pPr>
      <w:r>
        <w:t xml:space="preserve">Table </w:t>
      </w:r>
      <w:fldSimple w:instr=" SEQ Table \* ARABIC ">
        <w:r w:rsidR="00F522B3">
          <w:rPr>
            <w:noProof/>
          </w:rPr>
          <w:t>24</w:t>
        </w:r>
      </w:fldSimple>
      <w:r>
        <w:t>: Summary of treatment emergent adverse events</w:t>
      </w:r>
      <w:r w:rsidR="00296477">
        <w:t xml:space="preserve"> by System Organ Class and Preferred Term</w:t>
      </w:r>
    </w:p>
    <w:p w14:paraId="13C1F0C0" w14:textId="77777777" w:rsidR="009B07B8" w:rsidRDefault="009B07B8" w:rsidP="00A1179C">
      <w:r w:rsidRPr="0028786A">
        <w:rPr>
          <w:noProof/>
          <w:lang w:eastAsia="en-AU"/>
        </w:rPr>
        <w:drawing>
          <wp:inline distT="0" distB="0" distL="0" distR="0" wp14:anchorId="05DCF343" wp14:editId="086CF7DB">
            <wp:extent cx="5215737" cy="2307961"/>
            <wp:effectExtent l="0" t="0" r="4445" b="0"/>
            <wp:docPr id="38" name="Picture 38" descr="Summary of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7850" cy="2308896"/>
                    </a:xfrm>
                    <a:prstGeom prst="rect">
                      <a:avLst/>
                    </a:prstGeom>
                  </pic:spPr>
                </pic:pic>
              </a:graphicData>
            </a:graphic>
          </wp:inline>
        </w:drawing>
      </w:r>
    </w:p>
    <w:p w14:paraId="123DAEA0" w14:textId="77777777" w:rsidR="00227A68" w:rsidRPr="00227A68" w:rsidRDefault="00227A68" w:rsidP="00227A68">
      <w:pPr>
        <w:pStyle w:val="TableDescription"/>
      </w:pPr>
      <w:r>
        <w:t>TEAE = t</w:t>
      </w:r>
      <w:r w:rsidRPr="005D5E48">
        <w:t>reatment emergent adverse event</w:t>
      </w:r>
    </w:p>
    <w:p w14:paraId="6360DE6E" w14:textId="2923430D" w:rsidR="009B07B8" w:rsidRDefault="009B07B8" w:rsidP="009B07B8">
      <w:pPr>
        <w:pStyle w:val="TableTitle"/>
      </w:pPr>
      <w:r w:rsidRPr="009B07B8">
        <w:t xml:space="preserve">Table </w:t>
      </w:r>
      <w:fldSimple w:instr=" SEQ Table \* ARABIC ">
        <w:r w:rsidR="00F522B3">
          <w:rPr>
            <w:noProof/>
          </w:rPr>
          <w:t>25</w:t>
        </w:r>
      </w:fldSimple>
      <w:r>
        <w:t>: Adverse drug reactions</w:t>
      </w:r>
    </w:p>
    <w:p w14:paraId="1642058B" w14:textId="77777777" w:rsidR="009B07B8" w:rsidRDefault="009B07B8" w:rsidP="009B07B8">
      <w:r w:rsidRPr="0028786A">
        <w:rPr>
          <w:noProof/>
          <w:sz w:val="16"/>
          <w:lang w:eastAsia="en-AU"/>
        </w:rPr>
        <w:drawing>
          <wp:inline distT="0" distB="0" distL="0" distR="0" wp14:anchorId="576D4DF8" wp14:editId="175512E4">
            <wp:extent cx="5332780" cy="1823284"/>
            <wp:effectExtent l="0" t="0" r="1270" b="5715"/>
            <wp:docPr id="52" name="Picture 52" descr="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6085" cy="1824414"/>
                    </a:xfrm>
                    <a:prstGeom prst="rect">
                      <a:avLst/>
                    </a:prstGeom>
                  </pic:spPr>
                </pic:pic>
              </a:graphicData>
            </a:graphic>
          </wp:inline>
        </w:drawing>
      </w:r>
    </w:p>
    <w:p w14:paraId="7DDB6854" w14:textId="77777777" w:rsidR="009B07B8" w:rsidRDefault="009B07B8" w:rsidP="009B07B8">
      <w:r>
        <w:t>No deaths were reported during the study period.</w:t>
      </w:r>
    </w:p>
    <w:p w14:paraId="653E5F9D" w14:textId="34FBF391" w:rsidR="009B07B8" w:rsidRDefault="009B07B8" w:rsidP="009B07B8">
      <w:pPr>
        <w:pStyle w:val="Heading6"/>
      </w:pPr>
      <w:r>
        <w:t>Serious adverse event</w:t>
      </w:r>
      <w:r w:rsidR="00296477">
        <w:t>s</w:t>
      </w:r>
    </w:p>
    <w:p w14:paraId="24E7090A" w14:textId="77777777" w:rsidR="009B07B8" w:rsidRDefault="009B07B8" w:rsidP="009B07B8">
      <w:r>
        <w:t>None of the SAEs were considered as related to study treatment. The proportion of subjects who experienced SAEs was comparable across treatment groups (0.5% subjects).</w:t>
      </w:r>
    </w:p>
    <w:p w14:paraId="4E5299E7" w14:textId="12E8210C" w:rsidR="009B07B8" w:rsidRDefault="009B07B8" w:rsidP="009B07B8">
      <w:pPr>
        <w:pStyle w:val="Heading6"/>
      </w:pPr>
      <w:r>
        <w:t xml:space="preserve">Discontinuations due to </w:t>
      </w:r>
      <w:r w:rsidR="00296477">
        <w:t>adverse events</w:t>
      </w:r>
    </w:p>
    <w:p w14:paraId="51E70184" w14:textId="77777777" w:rsidR="009B07B8" w:rsidRDefault="009B07B8" w:rsidP="009B07B8">
      <w:r>
        <w:t>2% of subjects in trifarotene arm discontinued treatment due to an AE. 20 subjects experienced signs of local irritability. Except for one, all these events were determ</w:t>
      </w:r>
      <w:r w:rsidR="0009366D">
        <w:t>ined as related to trifarotene.</w:t>
      </w:r>
    </w:p>
    <w:p w14:paraId="2632138D" w14:textId="77777777" w:rsidR="009B07B8" w:rsidRDefault="009B07B8" w:rsidP="00227A68">
      <w:pPr>
        <w:pStyle w:val="Heading6"/>
      </w:pPr>
      <w:r>
        <w:t>Safety in 9</w:t>
      </w:r>
      <w:r w:rsidR="00A20401">
        <w:t xml:space="preserve"> to </w:t>
      </w:r>
      <w:r>
        <w:t>11 year old subjects</w:t>
      </w:r>
    </w:p>
    <w:p w14:paraId="6A24BF98" w14:textId="77777777" w:rsidR="009B07B8" w:rsidRDefault="00227A68" w:rsidP="009B07B8">
      <w:r>
        <w:t>Four</w:t>
      </w:r>
      <w:r w:rsidR="00A20401">
        <w:t xml:space="preserve"> subjects in the 9 to </w:t>
      </w:r>
      <w:r w:rsidR="009B07B8">
        <w:t>1</w:t>
      </w:r>
      <w:r w:rsidR="00A20401">
        <w:t xml:space="preserve">1 year age group reported AEs. </w:t>
      </w:r>
      <w:r w:rsidR="009B07B8">
        <w:t>No SAEs were reported.</w:t>
      </w:r>
    </w:p>
    <w:p w14:paraId="1ED70CFA" w14:textId="77777777" w:rsidR="009B07B8" w:rsidRDefault="009B07B8" w:rsidP="009B07B8">
      <w:pPr>
        <w:pStyle w:val="Heading6"/>
      </w:pPr>
      <w:r>
        <w:t>Pregnancy and lactation</w:t>
      </w:r>
    </w:p>
    <w:p w14:paraId="3B1995BB" w14:textId="77777777" w:rsidR="009B07B8" w:rsidRDefault="009B07B8" w:rsidP="009B07B8">
      <w:r>
        <w:t>12 pregnancies were reported during the clinical development programme.</w:t>
      </w:r>
    </w:p>
    <w:p w14:paraId="5F9208A3" w14:textId="6FCD2377" w:rsidR="009B07B8" w:rsidRDefault="00227A68" w:rsidP="009B07B8">
      <w:r>
        <w:t>Five miscarriages, four</w:t>
      </w:r>
      <w:r w:rsidR="0009366D">
        <w:t xml:space="preserve"> in </w:t>
      </w:r>
      <w:r w:rsidR="00296477">
        <w:t xml:space="preserve">the </w:t>
      </w:r>
      <w:r w:rsidR="0009366D">
        <w:t xml:space="preserve">trifarotene arm and one in </w:t>
      </w:r>
      <w:r w:rsidR="00296477">
        <w:t>vehicle arm</w:t>
      </w:r>
      <w:r w:rsidR="0009366D">
        <w:t xml:space="preserve"> were reported. Four</w:t>
      </w:r>
      <w:r w:rsidR="009B07B8">
        <w:t xml:space="preserve"> normal del</w:t>
      </w:r>
      <w:r>
        <w:t>iveries, one</w:t>
      </w:r>
      <w:r w:rsidR="009B07B8">
        <w:t xml:space="preserve"> elective </w:t>
      </w:r>
      <w:r w:rsidR="00296477">
        <w:t xml:space="preserve">termination of pregnancy </w:t>
      </w:r>
      <w:r w:rsidR="009B07B8">
        <w:t xml:space="preserve">in a </w:t>
      </w:r>
      <w:r>
        <w:t>subject exposed to vehicle and two</w:t>
      </w:r>
      <w:r w:rsidR="009B07B8">
        <w:t xml:space="preserve"> pregnancies with unknown outcomes due to loss of follow-up were reported. Miscarriages were not considered as related to treatment with trifarotene.</w:t>
      </w:r>
    </w:p>
    <w:p w14:paraId="00625007" w14:textId="77777777" w:rsidR="009B07B8" w:rsidRDefault="009B07B8" w:rsidP="009B07B8">
      <w:pPr>
        <w:pStyle w:val="Heading5"/>
      </w:pPr>
      <w:r w:rsidRPr="009B07B8">
        <w:t>Pool 2: Healthy volunteers</w:t>
      </w:r>
    </w:p>
    <w:p w14:paraId="56A4C4DA" w14:textId="31627EDF" w:rsidR="009B07B8" w:rsidRDefault="009B07B8" w:rsidP="009B07B8">
      <w:r w:rsidRPr="009B07B8">
        <w:t>340 subjects were administered trifarotene and 116 subjects received vehicle. 97.9% of</w:t>
      </w:r>
      <w:r w:rsidR="00227A68">
        <w:t xml:space="preserve"> subjects completed the study. </w:t>
      </w:r>
      <w:r w:rsidRPr="009B07B8">
        <w:t>A higher proportion of subjects in the trifarotene arm exper</w:t>
      </w:r>
      <w:r w:rsidR="00227A68">
        <w:t>ienced at least one</w:t>
      </w:r>
      <w:r w:rsidR="00A20401">
        <w:t xml:space="preserve"> AE (around 80 to </w:t>
      </w:r>
      <w:r w:rsidRPr="009B07B8">
        <w:t xml:space="preserve">90%), compared to </w:t>
      </w:r>
      <w:r w:rsidR="00296477">
        <w:t>the vehicle</w:t>
      </w:r>
      <w:r w:rsidR="00296477" w:rsidRPr="009B07B8">
        <w:t xml:space="preserve"> </w:t>
      </w:r>
      <w:r w:rsidRPr="009B07B8">
        <w:t>arm (around 20%). Skin irritation, erythema, pruritus were the common AEs, and were considered to be related to trifarotene.</w:t>
      </w:r>
    </w:p>
    <w:p w14:paraId="0A20D4C3" w14:textId="77777777" w:rsidR="009B07B8" w:rsidRDefault="009B07B8" w:rsidP="009B07B8">
      <w:pPr>
        <w:pStyle w:val="Heading5"/>
      </w:pPr>
      <w:r w:rsidRPr="009B07B8">
        <w:t>Pool 3: Subjects with acne vulgaris who were treated with various types of trifarotene preparations and strengths</w:t>
      </w:r>
    </w:p>
    <w:p w14:paraId="288EFE7B" w14:textId="44658A52" w:rsidR="009B07B8" w:rsidRPr="009B07B8" w:rsidRDefault="009B07B8" w:rsidP="009B07B8">
      <w:pPr>
        <w:rPr>
          <w:lang w:eastAsia="ja-JP"/>
        </w:rPr>
      </w:pPr>
      <w:r w:rsidRPr="00717251">
        <w:rPr>
          <w:lang w:eastAsia="ja-JP"/>
        </w:rPr>
        <w:t>The proportions of subjects who reported AEs and treatment-related AEs were higher in the trifarotene 100</w:t>
      </w:r>
      <w:r w:rsidR="00227A68">
        <w:rPr>
          <w:lang w:eastAsia="ja-JP"/>
        </w:rPr>
        <w:t xml:space="preserve"> </w:t>
      </w:r>
      <w:r w:rsidRPr="00717251">
        <w:rPr>
          <w:lang w:eastAsia="ja-JP"/>
        </w:rPr>
        <w:t>μg/g cream concentration (46.3% and 28.4%, respectively) v</w:t>
      </w:r>
      <w:r w:rsidR="00227A68">
        <w:rPr>
          <w:lang w:eastAsia="ja-JP"/>
        </w:rPr>
        <w:t>er</w:t>
      </w:r>
      <w:r w:rsidRPr="00717251">
        <w:rPr>
          <w:lang w:eastAsia="ja-JP"/>
        </w:rPr>
        <w:t>s</w:t>
      </w:r>
      <w:r w:rsidR="00227A68">
        <w:rPr>
          <w:lang w:eastAsia="ja-JP"/>
        </w:rPr>
        <w:t>us</w:t>
      </w:r>
      <w:r w:rsidRPr="00717251">
        <w:rPr>
          <w:lang w:eastAsia="ja-JP"/>
        </w:rPr>
        <w:t xml:space="preserve"> the 50</w:t>
      </w:r>
      <w:r w:rsidR="00227A68">
        <w:rPr>
          <w:lang w:eastAsia="ja-JP"/>
        </w:rPr>
        <w:t xml:space="preserve"> </w:t>
      </w:r>
      <w:r w:rsidRPr="00717251">
        <w:rPr>
          <w:lang w:eastAsia="ja-JP"/>
        </w:rPr>
        <w:t>μg/g cream (32.9% and 12.2%, respectively) and 25</w:t>
      </w:r>
      <w:r w:rsidR="00227A68">
        <w:rPr>
          <w:lang w:eastAsia="ja-JP"/>
        </w:rPr>
        <w:t xml:space="preserve"> </w:t>
      </w:r>
      <w:r w:rsidRPr="00717251">
        <w:rPr>
          <w:lang w:eastAsia="ja-JP"/>
        </w:rPr>
        <w:t>μg/g cream (26.2% and 3.3%, respectively</w:t>
      </w:r>
      <w:r>
        <w:rPr>
          <w:lang w:eastAsia="ja-JP"/>
        </w:rPr>
        <w:t>)</w:t>
      </w:r>
      <w:r w:rsidRPr="00717251">
        <w:rPr>
          <w:lang w:eastAsia="ja-JP"/>
        </w:rPr>
        <w:t>.</w:t>
      </w:r>
      <w:r>
        <w:rPr>
          <w:lang w:eastAsia="ja-JP"/>
        </w:rPr>
        <w:t xml:space="preserve"> An increased incidence of AEs were reported in</w:t>
      </w:r>
      <w:r w:rsidR="00296477">
        <w:rPr>
          <w:lang w:eastAsia="ja-JP"/>
        </w:rPr>
        <w:t xml:space="preserve"> the</w:t>
      </w:r>
      <w:r>
        <w:rPr>
          <w:lang w:eastAsia="ja-JP"/>
        </w:rPr>
        <w:t xml:space="preserve"> trifarotene arm, compared to </w:t>
      </w:r>
      <w:r w:rsidR="00296477">
        <w:rPr>
          <w:lang w:eastAsia="ja-JP"/>
        </w:rPr>
        <w:t>the vehicle</w:t>
      </w:r>
      <w:r>
        <w:rPr>
          <w:lang w:eastAsia="ja-JP"/>
        </w:rPr>
        <w:t xml:space="preserve"> arm. The proportion of subjects with AEs increased with progression of study.</w:t>
      </w:r>
    </w:p>
    <w:p w14:paraId="10C56CA9" w14:textId="77777777" w:rsidR="008E7846" w:rsidRDefault="00386150" w:rsidP="007B6132">
      <w:pPr>
        <w:pStyle w:val="Heading3"/>
        <w:rPr>
          <w:lang w:eastAsia="en-AU"/>
        </w:rPr>
      </w:pPr>
      <w:bookmarkStart w:id="42" w:name="_Toc67320890"/>
      <w:r>
        <w:rPr>
          <w:lang w:eastAsia="en-AU"/>
        </w:rPr>
        <w:t>Risk m</w:t>
      </w:r>
      <w:r w:rsidR="008E7846">
        <w:rPr>
          <w:lang w:eastAsia="en-AU"/>
        </w:rPr>
        <w:t xml:space="preserve">anagement </w:t>
      </w:r>
      <w:r>
        <w:rPr>
          <w:lang w:eastAsia="en-AU"/>
        </w:rPr>
        <w:t>p</w:t>
      </w:r>
      <w:r w:rsidR="008E7846">
        <w:rPr>
          <w:lang w:eastAsia="en-AU"/>
        </w:rPr>
        <w:t>lan</w:t>
      </w:r>
      <w:bookmarkEnd w:id="41"/>
      <w:bookmarkEnd w:id="42"/>
    </w:p>
    <w:p w14:paraId="00E636D0" w14:textId="5555E621" w:rsidR="007D53B6" w:rsidRDefault="00296477" w:rsidP="001F20B4">
      <w:r>
        <w:t>The sponsor</w:t>
      </w:r>
      <w:r w:rsidR="00227A68">
        <w:t xml:space="preserve"> has submitted EU-risk management plan (R</w:t>
      </w:r>
      <w:r w:rsidR="001F20B4" w:rsidRPr="001F20B4">
        <w:t>MP</w:t>
      </w:r>
      <w:r w:rsidR="00227A68">
        <w:t>)</w:t>
      </w:r>
      <w:r w:rsidR="001F20B4" w:rsidRPr="001F20B4">
        <w:t xml:space="preserve"> version 1.3 (dated 9 Decembe</w:t>
      </w:r>
      <w:r w:rsidR="00227A68">
        <w:t xml:space="preserve">r 2019; </w:t>
      </w:r>
      <w:r w:rsidR="0009366D">
        <w:t>data lock point (</w:t>
      </w:r>
      <w:r w:rsidR="00227A68">
        <w:t>DLP</w:t>
      </w:r>
      <w:r w:rsidR="0009366D">
        <w:t>)</w:t>
      </w:r>
      <w:r w:rsidR="00227A68">
        <w:t xml:space="preserve"> 14 March 2018) and Australia specific annex (A</w:t>
      </w:r>
      <w:r w:rsidR="001F20B4" w:rsidRPr="001F20B4">
        <w:t>SA</w:t>
      </w:r>
      <w:r w:rsidR="00227A68">
        <w:t>)</w:t>
      </w:r>
      <w:r w:rsidR="001F20B4" w:rsidRPr="001F20B4">
        <w:t xml:space="preserve"> version 1.0 (dated March 2020) in support of this application. </w:t>
      </w:r>
      <w:r w:rsidR="001F20B4">
        <w:t>In response to TGA questions</w:t>
      </w:r>
      <w:r w:rsidR="001F20B4" w:rsidRPr="001F20B4">
        <w:t>, the sponsor provided an updated ASA version 1.1 (dated August 2020).</w:t>
      </w:r>
    </w:p>
    <w:p w14:paraId="1AD16B82" w14:textId="2B7AB59B" w:rsidR="007D53B6" w:rsidRDefault="007D53B6" w:rsidP="007D53B6">
      <w:r>
        <w:t>The summary of safety concerns and their associated risk monitoring and mitigation strat</w:t>
      </w:r>
      <w:r w:rsidR="0093475C">
        <w:t>egies are summarised in</w:t>
      </w:r>
      <w:r w:rsidR="00296477">
        <w:t xml:space="preserve"> Table 26</w:t>
      </w:r>
      <w:r>
        <w:t>.</w:t>
      </w:r>
      <w:r>
        <w:rPr>
          <w:rStyle w:val="FootnoteReference"/>
        </w:rPr>
        <w:footnoteReference w:id="10"/>
      </w:r>
    </w:p>
    <w:p w14:paraId="6F161891" w14:textId="3FE07BFA" w:rsidR="0093475C" w:rsidRDefault="0093475C" w:rsidP="0093475C">
      <w:pPr>
        <w:pStyle w:val="TableTitle"/>
      </w:pPr>
      <w:bookmarkStart w:id="43" w:name="_Ref64892394"/>
      <w:r w:rsidRPr="0093475C">
        <w:t xml:space="preserve">Table </w:t>
      </w:r>
      <w:fldSimple w:instr=" SEQ Table \* ARABIC ">
        <w:r w:rsidR="00F522B3">
          <w:rPr>
            <w:noProof/>
          </w:rPr>
          <w:t>26</w:t>
        </w:r>
      </w:fldSimple>
      <w:bookmarkEnd w:id="43"/>
      <w:r>
        <w:t>: Summary of safety concerns</w:t>
      </w:r>
    </w:p>
    <w:tbl>
      <w:tblPr>
        <w:tblStyle w:val="TableTGAblue"/>
        <w:tblW w:w="8524" w:type="dxa"/>
        <w:tblLayout w:type="fixed"/>
        <w:tblLook w:val="04A0" w:firstRow="1" w:lastRow="0" w:firstColumn="1" w:lastColumn="0" w:noHBand="0" w:noVBand="1"/>
      </w:tblPr>
      <w:tblGrid>
        <w:gridCol w:w="1526"/>
        <w:gridCol w:w="1843"/>
        <w:gridCol w:w="1239"/>
        <w:gridCol w:w="1312"/>
        <w:gridCol w:w="1298"/>
        <w:gridCol w:w="1306"/>
      </w:tblGrid>
      <w:tr w:rsidR="001F20B4" w:rsidRPr="00BF52F4" w14:paraId="421E9D1E" w14:textId="77777777" w:rsidTr="000C0615">
        <w:trPr>
          <w:cnfStyle w:val="100000000000" w:firstRow="1" w:lastRow="0" w:firstColumn="0" w:lastColumn="0" w:oddVBand="0" w:evenVBand="0" w:oddHBand="0" w:evenHBand="0" w:firstRowFirstColumn="0" w:firstRowLastColumn="0" w:lastRowFirstColumn="0" w:lastRowLastColumn="0"/>
          <w:trHeight w:val="112"/>
        </w:trPr>
        <w:tc>
          <w:tcPr>
            <w:tcW w:w="3369" w:type="dxa"/>
            <w:gridSpan w:val="2"/>
            <w:vMerge w:val="restart"/>
            <w:tcBorders>
              <w:right w:val="single" w:sz="4" w:space="0" w:color="auto"/>
            </w:tcBorders>
          </w:tcPr>
          <w:p w14:paraId="3DB95CD0" w14:textId="77777777" w:rsidR="001F20B4" w:rsidRPr="00F44F8F" w:rsidRDefault="001F20B4" w:rsidP="00F90AF0">
            <w:pPr>
              <w:pStyle w:val="Tabletext"/>
            </w:pPr>
            <w:r w:rsidRPr="00F44F8F">
              <w:t>Summary of safety concerns</w:t>
            </w:r>
          </w:p>
        </w:tc>
        <w:tc>
          <w:tcPr>
            <w:tcW w:w="2551" w:type="dxa"/>
            <w:gridSpan w:val="2"/>
            <w:tcBorders>
              <w:top w:val="single" w:sz="4" w:space="0" w:color="auto"/>
              <w:left w:val="single" w:sz="4" w:space="0" w:color="auto"/>
              <w:bottom w:val="single" w:sz="4" w:space="0" w:color="auto"/>
              <w:right w:val="single" w:sz="4" w:space="0" w:color="auto"/>
            </w:tcBorders>
          </w:tcPr>
          <w:p w14:paraId="0B2A699D" w14:textId="77777777" w:rsidR="001F20B4" w:rsidRPr="00F44F8F" w:rsidRDefault="001F20B4" w:rsidP="00F90AF0">
            <w:pPr>
              <w:pStyle w:val="Tabletext"/>
              <w:rPr>
                <w:sz w:val="18"/>
              </w:rPr>
            </w:pPr>
            <w:r w:rsidRPr="00F44F8F">
              <w:rPr>
                <w:sz w:val="18"/>
              </w:rPr>
              <w:t>Pharmacovigilance</w:t>
            </w:r>
          </w:p>
        </w:tc>
        <w:tc>
          <w:tcPr>
            <w:tcW w:w="2604" w:type="dxa"/>
            <w:gridSpan w:val="2"/>
            <w:tcBorders>
              <w:top w:val="single" w:sz="4" w:space="0" w:color="auto"/>
              <w:left w:val="single" w:sz="4" w:space="0" w:color="auto"/>
              <w:bottom w:val="single" w:sz="4" w:space="0" w:color="auto"/>
              <w:right w:val="single" w:sz="4" w:space="0" w:color="auto"/>
            </w:tcBorders>
          </w:tcPr>
          <w:p w14:paraId="75225B89" w14:textId="77777777" w:rsidR="001F20B4" w:rsidRPr="00F44F8F" w:rsidRDefault="001F20B4" w:rsidP="00F90AF0">
            <w:pPr>
              <w:pStyle w:val="Tabletext"/>
              <w:rPr>
                <w:sz w:val="18"/>
              </w:rPr>
            </w:pPr>
            <w:r w:rsidRPr="00F44F8F">
              <w:rPr>
                <w:sz w:val="18"/>
              </w:rPr>
              <w:t>Risk Minimisation</w:t>
            </w:r>
          </w:p>
        </w:tc>
      </w:tr>
      <w:tr w:rsidR="001F20B4" w:rsidRPr="00BF52F4" w14:paraId="0BE2E623" w14:textId="77777777" w:rsidTr="00760AEE">
        <w:trPr>
          <w:trHeight w:val="771"/>
        </w:trPr>
        <w:tc>
          <w:tcPr>
            <w:tcW w:w="3369" w:type="dxa"/>
            <w:gridSpan w:val="2"/>
            <w:vMerge/>
            <w:tcBorders>
              <w:right w:val="single" w:sz="4" w:space="0" w:color="auto"/>
            </w:tcBorders>
            <w:shd w:val="clear" w:color="auto" w:fill="006DA7"/>
          </w:tcPr>
          <w:p w14:paraId="2B7E559A" w14:textId="77777777" w:rsidR="001F20B4" w:rsidRPr="00F44F8F" w:rsidRDefault="001F20B4" w:rsidP="00F90AF0">
            <w:pPr>
              <w:pStyle w:val="Tabletext"/>
              <w:rPr>
                <w:b/>
              </w:rPr>
            </w:pPr>
          </w:p>
        </w:tc>
        <w:tc>
          <w:tcPr>
            <w:tcW w:w="1239" w:type="dxa"/>
            <w:tcBorders>
              <w:top w:val="single" w:sz="4" w:space="0" w:color="auto"/>
              <w:left w:val="single" w:sz="4" w:space="0" w:color="auto"/>
              <w:bottom w:val="single" w:sz="4" w:space="0" w:color="auto"/>
              <w:right w:val="single" w:sz="4" w:space="0" w:color="auto"/>
            </w:tcBorders>
            <w:shd w:val="clear" w:color="auto" w:fill="006DA7"/>
          </w:tcPr>
          <w:p w14:paraId="28A6B649" w14:textId="77777777" w:rsidR="001F20B4" w:rsidRPr="00F44F8F" w:rsidRDefault="001F20B4" w:rsidP="00F90AF0">
            <w:pPr>
              <w:pStyle w:val="Tabletext"/>
              <w:rPr>
                <w:b/>
                <w:color w:val="FFFFFF" w:themeColor="background1"/>
                <w:sz w:val="18"/>
              </w:rPr>
            </w:pPr>
            <w:r w:rsidRPr="00F44F8F">
              <w:rPr>
                <w:b/>
                <w:color w:val="FFFFFF" w:themeColor="background1"/>
                <w:sz w:val="18"/>
              </w:rPr>
              <w:t>Routine</w:t>
            </w:r>
          </w:p>
        </w:tc>
        <w:tc>
          <w:tcPr>
            <w:tcW w:w="1312" w:type="dxa"/>
            <w:tcBorders>
              <w:top w:val="single" w:sz="4" w:space="0" w:color="auto"/>
              <w:left w:val="single" w:sz="4" w:space="0" w:color="auto"/>
              <w:bottom w:val="single" w:sz="4" w:space="0" w:color="auto"/>
              <w:right w:val="single" w:sz="4" w:space="0" w:color="auto"/>
            </w:tcBorders>
            <w:shd w:val="clear" w:color="auto" w:fill="006DA7"/>
          </w:tcPr>
          <w:p w14:paraId="1EABD0FC" w14:textId="77777777" w:rsidR="001F20B4" w:rsidRPr="00F44F8F" w:rsidRDefault="001F20B4" w:rsidP="00760AEE">
            <w:pPr>
              <w:pStyle w:val="Tabletext"/>
              <w:ind w:left="0"/>
              <w:rPr>
                <w:b/>
                <w:color w:val="FFFFFF" w:themeColor="background1"/>
                <w:sz w:val="18"/>
              </w:rPr>
            </w:pPr>
            <w:r w:rsidRPr="00F44F8F">
              <w:rPr>
                <w:b/>
                <w:color w:val="FFFFFF" w:themeColor="background1"/>
                <w:sz w:val="18"/>
              </w:rPr>
              <w:t>Additional</w:t>
            </w:r>
          </w:p>
        </w:tc>
        <w:tc>
          <w:tcPr>
            <w:tcW w:w="1298" w:type="dxa"/>
            <w:tcBorders>
              <w:top w:val="single" w:sz="4" w:space="0" w:color="auto"/>
              <w:left w:val="single" w:sz="4" w:space="0" w:color="auto"/>
              <w:bottom w:val="single" w:sz="4" w:space="0" w:color="auto"/>
              <w:right w:val="single" w:sz="4" w:space="0" w:color="auto"/>
            </w:tcBorders>
            <w:shd w:val="clear" w:color="auto" w:fill="006DA7"/>
          </w:tcPr>
          <w:p w14:paraId="407D0B72" w14:textId="77777777" w:rsidR="001F20B4" w:rsidRPr="00F44F8F" w:rsidRDefault="001F20B4" w:rsidP="00F90AF0">
            <w:pPr>
              <w:pStyle w:val="Tabletext"/>
              <w:rPr>
                <w:b/>
                <w:color w:val="FFFFFF" w:themeColor="background1"/>
                <w:sz w:val="18"/>
              </w:rPr>
            </w:pPr>
            <w:r w:rsidRPr="00F44F8F">
              <w:rPr>
                <w:b/>
                <w:color w:val="FFFFFF" w:themeColor="background1"/>
                <w:sz w:val="18"/>
              </w:rPr>
              <w:t>Routine</w:t>
            </w:r>
          </w:p>
        </w:tc>
        <w:tc>
          <w:tcPr>
            <w:tcW w:w="1306" w:type="dxa"/>
            <w:tcBorders>
              <w:top w:val="single" w:sz="4" w:space="0" w:color="auto"/>
              <w:left w:val="single" w:sz="4" w:space="0" w:color="auto"/>
              <w:bottom w:val="single" w:sz="4" w:space="0" w:color="auto"/>
              <w:right w:val="single" w:sz="4" w:space="0" w:color="auto"/>
            </w:tcBorders>
            <w:shd w:val="clear" w:color="auto" w:fill="006DA7"/>
          </w:tcPr>
          <w:p w14:paraId="182CDB39" w14:textId="77777777" w:rsidR="001F20B4" w:rsidRPr="00F44F8F" w:rsidRDefault="001F20B4" w:rsidP="00760AEE">
            <w:pPr>
              <w:pStyle w:val="Tabletext"/>
              <w:ind w:left="0"/>
              <w:rPr>
                <w:b/>
                <w:color w:val="FFFFFF" w:themeColor="background1"/>
                <w:sz w:val="18"/>
              </w:rPr>
            </w:pPr>
            <w:r w:rsidRPr="00F44F8F">
              <w:rPr>
                <w:b/>
                <w:color w:val="FFFFFF" w:themeColor="background1"/>
                <w:sz w:val="18"/>
              </w:rPr>
              <w:t>Additional</w:t>
            </w:r>
          </w:p>
        </w:tc>
      </w:tr>
      <w:tr w:rsidR="001F20B4" w:rsidRPr="00BF52F4" w14:paraId="12C072CF" w14:textId="77777777" w:rsidTr="00760AEE">
        <w:trPr>
          <w:trHeight w:val="118"/>
        </w:trPr>
        <w:tc>
          <w:tcPr>
            <w:tcW w:w="1526" w:type="dxa"/>
          </w:tcPr>
          <w:p w14:paraId="1AA38AAF" w14:textId="77777777" w:rsidR="001F20B4" w:rsidRPr="00BF52F4" w:rsidRDefault="001F20B4" w:rsidP="0093475C">
            <w:pPr>
              <w:pStyle w:val="Tabletext"/>
              <w:ind w:left="0"/>
              <w:rPr>
                <w:b/>
              </w:rPr>
            </w:pPr>
            <w:r w:rsidRPr="00BF52F4">
              <w:rPr>
                <w:b/>
              </w:rPr>
              <w:t>Important identified risks</w:t>
            </w:r>
          </w:p>
        </w:tc>
        <w:tc>
          <w:tcPr>
            <w:tcW w:w="1843" w:type="dxa"/>
          </w:tcPr>
          <w:p w14:paraId="0F0C175F" w14:textId="77777777" w:rsidR="001F20B4" w:rsidRPr="00BF52F4" w:rsidRDefault="001F20B4" w:rsidP="0093475C">
            <w:pPr>
              <w:pStyle w:val="Tabletext"/>
              <w:ind w:left="0"/>
            </w:pPr>
            <w:r>
              <w:t>None</w:t>
            </w:r>
          </w:p>
        </w:tc>
        <w:tc>
          <w:tcPr>
            <w:tcW w:w="1239" w:type="dxa"/>
            <w:tcBorders>
              <w:top w:val="single" w:sz="4" w:space="0" w:color="auto"/>
            </w:tcBorders>
          </w:tcPr>
          <w:p w14:paraId="5DE9490A" w14:textId="77777777" w:rsidR="001F20B4" w:rsidRPr="0065583D" w:rsidRDefault="001F20B4" w:rsidP="00F90AF0">
            <w:pPr>
              <w:pStyle w:val="Tabletext"/>
              <w:jc w:val="center"/>
            </w:pPr>
          </w:p>
        </w:tc>
        <w:tc>
          <w:tcPr>
            <w:tcW w:w="1312" w:type="dxa"/>
            <w:tcBorders>
              <w:top w:val="single" w:sz="4" w:space="0" w:color="auto"/>
            </w:tcBorders>
          </w:tcPr>
          <w:p w14:paraId="59A3E0F1" w14:textId="77777777" w:rsidR="001F20B4" w:rsidRPr="0065583D" w:rsidRDefault="001F20B4" w:rsidP="00F90AF0">
            <w:pPr>
              <w:pStyle w:val="Tabletext"/>
              <w:jc w:val="center"/>
            </w:pPr>
          </w:p>
        </w:tc>
        <w:tc>
          <w:tcPr>
            <w:tcW w:w="1298" w:type="dxa"/>
            <w:tcBorders>
              <w:top w:val="single" w:sz="4" w:space="0" w:color="auto"/>
            </w:tcBorders>
          </w:tcPr>
          <w:p w14:paraId="7EF9755C" w14:textId="77777777" w:rsidR="001F20B4" w:rsidRPr="0065583D" w:rsidRDefault="001F20B4" w:rsidP="00F90AF0">
            <w:pPr>
              <w:pStyle w:val="Tabletext"/>
              <w:jc w:val="center"/>
            </w:pPr>
          </w:p>
        </w:tc>
        <w:tc>
          <w:tcPr>
            <w:tcW w:w="1306" w:type="dxa"/>
            <w:tcBorders>
              <w:top w:val="single" w:sz="4" w:space="0" w:color="auto"/>
            </w:tcBorders>
          </w:tcPr>
          <w:p w14:paraId="43183545" w14:textId="77777777" w:rsidR="001F20B4" w:rsidRPr="0065583D" w:rsidRDefault="001F20B4" w:rsidP="00F90AF0">
            <w:pPr>
              <w:pStyle w:val="Tabletext"/>
              <w:jc w:val="center"/>
            </w:pPr>
          </w:p>
        </w:tc>
      </w:tr>
      <w:tr w:rsidR="001F20B4" w:rsidRPr="00BF52F4" w14:paraId="6E3D0FE1" w14:textId="77777777" w:rsidTr="00760AEE">
        <w:trPr>
          <w:trHeight w:val="137"/>
        </w:trPr>
        <w:tc>
          <w:tcPr>
            <w:tcW w:w="1526" w:type="dxa"/>
          </w:tcPr>
          <w:p w14:paraId="7C012166" w14:textId="77777777" w:rsidR="001F20B4" w:rsidRPr="00BF52F4" w:rsidRDefault="001F20B4" w:rsidP="0093475C">
            <w:pPr>
              <w:pStyle w:val="Tabletext"/>
              <w:ind w:left="0"/>
              <w:rPr>
                <w:b/>
              </w:rPr>
            </w:pPr>
            <w:r w:rsidRPr="00BF52F4">
              <w:rPr>
                <w:b/>
              </w:rPr>
              <w:t>Important potential risks</w:t>
            </w:r>
          </w:p>
        </w:tc>
        <w:tc>
          <w:tcPr>
            <w:tcW w:w="1843" w:type="dxa"/>
          </w:tcPr>
          <w:p w14:paraId="526B3AB8" w14:textId="77777777" w:rsidR="001F20B4" w:rsidRPr="00BF52F4" w:rsidRDefault="001F20B4" w:rsidP="0093475C">
            <w:pPr>
              <w:pStyle w:val="Tabletext"/>
              <w:ind w:left="0"/>
            </w:pPr>
            <w:r w:rsidRPr="0000533D">
              <w:t>Teratogenicity: safety during pregnanc</w:t>
            </w:r>
            <w:r>
              <w:t>y</w:t>
            </w:r>
          </w:p>
        </w:tc>
        <w:tc>
          <w:tcPr>
            <w:tcW w:w="1239" w:type="dxa"/>
          </w:tcPr>
          <w:p w14:paraId="76B877A3" w14:textId="77777777" w:rsidR="001F20B4" w:rsidRPr="0065583D" w:rsidRDefault="001F20B4" w:rsidP="00F90AF0">
            <w:pPr>
              <w:pStyle w:val="Tabletext"/>
              <w:jc w:val="center"/>
            </w:pPr>
            <w:r w:rsidRPr="0065583D">
              <w:sym w:font="Wingdings" w:char="F0FC"/>
            </w:r>
            <w:r w:rsidRPr="00D95E85">
              <w:rPr>
                <w:rFonts w:asciiTheme="majorHAnsi" w:hAnsiTheme="majorHAnsi"/>
                <w:szCs w:val="20"/>
              </w:rPr>
              <w:t>*</w:t>
            </w:r>
          </w:p>
        </w:tc>
        <w:tc>
          <w:tcPr>
            <w:tcW w:w="1312" w:type="dxa"/>
          </w:tcPr>
          <w:p w14:paraId="1DD29D68" w14:textId="77777777" w:rsidR="001F20B4" w:rsidRPr="0065583D" w:rsidRDefault="001F20B4" w:rsidP="00F90AF0">
            <w:pPr>
              <w:pStyle w:val="Tabletext"/>
              <w:jc w:val="center"/>
            </w:pPr>
            <w:r w:rsidRPr="0065583D">
              <w:t>–</w:t>
            </w:r>
          </w:p>
        </w:tc>
        <w:tc>
          <w:tcPr>
            <w:tcW w:w="1298" w:type="dxa"/>
          </w:tcPr>
          <w:p w14:paraId="33ED558E" w14:textId="77777777" w:rsidR="001F20B4" w:rsidRPr="0065583D" w:rsidRDefault="001F20B4" w:rsidP="00F90AF0">
            <w:pPr>
              <w:pStyle w:val="Tabletext"/>
              <w:jc w:val="center"/>
            </w:pPr>
            <w:r w:rsidRPr="0065583D">
              <w:sym w:font="Wingdings" w:char="F0FC"/>
            </w:r>
          </w:p>
        </w:tc>
        <w:tc>
          <w:tcPr>
            <w:tcW w:w="1306" w:type="dxa"/>
          </w:tcPr>
          <w:p w14:paraId="32F7F9F6" w14:textId="77777777" w:rsidR="001F20B4" w:rsidRPr="0065583D" w:rsidRDefault="001F20B4" w:rsidP="00F90AF0">
            <w:pPr>
              <w:pStyle w:val="Tabletext"/>
              <w:jc w:val="center"/>
            </w:pPr>
            <w:r w:rsidRPr="0065583D">
              <w:t>–</w:t>
            </w:r>
          </w:p>
        </w:tc>
      </w:tr>
      <w:tr w:rsidR="001F20B4" w:rsidRPr="00BF52F4" w14:paraId="07F3D3E6" w14:textId="77777777" w:rsidTr="00760AEE">
        <w:trPr>
          <w:trHeight w:val="153"/>
        </w:trPr>
        <w:tc>
          <w:tcPr>
            <w:tcW w:w="1526" w:type="dxa"/>
            <w:vMerge w:val="restart"/>
          </w:tcPr>
          <w:p w14:paraId="37972FD0" w14:textId="77777777" w:rsidR="001F20B4" w:rsidRPr="00BF52F4" w:rsidRDefault="0093475C" w:rsidP="0093475C">
            <w:pPr>
              <w:pStyle w:val="Tabletext"/>
              <w:ind w:left="0"/>
              <w:rPr>
                <w:b/>
              </w:rPr>
            </w:pPr>
            <w:r>
              <w:rPr>
                <w:b/>
              </w:rPr>
              <w:t>Missing informatio</w:t>
            </w:r>
            <w:r w:rsidR="001F20B4" w:rsidRPr="00BF52F4">
              <w:rPr>
                <w:b/>
              </w:rPr>
              <w:t>n</w:t>
            </w:r>
          </w:p>
        </w:tc>
        <w:tc>
          <w:tcPr>
            <w:tcW w:w="1843" w:type="dxa"/>
          </w:tcPr>
          <w:p w14:paraId="3E1208D1" w14:textId="3EE9A4DD" w:rsidR="001F20B4" w:rsidRPr="00BF52F4" w:rsidRDefault="001F20B4" w:rsidP="0093475C">
            <w:pPr>
              <w:pStyle w:val="Tabletext"/>
              <w:ind w:left="0"/>
            </w:pPr>
            <w:r w:rsidRPr="0000533D">
              <w:t>Use longer than 1</w:t>
            </w:r>
            <w:r w:rsidR="00296477">
              <w:t> </w:t>
            </w:r>
            <w:r w:rsidRPr="0000533D">
              <w:t>year</w:t>
            </w:r>
          </w:p>
        </w:tc>
        <w:tc>
          <w:tcPr>
            <w:tcW w:w="1239" w:type="dxa"/>
          </w:tcPr>
          <w:p w14:paraId="54E913FD" w14:textId="77777777" w:rsidR="001F20B4" w:rsidRPr="0065583D" w:rsidRDefault="001F20B4" w:rsidP="00F90AF0">
            <w:pPr>
              <w:pStyle w:val="Tabletext"/>
              <w:jc w:val="center"/>
            </w:pPr>
            <w:r w:rsidRPr="0065583D">
              <w:sym w:font="Wingdings" w:char="F0FC"/>
            </w:r>
          </w:p>
        </w:tc>
        <w:tc>
          <w:tcPr>
            <w:tcW w:w="1312" w:type="dxa"/>
          </w:tcPr>
          <w:p w14:paraId="0CB0B77E" w14:textId="77777777" w:rsidR="001F20B4" w:rsidRPr="0065583D" w:rsidRDefault="001F20B4" w:rsidP="00F90AF0">
            <w:pPr>
              <w:pStyle w:val="Tabletext"/>
              <w:jc w:val="center"/>
            </w:pPr>
            <w:r w:rsidRPr="0065583D">
              <w:t>–</w:t>
            </w:r>
          </w:p>
        </w:tc>
        <w:tc>
          <w:tcPr>
            <w:tcW w:w="1298" w:type="dxa"/>
          </w:tcPr>
          <w:p w14:paraId="727C036F" w14:textId="77777777" w:rsidR="001F20B4" w:rsidRPr="0065583D" w:rsidRDefault="001F20B4" w:rsidP="00F90AF0">
            <w:pPr>
              <w:pStyle w:val="Tabletext"/>
              <w:jc w:val="center"/>
            </w:pPr>
            <w:r w:rsidRPr="0065583D">
              <w:sym w:font="Wingdings" w:char="F0FC"/>
            </w:r>
          </w:p>
        </w:tc>
        <w:tc>
          <w:tcPr>
            <w:tcW w:w="1306" w:type="dxa"/>
          </w:tcPr>
          <w:p w14:paraId="1A9CAF0A" w14:textId="77777777" w:rsidR="001F20B4" w:rsidRPr="0065583D" w:rsidRDefault="001F20B4" w:rsidP="00F90AF0">
            <w:pPr>
              <w:pStyle w:val="Tabletext"/>
              <w:jc w:val="center"/>
            </w:pPr>
            <w:r w:rsidRPr="0065583D">
              <w:t>–</w:t>
            </w:r>
          </w:p>
        </w:tc>
      </w:tr>
      <w:tr w:rsidR="001F20B4" w:rsidRPr="00BF52F4" w14:paraId="38565B8E" w14:textId="77777777" w:rsidTr="00760AEE">
        <w:trPr>
          <w:trHeight w:val="120"/>
        </w:trPr>
        <w:tc>
          <w:tcPr>
            <w:tcW w:w="1526" w:type="dxa"/>
            <w:vMerge/>
          </w:tcPr>
          <w:p w14:paraId="3014DA0D" w14:textId="77777777" w:rsidR="001F20B4" w:rsidRPr="00BF52F4" w:rsidRDefault="001F20B4" w:rsidP="00F90AF0">
            <w:pPr>
              <w:pStyle w:val="Tabletext"/>
            </w:pPr>
          </w:p>
        </w:tc>
        <w:tc>
          <w:tcPr>
            <w:tcW w:w="1843" w:type="dxa"/>
          </w:tcPr>
          <w:p w14:paraId="2AFDE0BE" w14:textId="77777777" w:rsidR="001F20B4" w:rsidRPr="00BF52F4" w:rsidRDefault="0093475C" w:rsidP="0093475C">
            <w:pPr>
              <w:pStyle w:val="Tabletext"/>
              <w:ind w:left="0"/>
            </w:pPr>
            <w:r>
              <w:t xml:space="preserve">Use with </w:t>
            </w:r>
            <w:r w:rsidR="001F20B4" w:rsidRPr="0000533D">
              <w:t>concomitant acne medications</w:t>
            </w:r>
          </w:p>
        </w:tc>
        <w:tc>
          <w:tcPr>
            <w:tcW w:w="1239" w:type="dxa"/>
          </w:tcPr>
          <w:p w14:paraId="68A39F74" w14:textId="77777777" w:rsidR="001F20B4" w:rsidRPr="0065583D" w:rsidRDefault="001F20B4" w:rsidP="00F90AF0">
            <w:pPr>
              <w:pStyle w:val="Tabletext"/>
              <w:jc w:val="center"/>
            </w:pPr>
            <w:r w:rsidRPr="0065583D">
              <w:sym w:font="Wingdings" w:char="F0FC"/>
            </w:r>
          </w:p>
        </w:tc>
        <w:tc>
          <w:tcPr>
            <w:tcW w:w="1312" w:type="dxa"/>
          </w:tcPr>
          <w:p w14:paraId="68291B73" w14:textId="77777777" w:rsidR="001F20B4" w:rsidRPr="0065583D" w:rsidRDefault="001F20B4" w:rsidP="00F90AF0">
            <w:pPr>
              <w:pStyle w:val="Tabletext"/>
              <w:jc w:val="center"/>
            </w:pPr>
            <w:r w:rsidRPr="0065583D">
              <w:t>–</w:t>
            </w:r>
          </w:p>
        </w:tc>
        <w:tc>
          <w:tcPr>
            <w:tcW w:w="1298" w:type="dxa"/>
          </w:tcPr>
          <w:p w14:paraId="0C0F03B7" w14:textId="77777777" w:rsidR="001F20B4" w:rsidRPr="0065583D" w:rsidRDefault="001F20B4" w:rsidP="00F90AF0">
            <w:pPr>
              <w:pStyle w:val="Tabletext"/>
              <w:jc w:val="center"/>
            </w:pPr>
            <w:r w:rsidRPr="0065583D">
              <w:sym w:font="Wingdings" w:char="F0FC"/>
            </w:r>
          </w:p>
        </w:tc>
        <w:tc>
          <w:tcPr>
            <w:tcW w:w="1306" w:type="dxa"/>
          </w:tcPr>
          <w:p w14:paraId="370E3D67" w14:textId="77777777" w:rsidR="001F20B4" w:rsidRPr="0065583D" w:rsidRDefault="001F20B4" w:rsidP="00F90AF0">
            <w:pPr>
              <w:pStyle w:val="Tabletext"/>
              <w:jc w:val="center"/>
            </w:pPr>
            <w:r w:rsidRPr="0065583D">
              <w:t>–</w:t>
            </w:r>
          </w:p>
        </w:tc>
      </w:tr>
    </w:tbl>
    <w:p w14:paraId="640326D5" w14:textId="77777777" w:rsidR="0093475C" w:rsidRDefault="0093475C" w:rsidP="0093475C">
      <w:r>
        <w:t>The summary of safety concerns is acceptable from an RMP perspective.</w:t>
      </w:r>
    </w:p>
    <w:p w14:paraId="67F5A7D2" w14:textId="77777777" w:rsidR="0093475C" w:rsidRDefault="0093475C" w:rsidP="0093475C">
      <w:r>
        <w:t>Routine pharmacovigilance activities, including follow-up questionnaires to monitor the risk of teratogenicity, have been proposed. The pharma</w:t>
      </w:r>
      <w:r w:rsidR="0009366D">
        <w:t>covigilance plan is acceptable.</w:t>
      </w:r>
    </w:p>
    <w:p w14:paraId="56341973" w14:textId="77777777" w:rsidR="001F20B4" w:rsidRDefault="0093475C" w:rsidP="0093475C">
      <w:r>
        <w:t>Only routine risk minimisation activities have been proposed. Routine risk minimisation measures are considered acceptable to address the risks associated with this product.</w:t>
      </w:r>
    </w:p>
    <w:p w14:paraId="27C13BC7" w14:textId="375434EC" w:rsidR="0093475C" w:rsidRDefault="0021306B" w:rsidP="0093475C">
      <w:r>
        <w:t xml:space="preserve">The </w:t>
      </w:r>
      <w:r w:rsidR="0093475C" w:rsidRPr="0093475C">
        <w:t xml:space="preserve">RMP evaluator has </w:t>
      </w:r>
      <w:r>
        <w:t>commented</w:t>
      </w:r>
      <w:r w:rsidRPr="0093475C">
        <w:t xml:space="preserve"> </w:t>
      </w:r>
      <w:r w:rsidR="0093475C" w:rsidRPr="0093475C">
        <w:t xml:space="preserve">that </w:t>
      </w:r>
      <w:r w:rsidR="0093475C" w:rsidRPr="0093475C">
        <w:rPr>
          <w:i/>
        </w:rPr>
        <w:t>‘there are no RMP related issues that would impede decision on this submission’</w:t>
      </w:r>
      <w:r w:rsidR="0093475C" w:rsidRPr="0093475C">
        <w:t>. The evaluator considered the summary of safety concerns and the pharmacovigilance plans as acceptable.</w:t>
      </w:r>
    </w:p>
    <w:p w14:paraId="3B1F0375" w14:textId="77777777" w:rsidR="008E7846" w:rsidRDefault="00AA0ED0" w:rsidP="008E7846">
      <w:pPr>
        <w:pStyle w:val="Heading3"/>
      </w:pPr>
      <w:bookmarkStart w:id="44" w:name="_Toc247691531"/>
      <w:bookmarkStart w:id="45" w:name="_Toc314842515"/>
      <w:bookmarkStart w:id="46" w:name="_Toc196046505"/>
      <w:bookmarkStart w:id="47" w:name="_Toc196046949"/>
      <w:bookmarkStart w:id="48" w:name="_Toc67320891"/>
      <w:r>
        <w:t>Risk-benefit a</w:t>
      </w:r>
      <w:r w:rsidR="008E7846">
        <w:t>nalysis</w:t>
      </w:r>
      <w:bookmarkEnd w:id="44"/>
      <w:bookmarkEnd w:id="45"/>
      <w:bookmarkEnd w:id="48"/>
    </w:p>
    <w:p w14:paraId="2FD461E4" w14:textId="77777777" w:rsidR="00D23139" w:rsidRDefault="007D53B6" w:rsidP="00D23139">
      <w:pPr>
        <w:pStyle w:val="Heading4"/>
      </w:pPr>
      <w:r>
        <w:t>Delegate’s considerations</w:t>
      </w:r>
    </w:p>
    <w:p w14:paraId="01BC3F20" w14:textId="77777777" w:rsidR="0093475C" w:rsidRDefault="0093475C" w:rsidP="0093475C">
      <w:r>
        <w:t>Trifarotene's selectivity for RARγ could possibly eliminate off-target drug effects as currently registered agents for topical acne therapy are RARβ and RARγ dual agonists. However, the lack of active comparators in the pivotal trials limits the availability of comparative data to confirm this hypothesis. The bioavailability of trifarotene at the proposed dose of marketing appears to be minimal. No obvious safety signals wer</w:t>
      </w:r>
      <w:r w:rsidR="000C0615">
        <w:t>e noted during non</w:t>
      </w:r>
      <w:r>
        <w:t>clinical evaluation.</w:t>
      </w:r>
    </w:p>
    <w:p w14:paraId="2DCE5331" w14:textId="200423BC" w:rsidR="0093475C" w:rsidRDefault="0093475C" w:rsidP="0093475C">
      <w:r>
        <w:t>The study design, including inclusion criteria and efficacy endpoints of both pivotal studies were in line t</w:t>
      </w:r>
      <w:r w:rsidR="00223B72">
        <w:t xml:space="preserve">he relevant </w:t>
      </w:r>
      <w:r w:rsidR="0021306B">
        <w:t xml:space="preserve">US </w:t>
      </w:r>
      <w:r w:rsidR="000C0615" w:rsidRPr="000C0615">
        <w:t xml:space="preserve">Food and Drug Administration </w:t>
      </w:r>
      <w:r w:rsidR="000C0615">
        <w:t>(</w:t>
      </w:r>
      <w:r w:rsidR="00223B72">
        <w:t>FDA</w:t>
      </w:r>
      <w:r w:rsidR="000C0615">
        <w:t xml:space="preserve">) </w:t>
      </w:r>
      <w:r w:rsidR="00223B72">
        <w:t>guideline</w:t>
      </w:r>
      <w:r>
        <w:t>.</w:t>
      </w:r>
      <w:bookmarkStart w:id="49" w:name="_Ref64893206"/>
      <w:r w:rsidR="00223B72">
        <w:rPr>
          <w:rStyle w:val="FootnoteReference"/>
        </w:rPr>
        <w:footnoteReference w:id="11"/>
      </w:r>
      <w:bookmarkEnd w:id="49"/>
      <w:r w:rsidR="00223B72" w:rsidRPr="00223B72">
        <w:rPr>
          <w:vertAlign w:val="superscript"/>
        </w:rPr>
        <w:t>,</w:t>
      </w:r>
      <w:r w:rsidR="00223B72">
        <w:rPr>
          <w:rStyle w:val="FootnoteReference"/>
        </w:rPr>
        <w:footnoteReference w:id="12"/>
      </w:r>
      <w:r>
        <w:t xml:space="preserve"> The rationale for selection of dose and dosage form for pivotal studies are acceptable. The patient population in both pivotal studies represent the targeted patient population for the</w:t>
      </w:r>
      <w:r w:rsidR="00A20401">
        <w:t xml:space="preserve"> proposed indication. Around 10 to </w:t>
      </w:r>
      <w:r>
        <w:t>20% greater number of subjec</w:t>
      </w:r>
      <w:r w:rsidR="00223B72">
        <w:t>ts in trifarotene arm achieved ‘success’</w:t>
      </w:r>
      <w:r>
        <w:t>, compared to placebo arm. The treatment difference was st</w:t>
      </w:r>
      <w:r w:rsidR="000C0615">
        <w:t>atistically significant. In sub</w:t>
      </w:r>
      <w:r>
        <w:t>group analysis, the treatment difference for this endpoint did not achieve sta</w:t>
      </w:r>
      <w:r w:rsidR="00A20401">
        <w:t xml:space="preserve">tistical significance for the 9 to </w:t>
      </w:r>
      <w:r>
        <w:t>11 year</w:t>
      </w:r>
      <w:r w:rsidR="0021306B">
        <w:t>s of</w:t>
      </w:r>
      <w:r>
        <w:t xml:space="preserve"> age group. The </w:t>
      </w:r>
      <w:r w:rsidRPr="00760AEE">
        <w:rPr>
          <w:i/>
        </w:rPr>
        <w:t>post-hoc</w:t>
      </w:r>
      <w:r>
        <w:t xml:space="preserve"> nature of this analysis was considered and the study might not have been powered for this analysis. The sponsor had mentioned the difficulty in recruiting children in this age group. However, the evaluator has highlighted the reasonably large number of children recruited in studies with previously approved retinoids (</w:t>
      </w:r>
      <w:r w:rsidRPr="0077143C">
        <w:t xml:space="preserve">Epiduo </w:t>
      </w:r>
      <w:r w:rsidR="0021306B">
        <w:t xml:space="preserve">(adapalene and benzoyl peroxide) </w:t>
      </w:r>
      <w:r w:rsidRPr="0077143C">
        <w:t>0.1%</w:t>
      </w:r>
      <w:r w:rsidR="0021306B">
        <w:t>/2.5%</w:t>
      </w:r>
      <w:r w:rsidRPr="0077143C">
        <w:t xml:space="preserve"> gel, 285 children in 9</w:t>
      </w:r>
      <w:r w:rsidR="00A20401" w:rsidRPr="0077143C">
        <w:t xml:space="preserve"> to </w:t>
      </w:r>
      <w:r w:rsidR="00223B72" w:rsidRPr="0077143C">
        <w:t>11 years age group with acne</w:t>
      </w:r>
      <w:r w:rsidR="00223B72">
        <w:t>).</w:t>
      </w:r>
      <w:r w:rsidR="008539F5">
        <w:rPr>
          <w:rStyle w:val="FootnoteReference"/>
        </w:rPr>
        <w:footnoteReference w:id="13"/>
      </w:r>
    </w:p>
    <w:p w14:paraId="5F5A4ADB" w14:textId="0DFFD481" w:rsidR="0093475C" w:rsidRDefault="0093475C" w:rsidP="0093475C">
      <w:r>
        <w:t>The magnitude of reduction in both inflammatory and non-inflammatory lesion counts achieved statistical significance for the trifarotene arm, compared to placebo arm. However, the treatment difference, in terms of reduction in the absolute number of these lesions were as low as two to a maximum of ten lesions. The clinical significance of these outcomes are uncertain, particularly whether it will have any positive impa</w:t>
      </w:r>
      <w:r w:rsidR="00223B72">
        <w:t>ct on the quality of life;</w:t>
      </w:r>
      <w:r w:rsidR="00223B72">
        <w:rPr>
          <w:rStyle w:val="FootnoteReference"/>
        </w:rPr>
        <w:footnoteReference w:id="14"/>
      </w:r>
      <w:r w:rsidR="00223B72">
        <w:t>,</w:t>
      </w:r>
      <w:r w:rsidR="00223B72">
        <w:rPr>
          <w:rStyle w:val="FootnoteReference"/>
        </w:rPr>
        <w:footnoteReference w:id="15"/>
      </w:r>
      <w:r>
        <w:t xml:space="preserve"> of individuals with moderate severity of acne vulgaris. The treatment benefit appears to be sustained for up to 52 weeks. However, the persistence of treatment benefits, once the treatment with trifa</w:t>
      </w:r>
      <w:r w:rsidR="00223B72">
        <w:t>rotene is stopped is unknown.</w:t>
      </w:r>
      <w:r w:rsidR="00223B72">
        <w:fldChar w:fldCharType="begin"/>
      </w:r>
      <w:r w:rsidR="00223B72">
        <w:instrText xml:space="preserve"> NOTEREF _Ref64893206 \f \h </w:instrText>
      </w:r>
      <w:r w:rsidR="00223B72">
        <w:fldChar w:fldCharType="separate"/>
      </w:r>
      <w:r w:rsidR="00F522B3" w:rsidRPr="00F522B3">
        <w:rPr>
          <w:rStyle w:val="FootnoteReference"/>
        </w:rPr>
        <w:t>11</w:t>
      </w:r>
      <w:r w:rsidR="00223B72">
        <w:fldChar w:fldCharType="end"/>
      </w:r>
      <w:r>
        <w:t xml:space="preserve"> There is evidence to suggest an increase in the number of microcomedones and a reduction in visible lesions, once treatment</w:t>
      </w:r>
      <w:r w:rsidR="00223B72">
        <w:t xml:space="preserve"> with retinoids were stopped</w:t>
      </w:r>
      <w:r>
        <w:t>.</w:t>
      </w:r>
      <w:r w:rsidR="00223B72">
        <w:fldChar w:fldCharType="begin"/>
      </w:r>
      <w:r w:rsidR="00223B72">
        <w:instrText xml:space="preserve"> NOTEREF _Ref64893206 \f \h </w:instrText>
      </w:r>
      <w:r w:rsidR="00223B72">
        <w:fldChar w:fldCharType="separate"/>
      </w:r>
      <w:r w:rsidR="00F522B3" w:rsidRPr="00F522B3">
        <w:rPr>
          <w:rStyle w:val="FootnoteReference"/>
        </w:rPr>
        <w:t>11</w:t>
      </w:r>
      <w:r w:rsidR="00223B72">
        <w:fldChar w:fldCharType="end"/>
      </w:r>
      <w:r>
        <w:t xml:space="preserve"> The dosage of trifarotene once the lesions have been controlled and a strategy for cessation of tr</w:t>
      </w:r>
      <w:r w:rsidR="0037112C">
        <w:t>eatment have not been studied. The D</w:t>
      </w:r>
      <w:r>
        <w:t>elegate considers that these aspects need to be evaluated by t</w:t>
      </w:r>
      <w:r w:rsidR="00987D70">
        <w:t>he treating physician on a case by case basis.</w:t>
      </w:r>
    </w:p>
    <w:p w14:paraId="25F68C0D" w14:textId="77777777" w:rsidR="0093475C" w:rsidRDefault="00570FC6" w:rsidP="0093475C">
      <w:r>
        <w:t xml:space="preserve">The </w:t>
      </w:r>
      <w:r w:rsidR="0093475C">
        <w:t>evaluator has highlighted that the magnitude of improvement with efficac</w:t>
      </w:r>
      <w:r>
        <w:t>y endpoints were 50% higher in S</w:t>
      </w:r>
      <w:r w:rsidR="0093475C">
        <w:t xml:space="preserve">tudy 18252, compared to </w:t>
      </w:r>
      <w:r>
        <w:t xml:space="preserve">Study </w:t>
      </w:r>
      <w:r w:rsidR="0093475C">
        <w:t>18251. The sponsor will be requested to clarify any possible reasons for this observation. Across pivotal studies, a greater reduction in non-inflammatory lesions was observed, compared to inflammatory lesions. The com</w:t>
      </w:r>
      <w:r w:rsidR="00223B72">
        <w:t>edolytic action of retinoids;</w:t>
      </w:r>
      <w:r w:rsidR="00223B72">
        <w:rPr>
          <w:rStyle w:val="FootnoteReference"/>
        </w:rPr>
        <w:footnoteReference w:id="16"/>
      </w:r>
      <w:r w:rsidR="0093475C">
        <w:t xml:space="preserve"> is considered as the possible mechanistic basis for this observation. This mechanism of action is also the basis for the use of retinoids as a maintenance treatment option for acne vulgaris.</w:t>
      </w:r>
    </w:p>
    <w:p w14:paraId="7E67960D" w14:textId="4A54F3B7" w:rsidR="0093475C" w:rsidRDefault="0093475C" w:rsidP="0093475C">
      <w:r>
        <w:t>Subjects in the trifarotene arm experienced a considerable increase in the incidence of adverse events and adverse drug reactions, compared to placebo. Overall, the type of safety signals, particularly the adverse drug reactions that were reported in subjects treated with trifarotene appear to be similar to previously reported events from studies wi</w:t>
      </w:r>
      <w:r w:rsidR="00570FC6">
        <w:t>th already approved retinoids (c</w:t>
      </w:r>
      <w:r>
        <w:t>lass effects). Most of the events were mild to moderate in severity and appears to decrease in incidence with continued use of trifarotene. High incidence of sunburn was noted in trifarotene arm. 6% of subjects in the long term study and 2.7% of subjects across pivotal studies in trifarotene arm experienced sun burn. The rate of inc</w:t>
      </w:r>
      <w:r w:rsidR="00A20401">
        <w:t xml:space="preserve">idence was much higher in the 9 to </w:t>
      </w:r>
      <w:r>
        <w:t xml:space="preserve">11 years </w:t>
      </w:r>
      <w:r w:rsidR="007B5848">
        <w:t xml:space="preserve">of </w:t>
      </w:r>
      <w:r>
        <w:t>age group with around 22% of children affected by this event. This is a known class effect. The incidence rate in pivotal studies with trifarotene is comparable to adapa</w:t>
      </w:r>
      <w:r w:rsidR="00570FC6">
        <w:t>lene (2.2% in pivotal studies).</w:t>
      </w:r>
      <w:r>
        <w:t xml:space="preserve"> Adequate precautionary statements are included in the PI. Except for sunburn, the incidence of adverse events appears to be largely comparable between pivotal studies </w:t>
      </w:r>
      <w:r w:rsidR="00223B72">
        <w:t>and the long-term safety study.</w:t>
      </w:r>
    </w:p>
    <w:p w14:paraId="66F46DED" w14:textId="10F0A81D" w:rsidR="0093475C" w:rsidRDefault="00570FC6" w:rsidP="0093475C">
      <w:r>
        <w:t>Following</w:t>
      </w:r>
      <w:r w:rsidR="0093475C">
        <w:t xml:space="preserve"> the evaluator's questions, the sponsor clarified that the overall </w:t>
      </w:r>
      <w:r w:rsidR="00A20401">
        <w:t xml:space="preserve">paediatric safety population (9 to </w:t>
      </w:r>
      <w:r w:rsidR="0093475C">
        <w:t xml:space="preserve">11 years) across all studies in the clinical development programme of trifarotene comprised of 52 subjects, with 44 subjects who were 11 years of age, six </w:t>
      </w:r>
      <w:r w:rsidR="0021306B">
        <w:t xml:space="preserve">were </w:t>
      </w:r>
      <w:r w:rsidR="0093475C">
        <w:t>10 year</w:t>
      </w:r>
      <w:r w:rsidR="0021306B">
        <w:t>s of age</w:t>
      </w:r>
      <w:r w:rsidR="0093475C">
        <w:t xml:space="preserve"> and two </w:t>
      </w:r>
      <w:r w:rsidR="0021306B">
        <w:t xml:space="preserve">were </w:t>
      </w:r>
      <w:r w:rsidR="0093475C">
        <w:t>9 year</w:t>
      </w:r>
      <w:r w:rsidR="0021306B">
        <w:t>s of age</w:t>
      </w:r>
      <w:r w:rsidR="0093475C">
        <w:t>. Across the pivotal studies and the long</w:t>
      </w:r>
      <w:r>
        <w:t>-term study, no 9</w:t>
      </w:r>
      <w:r w:rsidR="0093475C">
        <w:t xml:space="preserve"> year old children were recruited. There were four </w:t>
      </w:r>
      <w:r w:rsidR="00EE2FAB">
        <w:t xml:space="preserve">children aged </w:t>
      </w:r>
      <w:r w:rsidR="0093475C">
        <w:t>10 year</w:t>
      </w:r>
      <w:r w:rsidR="00EE2FAB">
        <w:t>s</w:t>
      </w:r>
      <w:r w:rsidR="0093475C">
        <w:t xml:space="preserve"> old and </w:t>
      </w:r>
      <w:r w:rsidR="00EE2FAB">
        <w:t>34 children aged</w:t>
      </w:r>
      <w:r w:rsidR="0093475C">
        <w:t xml:space="preserve"> 11 year</w:t>
      </w:r>
      <w:r w:rsidR="00EE2FAB">
        <w:t>s</w:t>
      </w:r>
      <w:r w:rsidR="0093475C">
        <w:t xml:space="preserve"> old</w:t>
      </w:r>
      <w:r w:rsidR="00EE2FAB">
        <w:t xml:space="preserve"> </w:t>
      </w:r>
      <w:r w:rsidR="0093475C">
        <w:t>across these studies.</w:t>
      </w:r>
      <w:r w:rsidR="00EE2FAB">
        <w:t xml:space="preserve"> These are summarised in Table 27, below.</w:t>
      </w:r>
    </w:p>
    <w:p w14:paraId="4A2A0B04" w14:textId="54895B6B" w:rsidR="00223B72" w:rsidRDefault="00223B72" w:rsidP="00223B72">
      <w:pPr>
        <w:pStyle w:val="TableTitle"/>
      </w:pPr>
      <w:r w:rsidRPr="00223B72">
        <w:t xml:space="preserve">Table </w:t>
      </w:r>
      <w:fldSimple w:instr=" SEQ Table \* ARABIC ">
        <w:r w:rsidR="00F522B3">
          <w:rPr>
            <w:noProof/>
          </w:rPr>
          <w:t>27</w:t>
        </w:r>
      </w:fldSimple>
      <w:r>
        <w:t>: Number</w:t>
      </w:r>
      <w:r w:rsidRPr="00223B72">
        <w:t xml:space="preserve"> </w:t>
      </w:r>
      <w:r w:rsidR="00A20401">
        <w:t xml:space="preserve">of children in the 9 to </w:t>
      </w:r>
      <w:r>
        <w:t>11 years age group</w:t>
      </w:r>
      <w:r w:rsidR="00EE2FAB">
        <w:t>s</w:t>
      </w:r>
      <w:r>
        <w:t xml:space="preserve"> in pivotal and long-term studies</w:t>
      </w:r>
    </w:p>
    <w:tbl>
      <w:tblPr>
        <w:tblStyle w:val="TableTGAblue"/>
        <w:tblW w:w="7876" w:type="dxa"/>
        <w:tblLook w:val="04A0" w:firstRow="1" w:lastRow="0" w:firstColumn="1" w:lastColumn="0" w:noHBand="0" w:noVBand="1"/>
      </w:tblPr>
      <w:tblGrid>
        <w:gridCol w:w="1461"/>
        <w:gridCol w:w="2037"/>
        <w:gridCol w:w="2189"/>
        <w:gridCol w:w="2189"/>
      </w:tblGrid>
      <w:tr w:rsidR="00F626D6" w14:paraId="69BBDC1E" w14:textId="77777777" w:rsidTr="00F626D6">
        <w:trPr>
          <w:cnfStyle w:val="100000000000" w:firstRow="1" w:lastRow="0" w:firstColumn="0" w:lastColumn="0" w:oddVBand="0" w:evenVBand="0" w:oddHBand="0" w:evenHBand="0" w:firstRowFirstColumn="0" w:firstRowLastColumn="0" w:lastRowFirstColumn="0" w:lastRowLastColumn="0"/>
          <w:trHeight w:val="328"/>
        </w:trPr>
        <w:tc>
          <w:tcPr>
            <w:tcW w:w="0" w:type="auto"/>
          </w:tcPr>
          <w:p w14:paraId="49F58433" w14:textId="77777777" w:rsidR="00223B72" w:rsidRPr="00F44F8F" w:rsidRDefault="00223B72" w:rsidP="00F90AF0">
            <w:pPr>
              <w:rPr>
                <w:sz w:val="19"/>
                <w:szCs w:val="19"/>
                <w:lang w:eastAsia="ja-JP"/>
              </w:rPr>
            </w:pPr>
            <w:r w:rsidRPr="00F44F8F">
              <w:rPr>
                <w:sz w:val="19"/>
                <w:szCs w:val="19"/>
                <w:lang w:eastAsia="ja-JP"/>
              </w:rPr>
              <w:t xml:space="preserve">Study </w:t>
            </w:r>
          </w:p>
        </w:tc>
        <w:tc>
          <w:tcPr>
            <w:tcW w:w="0" w:type="auto"/>
          </w:tcPr>
          <w:p w14:paraId="6ADD7A02" w14:textId="77777777" w:rsidR="00223B72" w:rsidRPr="00F44F8F" w:rsidRDefault="00223B72" w:rsidP="00223B72">
            <w:pPr>
              <w:jc w:val="center"/>
              <w:rPr>
                <w:sz w:val="19"/>
                <w:szCs w:val="19"/>
                <w:lang w:eastAsia="ja-JP"/>
              </w:rPr>
            </w:pPr>
            <w:r w:rsidRPr="00F44F8F">
              <w:rPr>
                <w:sz w:val="19"/>
                <w:szCs w:val="19"/>
                <w:lang w:eastAsia="ja-JP"/>
              </w:rPr>
              <w:t>9 years old</w:t>
            </w:r>
          </w:p>
        </w:tc>
        <w:tc>
          <w:tcPr>
            <w:tcW w:w="0" w:type="auto"/>
          </w:tcPr>
          <w:p w14:paraId="4D9E84A1" w14:textId="77777777" w:rsidR="00223B72" w:rsidRPr="00F44F8F" w:rsidRDefault="00223B72" w:rsidP="00F90AF0">
            <w:pPr>
              <w:jc w:val="center"/>
              <w:rPr>
                <w:sz w:val="19"/>
                <w:szCs w:val="19"/>
                <w:lang w:eastAsia="ja-JP"/>
              </w:rPr>
            </w:pPr>
            <w:r w:rsidRPr="00F44F8F">
              <w:rPr>
                <w:sz w:val="19"/>
                <w:szCs w:val="19"/>
                <w:lang w:eastAsia="ja-JP"/>
              </w:rPr>
              <w:t>10 years old</w:t>
            </w:r>
          </w:p>
        </w:tc>
        <w:tc>
          <w:tcPr>
            <w:tcW w:w="0" w:type="auto"/>
          </w:tcPr>
          <w:p w14:paraId="5552EF86" w14:textId="77777777" w:rsidR="00223B72" w:rsidRPr="00F44F8F" w:rsidRDefault="00223B72" w:rsidP="00F90AF0">
            <w:pPr>
              <w:jc w:val="center"/>
              <w:rPr>
                <w:sz w:val="19"/>
                <w:szCs w:val="19"/>
                <w:lang w:eastAsia="ja-JP"/>
              </w:rPr>
            </w:pPr>
            <w:r w:rsidRPr="00F44F8F">
              <w:rPr>
                <w:sz w:val="19"/>
                <w:szCs w:val="19"/>
                <w:lang w:eastAsia="ja-JP"/>
              </w:rPr>
              <w:t>11 years old</w:t>
            </w:r>
          </w:p>
        </w:tc>
      </w:tr>
      <w:tr w:rsidR="00223B72" w14:paraId="558090EB" w14:textId="77777777" w:rsidTr="00F626D6">
        <w:trPr>
          <w:trHeight w:val="322"/>
        </w:trPr>
        <w:tc>
          <w:tcPr>
            <w:tcW w:w="0" w:type="auto"/>
          </w:tcPr>
          <w:p w14:paraId="66F84F13" w14:textId="77777777" w:rsidR="00223B72" w:rsidRPr="00F626D6" w:rsidRDefault="00223B72" w:rsidP="00F90AF0">
            <w:pPr>
              <w:rPr>
                <w:sz w:val="19"/>
                <w:szCs w:val="19"/>
                <w:lang w:eastAsia="ja-JP"/>
              </w:rPr>
            </w:pPr>
            <w:r w:rsidRPr="00F626D6">
              <w:rPr>
                <w:sz w:val="19"/>
                <w:szCs w:val="19"/>
                <w:lang w:eastAsia="ja-JP"/>
              </w:rPr>
              <w:t>18237</w:t>
            </w:r>
          </w:p>
        </w:tc>
        <w:tc>
          <w:tcPr>
            <w:tcW w:w="0" w:type="auto"/>
          </w:tcPr>
          <w:p w14:paraId="5EFE867C" w14:textId="77777777" w:rsidR="00223B72" w:rsidRPr="00F626D6" w:rsidRDefault="00223B72" w:rsidP="00F90AF0">
            <w:pPr>
              <w:jc w:val="center"/>
              <w:rPr>
                <w:sz w:val="19"/>
                <w:szCs w:val="19"/>
                <w:lang w:eastAsia="ja-JP"/>
              </w:rPr>
            </w:pPr>
            <w:r w:rsidRPr="00F626D6">
              <w:rPr>
                <w:sz w:val="19"/>
                <w:szCs w:val="19"/>
                <w:lang w:eastAsia="ja-JP"/>
              </w:rPr>
              <w:t>0</w:t>
            </w:r>
          </w:p>
        </w:tc>
        <w:tc>
          <w:tcPr>
            <w:tcW w:w="0" w:type="auto"/>
          </w:tcPr>
          <w:p w14:paraId="657A232E" w14:textId="77777777" w:rsidR="00223B72" w:rsidRPr="00F626D6" w:rsidRDefault="00223B72" w:rsidP="00F90AF0">
            <w:pPr>
              <w:jc w:val="center"/>
              <w:rPr>
                <w:sz w:val="19"/>
                <w:szCs w:val="19"/>
                <w:lang w:eastAsia="ja-JP"/>
              </w:rPr>
            </w:pPr>
            <w:r w:rsidRPr="00F626D6">
              <w:rPr>
                <w:sz w:val="19"/>
                <w:szCs w:val="19"/>
                <w:lang w:eastAsia="ja-JP"/>
              </w:rPr>
              <w:t>1</w:t>
            </w:r>
          </w:p>
        </w:tc>
        <w:tc>
          <w:tcPr>
            <w:tcW w:w="0" w:type="auto"/>
          </w:tcPr>
          <w:p w14:paraId="19A47747" w14:textId="77777777" w:rsidR="00223B72" w:rsidRPr="00F626D6" w:rsidRDefault="00223B72" w:rsidP="00F90AF0">
            <w:pPr>
              <w:jc w:val="center"/>
              <w:rPr>
                <w:sz w:val="19"/>
                <w:szCs w:val="19"/>
                <w:lang w:eastAsia="ja-JP"/>
              </w:rPr>
            </w:pPr>
            <w:r w:rsidRPr="00F626D6">
              <w:rPr>
                <w:sz w:val="19"/>
                <w:szCs w:val="19"/>
                <w:lang w:eastAsia="ja-JP"/>
              </w:rPr>
              <w:t>1</w:t>
            </w:r>
          </w:p>
        </w:tc>
      </w:tr>
      <w:tr w:rsidR="00223B72" w14:paraId="49835691" w14:textId="77777777" w:rsidTr="00F626D6">
        <w:trPr>
          <w:trHeight w:val="328"/>
        </w:trPr>
        <w:tc>
          <w:tcPr>
            <w:tcW w:w="0" w:type="auto"/>
          </w:tcPr>
          <w:p w14:paraId="40447511" w14:textId="77777777" w:rsidR="00223B72" w:rsidRPr="00F626D6" w:rsidRDefault="00223B72" w:rsidP="00F90AF0">
            <w:pPr>
              <w:rPr>
                <w:sz w:val="19"/>
                <w:szCs w:val="19"/>
                <w:lang w:eastAsia="ja-JP"/>
              </w:rPr>
            </w:pPr>
            <w:r w:rsidRPr="00F626D6">
              <w:rPr>
                <w:sz w:val="19"/>
                <w:szCs w:val="19"/>
                <w:lang w:eastAsia="ja-JP"/>
              </w:rPr>
              <w:t>18251</w:t>
            </w:r>
          </w:p>
        </w:tc>
        <w:tc>
          <w:tcPr>
            <w:tcW w:w="0" w:type="auto"/>
          </w:tcPr>
          <w:p w14:paraId="1D4BE405" w14:textId="77777777" w:rsidR="00223B72" w:rsidRPr="00F626D6" w:rsidRDefault="00223B72" w:rsidP="00F90AF0">
            <w:pPr>
              <w:jc w:val="center"/>
              <w:rPr>
                <w:sz w:val="19"/>
                <w:szCs w:val="19"/>
                <w:lang w:eastAsia="ja-JP"/>
              </w:rPr>
            </w:pPr>
            <w:r w:rsidRPr="00F626D6">
              <w:rPr>
                <w:sz w:val="19"/>
                <w:szCs w:val="19"/>
                <w:lang w:eastAsia="ja-JP"/>
              </w:rPr>
              <w:t>0</w:t>
            </w:r>
          </w:p>
        </w:tc>
        <w:tc>
          <w:tcPr>
            <w:tcW w:w="0" w:type="auto"/>
          </w:tcPr>
          <w:p w14:paraId="03775B4D" w14:textId="49ED5D9D" w:rsidR="00223B72" w:rsidRPr="00F626D6" w:rsidRDefault="00223B72" w:rsidP="00F90AF0">
            <w:pPr>
              <w:jc w:val="center"/>
              <w:rPr>
                <w:sz w:val="19"/>
                <w:szCs w:val="19"/>
                <w:vertAlign w:val="superscript"/>
                <w:lang w:eastAsia="ja-JP"/>
              </w:rPr>
            </w:pPr>
            <w:r w:rsidRPr="00F626D6">
              <w:rPr>
                <w:sz w:val="19"/>
                <w:szCs w:val="19"/>
                <w:lang w:eastAsia="ja-JP"/>
              </w:rPr>
              <w:t>1</w:t>
            </w:r>
          </w:p>
        </w:tc>
        <w:tc>
          <w:tcPr>
            <w:tcW w:w="0" w:type="auto"/>
          </w:tcPr>
          <w:p w14:paraId="14F65764" w14:textId="77777777" w:rsidR="00223B72" w:rsidRPr="00F626D6" w:rsidRDefault="00223B72" w:rsidP="00F90AF0">
            <w:pPr>
              <w:jc w:val="center"/>
              <w:rPr>
                <w:sz w:val="19"/>
                <w:szCs w:val="19"/>
                <w:lang w:eastAsia="ja-JP"/>
              </w:rPr>
            </w:pPr>
            <w:r w:rsidRPr="00F626D6">
              <w:rPr>
                <w:sz w:val="19"/>
                <w:szCs w:val="19"/>
                <w:lang w:eastAsia="ja-JP"/>
              </w:rPr>
              <w:t>9</w:t>
            </w:r>
          </w:p>
        </w:tc>
      </w:tr>
      <w:tr w:rsidR="00223B72" w14:paraId="639565E5" w14:textId="77777777" w:rsidTr="00F626D6">
        <w:trPr>
          <w:trHeight w:val="322"/>
        </w:trPr>
        <w:tc>
          <w:tcPr>
            <w:tcW w:w="0" w:type="auto"/>
          </w:tcPr>
          <w:p w14:paraId="4E9CDE34" w14:textId="77777777" w:rsidR="00223B72" w:rsidRPr="00F626D6" w:rsidRDefault="00223B72" w:rsidP="00F90AF0">
            <w:pPr>
              <w:rPr>
                <w:sz w:val="19"/>
                <w:szCs w:val="19"/>
                <w:lang w:eastAsia="ja-JP"/>
              </w:rPr>
            </w:pPr>
            <w:r w:rsidRPr="00F626D6">
              <w:rPr>
                <w:sz w:val="19"/>
                <w:szCs w:val="19"/>
                <w:lang w:eastAsia="ja-JP"/>
              </w:rPr>
              <w:t>18252</w:t>
            </w:r>
          </w:p>
        </w:tc>
        <w:tc>
          <w:tcPr>
            <w:tcW w:w="0" w:type="auto"/>
          </w:tcPr>
          <w:p w14:paraId="73054F73" w14:textId="77777777" w:rsidR="00223B72" w:rsidRPr="00F626D6" w:rsidRDefault="00223B72" w:rsidP="00F90AF0">
            <w:pPr>
              <w:jc w:val="center"/>
              <w:rPr>
                <w:sz w:val="19"/>
                <w:szCs w:val="19"/>
                <w:lang w:eastAsia="ja-JP"/>
              </w:rPr>
            </w:pPr>
            <w:r w:rsidRPr="00F626D6">
              <w:rPr>
                <w:sz w:val="19"/>
                <w:szCs w:val="19"/>
                <w:lang w:eastAsia="ja-JP"/>
              </w:rPr>
              <w:t>0</w:t>
            </w:r>
          </w:p>
        </w:tc>
        <w:tc>
          <w:tcPr>
            <w:tcW w:w="0" w:type="auto"/>
          </w:tcPr>
          <w:p w14:paraId="2DC5D176" w14:textId="77777777" w:rsidR="00223B72" w:rsidRPr="00F626D6" w:rsidRDefault="00223B72" w:rsidP="00F90AF0">
            <w:pPr>
              <w:jc w:val="center"/>
              <w:rPr>
                <w:sz w:val="19"/>
                <w:szCs w:val="19"/>
                <w:lang w:eastAsia="ja-JP"/>
              </w:rPr>
            </w:pPr>
            <w:r w:rsidRPr="00F626D6">
              <w:rPr>
                <w:sz w:val="19"/>
                <w:szCs w:val="19"/>
                <w:lang w:eastAsia="ja-JP"/>
              </w:rPr>
              <w:t>0</w:t>
            </w:r>
          </w:p>
        </w:tc>
        <w:tc>
          <w:tcPr>
            <w:tcW w:w="0" w:type="auto"/>
          </w:tcPr>
          <w:p w14:paraId="190157E3" w14:textId="77777777" w:rsidR="00223B72" w:rsidRPr="00F626D6" w:rsidRDefault="00223B72" w:rsidP="00F90AF0">
            <w:pPr>
              <w:jc w:val="center"/>
              <w:rPr>
                <w:sz w:val="19"/>
                <w:szCs w:val="19"/>
                <w:lang w:eastAsia="ja-JP"/>
              </w:rPr>
            </w:pPr>
            <w:r w:rsidRPr="00F626D6">
              <w:rPr>
                <w:sz w:val="19"/>
                <w:szCs w:val="19"/>
                <w:lang w:eastAsia="ja-JP"/>
              </w:rPr>
              <w:t>9</w:t>
            </w:r>
          </w:p>
        </w:tc>
      </w:tr>
      <w:tr w:rsidR="00223B72" w14:paraId="31EDAD3B" w14:textId="77777777" w:rsidTr="00F626D6">
        <w:trPr>
          <w:trHeight w:val="328"/>
        </w:trPr>
        <w:tc>
          <w:tcPr>
            <w:tcW w:w="0" w:type="auto"/>
          </w:tcPr>
          <w:p w14:paraId="7572F880" w14:textId="77777777" w:rsidR="00223B72" w:rsidRPr="00F626D6" w:rsidRDefault="00223B72" w:rsidP="00F90AF0">
            <w:pPr>
              <w:rPr>
                <w:sz w:val="19"/>
                <w:szCs w:val="19"/>
                <w:lang w:eastAsia="ja-JP"/>
              </w:rPr>
            </w:pPr>
            <w:r w:rsidRPr="00F626D6">
              <w:rPr>
                <w:sz w:val="19"/>
                <w:szCs w:val="19"/>
                <w:lang w:eastAsia="ja-JP"/>
              </w:rPr>
              <w:t>18250</w:t>
            </w:r>
          </w:p>
        </w:tc>
        <w:tc>
          <w:tcPr>
            <w:tcW w:w="0" w:type="auto"/>
          </w:tcPr>
          <w:p w14:paraId="56B43F6F" w14:textId="1762AD56" w:rsidR="00223B72" w:rsidRPr="00F626D6" w:rsidRDefault="00223B72" w:rsidP="00F90AF0">
            <w:pPr>
              <w:jc w:val="center"/>
              <w:rPr>
                <w:sz w:val="19"/>
                <w:szCs w:val="19"/>
                <w:vertAlign w:val="superscript"/>
                <w:lang w:eastAsia="ja-JP"/>
              </w:rPr>
            </w:pPr>
            <w:r w:rsidRPr="00F626D6">
              <w:rPr>
                <w:sz w:val="19"/>
                <w:szCs w:val="19"/>
                <w:lang w:eastAsia="ja-JP"/>
              </w:rPr>
              <w:t>0</w:t>
            </w:r>
          </w:p>
        </w:tc>
        <w:tc>
          <w:tcPr>
            <w:tcW w:w="0" w:type="auto"/>
          </w:tcPr>
          <w:p w14:paraId="5BF265C1" w14:textId="77777777" w:rsidR="00223B72" w:rsidRPr="00F626D6" w:rsidRDefault="00223B72" w:rsidP="00F90AF0">
            <w:pPr>
              <w:jc w:val="center"/>
              <w:rPr>
                <w:sz w:val="19"/>
                <w:szCs w:val="19"/>
                <w:lang w:eastAsia="ja-JP"/>
              </w:rPr>
            </w:pPr>
            <w:r w:rsidRPr="00F626D6">
              <w:rPr>
                <w:sz w:val="19"/>
                <w:szCs w:val="19"/>
                <w:lang w:eastAsia="ja-JP"/>
              </w:rPr>
              <w:t>2</w:t>
            </w:r>
          </w:p>
        </w:tc>
        <w:tc>
          <w:tcPr>
            <w:tcW w:w="0" w:type="auto"/>
          </w:tcPr>
          <w:p w14:paraId="7D36948C" w14:textId="19FA30A5" w:rsidR="00223B72" w:rsidRPr="00F626D6" w:rsidRDefault="00223B72" w:rsidP="00F90AF0">
            <w:pPr>
              <w:jc w:val="center"/>
              <w:rPr>
                <w:sz w:val="19"/>
                <w:szCs w:val="19"/>
                <w:vertAlign w:val="superscript"/>
                <w:lang w:eastAsia="ja-JP"/>
              </w:rPr>
            </w:pPr>
            <w:r w:rsidRPr="00F626D6">
              <w:rPr>
                <w:sz w:val="19"/>
                <w:szCs w:val="19"/>
                <w:lang w:eastAsia="ja-JP"/>
              </w:rPr>
              <w:t>15</w:t>
            </w:r>
          </w:p>
        </w:tc>
      </w:tr>
      <w:tr w:rsidR="00223B72" w14:paraId="53343A74" w14:textId="77777777" w:rsidTr="00F626D6">
        <w:trPr>
          <w:trHeight w:val="328"/>
        </w:trPr>
        <w:tc>
          <w:tcPr>
            <w:tcW w:w="0" w:type="auto"/>
          </w:tcPr>
          <w:p w14:paraId="061B7958" w14:textId="77777777" w:rsidR="00223B72" w:rsidRPr="00F626D6" w:rsidRDefault="00223B72" w:rsidP="00F90AF0">
            <w:pPr>
              <w:rPr>
                <w:sz w:val="19"/>
                <w:szCs w:val="19"/>
                <w:lang w:eastAsia="ja-JP"/>
              </w:rPr>
            </w:pPr>
            <w:r w:rsidRPr="00F626D6">
              <w:rPr>
                <w:sz w:val="19"/>
                <w:szCs w:val="19"/>
                <w:lang w:eastAsia="ja-JP"/>
              </w:rPr>
              <w:t xml:space="preserve">Total </w:t>
            </w:r>
          </w:p>
        </w:tc>
        <w:tc>
          <w:tcPr>
            <w:tcW w:w="0" w:type="auto"/>
          </w:tcPr>
          <w:p w14:paraId="670ACE54" w14:textId="77777777" w:rsidR="00223B72" w:rsidRPr="00F626D6" w:rsidRDefault="00223B72" w:rsidP="00F90AF0">
            <w:pPr>
              <w:jc w:val="center"/>
              <w:rPr>
                <w:sz w:val="19"/>
                <w:szCs w:val="19"/>
                <w:lang w:eastAsia="ja-JP"/>
              </w:rPr>
            </w:pPr>
            <w:r w:rsidRPr="00F626D6">
              <w:rPr>
                <w:sz w:val="19"/>
                <w:szCs w:val="19"/>
                <w:lang w:eastAsia="ja-JP"/>
              </w:rPr>
              <w:t>0</w:t>
            </w:r>
          </w:p>
        </w:tc>
        <w:tc>
          <w:tcPr>
            <w:tcW w:w="0" w:type="auto"/>
          </w:tcPr>
          <w:p w14:paraId="249A508C" w14:textId="77777777" w:rsidR="00223B72" w:rsidRPr="00F626D6" w:rsidRDefault="00223B72" w:rsidP="00F90AF0">
            <w:pPr>
              <w:jc w:val="center"/>
              <w:rPr>
                <w:sz w:val="19"/>
                <w:szCs w:val="19"/>
                <w:lang w:eastAsia="ja-JP"/>
              </w:rPr>
            </w:pPr>
            <w:r w:rsidRPr="00F626D6">
              <w:rPr>
                <w:sz w:val="19"/>
                <w:szCs w:val="19"/>
                <w:lang w:eastAsia="ja-JP"/>
              </w:rPr>
              <w:t>4</w:t>
            </w:r>
          </w:p>
        </w:tc>
        <w:tc>
          <w:tcPr>
            <w:tcW w:w="0" w:type="auto"/>
          </w:tcPr>
          <w:p w14:paraId="4F10D124" w14:textId="77777777" w:rsidR="00223B72" w:rsidRPr="00F626D6" w:rsidRDefault="00223B72" w:rsidP="00F90AF0">
            <w:pPr>
              <w:jc w:val="center"/>
              <w:rPr>
                <w:sz w:val="19"/>
                <w:szCs w:val="19"/>
                <w:lang w:eastAsia="ja-JP"/>
              </w:rPr>
            </w:pPr>
            <w:r w:rsidRPr="00F626D6">
              <w:rPr>
                <w:sz w:val="19"/>
                <w:szCs w:val="19"/>
                <w:lang w:eastAsia="ja-JP"/>
              </w:rPr>
              <w:t>34</w:t>
            </w:r>
          </w:p>
        </w:tc>
      </w:tr>
    </w:tbl>
    <w:p w14:paraId="15B34EF5" w14:textId="07DB9404" w:rsidR="00223B72" w:rsidRDefault="00223B72" w:rsidP="00223B72">
      <w:r>
        <w:t xml:space="preserve">The sponsor's initial proposed indication was for the treatment of acne vulgaris in adults and children as young as 9 years of age. During </w:t>
      </w:r>
      <w:r w:rsidR="00570FC6">
        <w:t>the</w:t>
      </w:r>
      <w:r>
        <w:t xml:space="preserve"> evaluation process, in line with the evaluator's conclusions on the limitations of evidence to support trifarotene's efficacy and safety</w:t>
      </w:r>
      <w:r w:rsidR="00A20401">
        <w:t xml:space="preserve"> in in the 9 to </w:t>
      </w:r>
      <w:r>
        <w:t xml:space="preserve">11 years </w:t>
      </w:r>
      <w:r w:rsidR="00EE2FAB">
        <w:t xml:space="preserve">of </w:t>
      </w:r>
      <w:r>
        <w:t xml:space="preserve">age group, </w:t>
      </w:r>
      <w:r w:rsidR="00570FC6">
        <w:t>the evaluator has</w:t>
      </w:r>
      <w:r>
        <w:t xml:space="preserve"> recommended a modified indication to limit the paediatric age of 12 years and above. The sponsor has accepted the recommendation.</w:t>
      </w:r>
    </w:p>
    <w:p w14:paraId="1AE8C62D" w14:textId="77777777" w:rsidR="00223B72" w:rsidRPr="0093475C" w:rsidRDefault="00223B72" w:rsidP="00223B72">
      <w:r>
        <w:t>In summary, trifarotene appears to have a modest treatment effect on mild to moderate acne vulgaris on face and trunk. The safety profile of trifarotene is largely in line with the previously approved retinoids. From a clinical perspective, the cream formulation of trifarotene may limit its use in individuals with oily skin.</w:t>
      </w:r>
    </w:p>
    <w:p w14:paraId="6F077686" w14:textId="77777777" w:rsidR="00D23139" w:rsidRDefault="00D23139" w:rsidP="00D23139">
      <w:pPr>
        <w:pStyle w:val="Heading4"/>
      </w:pPr>
      <w:r w:rsidRPr="00D23139">
        <w:t>Proposed action</w:t>
      </w:r>
    </w:p>
    <w:p w14:paraId="0C5AEC24" w14:textId="77777777" w:rsidR="001113D1" w:rsidRDefault="001113D1" w:rsidP="001113D1">
      <w:r>
        <w:t xml:space="preserve">The Delegate has no reason to say, at this time, that the application for trifarotene should not be approved for registration. </w:t>
      </w:r>
    </w:p>
    <w:p w14:paraId="1721E57E" w14:textId="77777777" w:rsidR="007D53B6" w:rsidRDefault="007D53B6" w:rsidP="007D53B6">
      <w:pPr>
        <w:pStyle w:val="Heading4"/>
      </w:pPr>
      <w:r>
        <w:t xml:space="preserve">Questions for </w:t>
      </w:r>
      <w:r w:rsidR="00744121">
        <w:t xml:space="preserve">the </w:t>
      </w:r>
      <w:r>
        <w:t>sponsor</w:t>
      </w:r>
    </w:p>
    <w:p w14:paraId="0A6DC009" w14:textId="60337BAB" w:rsidR="00744121" w:rsidRPr="00955A16" w:rsidRDefault="00744121" w:rsidP="00744121">
      <w:r>
        <w:t>The sponsor provided the following response</w:t>
      </w:r>
      <w:r w:rsidR="00EE2FAB">
        <w:t>s</w:t>
      </w:r>
      <w:r>
        <w:t xml:space="preserve"> to questions from the Delegate.</w:t>
      </w:r>
    </w:p>
    <w:p w14:paraId="2F6CC1A8" w14:textId="77777777" w:rsidR="00F626D6" w:rsidRDefault="00F626D6" w:rsidP="00F626D6">
      <w:pPr>
        <w:pStyle w:val="Numberbullet0"/>
        <w:rPr>
          <w:b/>
          <w:i/>
        </w:rPr>
      </w:pPr>
      <w:r w:rsidRPr="00F626D6">
        <w:rPr>
          <w:b/>
          <w:i/>
        </w:rPr>
        <w:t>Around 50% greater treatment benefit was obse</w:t>
      </w:r>
      <w:r w:rsidR="00A55D81">
        <w:rPr>
          <w:b/>
          <w:i/>
        </w:rPr>
        <w:t>rved for efficacy endpoints in Study 18252, compared to S</w:t>
      </w:r>
      <w:r w:rsidRPr="00F626D6">
        <w:rPr>
          <w:b/>
          <w:i/>
        </w:rPr>
        <w:t>tudy 18251. Please explain any possible reasons for this observation.</w:t>
      </w:r>
    </w:p>
    <w:p w14:paraId="7A4E2032" w14:textId="08460BE4" w:rsidR="00191EA7" w:rsidRPr="00F626D6" w:rsidRDefault="00570FC6" w:rsidP="00191EA7">
      <w:r>
        <w:t>The a</w:t>
      </w:r>
      <w:r w:rsidR="00191EA7">
        <w:t>pplicant considers that the develop</w:t>
      </w:r>
      <w:r>
        <w:t>ment program of trifarotene 50 µ</w:t>
      </w:r>
      <w:r w:rsidR="00191EA7">
        <w:t>g/g cream has provided substantial evidence and independent su</w:t>
      </w:r>
      <w:r>
        <w:t>bstantiation of the efficacy of t</w:t>
      </w:r>
      <w:r w:rsidR="00191EA7">
        <w:t>rifarotene 50 µg/g cream versus vehicle in two well-controlled, identical studies in the target population. The difference in IGA success rate of vehicle betw</w:t>
      </w:r>
      <w:r>
        <w:t xml:space="preserve">een the two pivotal studies, that is </w:t>
      </w:r>
      <w:r w:rsidR="00191EA7">
        <w:t xml:space="preserve">6.8% (16.6% </w:t>
      </w:r>
      <w:r w:rsidR="00EE2FAB">
        <w:t>minus</w:t>
      </w:r>
      <w:r w:rsidR="00191EA7">
        <w:t xml:space="preserve"> 9.8% = 6.8%), was due to variability between the studies. In this development program, variability between studies might have resulted from the increase of the number of research centers participating in the studies (120</w:t>
      </w:r>
      <w:r w:rsidR="00EE2FAB">
        <w:t> </w:t>
      </w:r>
      <w:r w:rsidR="00191EA7">
        <w:t>centers in Study 18251 compared to 85 centers in Study 18252). However, whatever the sources of the observed variability between the studies might be, important for the final interpretation of the outcome is the fact that the difference between active and vehicle was clinically meaningful and statistically significant in the two independent, pivotal studies.</w:t>
      </w:r>
    </w:p>
    <w:p w14:paraId="22361A06" w14:textId="77777777" w:rsidR="00191EA7" w:rsidRDefault="00F626D6" w:rsidP="00191EA7">
      <w:pPr>
        <w:pStyle w:val="Numberbullet0"/>
        <w:rPr>
          <w:b/>
          <w:i/>
        </w:rPr>
      </w:pPr>
      <w:r w:rsidRPr="00F626D6">
        <w:rPr>
          <w:b/>
          <w:i/>
        </w:rPr>
        <w:t>Please confirm whether the placebo vehicle used in both pivotal studies were identical</w:t>
      </w:r>
    </w:p>
    <w:p w14:paraId="10911566" w14:textId="77777777" w:rsidR="00191EA7" w:rsidRPr="00191EA7" w:rsidRDefault="00191EA7" w:rsidP="00191EA7">
      <w:r>
        <w:t>Both pivota</w:t>
      </w:r>
      <w:r w:rsidR="00570FC6">
        <w:t>l studies were double-blinded, v</w:t>
      </w:r>
      <w:r>
        <w:t>ehicle controlled to e</w:t>
      </w:r>
      <w:r w:rsidR="00570FC6">
        <w:t>valuate efficacy and safety of t</w:t>
      </w:r>
      <w:r>
        <w:t>rifarotene 50 µg/g</w:t>
      </w:r>
      <w:r w:rsidR="00570FC6">
        <w:t xml:space="preserve"> cream. The active drug cream (t</w:t>
      </w:r>
      <w:r>
        <w:t>rifarotene 50 µg/g) and vehicle drug cream were identical in pharmaceutical form cream except for the abs</w:t>
      </w:r>
      <w:r w:rsidR="00570FC6">
        <w:t>ence of the active ingredient (t</w:t>
      </w:r>
      <w:r>
        <w:t>rifarotene 50 µg/g). Packaging type, size and storage conditions for both treatment arms were also identical (Study 18251 Section 9.4.2; Study 18252 Section 9.4.2</w:t>
      </w:r>
      <w:r w:rsidR="00570FC6">
        <w:t xml:space="preserve"> in sponsor</w:t>
      </w:r>
      <w:r w:rsidR="00987D70">
        <w:t>’s</w:t>
      </w:r>
      <w:r w:rsidR="00570FC6">
        <w:t xml:space="preserve"> submitted dossier</w:t>
      </w:r>
      <w:r>
        <w:t>).</w:t>
      </w:r>
    </w:p>
    <w:p w14:paraId="28EEACE4" w14:textId="447D34A8" w:rsidR="008E7846" w:rsidRDefault="008E7846" w:rsidP="007D53B6">
      <w:pPr>
        <w:pStyle w:val="Heading4"/>
      </w:pPr>
      <w:r>
        <w:t xml:space="preserve">Advisory </w:t>
      </w:r>
      <w:r w:rsidR="00A1179C">
        <w:t>c</w:t>
      </w:r>
      <w:r>
        <w:t xml:space="preserve">ommittee </w:t>
      </w:r>
      <w:r w:rsidR="007D53B6">
        <w:t>c</w:t>
      </w:r>
      <w:r>
        <w:t>onsiderations</w:t>
      </w:r>
      <w:r w:rsidR="00456765">
        <w:rPr>
          <w:rStyle w:val="FootnoteReference"/>
        </w:rPr>
        <w:footnoteReference w:id="17"/>
      </w:r>
    </w:p>
    <w:p w14:paraId="676B8190" w14:textId="77777777" w:rsidR="00744121" w:rsidRDefault="00744121" w:rsidP="00744121">
      <w:pPr>
        <w:rPr>
          <w:bCs/>
        </w:rPr>
      </w:pPr>
      <w:bookmarkStart w:id="50" w:name="_Toc247691532"/>
      <w:bookmarkStart w:id="51" w:name="_Toc314842516"/>
      <w:bookmarkEnd w:id="31"/>
      <w:bookmarkEnd w:id="46"/>
      <w:bookmarkEnd w:id="47"/>
      <w:r w:rsidRPr="00456765">
        <w:rPr>
          <w:bCs/>
        </w:rPr>
        <w:t>The Advisory Committee on Medicines (ACM), having considered the evaluations and the Delegate’s overview, as well as the sponsor’s response to these documents, advised the following</w:t>
      </w:r>
      <w:r>
        <w:rPr>
          <w:bCs/>
        </w:rPr>
        <w:t>.</w:t>
      </w:r>
    </w:p>
    <w:p w14:paraId="2256703E" w14:textId="6917C3CA" w:rsidR="00744121" w:rsidRDefault="00744121" w:rsidP="00744121">
      <w:pPr>
        <w:pStyle w:val="Heading5"/>
      </w:pPr>
      <w:r>
        <w:t xml:space="preserve">Specific advice to the </w:t>
      </w:r>
      <w:r w:rsidR="00A1179C">
        <w:t>d</w:t>
      </w:r>
      <w:r>
        <w:t>elegate</w:t>
      </w:r>
    </w:p>
    <w:p w14:paraId="691CC8D2" w14:textId="77777777" w:rsidR="00F626D6" w:rsidRDefault="00F626D6" w:rsidP="00F626D6">
      <w:pPr>
        <w:pStyle w:val="Numberbullet0"/>
        <w:numPr>
          <w:ilvl w:val="0"/>
          <w:numId w:val="34"/>
        </w:numPr>
        <w:rPr>
          <w:b/>
          <w:i/>
        </w:rPr>
      </w:pPr>
      <w:r w:rsidRPr="00F626D6">
        <w:rPr>
          <w:b/>
          <w:i/>
        </w:rPr>
        <w:t>What are the committee's views on the magnitude of efficacy of trifarotene, compared to placebo in the pivotal studies?</w:t>
      </w:r>
    </w:p>
    <w:p w14:paraId="10511960" w14:textId="77777777" w:rsidR="00F626D6" w:rsidRPr="00F626D6" w:rsidRDefault="00F626D6" w:rsidP="00F626D6">
      <w:r w:rsidRPr="00F626D6">
        <w:t>The ACM considers the comparison between the placebo and treatment group to be an imperfect comparison, rather trifarotene should have been compared with other retinoids currently approved for treatment of acne vulgaris. Skincare is a crucial part of acne management, but it is not controlled between placebo and treatment groups. The ACM was of the view that there are minor flaws in the experimental design of the clinical trials, however, the results of the studies do support the indication.</w:t>
      </w:r>
    </w:p>
    <w:p w14:paraId="12473FBC" w14:textId="77777777" w:rsidR="00F626D6" w:rsidRDefault="00F626D6" w:rsidP="00F626D6">
      <w:pPr>
        <w:pStyle w:val="Numberbullet0"/>
        <w:rPr>
          <w:b/>
          <w:i/>
        </w:rPr>
      </w:pPr>
      <w:r w:rsidRPr="00F626D6">
        <w:rPr>
          <w:b/>
          <w:i/>
        </w:rPr>
        <w:t>Please comment whether the safety aspects of trifarotene are adequately covered in the PI.</w:t>
      </w:r>
    </w:p>
    <w:p w14:paraId="5264CA31" w14:textId="22A8BA90" w:rsidR="00F626D6" w:rsidRPr="00F626D6" w:rsidRDefault="00F626D6" w:rsidP="00570FC6">
      <w:r w:rsidRPr="00F626D6">
        <w:t xml:space="preserve">The ACM was of view that the </w:t>
      </w:r>
      <w:r w:rsidR="0080690D" w:rsidRPr="00760AEE">
        <w:rPr>
          <w:i/>
        </w:rPr>
        <w:t>P</w:t>
      </w:r>
      <w:r w:rsidRPr="00760AEE">
        <w:rPr>
          <w:i/>
        </w:rPr>
        <w:t>recau</w:t>
      </w:r>
      <w:r w:rsidR="00EA490B" w:rsidRPr="00760AEE">
        <w:rPr>
          <w:i/>
        </w:rPr>
        <w:t>tion</w:t>
      </w:r>
      <w:r w:rsidR="00EA490B">
        <w:t xml:space="preserve"> section of the PI for Aklief</w:t>
      </w:r>
      <w:r w:rsidRPr="00F626D6">
        <w:t xml:space="preserve"> (trifarotene) should include </w:t>
      </w:r>
      <w:r w:rsidRPr="00760AEE">
        <w:rPr>
          <w:i/>
        </w:rPr>
        <w:t>increased risk of sun burn/skin sensitivity</w:t>
      </w:r>
      <w:r w:rsidRPr="00F626D6">
        <w:t xml:space="preserve">. The ACM was of the opinion that monitoring of patients for sunburn is not required to be mentioned in the PI. However, added statements in the </w:t>
      </w:r>
      <w:r w:rsidR="00570FC6">
        <w:t>consumer medicines information</w:t>
      </w:r>
      <w:r w:rsidR="00570FC6" w:rsidRPr="00F626D6">
        <w:t xml:space="preserve"> </w:t>
      </w:r>
      <w:r w:rsidR="00570FC6">
        <w:t>(</w:t>
      </w:r>
      <w:r w:rsidRPr="00F626D6">
        <w:t>CMI</w:t>
      </w:r>
      <w:r w:rsidR="00570FC6">
        <w:t>)</w:t>
      </w:r>
      <w:r w:rsidRPr="00F626D6">
        <w:t xml:space="preserve"> to inform patients to take sun protection measu</w:t>
      </w:r>
      <w:r w:rsidR="00BF5D8A">
        <w:t>res was considered as adequate.</w:t>
      </w:r>
    </w:p>
    <w:p w14:paraId="7FAD8ACB" w14:textId="77777777" w:rsidR="00F626D6" w:rsidRPr="00F626D6" w:rsidRDefault="00F626D6" w:rsidP="00F626D6">
      <w:r w:rsidRPr="00F626D6">
        <w:t>The ACM was of view that the PI will require amendments to keep details consistent to the prescribing information and proofreading to keep the PI consistent with TGA editing and styling standards.</w:t>
      </w:r>
    </w:p>
    <w:p w14:paraId="3FB29B83" w14:textId="77777777" w:rsidR="00F626D6" w:rsidRDefault="00F626D6" w:rsidP="00F626D6">
      <w:pPr>
        <w:pStyle w:val="Numberbullet0"/>
        <w:rPr>
          <w:b/>
          <w:i/>
        </w:rPr>
      </w:pPr>
      <w:r w:rsidRPr="00F626D6">
        <w:rPr>
          <w:b/>
          <w:i/>
        </w:rPr>
        <w:t>The committee is (also) requested to provide advice on any other issues that it thinks may be relevant to a decision on whether or not to approve this application.</w:t>
      </w:r>
    </w:p>
    <w:p w14:paraId="4204BD8B" w14:textId="77777777" w:rsidR="00F626D6" w:rsidRPr="00F626D6" w:rsidRDefault="00F626D6" w:rsidP="00F626D6">
      <w:r w:rsidRPr="00F626D6">
        <w:t>Nil further advice.</w:t>
      </w:r>
    </w:p>
    <w:p w14:paraId="4AE845E0" w14:textId="77777777" w:rsidR="00744121" w:rsidRDefault="00744121" w:rsidP="00744121">
      <w:pPr>
        <w:pStyle w:val="Heading5"/>
      </w:pPr>
      <w:r>
        <w:t>Conclusion</w:t>
      </w:r>
    </w:p>
    <w:p w14:paraId="4BCD8E0C" w14:textId="77777777" w:rsidR="00EA490B" w:rsidRDefault="00EA490B" w:rsidP="00EA490B">
      <w:r>
        <w:t>The ACM considered this product to have an overall positive benefit-risk profile for the indication:</w:t>
      </w:r>
    </w:p>
    <w:p w14:paraId="27CF3CE0" w14:textId="77777777" w:rsidR="00EA490B" w:rsidRPr="00EA490B" w:rsidRDefault="00EA490B" w:rsidP="00EA490B">
      <w:pPr>
        <w:ind w:left="720"/>
        <w:rPr>
          <w:i/>
        </w:rPr>
      </w:pPr>
      <w:r w:rsidRPr="00EA490B">
        <w:rPr>
          <w:i/>
        </w:rPr>
        <w:t>Aklief is indicated for the topical treatment of acne vulgaris of the face and/or the trunk in patients 12 years of age or older, when comedones, papules and/or pustules are present.</w:t>
      </w:r>
    </w:p>
    <w:p w14:paraId="545F2109" w14:textId="77777777" w:rsidR="008E7846" w:rsidRPr="002E238E" w:rsidRDefault="008E7846" w:rsidP="008E7846">
      <w:pPr>
        <w:pStyle w:val="Heading3"/>
      </w:pPr>
      <w:bookmarkStart w:id="52" w:name="_Toc67320892"/>
      <w:r>
        <w:t>Outcome</w:t>
      </w:r>
      <w:bookmarkEnd w:id="50"/>
      <w:bookmarkEnd w:id="51"/>
      <w:bookmarkEnd w:id="52"/>
    </w:p>
    <w:p w14:paraId="608330EE" w14:textId="77777777" w:rsidR="00744121" w:rsidRDefault="00744121" w:rsidP="00744121">
      <w:bookmarkStart w:id="53" w:name="_Toc247691533"/>
      <w:bookmarkStart w:id="54" w:name="_Toc314842517"/>
      <w:r>
        <w:t xml:space="preserve">Based on a review of quality, safety and efficacy, the TGA approved the registration of </w:t>
      </w:r>
      <w:r w:rsidR="00A671E9">
        <w:t>Aklief</w:t>
      </w:r>
      <w:r w:rsidRPr="00250271">
        <w:t xml:space="preserve"> (</w:t>
      </w:r>
      <w:r w:rsidR="00A671E9">
        <w:t>trifarotene</w:t>
      </w:r>
      <w:r w:rsidRPr="00250271">
        <w:t>)</w:t>
      </w:r>
      <w:r w:rsidR="00A671E9" w:rsidRPr="00A671E9">
        <w:t xml:space="preserve"> </w:t>
      </w:r>
      <w:r w:rsidR="00A671E9">
        <w:t>50</w:t>
      </w:r>
      <w:r w:rsidR="00987D70">
        <w:t xml:space="preserve"> </w:t>
      </w:r>
      <w:r w:rsidR="00A671E9">
        <w:t>µg/g, cream, bottle and tube</w:t>
      </w:r>
      <w:r>
        <w:t>, indicated for:</w:t>
      </w:r>
    </w:p>
    <w:p w14:paraId="23F9126C" w14:textId="77777777" w:rsidR="007D53B6" w:rsidRPr="00A671E9" w:rsidRDefault="00A671E9" w:rsidP="00A671E9">
      <w:pPr>
        <w:ind w:left="720"/>
        <w:rPr>
          <w:i/>
        </w:rPr>
      </w:pPr>
      <w:r w:rsidRPr="00A671E9">
        <w:rPr>
          <w:i/>
        </w:rPr>
        <w:t>Aklief is indicated for the topical treatment of Acne Vulgaris of the face and/or the trunk in patients from 12 years of age and older, when many comedones, papules and/or pustules are present.</w:t>
      </w:r>
    </w:p>
    <w:p w14:paraId="25448BA8" w14:textId="77777777" w:rsidR="00744121" w:rsidRDefault="00D23139" w:rsidP="00A671E9">
      <w:pPr>
        <w:pStyle w:val="Heading4"/>
      </w:pPr>
      <w:r w:rsidRPr="00D23139">
        <w:t>Specific conditions of registration applying to these goods</w:t>
      </w:r>
    </w:p>
    <w:p w14:paraId="51AE7E60" w14:textId="77777777" w:rsidR="00456765" w:rsidRDefault="00A671E9" w:rsidP="00A671E9">
      <w:pPr>
        <w:pStyle w:val="ListBullet"/>
      </w:pPr>
      <w:r>
        <w:t>Aklief (trifarotene) is to be included in the Black Triangle Scheme. The PI and CMI for Aklief must include the black triangle symbol and mandatory accompanying text for five years, which starts from the date that the sponsor notifies the TGA of supply of the product.</w:t>
      </w:r>
    </w:p>
    <w:p w14:paraId="2E331A9E" w14:textId="77777777" w:rsidR="00A671E9" w:rsidRDefault="00A671E9" w:rsidP="00A671E9">
      <w:pPr>
        <w:pStyle w:val="ListBullet"/>
      </w:pPr>
      <w:r>
        <w:t>The Aklief EU-</w:t>
      </w:r>
      <w:r w:rsidR="00570FC6">
        <w:t>RMP</w:t>
      </w:r>
      <w:r>
        <w:t xml:space="preserve"> (versi</w:t>
      </w:r>
      <w:r w:rsidR="00570FC6">
        <w:t xml:space="preserve">on 1.3, dated 9 December 2019; </w:t>
      </w:r>
      <w:r w:rsidR="0009366D">
        <w:t>DLP</w:t>
      </w:r>
      <w:r>
        <w:t xml:space="preserve"> 14 March 2018), with </w:t>
      </w:r>
      <w:r w:rsidR="00570FC6">
        <w:t>ASA</w:t>
      </w:r>
      <w:r>
        <w:t xml:space="preserve"> (version 1.1, August 2020), included with submission PM-2020-01095-1-1, and any subsequent revisions, as agreed with the TGA will be implemented in Australia.</w:t>
      </w:r>
    </w:p>
    <w:p w14:paraId="7990EEE5" w14:textId="77777777" w:rsidR="00A671E9" w:rsidRDefault="00A671E9" w:rsidP="00A671E9">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4829BCAE" w14:textId="77777777" w:rsidR="00A671E9" w:rsidRDefault="00A671E9" w:rsidP="00A671E9">
      <w:pPr>
        <w:pStyle w:val="ListBullet"/>
        <w:numPr>
          <w:ilvl w:val="0"/>
          <w:numId w:val="0"/>
        </w:numPr>
        <w:ind w:left="360"/>
      </w:pPr>
      <w:r>
        <w:t>Unless agreed separately between the supplier who is the recipient of the approval and the TGA, the first report must be submitted to TGA no later than 15 calend</w:t>
      </w:r>
      <w:r w:rsidR="00230968">
        <w:t>ar months after the date of the</w:t>
      </w:r>
      <w:r>
        <w:t xml:space="preserve">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043831DC" w14:textId="77777777" w:rsidR="00A671E9" w:rsidRDefault="00A671E9" w:rsidP="00A671E9">
      <w:pPr>
        <w:pStyle w:val="ListBullet"/>
        <w:numPr>
          <w:ilvl w:val="0"/>
          <w:numId w:val="0"/>
        </w:numPr>
        <w:ind w:left="360"/>
      </w:pPr>
      <w:r>
        <w:t>Once the EU reference dates are available, reports are to be provided in line with the published list of EU reference dates and frequency of submission of PSURs until the period covered by such reports is not less than three years from the date of this approval letter.</w:t>
      </w:r>
    </w:p>
    <w:p w14:paraId="7ADD85CE" w14:textId="77777777" w:rsidR="00A671E9" w:rsidRDefault="00A671E9" w:rsidP="00570FC6">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w:t>
      </w:r>
      <w:r w:rsidR="00570FC6">
        <w:t xml:space="preserve">hin ninety calendar days of the </w:t>
      </w:r>
      <w:r>
        <w:t>data lock point for that report.</w:t>
      </w:r>
    </w:p>
    <w:p w14:paraId="1F633B94" w14:textId="77777777" w:rsidR="008E7846" w:rsidRDefault="00A80B5B" w:rsidP="00D23139">
      <w:pPr>
        <w:pStyle w:val="Heading2"/>
      </w:pPr>
      <w:bookmarkStart w:id="55" w:name="_Toc67320893"/>
      <w:r>
        <w:t xml:space="preserve">Attachment 1. </w:t>
      </w:r>
      <w:r w:rsidR="008E7846">
        <w:t xml:space="preserve">Product </w:t>
      </w:r>
      <w:r w:rsidR="00AA0ED0">
        <w:t>I</w:t>
      </w:r>
      <w:r w:rsidR="008E7846">
        <w:t>nformation</w:t>
      </w:r>
      <w:bookmarkEnd w:id="53"/>
      <w:bookmarkEnd w:id="54"/>
      <w:bookmarkEnd w:id="55"/>
    </w:p>
    <w:p w14:paraId="3CF16D77" w14:textId="673583C3" w:rsidR="00C80137" w:rsidRDefault="006136D7" w:rsidP="00C80137">
      <w:pPr>
        <w:rPr>
          <w:color w:val="000000"/>
          <w:lang w:eastAsia="en-AU"/>
        </w:rPr>
      </w:pPr>
      <w:r w:rsidRPr="002B3624">
        <w:t xml:space="preserve">The </w:t>
      </w:r>
      <w:r>
        <w:t>PI</w:t>
      </w:r>
      <w:r w:rsidR="00A671E9">
        <w:t xml:space="preserve"> for Aklief</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2" w:history="1">
        <w:r w:rsidR="007C6B9B" w:rsidRPr="007C6B9B">
          <w:rPr>
            <w:rStyle w:val="Hyperlink"/>
          </w:rPr>
          <w:t>https://www.tga.gov.au/product-information-pi</w:t>
        </w:r>
      </w:hyperlink>
      <w:r w:rsidR="00A671E9">
        <w:t>&gt;.</w:t>
      </w:r>
    </w:p>
    <w:p w14:paraId="150139C3" w14:textId="77777777" w:rsidR="00C80137" w:rsidRPr="001D043B" w:rsidRDefault="008E7846" w:rsidP="00A66AF1">
      <w:pPr>
        <w:autoSpaceDE w:val="0"/>
        <w:autoSpaceDN w:val="0"/>
        <w:adjustRightInd w:val="0"/>
        <w:spacing w:after="0"/>
        <w:rPr>
          <w:lang w:eastAsia="ja-JP"/>
        </w:rPr>
        <w:sectPr w:rsidR="00C80137" w:rsidRPr="001D043B" w:rsidSect="00B452CE">
          <w:headerReference w:type="even" r:id="rId43"/>
          <w:headerReference w:type="default" r:id="rId44"/>
          <w:headerReference w:type="first" r:id="rId45"/>
          <w:footerReference w:type="first" r:id="rId46"/>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EF06BE4" w14:textId="77777777" w:rsidTr="00A05FA4">
        <w:trPr>
          <w:trHeight w:hRule="exact" w:val="704"/>
        </w:trPr>
        <w:tc>
          <w:tcPr>
            <w:tcW w:w="9175" w:type="dxa"/>
          </w:tcPr>
          <w:p w14:paraId="6B11A4E9" w14:textId="77777777" w:rsidR="001C32CD" w:rsidRPr="00487162" w:rsidRDefault="001C32CD" w:rsidP="00A05FA4">
            <w:pPr>
              <w:pStyle w:val="TGASignoff"/>
            </w:pPr>
            <w:r w:rsidRPr="00487162">
              <w:t>Therapeutic Goods Administration</w:t>
            </w:r>
          </w:p>
        </w:tc>
      </w:tr>
      <w:tr w:rsidR="001C32CD" w:rsidRPr="004C239D" w14:paraId="3EF8F4E8" w14:textId="77777777" w:rsidTr="00A05FA4">
        <w:trPr>
          <w:trHeight w:val="1221"/>
        </w:trPr>
        <w:tc>
          <w:tcPr>
            <w:tcW w:w="9175" w:type="dxa"/>
            <w:tcMar>
              <w:top w:w="28" w:type="dxa"/>
            </w:tcMar>
          </w:tcPr>
          <w:p w14:paraId="0867DD60" w14:textId="77777777" w:rsidR="001C32CD" w:rsidRPr="00487162" w:rsidRDefault="001C32CD" w:rsidP="00A05FA4">
            <w:pPr>
              <w:pStyle w:val="Address"/>
            </w:pPr>
            <w:r w:rsidRPr="00487162">
              <w:t>PO Box 100 Woden ACT 2606 Australia</w:t>
            </w:r>
          </w:p>
          <w:p w14:paraId="13A473A9" w14:textId="0B0CCE2C" w:rsidR="001C32CD" w:rsidRPr="00487162" w:rsidRDefault="001C32CD" w:rsidP="00A05FA4">
            <w:pPr>
              <w:pStyle w:val="Address"/>
            </w:pPr>
            <w:r w:rsidRPr="00487162">
              <w:t xml:space="preserve">Email: </w:t>
            </w:r>
            <w:hyperlink r:id="rId47" w:history="1">
              <w:r w:rsidRPr="004C239D">
                <w:rPr>
                  <w:rStyle w:val="Hyperlink"/>
                </w:rPr>
                <w:t>info@tga.gov.au</w:t>
              </w:r>
            </w:hyperlink>
            <w:r w:rsidRPr="00487162">
              <w:t xml:space="preserve">  Phone: 1800 020 653  Fax: 02 6232 8605</w:t>
            </w:r>
          </w:p>
          <w:p w14:paraId="26F5CE52" w14:textId="054E2AE8" w:rsidR="001C32CD" w:rsidRPr="004C239D" w:rsidRDefault="006A6DCA" w:rsidP="00A05FA4">
            <w:pPr>
              <w:pStyle w:val="Address"/>
              <w:spacing w:line="260" w:lineRule="atLeast"/>
              <w:rPr>
                <w:b/>
                <w:color w:val="0000FF"/>
                <w:u w:val="single"/>
              </w:rPr>
            </w:pPr>
            <w:hyperlink r:id="rId48" w:history="1">
              <w:r w:rsidR="007C6B9B" w:rsidRPr="007C6B9B">
                <w:rPr>
                  <w:rStyle w:val="Hyperlink"/>
                  <w:b/>
                </w:rPr>
                <w:t>https://www.tga.gov.au</w:t>
              </w:r>
            </w:hyperlink>
          </w:p>
        </w:tc>
      </w:tr>
    </w:tbl>
    <w:p w14:paraId="6FD84F4E" w14:textId="77777777" w:rsidR="00774E1D" w:rsidRPr="008A5E0B" w:rsidRDefault="00774E1D" w:rsidP="004C239D"/>
    <w:sectPr w:rsidR="00774E1D" w:rsidRPr="008A5E0B"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38D92" w14:textId="77777777" w:rsidR="006A6DCA" w:rsidRDefault="006A6DCA" w:rsidP="00C40A36">
      <w:pPr>
        <w:spacing w:after="0"/>
      </w:pPr>
      <w:r>
        <w:separator/>
      </w:r>
    </w:p>
  </w:endnote>
  <w:endnote w:type="continuationSeparator" w:id="0">
    <w:p w14:paraId="204E53EC" w14:textId="77777777" w:rsidR="006A6DCA" w:rsidRDefault="006A6DC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DAF88" w14:textId="77777777" w:rsidR="006A6DCA" w:rsidRDefault="006A6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A6DCA" w:rsidRPr="00487162" w14:paraId="3BAAA469" w14:textId="77777777" w:rsidTr="00DB750B">
      <w:trPr>
        <w:trHeight w:val="269"/>
      </w:trPr>
      <w:tc>
        <w:tcPr>
          <w:tcW w:w="7371" w:type="dxa"/>
          <w:tcMar>
            <w:top w:w="142" w:type="dxa"/>
            <w:bottom w:w="0" w:type="dxa"/>
          </w:tcMar>
        </w:tcPr>
        <w:p w14:paraId="4FF84AE2" w14:textId="7046D115" w:rsidR="006A6DCA" w:rsidRPr="00487162" w:rsidRDefault="006A6DCA" w:rsidP="00B631AF">
          <w:pPr>
            <w:pStyle w:val="Footer"/>
          </w:pPr>
          <w:r w:rsidRPr="00487162">
            <w:t>AusPA</w:t>
          </w:r>
          <w:r>
            <w:t>R - Aklief– trifarotene</w:t>
          </w:r>
          <w:r w:rsidRPr="00460036">
            <w:t xml:space="preserve"> </w:t>
          </w:r>
          <w:r>
            <w:t>– Galderma Australia Pty Ltd PM-2020-01095-1-1</w:t>
          </w:r>
          <w:r>
            <w:br/>
            <w:t>FINAL 18 March 2021</w:t>
          </w:r>
        </w:p>
      </w:tc>
      <w:tc>
        <w:tcPr>
          <w:tcW w:w="1490" w:type="dxa"/>
          <w:tcMar>
            <w:top w:w="142" w:type="dxa"/>
            <w:bottom w:w="0" w:type="dxa"/>
          </w:tcMar>
        </w:tcPr>
        <w:p w14:paraId="035DAC61" w14:textId="384B533D" w:rsidR="006A6DCA" w:rsidRPr="00487162" w:rsidRDefault="006A6DCA" w:rsidP="00DB750B">
          <w:pPr>
            <w:pStyle w:val="Footer"/>
            <w:jc w:val="right"/>
          </w:pPr>
          <w:r w:rsidRPr="00487162">
            <w:t xml:space="preserve">Page </w:t>
          </w:r>
          <w:r>
            <w:fldChar w:fldCharType="begin"/>
          </w:r>
          <w:r>
            <w:instrText xml:space="preserve"> PAGE  \* Arabic </w:instrText>
          </w:r>
          <w:r>
            <w:fldChar w:fldCharType="separate"/>
          </w:r>
          <w:r w:rsidR="00570DED">
            <w:rPr>
              <w:noProof/>
            </w:rPr>
            <w:t>3</w:t>
          </w:r>
          <w:r>
            <w:fldChar w:fldCharType="end"/>
          </w:r>
          <w:r w:rsidRPr="00487162">
            <w:t xml:space="preserve"> of </w:t>
          </w:r>
          <w:fldSimple w:instr=" NUMPAGES  \* Arabic ">
            <w:r w:rsidR="00570DED">
              <w:rPr>
                <w:noProof/>
              </w:rPr>
              <w:t>36</w:t>
            </w:r>
          </w:fldSimple>
        </w:p>
      </w:tc>
    </w:tr>
  </w:tbl>
  <w:p w14:paraId="1C721934" w14:textId="77777777" w:rsidR="006A6DCA" w:rsidRDefault="006A6DCA"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DF544" w14:textId="77777777" w:rsidR="006A6DCA" w:rsidRDefault="006A6D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A6DCA" w:rsidRPr="00487162" w14:paraId="1A023E22" w14:textId="77777777" w:rsidTr="00E45619">
      <w:trPr>
        <w:trHeight w:val="269"/>
      </w:trPr>
      <w:tc>
        <w:tcPr>
          <w:tcW w:w="4519" w:type="dxa"/>
          <w:tcBorders>
            <w:top w:val="single" w:sz="4" w:space="0" w:color="auto"/>
          </w:tcBorders>
          <w:tcMar>
            <w:top w:w="142" w:type="dxa"/>
            <w:bottom w:w="0" w:type="dxa"/>
          </w:tcMar>
        </w:tcPr>
        <w:p w14:paraId="49D77172" w14:textId="77777777" w:rsidR="006A6DCA" w:rsidRPr="00487162" w:rsidRDefault="006A6DCA" w:rsidP="00FE1DEE">
          <w:pPr>
            <w:pStyle w:val="Footer"/>
          </w:pPr>
          <w:r w:rsidRPr="00487162">
            <w:t>Document title, Part #, Section # - Section title</w:t>
          </w:r>
        </w:p>
        <w:p w14:paraId="692800E5" w14:textId="77777777" w:rsidR="006A6DCA" w:rsidRPr="00487162" w:rsidRDefault="006A6DCA" w:rsidP="00FE1DEE">
          <w:pPr>
            <w:pStyle w:val="Footer"/>
          </w:pPr>
          <w:r w:rsidRPr="00487162">
            <w:t>V1.0 October 2010</w:t>
          </w:r>
        </w:p>
      </w:tc>
      <w:tc>
        <w:tcPr>
          <w:tcW w:w="4342" w:type="dxa"/>
          <w:tcBorders>
            <w:top w:val="single" w:sz="4" w:space="0" w:color="auto"/>
          </w:tcBorders>
          <w:tcMar>
            <w:top w:w="142" w:type="dxa"/>
            <w:bottom w:w="0" w:type="dxa"/>
          </w:tcMar>
        </w:tcPr>
        <w:p w14:paraId="3EB75344" w14:textId="77777777" w:rsidR="006A6DCA" w:rsidRPr="00487162" w:rsidRDefault="006A6DC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63165D70" w14:textId="77777777" w:rsidR="006A6DCA" w:rsidRDefault="006A6D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9DE3" w14:textId="77777777" w:rsidR="006A6DCA" w:rsidRPr="001C32CD" w:rsidRDefault="006A6DCA"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A6DCA" w14:paraId="1E47C10F" w14:textId="77777777" w:rsidTr="0010601F">
      <w:trPr>
        <w:trHeight w:val="108"/>
      </w:trPr>
      <w:tc>
        <w:tcPr>
          <w:tcW w:w="8875" w:type="dxa"/>
          <w:gridSpan w:val="2"/>
          <w:tcBorders>
            <w:bottom w:val="single" w:sz="4" w:space="0" w:color="auto"/>
          </w:tcBorders>
          <w:tcMar>
            <w:right w:w="284" w:type="dxa"/>
          </w:tcMar>
        </w:tcPr>
        <w:p w14:paraId="2F8B2F1D" w14:textId="77777777" w:rsidR="006A6DCA" w:rsidRDefault="006A6DCA" w:rsidP="006E08B3">
          <w:pPr>
            <w:pStyle w:val="Heading3"/>
          </w:pPr>
          <w:r>
            <w:t>Copyright</w:t>
          </w:r>
        </w:p>
        <w:p w14:paraId="099B3917" w14:textId="77777777" w:rsidR="006A6DCA" w:rsidRDefault="006A6DCA" w:rsidP="006E08B3">
          <w:r>
            <w:rPr>
              <w:rFonts w:cs="Arial"/>
            </w:rPr>
            <w:t>©</w:t>
          </w:r>
          <w:r>
            <w:t xml:space="preserve"> Commonwealth of Australia [add year]</w:t>
          </w:r>
        </w:p>
        <w:p w14:paraId="22E9DAC2" w14:textId="77777777" w:rsidR="006A6DCA" w:rsidRDefault="006A6DCA" w:rsidP="006E08B3"/>
        <w:p w14:paraId="007A0F2F" w14:textId="77777777" w:rsidR="006A6DCA" w:rsidRDefault="006A6DC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5A53538" w14:textId="77777777" w:rsidR="006A6DCA" w:rsidRDefault="006A6DCA" w:rsidP="006E08B3"/>
        <w:p w14:paraId="0DF79990" w14:textId="77777777" w:rsidR="006A6DCA" w:rsidRDefault="006A6DCA" w:rsidP="006E08B3">
          <w:pPr>
            <w:pStyle w:val="Heading3"/>
          </w:pPr>
          <w:r>
            <w:t>Confidentiality</w:t>
          </w:r>
        </w:p>
        <w:p w14:paraId="6ECADDAF" w14:textId="77777777" w:rsidR="006A6DCA" w:rsidRDefault="006A6DC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7A78180" w14:textId="77777777" w:rsidR="006A6DCA" w:rsidRDefault="006A6DCA" w:rsidP="006E08B3"/>
        <w:p w14:paraId="70200050" w14:textId="77777777" w:rsidR="006A6DCA" w:rsidRDefault="006A6DCA" w:rsidP="006E08B3">
          <w:r>
            <w:t>For submission made by individuals, all personal details, other than your name, will be removed from your submission before it is published on the TGA’s Internet site.</w:t>
          </w:r>
        </w:p>
        <w:p w14:paraId="16B8DDCC" w14:textId="77777777" w:rsidR="006A6DCA" w:rsidRDefault="006A6DCA" w:rsidP="006E08B3"/>
        <w:p w14:paraId="4D21A1C4" w14:textId="77777777" w:rsidR="006A6DCA" w:rsidRDefault="006A6DCA" w:rsidP="006E08B3">
          <w:r>
            <w:t>In addition, a list of parties making submissions will be published. If you do not wish to be identified with your submission you must specifically request this in the space provided ib the submission coversheet.</w:t>
          </w:r>
        </w:p>
      </w:tc>
    </w:tr>
    <w:tr w:rsidR="006A6DCA" w14:paraId="505A05EC" w14:textId="77777777" w:rsidTr="0010601F">
      <w:trPr>
        <w:trHeight w:val="417"/>
      </w:trPr>
      <w:tc>
        <w:tcPr>
          <w:tcW w:w="4519" w:type="dxa"/>
          <w:tcBorders>
            <w:top w:val="single" w:sz="4" w:space="0" w:color="auto"/>
          </w:tcBorders>
          <w:tcMar>
            <w:top w:w="142" w:type="dxa"/>
            <w:bottom w:w="0" w:type="dxa"/>
          </w:tcMar>
        </w:tcPr>
        <w:p w14:paraId="41C622A8" w14:textId="77777777" w:rsidR="006A6DCA" w:rsidRDefault="006A6DCA" w:rsidP="006E08B3">
          <w:r>
            <w:t>Document title, Part #, Section # - Section title</w:t>
          </w:r>
        </w:p>
        <w:p w14:paraId="692C6870" w14:textId="77777777" w:rsidR="006A6DCA" w:rsidRDefault="006A6DCA" w:rsidP="006E08B3">
          <w:r>
            <w:t>V1.0 October 2010</w:t>
          </w:r>
        </w:p>
      </w:tc>
      <w:tc>
        <w:tcPr>
          <w:tcW w:w="4356" w:type="dxa"/>
          <w:tcBorders>
            <w:top w:val="single" w:sz="4" w:space="0" w:color="auto"/>
          </w:tcBorders>
          <w:tcMar>
            <w:top w:w="142" w:type="dxa"/>
            <w:bottom w:w="0" w:type="dxa"/>
          </w:tcMar>
        </w:tcPr>
        <w:p w14:paraId="67AF6F9F" w14:textId="77777777" w:rsidR="006A6DCA" w:rsidRDefault="006A6DC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28A1FC70" w14:textId="77777777" w:rsidR="006A6DCA" w:rsidRDefault="006A6DC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1E8BE" w14:textId="77777777" w:rsidR="006A6DCA" w:rsidRDefault="006A6DCA" w:rsidP="00C40A36">
      <w:pPr>
        <w:spacing w:after="0"/>
      </w:pPr>
      <w:r>
        <w:separator/>
      </w:r>
    </w:p>
  </w:footnote>
  <w:footnote w:type="continuationSeparator" w:id="0">
    <w:p w14:paraId="5B179FA1" w14:textId="77777777" w:rsidR="006A6DCA" w:rsidRDefault="006A6DCA" w:rsidP="00C40A36">
      <w:pPr>
        <w:spacing w:after="0"/>
      </w:pPr>
      <w:r>
        <w:continuationSeparator/>
      </w:r>
    </w:p>
  </w:footnote>
  <w:footnote w:id="1">
    <w:p w14:paraId="0474D0ED" w14:textId="77777777" w:rsidR="006A6DCA" w:rsidRDefault="006A6DCA">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07FC5C7" w14:textId="77777777" w:rsidR="006A6DCA" w:rsidRDefault="006A6DCA">
      <w:pPr>
        <w:pStyle w:val="FootnoteText"/>
      </w:pPr>
      <w:r>
        <w:rPr>
          <w:rStyle w:val="FootnoteReference"/>
        </w:rPr>
        <w:footnoteRef/>
      </w:r>
      <w:r>
        <w:t xml:space="preserve"> </w:t>
      </w:r>
      <w:r w:rsidRPr="000C1CD2">
        <w:t xml:space="preserve">Thiboutot, D.M., et al., </w:t>
      </w:r>
      <w:r w:rsidRPr="00E82B80">
        <w:t>Practical management of acne for clinicians: An international consensus from the Global Alliance to Improve Outcomes in Acne</w:t>
      </w:r>
      <w:r w:rsidRPr="000C1CD2">
        <w:rPr>
          <w:i/>
        </w:rPr>
        <w:t>.</w:t>
      </w:r>
      <w:r w:rsidRPr="000C1CD2">
        <w:t xml:space="preserve"> </w:t>
      </w:r>
      <w:r w:rsidRPr="00E82B80">
        <w:rPr>
          <w:i/>
        </w:rPr>
        <w:t>J Am Acad Dermatol</w:t>
      </w:r>
      <w:r w:rsidRPr="000C1CD2">
        <w:t xml:space="preserve">, 2018. </w:t>
      </w:r>
      <w:r w:rsidRPr="00E82B80">
        <w:t>78</w:t>
      </w:r>
      <w:r w:rsidRPr="000C1CD2">
        <w:t>(2 Suppl 1): p. S1-S23.e1.</w:t>
      </w:r>
    </w:p>
  </w:footnote>
  <w:footnote w:id="3">
    <w:p w14:paraId="60E65D9A" w14:textId="1F50E3FE" w:rsidR="006A6DCA" w:rsidRDefault="006A6DCA">
      <w:pPr>
        <w:pStyle w:val="FootnoteText"/>
      </w:pPr>
      <w:r>
        <w:rPr>
          <w:rStyle w:val="FootnoteReference"/>
        </w:rPr>
        <w:footnoteRef/>
      </w:r>
      <w:r>
        <w:t xml:space="preserve"> Source: Francis, N.A et al. </w:t>
      </w:r>
      <w:r w:rsidRPr="00FF4447">
        <w:t>The management of acne vulgaris in primary care: a cohort study of consulting and prescribing patterns using the Clinical Practice Research Datalink</w:t>
      </w:r>
      <w:r>
        <w:t xml:space="preserve">. </w:t>
      </w:r>
      <w:r w:rsidRPr="00FF4447">
        <w:rPr>
          <w:i/>
        </w:rPr>
        <w:t>British Journal of Dermatology</w:t>
      </w:r>
      <w:r>
        <w:t>, 2016; 176.</w:t>
      </w:r>
    </w:p>
  </w:footnote>
  <w:footnote w:id="4">
    <w:p w14:paraId="10D3272E" w14:textId="3C217C57" w:rsidR="006A6DCA" w:rsidRPr="004B68B4" w:rsidRDefault="006A6DCA" w:rsidP="009E6E59">
      <w:pPr>
        <w:pStyle w:val="FootnoteText"/>
      </w:pPr>
      <w:r>
        <w:rPr>
          <w:rStyle w:val="FootnoteReference"/>
        </w:rPr>
        <w:footnoteRef/>
      </w:r>
      <w:r>
        <w:t xml:space="preserve"> </w:t>
      </w:r>
      <w:r w:rsidRPr="004B68B4">
        <w:t xml:space="preserve">The TGA makes use of assessments from </w:t>
      </w:r>
      <w:r w:rsidRPr="00760AEE">
        <w:rPr>
          <w:b/>
        </w:rPr>
        <w:t>comparable overseas regulators</w:t>
      </w:r>
      <w:r w:rsidRPr="004B68B4">
        <w:t xml:space="preserve"> (</w:t>
      </w:r>
      <w:r w:rsidRPr="00760AEE">
        <w:rPr>
          <w:b/>
        </w:rPr>
        <w:t>COR</w:t>
      </w:r>
      <w:r w:rsidRPr="004B68B4">
        <w:t>), w</w:t>
      </w:r>
      <w:r>
        <w:t>here possible, in the evaluation</w:t>
      </w:r>
      <w:r w:rsidRPr="004B68B4">
        <w:t xml:space="preserve"> of prescription medicines.</w:t>
      </w:r>
      <w:r>
        <w:t xml:space="preserve"> </w:t>
      </w:r>
      <w:r w:rsidRPr="004B68B4">
        <w:t xml:space="preserve">Under the </w:t>
      </w:r>
      <w:r w:rsidRPr="002C6521">
        <w:rPr>
          <w:b/>
        </w:rPr>
        <w:t>COR-B</w:t>
      </w:r>
      <w:r w:rsidRPr="004B68B4">
        <w:t xml:space="preserve"> approach, the TGA</w:t>
      </w:r>
      <w:r>
        <w:t xml:space="preserve"> regulatory decision will </w:t>
      </w:r>
      <w:r w:rsidRPr="004B68B4">
        <w:t>be mostly based on a critical review of the COR assessment reports. The COR-B process has a 175 working day evaluation and decision timeframe, allowing for TGA evaluation of certain data, in add</w:t>
      </w:r>
      <w:r>
        <w:t xml:space="preserve">ition to the label, </w:t>
      </w:r>
      <w:r w:rsidRPr="004B68B4">
        <w:t xml:space="preserve">Product Information </w:t>
      </w:r>
      <w:r>
        <w:t xml:space="preserve">(PI) and </w:t>
      </w:r>
      <w:r w:rsidRPr="004B68B4">
        <w:t xml:space="preserve">Risk Management Plan </w:t>
      </w:r>
      <w:r>
        <w:t>(RMP).</w:t>
      </w:r>
    </w:p>
    <w:p w14:paraId="0F92D8EB" w14:textId="77777777" w:rsidR="006A6DCA" w:rsidRPr="004B68B4" w:rsidRDefault="006A6DCA" w:rsidP="009E6E59">
      <w:pPr>
        <w:pStyle w:val="FootnoteText"/>
      </w:pPr>
      <w:r w:rsidRPr="004B68B4">
        <w:t xml:space="preserve">The amount and type of additional data requiring evaluation will determine whether the application is best processed under the COR-B approach </w:t>
      </w:r>
      <w:r>
        <w:t>or as a Category 1 application.</w:t>
      </w:r>
    </w:p>
    <w:p w14:paraId="0F98749C" w14:textId="77777777" w:rsidR="006A6DCA" w:rsidRDefault="006A6DCA" w:rsidP="009E6E59">
      <w:pPr>
        <w:pStyle w:val="FootnoteText"/>
      </w:pPr>
      <w:r w:rsidRPr="004B68B4">
        <w:t>Examples of additional data that may be considered under the COR-B process include updated stability data, validation data for an additional manufacturing site and updates to pivotal studies that support the proposed indication.</w:t>
      </w:r>
    </w:p>
  </w:footnote>
  <w:footnote w:id="5">
    <w:p w14:paraId="66BE31DA" w14:textId="77777777" w:rsidR="006A6DCA" w:rsidRDefault="006A6DCA">
      <w:pPr>
        <w:pStyle w:val="FootnoteText"/>
      </w:pPr>
      <w:r>
        <w:rPr>
          <w:rStyle w:val="FootnoteReference"/>
        </w:rPr>
        <w:footnoteRef/>
      </w:r>
      <w:r>
        <w:t xml:space="preserve"> </w:t>
      </w:r>
      <w:r w:rsidRPr="004C6B00">
        <w:t>ICH M3 (R2) Non-clinical safety studies for the conduct of human clinical trials for pharmaceuticals</w:t>
      </w:r>
      <w:r>
        <w:t xml:space="preserve">. </w:t>
      </w:r>
      <w:r w:rsidRPr="004C6B00">
        <w:t>This document aims to recommend international standards for the non-clinical safety studies recommended to support human clinical tria</w:t>
      </w:r>
      <w:r>
        <w:t>ls as well as marketing authoris</w:t>
      </w:r>
      <w:r w:rsidRPr="004C6B00">
        <w:t>ation for pharmaceuticals</w:t>
      </w:r>
      <w:r>
        <w:t>. Access via European Medicines Agency site.</w:t>
      </w:r>
    </w:p>
  </w:footnote>
  <w:footnote w:id="6">
    <w:p w14:paraId="298B6657" w14:textId="77777777" w:rsidR="006A6DCA" w:rsidRPr="00BD271A" w:rsidRDefault="006A6DCA" w:rsidP="009E6E59">
      <w:pPr>
        <w:pStyle w:val="FootnoteText"/>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63E1F1E4" w14:textId="77777777" w:rsidR="006A6DCA" w:rsidRDefault="006A6DCA" w:rsidP="009E6E59">
      <w:pPr>
        <w:pStyle w:val="FootnoteText"/>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7">
    <w:p w14:paraId="2D53F184" w14:textId="7CF0E2FA" w:rsidR="006A6DCA" w:rsidRPr="00760AEE" w:rsidRDefault="006A6DCA">
      <w:pPr>
        <w:pStyle w:val="FootnoteText"/>
        <w:rPr>
          <w:lang w:val="en-US"/>
        </w:rPr>
      </w:pPr>
      <w:r>
        <w:rPr>
          <w:rStyle w:val="FootnoteReference"/>
        </w:rPr>
        <w:footnoteRef/>
      </w:r>
      <w:r>
        <w:t xml:space="preserve"> </w:t>
      </w:r>
      <w:r>
        <w:rPr>
          <w:lang w:val="en-US"/>
        </w:rPr>
        <w:t xml:space="preserve">The </w:t>
      </w:r>
      <w:r w:rsidRPr="00760AEE">
        <w:rPr>
          <w:b/>
          <w:lang w:val="en-US"/>
        </w:rPr>
        <w:t>Investigator’s Global Assessment</w:t>
      </w:r>
      <w:r>
        <w:rPr>
          <w:lang w:val="en-US"/>
        </w:rPr>
        <w:t xml:space="preserve"> (</w:t>
      </w:r>
      <w:r w:rsidRPr="00760AEE">
        <w:rPr>
          <w:b/>
          <w:lang w:val="en-US"/>
        </w:rPr>
        <w:t>IGA</w:t>
      </w:r>
      <w:r>
        <w:rPr>
          <w:lang w:val="en-US"/>
        </w:rPr>
        <w:t>) of acne vulgaris severity is a 5 category scale for the scoring of facial acne severity; 0 = clear skin, 1 = almost clear skin, 2 = mild acne, 3 = moderate acne and 4 = severe acne.</w:t>
      </w:r>
    </w:p>
  </w:footnote>
  <w:footnote w:id="8">
    <w:p w14:paraId="0855E74B" w14:textId="6A2D9761" w:rsidR="006A6DCA" w:rsidRPr="00760AEE" w:rsidRDefault="006A6DCA">
      <w:pPr>
        <w:pStyle w:val="FootnoteText"/>
        <w:rPr>
          <w:lang w:val="en-US"/>
        </w:rPr>
      </w:pPr>
      <w:r>
        <w:rPr>
          <w:rStyle w:val="FootnoteReference"/>
        </w:rPr>
        <w:footnoteRef/>
      </w:r>
      <w:r>
        <w:t xml:space="preserve"> </w:t>
      </w:r>
      <w:r>
        <w:rPr>
          <w:lang w:val="en-US"/>
        </w:rPr>
        <w:t xml:space="preserve">The </w:t>
      </w:r>
      <w:r w:rsidRPr="00760AEE">
        <w:rPr>
          <w:b/>
          <w:lang w:val="en-US"/>
        </w:rPr>
        <w:t>Physician’s Global Assessment</w:t>
      </w:r>
      <w:r>
        <w:rPr>
          <w:lang w:val="en-US"/>
        </w:rPr>
        <w:t xml:space="preserve"> (</w:t>
      </w:r>
      <w:r w:rsidRPr="00760AEE">
        <w:rPr>
          <w:b/>
          <w:lang w:val="en-US"/>
        </w:rPr>
        <w:t>PGA</w:t>
      </w:r>
      <w:r>
        <w:rPr>
          <w:lang w:val="en-US"/>
        </w:rPr>
        <w:t>) of acne vulgaris severity is a 5 category scale for the scoring of truncal acne severity; 0 = clear skin, 1 = almost clear skin, 2 = mild acne, 3 = moderate acne and 4 = severe acne.</w:t>
      </w:r>
    </w:p>
  </w:footnote>
  <w:footnote w:id="9">
    <w:p w14:paraId="6F2D47B6" w14:textId="4CAF813B" w:rsidR="006A6DCA" w:rsidRPr="00760AEE" w:rsidRDefault="006A6DCA">
      <w:pPr>
        <w:pStyle w:val="FootnoteText"/>
        <w:rPr>
          <w:lang w:val="en-US"/>
        </w:rPr>
      </w:pPr>
      <w:r>
        <w:rPr>
          <w:rStyle w:val="FootnoteReference"/>
        </w:rPr>
        <w:footnoteRef/>
      </w:r>
      <w:r>
        <w:t xml:space="preserve"> </w:t>
      </w:r>
      <w:r>
        <w:rPr>
          <w:lang w:val="en-US"/>
        </w:rPr>
        <w:t xml:space="preserve">A topical </w:t>
      </w:r>
      <w:r w:rsidRPr="00760AEE">
        <w:rPr>
          <w:b/>
          <w:lang w:val="en-US"/>
        </w:rPr>
        <w:t>vehicle</w:t>
      </w:r>
      <w:r>
        <w:rPr>
          <w:lang w:val="en-US"/>
        </w:rPr>
        <w:t xml:space="preserve"> refers to the carrier system for the active drug substance. In the context of comparison of treatment versus vehicle, the vehicle is identical to the treatment formulation in terms of excipients, minus the active drug component.</w:t>
      </w:r>
    </w:p>
  </w:footnote>
  <w:footnote w:id="10">
    <w:p w14:paraId="6E09B34F" w14:textId="77777777" w:rsidR="006A6DCA" w:rsidRDefault="006A6DCA"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530C4BB" w14:textId="77777777" w:rsidR="006A6DCA" w:rsidRDefault="006A6DCA" w:rsidP="007D53B6">
      <w:pPr>
        <w:pStyle w:val="FootnoteText"/>
      </w:pPr>
      <w:r w:rsidRPr="007D53B6">
        <w:rPr>
          <w:i/>
        </w:rPr>
        <w:t>Routine pharmacovigilance</w:t>
      </w:r>
      <w:r>
        <w:t xml:space="preserve"> practices involve the following activities:</w:t>
      </w:r>
    </w:p>
    <w:p w14:paraId="3AF7E41E" w14:textId="77777777" w:rsidR="006A6DCA" w:rsidRDefault="006A6DCA" w:rsidP="007D53B6">
      <w:pPr>
        <w:pStyle w:val="FootnoteText"/>
        <w:numPr>
          <w:ilvl w:val="0"/>
          <w:numId w:val="32"/>
        </w:numPr>
        <w:ind w:left="284" w:hanging="284"/>
      </w:pPr>
      <w:r>
        <w:t>All suspected adverse reactions that are reported to the personnel of the company are collected and collated in an accessible manner;</w:t>
      </w:r>
    </w:p>
    <w:p w14:paraId="52F736DA" w14:textId="77777777" w:rsidR="006A6DCA" w:rsidRDefault="006A6DCA" w:rsidP="007D53B6">
      <w:pPr>
        <w:pStyle w:val="FootnoteText"/>
        <w:numPr>
          <w:ilvl w:val="0"/>
          <w:numId w:val="32"/>
        </w:numPr>
        <w:ind w:left="284" w:hanging="284"/>
      </w:pPr>
      <w:r>
        <w:t>Reporting to regulatory authorities;</w:t>
      </w:r>
    </w:p>
    <w:p w14:paraId="71002EDF" w14:textId="77777777" w:rsidR="006A6DCA" w:rsidRDefault="006A6DCA" w:rsidP="007D53B6">
      <w:pPr>
        <w:pStyle w:val="FootnoteText"/>
        <w:numPr>
          <w:ilvl w:val="0"/>
          <w:numId w:val="32"/>
        </w:numPr>
        <w:ind w:left="284" w:hanging="284"/>
      </w:pPr>
      <w:r>
        <w:t>Continuous monitoring of the safety profiles of approved products including signal detection and updating of labelling;</w:t>
      </w:r>
    </w:p>
    <w:p w14:paraId="2F130D82" w14:textId="77777777" w:rsidR="006A6DCA" w:rsidRDefault="006A6DCA" w:rsidP="007D53B6">
      <w:pPr>
        <w:pStyle w:val="FootnoteText"/>
        <w:numPr>
          <w:ilvl w:val="0"/>
          <w:numId w:val="32"/>
        </w:numPr>
        <w:ind w:left="284" w:hanging="284"/>
      </w:pPr>
      <w:r>
        <w:t>Submission of PSURs;</w:t>
      </w:r>
    </w:p>
    <w:p w14:paraId="08FA0EAB" w14:textId="77777777" w:rsidR="006A6DCA" w:rsidRDefault="006A6DCA" w:rsidP="007D53B6">
      <w:pPr>
        <w:pStyle w:val="FootnoteText"/>
        <w:numPr>
          <w:ilvl w:val="0"/>
          <w:numId w:val="32"/>
        </w:numPr>
        <w:ind w:left="284" w:hanging="284"/>
      </w:pPr>
      <w:r>
        <w:t>Meeting other local regulatory agency requirements.</w:t>
      </w:r>
    </w:p>
  </w:footnote>
  <w:footnote w:id="11">
    <w:p w14:paraId="7C1172CF" w14:textId="77777777" w:rsidR="006A6DCA" w:rsidRDefault="006A6DCA">
      <w:pPr>
        <w:pStyle w:val="FootnoteText"/>
      </w:pPr>
      <w:r>
        <w:rPr>
          <w:rStyle w:val="FootnoteReference"/>
        </w:rPr>
        <w:footnoteRef/>
      </w:r>
      <w:r>
        <w:t xml:space="preserve"> </w:t>
      </w:r>
      <w:r w:rsidRPr="00223B72">
        <w:t xml:space="preserve">Thiboutot, D.M., et al., Practical management of acne for clinicians: An international consensus from the Global Alliance to Improve Outcomes in Acne. </w:t>
      </w:r>
      <w:r w:rsidRPr="00223B72">
        <w:rPr>
          <w:i/>
        </w:rPr>
        <w:t>J Am Acad Dermatol</w:t>
      </w:r>
      <w:r w:rsidRPr="00223B72">
        <w:t>, 2018. 78(2 Suppl 1): p. S1-S23.e1.</w:t>
      </w:r>
    </w:p>
  </w:footnote>
  <w:footnote w:id="12">
    <w:p w14:paraId="446E7459" w14:textId="13EA1FD7" w:rsidR="006A6DCA" w:rsidRDefault="006A6DCA">
      <w:pPr>
        <w:pStyle w:val="FootnoteText"/>
      </w:pPr>
      <w:r>
        <w:rPr>
          <w:rStyle w:val="FootnoteReference"/>
        </w:rPr>
        <w:footnoteRef/>
      </w:r>
      <w:r>
        <w:t xml:space="preserve"> US</w:t>
      </w:r>
      <w:r w:rsidRPr="00223B72">
        <w:t xml:space="preserve">FDA, Acne Vulgaris: Establishing Effectiveness of Drugs Intended for </w:t>
      </w:r>
      <w:r>
        <w:t>Treatment Guidance for Industry.</w:t>
      </w:r>
      <w:r w:rsidRPr="00223B72">
        <w:t>2018</w:t>
      </w:r>
    </w:p>
  </w:footnote>
  <w:footnote w:id="13">
    <w:p w14:paraId="5C724BA1" w14:textId="77777777" w:rsidR="006A6DCA" w:rsidRDefault="006A6DCA">
      <w:pPr>
        <w:pStyle w:val="FootnoteText"/>
      </w:pPr>
      <w:r>
        <w:rPr>
          <w:rStyle w:val="FootnoteReference"/>
        </w:rPr>
        <w:footnoteRef/>
      </w:r>
      <w:r>
        <w:t xml:space="preserve"> FDA prescribing information for Epiduo gel. Accessible via www.fda.gov.</w:t>
      </w:r>
    </w:p>
  </w:footnote>
  <w:footnote w:id="14">
    <w:p w14:paraId="27CC3C67" w14:textId="77777777" w:rsidR="006A6DCA" w:rsidRDefault="006A6DCA">
      <w:pPr>
        <w:pStyle w:val="FootnoteText"/>
      </w:pPr>
      <w:r>
        <w:rPr>
          <w:rStyle w:val="FootnoteReference"/>
        </w:rPr>
        <w:footnoteRef/>
      </w:r>
      <w:r>
        <w:t xml:space="preserve"> </w:t>
      </w:r>
      <w:r w:rsidRPr="00223B72">
        <w:t xml:space="preserve">Kotekoglu, D., et al., Internalized stigma in acne vulgaris and its relationship with quality of life, general health, body perception, and depression. </w:t>
      </w:r>
      <w:r w:rsidRPr="00223B72">
        <w:rPr>
          <w:i/>
        </w:rPr>
        <w:t>Niger J Clin Pract</w:t>
      </w:r>
      <w:r w:rsidRPr="00223B72">
        <w:t>, 2020. 23(9): p. 1289-1294.</w:t>
      </w:r>
    </w:p>
  </w:footnote>
  <w:footnote w:id="15">
    <w:p w14:paraId="6135F7E2" w14:textId="77777777" w:rsidR="006A6DCA" w:rsidRDefault="006A6DCA">
      <w:pPr>
        <w:pStyle w:val="FootnoteText"/>
      </w:pPr>
      <w:r>
        <w:rPr>
          <w:rStyle w:val="FootnoteReference"/>
        </w:rPr>
        <w:footnoteRef/>
      </w:r>
      <w:r>
        <w:t xml:space="preserve"> </w:t>
      </w:r>
      <w:r w:rsidRPr="00223B72">
        <w:t xml:space="preserve">Öztekin, C. and A. Öztekin, The association of depression, loneliness and internet addiction levels in patients with acne vulgaris. </w:t>
      </w:r>
      <w:r w:rsidRPr="00223B72">
        <w:rPr>
          <w:i/>
        </w:rPr>
        <w:t>Biopsychosoc Med</w:t>
      </w:r>
      <w:r w:rsidRPr="00223B72">
        <w:t>, 2020. 14: p. 17.</w:t>
      </w:r>
    </w:p>
  </w:footnote>
  <w:footnote w:id="16">
    <w:p w14:paraId="6E738957" w14:textId="77777777" w:rsidR="006A6DCA" w:rsidRDefault="006A6DCA">
      <w:pPr>
        <w:pStyle w:val="FootnoteText"/>
      </w:pPr>
      <w:r>
        <w:rPr>
          <w:rStyle w:val="FootnoteReference"/>
        </w:rPr>
        <w:footnoteRef/>
      </w:r>
      <w:r>
        <w:t xml:space="preserve"> </w:t>
      </w:r>
      <w:r w:rsidRPr="00223B72">
        <w:t xml:space="preserve">Valente Duarte De Sousa, I.C., New and emerging drugs for the treatment of acne vulgaris in adolescents. </w:t>
      </w:r>
      <w:r w:rsidRPr="00223B72">
        <w:rPr>
          <w:i/>
        </w:rPr>
        <w:t>Expert Opin Pharmacother</w:t>
      </w:r>
      <w:r w:rsidRPr="00223B72">
        <w:t>, 2019. 20(8): p. 1009-1024.</w:t>
      </w:r>
    </w:p>
  </w:footnote>
  <w:footnote w:id="17">
    <w:p w14:paraId="6168D28D" w14:textId="77777777" w:rsidR="006A6DCA" w:rsidRDefault="006A6DCA"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D62667C" w14:textId="77777777" w:rsidR="006A6DCA" w:rsidRPr="00456765" w:rsidRDefault="006A6DCA"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63B76" w14:textId="77777777" w:rsidR="006A6DCA" w:rsidRDefault="006A6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33D27" w14:textId="77777777" w:rsidR="006A6DCA" w:rsidRDefault="006A6DCA"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DE83A" w14:textId="77777777" w:rsidR="006A6DCA" w:rsidRDefault="006A6DCA">
    <w:pPr>
      <w:rPr>
        <w:noProof/>
        <w:lang w:eastAsia="en-AU"/>
      </w:rPr>
    </w:pPr>
    <w:r w:rsidRPr="00347824">
      <w:rPr>
        <w:noProof/>
        <w:lang w:eastAsia="en-AU"/>
      </w:rPr>
      <w:drawing>
        <wp:anchor distT="0" distB="0" distL="114300" distR="114300" simplePos="0" relativeHeight="251657216" behindDoc="1" locked="0" layoutInCell="1" allowOverlap="1" wp14:anchorId="16E87DA0" wp14:editId="702829EE">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D22C01B" w14:textId="77777777" w:rsidR="006A6DCA" w:rsidRDefault="006A6DCA" w:rsidP="00593AD1">
    <w:pPr>
      <w:pStyle w:val="HeaderNoLine"/>
    </w:pPr>
    <w:r>
      <w:rPr>
        <w:noProof/>
        <w:lang w:eastAsia="en-AU"/>
      </w:rPr>
      <w:drawing>
        <wp:inline distT="0" distB="0" distL="0" distR="0" wp14:anchorId="4FDD8240" wp14:editId="7FDAB593">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F5842" w14:textId="77777777" w:rsidR="006A6DCA" w:rsidRDefault="006A6D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144E" w14:textId="77777777" w:rsidR="006A6DCA" w:rsidRDefault="006A6DC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8A3B" w14:textId="77777777" w:rsidR="006A6DCA" w:rsidRDefault="006A6DCA">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26D62" w14:textId="77777777" w:rsidR="006A6DCA" w:rsidRDefault="006A6D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BCEF9" w14:textId="77777777" w:rsidR="006A6DCA" w:rsidRDefault="006A6DCA"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23D7D" w14:textId="77777777" w:rsidR="006A6DCA" w:rsidRDefault="006A6DCA" w:rsidP="006E08B3">
    <w:r>
      <w:t>Therapeutic Goods Administration</w:t>
    </w:r>
  </w:p>
  <w:p w14:paraId="1DCDD6C1" w14:textId="77777777" w:rsidR="006A6DCA" w:rsidRDefault="006A6DCA"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0722E34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45348C8"/>
    <w:multiLevelType w:val="hybridMultilevel"/>
    <w:tmpl w:val="EF3A0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6"/>
  </w:num>
  <w:num w:numId="30">
    <w:abstractNumId w:val="9"/>
  </w:num>
  <w:num w:numId="31">
    <w:abstractNumId w:val="4"/>
  </w:num>
  <w:num w:numId="32">
    <w:abstractNumId w:val="11"/>
  </w:num>
  <w:num w:numId="33">
    <w:abstractNumId w:va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726"/>
    <w:rsid w:val="00002031"/>
    <w:rsid w:val="00004734"/>
    <w:rsid w:val="00006B22"/>
    <w:rsid w:val="00006FAB"/>
    <w:rsid w:val="0001276A"/>
    <w:rsid w:val="000163D5"/>
    <w:rsid w:val="000246AE"/>
    <w:rsid w:val="00024AFF"/>
    <w:rsid w:val="00025C67"/>
    <w:rsid w:val="00044772"/>
    <w:rsid w:val="0004541C"/>
    <w:rsid w:val="0005559E"/>
    <w:rsid w:val="00057212"/>
    <w:rsid w:val="000604D6"/>
    <w:rsid w:val="000734D8"/>
    <w:rsid w:val="00076871"/>
    <w:rsid w:val="00077775"/>
    <w:rsid w:val="00090471"/>
    <w:rsid w:val="0009366D"/>
    <w:rsid w:val="00096AA7"/>
    <w:rsid w:val="000A3AED"/>
    <w:rsid w:val="000B3532"/>
    <w:rsid w:val="000B3A75"/>
    <w:rsid w:val="000C00C2"/>
    <w:rsid w:val="000C0615"/>
    <w:rsid w:val="000C690F"/>
    <w:rsid w:val="000D1295"/>
    <w:rsid w:val="000D391B"/>
    <w:rsid w:val="000D3D6D"/>
    <w:rsid w:val="000D4FC7"/>
    <w:rsid w:val="000E6196"/>
    <w:rsid w:val="000F4869"/>
    <w:rsid w:val="000F5B42"/>
    <w:rsid w:val="000F6E6F"/>
    <w:rsid w:val="00101985"/>
    <w:rsid w:val="0010601F"/>
    <w:rsid w:val="0010788A"/>
    <w:rsid w:val="00107A31"/>
    <w:rsid w:val="00110EA5"/>
    <w:rsid w:val="001113D1"/>
    <w:rsid w:val="00112F56"/>
    <w:rsid w:val="00120EBF"/>
    <w:rsid w:val="00122C2E"/>
    <w:rsid w:val="00124ACD"/>
    <w:rsid w:val="00125318"/>
    <w:rsid w:val="001305A2"/>
    <w:rsid w:val="00133238"/>
    <w:rsid w:val="00133A1B"/>
    <w:rsid w:val="00140986"/>
    <w:rsid w:val="0014197B"/>
    <w:rsid w:val="001447CD"/>
    <w:rsid w:val="001516B1"/>
    <w:rsid w:val="00154EBB"/>
    <w:rsid w:val="00156316"/>
    <w:rsid w:val="00161181"/>
    <w:rsid w:val="00162D14"/>
    <w:rsid w:val="00163780"/>
    <w:rsid w:val="00165389"/>
    <w:rsid w:val="00171A00"/>
    <w:rsid w:val="00175B08"/>
    <w:rsid w:val="0017693F"/>
    <w:rsid w:val="0018110E"/>
    <w:rsid w:val="00181684"/>
    <w:rsid w:val="00182F87"/>
    <w:rsid w:val="001843C6"/>
    <w:rsid w:val="001850E0"/>
    <w:rsid w:val="00191EA7"/>
    <w:rsid w:val="001A03AF"/>
    <w:rsid w:val="001A2158"/>
    <w:rsid w:val="001A525F"/>
    <w:rsid w:val="001B09F9"/>
    <w:rsid w:val="001B364B"/>
    <w:rsid w:val="001B5C90"/>
    <w:rsid w:val="001B6448"/>
    <w:rsid w:val="001C32CD"/>
    <w:rsid w:val="001D2984"/>
    <w:rsid w:val="001E07CF"/>
    <w:rsid w:val="001E59F1"/>
    <w:rsid w:val="001E7574"/>
    <w:rsid w:val="001F20B4"/>
    <w:rsid w:val="001F2CEE"/>
    <w:rsid w:val="001F300D"/>
    <w:rsid w:val="001F49EB"/>
    <w:rsid w:val="001F6CBA"/>
    <w:rsid w:val="00201D4E"/>
    <w:rsid w:val="002076C9"/>
    <w:rsid w:val="0021306B"/>
    <w:rsid w:val="002150EF"/>
    <w:rsid w:val="00217EF9"/>
    <w:rsid w:val="00220B8A"/>
    <w:rsid w:val="00223B72"/>
    <w:rsid w:val="002257F3"/>
    <w:rsid w:val="00227A68"/>
    <w:rsid w:val="00230968"/>
    <w:rsid w:val="00233456"/>
    <w:rsid w:val="002339A5"/>
    <w:rsid w:val="00237E95"/>
    <w:rsid w:val="00250271"/>
    <w:rsid w:val="00253340"/>
    <w:rsid w:val="00257848"/>
    <w:rsid w:val="002578E8"/>
    <w:rsid w:val="00257ABB"/>
    <w:rsid w:val="0027084A"/>
    <w:rsid w:val="00280265"/>
    <w:rsid w:val="00286434"/>
    <w:rsid w:val="00286C59"/>
    <w:rsid w:val="00291957"/>
    <w:rsid w:val="002942D1"/>
    <w:rsid w:val="0029501A"/>
    <w:rsid w:val="00296477"/>
    <w:rsid w:val="002A3721"/>
    <w:rsid w:val="002B1638"/>
    <w:rsid w:val="002B3624"/>
    <w:rsid w:val="002D0952"/>
    <w:rsid w:val="002E40B3"/>
    <w:rsid w:val="002E4C9A"/>
    <w:rsid w:val="002F11F8"/>
    <w:rsid w:val="002F3F56"/>
    <w:rsid w:val="002F44B5"/>
    <w:rsid w:val="002F5122"/>
    <w:rsid w:val="00311AC0"/>
    <w:rsid w:val="003176FC"/>
    <w:rsid w:val="00324E45"/>
    <w:rsid w:val="0032583B"/>
    <w:rsid w:val="00327883"/>
    <w:rsid w:val="00335504"/>
    <w:rsid w:val="00340C18"/>
    <w:rsid w:val="003442FD"/>
    <w:rsid w:val="00347824"/>
    <w:rsid w:val="00350567"/>
    <w:rsid w:val="003521DB"/>
    <w:rsid w:val="003521E8"/>
    <w:rsid w:val="00370CE3"/>
    <w:rsid w:val="0037112C"/>
    <w:rsid w:val="003728F3"/>
    <w:rsid w:val="003735BC"/>
    <w:rsid w:val="0037496E"/>
    <w:rsid w:val="00383221"/>
    <w:rsid w:val="00386150"/>
    <w:rsid w:val="003874CE"/>
    <w:rsid w:val="00390900"/>
    <w:rsid w:val="003A7F6C"/>
    <w:rsid w:val="003B4D60"/>
    <w:rsid w:val="003B7E39"/>
    <w:rsid w:val="003C58DC"/>
    <w:rsid w:val="003D1E62"/>
    <w:rsid w:val="003E0B99"/>
    <w:rsid w:val="003E1C13"/>
    <w:rsid w:val="003E2486"/>
    <w:rsid w:val="003E3208"/>
    <w:rsid w:val="003F0B04"/>
    <w:rsid w:val="0040134E"/>
    <w:rsid w:val="00426907"/>
    <w:rsid w:val="004334C7"/>
    <w:rsid w:val="00440A2D"/>
    <w:rsid w:val="00441C3F"/>
    <w:rsid w:val="00444D1A"/>
    <w:rsid w:val="0045186A"/>
    <w:rsid w:val="004564A7"/>
    <w:rsid w:val="00456765"/>
    <w:rsid w:val="00460036"/>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3D93"/>
    <w:rsid w:val="004C4FBE"/>
    <w:rsid w:val="004C61D2"/>
    <w:rsid w:val="004C6B00"/>
    <w:rsid w:val="004F0C4A"/>
    <w:rsid w:val="004F0F38"/>
    <w:rsid w:val="004F47D6"/>
    <w:rsid w:val="00500337"/>
    <w:rsid w:val="00501921"/>
    <w:rsid w:val="00516191"/>
    <w:rsid w:val="00520721"/>
    <w:rsid w:val="00530354"/>
    <w:rsid w:val="0053625B"/>
    <w:rsid w:val="005434C6"/>
    <w:rsid w:val="00543B39"/>
    <w:rsid w:val="00546154"/>
    <w:rsid w:val="00550096"/>
    <w:rsid w:val="00550E73"/>
    <w:rsid w:val="00555280"/>
    <w:rsid w:val="00557FF9"/>
    <w:rsid w:val="00562327"/>
    <w:rsid w:val="00570DED"/>
    <w:rsid w:val="00570FC6"/>
    <w:rsid w:val="005711D5"/>
    <w:rsid w:val="00576378"/>
    <w:rsid w:val="00577130"/>
    <w:rsid w:val="00577945"/>
    <w:rsid w:val="00577E38"/>
    <w:rsid w:val="00585322"/>
    <w:rsid w:val="005857C6"/>
    <w:rsid w:val="00592F6E"/>
    <w:rsid w:val="00593AD1"/>
    <w:rsid w:val="005A68B6"/>
    <w:rsid w:val="005C5570"/>
    <w:rsid w:val="005C5B66"/>
    <w:rsid w:val="005C79A4"/>
    <w:rsid w:val="005D5442"/>
    <w:rsid w:val="005F2902"/>
    <w:rsid w:val="00603F32"/>
    <w:rsid w:val="00605AD4"/>
    <w:rsid w:val="00612365"/>
    <w:rsid w:val="006136D7"/>
    <w:rsid w:val="00625A6E"/>
    <w:rsid w:val="00632398"/>
    <w:rsid w:val="006349DA"/>
    <w:rsid w:val="00640FC3"/>
    <w:rsid w:val="00642020"/>
    <w:rsid w:val="006430EE"/>
    <w:rsid w:val="0065337B"/>
    <w:rsid w:val="0065419D"/>
    <w:rsid w:val="006603BC"/>
    <w:rsid w:val="006604D8"/>
    <w:rsid w:val="00664A5B"/>
    <w:rsid w:val="0066735C"/>
    <w:rsid w:val="006763D2"/>
    <w:rsid w:val="00680C08"/>
    <w:rsid w:val="0069094F"/>
    <w:rsid w:val="006916A0"/>
    <w:rsid w:val="006931B1"/>
    <w:rsid w:val="006941DD"/>
    <w:rsid w:val="006A15C0"/>
    <w:rsid w:val="006A58A8"/>
    <w:rsid w:val="006A6DCA"/>
    <w:rsid w:val="006C3E2A"/>
    <w:rsid w:val="006C642F"/>
    <w:rsid w:val="006D03E5"/>
    <w:rsid w:val="006D5D3E"/>
    <w:rsid w:val="006E08B3"/>
    <w:rsid w:val="006E0A99"/>
    <w:rsid w:val="006F17AC"/>
    <w:rsid w:val="006F25B8"/>
    <w:rsid w:val="006F5665"/>
    <w:rsid w:val="006F572E"/>
    <w:rsid w:val="007046D6"/>
    <w:rsid w:val="00705DB0"/>
    <w:rsid w:val="00722B57"/>
    <w:rsid w:val="00730F8A"/>
    <w:rsid w:val="007338B3"/>
    <w:rsid w:val="00734F81"/>
    <w:rsid w:val="00735A8C"/>
    <w:rsid w:val="0074253D"/>
    <w:rsid w:val="00744121"/>
    <w:rsid w:val="0074429B"/>
    <w:rsid w:val="00760AEE"/>
    <w:rsid w:val="007615BC"/>
    <w:rsid w:val="00762F05"/>
    <w:rsid w:val="007652FF"/>
    <w:rsid w:val="00770CAC"/>
    <w:rsid w:val="00770EF1"/>
    <w:rsid w:val="0077143C"/>
    <w:rsid w:val="00773EF7"/>
    <w:rsid w:val="00774E1D"/>
    <w:rsid w:val="007765D8"/>
    <w:rsid w:val="0077675A"/>
    <w:rsid w:val="00780355"/>
    <w:rsid w:val="007819FD"/>
    <w:rsid w:val="00785717"/>
    <w:rsid w:val="00785721"/>
    <w:rsid w:val="00793A59"/>
    <w:rsid w:val="007966BD"/>
    <w:rsid w:val="007A46F5"/>
    <w:rsid w:val="007A5DC7"/>
    <w:rsid w:val="007A6505"/>
    <w:rsid w:val="007B5848"/>
    <w:rsid w:val="007B6132"/>
    <w:rsid w:val="007B6E9F"/>
    <w:rsid w:val="007C1216"/>
    <w:rsid w:val="007C1AF7"/>
    <w:rsid w:val="007C62A9"/>
    <w:rsid w:val="007C6B9B"/>
    <w:rsid w:val="007D53B6"/>
    <w:rsid w:val="00805D27"/>
    <w:rsid w:val="0080690D"/>
    <w:rsid w:val="00806DCB"/>
    <w:rsid w:val="00821776"/>
    <w:rsid w:val="008321F5"/>
    <w:rsid w:val="00832369"/>
    <w:rsid w:val="00834660"/>
    <w:rsid w:val="00836BC2"/>
    <w:rsid w:val="0085156D"/>
    <w:rsid w:val="00852B28"/>
    <w:rsid w:val="008539F5"/>
    <w:rsid w:val="0085641B"/>
    <w:rsid w:val="00857136"/>
    <w:rsid w:val="00875A6B"/>
    <w:rsid w:val="00885B11"/>
    <w:rsid w:val="00886D15"/>
    <w:rsid w:val="00887DD8"/>
    <w:rsid w:val="00891BA9"/>
    <w:rsid w:val="00896018"/>
    <w:rsid w:val="008960DD"/>
    <w:rsid w:val="0089635C"/>
    <w:rsid w:val="008A2B9D"/>
    <w:rsid w:val="008A3D9F"/>
    <w:rsid w:val="008A5D95"/>
    <w:rsid w:val="008A5E0B"/>
    <w:rsid w:val="008A6D59"/>
    <w:rsid w:val="008B4B03"/>
    <w:rsid w:val="008B596F"/>
    <w:rsid w:val="008C06E5"/>
    <w:rsid w:val="008C159F"/>
    <w:rsid w:val="008C1623"/>
    <w:rsid w:val="008C1850"/>
    <w:rsid w:val="008C51A9"/>
    <w:rsid w:val="008C7C3F"/>
    <w:rsid w:val="008E38D3"/>
    <w:rsid w:val="008E7846"/>
    <w:rsid w:val="008F02E5"/>
    <w:rsid w:val="008F10D2"/>
    <w:rsid w:val="008F1CCC"/>
    <w:rsid w:val="008F2967"/>
    <w:rsid w:val="008F6943"/>
    <w:rsid w:val="00902A21"/>
    <w:rsid w:val="0091523F"/>
    <w:rsid w:val="00917B1C"/>
    <w:rsid w:val="00920330"/>
    <w:rsid w:val="009219D7"/>
    <w:rsid w:val="00922D53"/>
    <w:rsid w:val="00923B70"/>
    <w:rsid w:val="00924482"/>
    <w:rsid w:val="00930237"/>
    <w:rsid w:val="0093475C"/>
    <w:rsid w:val="00937C17"/>
    <w:rsid w:val="00940A89"/>
    <w:rsid w:val="00941F77"/>
    <w:rsid w:val="009439AF"/>
    <w:rsid w:val="00946EA5"/>
    <w:rsid w:val="0095526D"/>
    <w:rsid w:val="00960520"/>
    <w:rsid w:val="00963C08"/>
    <w:rsid w:val="00965924"/>
    <w:rsid w:val="009752A5"/>
    <w:rsid w:val="0098585A"/>
    <w:rsid w:val="00987D70"/>
    <w:rsid w:val="009A4CED"/>
    <w:rsid w:val="009A690D"/>
    <w:rsid w:val="009A724D"/>
    <w:rsid w:val="009B07B8"/>
    <w:rsid w:val="009B1D12"/>
    <w:rsid w:val="009B416B"/>
    <w:rsid w:val="009C4BD5"/>
    <w:rsid w:val="009D7B77"/>
    <w:rsid w:val="009E0BB0"/>
    <w:rsid w:val="009E3FBB"/>
    <w:rsid w:val="009E6E59"/>
    <w:rsid w:val="009F242F"/>
    <w:rsid w:val="009F7353"/>
    <w:rsid w:val="00A01A43"/>
    <w:rsid w:val="00A04F85"/>
    <w:rsid w:val="00A05FA4"/>
    <w:rsid w:val="00A102E4"/>
    <w:rsid w:val="00A1179C"/>
    <w:rsid w:val="00A1219C"/>
    <w:rsid w:val="00A12C42"/>
    <w:rsid w:val="00A14DF7"/>
    <w:rsid w:val="00A2007A"/>
    <w:rsid w:val="00A20401"/>
    <w:rsid w:val="00A22D57"/>
    <w:rsid w:val="00A3246D"/>
    <w:rsid w:val="00A36FA7"/>
    <w:rsid w:val="00A44DDB"/>
    <w:rsid w:val="00A475B7"/>
    <w:rsid w:val="00A47AF7"/>
    <w:rsid w:val="00A47C3E"/>
    <w:rsid w:val="00A50226"/>
    <w:rsid w:val="00A53B11"/>
    <w:rsid w:val="00A55D81"/>
    <w:rsid w:val="00A60BAD"/>
    <w:rsid w:val="00A66AF1"/>
    <w:rsid w:val="00A671E9"/>
    <w:rsid w:val="00A71550"/>
    <w:rsid w:val="00A77F87"/>
    <w:rsid w:val="00A80B5B"/>
    <w:rsid w:val="00A84E36"/>
    <w:rsid w:val="00A94EDB"/>
    <w:rsid w:val="00A964D1"/>
    <w:rsid w:val="00AA0ED0"/>
    <w:rsid w:val="00AA2195"/>
    <w:rsid w:val="00AC2B40"/>
    <w:rsid w:val="00AC2BB2"/>
    <w:rsid w:val="00AC2C3C"/>
    <w:rsid w:val="00AC512D"/>
    <w:rsid w:val="00AD0083"/>
    <w:rsid w:val="00AD3935"/>
    <w:rsid w:val="00AD3D28"/>
    <w:rsid w:val="00AE3D62"/>
    <w:rsid w:val="00AE65EB"/>
    <w:rsid w:val="00AE67A7"/>
    <w:rsid w:val="00AF0A4B"/>
    <w:rsid w:val="00AF1D94"/>
    <w:rsid w:val="00AF60C5"/>
    <w:rsid w:val="00B009C6"/>
    <w:rsid w:val="00B01548"/>
    <w:rsid w:val="00B10F8B"/>
    <w:rsid w:val="00B130C5"/>
    <w:rsid w:val="00B13EBD"/>
    <w:rsid w:val="00B21D29"/>
    <w:rsid w:val="00B25034"/>
    <w:rsid w:val="00B33588"/>
    <w:rsid w:val="00B33863"/>
    <w:rsid w:val="00B37D17"/>
    <w:rsid w:val="00B4175E"/>
    <w:rsid w:val="00B41C85"/>
    <w:rsid w:val="00B452CE"/>
    <w:rsid w:val="00B54C25"/>
    <w:rsid w:val="00B6003C"/>
    <w:rsid w:val="00B631AF"/>
    <w:rsid w:val="00B76B91"/>
    <w:rsid w:val="00B77EB1"/>
    <w:rsid w:val="00B811C6"/>
    <w:rsid w:val="00B855B0"/>
    <w:rsid w:val="00B92E08"/>
    <w:rsid w:val="00BC622A"/>
    <w:rsid w:val="00BE0A78"/>
    <w:rsid w:val="00BE79F0"/>
    <w:rsid w:val="00BF046D"/>
    <w:rsid w:val="00BF0F65"/>
    <w:rsid w:val="00BF1190"/>
    <w:rsid w:val="00BF3774"/>
    <w:rsid w:val="00BF5D04"/>
    <w:rsid w:val="00BF5D8A"/>
    <w:rsid w:val="00C009AA"/>
    <w:rsid w:val="00C0351D"/>
    <w:rsid w:val="00C1164D"/>
    <w:rsid w:val="00C16861"/>
    <w:rsid w:val="00C346AB"/>
    <w:rsid w:val="00C35D17"/>
    <w:rsid w:val="00C404A6"/>
    <w:rsid w:val="00C40A36"/>
    <w:rsid w:val="00C44419"/>
    <w:rsid w:val="00C45E7B"/>
    <w:rsid w:val="00C471B1"/>
    <w:rsid w:val="00C525A2"/>
    <w:rsid w:val="00C52E24"/>
    <w:rsid w:val="00C61289"/>
    <w:rsid w:val="00C6316B"/>
    <w:rsid w:val="00C634A9"/>
    <w:rsid w:val="00C64586"/>
    <w:rsid w:val="00C70A36"/>
    <w:rsid w:val="00C70D53"/>
    <w:rsid w:val="00C73D0B"/>
    <w:rsid w:val="00C74F5C"/>
    <w:rsid w:val="00C772FF"/>
    <w:rsid w:val="00C80137"/>
    <w:rsid w:val="00C801AF"/>
    <w:rsid w:val="00C80256"/>
    <w:rsid w:val="00C834B1"/>
    <w:rsid w:val="00C93BEF"/>
    <w:rsid w:val="00C94CD4"/>
    <w:rsid w:val="00C9747E"/>
    <w:rsid w:val="00CB6BC0"/>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40625"/>
    <w:rsid w:val="00D425BB"/>
    <w:rsid w:val="00D436B4"/>
    <w:rsid w:val="00D453FA"/>
    <w:rsid w:val="00D6493E"/>
    <w:rsid w:val="00D7195D"/>
    <w:rsid w:val="00D7301E"/>
    <w:rsid w:val="00D83AE1"/>
    <w:rsid w:val="00D855D4"/>
    <w:rsid w:val="00D902C9"/>
    <w:rsid w:val="00D903B5"/>
    <w:rsid w:val="00D90F8B"/>
    <w:rsid w:val="00D92726"/>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20571"/>
    <w:rsid w:val="00E20BD2"/>
    <w:rsid w:val="00E235F7"/>
    <w:rsid w:val="00E23659"/>
    <w:rsid w:val="00E239D4"/>
    <w:rsid w:val="00E26130"/>
    <w:rsid w:val="00E33D42"/>
    <w:rsid w:val="00E40B22"/>
    <w:rsid w:val="00E44ED1"/>
    <w:rsid w:val="00E45619"/>
    <w:rsid w:val="00E4588F"/>
    <w:rsid w:val="00E45CC6"/>
    <w:rsid w:val="00E46DA3"/>
    <w:rsid w:val="00E51BB1"/>
    <w:rsid w:val="00E55CB0"/>
    <w:rsid w:val="00E624A5"/>
    <w:rsid w:val="00E64BA4"/>
    <w:rsid w:val="00E71F8E"/>
    <w:rsid w:val="00E7344E"/>
    <w:rsid w:val="00E74B2C"/>
    <w:rsid w:val="00E82665"/>
    <w:rsid w:val="00E82B80"/>
    <w:rsid w:val="00E93E7E"/>
    <w:rsid w:val="00EA490B"/>
    <w:rsid w:val="00EB0798"/>
    <w:rsid w:val="00EB40AD"/>
    <w:rsid w:val="00EB586E"/>
    <w:rsid w:val="00EB5FC8"/>
    <w:rsid w:val="00EC463D"/>
    <w:rsid w:val="00EC7A85"/>
    <w:rsid w:val="00ED2922"/>
    <w:rsid w:val="00ED3CAD"/>
    <w:rsid w:val="00ED5A41"/>
    <w:rsid w:val="00EE1DE8"/>
    <w:rsid w:val="00EE27C2"/>
    <w:rsid w:val="00EE2FAB"/>
    <w:rsid w:val="00EF09F5"/>
    <w:rsid w:val="00EF4BAD"/>
    <w:rsid w:val="00EF59DC"/>
    <w:rsid w:val="00F033EC"/>
    <w:rsid w:val="00F03519"/>
    <w:rsid w:val="00F04F68"/>
    <w:rsid w:val="00F11629"/>
    <w:rsid w:val="00F12670"/>
    <w:rsid w:val="00F14B27"/>
    <w:rsid w:val="00F26DB5"/>
    <w:rsid w:val="00F3148D"/>
    <w:rsid w:val="00F325C5"/>
    <w:rsid w:val="00F32FE0"/>
    <w:rsid w:val="00F35298"/>
    <w:rsid w:val="00F40382"/>
    <w:rsid w:val="00F44F8F"/>
    <w:rsid w:val="00F47333"/>
    <w:rsid w:val="00F47E37"/>
    <w:rsid w:val="00F522B3"/>
    <w:rsid w:val="00F53C07"/>
    <w:rsid w:val="00F54B65"/>
    <w:rsid w:val="00F626D6"/>
    <w:rsid w:val="00F63DBF"/>
    <w:rsid w:val="00F640B6"/>
    <w:rsid w:val="00F66DF2"/>
    <w:rsid w:val="00F80E40"/>
    <w:rsid w:val="00F848D9"/>
    <w:rsid w:val="00F90AF0"/>
    <w:rsid w:val="00FA5069"/>
    <w:rsid w:val="00FA5B82"/>
    <w:rsid w:val="00FA639E"/>
    <w:rsid w:val="00FB01EE"/>
    <w:rsid w:val="00FC173C"/>
    <w:rsid w:val="00FC1FCA"/>
    <w:rsid w:val="00FC25E4"/>
    <w:rsid w:val="00FC2A1B"/>
    <w:rsid w:val="00FC4EF7"/>
    <w:rsid w:val="00FD0824"/>
    <w:rsid w:val="00FD119B"/>
    <w:rsid w:val="00FD1EDC"/>
    <w:rsid w:val="00FE1DEE"/>
    <w:rsid w:val="00FF2126"/>
    <w:rsid w:val="00FF444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A30CF59"/>
  <w15:docId w15:val="{568B571D-8BE0-49BD-873A-59AA4046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A6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7C62A9"/>
    <w:pPr>
      <w:ind w:left="720"/>
      <w:contextualSpacing/>
    </w:pPr>
  </w:style>
  <w:style w:type="character" w:customStyle="1" w:styleId="TabletextChar">
    <w:name w:val="Table text Char"/>
    <w:basedOn w:val="DefaultParagraphFont"/>
    <w:link w:val="Tabletext"/>
    <w:rsid w:val="001F20B4"/>
    <w:rPr>
      <w:rFonts w:ascii="Cambria" w:eastAsia="Cambria" w:hAnsi="Cambria" w:cs="Times New Roman"/>
      <w:sz w:val="19"/>
    </w:rPr>
  </w:style>
  <w:style w:type="paragraph" w:styleId="TOC6">
    <w:name w:val="toc 6"/>
    <w:basedOn w:val="Normal"/>
    <w:next w:val="Normal"/>
    <w:autoRedefine/>
    <w:uiPriority w:val="39"/>
    <w:semiHidden/>
    <w:unhideWhenUsed/>
    <w:rsid w:val="009E6E59"/>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140415">
      <w:bodyDiv w:val="1"/>
      <w:marLeft w:val="0"/>
      <w:marRight w:val="0"/>
      <w:marTop w:val="0"/>
      <w:marBottom w:val="0"/>
      <w:divBdr>
        <w:top w:val="none" w:sz="0" w:space="0" w:color="auto"/>
        <w:left w:val="none" w:sz="0" w:space="0" w:color="auto"/>
        <w:bottom w:val="none" w:sz="0" w:space="0" w:color="auto"/>
        <w:right w:val="none" w:sz="0" w:space="0" w:color="auto"/>
      </w:divBdr>
    </w:div>
    <w:div w:id="854348595">
      <w:bodyDiv w:val="1"/>
      <w:marLeft w:val="0"/>
      <w:marRight w:val="0"/>
      <w:marTop w:val="0"/>
      <w:marBottom w:val="0"/>
      <w:divBdr>
        <w:top w:val="none" w:sz="0" w:space="0" w:color="auto"/>
        <w:left w:val="none" w:sz="0" w:space="0" w:color="auto"/>
        <w:bottom w:val="none" w:sz="0" w:space="0" w:color="auto"/>
        <w:right w:val="none" w:sz="0" w:space="0" w:color="auto"/>
      </w:divBdr>
    </w:div>
    <w:div w:id="1445149339">
      <w:bodyDiv w:val="1"/>
      <w:marLeft w:val="0"/>
      <w:marRight w:val="0"/>
      <w:marTop w:val="0"/>
      <w:marBottom w:val="0"/>
      <w:divBdr>
        <w:top w:val="none" w:sz="0" w:space="0" w:color="auto"/>
        <w:left w:val="none" w:sz="0" w:space="0" w:color="auto"/>
        <w:bottom w:val="none" w:sz="0" w:space="0" w:color="auto"/>
        <w:right w:val="none" w:sz="0" w:space="0" w:color="auto"/>
      </w:divBdr>
    </w:div>
    <w:div w:id="1464812672">
      <w:bodyDiv w:val="1"/>
      <w:marLeft w:val="0"/>
      <w:marRight w:val="0"/>
      <w:marTop w:val="0"/>
      <w:marBottom w:val="0"/>
      <w:divBdr>
        <w:top w:val="none" w:sz="0" w:space="0" w:color="auto"/>
        <w:left w:val="none" w:sz="0" w:space="0" w:color="auto"/>
        <w:bottom w:val="none" w:sz="0" w:space="0" w:color="auto"/>
        <w:right w:val="none" w:sz="0" w:space="0" w:color="auto"/>
      </w:divBdr>
    </w:div>
    <w:div w:id="1622687418">
      <w:bodyDiv w:val="1"/>
      <w:marLeft w:val="0"/>
      <w:marRight w:val="0"/>
      <w:marTop w:val="0"/>
      <w:marBottom w:val="0"/>
      <w:divBdr>
        <w:top w:val="none" w:sz="0" w:space="0" w:color="auto"/>
        <w:left w:val="none" w:sz="0" w:space="0" w:color="auto"/>
        <w:bottom w:val="none" w:sz="0" w:space="0" w:color="auto"/>
        <w:right w:val="none" w:sz="0" w:space="0" w:color="auto"/>
      </w:divBdr>
    </w:div>
    <w:div w:id="168008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ga.gov.au/product-information-pi"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tga.gov.au/product-information-pi" TargetMode="External"/><Relationship Id="rId47" Type="http://schemas.openxmlformats.org/officeDocument/2006/relationships/hyperlink" Target="mailto:info@tga.gov.au" TargetMode="External"/><Relationship Id="rId50" Type="http://schemas.openxmlformats.org/officeDocument/2006/relationships/header" Target="header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6.xm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5.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hyperlink" Target="https://www.tga.gov.au" TargetMode="External"/><Relationship Id="rId8" Type="http://schemas.openxmlformats.org/officeDocument/2006/relationships/hyperlink" Target="https://www.tga.gov.au" TargetMode="External"/><Relationship Id="rId51" Type="http://schemas.openxmlformats.org/officeDocument/2006/relationships/footer" Target="footer5.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4865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62039-CB6D-4A59-B8B5-273980BE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0</TotalTime>
  <Pages>36</Pages>
  <Words>8809</Words>
  <Characters>50215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Australian public assessment report for Trifarotene</vt:lpstr>
    </vt:vector>
  </TitlesOfParts>
  <Company>Department of Health Therapeutic Goods Administration</Company>
  <LinksUpToDate>false</LinksUpToDate>
  <CharactersWithSpaces>58907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Trifarotene</dc:title>
  <dc:subject>prescription medicines</dc:subject>
  <dc:creator>Therapeutic Goods Administration</dc:creator>
  <cp:keywords/>
  <cp:lastPrinted>2019-08-14T04:30:00Z</cp:lastPrinted>
  <dcterms:created xsi:type="dcterms:W3CDTF">2021-03-22T04:55:00Z</dcterms:created>
  <dcterms:modified xsi:type="dcterms:W3CDTF">2021-03-22T04:55:00Z</dcterms:modified>
  <cp:category/>
</cp:coreProperties>
</file>