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D7A99" w14:textId="6ED6C415" w:rsidR="00DE43E4" w:rsidRDefault="004032BD" w:rsidP="00466762">
      <w:pPr>
        <w:pStyle w:val="Heading4"/>
        <w:spacing w:before="0" w:after="0"/>
      </w:pPr>
      <w:r w:rsidRPr="006A02F6">
        <w:t xml:space="preserve">Australian </w:t>
      </w:r>
      <w:r w:rsidR="00670C2C">
        <w:t>Product Information</w:t>
      </w:r>
    </w:p>
    <w:p w14:paraId="736BA356" w14:textId="64747A9D" w:rsidR="004032BD" w:rsidRDefault="008229CB" w:rsidP="00466762">
      <w:pPr>
        <w:pStyle w:val="NormalBold"/>
        <w:spacing w:before="0" w:after="0"/>
        <w:rPr>
          <w:rFonts w:eastAsia="SimSun" w:cs="Arial"/>
          <w:bCs/>
          <w:iCs/>
          <w:caps/>
          <w:sz w:val="32"/>
          <w:szCs w:val="32"/>
        </w:rPr>
      </w:pPr>
      <w:r w:rsidRPr="008229CB">
        <w:rPr>
          <w:rFonts w:eastAsia="SimSun" w:cs="Arial"/>
          <w:bCs/>
          <w:iCs/>
          <w:caps/>
          <w:sz w:val="32"/>
          <w:szCs w:val="32"/>
        </w:rPr>
        <w:t>Aklief</w:t>
      </w:r>
      <w:r w:rsidR="00DE43E4" w:rsidRPr="008229CB">
        <w:rPr>
          <w:rFonts w:eastAsia="SimSun" w:cs="Arial"/>
          <w:bCs/>
          <w:iCs/>
          <w:caps/>
          <w:sz w:val="32"/>
          <w:szCs w:val="32"/>
        </w:rPr>
        <w:t xml:space="preserve"> (</w:t>
      </w:r>
      <w:r w:rsidRPr="008229CB">
        <w:rPr>
          <w:rFonts w:eastAsia="SimSun" w:cs="Arial"/>
          <w:bCs/>
          <w:iCs/>
          <w:caps/>
          <w:sz w:val="32"/>
          <w:szCs w:val="32"/>
        </w:rPr>
        <w:t>Trifarotene</w:t>
      </w:r>
      <w:r w:rsidR="00DE43E4" w:rsidRPr="008229CB">
        <w:rPr>
          <w:rFonts w:eastAsia="SimSun" w:cs="Arial"/>
          <w:bCs/>
          <w:iCs/>
          <w:caps/>
          <w:sz w:val="32"/>
          <w:szCs w:val="32"/>
        </w:rPr>
        <w:t xml:space="preserve">) </w:t>
      </w:r>
      <w:r w:rsidRPr="008229CB">
        <w:rPr>
          <w:rFonts w:eastAsia="SimSun" w:cs="Arial"/>
          <w:bCs/>
          <w:iCs/>
          <w:caps/>
          <w:sz w:val="32"/>
          <w:szCs w:val="32"/>
        </w:rPr>
        <w:t>cream</w:t>
      </w:r>
    </w:p>
    <w:p w14:paraId="785A807B" w14:textId="42FFF1E2" w:rsidR="00A87312" w:rsidRDefault="00A87312" w:rsidP="00466762">
      <w:pPr>
        <w:pStyle w:val="NormalBold"/>
        <w:spacing w:before="0" w:after="0"/>
        <w:rPr>
          <w:rFonts w:eastAsia="SimSun" w:cs="Arial"/>
          <w:bCs/>
          <w:iCs/>
          <w:caps/>
          <w:sz w:val="32"/>
          <w:szCs w:val="32"/>
        </w:rPr>
      </w:pPr>
    </w:p>
    <w:p w14:paraId="6FEF4709" w14:textId="5AB187D2" w:rsidR="00A87312" w:rsidRPr="00805272" w:rsidRDefault="00A87312" w:rsidP="00466762">
      <w:pPr>
        <w:pStyle w:val="NormalBold"/>
        <w:spacing w:before="0" w:after="0"/>
        <w:rPr>
          <w:rFonts w:eastAsia="SimSun" w:cs="Arial"/>
          <w:b w:val="0"/>
          <w:bCs/>
          <w:iCs/>
          <w:caps/>
        </w:rPr>
      </w:pPr>
      <w:r w:rsidRPr="00805272">
        <w:rPr>
          <w:rFonts w:cs="Arial"/>
          <w:b w:val="0"/>
          <w:bCs/>
          <w:noProof/>
          <w:lang w:eastAsia="en-AU"/>
        </w:rPr>
        <w:drawing>
          <wp:inline distT="0" distB="0" distL="0" distR="0" wp14:anchorId="49851F9A" wp14:editId="00186AD9">
            <wp:extent cx="197485" cy="168275"/>
            <wp:effectExtent l="0" t="0" r="0" b="317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 cy="168275"/>
                    </a:xfrm>
                    <a:prstGeom prst="rect">
                      <a:avLst/>
                    </a:prstGeom>
                    <a:noFill/>
                    <a:ln>
                      <a:noFill/>
                    </a:ln>
                  </pic:spPr>
                </pic:pic>
              </a:graphicData>
            </a:graphic>
          </wp:inline>
        </w:drawing>
      </w:r>
      <w:r w:rsidRPr="00805272">
        <w:rPr>
          <w:rFonts w:cs="Arial"/>
          <w:b w:val="0"/>
          <w:bCs/>
        </w:rPr>
        <w:t xml:space="preserve">This medicinal product is subject to additional monitoring. This will allow quick identification of new safety information. Healthcare professionals are asked to report any suspected adverse </w:t>
      </w:r>
      <w:r w:rsidRPr="00E00ACC">
        <w:rPr>
          <w:rFonts w:cs="Arial"/>
          <w:b w:val="0"/>
          <w:bCs/>
        </w:rPr>
        <w:t>reactions</w:t>
      </w:r>
      <w:r w:rsidR="00E00ACC">
        <w:rPr>
          <w:rFonts w:cs="Arial"/>
          <w:b w:val="0"/>
          <w:bCs/>
        </w:rPr>
        <w:t xml:space="preserve"> </w:t>
      </w:r>
      <w:r w:rsidR="00620A00" w:rsidRPr="00E00ACC">
        <w:rPr>
          <w:rFonts w:cs="Arial"/>
          <w:b w:val="0"/>
          <w:bCs/>
        </w:rPr>
        <w:t>at</w:t>
      </w:r>
      <w:r w:rsidR="00620A00">
        <w:rPr>
          <w:rFonts w:cs="Arial"/>
          <w:b w:val="0"/>
          <w:bCs/>
        </w:rPr>
        <w:t xml:space="preserve"> </w:t>
      </w:r>
      <w:r w:rsidR="00620A00" w:rsidRPr="00E00ACC">
        <w:rPr>
          <w:rFonts w:cs="Arial"/>
          <w:b w:val="0"/>
          <w:bCs/>
          <w:color w:val="0000FF"/>
          <w:u w:val="single"/>
        </w:rPr>
        <w:t>www.tga.gov.au/reporting-problems</w:t>
      </w:r>
      <w:r w:rsidRPr="00805272">
        <w:rPr>
          <w:rFonts w:cs="Arial"/>
          <w:b w:val="0"/>
          <w:bCs/>
        </w:rPr>
        <w:t>. See section 4.8 for how to report adverse reactions.</w:t>
      </w:r>
    </w:p>
    <w:p w14:paraId="03660BD6" w14:textId="77777777" w:rsidR="001A3992" w:rsidRPr="006A02F6" w:rsidRDefault="001A3992" w:rsidP="00466762">
      <w:pPr>
        <w:pStyle w:val="Heading1"/>
      </w:pPr>
      <w:r w:rsidRPr="006A02F6">
        <w:t>Name of the medicine</w:t>
      </w:r>
    </w:p>
    <w:p w14:paraId="7CE0D24D" w14:textId="535E1F97" w:rsidR="001538ED" w:rsidRPr="00805272" w:rsidRDefault="003C27B6" w:rsidP="00466762">
      <w:pPr>
        <w:rPr>
          <w:rFonts w:cs="Arial"/>
        </w:rPr>
      </w:pPr>
      <w:r w:rsidRPr="00805272">
        <w:rPr>
          <w:rFonts w:cs="Arial"/>
          <w:noProof/>
        </w:rPr>
        <w:t>Trifarotene</w:t>
      </w:r>
    </w:p>
    <w:p w14:paraId="5FB97FC4" w14:textId="0867C7BE" w:rsidR="00C63FBF" w:rsidRPr="006A02F6" w:rsidRDefault="00C63FBF" w:rsidP="00466762">
      <w:pPr>
        <w:pStyle w:val="Heading1"/>
      </w:pPr>
      <w:r w:rsidRPr="006A02F6">
        <w:t>Qualitative a</w:t>
      </w:r>
      <w:r w:rsidR="00B8510A">
        <w:t>nd quantitative composition</w:t>
      </w:r>
    </w:p>
    <w:p w14:paraId="1234DF7E" w14:textId="34F2147F" w:rsidR="007427DF" w:rsidRDefault="0059465D" w:rsidP="00466762">
      <w:pPr>
        <w:pStyle w:val="BodyText"/>
        <w:kinsoku w:val="0"/>
        <w:overflowPunct w:val="0"/>
        <w:rPr>
          <w:rFonts w:cs="Arial"/>
        </w:rPr>
      </w:pPr>
      <w:r w:rsidRPr="00321C75">
        <w:rPr>
          <w:noProof/>
        </w:rPr>
        <w:t>One gram of cream contains 50</w:t>
      </w:r>
      <w:r w:rsidRPr="00321C75">
        <w:t> </w:t>
      </w:r>
      <w:r w:rsidRPr="00321C75">
        <w:rPr>
          <w:noProof/>
        </w:rPr>
        <w:t>micrograms of Trifarotene.</w:t>
      </w:r>
    </w:p>
    <w:p w14:paraId="5A659E03" w14:textId="363634A4" w:rsidR="00EC54DA" w:rsidRPr="00D008A0" w:rsidRDefault="00EC54DA" w:rsidP="00466762">
      <w:pPr>
        <w:pStyle w:val="Heading3"/>
        <w:spacing w:after="240"/>
      </w:pPr>
      <w:r w:rsidRPr="00D008A0">
        <w:t xml:space="preserve">Excipients with known effect </w:t>
      </w:r>
    </w:p>
    <w:p w14:paraId="34CA07DC" w14:textId="64075994" w:rsidR="00070BBB" w:rsidRPr="006A02F6" w:rsidRDefault="00620A00" w:rsidP="00466762">
      <w:pPr>
        <w:pStyle w:val="BodyText"/>
        <w:kinsoku w:val="0"/>
        <w:overflowPunct w:val="0"/>
        <w:rPr>
          <w:rFonts w:cs="Arial"/>
        </w:rPr>
      </w:pPr>
      <w:r w:rsidRPr="00620A00">
        <w:rPr>
          <w:noProof/>
          <w:lang w:val="en-US"/>
        </w:rPr>
        <w:t>Contains alcohol as 6.335% v/v ethan</w:t>
      </w:r>
      <w:r>
        <w:rPr>
          <w:noProof/>
          <w:lang w:val="en-US"/>
        </w:rPr>
        <w:t>ol</w:t>
      </w:r>
      <w:r w:rsidR="00E00ACC">
        <w:rPr>
          <w:rFonts w:cs="Arial"/>
        </w:rPr>
        <w:t xml:space="preserve">. </w:t>
      </w:r>
      <w:r w:rsidR="005B0462">
        <w:rPr>
          <w:rFonts w:cs="Arial"/>
        </w:rPr>
        <w:t xml:space="preserve">For the full </w:t>
      </w:r>
      <w:r w:rsidR="00070BBB">
        <w:rPr>
          <w:rFonts w:cs="Arial"/>
        </w:rPr>
        <w:t xml:space="preserve">list of excipients see section </w:t>
      </w:r>
      <w:r w:rsidR="00070BBB" w:rsidRPr="00DE43E4">
        <w:rPr>
          <w:rFonts w:cs="Arial"/>
          <w:b/>
        </w:rPr>
        <w:t xml:space="preserve">6.1 </w:t>
      </w:r>
      <w:r w:rsidR="00EC54DA" w:rsidRPr="00DE43E4">
        <w:rPr>
          <w:rFonts w:cs="Arial"/>
          <w:b/>
        </w:rPr>
        <w:t xml:space="preserve">List of </w:t>
      </w:r>
      <w:r w:rsidR="00DE43E4">
        <w:rPr>
          <w:rFonts w:cs="Arial"/>
          <w:b/>
        </w:rPr>
        <w:t>e</w:t>
      </w:r>
      <w:r w:rsidR="00EC54DA" w:rsidRPr="00DE43E4">
        <w:rPr>
          <w:rFonts w:cs="Arial"/>
          <w:b/>
        </w:rPr>
        <w:t>xcipients</w:t>
      </w:r>
    </w:p>
    <w:p w14:paraId="675113C5" w14:textId="269FC6BF" w:rsidR="00B8510A" w:rsidRPr="006A02F6" w:rsidRDefault="00670C2C" w:rsidP="00466762">
      <w:pPr>
        <w:pStyle w:val="Heading1"/>
      </w:pPr>
      <w:r>
        <w:t>Pharmaceutical Form</w:t>
      </w:r>
    </w:p>
    <w:p w14:paraId="5E651554" w14:textId="77777777" w:rsidR="006A651A" w:rsidRPr="006A651A" w:rsidRDefault="006A651A" w:rsidP="00466762">
      <w:pPr>
        <w:rPr>
          <w:rFonts w:cs="Arial"/>
          <w:noProof/>
        </w:rPr>
      </w:pPr>
      <w:r w:rsidRPr="006A651A">
        <w:rPr>
          <w:rFonts w:cs="Arial"/>
          <w:noProof/>
        </w:rPr>
        <w:t>Cream</w:t>
      </w:r>
    </w:p>
    <w:p w14:paraId="1B02313B" w14:textId="66F01CE4" w:rsidR="00B8510A" w:rsidRPr="006A651A" w:rsidRDefault="006A651A" w:rsidP="00466762">
      <w:pPr>
        <w:pStyle w:val="Default"/>
        <w:spacing w:before="120" w:after="240"/>
        <w:rPr>
          <w:rFonts w:ascii="Arial" w:hAnsi="Arial" w:cs="Arial"/>
          <w:sz w:val="22"/>
          <w:szCs w:val="22"/>
        </w:rPr>
      </w:pPr>
      <w:r w:rsidRPr="006A651A">
        <w:rPr>
          <w:rFonts w:ascii="Arial" w:hAnsi="Arial" w:cs="Arial"/>
          <w:noProof/>
          <w:sz w:val="22"/>
          <w:szCs w:val="22"/>
        </w:rPr>
        <w:t>White and homogenous cream</w:t>
      </w:r>
    </w:p>
    <w:p w14:paraId="1856A6FD" w14:textId="77777777" w:rsidR="001A3992" w:rsidRPr="006A02F6" w:rsidRDefault="001A3992" w:rsidP="00466762">
      <w:pPr>
        <w:pStyle w:val="Heading1"/>
        <w:numPr>
          <w:ilvl w:val="0"/>
          <w:numId w:val="19"/>
        </w:numPr>
      </w:pPr>
      <w:r w:rsidRPr="006A02F6">
        <w:t>Clinical particulars</w:t>
      </w:r>
    </w:p>
    <w:p w14:paraId="4F50EA7C" w14:textId="77777777" w:rsidR="001A3992" w:rsidRPr="006A02F6" w:rsidRDefault="001A3992" w:rsidP="00466762">
      <w:pPr>
        <w:pStyle w:val="Heading2"/>
      </w:pPr>
      <w:r w:rsidRPr="006A02F6">
        <w:t xml:space="preserve">Therapeutic indications </w:t>
      </w:r>
    </w:p>
    <w:p w14:paraId="2778A5CB" w14:textId="4645A27C" w:rsidR="00C6404A" w:rsidRPr="006A02F6" w:rsidRDefault="006A651A" w:rsidP="00466762">
      <w:pPr>
        <w:pStyle w:val="ListBullet"/>
        <w:numPr>
          <w:ilvl w:val="0"/>
          <w:numId w:val="0"/>
        </w:numPr>
        <w:spacing w:before="120" w:after="240"/>
      </w:pPr>
      <w:r w:rsidRPr="00321C75">
        <w:t xml:space="preserve">Aklief is indicated for the </w:t>
      </w:r>
      <w:r w:rsidR="008D056D">
        <w:t>topical</w:t>
      </w:r>
      <w:r w:rsidRPr="00321C75">
        <w:t xml:space="preserve"> treatment of </w:t>
      </w:r>
      <w:r w:rsidRPr="00321C75">
        <w:rPr>
          <w:i/>
          <w:iCs/>
        </w:rPr>
        <w:t>Acne Vulgaris</w:t>
      </w:r>
      <w:r w:rsidRPr="00321C75">
        <w:t xml:space="preserve"> of the face and/or the trunk in patients from </w:t>
      </w:r>
      <w:r w:rsidR="007D66B2">
        <w:t>12</w:t>
      </w:r>
      <w:r>
        <w:t xml:space="preserve"> </w:t>
      </w:r>
      <w:r w:rsidRPr="00321C75">
        <w:t>years of age and older, when many comedones, papules and</w:t>
      </w:r>
      <w:r w:rsidR="00672A63">
        <w:t>/or</w:t>
      </w:r>
      <w:r w:rsidRPr="00321C75">
        <w:t xml:space="preserve"> pustules are present</w:t>
      </w:r>
      <w:r w:rsidRPr="00321C75">
        <w:rPr>
          <w:noProof/>
        </w:rPr>
        <w:t>.</w:t>
      </w:r>
    </w:p>
    <w:p w14:paraId="6E408830" w14:textId="77777777" w:rsidR="001A3992" w:rsidRPr="006A02F6" w:rsidRDefault="001A3992" w:rsidP="00466762">
      <w:pPr>
        <w:pStyle w:val="Heading2"/>
      </w:pPr>
      <w:r w:rsidRPr="006A02F6">
        <w:t xml:space="preserve">Dose and method of administration </w:t>
      </w:r>
    </w:p>
    <w:p w14:paraId="2C6CDDFE" w14:textId="3271627A" w:rsidR="007427DF" w:rsidRPr="00D008A0" w:rsidRDefault="00654283" w:rsidP="00466762">
      <w:pPr>
        <w:pStyle w:val="Heading3"/>
        <w:spacing w:after="240"/>
        <w:rPr>
          <w:b w:val="0"/>
          <w:bCs w:val="0"/>
        </w:rPr>
      </w:pPr>
      <w:r w:rsidRPr="00D008A0">
        <w:t>D</w:t>
      </w:r>
      <w:r w:rsidR="003D47DB" w:rsidRPr="00D008A0">
        <w:t>osage</w:t>
      </w:r>
    </w:p>
    <w:p w14:paraId="46898D36" w14:textId="77777777" w:rsidR="00E46E2D" w:rsidRPr="00321C75" w:rsidRDefault="00E46E2D" w:rsidP="00466762">
      <w:r w:rsidRPr="00321C75">
        <w:t xml:space="preserve">Apply a thin layer of Aklief cream to the affected areas of the face and/or trunk once a day, in the evening, on clean and dry skin. </w:t>
      </w:r>
    </w:p>
    <w:p w14:paraId="1E109E53" w14:textId="554AEDFA" w:rsidR="00654283" w:rsidRPr="006A02F6" w:rsidRDefault="008D056D" w:rsidP="00466762">
      <w:pPr>
        <w:rPr>
          <w:rFonts w:cs="Arial"/>
        </w:rPr>
      </w:pPr>
      <w:r>
        <w:t xml:space="preserve">It is recommended that the physician assesses the continued improvement of the patient after three months of treatment. </w:t>
      </w:r>
      <w:r w:rsidR="00E46E2D" w:rsidRPr="00321C75">
        <w:t xml:space="preserve">The duration of treatment should be determined by the doctor </w:t>
      </w:r>
      <w:r w:rsidR="00E46E2D">
        <w:t xml:space="preserve">based on </w:t>
      </w:r>
      <w:r w:rsidR="00E46E2D" w:rsidRPr="00321C75">
        <w:t>the clinical response.</w:t>
      </w:r>
      <w:r w:rsidR="00AF0949">
        <w:t xml:space="preserve"> </w:t>
      </w:r>
    </w:p>
    <w:p w14:paraId="32C05F16" w14:textId="190CAC81" w:rsidR="00E46E2D" w:rsidRDefault="00E46E2D" w:rsidP="00466762">
      <w:pPr>
        <w:pageBreakBefore/>
      </w:pPr>
      <w:r w:rsidRPr="00321C75">
        <w:rPr>
          <w:i/>
          <w:iCs/>
        </w:rPr>
        <w:t>Special populations</w:t>
      </w:r>
    </w:p>
    <w:p w14:paraId="6267122B" w14:textId="77777777" w:rsidR="00E46E2D" w:rsidRPr="00321C75" w:rsidRDefault="00E46E2D" w:rsidP="00466762">
      <w:pPr>
        <w:rPr>
          <w:bCs/>
          <w:i/>
          <w:iCs/>
        </w:rPr>
      </w:pPr>
      <w:r w:rsidRPr="00321C75">
        <w:rPr>
          <w:bCs/>
          <w:i/>
          <w:iCs/>
        </w:rPr>
        <w:t>Elderly patients</w:t>
      </w:r>
    </w:p>
    <w:p w14:paraId="5C1776DF" w14:textId="5EA6EDA4" w:rsidR="00E46E2D" w:rsidRDefault="00E46E2D" w:rsidP="00466762">
      <w:r w:rsidRPr="00321C75">
        <w:t xml:space="preserve">The safety and efficacy of </w:t>
      </w:r>
      <w:r w:rsidRPr="00321C75">
        <w:rPr>
          <w:iCs/>
        </w:rPr>
        <w:t xml:space="preserve">Aklief </w:t>
      </w:r>
      <w:r w:rsidRPr="00321C75">
        <w:t>in geriatric patients aged 65 years and above have not been established.</w:t>
      </w:r>
    </w:p>
    <w:p w14:paraId="6867F778" w14:textId="77777777" w:rsidR="00601888" w:rsidRDefault="00601888" w:rsidP="00466762">
      <w:pPr>
        <w:pStyle w:val="Heading3"/>
        <w:widowControl w:val="0"/>
        <w:spacing w:after="240"/>
      </w:pPr>
      <w:r w:rsidRPr="00D63CC6">
        <w:t>Renal impairment</w:t>
      </w:r>
      <w:r>
        <w:t xml:space="preserve"> and </w:t>
      </w:r>
      <w:r w:rsidRPr="00D63CC6">
        <w:t>Hepatic impairment</w:t>
      </w:r>
    </w:p>
    <w:p w14:paraId="44F7904F" w14:textId="778DAF73" w:rsidR="00601888" w:rsidRDefault="00601888" w:rsidP="00466762">
      <w:pPr>
        <w:keepNext/>
        <w:keepLines/>
        <w:widowControl w:val="0"/>
      </w:pPr>
      <w:r w:rsidRPr="00321C75">
        <w:rPr>
          <w:iCs/>
        </w:rPr>
        <w:t xml:space="preserve">Aklief </w:t>
      </w:r>
      <w:r w:rsidRPr="00321C75">
        <w:t>has not been studied in patients with renal and hepatic impairment.</w:t>
      </w:r>
    </w:p>
    <w:p w14:paraId="252A6710" w14:textId="77777777" w:rsidR="00E46E2D" w:rsidRPr="00321C75" w:rsidRDefault="00E46E2D" w:rsidP="00466762">
      <w:pPr>
        <w:keepNext/>
        <w:keepLines/>
        <w:widowControl w:val="0"/>
        <w:rPr>
          <w:bCs/>
          <w:i/>
          <w:iCs/>
        </w:rPr>
      </w:pPr>
      <w:r w:rsidRPr="00321C75">
        <w:rPr>
          <w:bCs/>
          <w:i/>
          <w:iCs/>
        </w:rPr>
        <w:t>Paediatric population</w:t>
      </w:r>
    </w:p>
    <w:p w14:paraId="38EF9B7D" w14:textId="0755F880" w:rsidR="00E46E2D" w:rsidRDefault="00E46E2D" w:rsidP="00466762">
      <w:pPr>
        <w:keepNext/>
        <w:keepLines/>
        <w:widowControl w:val="0"/>
      </w:pPr>
      <w:r w:rsidRPr="00321C75">
        <w:t xml:space="preserve">The safety and efficacy of Aklief in children below </w:t>
      </w:r>
      <w:r w:rsidR="00620A00">
        <w:t>12</w:t>
      </w:r>
      <w:r w:rsidRPr="000E02C1">
        <w:t xml:space="preserve"> </w:t>
      </w:r>
      <w:r w:rsidRPr="00321C75">
        <w:t>years old have not been established.</w:t>
      </w:r>
    </w:p>
    <w:p w14:paraId="725AE314" w14:textId="77777777" w:rsidR="00E35BB9" w:rsidRPr="00321C75" w:rsidRDefault="00E35BB9" w:rsidP="00466762">
      <w:pPr>
        <w:keepNext/>
        <w:keepLines/>
        <w:widowControl w:val="0"/>
        <w:rPr>
          <w:u w:val="single"/>
        </w:rPr>
      </w:pPr>
      <w:r w:rsidRPr="00321C75">
        <w:rPr>
          <w:u w:val="single"/>
        </w:rPr>
        <w:t xml:space="preserve">Method of administration </w:t>
      </w:r>
    </w:p>
    <w:p w14:paraId="0C18553F" w14:textId="78773F4B" w:rsidR="00E35BB9" w:rsidRPr="00321C75" w:rsidRDefault="00E35BB9" w:rsidP="00466762">
      <w:r w:rsidRPr="00321C75">
        <w:t xml:space="preserve">For </w:t>
      </w:r>
      <w:r w:rsidR="008D056D">
        <w:t>topical</w:t>
      </w:r>
      <w:r w:rsidRPr="00321C75">
        <w:t xml:space="preserve"> use only. </w:t>
      </w:r>
    </w:p>
    <w:p w14:paraId="1C8B0464" w14:textId="77777777" w:rsidR="00E35BB9" w:rsidRDefault="00E35BB9" w:rsidP="00466762">
      <w:pPr>
        <w:rPr>
          <w:noProof/>
        </w:rPr>
      </w:pPr>
      <w:r w:rsidRPr="001D4BF3">
        <w:rPr>
          <w:noProof/>
        </w:rPr>
        <w:t>Before using the pump for the first time, prime it by pressing down several times until a small amount of medicine is dispensed (up to 10 times maximum).</w:t>
      </w:r>
      <w:r>
        <w:rPr>
          <w:noProof/>
        </w:rPr>
        <w:t xml:space="preserve"> The pump is now ready to use</w:t>
      </w:r>
      <w:r w:rsidRPr="00321C75">
        <w:rPr>
          <w:noProof/>
        </w:rPr>
        <w:t>.</w:t>
      </w:r>
    </w:p>
    <w:p w14:paraId="19C10B51" w14:textId="77777777" w:rsidR="00E35BB9" w:rsidRPr="00321C75" w:rsidRDefault="00E35BB9" w:rsidP="00466762">
      <w:r w:rsidRPr="00321C75">
        <w:t>Apply a thin layer of Aklief cream to the affected areas of the face</w:t>
      </w:r>
      <w:r>
        <w:t xml:space="preserve"> </w:t>
      </w:r>
      <w:r w:rsidRPr="00321C75">
        <w:t>(forehead, nose,</w:t>
      </w:r>
      <w:r>
        <w:t xml:space="preserve"> chin and right and left cheeks</w:t>
      </w:r>
      <w:r w:rsidRPr="00321C75">
        <w:t>) and a</w:t>
      </w:r>
      <w:r>
        <w:t xml:space="preserve">ll affected areas of </w:t>
      </w:r>
      <w:r w:rsidRPr="00321C75">
        <w:t>the trunk</w:t>
      </w:r>
      <w:r>
        <w:t xml:space="preserve"> </w:t>
      </w:r>
      <w:r w:rsidRPr="00321C75">
        <w:t xml:space="preserve">once a day, in the evening, on clean and dry skin:  </w:t>
      </w:r>
    </w:p>
    <w:p w14:paraId="1DDBEBC8" w14:textId="77777777" w:rsidR="00E35BB9" w:rsidRPr="00321C75" w:rsidRDefault="00E35BB9" w:rsidP="00466762">
      <w:pPr>
        <w:numPr>
          <w:ilvl w:val="0"/>
          <w:numId w:val="21"/>
        </w:numPr>
        <w:suppressAutoHyphens/>
        <w:autoSpaceDE w:val="0"/>
        <w:autoSpaceDN w:val="0"/>
        <w:adjustRightInd w:val="0"/>
        <w:contextualSpacing/>
      </w:pPr>
      <w:r w:rsidRPr="00321C75">
        <w:t xml:space="preserve">One pump actuation should be enough to cover the face (i.e. forehead, cheeks, nose, and chin). </w:t>
      </w:r>
    </w:p>
    <w:p w14:paraId="18F12AD4" w14:textId="77777777" w:rsidR="00E35BB9" w:rsidRPr="00321C75" w:rsidRDefault="00E35BB9" w:rsidP="00466762">
      <w:pPr>
        <w:numPr>
          <w:ilvl w:val="0"/>
          <w:numId w:val="21"/>
        </w:numPr>
        <w:suppressAutoHyphens/>
        <w:autoSpaceDE w:val="0"/>
        <w:autoSpaceDN w:val="0"/>
        <w:adjustRightInd w:val="0"/>
        <w:spacing w:line="259" w:lineRule="auto"/>
        <w:contextualSpacing/>
        <w:rPr>
          <w:iCs/>
          <w:sz w:val="20"/>
        </w:rPr>
      </w:pPr>
      <w:r w:rsidRPr="00321C75">
        <w:t>Two pump actuations should be enough to cover the upper trunk (i.e. reachable upper back, shoulders and chest). One additional pump actuation may be used for middle and lower back if acne is present.</w:t>
      </w:r>
    </w:p>
    <w:p w14:paraId="7704D251" w14:textId="77777777" w:rsidR="00E35BB9" w:rsidRPr="00321C75" w:rsidRDefault="00E35BB9" w:rsidP="00466762">
      <w:r w:rsidRPr="00321C75">
        <w:t>Patients should be instructed to avoid contact with the eyes, eyelid</w:t>
      </w:r>
      <w:r>
        <w:t>s</w:t>
      </w:r>
      <w:r w:rsidRPr="00321C75">
        <w:t>, lips and mucous membranes and to wash their hands after applying the medicinal product.</w:t>
      </w:r>
    </w:p>
    <w:p w14:paraId="7BFD74B6" w14:textId="29746C40" w:rsidR="00E35BB9" w:rsidRDefault="00E35BB9" w:rsidP="00466762">
      <w:pPr>
        <w:autoSpaceDE w:val="0"/>
        <w:autoSpaceDN w:val="0"/>
        <w:adjustRightInd w:val="0"/>
      </w:pPr>
      <w:r>
        <w:t>The use of a moisturi</w:t>
      </w:r>
      <w:r w:rsidR="007D66B2">
        <w:t>s</w:t>
      </w:r>
      <w:r>
        <w:t xml:space="preserve">er is </w:t>
      </w:r>
      <w:r w:rsidRPr="00321C75">
        <w:t xml:space="preserve">recommended as needed from the initiation of treatment, </w:t>
      </w:r>
      <w:r w:rsidRPr="00D01D8D">
        <w:t>while allowing sufficient time before and after the application of Aklief cream to allow the skin to dry.</w:t>
      </w:r>
    </w:p>
    <w:p w14:paraId="3CB57DEB" w14:textId="77777777" w:rsidR="001A3992" w:rsidRPr="006A02F6" w:rsidRDefault="001A3992" w:rsidP="00466762">
      <w:pPr>
        <w:pStyle w:val="Heading2"/>
      </w:pPr>
      <w:r w:rsidRPr="006A02F6">
        <w:t>Contraindications</w:t>
      </w:r>
    </w:p>
    <w:p w14:paraId="5A6BD628" w14:textId="77777777" w:rsidR="004B09E5" w:rsidRPr="00321C75" w:rsidRDefault="004B09E5" w:rsidP="00466762">
      <w:pPr>
        <w:numPr>
          <w:ilvl w:val="0"/>
          <w:numId w:val="23"/>
        </w:numPr>
        <w:suppressAutoHyphens/>
        <w:spacing w:after="120"/>
        <w:ind w:left="714" w:hanging="357"/>
      </w:pPr>
      <w:r w:rsidRPr="00321C75">
        <w:t>Pregnancy (see section 4.6)</w:t>
      </w:r>
    </w:p>
    <w:p w14:paraId="3229BEEE" w14:textId="77777777" w:rsidR="004B09E5" w:rsidRDefault="004B09E5" w:rsidP="00466762">
      <w:pPr>
        <w:numPr>
          <w:ilvl w:val="0"/>
          <w:numId w:val="23"/>
        </w:numPr>
        <w:suppressAutoHyphens/>
        <w:spacing w:after="120"/>
        <w:ind w:left="714" w:hanging="357"/>
      </w:pPr>
      <w:r w:rsidRPr="00321C75">
        <w:t>Women planning a pregnancy</w:t>
      </w:r>
    </w:p>
    <w:p w14:paraId="0A8DD0EB" w14:textId="3B61CE07" w:rsidR="007B39F3" w:rsidRPr="006A02F6" w:rsidRDefault="004B09E5" w:rsidP="00466762">
      <w:pPr>
        <w:numPr>
          <w:ilvl w:val="0"/>
          <w:numId w:val="23"/>
        </w:numPr>
        <w:suppressAutoHyphens/>
        <w:spacing w:after="120"/>
        <w:ind w:left="714" w:hanging="357"/>
      </w:pPr>
      <w:r w:rsidRPr="00321C75">
        <w:t xml:space="preserve">Hypersensitivity to the active substance or to any of the excipients listed in </w:t>
      </w:r>
      <w:r w:rsidRPr="00EE6F6A">
        <w:t>section 6.1</w:t>
      </w:r>
      <w:r w:rsidRPr="00321C75">
        <w:t>.</w:t>
      </w:r>
    </w:p>
    <w:p w14:paraId="19AC6A2E" w14:textId="77777777" w:rsidR="001A3992" w:rsidRPr="006A02F6" w:rsidRDefault="00E74A56" w:rsidP="00466762">
      <w:pPr>
        <w:pStyle w:val="Heading2"/>
        <w:keepLines/>
        <w:pageBreakBefore/>
        <w:widowControl w:val="0"/>
      </w:pPr>
      <w:r w:rsidRPr="006A02F6">
        <w:t>Special warnings and p</w:t>
      </w:r>
      <w:r w:rsidR="001A3992" w:rsidRPr="006A02F6">
        <w:t xml:space="preserve">recautions </w:t>
      </w:r>
      <w:r w:rsidRPr="006A02F6">
        <w:t>for use</w:t>
      </w:r>
    </w:p>
    <w:p w14:paraId="36456ECF" w14:textId="762BE1D0" w:rsidR="004B09E5" w:rsidRPr="00321C75" w:rsidRDefault="004B09E5" w:rsidP="00466762">
      <w:r w:rsidRPr="00321C75">
        <w:t>Erythema, scaling, dryness, and stinging/burning may be experienced with use of Aklief cream</w:t>
      </w:r>
      <w:r>
        <w:t xml:space="preserve"> </w:t>
      </w:r>
      <w:r w:rsidRPr="00321C75">
        <w:t xml:space="preserve">(see </w:t>
      </w:r>
      <w:r w:rsidRPr="00EE6F6A">
        <w:t>section 4.8</w:t>
      </w:r>
      <w:r w:rsidRPr="00321C75">
        <w:t>). To mitigate the risk of such reactions, patients should be instructed to use a moisturi</w:t>
      </w:r>
      <w:r w:rsidR="007D66B2">
        <w:t>s</w:t>
      </w:r>
      <w:r w:rsidRPr="00321C75">
        <w:t>er from the initiation of treatment, and, if appropriate, reduce the frequency of application of Aklief cream, or suspend use temporarily. Despite mitigation measures, if severe reactions persist the treatment may be discontinued.</w:t>
      </w:r>
    </w:p>
    <w:p w14:paraId="6D47B883" w14:textId="7269A5D1" w:rsidR="004B09E5" w:rsidRPr="00321C75" w:rsidRDefault="004B09E5" w:rsidP="00466762">
      <w:pPr>
        <w:rPr>
          <w:noProof/>
        </w:rPr>
      </w:pPr>
      <w:r w:rsidRPr="00321C75">
        <w:rPr>
          <w:noProof/>
        </w:rPr>
        <w:t>The product should not be applied to cuts, abrasions, eczematous or sunburn</w:t>
      </w:r>
      <w:r w:rsidR="00672A63">
        <w:rPr>
          <w:noProof/>
        </w:rPr>
        <w:t>t</w:t>
      </w:r>
      <w:r w:rsidRPr="00321C75">
        <w:rPr>
          <w:noProof/>
        </w:rPr>
        <w:t xml:space="preserve"> skin. </w:t>
      </w:r>
    </w:p>
    <w:p w14:paraId="51282B23" w14:textId="77777777" w:rsidR="004B09E5" w:rsidRDefault="004B09E5" w:rsidP="00466762">
      <w:pPr>
        <w:rPr>
          <w:noProof/>
        </w:rPr>
      </w:pPr>
      <w:r w:rsidRPr="00321C75">
        <w:rPr>
          <w:noProof/>
        </w:rPr>
        <w:t>As with other retinoids, use of “waxing” as a depilatory method should be avoided on skin treated with Aklief.</w:t>
      </w:r>
    </w:p>
    <w:p w14:paraId="16D54584" w14:textId="77777777" w:rsidR="004B09E5" w:rsidRPr="00321C75" w:rsidRDefault="004B09E5" w:rsidP="00466762">
      <w:pPr>
        <w:rPr>
          <w:noProof/>
        </w:rPr>
      </w:pPr>
      <w:r w:rsidRPr="00321C75">
        <w:rPr>
          <w:noProof/>
        </w:rPr>
        <w:t xml:space="preserve">If a reaction suggesting sensitivity to any component of the formula occurs, the use of Aklief should be discontinued. Caution should be exercised if cosmetics or acne medications with desquamative, irritant or drying effects are </w:t>
      </w:r>
      <w:r>
        <w:rPr>
          <w:noProof/>
        </w:rPr>
        <w:t xml:space="preserve">concomitantly </w:t>
      </w:r>
      <w:r w:rsidRPr="00321C75">
        <w:rPr>
          <w:noProof/>
        </w:rPr>
        <w:t>used</w:t>
      </w:r>
      <w:r w:rsidRPr="00971881">
        <w:t xml:space="preserve"> </w:t>
      </w:r>
      <w:r w:rsidRPr="00971881">
        <w:rPr>
          <w:noProof/>
        </w:rPr>
        <w:t>with the medicinal product</w:t>
      </w:r>
      <w:r w:rsidRPr="00321C75">
        <w:rPr>
          <w:noProof/>
        </w:rPr>
        <w:t>, as they may produce additive irritant effects.</w:t>
      </w:r>
    </w:p>
    <w:p w14:paraId="28D4787E" w14:textId="0D5DAEA9" w:rsidR="004B09E5" w:rsidRPr="00321C75" w:rsidRDefault="004B09E5" w:rsidP="00466762">
      <w:pPr>
        <w:rPr>
          <w:noProof/>
        </w:rPr>
      </w:pPr>
      <w:r w:rsidRPr="00321C75">
        <w:rPr>
          <w:noProof/>
        </w:rPr>
        <w:t xml:space="preserve">Aklief should not come into contact with the eyes, </w:t>
      </w:r>
      <w:r w:rsidRPr="00321C75">
        <w:t>eyelid</w:t>
      </w:r>
      <w:r>
        <w:t>s</w:t>
      </w:r>
      <w:r w:rsidRPr="00321C75">
        <w:t>,</w:t>
      </w:r>
      <w:r w:rsidRPr="00321C75">
        <w:rPr>
          <w:noProof/>
        </w:rPr>
        <w:t xml:space="preserve"> lips, or mucous membranes. If the product enter the eye, wash immediately and abundantly with </w:t>
      </w:r>
      <w:r w:rsidR="007C4AB4">
        <w:rPr>
          <w:noProof/>
        </w:rPr>
        <w:t>luke</w:t>
      </w:r>
      <w:r w:rsidRPr="00321C75">
        <w:rPr>
          <w:noProof/>
        </w:rPr>
        <w:t>warm water.</w:t>
      </w:r>
    </w:p>
    <w:p w14:paraId="4B1EE6B8" w14:textId="05BD1B42" w:rsidR="004B09E5" w:rsidRPr="004B09E5" w:rsidRDefault="004B09E5" w:rsidP="00466762">
      <w:pPr>
        <w:rPr>
          <w:iCs/>
        </w:rPr>
      </w:pPr>
      <w:r w:rsidRPr="00321C75">
        <w:rPr>
          <w:noProof/>
        </w:rPr>
        <w:t xml:space="preserve">Excessive exposure to sunlight, including sunlamps or phototherapy should be </w:t>
      </w:r>
      <w:r>
        <w:rPr>
          <w:noProof/>
        </w:rPr>
        <w:t>avoided</w:t>
      </w:r>
      <w:r w:rsidRPr="00321C75">
        <w:rPr>
          <w:noProof/>
        </w:rPr>
        <w:t xml:space="preserve"> during the treatment. </w:t>
      </w:r>
      <w:r w:rsidR="008D056D">
        <w:rPr>
          <w:noProof/>
        </w:rPr>
        <w:t xml:space="preserve">An increased risk of sunburn was reported in 1.7% of the children, compared to 0.7% of the adults. </w:t>
      </w:r>
      <w:r w:rsidRPr="00F70A5F">
        <w:rPr>
          <w:noProof/>
        </w:rPr>
        <w:t xml:space="preserve">Use of a broad-spectrum, water-resistant sunscreen with a Sun Protection Factor </w:t>
      </w:r>
      <w:r>
        <w:rPr>
          <w:noProof/>
        </w:rPr>
        <w:t xml:space="preserve">(SPF) of 30 or higher </w:t>
      </w:r>
      <w:r w:rsidRPr="00F70A5F">
        <w:rPr>
          <w:noProof/>
        </w:rPr>
        <w:t xml:space="preserve"> and protective clothing over treated areas is recommended when exposure cannot be avoided.</w:t>
      </w:r>
    </w:p>
    <w:p w14:paraId="431F06F6" w14:textId="0C82E8C5" w:rsidR="00CF3BF3" w:rsidRPr="006A02F6" w:rsidRDefault="004B09E5" w:rsidP="00466762">
      <w:bookmarkStart w:id="0" w:name="_Hlk33621642"/>
      <w:r w:rsidRPr="00321C75">
        <w:rPr>
          <w:noProof/>
        </w:rPr>
        <w:t>This product contains propylene glycol that may cause skin irritation.</w:t>
      </w:r>
    </w:p>
    <w:bookmarkEnd w:id="0"/>
    <w:p w14:paraId="629BC5D1" w14:textId="77777777" w:rsidR="001A3992" w:rsidRPr="006A02F6" w:rsidRDefault="001A3992" w:rsidP="00466762">
      <w:pPr>
        <w:pStyle w:val="Heading3"/>
        <w:spacing w:after="240"/>
        <w:rPr>
          <w:rFonts w:ascii="Arial" w:hAnsi="Arial" w:cs="Arial"/>
        </w:rPr>
      </w:pPr>
      <w:r w:rsidRPr="006A02F6">
        <w:rPr>
          <w:rFonts w:ascii="Arial" w:hAnsi="Arial" w:cs="Arial"/>
        </w:rPr>
        <w:t>Use in the elderly</w:t>
      </w:r>
    </w:p>
    <w:p w14:paraId="74C49F32" w14:textId="3795BC7E" w:rsidR="007427DF" w:rsidRPr="006A02F6" w:rsidRDefault="00ED05A2" w:rsidP="00466762">
      <w:bookmarkStart w:id="1" w:name="_Hlk509308144"/>
      <w:r w:rsidRPr="006A02F6">
        <w:t>No data available.</w:t>
      </w:r>
      <w:bookmarkEnd w:id="1"/>
    </w:p>
    <w:p w14:paraId="155639D4" w14:textId="6C193768" w:rsidR="00E00ACC" w:rsidRPr="00E00ACC" w:rsidRDefault="001A3992" w:rsidP="00466762">
      <w:pPr>
        <w:pStyle w:val="Heading3"/>
        <w:spacing w:after="240"/>
        <w:rPr>
          <w:rFonts w:ascii="Arial" w:eastAsiaTheme="minorHAnsi" w:hAnsi="Arial" w:cstheme="minorBidi"/>
          <w:b w:val="0"/>
          <w:bCs w:val="0"/>
        </w:rPr>
      </w:pPr>
      <w:r w:rsidRPr="006A02F6">
        <w:rPr>
          <w:rFonts w:ascii="Arial" w:hAnsi="Arial" w:cs="Arial"/>
        </w:rPr>
        <w:t>Paediatric use</w:t>
      </w:r>
    </w:p>
    <w:p w14:paraId="225D7049" w14:textId="77777777" w:rsidR="00E00ACC" w:rsidRDefault="00E00ACC" w:rsidP="00466762">
      <w:r>
        <w:t>The safety of Aklief in children below 12 years old has not been established.</w:t>
      </w:r>
    </w:p>
    <w:p w14:paraId="0CEF612A" w14:textId="2B3D5CAE" w:rsidR="00E00ACC" w:rsidRDefault="00E00ACC" w:rsidP="00466762">
      <w:pPr>
        <w:pStyle w:val="Heading3"/>
        <w:spacing w:after="240"/>
      </w:pPr>
      <w:r w:rsidRPr="006A02F6">
        <w:rPr>
          <w:rFonts w:ascii="Arial" w:hAnsi="Arial" w:cs="Arial"/>
        </w:rPr>
        <w:t>Effects on laboratory tests</w:t>
      </w:r>
    </w:p>
    <w:p w14:paraId="46E7E330" w14:textId="7123FEB5" w:rsidR="00F26307" w:rsidRPr="006A02F6" w:rsidRDefault="00F26307" w:rsidP="00466762">
      <w:r w:rsidRPr="006A02F6">
        <w:t>No data available.</w:t>
      </w:r>
    </w:p>
    <w:p w14:paraId="30B2504B" w14:textId="79F2B2C0" w:rsidR="001A3992" w:rsidRDefault="001A3992" w:rsidP="00466762">
      <w:pPr>
        <w:pStyle w:val="Heading2"/>
      </w:pPr>
      <w:r w:rsidRPr="006A02F6">
        <w:t>Interactions with other medicines and other forms of interactions</w:t>
      </w:r>
    </w:p>
    <w:p w14:paraId="4AEB87CC" w14:textId="77777777" w:rsidR="004B09E5" w:rsidRPr="00321C75" w:rsidRDefault="004B09E5" w:rsidP="00466762">
      <w:pPr>
        <w:rPr>
          <w:u w:val="single"/>
        </w:rPr>
      </w:pPr>
      <w:r w:rsidRPr="00321C75">
        <w:rPr>
          <w:u w:val="single"/>
        </w:rPr>
        <w:t>Effect of Aklief cream on other medicinal products</w:t>
      </w:r>
    </w:p>
    <w:p w14:paraId="48C57AFF" w14:textId="1E6F7377" w:rsidR="004B09E5" w:rsidRPr="00321C75" w:rsidRDefault="004B09E5" w:rsidP="00466762">
      <w:pPr>
        <w:keepNext/>
      </w:pPr>
      <w:r w:rsidRPr="00321C75">
        <w:t>A clinical drug-drug interaction study has shown that topical application of trifarotene did not affect the</w:t>
      </w:r>
      <w:r w:rsidRPr="00321C75">
        <w:rPr>
          <w:sz w:val="20"/>
        </w:rPr>
        <w:t xml:space="preserve"> </w:t>
      </w:r>
      <w:r w:rsidRPr="00321C75">
        <w:t xml:space="preserve">circulating concentrations of hormonal contraceptives (ethinylestradiol and levonorgestrel) administered by oral route. </w:t>
      </w:r>
    </w:p>
    <w:p w14:paraId="02D7AEC4" w14:textId="77777777" w:rsidR="004B09E5" w:rsidRPr="00321C75" w:rsidRDefault="004B09E5" w:rsidP="00466762">
      <w:pPr>
        <w:pageBreakBefore/>
        <w:rPr>
          <w:u w:val="single"/>
        </w:rPr>
      </w:pPr>
      <w:r w:rsidRPr="00321C75">
        <w:rPr>
          <w:u w:val="single"/>
        </w:rPr>
        <w:t>Effect of other medicinal products</w:t>
      </w:r>
      <w:r w:rsidRPr="00321C75" w:rsidDel="00F30CE4">
        <w:rPr>
          <w:u w:val="single"/>
        </w:rPr>
        <w:t xml:space="preserve"> </w:t>
      </w:r>
      <w:r w:rsidRPr="00321C75">
        <w:rPr>
          <w:u w:val="single"/>
        </w:rPr>
        <w:t>on Aklief cream</w:t>
      </w:r>
    </w:p>
    <w:p w14:paraId="2758514C" w14:textId="77777777" w:rsidR="004B09E5" w:rsidRDefault="004B09E5" w:rsidP="00466762">
      <w:pPr>
        <w:keepNext/>
      </w:pPr>
      <w:r w:rsidRPr="00321C75">
        <w:t xml:space="preserve">No clinical drug-drug interaction studies were performed to assess effects of other drugs on trifarotene systemic levels (see </w:t>
      </w:r>
      <w:r w:rsidRPr="00EE6F6A">
        <w:t>section 5.2</w:t>
      </w:r>
      <w:r w:rsidRPr="00321C75">
        <w:t xml:space="preserve">). </w:t>
      </w:r>
    </w:p>
    <w:p w14:paraId="65FDC987" w14:textId="7EB37176" w:rsidR="00B07650" w:rsidRDefault="004B09E5" w:rsidP="00466762">
      <w:pPr>
        <w:rPr>
          <w:noProof/>
        </w:rPr>
      </w:pPr>
      <w:r>
        <w:t xml:space="preserve">There is no data on the </w:t>
      </w:r>
      <w:r>
        <w:rPr>
          <w:i/>
        </w:rPr>
        <w:t>pharmacodynamic</w:t>
      </w:r>
      <w:r>
        <w:t xml:space="preserve"> interaction potential of trifarotene. </w:t>
      </w:r>
      <w:r w:rsidRPr="00321C75">
        <w:rPr>
          <w:noProof/>
        </w:rPr>
        <w:t xml:space="preserve">Caution should be exercised if cosmetics or acne medications with desquamative, irritant or drying effects are </w:t>
      </w:r>
      <w:r>
        <w:rPr>
          <w:noProof/>
        </w:rPr>
        <w:t xml:space="preserve">concomitantly </w:t>
      </w:r>
      <w:r w:rsidRPr="00321C75">
        <w:rPr>
          <w:noProof/>
        </w:rPr>
        <w:t>used</w:t>
      </w:r>
      <w:r w:rsidRPr="00971881">
        <w:t xml:space="preserve"> </w:t>
      </w:r>
      <w:r w:rsidRPr="00971881">
        <w:rPr>
          <w:noProof/>
        </w:rPr>
        <w:t>with the medicinal product</w:t>
      </w:r>
      <w:r w:rsidRPr="00321C75">
        <w:rPr>
          <w:noProof/>
        </w:rPr>
        <w:t>, as they may produce additive irritant effects</w:t>
      </w:r>
      <w:r>
        <w:rPr>
          <w:noProof/>
        </w:rPr>
        <w:t xml:space="preserve"> (see section 4.4).</w:t>
      </w:r>
    </w:p>
    <w:p w14:paraId="49B05724" w14:textId="2A66FD62" w:rsidR="000B71FB" w:rsidRPr="00466762" w:rsidRDefault="000B71FB" w:rsidP="00466762">
      <w:pPr>
        <w:rPr>
          <w:highlight w:val="lightGray"/>
          <w:u w:val="single"/>
        </w:rPr>
      </w:pPr>
      <w:r w:rsidRPr="00466762">
        <w:rPr>
          <w:u w:val="single"/>
        </w:rPr>
        <w:t>Pharmacokinetic drug interaction potential</w:t>
      </w:r>
      <w:r w:rsidRPr="00466762">
        <w:rPr>
          <w:highlight w:val="lightGray"/>
          <w:u w:val="single"/>
        </w:rPr>
        <w:t xml:space="preserve"> </w:t>
      </w:r>
    </w:p>
    <w:p w14:paraId="0D0BE96E" w14:textId="084F2E43" w:rsidR="000B71FB" w:rsidRPr="000B71FB" w:rsidRDefault="000B71FB" w:rsidP="00466762">
      <w:pPr>
        <w:autoSpaceDE w:val="0"/>
        <w:autoSpaceDN w:val="0"/>
        <w:adjustRightInd w:val="0"/>
        <w:rPr>
          <w:noProof/>
        </w:rPr>
      </w:pPr>
      <w:r w:rsidRPr="000B71FB">
        <w:rPr>
          <w:noProof/>
        </w:rPr>
        <w:t>In vitro studies show that Aklief cream at the concentrations achieved systemically after topical administration did not inhibit the CYP450 isoenzymes CYP1A2, 2B6, 2C8, 2C9, 2C19, 2D6 and 3A4, and did not induce CYP1A2, 2B6, or 3A4.</w:t>
      </w:r>
    </w:p>
    <w:p w14:paraId="250DEF2A" w14:textId="60AE7C81" w:rsidR="000B71FB" w:rsidRPr="007D4BAA" w:rsidRDefault="000B71FB" w:rsidP="00466762">
      <w:pPr>
        <w:autoSpaceDE w:val="0"/>
        <w:autoSpaceDN w:val="0"/>
        <w:adjustRightInd w:val="0"/>
      </w:pPr>
      <w:r w:rsidRPr="000B71FB">
        <w:rPr>
          <w:noProof/>
        </w:rPr>
        <w:t>In vitro studies have shown that Aklief cream at the concentrations achieved systemically after topical administration did not inhibit either MATE, OATP, OAT or OCT uptake transporters or BCRP, PgP, BSEP or MRP efflux transporters.</w:t>
      </w:r>
    </w:p>
    <w:p w14:paraId="5A1A20BE" w14:textId="3766F2A3" w:rsidR="000B71FB" w:rsidRPr="000B71FB" w:rsidRDefault="000B71FB" w:rsidP="00466762">
      <w:pPr>
        <w:autoSpaceDE w:val="0"/>
        <w:autoSpaceDN w:val="0"/>
        <w:adjustRightInd w:val="0"/>
        <w:rPr>
          <w:noProof/>
          <w:u w:val="single"/>
        </w:rPr>
      </w:pPr>
      <w:r w:rsidRPr="000B71FB">
        <w:rPr>
          <w:noProof/>
          <w:u w:val="single"/>
        </w:rPr>
        <w:t>Effect of Aklief cream on other medicinal products</w:t>
      </w:r>
    </w:p>
    <w:p w14:paraId="78C76131" w14:textId="58DCD0F2" w:rsidR="000B71FB" w:rsidRPr="00D37953" w:rsidRDefault="000B71FB" w:rsidP="00466762">
      <w:pPr>
        <w:autoSpaceDE w:val="0"/>
        <w:autoSpaceDN w:val="0"/>
        <w:adjustRightInd w:val="0"/>
        <w:rPr>
          <w:noProof/>
        </w:rPr>
      </w:pPr>
      <w:r w:rsidRPr="00D37953">
        <w:rPr>
          <w:noProof/>
        </w:rPr>
        <w:t>A clinical drug-drug interaction study has shown that topical application of trifarotene did not affect the circulating concentrations of hormonal contraceptives (ethinylestradiol and levonorgestrel) administered by oral route.</w:t>
      </w:r>
    </w:p>
    <w:p w14:paraId="13E8A02C" w14:textId="11C70F5E" w:rsidR="000B71FB" w:rsidRPr="000B71FB" w:rsidRDefault="000B71FB" w:rsidP="00466762">
      <w:pPr>
        <w:autoSpaceDE w:val="0"/>
        <w:autoSpaceDN w:val="0"/>
        <w:adjustRightInd w:val="0"/>
        <w:rPr>
          <w:noProof/>
          <w:u w:val="single"/>
        </w:rPr>
      </w:pPr>
      <w:r w:rsidRPr="000B71FB">
        <w:rPr>
          <w:noProof/>
          <w:u w:val="single"/>
        </w:rPr>
        <w:t>Effect of other medicinal products on Aklief cream</w:t>
      </w:r>
    </w:p>
    <w:p w14:paraId="105677B8" w14:textId="77777777" w:rsidR="000B71FB" w:rsidRDefault="000B71FB" w:rsidP="00466762">
      <w:pPr>
        <w:autoSpaceDE w:val="0"/>
        <w:autoSpaceDN w:val="0"/>
        <w:adjustRightInd w:val="0"/>
        <w:rPr>
          <w:noProof/>
        </w:rPr>
      </w:pPr>
      <w:r w:rsidRPr="00D37953">
        <w:rPr>
          <w:noProof/>
        </w:rPr>
        <w:t>No clinical drug-drug interaction studies were performed to assess effects of other drugs on trifarotene systemic levels (see section 5.2).</w:t>
      </w:r>
    </w:p>
    <w:p w14:paraId="0D2DE95F" w14:textId="0B45D058" w:rsidR="000B71FB" w:rsidRPr="007D4BAA" w:rsidRDefault="000B71FB" w:rsidP="00466762">
      <w:pPr>
        <w:autoSpaceDE w:val="0"/>
        <w:autoSpaceDN w:val="0"/>
        <w:adjustRightInd w:val="0"/>
        <w:rPr>
          <w:noProof/>
        </w:rPr>
      </w:pPr>
      <w:r w:rsidRPr="00D37953">
        <w:rPr>
          <w:noProof/>
        </w:rPr>
        <w:t>There is no data on the pharmacodynamic interaction potential of trifarotene. Caution should be exercised if cosmetics or acne medications with desquamative, irritant or drying effects are concomitantly used with the medicinal product, as they may produce additive irritant effects (see section 4.4).</w:t>
      </w:r>
    </w:p>
    <w:p w14:paraId="43BF17CD" w14:textId="17AA7E09" w:rsidR="001A3992" w:rsidRDefault="001A3992" w:rsidP="00466762">
      <w:pPr>
        <w:pStyle w:val="Heading2"/>
      </w:pPr>
      <w:r w:rsidRPr="006A02F6">
        <w:t>Fertility, pregnancy and lactation</w:t>
      </w:r>
    </w:p>
    <w:p w14:paraId="02B1E688" w14:textId="71022914" w:rsidR="00DA168A" w:rsidRDefault="00DA168A" w:rsidP="00466762">
      <w:pPr>
        <w:rPr>
          <w:noProof/>
        </w:rPr>
      </w:pPr>
      <w:r w:rsidRPr="00321C75">
        <w:rPr>
          <w:noProof/>
        </w:rPr>
        <w:t>Orally administered retinoids have been associated with congenital abnormalities. When used in accordance with the prescribing information, topically administered retinoids are generally assumed to result into low systemic exposure due to minimal dermal absorption. However, there could be individual factors (e.g. damaged skin barrier, excessive use) that contribute to an increased systemic exposure.</w:t>
      </w:r>
    </w:p>
    <w:p w14:paraId="7AEECCA3" w14:textId="25658C16" w:rsidR="009945B3" w:rsidRPr="00411854" w:rsidRDefault="00411854" w:rsidP="00466762">
      <w:pPr>
        <w:pStyle w:val="Bodytext0-12"/>
        <w:jc w:val="left"/>
        <w:rPr>
          <w:rFonts w:ascii="Arial" w:eastAsiaTheme="minorHAnsi" w:hAnsi="Arial" w:cstheme="minorBidi"/>
          <w:noProof/>
          <w:color w:val="auto"/>
          <w:sz w:val="22"/>
          <w:szCs w:val="22"/>
          <w:lang w:val="en-AU"/>
        </w:rPr>
      </w:pPr>
      <w:bookmarkStart w:id="2" w:name="_Hlk59614342"/>
      <w:r w:rsidRPr="00411854">
        <w:rPr>
          <w:rFonts w:ascii="Arial" w:eastAsiaTheme="minorHAnsi" w:hAnsi="Arial" w:cstheme="minorBidi"/>
          <w:noProof/>
          <w:color w:val="auto"/>
          <w:sz w:val="22"/>
          <w:szCs w:val="22"/>
          <w:lang w:val="en-AU"/>
        </w:rPr>
        <w:t xml:space="preserve">It is difficult to determine the exact time frame in which a patient’s system would be completely free </w:t>
      </w:r>
      <w:r w:rsidR="00566239">
        <w:rPr>
          <w:rFonts w:ascii="Arial" w:eastAsiaTheme="minorHAnsi" w:hAnsi="Arial" w:cstheme="minorBidi"/>
          <w:noProof/>
          <w:color w:val="auto"/>
          <w:sz w:val="22"/>
          <w:szCs w:val="22"/>
          <w:lang w:val="en-AU"/>
        </w:rPr>
        <w:t xml:space="preserve">of </w:t>
      </w:r>
      <w:r w:rsidRPr="00411854">
        <w:rPr>
          <w:rFonts w:ascii="Arial" w:eastAsiaTheme="minorHAnsi" w:hAnsi="Arial" w:cstheme="minorBidi"/>
          <w:noProof/>
          <w:color w:val="auto"/>
          <w:sz w:val="22"/>
          <w:szCs w:val="22"/>
          <w:lang w:val="en-AU"/>
        </w:rPr>
        <w:t>trifarotene. The clinical pharmacology results demonstrated that trifarotene 50 μg/g cream under maximal use conditions for 4 weeks</w:t>
      </w:r>
      <w:r w:rsidR="00566239">
        <w:rPr>
          <w:rFonts w:ascii="Arial" w:eastAsiaTheme="minorHAnsi" w:hAnsi="Arial" w:cstheme="minorBidi"/>
          <w:noProof/>
          <w:color w:val="auto"/>
          <w:sz w:val="22"/>
          <w:szCs w:val="22"/>
          <w:lang w:val="en-AU"/>
        </w:rPr>
        <w:t xml:space="preserve"> in patient with acne vulgaris</w:t>
      </w:r>
      <w:r w:rsidRPr="00411854">
        <w:rPr>
          <w:rFonts w:ascii="Arial" w:eastAsiaTheme="minorHAnsi" w:hAnsi="Arial" w:cstheme="minorBidi"/>
          <w:noProof/>
          <w:color w:val="auto"/>
          <w:sz w:val="22"/>
          <w:szCs w:val="22"/>
          <w:lang w:val="en-AU"/>
        </w:rPr>
        <w:t xml:space="preserve"> had </w:t>
      </w:r>
      <w:r w:rsidR="00566239">
        <w:rPr>
          <w:rFonts w:ascii="Arial" w:eastAsiaTheme="minorHAnsi" w:hAnsi="Arial" w:cstheme="minorBidi"/>
          <w:noProof/>
          <w:color w:val="auto"/>
          <w:sz w:val="22"/>
          <w:szCs w:val="22"/>
          <w:lang w:val="en-AU"/>
        </w:rPr>
        <w:t>a</w:t>
      </w:r>
      <w:r w:rsidRPr="00411854">
        <w:rPr>
          <w:rFonts w:ascii="Arial" w:eastAsiaTheme="minorHAnsi" w:hAnsi="Arial" w:cstheme="minorBidi"/>
          <w:noProof/>
          <w:color w:val="auto"/>
          <w:sz w:val="22"/>
          <w:szCs w:val="22"/>
          <w:lang w:val="en-AU"/>
        </w:rPr>
        <w:t xml:space="preserve"> low systemic exposure, being non-quantifiable in most of the subjects. </w:t>
      </w:r>
      <w:r w:rsidR="00566239">
        <w:rPr>
          <w:rFonts w:ascii="Arial" w:eastAsiaTheme="minorHAnsi" w:hAnsi="Arial" w:cstheme="minorBidi"/>
          <w:noProof/>
          <w:color w:val="auto"/>
          <w:sz w:val="22"/>
          <w:szCs w:val="22"/>
          <w:lang w:val="en-AU"/>
        </w:rPr>
        <w:t>However</w:t>
      </w:r>
      <w:r w:rsidRPr="00411854">
        <w:rPr>
          <w:rFonts w:ascii="Arial" w:eastAsiaTheme="minorHAnsi" w:hAnsi="Arial" w:cstheme="minorBidi"/>
          <w:noProof/>
          <w:color w:val="auto"/>
          <w:sz w:val="22"/>
          <w:szCs w:val="22"/>
          <w:lang w:val="en-AU"/>
        </w:rPr>
        <w:t>, the daily application of 100 μg/g cream for 4 weeks resulted in quantifiable drug levels, but still with a low systemic exposure</w:t>
      </w:r>
      <w:r w:rsidR="00230F9A">
        <w:rPr>
          <w:rFonts w:ascii="Arial" w:eastAsiaTheme="minorHAnsi" w:hAnsi="Arial" w:cstheme="minorBidi"/>
          <w:noProof/>
          <w:color w:val="auto"/>
          <w:sz w:val="22"/>
          <w:szCs w:val="22"/>
          <w:lang w:val="en-AU"/>
        </w:rPr>
        <w:t>,</w:t>
      </w:r>
      <w:r w:rsidRPr="00411854">
        <w:rPr>
          <w:rFonts w:ascii="Arial" w:eastAsiaTheme="minorHAnsi" w:hAnsi="Arial" w:cstheme="minorBidi"/>
          <w:noProof/>
          <w:color w:val="auto"/>
          <w:sz w:val="22"/>
          <w:szCs w:val="22"/>
          <w:lang w:val="en-AU"/>
        </w:rPr>
        <w:t xml:space="preserve"> with a short terminal half-life ranging from 2.4 to 9.1 hours and without accumulation after repeated topical application. </w:t>
      </w:r>
      <w:r w:rsidR="00566239">
        <w:rPr>
          <w:rFonts w:ascii="Arial" w:eastAsiaTheme="minorHAnsi" w:hAnsi="Arial" w:cstheme="minorBidi"/>
          <w:noProof/>
          <w:color w:val="auto"/>
          <w:sz w:val="22"/>
          <w:szCs w:val="22"/>
          <w:lang w:val="en-AU"/>
        </w:rPr>
        <w:t>O</w:t>
      </w:r>
      <w:r w:rsidRPr="00411854">
        <w:rPr>
          <w:rFonts w:ascii="Arial" w:eastAsiaTheme="minorHAnsi" w:hAnsi="Arial" w:cstheme="minorBidi"/>
          <w:noProof/>
          <w:color w:val="auto"/>
          <w:sz w:val="22"/>
          <w:szCs w:val="22"/>
          <w:lang w:val="en-AU"/>
        </w:rPr>
        <w:t xml:space="preserve">ne could assume that nearly all </w:t>
      </w:r>
      <w:r w:rsidR="00C971BD">
        <w:rPr>
          <w:rFonts w:ascii="Arial" w:eastAsiaTheme="minorHAnsi" w:hAnsi="Arial" w:cstheme="minorBidi"/>
          <w:noProof/>
          <w:color w:val="auto"/>
          <w:sz w:val="22"/>
          <w:szCs w:val="22"/>
          <w:lang w:val="en-AU"/>
        </w:rPr>
        <w:t xml:space="preserve">the drug </w:t>
      </w:r>
      <w:r w:rsidRPr="00411854">
        <w:rPr>
          <w:rFonts w:ascii="Arial" w:eastAsiaTheme="minorHAnsi" w:hAnsi="Arial" w:cstheme="minorBidi"/>
          <w:noProof/>
          <w:color w:val="auto"/>
          <w:sz w:val="22"/>
          <w:szCs w:val="22"/>
          <w:lang w:val="en-AU"/>
        </w:rPr>
        <w:t xml:space="preserve">would be gone after approximately </w:t>
      </w:r>
      <w:r w:rsidR="00566239">
        <w:rPr>
          <w:rFonts w:ascii="Arial" w:eastAsiaTheme="minorHAnsi" w:hAnsi="Arial" w:cstheme="minorBidi"/>
          <w:noProof/>
          <w:color w:val="auto"/>
          <w:sz w:val="22"/>
          <w:szCs w:val="22"/>
          <w:lang w:val="en-AU"/>
        </w:rPr>
        <w:t>3.5</w:t>
      </w:r>
      <w:r w:rsidRPr="00411854">
        <w:rPr>
          <w:rFonts w:ascii="Arial" w:eastAsiaTheme="minorHAnsi" w:hAnsi="Arial" w:cstheme="minorBidi"/>
          <w:noProof/>
          <w:color w:val="auto"/>
          <w:sz w:val="22"/>
          <w:szCs w:val="22"/>
          <w:lang w:val="en-AU"/>
        </w:rPr>
        <w:t xml:space="preserve"> days following the last application. In </w:t>
      </w:r>
      <w:r w:rsidR="00566239">
        <w:rPr>
          <w:rFonts w:ascii="Arial" w:eastAsiaTheme="minorHAnsi" w:hAnsi="Arial" w:cstheme="minorBidi"/>
          <w:noProof/>
          <w:color w:val="auto"/>
          <w:sz w:val="22"/>
          <w:szCs w:val="22"/>
          <w:lang w:val="en-AU"/>
        </w:rPr>
        <w:t>three and a half</w:t>
      </w:r>
      <w:r w:rsidRPr="00411854">
        <w:rPr>
          <w:rFonts w:ascii="Arial" w:eastAsiaTheme="minorHAnsi" w:hAnsi="Arial" w:cstheme="minorBidi"/>
          <w:noProof/>
          <w:color w:val="auto"/>
          <w:sz w:val="22"/>
          <w:szCs w:val="22"/>
          <w:lang w:val="en-AU"/>
        </w:rPr>
        <w:t xml:space="preserve"> days, over 9 half-lives will have been completed. It takes about 5 half-lives for 97% of a drug to be eliminated and 7 half-lives for about 99% of a drug to be eliminated.</w:t>
      </w:r>
      <w:bookmarkEnd w:id="2"/>
    </w:p>
    <w:p w14:paraId="1500E30D" w14:textId="77777777" w:rsidR="001A3992" w:rsidRPr="006A02F6" w:rsidRDefault="001A3992" w:rsidP="00466762">
      <w:pPr>
        <w:pStyle w:val="Heading3"/>
        <w:spacing w:after="240"/>
        <w:rPr>
          <w:rFonts w:ascii="Arial" w:hAnsi="Arial" w:cs="Arial"/>
        </w:rPr>
      </w:pPr>
      <w:r w:rsidRPr="006A02F6">
        <w:rPr>
          <w:rFonts w:ascii="Arial" w:hAnsi="Arial" w:cs="Arial"/>
        </w:rPr>
        <w:t>Effects on fertility</w:t>
      </w:r>
    </w:p>
    <w:p w14:paraId="1EC3DB4E" w14:textId="271428EE" w:rsidR="00F65B1F" w:rsidRPr="00321C75" w:rsidRDefault="00DA168A" w:rsidP="00466762">
      <w:pPr>
        <w:rPr>
          <w:noProof/>
        </w:rPr>
      </w:pPr>
      <w:r w:rsidRPr="00321C75">
        <w:rPr>
          <w:noProof/>
        </w:rPr>
        <w:t>No human fertility studies were conducted with Aklief.</w:t>
      </w:r>
    </w:p>
    <w:p w14:paraId="7ACC668B" w14:textId="537A5720" w:rsidR="0085468C" w:rsidRPr="00F65B1F" w:rsidRDefault="000B71FB" w:rsidP="00466762">
      <w:pPr>
        <w:rPr>
          <w:noProof/>
        </w:rPr>
      </w:pPr>
      <w:r w:rsidRPr="00F65B1F">
        <w:rPr>
          <w:noProof/>
        </w:rPr>
        <w:t>Trifarotene showed no adverse effects on functional fertility in rats administered orally at exposures of approximately 1755 (males) and 1726 (females) times the 2 g dose in humans. However, after oral administration to dogs, Germ cell degeneration with pyknotic/apoptotic germ cells was evident from the lowest dose tested of 0.2 mg/kg/day corresponding to a systemic exposure 1368 times higher than those observed in humans. All animals with this finding also showed hypospermatogenesis and debris in the epididymides. The findings did not completely recover after 8 weeks, suggesting an extended and possibly chronic effect. As these effects were noted also at the lowest dose tested, the relevance of the findings for lower doses is unknown.</w:t>
      </w:r>
    </w:p>
    <w:p w14:paraId="5E131973" w14:textId="22017CCD" w:rsidR="001A3992" w:rsidRPr="006A02F6" w:rsidRDefault="007427DF" w:rsidP="00466762">
      <w:pPr>
        <w:pStyle w:val="Heading3"/>
        <w:spacing w:after="240"/>
        <w:rPr>
          <w:rFonts w:ascii="Arial" w:hAnsi="Arial" w:cs="Arial"/>
        </w:rPr>
      </w:pPr>
      <w:r w:rsidRPr="006A02F6">
        <w:rPr>
          <w:rFonts w:ascii="Arial" w:hAnsi="Arial" w:cs="Arial"/>
        </w:rPr>
        <w:t>Use in pregnancy</w:t>
      </w:r>
    </w:p>
    <w:p w14:paraId="2F0EB111" w14:textId="61600E52" w:rsidR="00CB1B29" w:rsidRDefault="00CB1B29" w:rsidP="00466762">
      <w:r>
        <w:t>Category</w:t>
      </w:r>
      <w:r w:rsidR="00F65B1F">
        <w:t xml:space="preserve"> D</w:t>
      </w:r>
      <w:r>
        <w:t xml:space="preserve"> </w:t>
      </w:r>
    </w:p>
    <w:p w14:paraId="33D5EE31" w14:textId="531CEA3D" w:rsidR="00610F90" w:rsidRDefault="00DA168A" w:rsidP="00466762">
      <w:pPr>
        <w:rPr>
          <w:noProof/>
        </w:rPr>
      </w:pPr>
      <w:r w:rsidRPr="00321C75">
        <w:rPr>
          <w:noProof/>
        </w:rPr>
        <w:t xml:space="preserve">Aklief is contraindicated (see </w:t>
      </w:r>
      <w:r w:rsidRPr="00EE6F6A">
        <w:rPr>
          <w:noProof/>
        </w:rPr>
        <w:t>section 4.3</w:t>
      </w:r>
      <w:r w:rsidRPr="00321C75">
        <w:rPr>
          <w:noProof/>
        </w:rPr>
        <w:t>) during pregnancy or in women planning a pregnancy.If the product is used during pregnancy, or if the patient becomes pregnant while taking this drug, treatment should be discontinued.</w:t>
      </w:r>
    </w:p>
    <w:p w14:paraId="333D7EBE" w14:textId="6DD69463" w:rsidR="00F65B1F" w:rsidRPr="00F65B1F" w:rsidRDefault="00F65B1F" w:rsidP="00466762">
      <w:pPr>
        <w:rPr>
          <w:noProof/>
          <w:lang w:val="en-US"/>
        </w:rPr>
      </w:pPr>
      <w:r w:rsidRPr="00F65B1F">
        <w:rPr>
          <w:noProof/>
          <w:lang w:val="en-US"/>
        </w:rPr>
        <w:t>In animal reproduction studies, oral administration of trifarotene in pregnant rats and rabbits during organogenesis was teratogenic and embryotoxic at exposures (AUC) that were &gt;800-times those observed in humans at the maximum recommended human dose (MRHD) of 2 g. Trifarotene was not teratogenic in rats and rabbits at systemic exposures corresponding to approximately 500 and 90-times, respectively, those observed in humans.</w:t>
      </w:r>
    </w:p>
    <w:p w14:paraId="1DC445AB" w14:textId="74E7BBFF" w:rsidR="001A3992" w:rsidRDefault="001A3992" w:rsidP="00466762">
      <w:pPr>
        <w:pStyle w:val="Heading3"/>
      </w:pPr>
      <w:r w:rsidRPr="006A02F6">
        <w:t>Use in</w:t>
      </w:r>
      <w:r w:rsidR="007427DF" w:rsidRPr="006A02F6">
        <w:t xml:space="preserve"> lactation</w:t>
      </w:r>
    </w:p>
    <w:p w14:paraId="6DE1BACD" w14:textId="77777777" w:rsidR="00DA168A" w:rsidRDefault="00DA168A" w:rsidP="00466762">
      <w:pPr>
        <w:rPr>
          <w:noProof/>
        </w:rPr>
      </w:pPr>
      <w:r w:rsidRPr="00882CAF">
        <w:rPr>
          <w:noProof/>
        </w:rPr>
        <w:t>It is unknown whether trifarotene or its metabolites are excreted in human milk.</w:t>
      </w:r>
    </w:p>
    <w:p w14:paraId="07C84489" w14:textId="42395FC9" w:rsidR="00DA168A" w:rsidRPr="00321C75" w:rsidRDefault="00DA168A" w:rsidP="00466762">
      <w:pPr>
        <w:rPr>
          <w:noProof/>
        </w:rPr>
      </w:pPr>
      <w:r>
        <w:rPr>
          <w:noProof/>
        </w:rPr>
        <w:t xml:space="preserve">Available </w:t>
      </w:r>
      <w:r w:rsidRPr="00321C75">
        <w:rPr>
          <w:noProof/>
        </w:rPr>
        <w:t xml:space="preserve">data in animals have shown excretion of </w:t>
      </w:r>
      <w:r w:rsidR="00F65B1F">
        <w:rPr>
          <w:noProof/>
        </w:rPr>
        <w:t>t</w:t>
      </w:r>
      <w:r w:rsidRPr="00321C75">
        <w:rPr>
          <w:noProof/>
        </w:rPr>
        <w:t>rifarot</w:t>
      </w:r>
      <w:r>
        <w:rPr>
          <w:noProof/>
        </w:rPr>
        <w:t>e</w:t>
      </w:r>
      <w:r w:rsidRPr="00321C75">
        <w:rPr>
          <w:noProof/>
        </w:rPr>
        <w:t>ne</w:t>
      </w:r>
      <w:r w:rsidR="00F65B1F">
        <w:rPr>
          <w:noProof/>
        </w:rPr>
        <w:t xml:space="preserve"> and/or its </w:t>
      </w:r>
      <w:r w:rsidRPr="00321C75">
        <w:rPr>
          <w:noProof/>
        </w:rPr>
        <w:t>metabolites in milk.</w:t>
      </w:r>
    </w:p>
    <w:p w14:paraId="28F9EB33" w14:textId="77777777" w:rsidR="00DA168A" w:rsidRPr="00321C75" w:rsidRDefault="00DA168A" w:rsidP="00466762">
      <w:pPr>
        <w:rPr>
          <w:noProof/>
        </w:rPr>
      </w:pPr>
      <w:r w:rsidRPr="00321C75">
        <w:rPr>
          <w:noProof/>
        </w:rPr>
        <w:t xml:space="preserve">A risk to the </w:t>
      </w:r>
      <w:r>
        <w:rPr>
          <w:noProof/>
        </w:rPr>
        <w:t>suckling child</w:t>
      </w:r>
      <w:r w:rsidRPr="00321C75">
        <w:rPr>
          <w:noProof/>
        </w:rPr>
        <w:t xml:space="preserve"> cannot be excluded. </w:t>
      </w:r>
    </w:p>
    <w:p w14:paraId="16C0DC8C" w14:textId="77777777" w:rsidR="00DA168A" w:rsidRPr="00321C75" w:rsidRDefault="00DA168A" w:rsidP="00466762">
      <w:r w:rsidRPr="00321C75">
        <w:t>A decision must be made whether to discontinue breast-feeding or to disc</w:t>
      </w:r>
      <w:r>
        <w:t>ontinue/abstain from Aklief</w:t>
      </w:r>
      <w:r w:rsidRPr="00321C75">
        <w:t xml:space="preserve"> therapy taking int</w:t>
      </w:r>
      <w:r>
        <w:t>o account the benefit of breast-</w:t>
      </w:r>
      <w:r w:rsidRPr="00321C75">
        <w:t>feeding for the child and the benefit of therapy for the woman.</w:t>
      </w:r>
    </w:p>
    <w:p w14:paraId="36E518C1" w14:textId="7FD9923D" w:rsidR="00F26307" w:rsidRPr="006A02F6" w:rsidRDefault="00DA168A" w:rsidP="00466762">
      <w:r w:rsidRPr="00321C75">
        <w:rPr>
          <w:noProof/>
        </w:rPr>
        <w:t>To avoid the risk of ingestion by, and/or contact exposure of, an infant, nursing women should not apply Trifarotene cream to the chest or breast area</w:t>
      </w:r>
      <w:r>
        <w:rPr>
          <w:noProof/>
        </w:rPr>
        <w:t>.</w:t>
      </w:r>
    </w:p>
    <w:p w14:paraId="0DB17263" w14:textId="28BE2BE3" w:rsidR="001A3992" w:rsidRPr="006A02F6" w:rsidRDefault="001A3992" w:rsidP="00466762">
      <w:pPr>
        <w:pStyle w:val="Heading2"/>
      </w:pPr>
      <w:r w:rsidRPr="006A02F6">
        <w:t>Effects on ab</w:t>
      </w:r>
      <w:r w:rsidR="007427DF" w:rsidRPr="006A02F6">
        <w:t>ility to drive and use machines</w:t>
      </w:r>
    </w:p>
    <w:p w14:paraId="2D4896A6" w14:textId="7DA38342" w:rsidR="003113AF" w:rsidRDefault="003113AF" w:rsidP="00466762">
      <w:pPr>
        <w:rPr>
          <w:rFonts w:asciiTheme="minorHAnsi" w:hAnsiTheme="minorHAnsi"/>
        </w:rPr>
      </w:pPr>
      <w:r>
        <w:rPr>
          <w:noProof/>
        </w:rPr>
        <w:t xml:space="preserve"> </w:t>
      </w:r>
      <w:r>
        <w:t>The effects of trifarotene on a person's ability to drive and use machines were not assessed as part of its registration.</w:t>
      </w:r>
    </w:p>
    <w:p w14:paraId="55319F05" w14:textId="17D76C9E" w:rsidR="007E4311" w:rsidRPr="006A02F6" w:rsidRDefault="007E4311" w:rsidP="00466762"/>
    <w:p w14:paraId="6B7DFB75" w14:textId="77777777" w:rsidR="001A3992" w:rsidRPr="006A02F6" w:rsidRDefault="001A3992" w:rsidP="00466762">
      <w:pPr>
        <w:pStyle w:val="Heading2"/>
        <w:keepLines/>
        <w:widowControl w:val="0"/>
      </w:pPr>
      <w:r w:rsidRPr="006A02F6">
        <w:t>Adverse effects (Undesirable effects)</w:t>
      </w:r>
    </w:p>
    <w:p w14:paraId="2C88FF28" w14:textId="77777777" w:rsidR="004F3F8A" w:rsidRPr="00321C75" w:rsidRDefault="004F3F8A" w:rsidP="00466762">
      <w:pPr>
        <w:keepNext/>
        <w:keepLines/>
        <w:widowControl w:val="0"/>
        <w:autoSpaceDE w:val="0"/>
        <w:autoSpaceDN w:val="0"/>
        <w:adjustRightInd w:val="0"/>
        <w:rPr>
          <w:noProof/>
          <w:u w:val="single"/>
        </w:rPr>
      </w:pPr>
      <w:r w:rsidRPr="00321C75">
        <w:rPr>
          <w:noProof/>
          <w:u w:val="single"/>
        </w:rPr>
        <w:t>Summary of safety profile</w:t>
      </w:r>
    </w:p>
    <w:p w14:paraId="6F4912FF" w14:textId="23B0B9FB" w:rsidR="000E500D" w:rsidRDefault="000E500D" w:rsidP="00466762">
      <w:pPr>
        <w:rPr>
          <w:noProof/>
        </w:rPr>
      </w:pPr>
      <w:bookmarkStart w:id="3" w:name="_Hlk55586285"/>
      <w:r>
        <w:rPr>
          <w:noProof/>
        </w:rPr>
        <w:t xml:space="preserve">In the pivotal Phase 3 clinical studies (18251 and 18252), 331 (27.1%) subjects in the Aklief cream group reported 587 treatment-emergent adverse events (TEAEs) compared with 240 (20.0%) subjects in the Vehicle Cream group who reported 338 TEAEs. </w:t>
      </w:r>
    </w:p>
    <w:p w14:paraId="616ABFCA" w14:textId="4595C0BD" w:rsidR="000E500D" w:rsidRDefault="000E500D" w:rsidP="00466762">
      <w:pPr>
        <w:rPr>
          <w:noProof/>
        </w:rPr>
      </w:pPr>
      <w:r>
        <w:rPr>
          <w:noProof/>
        </w:rPr>
        <w:t>Most common TEAEs (i.e., TEAEs reported in at least 1% of subjects in any treatment group were reported by 206 (16.9%) subjects in the Aklief cream group (total of 297 TEAEs) and in 116 (9.7%) subjects in the Vehicle Cream group (total of 140 TEAEs), as shown in the table 1 below.</w:t>
      </w:r>
    </w:p>
    <w:p w14:paraId="3CE3F949" w14:textId="23D254DB" w:rsidR="000E500D" w:rsidRPr="002A431E" w:rsidRDefault="000E500D" w:rsidP="00466762">
      <w:pPr>
        <w:pStyle w:val="Caption"/>
        <w:spacing w:before="120" w:after="120"/>
        <w:rPr>
          <w:rFonts w:ascii="Arial" w:hAnsi="Arial" w:cs="Arial"/>
          <w:sz w:val="22"/>
          <w:szCs w:val="22"/>
        </w:rPr>
      </w:pPr>
      <w:r w:rsidRPr="002A431E">
        <w:rPr>
          <w:rFonts w:ascii="Arial" w:hAnsi="Arial" w:cs="Arial"/>
          <w:sz w:val="22"/>
          <w:szCs w:val="22"/>
        </w:rPr>
        <w:t xml:space="preserve">Table </w:t>
      </w:r>
      <w:r w:rsidRPr="002A431E">
        <w:rPr>
          <w:rFonts w:ascii="Arial" w:hAnsi="Arial" w:cs="Arial"/>
          <w:sz w:val="22"/>
          <w:szCs w:val="22"/>
        </w:rPr>
        <w:fldChar w:fldCharType="begin"/>
      </w:r>
      <w:r w:rsidRPr="002A431E">
        <w:rPr>
          <w:rFonts w:ascii="Arial" w:hAnsi="Arial" w:cs="Arial"/>
          <w:sz w:val="22"/>
          <w:szCs w:val="22"/>
        </w:rPr>
        <w:instrText xml:space="preserve"> SEQ Table \* ARABIC </w:instrText>
      </w:r>
      <w:r w:rsidRPr="002A431E">
        <w:rPr>
          <w:rFonts w:ascii="Arial" w:hAnsi="Arial" w:cs="Arial"/>
          <w:sz w:val="22"/>
          <w:szCs w:val="22"/>
        </w:rPr>
        <w:fldChar w:fldCharType="separate"/>
      </w:r>
      <w:r w:rsidR="008521D2">
        <w:rPr>
          <w:rFonts w:ascii="Arial" w:hAnsi="Arial" w:cs="Arial"/>
          <w:noProof/>
          <w:sz w:val="22"/>
          <w:szCs w:val="22"/>
        </w:rPr>
        <w:t>1</w:t>
      </w:r>
      <w:r w:rsidRPr="002A431E">
        <w:rPr>
          <w:rFonts w:ascii="Arial" w:hAnsi="Arial" w:cs="Arial"/>
          <w:sz w:val="22"/>
          <w:szCs w:val="22"/>
        </w:rPr>
        <w:fldChar w:fldCharType="end"/>
      </w:r>
      <w:r w:rsidRPr="002A431E">
        <w:rPr>
          <w:rFonts w:ascii="Arial" w:hAnsi="Arial" w:cs="Arial"/>
          <w:sz w:val="22"/>
          <w:szCs w:val="22"/>
        </w:rPr>
        <w:tab/>
      </w:r>
      <w:r>
        <w:rPr>
          <w:rFonts w:ascii="Arial" w:hAnsi="Arial" w:cs="Arial"/>
          <w:sz w:val="22"/>
          <w:szCs w:val="22"/>
        </w:rPr>
        <w:t>A</w:t>
      </w:r>
      <w:r w:rsidRPr="000E500D">
        <w:rPr>
          <w:rFonts w:ascii="Arial" w:hAnsi="Arial" w:cs="Arial"/>
          <w:noProof/>
          <w:sz w:val="22"/>
          <w:szCs w:val="22"/>
        </w:rPr>
        <w:t xml:space="preserve">dverse events </w:t>
      </w:r>
      <w:r>
        <w:rPr>
          <w:rFonts w:ascii="Arial" w:hAnsi="Arial" w:cs="Arial"/>
          <w:noProof/>
          <w:sz w:val="22"/>
          <w:szCs w:val="22"/>
        </w:rPr>
        <w:t xml:space="preserve">reported by </w:t>
      </w:r>
      <w:r w:rsidRPr="000E500D">
        <w:rPr>
          <w:rFonts w:ascii="Arial" w:hAnsi="Arial" w:cs="Arial"/>
          <w:noProof/>
          <w:sz w:val="22"/>
          <w:szCs w:val="22"/>
        </w:rPr>
        <w:t xml:space="preserve">≥1% </w:t>
      </w:r>
      <w:r>
        <w:rPr>
          <w:rFonts w:ascii="Arial" w:hAnsi="Arial" w:cs="Arial"/>
          <w:noProof/>
          <w:sz w:val="22"/>
          <w:szCs w:val="22"/>
        </w:rPr>
        <w:t>of patients during treatment with Aklief cream in Phase 3 vehicle-controlled stud</w:t>
      </w:r>
      <w:r w:rsidR="005F7D60">
        <w:rPr>
          <w:rFonts w:ascii="Arial" w:hAnsi="Arial" w:cs="Arial"/>
          <w:noProof/>
          <w:sz w:val="22"/>
          <w:szCs w:val="22"/>
        </w:rPr>
        <w:t xml:space="preserve">ies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703"/>
        <w:gridCol w:w="1692"/>
      </w:tblGrid>
      <w:tr w:rsidR="007B0913" w:rsidRPr="002A431E" w14:paraId="718FB939" w14:textId="77777777" w:rsidTr="005F7D60">
        <w:trPr>
          <w:tblHeader/>
          <w:jc w:val="center"/>
        </w:trPr>
        <w:tc>
          <w:tcPr>
            <w:tcW w:w="3126" w:type="pct"/>
            <w:shd w:val="clear" w:color="auto" w:fill="auto"/>
            <w:vAlign w:val="center"/>
          </w:tcPr>
          <w:p w14:paraId="16175FE1" w14:textId="7E0A0712" w:rsidR="000E500D" w:rsidRPr="002A431E" w:rsidRDefault="000E500D" w:rsidP="00466762">
            <w:pPr>
              <w:spacing w:before="0" w:after="0"/>
              <w:rPr>
                <w:rFonts w:cs="Arial"/>
                <w:b/>
                <w:noProof/>
                <w:sz w:val="20"/>
                <w:szCs w:val="20"/>
              </w:rPr>
            </w:pPr>
            <w:r w:rsidRPr="002A431E">
              <w:rPr>
                <w:rFonts w:cs="Arial"/>
                <w:b/>
                <w:noProof/>
                <w:sz w:val="20"/>
                <w:szCs w:val="20"/>
              </w:rPr>
              <w:t>System Organ Class</w:t>
            </w:r>
            <w:r>
              <w:rPr>
                <w:rFonts w:cs="Arial"/>
                <w:b/>
                <w:noProof/>
                <w:sz w:val="20"/>
                <w:szCs w:val="20"/>
              </w:rPr>
              <w:t>/Prefered Term</w:t>
            </w:r>
          </w:p>
        </w:tc>
        <w:tc>
          <w:tcPr>
            <w:tcW w:w="940" w:type="pct"/>
            <w:shd w:val="clear" w:color="auto" w:fill="auto"/>
            <w:vAlign w:val="center"/>
          </w:tcPr>
          <w:p w14:paraId="44F79857" w14:textId="77777777" w:rsidR="000E500D" w:rsidRDefault="000E500D" w:rsidP="00466762">
            <w:pPr>
              <w:spacing w:before="0" w:after="0"/>
              <w:rPr>
                <w:rFonts w:cs="Arial"/>
                <w:b/>
                <w:noProof/>
                <w:sz w:val="20"/>
                <w:szCs w:val="20"/>
              </w:rPr>
            </w:pPr>
            <w:r>
              <w:rPr>
                <w:rFonts w:cs="Arial"/>
                <w:b/>
                <w:noProof/>
                <w:sz w:val="20"/>
                <w:szCs w:val="20"/>
              </w:rPr>
              <w:t>Aklief cream</w:t>
            </w:r>
          </w:p>
          <w:p w14:paraId="19C5E740" w14:textId="3AF81A9B" w:rsidR="000E500D" w:rsidRPr="002A431E" w:rsidRDefault="000E500D" w:rsidP="00466762">
            <w:pPr>
              <w:spacing w:before="0" w:after="0"/>
              <w:rPr>
                <w:rFonts w:cs="Arial"/>
                <w:b/>
                <w:noProof/>
                <w:sz w:val="20"/>
                <w:szCs w:val="20"/>
              </w:rPr>
            </w:pPr>
            <w:r>
              <w:rPr>
                <w:rFonts w:cs="Arial"/>
                <w:b/>
                <w:noProof/>
                <w:sz w:val="20"/>
                <w:szCs w:val="20"/>
              </w:rPr>
              <w:t>(N=1220)</w:t>
            </w:r>
          </w:p>
        </w:tc>
        <w:tc>
          <w:tcPr>
            <w:tcW w:w="934" w:type="pct"/>
            <w:shd w:val="clear" w:color="auto" w:fill="auto"/>
            <w:vAlign w:val="center"/>
          </w:tcPr>
          <w:p w14:paraId="7908AF6E" w14:textId="77777777" w:rsidR="000E500D" w:rsidRDefault="000E500D" w:rsidP="00466762">
            <w:pPr>
              <w:spacing w:before="0" w:after="0"/>
              <w:rPr>
                <w:rFonts w:cs="Arial"/>
                <w:b/>
                <w:noProof/>
                <w:sz w:val="20"/>
                <w:szCs w:val="20"/>
              </w:rPr>
            </w:pPr>
            <w:r>
              <w:rPr>
                <w:rFonts w:cs="Arial"/>
                <w:b/>
                <w:noProof/>
                <w:sz w:val="20"/>
                <w:szCs w:val="20"/>
              </w:rPr>
              <w:t>Vehicle cream</w:t>
            </w:r>
          </w:p>
          <w:p w14:paraId="584531AE" w14:textId="1227D33C" w:rsidR="000E500D" w:rsidRPr="002A431E" w:rsidRDefault="000E500D" w:rsidP="00466762">
            <w:pPr>
              <w:spacing w:before="0" w:after="0"/>
              <w:rPr>
                <w:rFonts w:cs="Arial"/>
                <w:b/>
                <w:noProof/>
                <w:sz w:val="20"/>
                <w:szCs w:val="20"/>
              </w:rPr>
            </w:pPr>
            <w:r>
              <w:rPr>
                <w:rFonts w:cs="Arial"/>
                <w:b/>
                <w:noProof/>
                <w:sz w:val="20"/>
                <w:szCs w:val="20"/>
              </w:rPr>
              <w:t>(N=1200)</w:t>
            </w:r>
          </w:p>
        </w:tc>
      </w:tr>
      <w:tr w:rsidR="007B0913" w:rsidRPr="005F7D60" w14:paraId="34CFEF04" w14:textId="77777777" w:rsidTr="007B0913">
        <w:trPr>
          <w:jc w:val="center"/>
        </w:trPr>
        <w:tc>
          <w:tcPr>
            <w:tcW w:w="5000" w:type="pct"/>
            <w:gridSpan w:val="3"/>
            <w:shd w:val="clear" w:color="auto" w:fill="auto"/>
          </w:tcPr>
          <w:p w14:paraId="5003974B" w14:textId="208B048E" w:rsidR="007B0913" w:rsidRPr="005F7D60" w:rsidRDefault="007B0913" w:rsidP="00466762">
            <w:pPr>
              <w:spacing w:before="0" w:after="0"/>
              <w:rPr>
                <w:rFonts w:cs="Arial"/>
                <w:noProof/>
                <w:sz w:val="20"/>
                <w:szCs w:val="20"/>
                <w:lang w:val="en-US"/>
              </w:rPr>
            </w:pPr>
            <w:r w:rsidRPr="005F7D60">
              <w:rPr>
                <w:rFonts w:cs="Arial"/>
                <w:b/>
                <w:bCs/>
                <w:noProof/>
                <w:sz w:val="20"/>
                <w:szCs w:val="20"/>
              </w:rPr>
              <w:t>General disorders and administration site conditions</w:t>
            </w:r>
          </w:p>
        </w:tc>
      </w:tr>
      <w:tr w:rsidR="007B0913" w:rsidRPr="002A431E" w14:paraId="12660C6D" w14:textId="77777777" w:rsidTr="005F7D60">
        <w:trPr>
          <w:trHeight w:val="60"/>
          <w:jc w:val="center"/>
        </w:trPr>
        <w:tc>
          <w:tcPr>
            <w:tcW w:w="3126" w:type="pct"/>
            <w:shd w:val="clear" w:color="auto" w:fill="auto"/>
          </w:tcPr>
          <w:p w14:paraId="7687226E" w14:textId="5DA33D8E" w:rsidR="000E500D" w:rsidRPr="002A431E" w:rsidRDefault="007B0913" w:rsidP="00466762">
            <w:pPr>
              <w:spacing w:before="0" w:after="0"/>
              <w:rPr>
                <w:rFonts w:cs="Arial"/>
                <w:noProof/>
                <w:sz w:val="20"/>
                <w:szCs w:val="20"/>
              </w:rPr>
            </w:pPr>
            <w:r>
              <w:rPr>
                <w:rFonts w:cs="Arial"/>
                <w:noProof/>
                <w:sz w:val="20"/>
                <w:szCs w:val="20"/>
              </w:rPr>
              <w:t>Application site irritation</w:t>
            </w:r>
          </w:p>
        </w:tc>
        <w:tc>
          <w:tcPr>
            <w:tcW w:w="940" w:type="pct"/>
            <w:shd w:val="clear" w:color="auto" w:fill="auto"/>
            <w:vAlign w:val="center"/>
          </w:tcPr>
          <w:p w14:paraId="08D4CA74" w14:textId="103A81DF" w:rsidR="000E500D" w:rsidRPr="002A431E" w:rsidRDefault="007B0913" w:rsidP="00466762">
            <w:pPr>
              <w:spacing w:before="0" w:after="0"/>
              <w:rPr>
                <w:rFonts w:cs="Arial"/>
                <w:noProof/>
                <w:sz w:val="20"/>
                <w:szCs w:val="20"/>
              </w:rPr>
            </w:pPr>
            <w:r>
              <w:rPr>
                <w:rFonts w:cs="Arial"/>
                <w:noProof/>
                <w:sz w:val="20"/>
                <w:szCs w:val="20"/>
              </w:rPr>
              <w:t>84 (6.9)</w:t>
            </w:r>
          </w:p>
        </w:tc>
        <w:tc>
          <w:tcPr>
            <w:tcW w:w="934" w:type="pct"/>
            <w:shd w:val="clear" w:color="auto" w:fill="auto"/>
            <w:vAlign w:val="center"/>
          </w:tcPr>
          <w:p w14:paraId="2CCEBE44" w14:textId="2D978B4D" w:rsidR="000E500D" w:rsidRPr="002A431E" w:rsidRDefault="007B0913" w:rsidP="00466762">
            <w:pPr>
              <w:spacing w:before="0" w:after="0"/>
              <w:rPr>
                <w:rFonts w:cs="Arial"/>
                <w:noProof/>
                <w:sz w:val="20"/>
                <w:szCs w:val="20"/>
              </w:rPr>
            </w:pPr>
            <w:r>
              <w:rPr>
                <w:rFonts w:cs="Arial"/>
                <w:noProof/>
                <w:sz w:val="20"/>
                <w:szCs w:val="20"/>
              </w:rPr>
              <w:t>4 (0.3)</w:t>
            </w:r>
          </w:p>
        </w:tc>
      </w:tr>
      <w:tr w:rsidR="007B0913" w:rsidRPr="00AF0949" w14:paraId="541A45FA" w14:textId="77777777" w:rsidTr="005F7D60">
        <w:trPr>
          <w:jc w:val="center"/>
        </w:trPr>
        <w:tc>
          <w:tcPr>
            <w:tcW w:w="3126" w:type="pct"/>
            <w:shd w:val="clear" w:color="auto" w:fill="auto"/>
          </w:tcPr>
          <w:p w14:paraId="6FF75D47" w14:textId="61829E24" w:rsidR="000E500D" w:rsidRPr="002A431E" w:rsidRDefault="007B0913" w:rsidP="00466762">
            <w:pPr>
              <w:spacing w:before="0" w:after="0"/>
              <w:rPr>
                <w:rFonts w:cs="Arial"/>
                <w:noProof/>
                <w:sz w:val="20"/>
                <w:szCs w:val="20"/>
              </w:rPr>
            </w:pPr>
            <w:r>
              <w:rPr>
                <w:rFonts w:cs="Arial"/>
                <w:noProof/>
                <w:sz w:val="20"/>
                <w:szCs w:val="20"/>
              </w:rPr>
              <w:t>Application site pruritus</w:t>
            </w:r>
          </w:p>
        </w:tc>
        <w:tc>
          <w:tcPr>
            <w:tcW w:w="940" w:type="pct"/>
            <w:shd w:val="clear" w:color="auto" w:fill="auto"/>
            <w:vAlign w:val="center"/>
          </w:tcPr>
          <w:p w14:paraId="7FC26905" w14:textId="296EABDB" w:rsidR="000E500D" w:rsidRPr="002A431E" w:rsidRDefault="007B0913" w:rsidP="00466762">
            <w:pPr>
              <w:spacing w:before="0" w:after="0"/>
              <w:rPr>
                <w:rFonts w:cs="Arial"/>
                <w:noProof/>
                <w:sz w:val="20"/>
                <w:szCs w:val="20"/>
              </w:rPr>
            </w:pPr>
            <w:r>
              <w:rPr>
                <w:rFonts w:cs="Arial"/>
                <w:noProof/>
                <w:sz w:val="20"/>
                <w:szCs w:val="20"/>
              </w:rPr>
              <w:t>29 (2.4)</w:t>
            </w:r>
          </w:p>
        </w:tc>
        <w:tc>
          <w:tcPr>
            <w:tcW w:w="934" w:type="pct"/>
            <w:shd w:val="clear" w:color="auto" w:fill="auto"/>
            <w:vAlign w:val="center"/>
          </w:tcPr>
          <w:p w14:paraId="44DC579F" w14:textId="26ED6B8C" w:rsidR="000E500D" w:rsidRPr="002A431E" w:rsidRDefault="007B0913" w:rsidP="00466762">
            <w:pPr>
              <w:spacing w:before="0" w:after="0"/>
              <w:rPr>
                <w:rFonts w:cs="Arial"/>
                <w:noProof/>
                <w:sz w:val="20"/>
                <w:szCs w:val="20"/>
                <w:lang w:val="sv-SE"/>
              </w:rPr>
            </w:pPr>
            <w:r>
              <w:rPr>
                <w:rFonts w:cs="Arial"/>
                <w:noProof/>
                <w:sz w:val="20"/>
                <w:szCs w:val="20"/>
                <w:lang w:val="fr-FR"/>
              </w:rPr>
              <w:t>10 (0.8)</w:t>
            </w:r>
          </w:p>
        </w:tc>
      </w:tr>
      <w:tr w:rsidR="007B0913" w:rsidRPr="002A431E" w14:paraId="4FDE66D4" w14:textId="77777777" w:rsidTr="007B0913">
        <w:trPr>
          <w:trHeight w:val="64"/>
          <w:jc w:val="center"/>
        </w:trPr>
        <w:tc>
          <w:tcPr>
            <w:tcW w:w="5000" w:type="pct"/>
            <w:gridSpan w:val="3"/>
            <w:shd w:val="clear" w:color="auto" w:fill="auto"/>
          </w:tcPr>
          <w:p w14:paraId="27DFCD94" w14:textId="6F2CC996" w:rsidR="007B0913" w:rsidRPr="005F7D60" w:rsidRDefault="007B0913" w:rsidP="00466762">
            <w:pPr>
              <w:spacing w:before="0" w:after="0"/>
              <w:rPr>
                <w:rFonts w:cs="Arial"/>
                <w:b/>
                <w:bCs/>
                <w:noProof/>
                <w:sz w:val="20"/>
                <w:szCs w:val="20"/>
              </w:rPr>
            </w:pPr>
            <w:r w:rsidRPr="005F7D60">
              <w:rPr>
                <w:rFonts w:cs="Arial"/>
                <w:b/>
                <w:bCs/>
                <w:noProof/>
                <w:sz w:val="20"/>
                <w:szCs w:val="20"/>
              </w:rPr>
              <w:t>Infections and infestations</w:t>
            </w:r>
          </w:p>
        </w:tc>
      </w:tr>
      <w:tr w:rsidR="007B0913" w:rsidRPr="002A431E" w14:paraId="5B78434E" w14:textId="77777777" w:rsidTr="005F7D60">
        <w:trPr>
          <w:trHeight w:val="64"/>
          <w:jc w:val="center"/>
        </w:trPr>
        <w:tc>
          <w:tcPr>
            <w:tcW w:w="3126" w:type="pct"/>
            <w:shd w:val="clear" w:color="auto" w:fill="auto"/>
          </w:tcPr>
          <w:p w14:paraId="221BB878" w14:textId="553C3D0A" w:rsidR="000E500D" w:rsidRPr="002A431E" w:rsidRDefault="007B0913" w:rsidP="00466762">
            <w:pPr>
              <w:spacing w:before="0" w:after="0"/>
              <w:rPr>
                <w:rFonts w:cs="Arial"/>
                <w:noProof/>
                <w:sz w:val="20"/>
                <w:szCs w:val="20"/>
              </w:rPr>
            </w:pPr>
            <w:r>
              <w:rPr>
                <w:rFonts w:cs="Arial"/>
                <w:noProof/>
                <w:sz w:val="20"/>
                <w:szCs w:val="20"/>
              </w:rPr>
              <w:t>Nasopharyngitis</w:t>
            </w:r>
          </w:p>
        </w:tc>
        <w:tc>
          <w:tcPr>
            <w:tcW w:w="940" w:type="pct"/>
            <w:shd w:val="clear" w:color="auto" w:fill="auto"/>
            <w:vAlign w:val="center"/>
          </w:tcPr>
          <w:p w14:paraId="1C80AB30" w14:textId="723A4C6C" w:rsidR="000E500D" w:rsidRPr="002A431E" w:rsidRDefault="007B0913" w:rsidP="00466762">
            <w:pPr>
              <w:spacing w:before="0" w:after="0"/>
              <w:rPr>
                <w:rFonts w:cs="Arial"/>
                <w:noProof/>
                <w:sz w:val="20"/>
                <w:szCs w:val="20"/>
              </w:rPr>
            </w:pPr>
            <w:r>
              <w:rPr>
                <w:rFonts w:cs="Arial"/>
                <w:noProof/>
                <w:sz w:val="20"/>
                <w:szCs w:val="20"/>
              </w:rPr>
              <w:t>50 (4.1)</w:t>
            </w:r>
          </w:p>
        </w:tc>
        <w:tc>
          <w:tcPr>
            <w:tcW w:w="934" w:type="pct"/>
            <w:shd w:val="clear" w:color="auto" w:fill="auto"/>
            <w:vAlign w:val="center"/>
          </w:tcPr>
          <w:p w14:paraId="0F3410E1" w14:textId="787394E7" w:rsidR="000E500D" w:rsidRPr="002A431E" w:rsidRDefault="007B0913" w:rsidP="00466762">
            <w:pPr>
              <w:spacing w:before="0" w:after="0"/>
              <w:rPr>
                <w:rFonts w:cs="Arial"/>
                <w:noProof/>
                <w:sz w:val="20"/>
                <w:szCs w:val="20"/>
              </w:rPr>
            </w:pPr>
            <w:r>
              <w:rPr>
                <w:rFonts w:cs="Arial"/>
                <w:noProof/>
                <w:sz w:val="20"/>
                <w:szCs w:val="20"/>
              </w:rPr>
              <w:t>56 (4.7)</w:t>
            </w:r>
          </w:p>
        </w:tc>
      </w:tr>
      <w:tr w:rsidR="007B0913" w:rsidRPr="002A431E" w14:paraId="238AA374" w14:textId="77777777" w:rsidTr="005F7D60">
        <w:trPr>
          <w:trHeight w:val="64"/>
          <w:jc w:val="center"/>
        </w:trPr>
        <w:tc>
          <w:tcPr>
            <w:tcW w:w="3126" w:type="pct"/>
            <w:shd w:val="clear" w:color="auto" w:fill="auto"/>
          </w:tcPr>
          <w:p w14:paraId="2FBAF0B0" w14:textId="7D1F07CD" w:rsidR="000E500D" w:rsidRPr="002A431E" w:rsidRDefault="007B0913" w:rsidP="00466762">
            <w:pPr>
              <w:spacing w:before="0" w:after="0"/>
              <w:rPr>
                <w:rFonts w:cs="Arial"/>
                <w:noProof/>
                <w:sz w:val="20"/>
                <w:szCs w:val="20"/>
              </w:rPr>
            </w:pPr>
            <w:r>
              <w:rPr>
                <w:rFonts w:cs="Arial"/>
                <w:noProof/>
                <w:sz w:val="20"/>
                <w:szCs w:val="20"/>
              </w:rPr>
              <w:t>Upper respiratory tract infection</w:t>
            </w:r>
          </w:p>
        </w:tc>
        <w:tc>
          <w:tcPr>
            <w:tcW w:w="940" w:type="pct"/>
            <w:shd w:val="clear" w:color="auto" w:fill="auto"/>
            <w:vAlign w:val="center"/>
          </w:tcPr>
          <w:p w14:paraId="31B05240" w14:textId="7AB2ED4D" w:rsidR="000E500D" w:rsidRPr="002A431E" w:rsidRDefault="007B0913" w:rsidP="00466762">
            <w:pPr>
              <w:spacing w:before="0" w:after="0"/>
              <w:rPr>
                <w:rFonts w:cs="Arial"/>
                <w:noProof/>
                <w:sz w:val="20"/>
                <w:szCs w:val="20"/>
              </w:rPr>
            </w:pPr>
            <w:r>
              <w:rPr>
                <w:rFonts w:cs="Arial"/>
                <w:noProof/>
                <w:sz w:val="20"/>
                <w:szCs w:val="20"/>
              </w:rPr>
              <w:t>19 (1.6)</w:t>
            </w:r>
          </w:p>
        </w:tc>
        <w:tc>
          <w:tcPr>
            <w:tcW w:w="934" w:type="pct"/>
            <w:shd w:val="clear" w:color="auto" w:fill="auto"/>
            <w:vAlign w:val="center"/>
          </w:tcPr>
          <w:p w14:paraId="54503192" w14:textId="31CE9350" w:rsidR="000E500D" w:rsidRPr="002A431E" w:rsidRDefault="007B0913" w:rsidP="00466762">
            <w:pPr>
              <w:spacing w:before="0" w:after="0"/>
              <w:rPr>
                <w:rFonts w:cs="Arial"/>
                <w:noProof/>
                <w:sz w:val="20"/>
                <w:szCs w:val="20"/>
              </w:rPr>
            </w:pPr>
            <w:r>
              <w:rPr>
                <w:rFonts w:cs="Arial"/>
                <w:noProof/>
                <w:sz w:val="20"/>
                <w:szCs w:val="20"/>
              </w:rPr>
              <w:t>16 (1.3)</w:t>
            </w:r>
          </w:p>
        </w:tc>
      </w:tr>
      <w:tr w:rsidR="007B0913" w:rsidRPr="002A431E" w14:paraId="3AA54B2A" w14:textId="77777777" w:rsidTr="007B0913">
        <w:trPr>
          <w:trHeight w:val="64"/>
          <w:jc w:val="center"/>
        </w:trPr>
        <w:tc>
          <w:tcPr>
            <w:tcW w:w="3126" w:type="pct"/>
            <w:shd w:val="clear" w:color="auto" w:fill="auto"/>
          </w:tcPr>
          <w:p w14:paraId="571BBC76" w14:textId="6B280BC7" w:rsidR="007B0913" w:rsidRDefault="007B0913" w:rsidP="00466762">
            <w:pPr>
              <w:spacing w:before="0" w:after="0"/>
              <w:rPr>
                <w:rFonts w:cs="Arial"/>
                <w:noProof/>
                <w:sz w:val="20"/>
                <w:szCs w:val="20"/>
              </w:rPr>
            </w:pPr>
            <w:r>
              <w:rPr>
                <w:rFonts w:cs="Arial"/>
                <w:noProof/>
                <w:sz w:val="20"/>
                <w:szCs w:val="20"/>
              </w:rPr>
              <w:t>Influenza</w:t>
            </w:r>
          </w:p>
        </w:tc>
        <w:tc>
          <w:tcPr>
            <w:tcW w:w="940" w:type="pct"/>
            <w:shd w:val="clear" w:color="auto" w:fill="auto"/>
            <w:vAlign w:val="center"/>
          </w:tcPr>
          <w:p w14:paraId="5E19DDB3" w14:textId="5A18DFA6" w:rsidR="007B0913" w:rsidRDefault="007B0913" w:rsidP="00466762">
            <w:pPr>
              <w:spacing w:before="0" w:after="0"/>
              <w:rPr>
                <w:rFonts w:cs="Arial"/>
                <w:noProof/>
                <w:sz w:val="20"/>
                <w:szCs w:val="20"/>
              </w:rPr>
            </w:pPr>
            <w:r>
              <w:rPr>
                <w:rFonts w:cs="Arial"/>
                <w:noProof/>
                <w:sz w:val="20"/>
                <w:szCs w:val="20"/>
              </w:rPr>
              <w:t>11 (0.9)</w:t>
            </w:r>
          </w:p>
        </w:tc>
        <w:tc>
          <w:tcPr>
            <w:tcW w:w="934" w:type="pct"/>
            <w:shd w:val="clear" w:color="auto" w:fill="auto"/>
            <w:vAlign w:val="center"/>
          </w:tcPr>
          <w:p w14:paraId="215AFCE9" w14:textId="3A14964A" w:rsidR="007B0913" w:rsidRDefault="007B0913" w:rsidP="00466762">
            <w:pPr>
              <w:spacing w:before="0" w:after="0"/>
              <w:rPr>
                <w:rFonts w:cs="Arial"/>
                <w:noProof/>
                <w:sz w:val="20"/>
                <w:szCs w:val="20"/>
              </w:rPr>
            </w:pPr>
            <w:r>
              <w:rPr>
                <w:rFonts w:cs="Arial"/>
                <w:noProof/>
                <w:sz w:val="20"/>
                <w:szCs w:val="20"/>
              </w:rPr>
              <w:t>18 (1.5)</w:t>
            </w:r>
          </w:p>
        </w:tc>
      </w:tr>
      <w:tr w:rsidR="007B0913" w:rsidRPr="002A431E" w14:paraId="674A2F30" w14:textId="77777777" w:rsidTr="005F7D60">
        <w:trPr>
          <w:trHeight w:val="64"/>
          <w:jc w:val="center"/>
        </w:trPr>
        <w:tc>
          <w:tcPr>
            <w:tcW w:w="5000" w:type="pct"/>
            <w:gridSpan w:val="3"/>
            <w:shd w:val="clear" w:color="auto" w:fill="auto"/>
          </w:tcPr>
          <w:p w14:paraId="446EBCB4" w14:textId="4167825F" w:rsidR="007B0913" w:rsidRPr="005F7D60" w:rsidRDefault="007B0913" w:rsidP="00466762">
            <w:pPr>
              <w:spacing w:before="0" w:after="0"/>
              <w:rPr>
                <w:rFonts w:cs="Arial"/>
                <w:b/>
                <w:bCs/>
                <w:noProof/>
                <w:sz w:val="20"/>
                <w:szCs w:val="20"/>
              </w:rPr>
            </w:pPr>
            <w:r w:rsidRPr="005F7D60">
              <w:rPr>
                <w:rFonts w:cs="Arial"/>
                <w:b/>
                <w:bCs/>
                <w:noProof/>
                <w:sz w:val="20"/>
                <w:szCs w:val="20"/>
              </w:rPr>
              <w:t>Injury, poisoning and procedural complications</w:t>
            </w:r>
          </w:p>
        </w:tc>
      </w:tr>
      <w:tr w:rsidR="007B0913" w:rsidRPr="002A431E" w14:paraId="6A6166B6" w14:textId="77777777" w:rsidTr="007B0913">
        <w:trPr>
          <w:trHeight w:val="64"/>
          <w:jc w:val="center"/>
        </w:trPr>
        <w:tc>
          <w:tcPr>
            <w:tcW w:w="3126" w:type="pct"/>
            <w:shd w:val="clear" w:color="auto" w:fill="auto"/>
          </w:tcPr>
          <w:p w14:paraId="17BA058F" w14:textId="4A9E3E69" w:rsidR="007B0913" w:rsidRDefault="007B0913" w:rsidP="00466762">
            <w:pPr>
              <w:spacing w:before="0" w:after="0"/>
              <w:rPr>
                <w:rFonts w:cs="Arial"/>
                <w:noProof/>
                <w:sz w:val="20"/>
                <w:szCs w:val="20"/>
              </w:rPr>
            </w:pPr>
            <w:r>
              <w:rPr>
                <w:rFonts w:cs="Arial"/>
                <w:noProof/>
                <w:sz w:val="20"/>
                <w:szCs w:val="20"/>
              </w:rPr>
              <w:t>Sunburn</w:t>
            </w:r>
          </w:p>
        </w:tc>
        <w:tc>
          <w:tcPr>
            <w:tcW w:w="940" w:type="pct"/>
            <w:shd w:val="clear" w:color="auto" w:fill="auto"/>
            <w:vAlign w:val="center"/>
          </w:tcPr>
          <w:p w14:paraId="56740202" w14:textId="2D13E511" w:rsidR="007B0913" w:rsidRDefault="007B0913" w:rsidP="00466762">
            <w:pPr>
              <w:spacing w:before="0" w:after="0"/>
              <w:rPr>
                <w:rFonts w:cs="Arial"/>
                <w:noProof/>
                <w:sz w:val="20"/>
                <w:szCs w:val="20"/>
              </w:rPr>
            </w:pPr>
            <w:r>
              <w:rPr>
                <w:rFonts w:cs="Arial"/>
                <w:noProof/>
                <w:sz w:val="20"/>
                <w:szCs w:val="20"/>
              </w:rPr>
              <w:t>33 (2.7)</w:t>
            </w:r>
          </w:p>
        </w:tc>
        <w:tc>
          <w:tcPr>
            <w:tcW w:w="934" w:type="pct"/>
            <w:shd w:val="clear" w:color="auto" w:fill="auto"/>
            <w:vAlign w:val="center"/>
          </w:tcPr>
          <w:p w14:paraId="3B7DF65F" w14:textId="07006C0C" w:rsidR="007B0913" w:rsidRDefault="007B0913" w:rsidP="00466762">
            <w:pPr>
              <w:spacing w:before="0" w:after="0"/>
              <w:rPr>
                <w:rFonts w:cs="Arial"/>
                <w:noProof/>
                <w:sz w:val="20"/>
                <w:szCs w:val="20"/>
              </w:rPr>
            </w:pPr>
            <w:r>
              <w:rPr>
                <w:rFonts w:cs="Arial"/>
                <w:noProof/>
                <w:sz w:val="20"/>
                <w:szCs w:val="20"/>
              </w:rPr>
              <w:t>6 (0.5)</w:t>
            </w:r>
          </w:p>
        </w:tc>
      </w:tr>
      <w:tr w:rsidR="007B0913" w:rsidRPr="002A431E" w14:paraId="141F3252" w14:textId="77777777" w:rsidTr="005F7D60">
        <w:trPr>
          <w:trHeight w:val="64"/>
          <w:jc w:val="center"/>
        </w:trPr>
        <w:tc>
          <w:tcPr>
            <w:tcW w:w="5000" w:type="pct"/>
            <w:gridSpan w:val="3"/>
            <w:shd w:val="clear" w:color="auto" w:fill="auto"/>
            <w:vAlign w:val="center"/>
          </w:tcPr>
          <w:p w14:paraId="6CABC130" w14:textId="54998B0B" w:rsidR="007B0913" w:rsidRPr="005F7D60" w:rsidRDefault="007B0913" w:rsidP="00466762">
            <w:pPr>
              <w:spacing w:before="0" w:after="0"/>
              <w:rPr>
                <w:rFonts w:cs="Arial"/>
                <w:b/>
                <w:bCs/>
                <w:noProof/>
                <w:sz w:val="20"/>
                <w:szCs w:val="20"/>
              </w:rPr>
            </w:pPr>
            <w:r w:rsidRPr="005F7D60">
              <w:rPr>
                <w:rFonts w:cs="Arial"/>
                <w:b/>
                <w:bCs/>
                <w:noProof/>
                <w:sz w:val="20"/>
                <w:szCs w:val="20"/>
              </w:rPr>
              <w:t>Nervous system disorders</w:t>
            </w:r>
          </w:p>
        </w:tc>
      </w:tr>
      <w:tr w:rsidR="007B0913" w:rsidRPr="002A431E" w14:paraId="0992694B" w14:textId="77777777" w:rsidTr="007B0913">
        <w:trPr>
          <w:trHeight w:val="64"/>
          <w:jc w:val="center"/>
        </w:trPr>
        <w:tc>
          <w:tcPr>
            <w:tcW w:w="3126" w:type="pct"/>
            <w:shd w:val="clear" w:color="auto" w:fill="auto"/>
          </w:tcPr>
          <w:p w14:paraId="4079C4A6" w14:textId="23C43CD6" w:rsidR="007B0913" w:rsidRDefault="007B0913" w:rsidP="00466762">
            <w:pPr>
              <w:spacing w:before="0" w:after="0"/>
              <w:rPr>
                <w:rFonts w:cs="Arial"/>
                <w:noProof/>
                <w:sz w:val="20"/>
                <w:szCs w:val="20"/>
              </w:rPr>
            </w:pPr>
            <w:r>
              <w:rPr>
                <w:rFonts w:cs="Arial"/>
                <w:noProof/>
                <w:sz w:val="20"/>
                <w:szCs w:val="20"/>
              </w:rPr>
              <w:t>Headache</w:t>
            </w:r>
          </w:p>
        </w:tc>
        <w:tc>
          <w:tcPr>
            <w:tcW w:w="940" w:type="pct"/>
            <w:shd w:val="clear" w:color="auto" w:fill="auto"/>
            <w:vAlign w:val="center"/>
          </w:tcPr>
          <w:p w14:paraId="1A79D7F8" w14:textId="43D53F96" w:rsidR="007B0913" w:rsidRDefault="007B0913" w:rsidP="00466762">
            <w:pPr>
              <w:spacing w:before="0" w:after="0"/>
              <w:rPr>
                <w:rFonts w:cs="Arial"/>
                <w:noProof/>
                <w:sz w:val="20"/>
                <w:szCs w:val="20"/>
              </w:rPr>
            </w:pPr>
            <w:r>
              <w:rPr>
                <w:rFonts w:cs="Arial"/>
                <w:noProof/>
                <w:sz w:val="20"/>
                <w:szCs w:val="20"/>
              </w:rPr>
              <w:t>16 (1.3)</w:t>
            </w:r>
          </w:p>
        </w:tc>
        <w:tc>
          <w:tcPr>
            <w:tcW w:w="934" w:type="pct"/>
            <w:shd w:val="clear" w:color="auto" w:fill="auto"/>
            <w:vAlign w:val="center"/>
          </w:tcPr>
          <w:p w14:paraId="4F5EF965" w14:textId="65E305DF" w:rsidR="007B0913" w:rsidRDefault="007B0913" w:rsidP="00466762">
            <w:pPr>
              <w:spacing w:before="0" w:after="0"/>
              <w:rPr>
                <w:rFonts w:cs="Arial"/>
                <w:noProof/>
                <w:sz w:val="20"/>
                <w:szCs w:val="20"/>
              </w:rPr>
            </w:pPr>
            <w:r>
              <w:rPr>
                <w:rFonts w:cs="Arial"/>
                <w:noProof/>
                <w:sz w:val="20"/>
                <w:szCs w:val="20"/>
              </w:rPr>
              <w:t>16 (1.3)</w:t>
            </w:r>
          </w:p>
        </w:tc>
      </w:tr>
    </w:tbl>
    <w:bookmarkEnd w:id="3"/>
    <w:p w14:paraId="1EB16678" w14:textId="588569E7" w:rsidR="004F3F8A" w:rsidRPr="00346E00" w:rsidRDefault="004F3F8A" w:rsidP="00466762">
      <w:pPr>
        <w:keepNext/>
        <w:keepLines/>
        <w:widowControl w:val="0"/>
        <w:rPr>
          <w:noProof/>
        </w:rPr>
      </w:pPr>
      <w:r w:rsidRPr="00346E00">
        <w:rPr>
          <w:noProof/>
        </w:rPr>
        <w:t>Local cutaneous reactions such as erythema, scaling, dryness, and stinging/burning) were collected separately from other adverse events as a measure of local tolerance. These cutaneous reactions are very common  and of mild, moderate and severe inten</w:t>
      </w:r>
      <w:r>
        <w:rPr>
          <w:noProof/>
        </w:rPr>
        <w:t>sity for up to 39%, 29.7% and 6.</w:t>
      </w:r>
      <w:r w:rsidRPr="00346E00">
        <w:rPr>
          <w:noProof/>
        </w:rPr>
        <w:t>2% of patients, respectively on the face. On the trunk, up to 32.9%, 18.9%</w:t>
      </w:r>
      <w:r>
        <w:rPr>
          <w:noProof/>
        </w:rPr>
        <w:t xml:space="preserve">, </w:t>
      </w:r>
      <w:r w:rsidRPr="00346E00">
        <w:rPr>
          <w:noProof/>
        </w:rPr>
        <w:t xml:space="preserve">5.2% of patients had mild, moderate and severe reactions respectively. The maximum severity typically occurred at Week 1 for the face, and at Week 2 to 4 for the trunk, and decreased with continued use of the medication   (see </w:t>
      </w:r>
      <w:r w:rsidRPr="003D204F">
        <w:rPr>
          <w:noProof/>
        </w:rPr>
        <w:t>section 4.4</w:t>
      </w:r>
      <w:r w:rsidRPr="00346E00">
        <w:rPr>
          <w:noProof/>
        </w:rPr>
        <w:t>).</w:t>
      </w:r>
    </w:p>
    <w:p w14:paraId="232873E3" w14:textId="4DC81D9B" w:rsidR="004F3F8A" w:rsidRPr="00321C75" w:rsidRDefault="004F3F8A" w:rsidP="00466762">
      <w:pPr>
        <w:tabs>
          <w:tab w:val="right" w:pos="9072"/>
        </w:tabs>
        <w:autoSpaceDE w:val="0"/>
        <w:autoSpaceDN w:val="0"/>
        <w:adjustRightInd w:val="0"/>
        <w:rPr>
          <w:noProof/>
        </w:rPr>
      </w:pPr>
      <w:r w:rsidRPr="00321C75">
        <w:rPr>
          <w:noProof/>
        </w:rPr>
        <w:t xml:space="preserve">The most “commonly”  reported adverse reactions </w:t>
      </w:r>
      <w:r w:rsidRPr="00AD5F53">
        <w:rPr>
          <w:noProof/>
        </w:rPr>
        <w:t xml:space="preserve">as described below in </w:t>
      </w:r>
      <w:r w:rsidRPr="00B953F2">
        <w:t xml:space="preserve">Table </w:t>
      </w:r>
      <w:r w:rsidR="00993F36">
        <w:rPr>
          <w:noProof/>
        </w:rPr>
        <w:t>2</w:t>
      </w:r>
      <w:r>
        <w:rPr>
          <w:noProof/>
          <w:color w:val="FF0000"/>
        </w:rPr>
        <w:t xml:space="preserve"> </w:t>
      </w:r>
      <w:r w:rsidRPr="00321C75">
        <w:rPr>
          <w:noProof/>
        </w:rPr>
        <w:t xml:space="preserve">are application site irritation, application site pruritus and sunburn, occurring in 1.2% to 6.5% of patients treated with Aklief cream in clinical studies. </w:t>
      </w:r>
      <w:r w:rsidRPr="00321C75">
        <w:rPr>
          <w:noProof/>
        </w:rPr>
        <w:tab/>
      </w:r>
    </w:p>
    <w:p w14:paraId="3064050F" w14:textId="77777777" w:rsidR="004F3F8A" w:rsidRPr="00321C75" w:rsidRDefault="004F3F8A" w:rsidP="00466762">
      <w:pPr>
        <w:keepNext/>
        <w:autoSpaceDE w:val="0"/>
        <w:autoSpaceDN w:val="0"/>
        <w:adjustRightInd w:val="0"/>
        <w:rPr>
          <w:noProof/>
          <w:u w:val="single"/>
        </w:rPr>
      </w:pPr>
      <w:r w:rsidRPr="00974609">
        <w:rPr>
          <w:noProof/>
          <w:u w:val="single"/>
        </w:rPr>
        <w:t>Tabulated summary of adverse reactions:</w:t>
      </w:r>
    </w:p>
    <w:p w14:paraId="0822D96F" w14:textId="11249AAE" w:rsidR="004F3F8A" w:rsidRPr="00321C75" w:rsidRDefault="004F3F8A" w:rsidP="00466762">
      <w:pPr>
        <w:autoSpaceDE w:val="0"/>
        <w:autoSpaceDN w:val="0"/>
        <w:adjustRightInd w:val="0"/>
        <w:rPr>
          <w:noProof/>
        </w:rPr>
      </w:pPr>
      <w:r w:rsidRPr="00321C75">
        <w:rPr>
          <w:noProof/>
        </w:rPr>
        <w:t xml:space="preserve">Adverse reactions reported in the 12-week vehicle-controlled Phase 3 studies in 1220 patients treated with Aklief cream (and for which the rate for Aklief cream exceeds the rate for vehicle cream) are presented in </w:t>
      </w:r>
      <w:r w:rsidRPr="00B953F2">
        <w:t xml:space="preserve">Table </w:t>
      </w:r>
      <w:r w:rsidR="00993F36">
        <w:rPr>
          <w:noProof/>
        </w:rPr>
        <w:t>2</w:t>
      </w:r>
      <w:r w:rsidRPr="00321C75">
        <w:rPr>
          <w:noProof/>
        </w:rPr>
        <w:t>.</w:t>
      </w:r>
    </w:p>
    <w:p w14:paraId="3BFC27A7" w14:textId="4999F0F3" w:rsidR="004F3F8A" w:rsidRPr="00321C75" w:rsidRDefault="004F3F8A" w:rsidP="00466762">
      <w:pPr>
        <w:autoSpaceDE w:val="0"/>
        <w:autoSpaceDN w:val="0"/>
        <w:adjustRightInd w:val="0"/>
        <w:rPr>
          <w:noProof/>
        </w:rPr>
      </w:pPr>
      <w:r w:rsidRPr="00321C75">
        <w:rPr>
          <w:noProof/>
        </w:rPr>
        <w:t>The adverse reactions are classified by System Organ Class and frequency, using the following convention: very common (≥ 1/10), common (≥</w:t>
      </w:r>
      <w:r w:rsidR="00472CF4">
        <w:rPr>
          <w:noProof/>
        </w:rPr>
        <w:t xml:space="preserve"> </w:t>
      </w:r>
      <w:r w:rsidRPr="00321C75">
        <w:rPr>
          <w:noProof/>
        </w:rPr>
        <w:t>1/100 to &lt;</w:t>
      </w:r>
      <w:r w:rsidR="00472CF4">
        <w:rPr>
          <w:noProof/>
        </w:rPr>
        <w:t xml:space="preserve"> </w:t>
      </w:r>
      <w:r w:rsidRPr="00321C75">
        <w:rPr>
          <w:noProof/>
        </w:rPr>
        <w:t>1/10), uncommon (≥</w:t>
      </w:r>
      <w:r w:rsidR="00472CF4">
        <w:rPr>
          <w:noProof/>
        </w:rPr>
        <w:t xml:space="preserve"> </w:t>
      </w:r>
      <w:r w:rsidRPr="00321C75">
        <w:rPr>
          <w:noProof/>
        </w:rPr>
        <w:t>1/1,000 to 1</w:t>
      </w:r>
      <w:r w:rsidR="00472CF4">
        <w:rPr>
          <w:noProof/>
        </w:rPr>
        <w:t xml:space="preserve"> </w:t>
      </w:r>
      <w:r w:rsidRPr="00321C75">
        <w:rPr>
          <w:noProof/>
        </w:rPr>
        <w:t>&lt;</w:t>
      </w:r>
      <w:r w:rsidR="00472CF4">
        <w:rPr>
          <w:noProof/>
        </w:rPr>
        <w:t xml:space="preserve"> </w:t>
      </w:r>
      <w:r w:rsidRPr="00321C75">
        <w:rPr>
          <w:noProof/>
        </w:rPr>
        <w:t>100), rare (≥</w:t>
      </w:r>
      <w:r w:rsidR="00472CF4">
        <w:rPr>
          <w:noProof/>
        </w:rPr>
        <w:t xml:space="preserve"> </w:t>
      </w:r>
      <w:r w:rsidRPr="00321C75">
        <w:rPr>
          <w:noProof/>
        </w:rPr>
        <w:t>1/10,000 to &lt;</w:t>
      </w:r>
      <w:r w:rsidR="00472CF4">
        <w:rPr>
          <w:noProof/>
        </w:rPr>
        <w:t xml:space="preserve"> </w:t>
      </w:r>
      <w:r w:rsidRPr="00321C75">
        <w:rPr>
          <w:noProof/>
        </w:rPr>
        <w:t>1/1,000), very rare (&lt;</w:t>
      </w:r>
      <w:r w:rsidR="00472CF4">
        <w:rPr>
          <w:noProof/>
        </w:rPr>
        <w:t xml:space="preserve"> </w:t>
      </w:r>
      <w:r w:rsidRPr="00321C75">
        <w:rPr>
          <w:noProof/>
        </w:rPr>
        <w:t xml:space="preserve">1/10,000), not known (cannot be estimated from the available data). </w:t>
      </w:r>
    </w:p>
    <w:p w14:paraId="72D1216C" w14:textId="444EB0BF" w:rsidR="004F3F8A" w:rsidRDefault="004F3F8A" w:rsidP="00466762">
      <w:pPr>
        <w:pStyle w:val="Caption"/>
        <w:spacing w:before="120" w:after="120"/>
        <w:rPr>
          <w:rFonts w:ascii="Arial" w:hAnsi="Arial" w:cs="Arial"/>
          <w:noProof/>
          <w:sz w:val="22"/>
          <w:szCs w:val="22"/>
        </w:rPr>
      </w:pPr>
      <w:bookmarkStart w:id="4" w:name="_Ref22856933"/>
      <w:r w:rsidRPr="002A431E">
        <w:rPr>
          <w:rFonts w:ascii="Arial" w:hAnsi="Arial" w:cs="Arial"/>
          <w:sz w:val="22"/>
          <w:szCs w:val="22"/>
        </w:rPr>
        <w:t xml:space="preserve">Table </w:t>
      </w:r>
      <w:bookmarkEnd w:id="4"/>
      <w:r w:rsidR="000E500D">
        <w:rPr>
          <w:rFonts w:ascii="Arial" w:hAnsi="Arial" w:cs="Arial"/>
          <w:sz w:val="22"/>
          <w:szCs w:val="22"/>
        </w:rPr>
        <w:t>2</w:t>
      </w:r>
      <w:r w:rsidRPr="002A431E">
        <w:rPr>
          <w:rFonts w:ascii="Arial" w:hAnsi="Arial" w:cs="Arial"/>
          <w:sz w:val="22"/>
          <w:szCs w:val="22"/>
        </w:rPr>
        <w:tab/>
      </w:r>
      <w:r w:rsidRPr="002A431E">
        <w:rPr>
          <w:rFonts w:ascii="Arial" w:hAnsi="Arial" w:cs="Arial"/>
          <w:noProof/>
          <w:sz w:val="22"/>
          <w:szCs w:val="22"/>
        </w:rPr>
        <w:t>Adverse reactions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276"/>
        <w:gridCol w:w="3396"/>
      </w:tblGrid>
      <w:tr w:rsidR="005F7D60" w:rsidRPr="002A431E" w14:paraId="05FEC768" w14:textId="77777777" w:rsidTr="007E3F36">
        <w:trPr>
          <w:tblHeader/>
          <w:jc w:val="center"/>
        </w:trPr>
        <w:tc>
          <w:tcPr>
            <w:tcW w:w="2422" w:type="pct"/>
            <w:shd w:val="clear" w:color="auto" w:fill="auto"/>
          </w:tcPr>
          <w:p w14:paraId="431CE2F9" w14:textId="77777777" w:rsidR="005F7D60" w:rsidRPr="002A431E" w:rsidRDefault="005F7D60" w:rsidP="00466762">
            <w:pPr>
              <w:spacing w:before="0" w:after="0"/>
              <w:rPr>
                <w:rFonts w:cs="Arial"/>
                <w:b/>
                <w:noProof/>
                <w:sz w:val="20"/>
                <w:szCs w:val="20"/>
              </w:rPr>
            </w:pPr>
            <w:r w:rsidRPr="002A431E">
              <w:rPr>
                <w:rFonts w:cs="Arial"/>
                <w:b/>
                <w:noProof/>
                <w:sz w:val="20"/>
                <w:szCs w:val="20"/>
              </w:rPr>
              <w:t>System Organ Class</w:t>
            </w:r>
          </w:p>
        </w:tc>
        <w:tc>
          <w:tcPr>
            <w:tcW w:w="704" w:type="pct"/>
            <w:shd w:val="clear" w:color="auto" w:fill="auto"/>
          </w:tcPr>
          <w:p w14:paraId="463C3E3A" w14:textId="77777777" w:rsidR="005F7D60" w:rsidRPr="002A431E" w:rsidRDefault="005F7D60" w:rsidP="00466762">
            <w:pPr>
              <w:spacing w:before="0" w:after="0"/>
              <w:rPr>
                <w:rFonts w:cs="Arial"/>
                <w:b/>
                <w:noProof/>
                <w:sz w:val="20"/>
                <w:szCs w:val="20"/>
              </w:rPr>
            </w:pPr>
            <w:r w:rsidRPr="002A431E">
              <w:rPr>
                <w:rFonts w:cs="Arial"/>
                <w:b/>
                <w:noProof/>
                <w:sz w:val="20"/>
                <w:szCs w:val="20"/>
              </w:rPr>
              <w:t>Frequency</w:t>
            </w:r>
          </w:p>
        </w:tc>
        <w:tc>
          <w:tcPr>
            <w:tcW w:w="1874" w:type="pct"/>
            <w:shd w:val="clear" w:color="auto" w:fill="auto"/>
          </w:tcPr>
          <w:p w14:paraId="102C13C3" w14:textId="77777777" w:rsidR="005F7D60" w:rsidRPr="002A431E" w:rsidRDefault="005F7D60" w:rsidP="00466762">
            <w:pPr>
              <w:spacing w:before="0" w:after="0"/>
              <w:rPr>
                <w:rFonts w:cs="Arial"/>
                <w:b/>
                <w:noProof/>
                <w:sz w:val="20"/>
                <w:szCs w:val="20"/>
              </w:rPr>
            </w:pPr>
            <w:r w:rsidRPr="002A431E">
              <w:rPr>
                <w:rFonts w:cs="Arial"/>
                <w:b/>
                <w:noProof/>
                <w:sz w:val="20"/>
                <w:szCs w:val="20"/>
              </w:rPr>
              <w:t>Adverse reactions</w:t>
            </w:r>
          </w:p>
        </w:tc>
      </w:tr>
      <w:tr w:rsidR="005F7D60" w:rsidRPr="002B46A2" w14:paraId="480264D0" w14:textId="77777777" w:rsidTr="007E3F36">
        <w:trPr>
          <w:jc w:val="center"/>
        </w:trPr>
        <w:tc>
          <w:tcPr>
            <w:tcW w:w="2422" w:type="pct"/>
            <w:vMerge w:val="restart"/>
            <w:shd w:val="clear" w:color="auto" w:fill="auto"/>
          </w:tcPr>
          <w:p w14:paraId="1A3490AA" w14:textId="77777777" w:rsidR="005F7D60" w:rsidRPr="002A431E" w:rsidRDefault="005F7D60" w:rsidP="00466762">
            <w:pPr>
              <w:spacing w:before="0" w:after="0"/>
              <w:rPr>
                <w:rFonts w:cs="Arial"/>
                <w:noProof/>
                <w:sz w:val="20"/>
                <w:szCs w:val="20"/>
              </w:rPr>
            </w:pPr>
            <w:r w:rsidRPr="002A431E">
              <w:rPr>
                <w:rFonts w:cs="Arial"/>
                <w:noProof/>
                <w:sz w:val="20"/>
                <w:szCs w:val="20"/>
              </w:rPr>
              <w:t>General disorders and administration site conditions</w:t>
            </w:r>
          </w:p>
        </w:tc>
        <w:tc>
          <w:tcPr>
            <w:tcW w:w="704" w:type="pct"/>
            <w:shd w:val="clear" w:color="auto" w:fill="auto"/>
          </w:tcPr>
          <w:p w14:paraId="6D9E7FDB" w14:textId="77777777" w:rsidR="005F7D60" w:rsidRPr="002A431E" w:rsidRDefault="005F7D60" w:rsidP="00466762">
            <w:pPr>
              <w:spacing w:before="0" w:after="0"/>
              <w:rPr>
                <w:rFonts w:cs="Arial"/>
                <w:noProof/>
                <w:sz w:val="20"/>
                <w:szCs w:val="20"/>
              </w:rPr>
            </w:pPr>
            <w:r w:rsidRPr="002A431E">
              <w:rPr>
                <w:rFonts w:cs="Arial"/>
                <w:noProof/>
                <w:sz w:val="20"/>
                <w:szCs w:val="20"/>
              </w:rPr>
              <w:t>Common</w:t>
            </w:r>
          </w:p>
        </w:tc>
        <w:tc>
          <w:tcPr>
            <w:tcW w:w="1874" w:type="pct"/>
            <w:shd w:val="clear" w:color="auto" w:fill="auto"/>
          </w:tcPr>
          <w:p w14:paraId="749BD3F0" w14:textId="77777777" w:rsidR="005F7D60" w:rsidRPr="002A431E" w:rsidRDefault="005F7D60" w:rsidP="00466762">
            <w:pPr>
              <w:spacing w:before="0" w:after="0"/>
              <w:rPr>
                <w:rFonts w:cs="Arial"/>
                <w:noProof/>
                <w:sz w:val="20"/>
                <w:szCs w:val="20"/>
                <w:lang w:val="fr-FR"/>
              </w:rPr>
            </w:pPr>
            <w:r w:rsidRPr="002A431E">
              <w:rPr>
                <w:rFonts w:cs="Arial"/>
                <w:noProof/>
                <w:sz w:val="20"/>
                <w:szCs w:val="20"/>
                <w:lang w:val="fr-FR"/>
              </w:rPr>
              <w:t>Application site irritation</w:t>
            </w:r>
          </w:p>
          <w:p w14:paraId="191EA73C" w14:textId="77777777" w:rsidR="005F7D60" w:rsidRPr="002A431E" w:rsidRDefault="005F7D60" w:rsidP="00466762">
            <w:pPr>
              <w:spacing w:before="0" w:after="0"/>
              <w:rPr>
                <w:rFonts w:cs="Arial"/>
                <w:noProof/>
                <w:sz w:val="20"/>
                <w:szCs w:val="20"/>
                <w:lang w:val="fr-FR"/>
              </w:rPr>
            </w:pPr>
            <w:r w:rsidRPr="002A431E">
              <w:rPr>
                <w:rFonts w:cs="Arial"/>
                <w:noProof/>
                <w:sz w:val="20"/>
                <w:szCs w:val="20"/>
                <w:lang w:val="fr-FR"/>
              </w:rPr>
              <w:t>Application site pruritus</w:t>
            </w:r>
          </w:p>
        </w:tc>
      </w:tr>
      <w:tr w:rsidR="005F7D60" w:rsidRPr="002A431E" w14:paraId="768507C1" w14:textId="77777777" w:rsidTr="007E3F36">
        <w:trPr>
          <w:jc w:val="center"/>
        </w:trPr>
        <w:tc>
          <w:tcPr>
            <w:tcW w:w="2422" w:type="pct"/>
            <w:vMerge/>
            <w:shd w:val="clear" w:color="auto" w:fill="auto"/>
          </w:tcPr>
          <w:p w14:paraId="1EE26C5C" w14:textId="77777777" w:rsidR="005F7D60" w:rsidRPr="002A431E" w:rsidRDefault="005F7D60" w:rsidP="00466762">
            <w:pPr>
              <w:spacing w:before="0" w:after="0"/>
              <w:rPr>
                <w:rFonts w:cs="Arial"/>
                <w:noProof/>
                <w:sz w:val="20"/>
                <w:szCs w:val="20"/>
                <w:lang w:val="fr-FR"/>
              </w:rPr>
            </w:pPr>
          </w:p>
        </w:tc>
        <w:tc>
          <w:tcPr>
            <w:tcW w:w="704" w:type="pct"/>
            <w:shd w:val="clear" w:color="auto" w:fill="auto"/>
          </w:tcPr>
          <w:p w14:paraId="6F63D55E" w14:textId="77777777" w:rsidR="005F7D60" w:rsidRPr="002A431E" w:rsidRDefault="005F7D60" w:rsidP="00466762">
            <w:pPr>
              <w:spacing w:before="0" w:after="0"/>
              <w:rPr>
                <w:rFonts w:cs="Arial"/>
                <w:noProof/>
                <w:sz w:val="20"/>
                <w:szCs w:val="20"/>
              </w:rPr>
            </w:pPr>
            <w:r w:rsidRPr="002A431E">
              <w:rPr>
                <w:rFonts w:cs="Arial"/>
                <w:noProof/>
                <w:sz w:val="20"/>
                <w:szCs w:val="20"/>
              </w:rPr>
              <w:t>Uncommon</w:t>
            </w:r>
          </w:p>
        </w:tc>
        <w:tc>
          <w:tcPr>
            <w:tcW w:w="1874" w:type="pct"/>
            <w:shd w:val="clear" w:color="auto" w:fill="auto"/>
          </w:tcPr>
          <w:p w14:paraId="63FD7015" w14:textId="77777777" w:rsidR="005F7D60" w:rsidRPr="002A431E" w:rsidRDefault="005F7D60" w:rsidP="00466762">
            <w:pPr>
              <w:spacing w:before="0" w:after="0"/>
              <w:rPr>
                <w:rFonts w:cs="Arial"/>
                <w:noProof/>
                <w:sz w:val="20"/>
                <w:szCs w:val="20"/>
                <w:lang w:val="fr-CH"/>
              </w:rPr>
            </w:pPr>
            <w:r w:rsidRPr="002A431E">
              <w:rPr>
                <w:rFonts w:cs="Arial"/>
                <w:noProof/>
                <w:sz w:val="20"/>
                <w:szCs w:val="20"/>
                <w:lang w:val="fr-CH"/>
              </w:rPr>
              <w:t>Application site pain</w:t>
            </w:r>
          </w:p>
          <w:p w14:paraId="0CC1B611" w14:textId="77777777" w:rsidR="005F7D60" w:rsidRPr="002A431E" w:rsidRDefault="005F7D60" w:rsidP="00466762">
            <w:pPr>
              <w:spacing w:before="0" w:after="0"/>
              <w:rPr>
                <w:rFonts w:cs="Arial"/>
                <w:noProof/>
                <w:sz w:val="20"/>
                <w:szCs w:val="20"/>
                <w:lang w:val="fr-CH"/>
              </w:rPr>
            </w:pPr>
            <w:r w:rsidRPr="002A431E">
              <w:rPr>
                <w:rFonts w:cs="Arial"/>
                <w:noProof/>
                <w:sz w:val="20"/>
                <w:szCs w:val="20"/>
                <w:lang w:val="fr-CH"/>
              </w:rPr>
              <w:t>Application site dryness</w:t>
            </w:r>
          </w:p>
          <w:p w14:paraId="7E7254E2" w14:textId="77777777" w:rsidR="005F7D60" w:rsidRPr="002A431E" w:rsidRDefault="005F7D60" w:rsidP="00466762">
            <w:pPr>
              <w:spacing w:before="0" w:after="0"/>
              <w:rPr>
                <w:rFonts w:cs="Arial"/>
                <w:noProof/>
                <w:sz w:val="20"/>
                <w:szCs w:val="20"/>
                <w:lang w:val="fr-CH"/>
              </w:rPr>
            </w:pPr>
            <w:r w:rsidRPr="002A431E">
              <w:rPr>
                <w:rFonts w:cs="Arial"/>
                <w:noProof/>
                <w:sz w:val="20"/>
                <w:szCs w:val="20"/>
                <w:lang w:val="fr-CH"/>
              </w:rPr>
              <w:t>Application site discolouration</w:t>
            </w:r>
          </w:p>
          <w:p w14:paraId="032F507A" w14:textId="77777777" w:rsidR="005F7D60" w:rsidRPr="002A431E" w:rsidRDefault="005F7D60" w:rsidP="00466762">
            <w:pPr>
              <w:spacing w:before="0" w:after="0"/>
              <w:rPr>
                <w:rFonts w:cs="Arial"/>
                <w:noProof/>
                <w:sz w:val="20"/>
                <w:szCs w:val="20"/>
                <w:lang w:val="fr-CH"/>
              </w:rPr>
            </w:pPr>
            <w:r w:rsidRPr="002A431E">
              <w:rPr>
                <w:rFonts w:cs="Arial"/>
                <w:noProof/>
                <w:sz w:val="20"/>
                <w:szCs w:val="20"/>
                <w:lang w:val="fr-CH"/>
              </w:rPr>
              <w:t>Application site erosion</w:t>
            </w:r>
          </w:p>
          <w:p w14:paraId="492EFADD" w14:textId="77777777" w:rsidR="005F7D60" w:rsidRPr="002A431E" w:rsidRDefault="005F7D60" w:rsidP="00466762">
            <w:pPr>
              <w:spacing w:before="0" w:after="0"/>
              <w:rPr>
                <w:rFonts w:cs="Arial"/>
                <w:noProof/>
                <w:sz w:val="20"/>
                <w:szCs w:val="20"/>
                <w:lang w:val="fr-CH"/>
              </w:rPr>
            </w:pPr>
            <w:r w:rsidRPr="002A431E">
              <w:rPr>
                <w:rFonts w:cs="Arial"/>
                <w:noProof/>
                <w:sz w:val="20"/>
                <w:szCs w:val="20"/>
                <w:lang w:val="fr-CH"/>
              </w:rPr>
              <w:t>Application site rash</w:t>
            </w:r>
          </w:p>
          <w:p w14:paraId="2A5AC003" w14:textId="77777777" w:rsidR="005F7D60" w:rsidRPr="002A431E" w:rsidRDefault="005F7D60" w:rsidP="00466762">
            <w:pPr>
              <w:spacing w:before="0" w:after="0"/>
              <w:rPr>
                <w:rFonts w:cs="Arial"/>
                <w:noProof/>
                <w:sz w:val="20"/>
                <w:szCs w:val="20"/>
              </w:rPr>
            </w:pPr>
            <w:r w:rsidRPr="002A431E">
              <w:rPr>
                <w:rFonts w:cs="Arial"/>
                <w:noProof/>
                <w:sz w:val="20"/>
                <w:szCs w:val="20"/>
              </w:rPr>
              <w:t>Application site swelling</w:t>
            </w:r>
          </w:p>
        </w:tc>
      </w:tr>
      <w:tr w:rsidR="005F7D60" w:rsidRPr="002A431E" w14:paraId="1301B85A" w14:textId="77777777" w:rsidTr="007E3F36">
        <w:trPr>
          <w:jc w:val="center"/>
        </w:trPr>
        <w:tc>
          <w:tcPr>
            <w:tcW w:w="2422" w:type="pct"/>
            <w:vMerge/>
            <w:shd w:val="clear" w:color="auto" w:fill="auto"/>
          </w:tcPr>
          <w:p w14:paraId="6887810E" w14:textId="77777777" w:rsidR="005F7D60" w:rsidRPr="002A431E" w:rsidRDefault="005F7D60" w:rsidP="00466762">
            <w:pPr>
              <w:spacing w:before="0" w:after="0"/>
              <w:rPr>
                <w:rFonts w:cs="Arial"/>
                <w:noProof/>
                <w:sz w:val="20"/>
                <w:szCs w:val="20"/>
                <w:lang w:val="fr-FR"/>
              </w:rPr>
            </w:pPr>
          </w:p>
        </w:tc>
        <w:tc>
          <w:tcPr>
            <w:tcW w:w="704" w:type="pct"/>
            <w:shd w:val="clear" w:color="auto" w:fill="auto"/>
          </w:tcPr>
          <w:p w14:paraId="316EDF5D" w14:textId="77777777" w:rsidR="005F7D60" w:rsidRPr="002A431E" w:rsidRDefault="005F7D60" w:rsidP="00466762">
            <w:pPr>
              <w:spacing w:before="0" w:after="0"/>
              <w:rPr>
                <w:rFonts w:cs="Arial"/>
                <w:noProof/>
                <w:sz w:val="20"/>
                <w:szCs w:val="20"/>
              </w:rPr>
            </w:pPr>
            <w:r w:rsidRPr="002A431E">
              <w:rPr>
                <w:rFonts w:cs="Arial"/>
                <w:noProof/>
                <w:sz w:val="20"/>
                <w:szCs w:val="20"/>
              </w:rPr>
              <w:t>Rare</w:t>
            </w:r>
          </w:p>
        </w:tc>
        <w:tc>
          <w:tcPr>
            <w:tcW w:w="1874" w:type="pct"/>
            <w:shd w:val="clear" w:color="auto" w:fill="auto"/>
          </w:tcPr>
          <w:p w14:paraId="057BAE22" w14:textId="77777777" w:rsidR="005F7D60" w:rsidRPr="002A431E" w:rsidRDefault="005F7D60" w:rsidP="00466762">
            <w:pPr>
              <w:spacing w:before="0" w:after="0"/>
              <w:rPr>
                <w:rFonts w:cs="Arial"/>
                <w:noProof/>
                <w:sz w:val="20"/>
                <w:szCs w:val="20"/>
              </w:rPr>
            </w:pPr>
            <w:r w:rsidRPr="002A431E">
              <w:rPr>
                <w:rFonts w:cs="Arial"/>
                <w:noProof/>
                <w:sz w:val="20"/>
                <w:szCs w:val="20"/>
              </w:rPr>
              <w:t>Application site erythema</w:t>
            </w:r>
          </w:p>
          <w:p w14:paraId="74D3FC6E" w14:textId="77777777" w:rsidR="005F7D60" w:rsidRPr="002A431E" w:rsidRDefault="005F7D60" w:rsidP="00466762">
            <w:pPr>
              <w:spacing w:before="0" w:after="0"/>
              <w:rPr>
                <w:rFonts w:cs="Arial"/>
                <w:noProof/>
                <w:sz w:val="20"/>
                <w:szCs w:val="20"/>
              </w:rPr>
            </w:pPr>
            <w:r w:rsidRPr="002A431E">
              <w:rPr>
                <w:rFonts w:cs="Arial"/>
                <w:noProof/>
                <w:sz w:val="20"/>
                <w:szCs w:val="20"/>
              </w:rPr>
              <w:t>Application site urticaria</w:t>
            </w:r>
          </w:p>
          <w:p w14:paraId="0387FD01" w14:textId="77777777" w:rsidR="005F7D60" w:rsidRPr="002A431E" w:rsidRDefault="005F7D60" w:rsidP="00466762">
            <w:pPr>
              <w:spacing w:before="0" w:after="0"/>
              <w:rPr>
                <w:rFonts w:cs="Arial"/>
                <w:noProof/>
                <w:sz w:val="20"/>
                <w:szCs w:val="20"/>
              </w:rPr>
            </w:pPr>
            <w:r w:rsidRPr="002A431E">
              <w:rPr>
                <w:rFonts w:cs="Arial"/>
                <w:noProof/>
                <w:sz w:val="20"/>
                <w:szCs w:val="20"/>
              </w:rPr>
              <w:t>Application site vesicles</w:t>
            </w:r>
          </w:p>
        </w:tc>
      </w:tr>
      <w:tr w:rsidR="005F7D60" w:rsidRPr="002A431E" w14:paraId="33AA897D" w14:textId="77777777" w:rsidTr="007E3F36">
        <w:trPr>
          <w:trHeight w:val="516"/>
          <w:jc w:val="center"/>
        </w:trPr>
        <w:tc>
          <w:tcPr>
            <w:tcW w:w="2422" w:type="pct"/>
            <w:shd w:val="clear" w:color="auto" w:fill="auto"/>
          </w:tcPr>
          <w:p w14:paraId="440A15E2" w14:textId="77777777" w:rsidR="005F7D60" w:rsidRPr="002A431E" w:rsidRDefault="005F7D60" w:rsidP="00466762">
            <w:pPr>
              <w:spacing w:before="0" w:after="0"/>
              <w:rPr>
                <w:rFonts w:cs="Arial"/>
                <w:noProof/>
                <w:sz w:val="20"/>
                <w:szCs w:val="20"/>
              </w:rPr>
            </w:pPr>
            <w:r w:rsidRPr="002A431E">
              <w:rPr>
                <w:rFonts w:cs="Arial"/>
                <w:noProof/>
                <w:sz w:val="20"/>
                <w:szCs w:val="20"/>
              </w:rPr>
              <w:t>Injury, poisoning and procedural complications</w:t>
            </w:r>
          </w:p>
        </w:tc>
        <w:tc>
          <w:tcPr>
            <w:tcW w:w="704" w:type="pct"/>
            <w:shd w:val="clear" w:color="auto" w:fill="auto"/>
          </w:tcPr>
          <w:p w14:paraId="51F659FD" w14:textId="77777777" w:rsidR="005F7D60" w:rsidRPr="002A431E" w:rsidRDefault="005F7D60" w:rsidP="00466762">
            <w:pPr>
              <w:spacing w:before="0" w:after="0"/>
              <w:rPr>
                <w:rFonts w:cs="Arial"/>
                <w:noProof/>
                <w:sz w:val="20"/>
                <w:szCs w:val="20"/>
              </w:rPr>
            </w:pPr>
            <w:r w:rsidRPr="002A431E">
              <w:rPr>
                <w:rFonts w:cs="Arial"/>
                <w:noProof/>
                <w:sz w:val="20"/>
                <w:szCs w:val="20"/>
              </w:rPr>
              <w:t>Common</w:t>
            </w:r>
          </w:p>
          <w:p w14:paraId="72E72569" w14:textId="77777777" w:rsidR="005F7D60" w:rsidRPr="002A431E" w:rsidRDefault="005F7D60" w:rsidP="00466762">
            <w:pPr>
              <w:spacing w:before="0" w:after="0"/>
              <w:rPr>
                <w:rFonts w:cs="Arial"/>
                <w:noProof/>
                <w:sz w:val="20"/>
                <w:szCs w:val="20"/>
              </w:rPr>
            </w:pPr>
          </w:p>
        </w:tc>
        <w:tc>
          <w:tcPr>
            <w:tcW w:w="1874" w:type="pct"/>
            <w:shd w:val="clear" w:color="auto" w:fill="auto"/>
          </w:tcPr>
          <w:p w14:paraId="28931991" w14:textId="77777777" w:rsidR="005F7D60" w:rsidRPr="002A431E" w:rsidRDefault="005F7D60" w:rsidP="00466762">
            <w:pPr>
              <w:spacing w:before="0" w:after="0"/>
              <w:rPr>
                <w:rFonts w:cs="Arial"/>
                <w:noProof/>
                <w:sz w:val="20"/>
                <w:szCs w:val="20"/>
              </w:rPr>
            </w:pPr>
            <w:r w:rsidRPr="002A431E">
              <w:rPr>
                <w:rFonts w:cs="Arial"/>
                <w:noProof/>
                <w:sz w:val="20"/>
                <w:szCs w:val="20"/>
              </w:rPr>
              <w:t>Sunburn</w:t>
            </w:r>
          </w:p>
          <w:p w14:paraId="2E48A339" w14:textId="77777777" w:rsidR="005F7D60" w:rsidRPr="002A431E" w:rsidRDefault="005F7D60" w:rsidP="00466762">
            <w:pPr>
              <w:spacing w:before="0" w:after="0"/>
              <w:rPr>
                <w:rFonts w:cs="Arial"/>
                <w:noProof/>
                <w:sz w:val="20"/>
                <w:szCs w:val="20"/>
              </w:rPr>
            </w:pPr>
          </w:p>
        </w:tc>
      </w:tr>
      <w:tr w:rsidR="005F7D60" w:rsidRPr="002B46A2" w14:paraId="452D596C" w14:textId="77777777" w:rsidTr="007E3F36">
        <w:trPr>
          <w:jc w:val="center"/>
        </w:trPr>
        <w:tc>
          <w:tcPr>
            <w:tcW w:w="2422" w:type="pct"/>
            <w:vMerge w:val="restart"/>
            <w:shd w:val="clear" w:color="auto" w:fill="auto"/>
          </w:tcPr>
          <w:p w14:paraId="30695AB3" w14:textId="77777777" w:rsidR="005F7D60" w:rsidRPr="002A431E" w:rsidRDefault="005F7D60" w:rsidP="00466762">
            <w:pPr>
              <w:spacing w:before="0" w:after="0"/>
              <w:rPr>
                <w:rFonts w:cs="Arial"/>
                <w:noProof/>
                <w:sz w:val="20"/>
                <w:szCs w:val="20"/>
              </w:rPr>
            </w:pPr>
            <w:r w:rsidRPr="002A431E">
              <w:rPr>
                <w:rFonts w:cs="Arial"/>
                <w:noProof/>
                <w:sz w:val="20"/>
                <w:szCs w:val="20"/>
              </w:rPr>
              <w:t>Skin and subcutaneous tissue disorders</w:t>
            </w:r>
          </w:p>
        </w:tc>
        <w:tc>
          <w:tcPr>
            <w:tcW w:w="704" w:type="pct"/>
            <w:shd w:val="clear" w:color="auto" w:fill="auto"/>
          </w:tcPr>
          <w:p w14:paraId="54C95A25" w14:textId="77777777" w:rsidR="005F7D60" w:rsidRPr="002A431E" w:rsidRDefault="005F7D60" w:rsidP="00466762">
            <w:pPr>
              <w:spacing w:before="0" w:after="0"/>
              <w:rPr>
                <w:rFonts w:cs="Arial"/>
                <w:noProof/>
                <w:sz w:val="20"/>
                <w:szCs w:val="20"/>
              </w:rPr>
            </w:pPr>
            <w:r w:rsidRPr="002A431E">
              <w:rPr>
                <w:rFonts w:cs="Arial"/>
                <w:noProof/>
                <w:sz w:val="20"/>
                <w:szCs w:val="20"/>
              </w:rPr>
              <w:t>Uncommon</w:t>
            </w:r>
          </w:p>
        </w:tc>
        <w:tc>
          <w:tcPr>
            <w:tcW w:w="1874" w:type="pct"/>
            <w:shd w:val="clear" w:color="auto" w:fill="auto"/>
          </w:tcPr>
          <w:p w14:paraId="4B942478" w14:textId="77777777" w:rsidR="005F7D60" w:rsidRPr="002A431E" w:rsidRDefault="005F7D60" w:rsidP="00466762">
            <w:pPr>
              <w:spacing w:before="0" w:after="0"/>
              <w:rPr>
                <w:rFonts w:cs="Arial"/>
                <w:noProof/>
                <w:sz w:val="20"/>
                <w:szCs w:val="20"/>
                <w:lang w:val="fr-FR"/>
              </w:rPr>
            </w:pPr>
            <w:r w:rsidRPr="002A431E">
              <w:rPr>
                <w:rFonts w:cs="Arial"/>
                <w:noProof/>
                <w:sz w:val="20"/>
                <w:szCs w:val="20"/>
                <w:lang w:val="fr-FR"/>
              </w:rPr>
              <w:t>Skin irritation</w:t>
            </w:r>
          </w:p>
          <w:p w14:paraId="0D47E012" w14:textId="77777777" w:rsidR="005F7D60" w:rsidRPr="002A431E" w:rsidRDefault="005F7D60" w:rsidP="00466762">
            <w:pPr>
              <w:spacing w:before="0" w:after="0"/>
              <w:rPr>
                <w:rFonts w:cs="Arial"/>
                <w:noProof/>
                <w:sz w:val="20"/>
                <w:szCs w:val="20"/>
                <w:lang w:val="fr-FR"/>
              </w:rPr>
            </w:pPr>
            <w:r w:rsidRPr="002A431E">
              <w:rPr>
                <w:rFonts w:cs="Arial"/>
                <w:noProof/>
                <w:sz w:val="20"/>
                <w:szCs w:val="20"/>
                <w:lang w:val="fr-FR"/>
              </w:rPr>
              <w:t>Acne</w:t>
            </w:r>
          </w:p>
          <w:p w14:paraId="196BC92A" w14:textId="77777777" w:rsidR="005F7D60" w:rsidRPr="002A431E" w:rsidRDefault="005F7D60" w:rsidP="00466762">
            <w:pPr>
              <w:spacing w:before="0" w:after="0"/>
              <w:rPr>
                <w:rFonts w:cs="Arial"/>
                <w:noProof/>
                <w:sz w:val="20"/>
                <w:szCs w:val="20"/>
                <w:lang w:val="fr-FR"/>
              </w:rPr>
            </w:pPr>
            <w:r w:rsidRPr="002A431E">
              <w:rPr>
                <w:rFonts w:cs="Arial"/>
                <w:noProof/>
                <w:sz w:val="20"/>
                <w:szCs w:val="20"/>
                <w:lang w:val="fr-FR"/>
              </w:rPr>
              <w:t>Dermatitis allergic</w:t>
            </w:r>
          </w:p>
          <w:p w14:paraId="571113B1" w14:textId="77777777" w:rsidR="005F7D60" w:rsidRPr="002A431E" w:rsidRDefault="005F7D60" w:rsidP="00466762">
            <w:pPr>
              <w:spacing w:before="0" w:after="0"/>
              <w:rPr>
                <w:rFonts w:cs="Arial"/>
                <w:noProof/>
                <w:sz w:val="20"/>
                <w:szCs w:val="20"/>
                <w:lang w:val="sv-SE"/>
              </w:rPr>
            </w:pPr>
            <w:r w:rsidRPr="002A431E">
              <w:rPr>
                <w:rFonts w:cs="Arial"/>
                <w:noProof/>
                <w:sz w:val="20"/>
                <w:szCs w:val="20"/>
                <w:lang w:val="fr-FR"/>
              </w:rPr>
              <w:t>Erythema</w:t>
            </w:r>
          </w:p>
        </w:tc>
      </w:tr>
      <w:tr w:rsidR="005F7D60" w:rsidRPr="002A431E" w14:paraId="42A10303" w14:textId="77777777" w:rsidTr="007E3F36">
        <w:trPr>
          <w:jc w:val="center"/>
        </w:trPr>
        <w:tc>
          <w:tcPr>
            <w:tcW w:w="2422" w:type="pct"/>
            <w:vMerge/>
            <w:shd w:val="clear" w:color="auto" w:fill="auto"/>
          </w:tcPr>
          <w:p w14:paraId="77CC6231" w14:textId="77777777" w:rsidR="005F7D60" w:rsidRPr="002A431E" w:rsidRDefault="005F7D60" w:rsidP="00466762">
            <w:pPr>
              <w:spacing w:before="0" w:after="0"/>
              <w:rPr>
                <w:rFonts w:cs="Arial"/>
                <w:noProof/>
                <w:sz w:val="20"/>
                <w:szCs w:val="20"/>
                <w:lang w:val="sv-SE"/>
              </w:rPr>
            </w:pPr>
          </w:p>
        </w:tc>
        <w:tc>
          <w:tcPr>
            <w:tcW w:w="704" w:type="pct"/>
            <w:shd w:val="clear" w:color="auto" w:fill="auto"/>
          </w:tcPr>
          <w:p w14:paraId="76DFE975" w14:textId="77777777" w:rsidR="005F7D60" w:rsidRPr="002A431E" w:rsidRDefault="005F7D60" w:rsidP="00466762">
            <w:pPr>
              <w:spacing w:before="0" w:after="0"/>
              <w:rPr>
                <w:rFonts w:cs="Arial"/>
                <w:noProof/>
                <w:sz w:val="20"/>
                <w:szCs w:val="20"/>
              </w:rPr>
            </w:pPr>
            <w:r w:rsidRPr="002A431E">
              <w:rPr>
                <w:rFonts w:cs="Arial"/>
                <w:noProof/>
                <w:sz w:val="20"/>
                <w:szCs w:val="20"/>
              </w:rPr>
              <w:t>Rare</w:t>
            </w:r>
          </w:p>
        </w:tc>
        <w:tc>
          <w:tcPr>
            <w:tcW w:w="1874" w:type="pct"/>
            <w:shd w:val="clear" w:color="auto" w:fill="auto"/>
          </w:tcPr>
          <w:p w14:paraId="070C30DB" w14:textId="77777777" w:rsidR="005F7D60" w:rsidRPr="002A431E" w:rsidRDefault="005F7D60" w:rsidP="00466762">
            <w:pPr>
              <w:spacing w:before="0" w:after="0"/>
              <w:rPr>
                <w:rFonts w:cs="Arial"/>
                <w:noProof/>
                <w:sz w:val="20"/>
                <w:szCs w:val="20"/>
              </w:rPr>
            </w:pPr>
            <w:r w:rsidRPr="002A431E">
              <w:rPr>
                <w:rFonts w:cs="Arial"/>
                <w:noProof/>
                <w:sz w:val="20"/>
                <w:szCs w:val="20"/>
              </w:rPr>
              <w:t>Eczema asteatotic</w:t>
            </w:r>
          </w:p>
          <w:p w14:paraId="79BB0511" w14:textId="77777777" w:rsidR="005F7D60" w:rsidRPr="002A431E" w:rsidRDefault="005F7D60" w:rsidP="00466762">
            <w:pPr>
              <w:spacing w:before="0" w:after="0"/>
              <w:rPr>
                <w:rFonts w:cs="Arial"/>
                <w:noProof/>
                <w:sz w:val="20"/>
                <w:szCs w:val="20"/>
              </w:rPr>
            </w:pPr>
            <w:r w:rsidRPr="002A431E">
              <w:rPr>
                <w:rFonts w:cs="Arial"/>
                <w:noProof/>
                <w:sz w:val="20"/>
                <w:szCs w:val="20"/>
              </w:rPr>
              <w:t>Seborrheic dermatitis</w:t>
            </w:r>
          </w:p>
          <w:p w14:paraId="16BE5045" w14:textId="77777777" w:rsidR="005F7D60" w:rsidRPr="002A431E" w:rsidRDefault="005F7D60" w:rsidP="00466762">
            <w:pPr>
              <w:spacing w:before="0" w:after="0"/>
              <w:rPr>
                <w:rFonts w:cs="Arial"/>
                <w:noProof/>
                <w:sz w:val="20"/>
                <w:szCs w:val="20"/>
              </w:rPr>
            </w:pPr>
            <w:r w:rsidRPr="002A431E">
              <w:rPr>
                <w:rFonts w:cs="Arial"/>
                <w:noProof/>
                <w:sz w:val="20"/>
                <w:szCs w:val="20"/>
              </w:rPr>
              <w:t>Skin burning sensation</w:t>
            </w:r>
          </w:p>
          <w:p w14:paraId="1E1A1A8B" w14:textId="77777777" w:rsidR="005F7D60" w:rsidRPr="002A431E" w:rsidRDefault="005F7D60" w:rsidP="00466762">
            <w:pPr>
              <w:spacing w:before="0" w:after="0"/>
              <w:rPr>
                <w:rFonts w:cs="Arial"/>
                <w:noProof/>
                <w:sz w:val="20"/>
                <w:szCs w:val="20"/>
              </w:rPr>
            </w:pPr>
            <w:r w:rsidRPr="002A431E">
              <w:rPr>
                <w:rFonts w:cs="Arial"/>
                <w:noProof/>
                <w:sz w:val="20"/>
                <w:szCs w:val="20"/>
              </w:rPr>
              <w:t>Skin fissures</w:t>
            </w:r>
          </w:p>
          <w:p w14:paraId="6A79182A" w14:textId="77777777" w:rsidR="005F7D60" w:rsidRPr="002A431E" w:rsidRDefault="005F7D60" w:rsidP="00466762">
            <w:pPr>
              <w:spacing w:before="0" w:after="0"/>
              <w:rPr>
                <w:rFonts w:cs="Arial"/>
                <w:noProof/>
                <w:sz w:val="20"/>
                <w:szCs w:val="20"/>
                <w:lang w:val="fr-FR"/>
              </w:rPr>
            </w:pPr>
            <w:r w:rsidRPr="002A431E">
              <w:rPr>
                <w:rFonts w:cs="Arial"/>
                <w:noProof/>
                <w:sz w:val="20"/>
                <w:szCs w:val="20"/>
              </w:rPr>
              <w:t>Skin hyperpigmentation</w:t>
            </w:r>
          </w:p>
        </w:tc>
      </w:tr>
      <w:tr w:rsidR="005F7D60" w:rsidRPr="002A431E" w14:paraId="68C53FCE" w14:textId="77777777" w:rsidTr="007E3F36">
        <w:trPr>
          <w:trHeight w:val="64"/>
          <w:jc w:val="center"/>
        </w:trPr>
        <w:tc>
          <w:tcPr>
            <w:tcW w:w="2422" w:type="pct"/>
            <w:shd w:val="clear" w:color="auto" w:fill="auto"/>
          </w:tcPr>
          <w:p w14:paraId="35FD5851" w14:textId="77777777" w:rsidR="005F7D60" w:rsidRPr="002A431E" w:rsidRDefault="005F7D60" w:rsidP="00466762">
            <w:pPr>
              <w:spacing w:before="0" w:after="0"/>
              <w:rPr>
                <w:rFonts w:cs="Arial"/>
                <w:noProof/>
                <w:sz w:val="20"/>
                <w:szCs w:val="20"/>
              </w:rPr>
            </w:pPr>
            <w:r w:rsidRPr="002A431E">
              <w:rPr>
                <w:rFonts w:cs="Arial"/>
                <w:noProof/>
                <w:sz w:val="20"/>
                <w:szCs w:val="20"/>
              </w:rPr>
              <w:t>Eye disorders</w:t>
            </w:r>
          </w:p>
        </w:tc>
        <w:tc>
          <w:tcPr>
            <w:tcW w:w="704" w:type="pct"/>
            <w:shd w:val="clear" w:color="auto" w:fill="auto"/>
          </w:tcPr>
          <w:p w14:paraId="5331E72D" w14:textId="77777777" w:rsidR="005F7D60" w:rsidRPr="002A431E" w:rsidRDefault="005F7D60" w:rsidP="00466762">
            <w:pPr>
              <w:spacing w:before="0" w:after="0"/>
              <w:rPr>
                <w:rFonts w:cs="Arial"/>
                <w:noProof/>
                <w:sz w:val="20"/>
                <w:szCs w:val="20"/>
              </w:rPr>
            </w:pPr>
            <w:r w:rsidRPr="002A431E">
              <w:rPr>
                <w:rFonts w:cs="Arial"/>
                <w:noProof/>
                <w:sz w:val="20"/>
                <w:szCs w:val="20"/>
              </w:rPr>
              <w:t>Rare</w:t>
            </w:r>
          </w:p>
        </w:tc>
        <w:tc>
          <w:tcPr>
            <w:tcW w:w="1874" w:type="pct"/>
            <w:shd w:val="clear" w:color="auto" w:fill="auto"/>
          </w:tcPr>
          <w:p w14:paraId="3C7E9BB0" w14:textId="77777777" w:rsidR="005F7D60" w:rsidRPr="002A431E" w:rsidRDefault="005F7D60" w:rsidP="00466762">
            <w:pPr>
              <w:spacing w:before="0" w:after="0"/>
              <w:rPr>
                <w:rFonts w:cs="Arial"/>
                <w:noProof/>
                <w:sz w:val="20"/>
                <w:szCs w:val="20"/>
              </w:rPr>
            </w:pPr>
            <w:r w:rsidRPr="002A431E">
              <w:rPr>
                <w:rFonts w:cs="Arial"/>
                <w:noProof/>
                <w:sz w:val="20"/>
                <w:szCs w:val="20"/>
              </w:rPr>
              <w:t>Eyelid exfolliation</w:t>
            </w:r>
          </w:p>
          <w:p w14:paraId="60278FD1" w14:textId="77777777" w:rsidR="005F7D60" w:rsidRPr="002A431E" w:rsidRDefault="005F7D60" w:rsidP="00466762">
            <w:pPr>
              <w:spacing w:before="0" w:after="0"/>
              <w:rPr>
                <w:rFonts w:cs="Arial"/>
                <w:noProof/>
                <w:sz w:val="20"/>
                <w:szCs w:val="20"/>
              </w:rPr>
            </w:pPr>
            <w:r w:rsidRPr="002A431E">
              <w:rPr>
                <w:rFonts w:cs="Arial"/>
                <w:noProof/>
                <w:sz w:val="20"/>
                <w:szCs w:val="20"/>
              </w:rPr>
              <w:t>Eyelid oedema</w:t>
            </w:r>
          </w:p>
        </w:tc>
      </w:tr>
      <w:tr w:rsidR="005F7D60" w:rsidRPr="002A431E" w14:paraId="7E3C0A2E" w14:textId="77777777" w:rsidTr="007E3F36">
        <w:trPr>
          <w:trHeight w:val="64"/>
          <w:jc w:val="center"/>
        </w:trPr>
        <w:tc>
          <w:tcPr>
            <w:tcW w:w="2422" w:type="pct"/>
            <w:shd w:val="clear" w:color="auto" w:fill="auto"/>
          </w:tcPr>
          <w:p w14:paraId="722DBDD7" w14:textId="77777777" w:rsidR="005F7D60" w:rsidRPr="002A431E" w:rsidRDefault="005F7D60" w:rsidP="00466762">
            <w:pPr>
              <w:spacing w:before="0" w:after="0"/>
              <w:rPr>
                <w:rFonts w:cs="Arial"/>
                <w:noProof/>
                <w:sz w:val="20"/>
                <w:szCs w:val="20"/>
              </w:rPr>
            </w:pPr>
            <w:r w:rsidRPr="002A431E">
              <w:rPr>
                <w:rFonts w:cs="Arial"/>
                <w:noProof/>
                <w:sz w:val="20"/>
                <w:szCs w:val="20"/>
              </w:rPr>
              <w:t>Gastrointestinal disorders</w:t>
            </w:r>
          </w:p>
        </w:tc>
        <w:tc>
          <w:tcPr>
            <w:tcW w:w="704" w:type="pct"/>
            <w:shd w:val="clear" w:color="auto" w:fill="auto"/>
          </w:tcPr>
          <w:p w14:paraId="5FD8D28C" w14:textId="77777777" w:rsidR="005F7D60" w:rsidRPr="002A431E" w:rsidRDefault="005F7D60" w:rsidP="00466762">
            <w:pPr>
              <w:spacing w:before="0" w:after="0"/>
              <w:rPr>
                <w:rFonts w:cs="Arial"/>
                <w:noProof/>
                <w:sz w:val="20"/>
                <w:szCs w:val="20"/>
              </w:rPr>
            </w:pPr>
            <w:r w:rsidRPr="002A431E">
              <w:rPr>
                <w:rFonts w:cs="Arial"/>
                <w:noProof/>
                <w:sz w:val="20"/>
                <w:szCs w:val="20"/>
              </w:rPr>
              <w:t>Rare</w:t>
            </w:r>
          </w:p>
        </w:tc>
        <w:tc>
          <w:tcPr>
            <w:tcW w:w="1874" w:type="pct"/>
            <w:shd w:val="clear" w:color="auto" w:fill="auto"/>
          </w:tcPr>
          <w:p w14:paraId="1C121F00" w14:textId="77777777" w:rsidR="005F7D60" w:rsidRPr="002A431E" w:rsidRDefault="005F7D60" w:rsidP="00466762">
            <w:pPr>
              <w:spacing w:before="0" w:after="0"/>
              <w:rPr>
                <w:rFonts w:cs="Arial"/>
                <w:noProof/>
                <w:sz w:val="20"/>
                <w:szCs w:val="20"/>
              </w:rPr>
            </w:pPr>
            <w:r w:rsidRPr="002A431E">
              <w:rPr>
                <w:rFonts w:cs="Arial"/>
                <w:noProof/>
                <w:sz w:val="20"/>
                <w:szCs w:val="20"/>
              </w:rPr>
              <w:t>Cheilitis</w:t>
            </w:r>
          </w:p>
        </w:tc>
      </w:tr>
      <w:tr w:rsidR="005F7D60" w:rsidRPr="002A431E" w14:paraId="09374A3D" w14:textId="77777777" w:rsidTr="007E3F36">
        <w:trPr>
          <w:trHeight w:val="64"/>
          <w:jc w:val="center"/>
        </w:trPr>
        <w:tc>
          <w:tcPr>
            <w:tcW w:w="2422" w:type="pct"/>
            <w:shd w:val="clear" w:color="auto" w:fill="auto"/>
          </w:tcPr>
          <w:p w14:paraId="605F75FA" w14:textId="77777777" w:rsidR="005F7D60" w:rsidRPr="002A431E" w:rsidRDefault="005F7D60" w:rsidP="00466762">
            <w:pPr>
              <w:spacing w:before="0" w:after="0"/>
              <w:rPr>
                <w:rFonts w:cs="Arial"/>
                <w:noProof/>
                <w:sz w:val="20"/>
                <w:szCs w:val="20"/>
              </w:rPr>
            </w:pPr>
            <w:r w:rsidRPr="002A431E">
              <w:rPr>
                <w:rFonts w:cs="Arial"/>
                <w:noProof/>
                <w:sz w:val="20"/>
                <w:szCs w:val="20"/>
              </w:rPr>
              <w:t>Vascular disorders</w:t>
            </w:r>
          </w:p>
        </w:tc>
        <w:tc>
          <w:tcPr>
            <w:tcW w:w="704" w:type="pct"/>
            <w:shd w:val="clear" w:color="auto" w:fill="auto"/>
          </w:tcPr>
          <w:p w14:paraId="493DEDFB" w14:textId="77777777" w:rsidR="005F7D60" w:rsidRPr="002A431E" w:rsidRDefault="005F7D60" w:rsidP="00466762">
            <w:pPr>
              <w:spacing w:before="0" w:after="0"/>
              <w:rPr>
                <w:rFonts w:cs="Arial"/>
                <w:noProof/>
                <w:sz w:val="20"/>
                <w:szCs w:val="20"/>
              </w:rPr>
            </w:pPr>
            <w:r w:rsidRPr="002A431E">
              <w:rPr>
                <w:rFonts w:cs="Arial"/>
                <w:noProof/>
                <w:sz w:val="20"/>
                <w:szCs w:val="20"/>
              </w:rPr>
              <w:t>Rare</w:t>
            </w:r>
          </w:p>
        </w:tc>
        <w:tc>
          <w:tcPr>
            <w:tcW w:w="1874" w:type="pct"/>
            <w:shd w:val="clear" w:color="auto" w:fill="auto"/>
          </w:tcPr>
          <w:p w14:paraId="67DFA12E" w14:textId="77777777" w:rsidR="005F7D60" w:rsidRPr="002A431E" w:rsidRDefault="005F7D60" w:rsidP="00466762">
            <w:pPr>
              <w:spacing w:before="0" w:after="0"/>
              <w:rPr>
                <w:rFonts w:cs="Arial"/>
                <w:noProof/>
                <w:sz w:val="20"/>
                <w:szCs w:val="20"/>
              </w:rPr>
            </w:pPr>
            <w:r w:rsidRPr="002A431E">
              <w:rPr>
                <w:rFonts w:cs="Arial"/>
                <w:noProof/>
                <w:sz w:val="20"/>
                <w:szCs w:val="20"/>
              </w:rPr>
              <w:t>Flushing</w:t>
            </w:r>
          </w:p>
        </w:tc>
      </w:tr>
    </w:tbl>
    <w:p w14:paraId="2B49147F" w14:textId="0002C33A" w:rsidR="003B712D" w:rsidRPr="006A02F6" w:rsidRDefault="003B712D" w:rsidP="00466762">
      <w:pPr>
        <w:pStyle w:val="Heading3"/>
        <w:spacing w:after="240"/>
        <w:rPr>
          <w:rFonts w:ascii="Arial" w:hAnsi="Arial" w:cs="Arial"/>
        </w:rPr>
      </w:pPr>
      <w:bookmarkStart w:id="5" w:name="_Hlk509308448"/>
      <w:r w:rsidRPr="006A02F6">
        <w:rPr>
          <w:rFonts w:ascii="Arial" w:hAnsi="Arial" w:cs="Arial"/>
        </w:rPr>
        <w:t>Reporting suspected adverse effects</w:t>
      </w:r>
    </w:p>
    <w:bookmarkEnd w:id="5"/>
    <w:p w14:paraId="555AAB0D" w14:textId="27338E79" w:rsidR="00AA0EFB" w:rsidRPr="006A02F6" w:rsidRDefault="00AA0EFB" w:rsidP="00466762">
      <w:pPr>
        <w:rPr>
          <w:rFonts w:cs="Arial"/>
        </w:rPr>
      </w:pPr>
      <w:r w:rsidRPr="006A02F6">
        <w:rPr>
          <w:rFonts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w:t>
      </w:r>
      <w:r w:rsidR="000F0ECA" w:rsidRPr="006A02F6">
        <w:rPr>
          <w:rFonts w:cs="Arial"/>
        </w:rPr>
        <w:t xml:space="preserve">at </w:t>
      </w:r>
      <w:hyperlink r:id="rId9" w:history="1">
        <w:r w:rsidR="000F0ECA" w:rsidRPr="00D93F01">
          <w:rPr>
            <w:rStyle w:val="Hyperlink"/>
            <w:rFonts w:cs="Arial"/>
          </w:rPr>
          <w:t>www.tga.gov.au/reporting-problems</w:t>
        </w:r>
      </w:hyperlink>
      <w:r w:rsidR="000F0ECA" w:rsidRPr="000F0ECA">
        <w:rPr>
          <w:rStyle w:val="Hyperlink"/>
          <w:rFonts w:cs="Arial"/>
          <w:u w:val="none"/>
        </w:rPr>
        <w:t xml:space="preserve"> </w:t>
      </w:r>
      <w:r w:rsidR="004F3F8A" w:rsidRPr="00321C75">
        <w:t xml:space="preserve">via </w:t>
      </w:r>
      <w:r w:rsidR="004F3F8A" w:rsidRPr="000132B5">
        <w:t>the national reporting system listed in Appendix V</w:t>
      </w:r>
      <w:r w:rsidR="004F3F8A" w:rsidRPr="00321C75">
        <w:t>.</w:t>
      </w:r>
    </w:p>
    <w:p w14:paraId="5B2499E2" w14:textId="77777777" w:rsidR="001A3992" w:rsidRPr="006A02F6" w:rsidRDefault="001A3992" w:rsidP="00466762">
      <w:pPr>
        <w:pStyle w:val="Heading2"/>
      </w:pPr>
      <w:r w:rsidRPr="006A02F6">
        <w:t>Overdose</w:t>
      </w:r>
    </w:p>
    <w:p w14:paraId="0ABA3C42" w14:textId="0A6A8110" w:rsidR="004F3F8A" w:rsidRPr="00321C75" w:rsidRDefault="004F3F8A" w:rsidP="00466762">
      <w:pPr>
        <w:rPr>
          <w:noProof/>
        </w:rPr>
      </w:pPr>
      <w:r w:rsidRPr="00321C75">
        <w:rPr>
          <w:noProof/>
        </w:rPr>
        <w:t xml:space="preserve">Aklief is for once-daily </w:t>
      </w:r>
      <w:r w:rsidR="00672A63">
        <w:rPr>
          <w:noProof/>
        </w:rPr>
        <w:t>topical</w:t>
      </w:r>
      <w:r w:rsidRPr="00321C75">
        <w:rPr>
          <w:noProof/>
        </w:rPr>
        <w:t xml:space="preserve"> use only. </w:t>
      </w:r>
    </w:p>
    <w:p w14:paraId="7D7E3113" w14:textId="77777777" w:rsidR="004F3F8A" w:rsidRPr="00321C75" w:rsidRDefault="004F3F8A" w:rsidP="00466762">
      <w:pPr>
        <w:rPr>
          <w:noProof/>
        </w:rPr>
      </w:pPr>
      <w:r w:rsidRPr="00321C75">
        <w:rPr>
          <w:noProof/>
        </w:rPr>
        <w:t>If the medication is applied excessively, no more rapid or better results will be obtained and marked redness, scaling, or skin discomfort may occur. In this event, discontinue use and wait until the skin has recovered.</w:t>
      </w:r>
    </w:p>
    <w:p w14:paraId="053310B3" w14:textId="090E2538" w:rsidR="00F26307" w:rsidRPr="006A02F6" w:rsidRDefault="004F3F8A" w:rsidP="00466762">
      <w:pPr>
        <w:rPr>
          <w:rFonts w:cs="Arial"/>
        </w:rPr>
      </w:pPr>
      <w:r w:rsidRPr="00321C75">
        <w:rPr>
          <w:noProof/>
        </w:rPr>
        <w:t>In case of accidental ingestion, appropriate symptomatic measures should be taken. Chronic ingestion of the drug may lead to the same side effects as those associated with excessive oral intake of vitamin A.</w:t>
      </w:r>
    </w:p>
    <w:p w14:paraId="73E14BED" w14:textId="4F2503CF" w:rsidR="0079703B" w:rsidRDefault="0079703B" w:rsidP="00466762">
      <w:pPr>
        <w:rPr>
          <w:rFonts w:cs="Arial"/>
        </w:rPr>
      </w:pPr>
      <w:r w:rsidRPr="006A02F6">
        <w:rPr>
          <w:rFonts w:cs="Arial"/>
        </w:rPr>
        <w:t>For information on the management of overdose, contact the Poison</w:t>
      </w:r>
      <w:r w:rsidR="00B8510A">
        <w:rPr>
          <w:rFonts w:cs="Arial"/>
        </w:rPr>
        <w:t>s</w:t>
      </w:r>
      <w:r w:rsidRPr="006A02F6">
        <w:rPr>
          <w:rFonts w:cs="Arial"/>
        </w:rPr>
        <w:t xml:space="preserve"> Information Centre on 131126 (Australia).</w:t>
      </w:r>
    </w:p>
    <w:p w14:paraId="26305FF9" w14:textId="77777777" w:rsidR="001A3992" w:rsidRPr="006A02F6" w:rsidRDefault="001A3992" w:rsidP="00466762">
      <w:pPr>
        <w:pStyle w:val="Heading1"/>
        <w:rPr>
          <w:lang w:val="en-US"/>
        </w:rPr>
      </w:pPr>
      <w:r w:rsidRPr="006A02F6">
        <w:rPr>
          <w:lang w:val="en-US"/>
        </w:rPr>
        <w:t>Pharmacological properties</w:t>
      </w:r>
    </w:p>
    <w:p w14:paraId="28DEAA60" w14:textId="3B18E690" w:rsidR="001A3992" w:rsidRDefault="001A3992" w:rsidP="00466762">
      <w:pPr>
        <w:pStyle w:val="Heading2"/>
        <w:rPr>
          <w:lang w:val="en-US"/>
        </w:rPr>
      </w:pPr>
      <w:r w:rsidRPr="006A02F6">
        <w:rPr>
          <w:lang w:val="en-US"/>
        </w:rPr>
        <w:t xml:space="preserve">Pharmacodynamic properties </w:t>
      </w:r>
    </w:p>
    <w:p w14:paraId="4551FA34" w14:textId="74F87933" w:rsidR="00DE3C2E" w:rsidRPr="00995FC1" w:rsidRDefault="00DE3C2E" w:rsidP="00466762">
      <w:pPr>
        <w:rPr>
          <w:rFonts w:cs="Arial"/>
          <w:lang w:val="en-US"/>
        </w:rPr>
      </w:pPr>
      <w:r w:rsidRPr="00995FC1">
        <w:rPr>
          <w:rFonts w:cs="Arial"/>
          <w:b/>
        </w:rPr>
        <w:t xml:space="preserve">Pharmacotherapeutic group: </w:t>
      </w:r>
      <w:r w:rsidRPr="00995FC1">
        <w:rPr>
          <w:rFonts w:cs="Arial"/>
          <w:snapToGrid w:val="0"/>
        </w:rPr>
        <w:t>Retinoids for topical use in acne</w:t>
      </w:r>
      <w:r w:rsidRPr="00995FC1">
        <w:rPr>
          <w:rFonts w:cs="Arial"/>
        </w:rPr>
        <w:t>, ATC code: D10AD06</w:t>
      </w:r>
    </w:p>
    <w:p w14:paraId="013AF354" w14:textId="77777777" w:rsidR="001A3992" w:rsidRPr="00995FC1" w:rsidRDefault="001A3992" w:rsidP="00466762">
      <w:pPr>
        <w:pStyle w:val="Heading3"/>
        <w:spacing w:after="240"/>
        <w:rPr>
          <w:rFonts w:ascii="Arial" w:hAnsi="Arial" w:cs="Arial"/>
        </w:rPr>
      </w:pPr>
      <w:r w:rsidRPr="00995FC1">
        <w:rPr>
          <w:rFonts w:ascii="Arial" w:hAnsi="Arial" w:cs="Arial"/>
        </w:rPr>
        <w:t>Mechanism of action</w:t>
      </w:r>
    </w:p>
    <w:p w14:paraId="4C584A46" w14:textId="5BFEFE4C" w:rsidR="00DE3C2E" w:rsidRPr="00995FC1" w:rsidRDefault="00DE3C2E" w:rsidP="00466762">
      <w:pPr>
        <w:rPr>
          <w:rFonts w:cs="Arial"/>
          <w:noProof/>
        </w:rPr>
      </w:pPr>
      <w:r w:rsidRPr="00995FC1">
        <w:rPr>
          <w:rFonts w:cs="Arial"/>
          <w:noProof/>
        </w:rPr>
        <w:t>Aklief cream contains 50 micrograms (mcg/g) (w/w) trifarotene, which is a chemically stable, terphenyl acid derivative with retinoid</w:t>
      </w:r>
      <w:r w:rsidRPr="00995FC1">
        <w:rPr>
          <w:rFonts w:cs="Arial"/>
          <w:noProof/>
        </w:rPr>
        <w:noBreakHyphen/>
        <w:t xml:space="preserve">like activity. It is a </w:t>
      </w:r>
      <w:r w:rsidR="00F65B1F">
        <w:rPr>
          <w:rFonts w:cs="Arial"/>
          <w:noProof/>
        </w:rPr>
        <w:t xml:space="preserve">relatively </w:t>
      </w:r>
      <w:r w:rsidRPr="00995FC1">
        <w:rPr>
          <w:rFonts w:cs="Arial"/>
          <w:noProof/>
        </w:rPr>
        <w:t>potent RAR</w:t>
      </w:r>
      <w:r w:rsidR="00C12EA7">
        <w:rPr>
          <w:rFonts w:eastAsia="TimesNewRoman" w:cs="Arial"/>
          <w:lang w:val="fr-FR" w:eastAsia="fr-FR"/>
        </w:rPr>
        <w:t>γ</w:t>
      </w:r>
      <w:r w:rsidR="00F65B1F" w:rsidRPr="00F65B1F">
        <w:rPr>
          <w:rFonts w:eastAsia="TimesNewRoman" w:cs="Arial"/>
          <w:lang w:val="en-US" w:eastAsia="fr-FR"/>
        </w:rPr>
        <w:t xml:space="preserve"> </w:t>
      </w:r>
      <w:r w:rsidRPr="00995FC1">
        <w:rPr>
          <w:rFonts w:cs="Arial"/>
          <w:noProof/>
        </w:rPr>
        <w:t xml:space="preserve">agonist (retinoid acid receptor </w:t>
      </w:r>
      <w:r w:rsidR="00C12EA7">
        <w:rPr>
          <w:rFonts w:cs="Arial"/>
          <w:noProof/>
        </w:rPr>
        <w:t>γ</w:t>
      </w:r>
      <w:r w:rsidR="00F65B1F">
        <w:rPr>
          <w:rFonts w:cs="Arial"/>
          <w:noProof/>
        </w:rPr>
        <w:t xml:space="preserve"> </w:t>
      </w:r>
      <w:r w:rsidRPr="00995FC1">
        <w:rPr>
          <w:rFonts w:cs="Arial"/>
          <w:noProof/>
        </w:rPr>
        <w:t>agonist), characteri</w:t>
      </w:r>
      <w:r w:rsidR="008605FB">
        <w:rPr>
          <w:rFonts w:cs="Arial"/>
          <w:noProof/>
        </w:rPr>
        <w:t>s</w:t>
      </w:r>
      <w:r w:rsidRPr="00995FC1">
        <w:rPr>
          <w:rFonts w:cs="Arial"/>
          <w:noProof/>
        </w:rPr>
        <w:t>ed by its high specificity to this receptor over RAR</w:t>
      </w:r>
      <w:r w:rsidR="00C12EA7">
        <w:rPr>
          <w:rFonts w:cs="Arial"/>
          <w:noProof/>
        </w:rPr>
        <w:t>α</w:t>
      </w:r>
      <w:r w:rsidRPr="00995FC1">
        <w:rPr>
          <w:rFonts w:cs="Arial"/>
          <w:noProof/>
        </w:rPr>
        <w:t xml:space="preserve"> &amp; RAR</w:t>
      </w:r>
      <w:r w:rsidR="00C12EA7">
        <w:rPr>
          <w:rFonts w:cs="Arial"/>
          <w:noProof/>
        </w:rPr>
        <w:t>β</w:t>
      </w:r>
      <w:r w:rsidRPr="00995FC1">
        <w:rPr>
          <w:rFonts w:cs="Arial"/>
          <w:noProof/>
        </w:rPr>
        <w:t xml:space="preserve"> (</w:t>
      </w:r>
      <w:r w:rsidR="00D059B6">
        <w:rPr>
          <w:rFonts w:cs="Arial"/>
          <w:noProof/>
        </w:rPr>
        <w:t>65</w:t>
      </w:r>
      <w:r w:rsidRPr="00995FC1">
        <w:rPr>
          <w:rFonts w:cs="Arial"/>
          <w:noProof/>
        </w:rPr>
        <w:t xml:space="preserve">- and </w:t>
      </w:r>
      <w:r w:rsidR="00D059B6">
        <w:rPr>
          <w:rFonts w:cs="Arial"/>
          <w:noProof/>
        </w:rPr>
        <w:t>16</w:t>
      </w:r>
      <w:r w:rsidRPr="00995FC1">
        <w:rPr>
          <w:rFonts w:cs="Arial"/>
          <w:noProof/>
        </w:rPr>
        <w:t xml:space="preserve">-fold, respectively, with no Retinoid X Receptor (RXR) activity). </w:t>
      </w:r>
    </w:p>
    <w:p w14:paraId="72264EC6" w14:textId="15893B71" w:rsidR="00DE3C2E" w:rsidRPr="00995FC1" w:rsidRDefault="00DE3C2E" w:rsidP="00466762">
      <w:pPr>
        <w:rPr>
          <w:rFonts w:cs="Arial"/>
          <w:noProof/>
        </w:rPr>
      </w:pPr>
      <w:r w:rsidRPr="00995FC1">
        <w:rPr>
          <w:rFonts w:cs="Arial"/>
          <w:noProof/>
        </w:rPr>
        <w:t xml:space="preserve">In addition, trifarotene modulates retinoid target genes (differentiation and inflammatory processes) in </w:t>
      </w:r>
      <w:r w:rsidR="008605FB">
        <w:rPr>
          <w:rFonts w:cs="Arial"/>
          <w:noProof/>
        </w:rPr>
        <w:t xml:space="preserve">human </w:t>
      </w:r>
      <w:r w:rsidRPr="00995FC1">
        <w:rPr>
          <w:rFonts w:cs="Arial"/>
          <w:noProof/>
        </w:rPr>
        <w:t>immortali</w:t>
      </w:r>
      <w:r w:rsidR="008605FB">
        <w:rPr>
          <w:rFonts w:cs="Arial"/>
          <w:noProof/>
        </w:rPr>
        <w:t>s</w:t>
      </w:r>
      <w:r w:rsidRPr="00995FC1">
        <w:rPr>
          <w:rFonts w:cs="Arial"/>
          <w:noProof/>
        </w:rPr>
        <w:t xml:space="preserve">ed keratinocytes and </w:t>
      </w:r>
      <w:r w:rsidR="008605FB">
        <w:rPr>
          <w:rFonts w:cs="Arial"/>
          <w:noProof/>
        </w:rPr>
        <w:t xml:space="preserve">human </w:t>
      </w:r>
      <w:r w:rsidRPr="00995FC1">
        <w:rPr>
          <w:rFonts w:cs="Arial"/>
          <w:noProof/>
        </w:rPr>
        <w:t>reconstructed epidermis.</w:t>
      </w:r>
    </w:p>
    <w:p w14:paraId="6442F808" w14:textId="77777777" w:rsidR="00DE3C2E" w:rsidRPr="00995FC1" w:rsidRDefault="00DE3C2E" w:rsidP="00466762">
      <w:pPr>
        <w:autoSpaceDE w:val="0"/>
        <w:autoSpaceDN w:val="0"/>
        <w:adjustRightInd w:val="0"/>
        <w:rPr>
          <w:rFonts w:cs="Arial"/>
          <w:u w:val="single"/>
        </w:rPr>
      </w:pPr>
      <w:r w:rsidRPr="00995FC1">
        <w:rPr>
          <w:rFonts w:cs="Arial"/>
          <w:u w:val="single"/>
        </w:rPr>
        <w:t>Pharmacodynamic effects</w:t>
      </w:r>
    </w:p>
    <w:p w14:paraId="392E08BD" w14:textId="4CBA1F03" w:rsidR="00DE3C2E" w:rsidRPr="00995FC1" w:rsidRDefault="00DE3C2E" w:rsidP="00466762">
      <w:pPr>
        <w:rPr>
          <w:rFonts w:cs="Arial"/>
          <w:noProof/>
        </w:rPr>
      </w:pPr>
      <w:r w:rsidRPr="00995FC1">
        <w:rPr>
          <w:rFonts w:cs="Arial"/>
          <w:noProof/>
        </w:rPr>
        <w:t>Trifarotene has demonstrated, in the Rhino-mouse model, marked comedolytic activity with the reduction in the comedone count and  marked increased epidermis t</w:t>
      </w:r>
      <w:r w:rsidR="008605FB">
        <w:rPr>
          <w:rFonts w:cs="Arial"/>
          <w:noProof/>
        </w:rPr>
        <w:t>h</w:t>
      </w:r>
      <w:r w:rsidRPr="00995FC1">
        <w:rPr>
          <w:rFonts w:cs="Arial"/>
          <w:noProof/>
        </w:rPr>
        <w:t>ickness. In this model, trifarotene produced the same comedolytic effect as other known retinoids.</w:t>
      </w:r>
    </w:p>
    <w:p w14:paraId="180EA123" w14:textId="6B95A79B" w:rsidR="00FF764B" w:rsidRPr="00995FC1" w:rsidRDefault="00DE3C2E" w:rsidP="00466762">
      <w:pPr>
        <w:rPr>
          <w:rFonts w:cs="Arial"/>
        </w:rPr>
      </w:pPr>
      <w:r w:rsidRPr="00995FC1">
        <w:rPr>
          <w:rFonts w:cs="Arial"/>
          <w:noProof/>
        </w:rPr>
        <w:t>Trifarotene has also shown anti-inflammatory and depigmenting activities.</w:t>
      </w:r>
    </w:p>
    <w:p w14:paraId="4D9597CF" w14:textId="77777777" w:rsidR="001A3992" w:rsidRPr="00995FC1" w:rsidRDefault="001A3992" w:rsidP="00466762">
      <w:pPr>
        <w:pStyle w:val="Heading3"/>
        <w:widowControl w:val="0"/>
        <w:spacing w:after="240"/>
        <w:rPr>
          <w:rFonts w:ascii="Arial" w:hAnsi="Arial" w:cs="Arial"/>
          <w:lang w:val="en-US"/>
        </w:rPr>
      </w:pPr>
      <w:r w:rsidRPr="00995FC1">
        <w:rPr>
          <w:rFonts w:ascii="Arial" w:hAnsi="Arial" w:cs="Arial"/>
        </w:rPr>
        <w:t>Clinical</w:t>
      </w:r>
      <w:r w:rsidRPr="00995FC1">
        <w:rPr>
          <w:rFonts w:ascii="Arial" w:hAnsi="Arial" w:cs="Arial"/>
          <w:lang w:val="en-US"/>
        </w:rPr>
        <w:t xml:space="preserve"> trials</w:t>
      </w:r>
    </w:p>
    <w:p w14:paraId="7A8CA6B7" w14:textId="791F55AE" w:rsidR="00DE3C2E" w:rsidRPr="00995FC1" w:rsidRDefault="00DE3C2E" w:rsidP="00466762">
      <w:pPr>
        <w:keepNext/>
        <w:keepLines/>
        <w:widowControl w:val="0"/>
        <w:rPr>
          <w:rFonts w:cs="Arial"/>
          <w:noProof/>
        </w:rPr>
      </w:pPr>
      <w:r w:rsidRPr="00995FC1">
        <w:rPr>
          <w:rFonts w:cs="Arial"/>
          <w:noProof/>
        </w:rPr>
        <w:t>Aklief cream applied once daily in the evening was evaluated for 12 weeks in 2 randomi</w:t>
      </w:r>
      <w:r w:rsidR="007D66B2">
        <w:rPr>
          <w:rFonts w:cs="Arial"/>
          <w:noProof/>
        </w:rPr>
        <w:t>s</w:t>
      </w:r>
      <w:r w:rsidRPr="00995FC1">
        <w:rPr>
          <w:rFonts w:cs="Arial"/>
          <w:noProof/>
        </w:rPr>
        <w:t>ed, multi-cent</w:t>
      </w:r>
      <w:r w:rsidR="007D66B2">
        <w:rPr>
          <w:rFonts w:cs="Arial"/>
          <w:noProof/>
        </w:rPr>
        <w:t>re</w:t>
      </w:r>
      <w:r w:rsidRPr="00995FC1">
        <w:rPr>
          <w:rFonts w:cs="Arial"/>
          <w:noProof/>
        </w:rPr>
        <w:t>, parallel group, double-blind, vehicle-controlled studies of identical design.  They were conducted in a total of 2420 patients aged, 9 years and older, with moderate facial and truncal acne vulgaris.</w:t>
      </w:r>
    </w:p>
    <w:p w14:paraId="04486C92" w14:textId="32E609FF" w:rsidR="00FF764B" w:rsidRPr="00995FC1" w:rsidRDefault="00DE3C2E" w:rsidP="00466762">
      <w:pPr>
        <w:keepNext/>
        <w:keepLines/>
        <w:widowControl w:val="0"/>
        <w:rPr>
          <w:rFonts w:cs="Arial"/>
          <w:noProof/>
        </w:rPr>
      </w:pPr>
      <w:r w:rsidRPr="00995FC1">
        <w:rPr>
          <w:rFonts w:cs="Arial"/>
          <w:noProof/>
        </w:rPr>
        <w:t xml:space="preserve">Acne severity was evaluated using the 5-point Investigator’s Global Assessment (IGA) scale for the face and Physician’s Global Assessment (PGA) for the trunk, with moderate acne vulgaris defined as a score of Grade 3-Moderate (see </w:t>
      </w:r>
      <w:r w:rsidRPr="00995FC1">
        <w:rPr>
          <w:rFonts w:cs="Arial"/>
        </w:rPr>
        <w:t xml:space="preserve">Table </w:t>
      </w:r>
      <w:r w:rsidR="001C4461">
        <w:rPr>
          <w:rFonts w:cs="Arial"/>
          <w:noProof/>
        </w:rPr>
        <w:t>3</w:t>
      </w:r>
      <w:r w:rsidRPr="00995FC1">
        <w:rPr>
          <w:rFonts w:cs="Arial"/>
          <w:noProof/>
        </w:rPr>
        <w:t>).</w:t>
      </w:r>
    </w:p>
    <w:p w14:paraId="17A6D95A" w14:textId="3E1A448B" w:rsidR="00D55D15" w:rsidRPr="00F225B8" w:rsidRDefault="00DE3C2E" w:rsidP="00466762">
      <w:pPr>
        <w:pStyle w:val="Caption"/>
        <w:widowControl w:val="0"/>
        <w:suppressAutoHyphens w:val="0"/>
        <w:spacing w:before="0" w:after="0"/>
        <w:ind w:left="1411" w:hanging="1411"/>
        <w:rPr>
          <w:rFonts w:ascii="Arial" w:hAnsi="Arial" w:cs="Arial"/>
          <w:noProof/>
          <w:sz w:val="22"/>
          <w:szCs w:val="22"/>
        </w:rPr>
      </w:pPr>
      <w:bookmarkStart w:id="6" w:name="_Ref22857011"/>
      <w:r w:rsidRPr="00995FC1">
        <w:rPr>
          <w:rFonts w:ascii="Arial" w:hAnsi="Arial" w:cs="Arial"/>
          <w:sz w:val="22"/>
          <w:szCs w:val="22"/>
        </w:rPr>
        <w:t xml:space="preserve">Table </w:t>
      </w:r>
      <w:bookmarkEnd w:id="6"/>
      <w:r w:rsidR="007B0913">
        <w:rPr>
          <w:rFonts w:ascii="Arial" w:hAnsi="Arial" w:cs="Arial"/>
          <w:sz w:val="22"/>
          <w:szCs w:val="22"/>
        </w:rPr>
        <w:t>3</w:t>
      </w:r>
      <w:r w:rsidRPr="00995FC1">
        <w:rPr>
          <w:rFonts w:ascii="Arial" w:hAnsi="Arial" w:cs="Arial"/>
          <w:sz w:val="22"/>
          <w:szCs w:val="22"/>
        </w:rPr>
        <w:tab/>
      </w:r>
      <w:r w:rsidRPr="00995FC1">
        <w:rPr>
          <w:rFonts w:ascii="Arial" w:hAnsi="Arial" w:cs="Arial"/>
          <w:noProof/>
          <w:sz w:val="22"/>
          <w:szCs w:val="22"/>
        </w:rPr>
        <w:t>Investigator’s Global Assessment and Physician’s Global Assessment Scales</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519"/>
        <w:gridCol w:w="1835"/>
        <w:gridCol w:w="6686"/>
      </w:tblGrid>
      <w:tr w:rsidR="00DE3C2E" w:rsidRPr="00995FC1" w14:paraId="6F939403" w14:textId="77777777" w:rsidTr="007D66B2">
        <w:trPr>
          <w:jc w:val="center"/>
        </w:trPr>
        <w:tc>
          <w:tcPr>
            <w:tcW w:w="287" w:type="pct"/>
            <w:shd w:val="clear" w:color="auto" w:fill="auto"/>
          </w:tcPr>
          <w:p w14:paraId="4F34B16B"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0</w:t>
            </w:r>
          </w:p>
        </w:tc>
        <w:tc>
          <w:tcPr>
            <w:tcW w:w="1015" w:type="pct"/>
            <w:shd w:val="clear" w:color="auto" w:fill="auto"/>
          </w:tcPr>
          <w:p w14:paraId="33872286"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Clear</w:t>
            </w:r>
          </w:p>
        </w:tc>
        <w:tc>
          <w:tcPr>
            <w:tcW w:w="3698" w:type="pct"/>
            <w:shd w:val="clear" w:color="auto" w:fill="auto"/>
          </w:tcPr>
          <w:p w14:paraId="6244418C"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Clear skin with no inflammatory or non-inflammatory lesions.</w:t>
            </w:r>
          </w:p>
        </w:tc>
      </w:tr>
      <w:tr w:rsidR="00DE3C2E" w:rsidRPr="00995FC1" w14:paraId="3E1475D6" w14:textId="77777777" w:rsidTr="007D66B2">
        <w:trPr>
          <w:jc w:val="center"/>
        </w:trPr>
        <w:tc>
          <w:tcPr>
            <w:tcW w:w="287" w:type="pct"/>
            <w:shd w:val="clear" w:color="auto" w:fill="auto"/>
          </w:tcPr>
          <w:p w14:paraId="0BA23679"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1</w:t>
            </w:r>
          </w:p>
        </w:tc>
        <w:tc>
          <w:tcPr>
            <w:tcW w:w="1015" w:type="pct"/>
            <w:shd w:val="clear" w:color="auto" w:fill="auto"/>
          </w:tcPr>
          <w:p w14:paraId="69106B57"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Almost Clear</w:t>
            </w:r>
          </w:p>
        </w:tc>
        <w:tc>
          <w:tcPr>
            <w:tcW w:w="3698" w:type="pct"/>
            <w:shd w:val="clear" w:color="auto" w:fill="auto"/>
          </w:tcPr>
          <w:p w14:paraId="35F2C8F7"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A few scattered comedones and a few small papules.</w:t>
            </w:r>
          </w:p>
        </w:tc>
      </w:tr>
      <w:tr w:rsidR="00DE3C2E" w:rsidRPr="00995FC1" w14:paraId="4C226D67" w14:textId="77777777" w:rsidTr="007D66B2">
        <w:trPr>
          <w:jc w:val="center"/>
        </w:trPr>
        <w:tc>
          <w:tcPr>
            <w:tcW w:w="287" w:type="pct"/>
            <w:shd w:val="clear" w:color="auto" w:fill="auto"/>
          </w:tcPr>
          <w:p w14:paraId="31F95EDF"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2</w:t>
            </w:r>
          </w:p>
        </w:tc>
        <w:tc>
          <w:tcPr>
            <w:tcW w:w="1015" w:type="pct"/>
            <w:shd w:val="clear" w:color="auto" w:fill="auto"/>
          </w:tcPr>
          <w:p w14:paraId="46B95978" w14:textId="77777777" w:rsidR="00DE3C2E" w:rsidRPr="00995FC1" w:rsidRDefault="00DE3C2E" w:rsidP="00466762">
            <w:pPr>
              <w:keepNext/>
              <w:keepLines/>
              <w:widowControl w:val="0"/>
              <w:tabs>
                <w:tab w:val="left" w:pos="284"/>
              </w:tabs>
              <w:spacing w:before="0" w:after="0"/>
              <w:rPr>
                <w:sz w:val="20"/>
                <w:szCs w:val="20"/>
              </w:rPr>
            </w:pPr>
            <w:r w:rsidRPr="00995FC1">
              <w:rPr>
                <w:sz w:val="20"/>
                <w:szCs w:val="20"/>
              </w:rPr>
              <w:t>Mild</w:t>
            </w:r>
          </w:p>
        </w:tc>
        <w:tc>
          <w:tcPr>
            <w:tcW w:w="3698" w:type="pct"/>
            <w:shd w:val="clear" w:color="auto" w:fill="auto"/>
          </w:tcPr>
          <w:p w14:paraId="4FAA1CDF" w14:textId="4226EA86" w:rsidR="00DE3C2E" w:rsidRPr="00995FC1" w:rsidRDefault="00DE3C2E" w:rsidP="00466762">
            <w:pPr>
              <w:keepNext/>
              <w:keepLines/>
              <w:widowControl w:val="0"/>
              <w:tabs>
                <w:tab w:val="left" w:pos="284"/>
              </w:tabs>
              <w:spacing w:before="0" w:after="0"/>
              <w:rPr>
                <w:sz w:val="20"/>
                <w:szCs w:val="20"/>
              </w:rPr>
            </w:pPr>
            <w:r w:rsidRPr="00995FC1">
              <w:rPr>
                <w:sz w:val="20"/>
                <w:szCs w:val="20"/>
              </w:rPr>
              <w:t>Easily recogni</w:t>
            </w:r>
            <w:r w:rsidR="007D66B2">
              <w:rPr>
                <w:sz w:val="20"/>
                <w:szCs w:val="20"/>
              </w:rPr>
              <w:t>s</w:t>
            </w:r>
            <w:r w:rsidRPr="00995FC1">
              <w:rPr>
                <w:sz w:val="20"/>
                <w:szCs w:val="20"/>
              </w:rPr>
              <w:t>able; less than half the surface is involved. Some comedones and some papules and pustules.</w:t>
            </w:r>
          </w:p>
        </w:tc>
      </w:tr>
      <w:tr w:rsidR="00DE3C2E" w:rsidRPr="00995FC1" w14:paraId="2FEA8121" w14:textId="77777777" w:rsidTr="007D66B2">
        <w:trPr>
          <w:jc w:val="center"/>
        </w:trPr>
        <w:tc>
          <w:tcPr>
            <w:tcW w:w="287" w:type="pct"/>
            <w:shd w:val="clear" w:color="auto" w:fill="auto"/>
          </w:tcPr>
          <w:p w14:paraId="5FCBF2D1" w14:textId="77777777" w:rsidR="00DE3C2E" w:rsidRPr="00995FC1" w:rsidRDefault="00DE3C2E" w:rsidP="00466762">
            <w:pPr>
              <w:keepNext/>
              <w:tabs>
                <w:tab w:val="left" w:pos="284"/>
              </w:tabs>
              <w:spacing w:before="0" w:after="0"/>
              <w:rPr>
                <w:sz w:val="20"/>
                <w:szCs w:val="20"/>
              </w:rPr>
            </w:pPr>
            <w:r w:rsidRPr="00995FC1">
              <w:rPr>
                <w:sz w:val="20"/>
                <w:szCs w:val="20"/>
              </w:rPr>
              <w:t>3</w:t>
            </w:r>
          </w:p>
        </w:tc>
        <w:tc>
          <w:tcPr>
            <w:tcW w:w="1015" w:type="pct"/>
            <w:shd w:val="clear" w:color="auto" w:fill="auto"/>
          </w:tcPr>
          <w:p w14:paraId="2E2F1312" w14:textId="77777777" w:rsidR="00DE3C2E" w:rsidRPr="00995FC1" w:rsidRDefault="00DE3C2E" w:rsidP="00466762">
            <w:pPr>
              <w:keepNext/>
              <w:tabs>
                <w:tab w:val="left" w:pos="284"/>
              </w:tabs>
              <w:spacing w:before="0" w:after="0"/>
              <w:rPr>
                <w:sz w:val="20"/>
                <w:szCs w:val="20"/>
              </w:rPr>
            </w:pPr>
            <w:r w:rsidRPr="00995FC1">
              <w:rPr>
                <w:sz w:val="20"/>
                <w:szCs w:val="20"/>
              </w:rPr>
              <w:t>Moderate</w:t>
            </w:r>
          </w:p>
          <w:p w14:paraId="5EFB5687" w14:textId="77777777" w:rsidR="00DE3C2E" w:rsidRPr="00995FC1" w:rsidRDefault="00DE3C2E" w:rsidP="00466762">
            <w:pPr>
              <w:keepNext/>
              <w:tabs>
                <w:tab w:val="left" w:pos="284"/>
              </w:tabs>
              <w:spacing w:before="0" w:after="0"/>
              <w:rPr>
                <w:sz w:val="20"/>
                <w:szCs w:val="20"/>
              </w:rPr>
            </w:pPr>
          </w:p>
        </w:tc>
        <w:tc>
          <w:tcPr>
            <w:tcW w:w="3698" w:type="pct"/>
            <w:shd w:val="clear" w:color="auto" w:fill="auto"/>
          </w:tcPr>
          <w:p w14:paraId="6B3373B3" w14:textId="77777777" w:rsidR="00DE3C2E" w:rsidRPr="00995FC1" w:rsidRDefault="00DE3C2E" w:rsidP="00466762">
            <w:pPr>
              <w:keepNext/>
              <w:tabs>
                <w:tab w:val="left" w:pos="284"/>
              </w:tabs>
              <w:spacing w:before="0" w:after="0"/>
              <w:rPr>
                <w:sz w:val="20"/>
                <w:szCs w:val="20"/>
              </w:rPr>
            </w:pPr>
            <w:r w:rsidRPr="00995FC1">
              <w:rPr>
                <w:sz w:val="20"/>
                <w:szCs w:val="20"/>
              </w:rPr>
              <w:t>More than half of the surface is involved. Many comedones, papules and pustules. One nodule may be present.</w:t>
            </w:r>
          </w:p>
        </w:tc>
      </w:tr>
      <w:tr w:rsidR="00DE3C2E" w:rsidRPr="00995FC1" w14:paraId="141883F9" w14:textId="77777777" w:rsidTr="007D66B2">
        <w:trPr>
          <w:jc w:val="center"/>
        </w:trPr>
        <w:tc>
          <w:tcPr>
            <w:tcW w:w="287" w:type="pct"/>
            <w:shd w:val="clear" w:color="auto" w:fill="auto"/>
          </w:tcPr>
          <w:p w14:paraId="5268A66E" w14:textId="77777777" w:rsidR="00DE3C2E" w:rsidRPr="00995FC1" w:rsidRDefault="00DE3C2E" w:rsidP="00466762">
            <w:pPr>
              <w:tabs>
                <w:tab w:val="left" w:pos="284"/>
              </w:tabs>
              <w:spacing w:before="0" w:after="0"/>
              <w:rPr>
                <w:sz w:val="20"/>
                <w:szCs w:val="20"/>
              </w:rPr>
            </w:pPr>
            <w:r w:rsidRPr="00995FC1">
              <w:rPr>
                <w:sz w:val="20"/>
                <w:szCs w:val="20"/>
              </w:rPr>
              <w:t>4</w:t>
            </w:r>
          </w:p>
        </w:tc>
        <w:tc>
          <w:tcPr>
            <w:tcW w:w="1015" w:type="pct"/>
            <w:shd w:val="clear" w:color="auto" w:fill="auto"/>
          </w:tcPr>
          <w:p w14:paraId="13C5A2D4" w14:textId="77777777" w:rsidR="00DE3C2E" w:rsidRPr="00995FC1" w:rsidRDefault="00DE3C2E" w:rsidP="00466762">
            <w:pPr>
              <w:tabs>
                <w:tab w:val="left" w:pos="284"/>
              </w:tabs>
              <w:spacing w:before="0" w:after="0"/>
              <w:rPr>
                <w:sz w:val="20"/>
                <w:szCs w:val="20"/>
              </w:rPr>
            </w:pPr>
            <w:r w:rsidRPr="00995FC1">
              <w:rPr>
                <w:sz w:val="20"/>
                <w:szCs w:val="20"/>
              </w:rPr>
              <w:t>Severe</w:t>
            </w:r>
          </w:p>
          <w:p w14:paraId="200462D4" w14:textId="77777777" w:rsidR="00DE3C2E" w:rsidRPr="00995FC1" w:rsidRDefault="00DE3C2E" w:rsidP="00466762">
            <w:pPr>
              <w:tabs>
                <w:tab w:val="left" w:pos="284"/>
              </w:tabs>
              <w:spacing w:before="0" w:after="0"/>
              <w:rPr>
                <w:sz w:val="20"/>
                <w:szCs w:val="20"/>
              </w:rPr>
            </w:pPr>
          </w:p>
        </w:tc>
        <w:tc>
          <w:tcPr>
            <w:tcW w:w="3698" w:type="pct"/>
            <w:shd w:val="clear" w:color="auto" w:fill="auto"/>
          </w:tcPr>
          <w:p w14:paraId="63502140" w14:textId="77777777" w:rsidR="00DE3C2E" w:rsidRPr="00995FC1" w:rsidRDefault="00DE3C2E" w:rsidP="00466762">
            <w:pPr>
              <w:tabs>
                <w:tab w:val="left" w:pos="284"/>
              </w:tabs>
              <w:spacing w:before="0" w:after="0"/>
              <w:rPr>
                <w:sz w:val="20"/>
                <w:szCs w:val="20"/>
              </w:rPr>
            </w:pPr>
            <w:r w:rsidRPr="00995FC1">
              <w:rPr>
                <w:sz w:val="20"/>
                <w:szCs w:val="20"/>
              </w:rPr>
              <w:t>Entire surface is involved. Covered with comedones, numerous papules and pustules. Few nodules may be present.</w:t>
            </w:r>
          </w:p>
        </w:tc>
      </w:tr>
    </w:tbl>
    <w:p w14:paraId="04C3C003" w14:textId="77777777" w:rsidR="00DE3C2E" w:rsidRPr="00321C75" w:rsidRDefault="00DE3C2E" w:rsidP="00466762">
      <w:pPr>
        <w:rPr>
          <w:noProof/>
        </w:rPr>
      </w:pPr>
      <w:r w:rsidRPr="00321C75">
        <w:rPr>
          <w:noProof/>
        </w:rPr>
        <w:t>The</w:t>
      </w:r>
      <w:r>
        <w:rPr>
          <w:noProof/>
        </w:rPr>
        <w:t>re</w:t>
      </w:r>
      <w:r w:rsidRPr="00321C75">
        <w:rPr>
          <w:noProof/>
        </w:rPr>
        <w:t xml:space="preserve"> </w:t>
      </w:r>
      <w:r>
        <w:rPr>
          <w:noProof/>
        </w:rPr>
        <w:t xml:space="preserve">were three identical co-primary </w:t>
      </w:r>
      <w:r w:rsidRPr="00321C75">
        <w:rPr>
          <w:noProof/>
        </w:rPr>
        <w:t xml:space="preserve">efficacy endpoints in both pivotal studies </w:t>
      </w:r>
      <w:r>
        <w:rPr>
          <w:noProof/>
        </w:rPr>
        <w:t>1)</w:t>
      </w:r>
      <w:r w:rsidRPr="00321C75">
        <w:rPr>
          <w:noProof/>
        </w:rPr>
        <w:t xml:space="preserve"> the success rate based on the IGA and PGA outcome (percentage of subjects “clear” and “almost clear” and with at least a 2-grade change from baseline) and absolute and percentage change from baseline in </w:t>
      </w:r>
      <w:r>
        <w:rPr>
          <w:noProof/>
        </w:rPr>
        <w:t xml:space="preserve">2) </w:t>
      </w:r>
      <w:r w:rsidRPr="00321C75">
        <w:rPr>
          <w:noProof/>
        </w:rPr>
        <w:t xml:space="preserve">inflammatory and </w:t>
      </w:r>
      <w:r>
        <w:rPr>
          <w:noProof/>
        </w:rPr>
        <w:t xml:space="preserve">3) </w:t>
      </w:r>
      <w:r w:rsidRPr="00321C75">
        <w:rPr>
          <w:noProof/>
        </w:rPr>
        <w:t>non-inflammatory lesion counts at Week 12.</w:t>
      </w:r>
    </w:p>
    <w:p w14:paraId="62671838" w14:textId="77777777" w:rsidR="00DE3C2E" w:rsidRDefault="00DE3C2E" w:rsidP="00466762">
      <w:pPr>
        <w:autoSpaceDE w:val="0"/>
        <w:autoSpaceDN w:val="0"/>
        <w:adjustRightInd w:val="0"/>
        <w:rPr>
          <w:noProof/>
        </w:rPr>
      </w:pPr>
      <w:r w:rsidRPr="00321C75">
        <w:rPr>
          <w:noProof/>
        </w:rPr>
        <w:t>Overall, 87% of subjects were Caucasian and 55% were female. Thirty four (1.4%) subjects were 9 to 11 years of age, 1128 (47%) subjects were 12 to 17 years and 1258 (52%) subjects were 18 years and older.  All patients had moderate acne vulgaris on the face and 99% on the trunk. At baseline subjects had between 7 and 200 (average 36) inflammatory lesions on the face and between 0 and 220 (average 38) on the trunk.  Additionally subjects had 21 to 305 (average 52) non-inflammatory lesions on the face and 0 to 260 (average 46) on the trunk.</w:t>
      </w:r>
    </w:p>
    <w:p w14:paraId="6B3DF60A" w14:textId="483E8906" w:rsidR="00DE3C2E" w:rsidRDefault="00DE3C2E" w:rsidP="00466762">
      <w:pPr>
        <w:rPr>
          <w:noProof/>
        </w:rPr>
      </w:pPr>
      <w:r w:rsidRPr="00321C75">
        <w:rPr>
          <w:noProof/>
        </w:rPr>
        <w:t>The IGA and PGA success rates, mean absolute, and percent reduction in acne lesion counts from baseline after 12 weeks of treatment are presented in the following tables:</w:t>
      </w:r>
    </w:p>
    <w:p w14:paraId="136392A8" w14:textId="19E8DE41" w:rsidR="00DE3C2E" w:rsidRPr="00995FC1" w:rsidRDefault="00DE3C2E" w:rsidP="00466762">
      <w:pPr>
        <w:pStyle w:val="Caption"/>
        <w:keepNext w:val="0"/>
        <w:keepLines w:val="0"/>
        <w:pageBreakBefore/>
        <w:spacing w:before="0"/>
        <w:ind w:left="1411" w:hanging="1411"/>
        <w:rPr>
          <w:rFonts w:ascii="Arial" w:hAnsi="Arial" w:cs="Arial"/>
          <w:sz w:val="22"/>
          <w:szCs w:val="22"/>
        </w:rPr>
      </w:pPr>
      <w:r w:rsidRPr="00995FC1">
        <w:rPr>
          <w:rFonts w:ascii="Arial" w:hAnsi="Arial" w:cs="Arial"/>
          <w:sz w:val="22"/>
          <w:szCs w:val="22"/>
        </w:rPr>
        <w:t xml:space="preserve">Table </w:t>
      </w:r>
      <w:r w:rsidR="007B0913">
        <w:rPr>
          <w:rFonts w:ascii="Arial" w:hAnsi="Arial" w:cs="Arial"/>
          <w:sz w:val="22"/>
          <w:szCs w:val="22"/>
        </w:rPr>
        <w:t>4</w:t>
      </w:r>
      <w:r w:rsidRPr="00995FC1">
        <w:rPr>
          <w:rFonts w:ascii="Arial" w:hAnsi="Arial" w:cs="Arial"/>
          <w:sz w:val="22"/>
          <w:szCs w:val="22"/>
        </w:rPr>
        <w:tab/>
        <w:t>Facial Acne Improvement in Investigator’s Global Assessment and Change in Lesion Counts at Week 12 (Intent-to-Treat; Multiple Imputation)</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5"/>
        <w:gridCol w:w="1537"/>
        <w:gridCol w:w="1244"/>
        <w:gridCol w:w="1575"/>
        <w:gridCol w:w="1261"/>
      </w:tblGrid>
      <w:tr w:rsidR="00DE3C2E" w:rsidRPr="00995FC1" w14:paraId="7AFFFB32" w14:textId="77777777" w:rsidTr="00A00E32">
        <w:trPr>
          <w:trHeight w:val="315"/>
          <w:tblHeader/>
          <w:jc w:val="center"/>
        </w:trPr>
        <w:tc>
          <w:tcPr>
            <w:tcW w:w="1997" w:type="pct"/>
            <w:shd w:val="clear" w:color="auto" w:fill="auto"/>
            <w:vAlign w:val="center"/>
            <w:hideMark/>
          </w:tcPr>
          <w:p w14:paraId="6DFDFA77"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Primary Efficacy Endpoints</w:t>
            </w:r>
          </w:p>
        </w:tc>
        <w:tc>
          <w:tcPr>
            <w:tcW w:w="1487" w:type="pct"/>
            <w:gridSpan w:val="2"/>
            <w:shd w:val="clear" w:color="auto" w:fill="auto"/>
            <w:vAlign w:val="center"/>
            <w:hideMark/>
          </w:tcPr>
          <w:p w14:paraId="437E935A"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Study 18251</w:t>
            </w:r>
          </w:p>
        </w:tc>
        <w:tc>
          <w:tcPr>
            <w:tcW w:w="1516" w:type="pct"/>
            <w:gridSpan w:val="2"/>
            <w:shd w:val="clear" w:color="auto" w:fill="auto"/>
            <w:vAlign w:val="center"/>
            <w:hideMark/>
          </w:tcPr>
          <w:p w14:paraId="69E7C1BA"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Study 18252</w:t>
            </w:r>
          </w:p>
        </w:tc>
      </w:tr>
      <w:tr w:rsidR="00DE3C2E" w:rsidRPr="00995FC1" w14:paraId="34FEABDC" w14:textId="77777777" w:rsidTr="00A00E32">
        <w:trPr>
          <w:trHeight w:val="548"/>
          <w:tblHeader/>
          <w:jc w:val="center"/>
        </w:trPr>
        <w:tc>
          <w:tcPr>
            <w:tcW w:w="1997" w:type="pct"/>
            <w:vMerge w:val="restart"/>
            <w:shd w:val="clear" w:color="auto" w:fill="auto"/>
            <w:vAlign w:val="center"/>
            <w:hideMark/>
          </w:tcPr>
          <w:p w14:paraId="4954AC51" w14:textId="77777777" w:rsidR="00DE3C2E" w:rsidRPr="00995FC1" w:rsidRDefault="00DE3C2E" w:rsidP="00466762">
            <w:pPr>
              <w:pStyle w:val="TableText"/>
              <w:rPr>
                <w:rFonts w:eastAsia="Times New Roman" w:cs="Arial"/>
                <w:sz w:val="20"/>
                <w:szCs w:val="20"/>
                <w:lang w:eastAsia="fr-FR"/>
              </w:rPr>
            </w:pPr>
          </w:p>
        </w:tc>
        <w:tc>
          <w:tcPr>
            <w:tcW w:w="822" w:type="pct"/>
            <w:shd w:val="clear" w:color="auto" w:fill="auto"/>
            <w:vAlign w:val="center"/>
            <w:hideMark/>
          </w:tcPr>
          <w:p w14:paraId="506382B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AKLIEF cream</w:t>
            </w:r>
          </w:p>
        </w:tc>
        <w:tc>
          <w:tcPr>
            <w:tcW w:w="665" w:type="pct"/>
            <w:shd w:val="clear" w:color="auto" w:fill="auto"/>
            <w:vAlign w:val="center"/>
            <w:hideMark/>
          </w:tcPr>
          <w:p w14:paraId="149A271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Vehicle cream</w:t>
            </w:r>
          </w:p>
        </w:tc>
        <w:tc>
          <w:tcPr>
            <w:tcW w:w="842" w:type="pct"/>
            <w:shd w:val="clear" w:color="auto" w:fill="auto"/>
            <w:vAlign w:val="center"/>
            <w:hideMark/>
          </w:tcPr>
          <w:p w14:paraId="78DA157C"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AKLIEF cream</w:t>
            </w:r>
          </w:p>
        </w:tc>
        <w:tc>
          <w:tcPr>
            <w:tcW w:w="674" w:type="pct"/>
            <w:shd w:val="clear" w:color="auto" w:fill="auto"/>
            <w:vAlign w:val="center"/>
            <w:hideMark/>
          </w:tcPr>
          <w:p w14:paraId="6177337A"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Vehicle cream</w:t>
            </w:r>
          </w:p>
        </w:tc>
      </w:tr>
      <w:tr w:rsidR="00DE3C2E" w:rsidRPr="00995FC1" w14:paraId="1F5AE2D0" w14:textId="77777777" w:rsidTr="00A00E32">
        <w:trPr>
          <w:trHeight w:val="315"/>
          <w:tblHeader/>
          <w:jc w:val="center"/>
        </w:trPr>
        <w:tc>
          <w:tcPr>
            <w:tcW w:w="1997" w:type="pct"/>
            <w:vMerge/>
            <w:vAlign w:val="center"/>
            <w:hideMark/>
          </w:tcPr>
          <w:p w14:paraId="2913D6EA" w14:textId="77777777" w:rsidR="00DE3C2E" w:rsidRPr="00995FC1" w:rsidRDefault="00DE3C2E" w:rsidP="00466762">
            <w:pPr>
              <w:pStyle w:val="TableText"/>
              <w:rPr>
                <w:rFonts w:eastAsia="Times New Roman" w:cs="Arial"/>
                <w:sz w:val="20"/>
                <w:szCs w:val="20"/>
                <w:lang w:eastAsia="fr-FR"/>
              </w:rPr>
            </w:pPr>
          </w:p>
        </w:tc>
        <w:tc>
          <w:tcPr>
            <w:tcW w:w="822" w:type="pct"/>
            <w:shd w:val="clear" w:color="auto" w:fill="auto"/>
            <w:vAlign w:val="center"/>
            <w:hideMark/>
          </w:tcPr>
          <w:p w14:paraId="79288720"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N= 612</w:t>
            </w:r>
          </w:p>
        </w:tc>
        <w:tc>
          <w:tcPr>
            <w:tcW w:w="665" w:type="pct"/>
            <w:shd w:val="clear" w:color="auto" w:fill="auto"/>
            <w:vAlign w:val="center"/>
            <w:hideMark/>
          </w:tcPr>
          <w:p w14:paraId="22D4D8B4"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N= 596</w:t>
            </w:r>
          </w:p>
        </w:tc>
        <w:tc>
          <w:tcPr>
            <w:tcW w:w="842" w:type="pct"/>
            <w:shd w:val="clear" w:color="auto" w:fill="auto"/>
            <w:vAlign w:val="center"/>
            <w:hideMark/>
          </w:tcPr>
          <w:p w14:paraId="5A8A3174"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N= 602</w:t>
            </w:r>
          </w:p>
        </w:tc>
        <w:tc>
          <w:tcPr>
            <w:tcW w:w="674" w:type="pct"/>
            <w:shd w:val="clear" w:color="auto" w:fill="auto"/>
            <w:vAlign w:val="center"/>
            <w:hideMark/>
          </w:tcPr>
          <w:p w14:paraId="02981499"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N=610</w:t>
            </w:r>
          </w:p>
        </w:tc>
      </w:tr>
      <w:tr w:rsidR="00DE3C2E" w:rsidRPr="00995FC1" w14:paraId="7BA23FF5" w14:textId="77777777" w:rsidTr="00A00E32">
        <w:trPr>
          <w:trHeight w:val="683"/>
          <w:jc w:val="center"/>
        </w:trPr>
        <w:tc>
          <w:tcPr>
            <w:tcW w:w="1997" w:type="pct"/>
            <w:shd w:val="clear" w:color="auto" w:fill="auto"/>
            <w:vAlign w:val="center"/>
          </w:tcPr>
          <w:p w14:paraId="7CBC0600" w14:textId="4563CBCA"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IGA Success Rate</w:t>
            </w:r>
            <w:r w:rsidR="00BC71D3">
              <w:rPr>
                <w:rFonts w:eastAsia="Times New Roman" w:cs="Arial"/>
                <w:b/>
                <w:sz w:val="20"/>
                <w:szCs w:val="20"/>
                <w:lang w:eastAsia="fr-FR"/>
              </w:rPr>
              <w:t xml:space="preserve"> </w:t>
            </w:r>
            <w:r w:rsidRPr="00995FC1">
              <w:rPr>
                <w:rFonts w:eastAsia="Times New Roman" w:cs="Arial"/>
                <w:b/>
                <w:sz w:val="20"/>
                <w:szCs w:val="20"/>
                <w:lang w:eastAsia="fr-FR"/>
              </w:rPr>
              <w:t>(%)</w:t>
            </w:r>
          </w:p>
          <w:p w14:paraId="543F26EF"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(At least 2-grade improvement and IGA of “Clear” (0) or “Almost Clear” (1))</w:t>
            </w:r>
          </w:p>
        </w:tc>
        <w:tc>
          <w:tcPr>
            <w:tcW w:w="822" w:type="pct"/>
            <w:shd w:val="clear" w:color="auto" w:fill="auto"/>
            <w:vAlign w:val="center"/>
          </w:tcPr>
          <w:p w14:paraId="15C57F43"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29.4</w:t>
            </w:r>
          </w:p>
        </w:tc>
        <w:tc>
          <w:tcPr>
            <w:tcW w:w="665" w:type="pct"/>
            <w:shd w:val="clear" w:color="auto" w:fill="auto"/>
            <w:vAlign w:val="center"/>
          </w:tcPr>
          <w:p w14:paraId="54AFD80C"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19.5</w:t>
            </w:r>
          </w:p>
        </w:tc>
        <w:tc>
          <w:tcPr>
            <w:tcW w:w="842" w:type="pct"/>
            <w:shd w:val="clear" w:color="auto" w:fill="auto"/>
            <w:vAlign w:val="center"/>
          </w:tcPr>
          <w:p w14:paraId="790032BA"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42.3</w:t>
            </w:r>
          </w:p>
        </w:tc>
        <w:tc>
          <w:tcPr>
            <w:tcW w:w="674" w:type="pct"/>
            <w:shd w:val="clear" w:color="auto" w:fill="auto"/>
            <w:vAlign w:val="center"/>
          </w:tcPr>
          <w:p w14:paraId="17A6F8C4"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25.7</w:t>
            </w:r>
          </w:p>
        </w:tc>
      </w:tr>
      <w:tr w:rsidR="00DE3C2E" w:rsidRPr="00995FC1" w14:paraId="02E03CA0" w14:textId="77777777" w:rsidTr="00A00E32">
        <w:trPr>
          <w:trHeight w:val="359"/>
          <w:jc w:val="center"/>
        </w:trPr>
        <w:tc>
          <w:tcPr>
            <w:tcW w:w="1997" w:type="pct"/>
            <w:shd w:val="clear" w:color="auto" w:fill="auto"/>
            <w:vAlign w:val="center"/>
          </w:tcPr>
          <w:p w14:paraId="1A7C8228"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Percent difference from vehicle (95% CI)</w:t>
            </w:r>
          </w:p>
        </w:tc>
        <w:tc>
          <w:tcPr>
            <w:tcW w:w="822" w:type="pct"/>
            <w:shd w:val="clear" w:color="auto" w:fill="auto"/>
            <w:vAlign w:val="center"/>
          </w:tcPr>
          <w:p w14:paraId="3599FE97"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9.8 (4.8, 14.8)</w:t>
            </w:r>
            <w:r w:rsidRPr="00995FC1">
              <w:rPr>
                <w:rFonts w:cs="Arial"/>
                <w:i/>
                <w:sz w:val="20"/>
                <w:szCs w:val="20"/>
              </w:rPr>
              <w:t xml:space="preserve"> p ˂ 0.001 vs. Vehicle</w:t>
            </w:r>
          </w:p>
        </w:tc>
        <w:tc>
          <w:tcPr>
            <w:tcW w:w="665" w:type="pct"/>
            <w:shd w:val="clear" w:color="auto" w:fill="auto"/>
            <w:vAlign w:val="center"/>
          </w:tcPr>
          <w:p w14:paraId="6FC8BA53"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w:t>
            </w:r>
          </w:p>
        </w:tc>
        <w:tc>
          <w:tcPr>
            <w:tcW w:w="842" w:type="pct"/>
            <w:shd w:val="clear" w:color="auto" w:fill="auto"/>
            <w:vAlign w:val="center"/>
          </w:tcPr>
          <w:p w14:paraId="02A0E95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16.6 (11.3, 22.0)</w:t>
            </w:r>
          </w:p>
          <w:p w14:paraId="722419FF" w14:textId="77777777" w:rsidR="00DE3C2E" w:rsidRPr="00995FC1" w:rsidRDefault="00DE3C2E" w:rsidP="00466762">
            <w:pPr>
              <w:pStyle w:val="TableText"/>
              <w:rPr>
                <w:rFonts w:eastAsia="Times New Roman" w:cs="Arial"/>
                <w:i/>
                <w:sz w:val="20"/>
                <w:szCs w:val="20"/>
                <w:lang w:eastAsia="fr-FR"/>
              </w:rPr>
            </w:pPr>
            <w:r w:rsidRPr="00995FC1">
              <w:rPr>
                <w:rFonts w:cs="Arial"/>
                <w:i/>
                <w:sz w:val="20"/>
                <w:szCs w:val="20"/>
              </w:rPr>
              <w:t>p ˂ 0.001 vs. Vehicle</w:t>
            </w:r>
          </w:p>
        </w:tc>
        <w:tc>
          <w:tcPr>
            <w:tcW w:w="674" w:type="pct"/>
            <w:shd w:val="clear" w:color="auto" w:fill="auto"/>
            <w:vAlign w:val="center"/>
          </w:tcPr>
          <w:p w14:paraId="6E064DB6"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w:t>
            </w:r>
          </w:p>
        </w:tc>
      </w:tr>
      <w:tr w:rsidR="00DE3C2E" w:rsidRPr="00995FC1" w14:paraId="1627C1E0" w14:textId="77777777" w:rsidTr="00A00E32">
        <w:trPr>
          <w:trHeight w:val="521"/>
          <w:jc w:val="center"/>
        </w:trPr>
        <w:tc>
          <w:tcPr>
            <w:tcW w:w="5000" w:type="pct"/>
            <w:gridSpan w:val="5"/>
            <w:shd w:val="clear" w:color="auto" w:fill="auto"/>
            <w:vAlign w:val="center"/>
          </w:tcPr>
          <w:p w14:paraId="6F828330"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Inflammatory Lesions</w:t>
            </w:r>
          </w:p>
          <w:p w14:paraId="7CEFCA10"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Mean Absolute Change from Baseline</w:t>
            </w:r>
          </w:p>
        </w:tc>
      </w:tr>
      <w:tr w:rsidR="00DE3C2E" w:rsidRPr="00995FC1" w14:paraId="1E0D86F4" w14:textId="77777777" w:rsidTr="00A00E32">
        <w:trPr>
          <w:trHeight w:val="395"/>
          <w:jc w:val="center"/>
        </w:trPr>
        <w:tc>
          <w:tcPr>
            <w:tcW w:w="1997" w:type="pct"/>
            <w:shd w:val="clear" w:color="auto" w:fill="auto"/>
            <w:vAlign w:val="center"/>
          </w:tcPr>
          <w:p w14:paraId="0E455DCF"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LS Mean (SE)</w:t>
            </w:r>
          </w:p>
        </w:tc>
        <w:tc>
          <w:tcPr>
            <w:tcW w:w="822" w:type="pct"/>
            <w:shd w:val="clear" w:color="auto" w:fill="auto"/>
            <w:vAlign w:val="center"/>
          </w:tcPr>
          <w:p w14:paraId="162C80DB"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-19.0 (0.50)</w:t>
            </w:r>
          </w:p>
        </w:tc>
        <w:tc>
          <w:tcPr>
            <w:tcW w:w="665" w:type="pct"/>
            <w:shd w:val="clear" w:color="auto" w:fill="auto"/>
            <w:vAlign w:val="center"/>
          </w:tcPr>
          <w:p w14:paraId="4457FCF1"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-15.4 (0.51)</w:t>
            </w:r>
          </w:p>
        </w:tc>
        <w:tc>
          <w:tcPr>
            <w:tcW w:w="842" w:type="pct"/>
            <w:shd w:val="clear" w:color="auto" w:fill="auto"/>
            <w:vAlign w:val="center"/>
          </w:tcPr>
          <w:p w14:paraId="7E8F89E8"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-24.2 (0.51)</w:t>
            </w:r>
          </w:p>
        </w:tc>
        <w:tc>
          <w:tcPr>
            <w:tcW w:w="674" w:type="pct"/>
            <w:shd w:val="clear" w:color="auto" w:fill="auto"/>
            <w:vAlign w:val="center"/>
          </w:tcPr>
          <w:p w14:paraId="63AA79BF"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-18.7 (0.51)</w:t>
            </w:r>
          </w:p>
        </w:tc>
      </w:tr>
      <w:tr w:rsidR="00DE3C2E" w:rsidRPr="00995FC1" w14:paraId="6968402F" w14:textId="77777777" w:rsidTr="00A00E32">
        <w:trPr>
          <w:trHeight w:val="440"/>
          <w:jc w:val="center"/>
        </w:trPr>
        <w:tc>
          <w:tcPr>
            <w:tcW w:w="1997" w:type="pct"/>
            <w:shd w:val="clear" w:color="auto" w:fill="auto"/>
            <w:vAlign w:val="center"/>
            <w:hideMark/>
          </w:tcPr>
          <w:p w14:paraId="07FF0E12"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LS Mean Difference from vehicle (95% CI)</w:t>
            </w:r>
          </w:p>
        </w:tc>
        <w:tc>
          <w:tcPr>
            <w:tcW w:w="822" w:type="pct"/>
            <w:shd w:val="clear" w:color="auto" w:fill="auto"/>
            <w:vAlign w:val="center"/>
            <w:hideMark/>
          </w:tcPr>
          <w:p w14:paraId="5ECB6A55" w14:textId="77777777" w:rsidR="00DE3C2E" w:rsidRPr="00995FC1" w:rsidRDefault="00DE3C2E" w:rsidP="00466762">
            <w:pPr>
              <w:pStyle w:val="TableText"/>
              <w:rPr>
                <w:rFonts w:eastAsia="Times New Roman" w:cs="Arial"/>
                <w:i/>
                <w:sz w:val="20"/>
                <w:szCs w:val="20"/>
                <w:lang w:eastAsia="fr-FR"/>
              </w:rPr>
            </w:pPr>
            <w:r w:rsidRPr="00995FC1">
              <w:rPr>
                <w:rFonts w:eastAsia="Times New Roman" w:cs="Arial"/>
                <w:sz w:val="20"/>
                <w:szCs w:val="20"/>
                <w:lang w:eastAsia="fr-FR"/>
              </w:rPr>
              <w:t>-3.6 (-4.9, -2.2)</w:t>
            </w:r>
            <w:r w:rsidRPr="00995FC1">
              <w:rPr>
                <w:rFonts w:cs="Arial"/>
                <w:i/>
                <w:sz w:val="20"/>
                <w:szCs w:val="20"/>
              </w:rPr>
              <w:t xml:space="preserve"> p ˂ 0.001 vs. Vehicle</w:t>
            </w:r>
          </w:p>
          <w:p w14:paraId="3CBB15A5" w14:textId="77777777" w:rsidR="00DE3C2E" w:rsidRPr="00995FC1" w:rsidRDefault="00DE3C2E" w:rsidP="00466762">
            <w:pPr>
              <w:pStyle w:val="TableText"/>
              <w:rPr>
                <w:rFonts w:eastAsia="Times New Roman" w:cs="Arial"/>
                <w:sz w:val="20"/>
                <w:szCs w:val="20"/>
                <w:lang w:eastAsia="fr-FR"/>
              </w:rPr>
            </w:pPr>
          </w:p>
        </w:tc>
        <w:tc>
          <w:tcPr>
            <w:tcW w:w="665" w:type="pct"/>
            <w:shd w:val="clear" w:color="auto" w:fill="auto"/>
            <w:vAlign w:val="center"/>
            <w:hideMark/>
          </w:tcPr>
          <w:p w14:paraId="703A41D1"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w:t>
            </w:r>
          </w:p>
        </w:tc>
        <w:tc>
          <w:tcPr>
            <w:tcW w:w="842" w:type="pct"/>
            <w:shd w:val="clear" w:color="auto" w:fill="auto"/>
            <w:vAlign w:val="center"/>
            <w:hideMark/>
          </w:tcPr>
          <w:p w14:paraId="05FBD7D4"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-5.6 (-6.9, -4.3)</w:t>
            </w:r>
          </w:p>
          <w:p w14:paraId="29939EE2" w14:textId="77777777" w:rsidR="00DE3C2E" w:rsidRPr="00995FC1" w:rsidRDefault="00DE3C2E" w:rsidP="00466762">
            <w:pPr>
              <w:pStyle w:val="TableText"/>
              <w:rPr>
                <w:rFonts w:eastAsia="Times New Roman" w:cs="Arial"/>
                <w:i/>
                <w:sz w:val="20"/>
                <w:szCs w:val="20"/>
                <w:lang w:eastAsia="fr-FR"/>
              </w:rPr>
            </w:pPr>
            <w:r w:rsidRPr="00995FC1">
              <w:rPr>
                <w:rFonts w:cs="Arial"/>
                <w:i/>
                <w:sz w:val="20"/>
                <w:szCs w:val="20"/>
              </w:rPr>
              <w:t>p ˂ 0.001 vs. Vehicle</w:t>
            </w:r>
          </w:p>
        </w:tc>
        <w:tc>
          <w:tcPr>
            <w:tcW w:w="674" w:type="pct"/>
            <w:shd w:val="clear" w:color="auto" w:fill="auto"/>
            <w:vAlign w:val="center"/>
            <w:hideMark/>
          </w:tcPr>
          <w:p w14:paraId="1F4306CA"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w:t>
            </w:r>
          </w:p>
        </w:tc>
      </w:tr>
      <w:tr w:rsidR="00DE3C2E" w:rsidRPr="00995FC1" w14:paraId="60674AA7" w14:textId="77777777" w:rsidTr="00A00E32">
        <w:trPr>
          <w:trHeight w:val="440"/>
          <w:jc w:val="center"/>
        </w:trPr>
        <w:tc>
          <w:tcPr>
            <w:tcW w:w="5000" w:type="pct"/>
            <w:gridSpan w:val="5"/>
            <w:shd w:val="clear" w:color="auto" w:fill="auto"/>
            <w:vAlign w:val="center"/>
          </w:tcPr>
          <w:p w14:paraId="5EA0AAA5" w14:textId="77777777" w:rsidR="00AF0949" w:rsidRDefault="00AF0949" w:rsidP="00466762">
            <w:pPr>
              <w:pStyle w:val="TableText"/>
              <w:rPr>
                <w:rFonts w:eastAsia="Times New Roman" w:cs="Arial"/>
                <w:b/>
                <w:sz w:val="20"/>
                <w:szCs w:val="20"/>
                <w:lang w:eastAsia="fr-FR"/>
              </w:rPr>
            </w:pPr>
            <w:r>
              <w:rPr>
                <w:rFonts w:eastAsia="Times New Roman" w:cs="Arial"/>
                <w:b/>
                <w:sz w:val="20"/>
                <w:szCs w:val="20"/>
                <w:lang w:eastAsia="fr-FR"/>
              </w:rPr>
              <w:t>Supportive Endpoint</w:t>
            </w:r>
          </w:p>
          <w:p w14:paraId="5F732BE1" w14:textId="36F48BB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Mean Percent Change from Baseline (%)</w:t>
            </w:r>
          </w:p>
        </w:tc>
      </w:tr>
      <w:tr w:rsidR="00DE3C2E" w:rsidRPr="00995FC1" w14:paraId="6DC48CA6" w14:textId="77777777" w:rsidTr="00A00E32">
        <w:trPr>
          <w:trHeight w:val="440"/>
          <w:jc w:val="center"/>
        </w:trPr>
        <w:tc>
          <w:tcPr>
            <w:tcW w:w="1997" w:type="pct"/>
            <w:shd w:val="clear" w:color="auto" w:fill="auto"/>
            <w:vAlign w:val="center"/>
          </w:tcPr>
          <w:p w14:paraId="75A7C26E"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Mean (SE)</w:t>
            </w:r>
          </w:p>
        </w:tc>
        <w:tc>
          <w:tcPr>
            <w:tcW w:w="822" w:type="pct"/>
            <w:shd w:val="clear" w:color="auto" w:fill="auto"/>
            <w:vAlign w:val="center"/>
          </w:tcPr>
          <w:p w14:paraId="3FDAE707"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15.7 (0.52)</w:t>
            </w:r>
          </w:p>
        </w:tc>
        <w:tc>
          <w:tcPr>
            <w:tcW w:w="665" w:type="pct"/>
            <w:shd w:val="clear" w:color="auto" w:fill="auto"/>
            <w:vAlign w:val="center"/>
          </w:tcPr>
          <w:p w14:paraId="4BDDD521"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19.3 (0.64)</w:t>
            </w:r>
          </w:p>
        </w:tc>
        <w:tc>
          <w:tcPr>
            <w:tcW w:w="842" w:type="pct"/>
            <w:shd w:val="clear" w:color="auto" w:fill="auto"/>
            <w:vAlign w:val="center"/>
          </w:tcPr>
          <w:p w14:paraId="184627CF"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12.0 (0.51)</w:t>
            </w:r>
          </w:p>
        </w:tc>
        <w:tc>
          <w:tcPr>
            <w:tcW w:w="674" w:type="pct"/>
            <w:shd w:val="clear" w:color="auto" w:fill="auto"/>
            <w:vAlign w:val="center"/>
          </w:tcPr>
          <w:p w14:paraId="5671FB5A" w14:textId="15A32DCC"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17.6 (0.58)</w:t>
            </w:r>
          </w:p>
        </w:tc>
      </w:tr>
      <w:tr w:rsidR="00DE3C2E" w:rsidRPr="00995FC1" w14:paraId="425DF76F" w14:textId="77777777" w:rsidTr="00A00E32">
        <w:trPr>
          <w:trHeight w:val="440"/>
          <w:jc w:val="center"/>
        </w:trPr>
        <w:tc>
          <w:tcPr>
            <w:tcW w:w="1997" w:type="pct"/>
            <w:shd w:val="clear" w:color="auto" w:fill="auto"/>
            <w:vAlign w:val="center"/>
          </w:tcPr>
          <w:p w14:paraId="2854BE28"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Mean Percent Change from Baseline</w:t>
            </w:r>
          </w:p>
        </w:tc>
        <w:tc>
          <w:tcPr>
            <w:tcW w:w="822" w:type="pct"/>
            <w:shd w:val="clear" w:color="auto" w:fill="auto"/>
            <w:vAlign w:val="center"/>
          </w:tcPr>
          <w:p w14:paraId="560FD621" w14:textId="77777777" w:rsidR="00DE3C2E" w:rsidRPr="00995FC1" w:rsidRDefault="00DE3C2E" w:rsidP="00466762">
            <w:pPr>
              <w:pStyle w:val="TableText"/>
              <w:rPr>
                <w:rFonts w:cs="Arial"/>
                <w:i/>
                <w:sz w:val="20"/>
                <w:szCs w:val="20"/>
              </w:rPr>
            </w:pPr>
            <w:r w:rsidRPr="00995FC1">
              <w:rPr>
                <w:rFonts w:eastAsia="Times New Roman" w:cs="Arial"/>
                <w:sz w:val="20"/>
                <w:szCs w:val="20"/>
                <w:lang w:eastAsia="fr-FR"/>
              </w:rPr>
              <w:t>-54.4</w:t>
            </w:r>
          </w:p>
          <w:p w14:paraId="38968269" w14:textId="77777777" w:rsidR="00DE3C2E" w:rsidRPr="00995FC1" w:rsidRDefault="00DE3C2E" w:rsidP="00466762">
            <w:pPr>
              <w:pStyle w:val="TableText"/>
              <w:rPr>
                <w:rFonts w:eastAsia="Times New Roman" w:cs="Arial"/>
                <w:sz w:val="20"/>
                <w:szCs w:val="20"/>
                <w:lang w:eastAsia="fr-FR"/>
              </w:rPr>
            </w:pPr>
            <w:r w:rsidRPr="00995FC1">
              <w:rPr>
                <w:rFonts w:cs="Arial"/>
                <w:i/>
                <w:sz w:val="20"/>
                <w:szCs w:val="20"/>
              </w:rPr>
              <w:t>p ˂ 0.001 vs. Vehicle</w:t>
            </w:r>
          </w:p>
        </w:tc>
        <w:tc>
          <w:tcPr>
            <w:tcW w:w="665" w:type="pct"/>
            <w:shd w:val="clear" w:color="auto" w:fill="auto"/>
            <w:vAlign w:val="center"/>
          </w:tcPr>
          <w:p w14:paraId="500488AB" w14:textId="6D6DFDCD"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-44.8</w:t>
            </w:r>
          </w:p>
        </w:tc>
        <w:tc>
          <w:tcPr>
            <w:tcW w:w="842" w:type="pct"/>
            <w:shd w:val="clear" w:color="auto" w:fill="auto"/>
            <w:vAlign w:val="center"/>
          </w:tcPr>
          <w:p w14:paraId="58FBE2B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-66.2</w:t>
            </w:r>
          </w:p>
          <w:p w14:paraId="52352ABF" w14:textId="77777777" w:rsidR="00DE3C2E" w:rsidRPr="00995FC1" w:rsidRDefault="00DE3C2E" w:rsidP="00466762">
            <w:pPr>
              <w:pStyle w:val="TableText"/>
              <w:rPr>
                <w:rFonts w:eastAsia="Times New Roman" w:cs="Arial"/>
                <w:sz w:val="20"/>
                <w:szCs w:val="20"/>
                <w:lang w:eastAsia="fr-FR"/>
              </w:rPr>
            </w:pPr>
            <w:r w:rsidRPr="00995FC1">
              <w:rPr>
                <w:rFonts w:cs="Arial"/>
                <w:i/>
                <w:sz w:val="20"/>
                <w:szCs w:val="20"/>
              </w:rPr>
              <w:t>p ˂ 0.001 vs. Vehicle</w:t>
            </w:r>
          </w:p>
        </w:tc>
        <w:tc>
          <w:tcPr>
            <w:tcW w:w="674" w:type="pct"/>
            <w:shd w:val="clear" w:color="auto" w:fill="auto"/>
            <w:vAlign w:val="center"/>
          </w:tcPr>
          <w:p w14:paraId="5CB5B7ED"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-51.2</w:t>
            </w:r>
          </w:p>
        </w:tc>
      </w:tr>
      <w:tr w:rsidR="00DE3C2E" w:rsidRPr="00995FC1" w14:paraId="3FA17AD0" w14:textId="77777777" w:rsidTr="00A00E32">
        <w:trPr>
          <w:trHeight w:val="521"/>
          <w:jc w:val="center"/>
        </w:trPr>
        <w:tc>
          <w:tcPr>
            <w:tcW w:w="5000" w:type="pct"/>
            <w:gridSpan w:val="5"/>
            <w:shd w:val="clear" w:color="auto" w:fill="auto"/>
            <w:vAlign w:val="center"/>
          </w:tcPr>
          <w:p w14:paraId="29EA2C3A"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Non-inflammatory Lesions</w:t>
            </w:r>
          </w:p>
          <w:p w14:paraId="17AF6AD0" w14:textId="77777777"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Mean Absolute change from Baseline</w:t>
            </w:r>
          </w:p>
        </w:tc>
      </w:tr>
      <w:tr w:rsidR="00DE3C2E" w:rsidRPr="00995FC1" w14:paraId="4781D781" w14:textId="77777777" w:rsidTr="00A00E32">
        <w:trPr>
          <w:trHeight w:val="530"/>
          <w:jc w:val="center"/>
        </w:trPr>
        <w:tc>
          <w:tcPr>
            <w:tcW w:w="1997" w:type="pct"/>
            <w:shd w:val="clear" w:color="auto" w:fill="auto"/>
            <w:vAlign w:val="center"/>
          </w:tcPr>
          <w:p w14:paraId="30F161D1"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LS Mean (SE)</w:t>
            </w:r>
          </w:p>
        </w:tc>
        <w:tc>
          <w:tcPr>
            <w:tcW w:w="822" w:type="pct"/>
            <w:shd w:val="clear" w:color="auto" w:fill="auto"/>
            <w:vAlign w:val="center"/>
          </w:tcPr>
          <w:p w14:paraId="37426A1D"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-25.0 (0.87)</w:t>
            </w:r>
          </w:p>
        </w:tc>
        <w:tc>
          <w:tcPr>
            <w:tcW w:w="665" w:type="pct"/>
            <w:shd w:val="clear" w:color="auto" w:fill="auto"/>
            <w:vAlign w:val="center"/>
          </w:tcPr>
          <w:p w14:paraId="09EDB68D"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-17.9 (0.87)</w:t>
            </w:r>
          </w:p>
        </w:tc>
        <w:tc>
          <w:tcPr>
            <w:tcW w:w="842" w:type="pct"/>
            <w:shd w:val="clear" w:color="auto" w:fill="auto"/>
            <w:vAlign w:val="center"/>
          </w:tcPr>
          <w:p w14:paraId="7F80F4CB"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-30.1 (0.71)</w:t>
            </w:r>
          </w:p>
        </w:tc>
        <w:tc>
          <w:tcPr>
            <w:tcW w:w="674" w:type="pct"/>
            <w:shd w:val="clear" w:color="auto" w:fill="auto"/>
            <w:vAlign w:val="center"/>
          </w:tcPr>
          <w:p w14:paraId="113C0B1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-21.6 (0.71)</w:t>
            </w:r>
          </w:p>
        </w:tc>
      </w:tr>
      <w:tr w:rsidR="00DE3C2E" w:rsidRPr="00995FC1" w14:paraId="187AF185" w14:textId="77777777" w:rsidTr="00A00E32">
        <w:trPr>
          <w:trHeight w:val="440"/>
          <w:jc w:val="center"/>
        </w:trPr>
        <w:tc>
          <w:tcPr>
            <w:tcW w:w="1997" w:type="pct"/>
            <w:shd w:val="clear" w:color="auto" w:fill="auto"/>
            <w:vAlign w:val="center"/>
            <w:hideMark/>
          </w:tcPr>
          <w:p w14:paraId="5B355684"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 xml:space="preserve">LS Mean Difference from vehicle (95% CI) </w:t>
            </w:r>
          </w:p>
        </w:tc>
        <w:tc>
          <w:tcPr>
            <w:tcW w:w="822" w:type="pct"/>
            <w:shd w:val="clear" w:color="auto" w:fill="auto"/>
            <w:vAlign w:val="center"/>
            <w:hideMark/>
          </w:tcPr>
          <w:p w14:paraId="2844D9F3"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-7.1 (-9.4, -4.8)</w:t>
            </w:r>
            <w:r w:rsidRPr="00995FC1">
              <w:rPr>
                <w:rFonts w:cs="Arial"/>
                <w:i/>
                <w:sz w:val="20"/>
                <w:szCs w:val="20"/>
              </w:rPr>
              <w:t xml:space="preserve"> p ˂ 0.001 vs. Vehicle</w:t>
            </w:r>
          </w:p>
        </w:tc>
        <w:tc>
          <w:tcPr>
            <w:tcW w:w="665" w:type="pct"/>
            <w:shd w:val="clear" w:color="auto" w:fill="auto"/>
            <w:vAlign w:val="center"/>
            <w:hideMark/>
          </w:tcPr>
          <w:p w14:paraId="746A0A81"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w:t>
            </w:r>
          </w:p>
        </w:tc>
        <w:tc>
          <w:tcPr>
            <w:tcW w:w="842" w:type="pct"/>
            <w:shd w:val="clear" w:color="auto" w:fill="auto"/>
            <w:vAlign w:val="center"/>
            <w:hideMark/>
          </w:tcPr>
          <w:p w14:paraId="2321DECA"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-8.5 (-10.3, -6.6)</w:t>
            </w:r>
            <w:r w:rsidRPr="00995FC1">
              <w:rPr>
                <w:rFonts w:cs="Arial"/>
                <w:i/>
                <w:sz w:val="20"/>
                <w:szCs w:val="20"/>
              </w:rPr>
              <w:t xml:space="preserve"> p ˂ 0.001 vs. Vehicle</w:t>
            </w:r>
          </w:p>
        </w:tc>
        <w:tc>
          <w:tcPr>
            <w:tcW w:w="674" w:type="pct"/>
            <w:shd w:val="clear" w:color="auto" w:fill="auto"/>
            <w:vAlign w:val="center"/>
            <w:hideMark/>
          </w:tcPr>
          <w:p w14:paraId="656CC2D2"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w:t>
            </w:r>
          </w:p>
        </w:tc>
      </w:tr>
      <w:tr w:rsidR="00DE3C2E" w:rsidRPr="00995FC1" w14:paraId="1BD2973A" w14:textId="77777777" w:rsidTr="00A00E32">
        <w:trPr>
          <w:trHeight w:val="440"/>
          <w:jc w:val="center"/>
        </w:trPr>
        <w:tc>
          <w:tcPr>
            <w:tcW w:w="5000" w:type="pct"/>
            <w:gridSpan w:val="5"/>
            <w:shd w:val="clear" w:color="auto" w:fill="auto"/>
            <w:vAlign w:val="center"/>
          </w:tcPr>
          <w:p w14:paraId="6BF69121" w14:textId="77777777" w:rsidR="00AF0949" w:rsidRDefault="00AF0949" w:rsidP="00466762">
            <w:pPr>
              <w:pStyle w:val="TableText"/>
              <w:rPr>
                <w:rFonts w:eastAsia="Times New Roman" w:cs="Arial"/>
                <w:b/>
                <w:sz w:val="20"/>
                <w:szCs w:val="20"/>
                <w:lang w:eastAsia="fr-FR"/>
              </w:rPr>
            </w:pPr>
            <w:r>
              <w:rPr>
                <w:rFonts w:eastAsia="Times New Roman" w:cs="Arial"/>
                <w:b/>
                <w:sz w:val="20"/>
                <w:szCs w:val="20"/>
                <w:lang w:eastAsia="fr-FR"/>
              </w:rPr>
              <w:t>Supportive Endpoint</w:t>
            </w:r>
          </w:p>
          <w:p w14:paraId="3F903F20" w14:textId="26F3A465" w:rsidR="00DE3C2E" w:rsidRPr="00995FC1" w:rsidRDefault="00DE3C2E" w:rsidP="00466762">
            <w:pPr>
              <w:pStyle w:val="TableText"/>
              <w:rPr>
                <w:rFonts w:eastAsia="Times New Roman" w:cs="Arial"/>
                <w:b/>
                <w:sz w:val="20"/>
                <w:szCs w:val="20"/>
                <w:lang w:eastAsia="fr-FR"/>
              </w:rPr>
            </w:pPr>
            <w:r w:rsidRPr="00995FC1">
              <w:rPr>
                <w:rFonts w:eastAsia="Times New Roman" w:cs="Arial"/>
                <w:b/>
                <w:sz w:val="20"/>
                <w:szCs w:val="20"/>
                <w:lang w:eastAsia="fr-FR"/>
              </w:rPr>
              <w:t>Mean Percent Change from Baseline (%)</w:t>
            </w:r>
          </w:p>
        </w:tc>
      </w:tr>
      <w:tr w:rsidR="00DE3C2E" w:rsidRPr="00995FC1" w14:paraId="69AC4A70" w14:textId="77777777" w:rsidTr="00A00E32">
        <w:trPr>
          <w:trHeight w:val="440"/>
          <w:jc w:val="center"/>
        </w:trPr>
        <w:tc>
          <w:tcPr>
            <w:tcW w:w="1997" w:type="pct"/>
            <w:shd w:val="clear" w:color="auto" w:fill="auto"/>
            <w:vAlign w:val="center"/>
          </w:tcPr>
          <w:p w14:paraId="7900556C"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Mean (SE)</w:t>
            </w:r>
          </w:p>
        </w:tc>
        <w:tc>
          <w:tcPr>
            <w:tcW w:w="822" w:type="pct"/>
            <w:shd w:val="clear" w:color="auto" w:fill="auto"/>
            <w:vAlign w:val="center"/>
          </w:tcPr>
          <w:p w14:paraId="1CDA09C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28.0 (1.08)</w:t>
            </w:r>
          </w:p>
        </w:tc>
        <w:tc>
          <w:tcPr>
            <w:tcW w:w="665" w:type="pct"/>
            <w:shd w:val="clear" w:color="auto" w:fill="auto"/>
            <w:vAlign w:val="center"/>
          </w:tcPr>
          <w:p w14:paraId="73B59604"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34.5 (1.22)</w:t>
            </w:r>
          </w:p>
        </w:tc>
        <w:tc>
          <w:tcPr>
            <w:tcW w:w="842" w:type="pct"/>
            <w:shd w:val="clear" w:color="auto" w:fill="auto"/>
            <w:vAlign w:val="center"/>
          </w:tcPr>
          <w:p w14:paraId="18491449"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20.6 (0.71)</w:t>
            </w:r>
          </w:p>
        </w:tc>
        <w:tc>
          <w:tcPr>
            <w:tcW w:w="674" w:type="pct"/>
            <w:shd w:val="clear" w:color="auto" w:fill="auto"/>
            <w:vAlign w:val="center"/>
          </w:tcPr>
          <w:p w14:paraId="469BFFAC"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28.9 (0.97)</w:t>
            </w:r>
          </w:p>
        </w:tc>
      </w:tr>
      <w:tr w:rsidR="00DE3C2E" w:rsidRPr="00995FC1" w14:paraId="3B965D85" w14:textId="77777777" w:rsidTr="00A00E32">
        <w:trPr>
          <w:trHeight w:val="440"/>
          <w:jc w:val="center"/>
        </w:trPr>
        <w:tc>
          <w:tcPr>
            <w:tcW w:w="1997" w:type="pct"/>
            <w:shd w:val="clear" w:color="auto" w:fill="auto"/>
            <w:vAlign w:val="center"/>
          </w:tcPr>
          <w:p w14:paraId="11B0AC8B"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Mean Percent Change from Baseline</w:t>
            </w:r>
          </w:p>
        </w:tc>
        <w:tc>
          <w:tcPr>
            <w:tcW w:w="822" w:type="pct"/>
            <w:shd w:val="clear" w:color="auto" w:fill="auto"/>
            <w:vAlign w:val="center"/>
          </w:tcPr>
          <w:p w14:paraId="41D7FBA8" w14:textId="77777777" w:rsidR="00DE3C2E" w:rsidRPr="00995FC1" w:rsidRDefault="00DE3C2E" w:rsidP="00466762">
            <w:pPr>
              <w:pStyle w:val="TableText"/>
              <w:rPr>
                <w:rFonts w:cs="Arial"/>
                <w:i/>
                <w:sz w:val="20"/>
                <w:szCs w:val="20"/>
              </w:rPr>
            </w:pPr>
            <w:r w:rsidRPr="00995FC1">
              <w:rPr>
                <w:rFonts w:eastAsia="Times New Roman" w:cs="Arial"/>
                <w:sz w:val="20"/>
                <w:szCs w:val="20"/>
                <w:lang w:eastAsia="fr-FR"/>
              </w:rPr>
              <w:t>-49.7</w:t>
            </w:r>
          </w:p>
          <w:p w14:paraId="15DE277D" w14:textId="77777777" w:rsidR="00DE3C2E" w:rsidRPr="00995FC1" w:rsidRDefault="00DE3C2E" w:rsidP="00466762">
            <w:pPr>
              <w:pStyle w:val="TableText"/>
              <w:rPr>
                <w:rFonts w:eastAsia="Times New Roman" w:cs="Arial"/>
                <w:sz w:val="20"/>
                <w:szCs w:val="20"/>
                <w:lang w:eastAsia="fr-FR"/>
              </w:rPr>
            </w:pPr>
            <w:r w:rsidRPr="00995FC1">
              <w:rPr>
                <w:rFonts w:cs="Arial"/>
                <w:i/>
                <w:sz w:val="20"/>
                <w:szCs w:val="20"/>
              </w:rPr>
              <w:t>p ˂ 0.001 vs. Vehicle</w:t>
            </w:r>
          </w:p>
        </w:tc>
        <w:tc>
          <w:tcPr>
            <w:tcW w:w="665" w:type="pct"/>
            <w:shd w:val="clear" w:color="auto" w:fill="auto"/>
            <w:vAlign w:val="center"/>
          </w:tcPr>
          <w:p w14:paraId="069D9685"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-35.7</w:t>
            </w:r>
          </w:p>
          <w:p w14:paraId="66A410F4" w14:textId="77777777" w:rsidR="00DE3C2E" w:rsidRPr="00995FC1" w:rsidRDefault="00DE3C2E" w:rsidP="00466762">
            <w:pPr>
              <w:pStyle w:val="TableText"/>
              <w:rPr>
                <w:rFonts w:eastAsia="Times New Roman" w:cs="Arial"/>
                <w:sz w:val="20"/>
                <w:szCs w:val="20"/>
                <w:lang w:eastAsia="fr-FR"/>
              </w:rPr>
            </w:pPr>
          </w:p>
        </w:tc>
        <w:tc>
          <w:tcPr>
            <w:tcW w:w="842" w:type="pct"/>
            <w:shd w:val="clear" w:color="auto" w:fill="auto"/>
            <w:vAlign w:val="center"/>
          </w:tcPr>
          <w:p w14:paraId="3F2B5A06" w14:textId="77777777" w:rsidR="00DE3C2E" w:rsidRPr="00995FC1" w:rsidRDefault="00DE3C2E" w:rsidP="00466762">
            <w:pPr>
              <w:pStyle w:val="TableText"/>
              <w:rPr>
                <w:rFonts w:cs="Arial"/>
                <w:i/>
                <w:sz w:val="20"/>
                <w:szCs w:val="20"/>
              </w:rPr>
            </w:pPr>
            <w:r w:rsidRPr="00995FC1">
              <w:rPr>
                <w:rFonts w:eastAsia="Times New Roman" w:cs="Arial"/>
                <w:sz w:val="20"/>
                <w:szCs w:val="20"/>
                <w:lang w:eastAsia="fr-FR"/>
              </w:rPr>
              <w:t>-57.7</w:t>
            </w:r>
          </w:p>
          <w:p w14:paraId="7D297BE8" w14:textId="77777777" w:rsidR="00DE3C2E" w:rsidRPr="00995FC1" w:rsidRDefault="00DE3C2E" w:rsidP="00466762">
            <w:pPr>
              <w:pStyle w:val="TableText"/>
              <w:rPr>
                <w:rFonts w:eastAsia="Times New Roman" w:cs="Arial"/>
                <w:sz w:val="20"/>
                <w:szCs w:val="20"/>
                <w:lang w:eastAsia="fr-FR"/>
              </w:rPr>
            </w:pPr>
            <w:r w:rsidRPr="00995FC1">
              <w:rPr>
                <w:rFonts w:cs="Arial"/>
                <w:i/>
                <w:sz w:val="20"/>
                <w:szCs w:val="20"/>
              </w:rPr>
              <w:t>p ˂ 0.001 vs. Vehicle</w:t>
            </w:r>
          </w:p>
        </w:tc>
        <w:tc>
          <w:tcPr>
            <w:tcW w:w="674" w:type="pct"/>
            <w:shd w:val="clear" w:color="auto" w:fill="auto"/>
            <w:vAlign w:val="center"/>
          </w:tcPr>
          <w:p w14:paraId="3B836A6B" w14:textId="77777777" w:rsidR="00DE3C2E" w:rsidRPr="00995FC1" w:rsidRDefault="00DE3C2E" w:rsidP="00466762">
            <w:pPr>
              <w:pStyle w:val="TableText"/>
              <w:rPr>
                <w:rFonts w:eastAsia="Times New Roman" w:cs="Arial"/>
                <w:sz w:val="20"/>
                <w:szCs w:val="20"/>
                <w:lang w:eastAsia="fr-FR"/>
              </w:rPr>
            </w:pPr>
            <w:r w:rsidRPr="00995FC1">
              <w:rPr>
                <w:rFonts w:eastAsia="Times New Roman" w:cs="Arial"/>
                <w:sz w:val="20"/>
                <w:szCs w:val="20"/>
                <w:lang w:eastAsia="fr-FR"/>
              </w:rPr>
              <w:t>-43.9</w:t>
            </w:r>
          </w:p>
        </w:tc>
      </w:tr>
    </w:tbl>
    <w:p w14:paraId="128E7835" w14:textId="77777777" w:rsidR="00DE3C2E" w:rsidRPr="006433C1" w:rsidRDefault="00DE3C2E" w:rsidP="00466762">
      <w:pPr>
        <w:rPr>
          <w:rFonts w:eastAsia="Times New Roman"/>
          <w:lang w:eastAsia="en-CA"/>
        </w:rPr>
      </w:pPr>
    </w:p>
    <w:p w14:paraId="7EA64844" w14:textId="2FAE947D" w:rsidR="00DE3C2E" w:rsidRPr="00995FC1" w:rsidRDefault="00DE3C2E" w:rsidP="00466762">
      <w:pPr>
        <w:pStyle w:val="Caption"/>
        <w:pageBreakBefore/>
        <w:spacing w:before="0"/>
        <w:ind w:left="1411" w:hanging="1411"/>
        <w:rPr>
          <w:rFonts w:ascii="Arial" w:hAnsi="Arial" w:cs="Arial"/>
          <w:sz w:val="22"/>
          <w:szCs w:val="22"/>
        </w:rPr>
      </w:pPr>
      <w:r w:rsidRPr="00995FC1">
        <w:rPr>
          <w:rFonts w:ascii="Arial" w:hAnsi="Arial" w:cs="Arial"/>
          <w:sz w:val="22"/>
          <w:szCs w:val="22"/>
        </w:rPr>
        <w:t xml:space="preserve">Table </w:t>
      </w:r>
      <w:r w:rsidR="007B0913">
        <w:rPr>
          <w:rFonts w:ascii="Arial" w:hAnsi="Arial" w:cs="Arial"/>
          <w:sz w:val="22"/>
          <w:szCs w:val="22"/>
        </w:rPr>
        <w:t>5</w:t>
      </w:r>
      <w:r w:rsidRPr="00995FC1">
        <w:rPr>
          <w:rFonts w:ascii="Arial" w:hAnsi="Arial" w:cs="Arial"/>
          <w:sz w:val="22"/>
          <w:szCs w:val="22"/>
        </w:rPr>
        <w:tab/>
        <w:t>Truncal Acne Improvement in Physician’s Global Assessment and Change in Lesion Counts at Week 12 (Intent-to-Treat on the Trunk, Multiple Imputation)</w:t>
      </w:r>
    </w:p>
    <w:tbl>
      <w:tblPr>
        <w:tblW w:w="5161" w:type="pct"/>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7"/>
        <w:gridCol w:w="1502"/>
        <w:gridCol w:w="1248"/>
        <w:gridCol w:w="1569"/>
        <w:gridCol w:w="1296"/>
      </w:tblGrid>
      <w:tr w:rsidR="00DE3C2E" w:rsidRPr="00995FC1" w14:paraId="621CAF30" w14:textId="77777777" w:rsidTr="00A00E32">
        <w:trPr>
          <w:trHeight w:val="335"/>
          <w:tblHeader/>
          <w:jc w:val="center"/>
        </w:trPr>
        <w:tc>
          <w:tcPr>
            <w:tcW w:w="1998" w:type="pct"/>
            <w:shd w:val="clear" w:color="auto" w:fill="auto"/>
            <w:vAlign w:val="center"/>
            <w:hideMark/>
          </w:tcPr>
          <w:p w14:paraId="4C2F4FB0" w14:textId="77777777" w:rsidR="00DE3C2E" w:rsidRPr="00995FC1" w:rsidRDefault="00DE3C2E" w:rsidP="00466762">
            <w:pPr>
              <w:spacing w:before="0" w:after="0"/>
              <w:rPr>
                <w:rFonts w:eastAsia="Times New Roman" w:cs="Arial"/>
                <w:b/>
                <w:bCs/>
                <w:sz w:val="20"/>
                <w:szCs w:val="20"/>
                <w:lang w:eastAsia="fr-FR"/>
              </w:rPr>
            </w:pPr>
            <w:r w:rsidRPr="00995FC1">
              <w:rPr>
                <w:rFonts w:eastAsia="Times New Roman" w:cs="Arial"/>
                <w:b/>
                <w:bCs/>
                <w:sz w:val="20"/>
                <w:szCs w:val="20"/>
                <w:lang w:eastAsia="fr-FR"/>
              </w:rPr>
              <w:t xml:space="preserve">Secondary Endpoints </w:t>
            </w:r>
          </w:p>
        </w:tc>
        <w:tc>
          <w:tcPr>
            <w:tcW w:w="1470" w:type="pct"/>
            <w:gridSpan w:val="2"/>
            <w:shd w:val="clear" w:color="auto" w:fill="auto"/>
            <w:vAlign w:val="center"/>
            <w:hideMark/>
          </w:tcPr>
          <w:p w14:paraId="4E10FDDC" w14:textId="77777777" w:rsidR="00DE3C2E" w:rsidRPr="00995FC1" w:rsidRDefault="00DE3C2E" w:rsidP="00466762">
            <w:pPr>
              <w:spacing w:before="0" w:after="0"/>
              <w:rPr>
                <w:rFonts w:eastAsia="Times New Roman" w:cs="Arial"/>
                <w:b/>
                <w:bCs/>
                <w:sz w:val="20"/>
                <w:szCs w:val="20"/>
                <w:lang w:eastAsia="fr-FR"/>
              </w:rPr>
            </w:pPr>
            <w:r w:rsidRPr="00995FC1">
              <w:rPr>
                <w:rFonts w:eastAsia="Times New Roman" w:cs="Arial"/>
                <w:b/>
                <w:bCs/>
                <w:sz w:val="20"/>
                <w:szCs w:val="20"/>
                <w:lang w:eastAsia="fr-FR"/>
              </w:rPr>
              <w:t>Study 18251</w:t>
            </w:r>
          </w:p>
        </w:tc>
        <w:tc>
          <w:tcPr>
            <w:tcW w:w="1531" w:type="pct"/>
            <w:gridSpan w:val="2"/>
            <w:shd w:val="clear" w:color="auto" w:fill="auto"/>
            <w:vAlign w:val="center"/>
            <w:hideMark/>
          </w:tcPr>
          <w:p w14:paraId="7CE7C27A" w14:textId="77777777" w:rsidR="00DE3C2E" w:rsidRPr="00995FC1" w:rsidRDefault="00DE3C2E" w:rsidP="00466762">
            <w:pPr>
              <w:spacing w:before="0" w:after="0"/>
              <w:rPr>
                <w:rFonts w:eastAsia="Times New Roman" w:cs="Arial"/>
                <w:b/>
                <w:bCs/>
                <w:sz w:val="20"/>
                <w:szCs w:val="20"/>
                <w:lang w:eastAsia="fr-FR"/>
              </w:rPr>
            </w:pPr>
            <w:r w:rsidRPr="00995FC1">
              <w:rPr>
                <w:rFonts w:eastAsia="Times New Roman" w:cs="Arial"/>
                <w:b/>
                <w:bCs/>
                <w:sz w:val="20"/>
                <w:szCs w:val="20"/>
                <w:lang w:eastAsia="fr-FR"/>
              </w:rPr>
              <w:t>Study 18252</w:t>
            </w:r>
          </w:p>
        </w:tc>
      </w:tr>
      <w:tr w:rsidR="00DE3C2E" w:rsidRPr="00995FC1" w14:paraId="3B7E4F4E" w14:textId="77777777" w:rsidTr="00A00E32">
        <w:trPr>
          <w:trHeight w:val="583"/>
          <w:tblHeader/>
          <w:jc w:val="center"/>
        </w:trPr>
        <w:tc>
          <w:tcPr>
            <w:tcW w:w="1998" w:type="pct"/>
            <w:vMerge w:val="restart"/>
            <w:shd w:val="clear" w:color="auto" w:fill="auto"/>
            <w:vAlign w:val="center"/>
            <w:hideMark/>
          </w:tcPr>
          <w:p w14:paraId="0179C1CC" w14:textId="77777777" w:rsidR="00DE3C2E" w:rsidRPr="00995FC1" w:rsidRDefault="00DE3C2E" w:rsidP="00466762">
            <w:pPr>
              <w:spacing w:before="0" w:after="0"/>
              <w:rPr>
                <w:rFonts w:eastAsia="Times New Roman" w:cs="Arial"/>
                <w:sz w:val="20"/>
                <w:szCs w:val="20"/>
                <w:lang w:eastAsia="fr-FR"/>
              </w:rPr>
            </w:pPr>
          </w:p>
        </w:tc>
        <w:tc>
          <w:tcPr>
            <w:tcW w:w="803" w:type="pct"/>
            <w:shd w:val="clear" w:color="auto" w:fill="auto"/>
            <w:vAlign w:val="center"/>
            <w:hideMark/>
          </w:tcPr>
          <w:p w14:paraId="370C5E2A" w14:textId="77777777" w:rsidR="00DE3C2E" w:rsidRPr="00995FC1" w:rsidRDefault="00DE3C2E" w:rsidP="00466762">
            <w:pPr>
              <w:spacing w:before="0" w:after="0"/>
              <w:rPr>
                <w:rFonts w:eastAsia="Times New Roman" w:cs="Arial"/>
                <w:iCs/>
                <w:sz w:val="20"/>
                <w:szCs w:val="20"/>
                <w:vertAlign w:val="superscript"/>
                <w:lang w:eastAsia="en-CA"/>
              </w:rPr>
            </w:pPr>
            <w:r w:rsidRPr="00995FC1">
              <w:rPr>
                <w:rFonts w:eastAsia="Times New Roman" w:cs="Arial"/>
                <w:sz w:val="20"/>
                <w:szCs w:val="20"/>
                <w:lang w:eastAsia="fr-FR"/>
              </w:rPr>
              <w:t>AKLIEF</w:t>
            </w:r>
          </w:p>
          <w:p w14:paraId="70854DCB"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cream</w:t>
            </w:r>
          </w:p>
        </w:tc>
        <w:tc>
          <w:tcPr>
            <w:tcW w:w="667" w:type="pct"/>
            <w:shd w:val="clear" w:color="auto" w:fill="auto"/>
            <w:vAlign w:val="center"/>
            <w:hideMark/>
          </w:tcPr>
          <w:p w14:paraId="45065690"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Vehicle cream</w:t>
            </w:r>
          </w:p>
        </w:tc>
        <w:tc>
          <w:tcPr>
            <w:tcW w:w="839" w:type="pct"/>
            <w:shd w:val="clear" w:color="auto" w:fill="auto"/>
            <w:vAlign w:val="center"/>
            <w:hideMark/>
          </w:tcPr>
          <w:p w14:paraId="1F33A8DB"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AKLIEF cream</w:t>
            </w:r>
          </w:p>
        </w:tc>
        <w:tc>
          <w:tcPr>
            <w:tcW w:w="692" w:type="pct"/>
            <w:shd w:val="clear" w:color="auto" w:fill="auto"/>
            <w:vAlign w:val="center"/>
            <w:hideMark/>
          </w:tcPr>
          <w:p w14:paraId="1BE1AB88"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Vehicle cream</w:t>
            </w:r>
          </w:p>
        </w:tc>
      </w:tr>
      <w:tr w:rsidR="00DE3C2E" w:rsidRPr="00995FC1" w14:paraId="0E67FE34" w14:textId="77777777" w:rsidTr="00A00E32">
        <w:trPr>
          <w:trHeight w:val="335"/>
          <w:tblHeader/>
          <w:jc w:val="center"/>
        </w:trPr>
        <w:tc>
          <w:tcPr>
            <w:tcW w:w="1998" w:type="pct"/>
            <w:vMerge/>
            <w:vAlign w:val="center"/>
            <w:hideMark/>
          </w:tcPr>
          <w:p w14:paraId="77B54770" w14:textId="77777777" w:rsidR="00DE3C2E" w:rsidRPr="00995FC1" w:rsidRDefault="00DE3C2E" w:rsidP="00466762">
            <w:pPr>
              <w:spacing w:before="0" w:after="0"/>
              <w:rPr>
                <w:rFonts w:eastAsia="Times New Roman" w:cs="Arial"/>
                <w:sz w:val="20"/>
                <w:szCs w:val="20"/>
                <w:lang w:eastAsia="fr-FR"/>
              </w:rPr>
            </w:pPr>
          </w:p>
        </w:tc>
        <w:tc>
          <w:tcPr>
            <w:tcW w:w="803" w:type="pct"/>
            <w:shd w:val="clear" w:color="auto" w:fill="auto"/>
            <w:vAlign w:val="center"/>
            <w:hideMark/>
          </w:tcPr>
          <w:p w14:paraId="0082874E"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N= 600</w:t>
            </w:r>
          </w:p>
        </w:tc>
        <w:tc>
          <w:tcPr>
            <w:tcW w:w="667" w:type="pct"/>
            <w:shd w:val="clear" w:color="auto" w:fill="auto"/>
            <w:vAlign w:val="center"/>
            <w:hideMark/>
          </w:tcPr>
          <w:p w14:paraId="2A8D794E"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N=585</w:t>
            </w:r>
          </w:p>
        </w:tc>
        <w:tc>
          <w:tcPr>
            <w:tcW w:w="839" w:type="pct"/>
            <w:shd w:val="clear" w:color="auto" w:fill="auto"/>
            <w:vAlign w:val="center"/>
            <w:hideMark/>
          </w:tcPr>
          <w:p w14:paraId="10736122"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N= 598</w:t>
            </w:r>
          </w:p>
        </w:tc>
        <w:tc>
          <w:tcPr>
            <w:tcW w:w="692" w:type="pct"/>
            <w:shd w:val="clear" w:color="auto" w:fill="auto"/>
            <w:vAlign w:val="center"/>
            <w:hideMark/>
          </w:tcPr>
          <w:p w14:paraId="35621262"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N=609</w:t>
            </w:r>
          </w:p>
        </w:tc>
      </w:tr>
      <w:tr w:rsidR="00DE3C2E" w:rsidRPr="00995FC1" w14:paraId="55AAE4EC" w14:textId="77777777" w:rsidTr="00A00E32">
        <w:trPr>
          <w:trHeight w:val="692"/>
          <w:jc w:val="center"/>
        </w:trPr>
        <w:tc>
          <w:tcPr>
            <w:tcW w:w="1998" w:type="pct"/>
            <w:shd w:val="clear" w:color="auto" w:fill="auto"/>
            <w:vAlign w:val="center"/>
          </w:tcPr>
          <w:p w14:paraId="468FBC6D" w14:textId="77777777" w:rsidR="00DE3C2E" w:rsidRPr="00995FC1" w:rsidRDefault="00DE3C2E" w:rsidP="00466762">
            <w:pPr>
              <w:spacing w:before="0" w:after="0"/>
              <w:rPr>
                <w:rFonts w:eastAsia="Times New Roman" w:cs="Arial"/>
                <w:b/>
                <w:sz w:val="20"/>
                <w:szCs w:val="20"/>
                <w:lang w:eastAsia="fr-FR"/>
              </w:rPr>
            </w:pPr>
            <w:r w:rsidRPr="00995FC1">
              <w:rPr>
                <w:rFonts w:eastAsia="Times New Roman" w:cs="Arial"/>
                <w:b/>
                <w:sz w:val="20"/>
                <w:szCs w:val="20"/>
                <w:lang w:eastAsia="fr-FR"/>
              </w:rPr>
              <w:t>PGA Success Rate (%)</w:t>
            </w:r>
          </w:p>
          <w:p w14:paraId="133C6988" w14:textId="77777777" w:rsidR="00DE3C2E" w:rsidRPr="00995FC1" w:rsidRDefault="00DE3C2E" w:rsidP="00466762">
            <w:pPr>
              <w:spacing w:before="0" w:after="0"/>
              <w:rPr>
                <w:rFonts w:eastAsia="Times New Roman" w:cs="Arial"/>
                <w:b/>
                <w:sz w:val="20"/>
                <w:szCs w:val="20"/>
                <w:lang w:eastAsia="fr-FR"/>
              </w:rPr>
            </w:pPr>
            <w:r w:rsidRPr="00995FC1">
              <w:rPr>
                <w:rFonts w:eastAsia="Times New Roman" w:cs="Arial"/>
                <w:b/>
                <w:sz w:val="20"/>
                <w:szCs w:val="20"/>
                <w:lang w:eastAsia="fr-FR"/>
              </w:rPr>
              <w:t xml:space="preserve">(At least 2-grade improvement and PGA of “Clear” (0) or “Almost Clear” (1)) </w:t>
            </w:r>
          </w:p>
        </w:tc>
        <w:tc>
          <w:tcPr>
            <w:tcW w:w="803" w:type="pct"/>
            <w:shd w:val="clear" w:color="auto" w:fill="auto"/>
            <w:vAlign w:val="center"/>
          </w:tcPr>
          <w:p w14:paraId="0FA9484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35.7</w:t>
            </w:r>
          </w:p>
        </w:tc>
        <w:tc>
          <w:tcPr>
            <w:tcW w:w="667" w:type="pct"/>
            <w:shd w:val="clear" w:color="auto" w:fill="auto"/>
            <w:vAlign w:val="center"/>
          </w:tcPr>
          <w:p w14:paraId="6C464BF1"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25.0</w:t>
            </w:r>
          </w:p>
        </w:tc>
        <w:tc>
          <w:tcPr>
            <w:tcW w:w="839" w:type="pct"/>
            <w:shd w:val="clear" w:color="auto" w:fill="auto"/>
            <w:vAlign w:val="center"/>
          </w:tcPr>
          <w:p w14:paraId="5FDC4453"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42.6</w:t>
            </w:r>
          </w:p>
        </w:tc>
        <w:tc>
          <w:tcPr>
            <w:tcW w:w="692" w:type="pct"/>
            <w:shd w:val="clear" w:color="auto" w:fill="auto"/>
            <w:vAlign w:val="center"/>
          </w:tcPr>
          <w:p w14:paraId="2036140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29.9</w:t>
            </w:r>
          </w:p>
        </w:tc>
      </w:tr>
      <w:tr w:rsidR="00DE3C2E" w:rsidRPr="00995FC1" w14:paraId="1C20FD79" w14:textId="77777777" w:rsidTr="00A00E32">
        <w:trPr>
          <w:trHeight w:val="440"/>
          <w:jc w:val="center"/>
        </w:trPr>
        <w:tc>
          <w:tcPr>
            <w:tcW w:w="1998" w:type="pct"/>
            <w:shd w:val="clear" w:color="auto" w:fill="auto"/>
            <w:vAlign w:val="center"/>
            <w:hideMark/>
          </w:tcPr>
          <w:p w14:paraId="181D1B29"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Percent difference from vehicle (95% CI)</w:t>
            </w:r>
          </w:p>
        </w:tc>
        <w:tc>
          <w:tcPr>
            <w:tcW w:w="803" w:type="pct"/>
            <w:shd w:val="clear" w:color="auto" w:fill="auto"/>
            <w:vAlign w:val="center"/>
            <w:hideMark/>
          </w:tcPr>
          <w:p w14:paraId="2FA7BD2D"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10.7 (5.4, 16.1)</w:t>
            </w:r>
          </w:p>
          <w:p w14:paraId="5111338D" w14:textId="77777777" w:rsidR="00DE3C2E" w:rsidRPr="00995FC1" w:rsidRDefault="00DE3C2E" w:rsidP="00466762">
            <w:pPr>
              <w:spacing w:before="0" w:after="0"/>
              <w:rPr>
                <w:rFonts w:eastAsia="Times New Roman" w:cs="Arial"/>
                <w:i/>
                <w:sz w:val="20"/>
                <w:szCs w:val="20"/>
                <w:lang w:eastAsia="fr-FR"/>
              </w:rPr>
            </w:pPr>
            <w:r w:rsidRPr="00995FC1">
              <w:rPr>
                <w:rFonts w:cs="Arial"/>
                <w:i/>
                <w:sz w:val="20"/>
                <w:szCs w:val="20"/>
              </w:rPr>
              <w:t>p˂ 0.001 vs. Vehicle</w:t>
            </w:r>
          </w:p>
        </w:tc>
        <w:tc>
          <w:tcPr>
            <w:tcW w:w="667" w:type="pct"/>
            <w:shd w:val="clear" w:color="auto" w:fill="auto"/>
            <w:vAlign w:val="center"/>
            <w:hideMark/>
          </w:tcPr>
          <w:p w14:paraId="1BF377A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w:t>
            </w:r>
          </w:p>
        </w:tc>
        <w:tc>
          <w:tcPr>
            <w:tcW w:w="839" w:type="pct"/>
            <w:shd w:val="clear" w:color="auto" w:fill="auto"/>
            <w:vAlign w:val="center"/>
          </w:tcPr>
          <w:p w14:paraId="6641E375"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12.7 (7.2, 18.2)</w:t>
            </w:r>
          </w:p>
          <w:p w14:paraId="08BFFCA3" w14:textId="77777777" w:rsidR="00DE3C2E" w:rsidRPr="00995FC1" w:rsidRDefault="00DE3C2E" w:rsidP="00466762">
            <w:pPr>
              <w:spacing w:before="0" w:after="0"/>
              <w:rPr>
                <w:rFonts w:eastAsia="Times New Roman" w:cs="Arial"/>
                <w:sz w:val="20"/>
                <w:szCs w:val="20"/>
                <w:lang w:eastAsia="fr-FR"/>
              </w:rPr>
            </w:pPr>
            <w:r w:rsidRPr="00995FC1">
              <w:rPr>
                <w:rFonts w:cs="Arial"/>
                <w:i/>
                <w:sz w:val="20"/>
                <w:szCs w:val="20"/>
              </w:rPr>
              <w:t>p˂ 0.001 vs. Vehicle</w:t>
            </w:r>
          </w:p>
        </w:tc>
        <w:tc>
          <w:tcPr>
            <w:tcW w:w="692" w:type="pct"/>
            <w:shd w:val="clear" w:color="auto" w:fill="auto"/>
            <w:vAlign w:val="center"/>
          </w:tcPr>
          <w:p w14:paraId="484BB9BA"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w:t>
            </w:r>
          </w:p>
        </w:tc>
      </w:tr>
      <w:tr w:rsidR="00DE3C2E" w:rsidRPr="00995FC1" w14:paraId="2089E469" w14:textId="77777777" w:rsidTr="00A00E32">
        <w:trPr>
          <w:trHeight w:val="530"/>
          <w:jc w:val="center"/>
        </w:trPr>
        <w:tc>
          <w:tcPr>
            <w:tcW w:w="5000" w:type="pct"/>
            <w:gridSpan w:val="5"/>
            <w:shd w:val="clear" w:color="auto" w:fill="auto"/>
            <w:vAlign w:val="center"/>
          </w:tcPr>
          <w:p w14:paraId="38A8C9D3" w14:textId="77777777" w:rsidR="00DE3C2E" w:rsidRPr="00995FC1" w:rsidRDefault="00DE3C2E" w:rsidP="00466762">
            <w:pPr>
              <w:spacing w:before="0" w:after="0"/>
              <w:rPr>
                <w:rFonts w:eastAsia="Times New Roman" w:cs="Arial"/>
                <w:b/>
                <w:sz w:val="20"/>
                <w:szCs w:val="20"/>
                <w:lang w:eastAsia="fr-FR"/>
              </w:rPr>
            </w:pPr>
            <w:r w:rsidRPr="00995FC1">
              <w:rPr>
                <w:rFonts w:eastAsia="Times New Roman" w:cs="Arial"/>
                <w:b/>
                <w:sz w:val="20"/>
                <w:szCs w:val="20"/>
                <w:lang w:eastAsia="fr-FR"/>
              </w:rPr>
              <w:t>Inflammatory Lesions</w:t>
            </w:r>
          </w:p>
          <w:p w14:paraId="3E536657" w14:textId="77777777" w:rsidR="00DE3C2E" w:rsidRPr="00995FC1" w:rsidRDefault="00DE3C2E" w:rsidP="00466762">
            <w:pPr>
              <w:spacing w:before="0" w:after="0"/>
              <w:rPr>
                <w:rFonts w:eastAsia="Times New Roman" w:cs="Arial"/>
                <w:b/>
                <w:sz w:val="20"/>
                <w:szCs w:val="20"/>
                <w:lang w:eastAsia="fr-FR"/>
              </w:rPr>
            </w:pPr>
            <w:r w:rsidRPr="00995FC1">
              <w:rPr>
                <w:rFonts w:eastAsia="Times New Roman" w:cs="Arial"/>
                <w:b/>
                <w:sz w:val="20"/>
                <w:szCs w:val="20"/>
                <w:lang w:eastAsia="fr-FR"/>
              </w:rPr>
              <w:t xml:space="preserve">Mean Absolute Change from Baseline </w:t>
            </w:r>
          </w:p>
        </w:tc>
      </w:tr>
      <w:tr w:rsidR="00DE3C2E" w:rsidRPr="00995FC1" w14:paraId="0D97A182" w14:textId="77777777" w:rsidTr="00A00E32">
        <w:trPr>
          <w:trHeight w:val="269"/>
          <w:jc w:val="center"/>
        </w:trPr>
        <w:tc>
          <w:tcPr>
            <w:tcW w:w="1998" w:type="pct"/>
            <w:shd w:val="clear" w:color="auto" w:fill="auto"/>
            <w:vAlign w:val="center"/>
          </w:tcPr>
          <w:p w14:paraId="650C4A9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LS Mean (SE)</w:t>
            </w:r>
          </w:p>
        </w:tc>
        <w:tc>
          <w:tcPr>
            <w:tcW w:w="803" w:type="pct"/>
            <w:shd w:val="clear" w:color="auto" w:fill="auto"/>
            <w:vAlign w:val="center"/>
          </w:tcPr>
          <w:p w14:paraId="23965069"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-21.4 (0.54)</w:t>
            </w:r>
          </w:p>
        </w:tc>
        <w:tc>
          <w:tcPr>
            <w:tcW w:w="667" w:type="pct"/>
            <w:shd w:val="clear" w:color="auto" w:fill="auto"/>
            <w:vAlign w:val="center"/>
          </w:tcPr>
          <w:p w14:paraId="58977F8B"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-18.8 (0.55)</w:t>
            </w:r>
          </w:p>
        </w:tc>
        <w:tc>
          <w:tcPr>
            <w:tcW w:w="839" w:type="pct"/>
            <w:shd w:val="clear" w:color="auto" w:fill="auto"/>
            <w:vAlign w:val="center"/>
          </w:tcPr>
          <w:p w14:paraId="4704E890"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-25.5 (0.59)</w:t>
            </w:r>
          </w:p>
        </w:tc>
        <w:tc>
          <w:tcPr>
            <w:tcW w:w="692" w:type="pct"/>
            <w:shd w:val="clear" w:color="auto" w:fill="auto"/>
            <w:vAlign w:val="center"/>
          </w:tcPr>
          <w:p w14:paraId="225AB9D3"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-19.8 (0.58)</w:t>
            </w:r>
          </w:p>
        </w:tc>
      </w:tr>
      <w:tr w:rsidR="00DE3C2E" w:rsidRPr="00995FC1" w14:paraId="5A1A20B5" w14:textId="77777777" w:rsidTr="00A00E32">
        <w:trPr>
          <w:trHeight w:val="341"/>
          <w:jc w:val="center"/>
        </w:trPr>
        <w:tc>
          <w:tcPr>
            <w:tcW w:w="1998" w:type="pct"/>
            <w:shd w:val="clear" w:color="auto" w:fill="auto"/>
            <w:vAlign w:val="center"/>
            <w:hideMark/>
          </w:tcPr>
          <w:p w14:paraId="0D1BA124"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LS Mean Difference from vehicle (95% CI)</w:t>
            </w:r>
          </w:p>
        </w:tc>
        <w:tc>
          <w:tcPr>
            <w:tcW w:w="803" w:type="pct"/>
            <w:shd w:val="clear" w:color="auto" w:fill="auto"/>
            <w:vAlign w:val="center"/>
            <w:hideMark/>
          </w:tcPr>
          <w:p w14:paraId="78019C4B"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-2.5 (-4.0, -1.1)</w:t>
            </w:r>
            <w:r w:rsidRPr="00995FC1">
              <w:rPr>
                <w:rFonts w:cs="Arial"/>
                <w:i/>
                <w:sz w:val="20"/>
                <w:szCs w:val="20"/>
              </w:rPr>
              <w:t xml:space="preserve"> p ˂ 0.001 vs. Vehicle</w:t>
            </w:r>
            <w:r w:rsidRPr="00995FC1">
              <w:rPr>
                <w:rFonts w:eastAsia="Times New Roman" w:cs="Arial"/>
                <w:i/>
                <w:sz w:val="20"/>
                <w:szCs w:val="20"/>
                <w:lang w:eastAsia="fr-FR"/>
              </w:rPr>
              <w:t>)</w:t>
            </w:r>
          </w:p>
        </w:tc>
        <w:tc>
          <w:tcPr>
            <w:tcW w:w="667" w:type="pct"/>
            <w:shd w:val="clear" w:color="auto" w:fill="auto"/>
            <w:vAlign w:val="center"/>
            <w:hideMark/>
          </w:tcPr>
          <w:p w14:paraId="70D5EE9E"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w:t>
            </w:r>
          </w:p>
        </w:tc>
        <w:tc>
          <w:tcPr>
            <w:tcW w:w="839" w:type="pct"/>
            <w:shd w:val="clear" w:color="auto" w:fill="auto"/>
            <w:vAlign w:val="center"/>
          </w:tcPr>
          <w:p w14:paraId="5A30098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-5.7 (-7.2, -4.2)</w:t>
            </w:r>
            <w:r w:rsidRPr="00995FC1">
              <w:rPr>
                <w:rFonts w:cs="Arial"/>
                <w:i/>
                <w:sz w:val="20"/>
                <w:szCs w:val="20"/>
              </w:rPr>
              <w:t xml:space="preserve"> p ˂ 0.001 vs. Vehicle</w:t>
            </w:r>
          </w:p>
        </w:tc>
        <w:tc>
          <w:tcPr>
            <w:tcW w:w="692" w:type="pct"/>
            <w:shd w:val="clear" w:color="auto" w:fill="auto"/>
            <w:vAlign w:val="center"/>
          </w:tcPr>
          <w:p w14:paraId="7FEA49B2"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w:t>
            </w:r>
          </w:p>
        </w:tc>
      </w:tr>
      <w:tr w:rsidR="00DE3C2E" w:rsidRPr="00995FC1" w14:paraId="50E1A0F5" w14:textId="77777777" w:rsidTr="00A00E32">
        <w:trPr>
          <w:trHeight w:val="341"/>
          <w:jc w:val="center"/>
        </w:trPr>
        <w:tc>
          <w:tcPr>
            <w:tcW w:w="5000" w:type="pct"/>
            <w:gridSpan w:val="5"/>
            <w:shd w:val="clear" w:color="auto" w:fill="auto"/>
            <w:vAlign w:val="center"/>
          </w:tcPr>
          <w:p w14:paraId="6AB1C277" w14:textId="77777777" w:rsidR="00AF0949" w:rsidRDefault="00AF0949" w:rsidP="00466762">
            <w:pPr>
              <w:spacing w:before="0" w:after="0"/>
              <w:rPr>
                <w:rFonts w:eastAsia="Times New Roman" w:cs="Arial"/>
                <w:b/>
                <w:sz w:val="20"/>
                <w:szCs w:val="20"/>
                <w:lang w:eastAsia="fr-FR"/>
              </w:rPr>
            </w:pPr>
            <w:r>
              <w:rPr>
                <w:rFonts w:eastAsia="Times New Roman" w:cs="Arial"/>
                <w:b/>
                <w:sz w:val="20"/>
                <w:szCs w:val="20"/>
                <w:lang w:eastAsia="fr-FR"/>
              </w:rPr>
              <w:t>Supportive Endpoint</w:t>
            </w:r>
          </w:p>
          <w:p w14:paraId="3765A116" w14:textId="13EF9EF4" w:rsidR="00DE3C2E" w:rsidRPr="00995FC1" w:rsidRDefault="00DE3C2E" w:rsidP="00466762">
            <w:pPr>
              <w:spacing w:before="0" w:after="0"/>
              <w:rPr>
                <w:rFonts w:eastAsia="Times New Roman" w:cs="Arial"/>
                <w:sz w:val="20"/>
                <w:szCs w:val="20"/>
                <w:lang w:eastAsia="fr-FR"/>
              </w:rPr>
            </w:pPr>
            <w:r w:rsidRPr="00995FC1">
              <w:rPr>
                <w:rFonts w:eastAsia="Times New Roman" w:cs="Arial"/>
                <w:b/>
                <w:sz w:val="20"/>
                <w:szCs w:val="20"/>
                <w:lang w:eastAsia="fr-FR"/>
              </w:rPr>
              <w:t>Mean</w:t>
            </w:r>
            <w:r w:rsidRPr="00995FC1">
              <w:rPr>
                <w:rFonts w:eastAsia="Times New Roman" w:cs="Arial"/>
                <w:sz w:val="20"/>
                <w:szCs w:val="20"/>
                <w:lang w:eastAsia="fr-FR"/>
              </w:rPr>
              <w:t xml:space="preserve"> </w:t>
            </w:r>
            <w:r w:rsidRPr="00995FC1">
              <w:rPr>
                <w:rFonts w:eastAsia="Times New Roman" w:cs="Arial"/>
                <w:b/>
                <w:sz w:val="20"/>
                <w:szCs w:val="20"/>
                <w:lang w:eastAsia="fr-FR"/>
              </w:rPr>
              <w:t>Percent Change from Baseline (%)</w:t>
            </w:r>
          </w:p>
        </w:tc>
      </w:tr>
      <w:tr w:rsidR="00DE3C2E" w:rsidRPr="00995FC1" w14:paraId="35CB3B30" w14:textId="77777777" w:rsidTr="00A00E32">
        <w:trPr>
          <w:trHeight w:val="341"/>
          <w:jc w:val="center"/>
        </w:trPr>
        <w:tc>
          <w:tcPr>
            <w:tcW w:w="1998" w:type="pct"/>
            <w:shd w:val="clear" w:color="auto" w:fill="auto"/>
            <w:vAlign w:val="center"/>
          </w:tcPr>
          <w:p w14:paraId="7AE8BA48"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Mean (SE)</w:t>
            </w:r>
          </w:p>
        </w:tc>
        <w:tc>
          <w:tcPr>
            <w:tcW w:w="803" w:type="pct"/>
            <w:shd w:val="clear" w:color="auto" w:fill="auto"/>
            <w:vAlign w:val="center"/>
          </w:tcPr>
          <w:p w14:paraId="4D3F4FD8"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15.9 (0.60)</w:t>
            </w:r>
          </w:p>
        </w:tc>
        <w:tc>
          <w:tcPr>
            <w:tcW w:w="667" w:type="pct"/>
            <w:shd w:val="clear" w:color="auto" w:fill="auto"/>
            <w:vAlign w:val="center"/>
          </w:tcPr>
          <w:p w14:paraId="10E6FCB2"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17.9 (0.64)</w:t>
            </w:r>
          </w:p>
        </w:tc>
        <w:tc>
          <w:tcPr>
            <w:tcW w:w="839" w:type="pct"/>
            <w:shd w:val="clear" w:color="auto" w:fill="auto"/>
            <w:vAlign w:val="center"/>
          </w:tcPr>
          <w:p w14:paraId="0878E95F"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13.5 (0.57)</w:t>
            </w:r>
          </w:p>
        </w:tc>
        <w:tc>
          <w:tcPr>
            <w:tcW w:w="692" w:type="pct"/>
            <w:shd w:val="clear" w:color="auto" w:fill="auto"/>
            <w:vAlign w:val="center"/>
          </w:tcPr>
          <w:p w14:paraId="219D978A"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18.8 (0.71)</w:t>
            </w:r>
          </w:p>
        </w:tc>
      </w:tr>
      <w:tr w:rsidR="00DE3C2E" w:rsidRPr="00995FC1" w14:paraId="6556745F" w14:textId="77777777" w:rsidTr="00A00E32">
        <w:trPr>
          <w:trHeight w:val="341"/>
          <w:jc w:val="center"/>
        </w:trPr>
        <w:tc>
          <w:tcPr>
            <w:tcW w:w="1998" w:type="pct"/>
            <w:shd w:val="clear" w:color="auto" w:fill="auto"/>
            <w:vAlign w:val="center"/>
          </w:tcPr>
          <w:p w14:paraId="50AA60CD"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Mean Percent Change from Baseline</w:t>
            </w:r>
          </w:p>
        </w:tc>
        <w:tc>
          <w:tcPr>
            <w:tcW w:w="803" w:type="pct"/>
            <w:shd w:val="clear" w:color="auto" w:fill="auto"/>
            <w:vAlign w:val="center"/>
          </w:tcPr>
          <w:p w14:paraId="33507370" w14:textId="77777777" w:rsidR="00DE3C2E" w:rsidRPr="00995FC1" w:rsidRDefault="00DE3C2E" w:rsidP="00466762">
            <w:pPr>
              <w:spacing w:before="0" w:after="0"/>
              <w:rPr>
                <w:rFonts w:cs="Arial"/>
                <w:i/>
                <w:sz w:val="20"/>
                <w:szCs w:val="20"/>
              </w:rPr>
            </w:pPr>
            <w:r w:rsidRPr="00995FC1">
              <w:rPr>
                <w:rFonts w:eastAsia="Times New Roman" w:cs="Arial"/>
                <w:sz w:val="20"/>
                <w:szCs w:val="20"/>
                <w:lang w:eastAsia="fr-FR"/>
              </w:rPr>
              <w:t>-57.4</w:t>
            </w:r>
            <w:r w:rsidRPr="00995FC1">
              <w:rPr>
                <w:rFonts w:cs="Arial"/>
                <w:i/>
                <w:sz w:val="20"/>
                <w:szCs w:val="20"/>
              </w:rPr>
              <w:t xml:space="preserve"> </w:t>
            </w:r>
          </w:p>
          <w:p w14:paraId="306956CC" w14:textId="77777777" w:rsidR="00DE3C2E" w:rsidRPr="00995FC1" w:rsidRDefault="00DE3C2E" w:rsidP="00466762">
            <w:pPr>
              <w:spacing w:before="0" w:after="0"/>
              <w:rPr>
                <w:rFonts w:eastAsia="Times New Roman" w:cs="Arial"/>
                <w:sz w:val="20"/>
                <w:szCs w:val="20"/>
                <w:lang w:eastAsia="fr-FR"/>
              </w:rPr>
            </w:pPr>
            <w:r w:rsidRPr="00995FC1">
              <w:rPr>
                <w:rFonts w:cs="Arial"/>
                <w:i/>
                <w:sz w:val="20"/>
                <w:szCs w:val="20"/>
              </w:rPr>
              <w:t>p ˂ 0.001 vs. Vehicle</w:t>
            </w:r>
          </w:p>
        </w:tc>
        <w:tc>
          <w:tcPr>
            <w:tcW w:w="667" w:type="pct"/>
            <w:shd w:val="clear" w:color="auto" w:fill="auto"/>
            <w:vAlign w:val="center"/>
          </w:tcPr>
          <w:p w14:paraId="5433920C"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-50.0</w:t>
            </w:r>
          </w:p>
        </w:tc>
        <w:tc>
          <w:tcPr>
            <w:tcW w:w="839" w:type="pct"/>
            <w:shd w:val="clear" w:color="auto" w:fill="auto"/>
            <w:vAlign w:val="center"/>
          </w:tcPr>
          <w:p w14:paraId="5976AA34" w14:textId="77777777" w:rsidR="00DE3C2E" w:rsidRPr="00995FC1" w:rsidRDefault="00DE3C2E" w:rsidP="00466762">
            <w:pPr>
              <w:spacing w:before="0" w:after="0"/>
              <w:rPr>
                <w:rFonts w:cs="Arial"/>
                <w:i/>
                <w:sz w:val="20"/>
                <w:szCs w:val="20"/>
              </w:rPr>
            </w:pPr>
            <w:r w:rsidRPr="00995FC1">
              <w:rPr>
                <w:rFonts w:eastAsia="Times New Roman" w:cs="Arial"/>
                <w:sz w:val="20"/>
                <w:szCs w:val="20"/>
                <w:lang w:eastAsia="fr-FR"/>
              </w:rPr>
              <w:t>-65.4</w:t>
            </w:r>
            <w:r w:rsidRPr="00995FC1">
              <w:rPr>
                <w:rFonts w:cs="Arial"/>
                <w:i/>
                <w:sz w:val="20"/>
                <w:szCs w:val="20"/>
              </w:rPr>
              <w:t xml:space="preserve"> </w:t>
            </w:r>
          </w:p>
          <w:p w14:paraId="386C708C" w14:textId="77777777" w:rsidR="00DE3C2E" w:rsidRPr="00995FC1" w:rsidRDefault="00DE3C2E" w:rsidP="00466762">
            <w:pPr>
              <w:spacing w:before="0" w:after="0"/>
              <w:rPr>
                <w:rFonts w:eastAsia="Times New Roman" w:cs="Arial"/>
                <w:sz w:val="20"/>
                <w:szCs w:val="20"/>
                <w:lang w:eastAsia="fr-FR"/>
              </w:rPr>
            </w:pPr>
            <w:r w:rsidRPr="00995FC1">
              <w:rPr>
                <w:rFonts w:cs="Arial"/>
                <w:i/>
                <w:sz w:val="20"/>
                <w:szCs w:val="20"/>
              </w:rPr>
              <w:t>p ˂ 0.001 vs. Vehicle</w:t>
            </w:r>
          </w:p>
        </w:tc>
        <w:tc>
          <w:tcPr>
            <w:tcW w:w="692" w:type="pct"/>
            <w:shd w:val="clear" w:color="auto" w:fill="auto"/>
            <w:vAlign w:val="center"/>
          </w:tcPr>
          <w:p w14:paraId="332674AA"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-51.1</w:t>
            </w:r>
          </w:p>
        </w:tc>
      </w:tr>
      <w:tr w:rsidR="00DE3C2E" w:rsidRPr="00995FC1" w14:paraId="0F96A0DF" w14:textId="77777777" w:rsidTr="00A00E32">
        <w:trPr>
          <w:trHeight w:val="530"/>
          <w:jc w:val="center"/>
        </w:trPr>
        <w:tc>
          <w:tcPr>
            <w:tcW w:w="5000" w:type="pct"/>
            <w:gridSpan w:val="5"/>
            <w:shd w:val="clear" w:color="auto" w:fill="auto"/>
            <w:vAlign w:val="center"/>
          </w:tcPr>
          <w:p w14:paraId="40BB5FD1"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b/>
                <w:sz w:val="20"/>
                <w:szCs w:val="20"/>
                <w:lang w:eastAsia="fr-FR"/>
              </w:rPr>
              <w:t>Non-inflammatory</w:t>
            </w:r>
            <w:r w:rsidRPr="00995FC1">
              <w:rPr>
                <w:rFonts w:eastAsia="Times New Roman" w:cs="Arial"/>
                <w:sz w:val="20"/>
                <w:szCs w:val="20"/>
                <w:lang w:eastAsia="fr-FR"/>
              </w:rPr>
              <w:t xml:space="preserve"> </w:t>
            </w:r>
            <w:r w:rsidRPr="00995FC1">
              <w:rPr>
                <w:rFonts w:eastAsia="Times New Roman" w:cs="Arial"/>
                <w:b/>
                <w:sz w:val="20"/>
                <w:szCs w:val="20"/>
                <w:lang w:eastAsia="fr-FR"/>
              </w:rPr>
              <w:t xml:space="preserve">Lesions </w:t>
            </w:r>
          </w:p>
          <w:p w14:paraId="6F579FB4" w14:textId="77777777" w:rsidR="00DE3C2E" w:rsidRPr="00995FC1" w:rsidRDefault="00DE3C2E" w:rsidP="00466762">
            <w:pPr>
              <w:spacing w:before="0" w:after="0"/>
              <w:rPr>
                <w:rFonts w:eastAsia="Times New Roman" w:cs="Arial"/>
                <w:b/>
                <w:sz w:val="20"/>
                <w:szCs w:val="20"/>
                <w:lang w:eastAsia="fr-FR"/>
              </w:rPr>
            </w:pPr>
            <w:r w:rsidRPr="00995FC1">
              <w:rPr>
                <w:rFonts w:eastAsia="Times New Roman" w:cs="Arial"/>
                <w:b/>
                <w:sz w:val="20"/>
                <w:szCs w:val="20"/>
                <w:lang w:eastAsia="fr-FR"/>
              </w:rPr>
              <w:t>Mean Absolute Change from Baseline</w:t>
            </w:r>
          </w:p>
        </w:tc>
      </w:tr>
      <w:tr w:rsidR="00DE3C2E" w:rsidRPr="00995FC1" w14:paraId="2A277CD9" w14:textId="77777777" w:rsidTr="00A00E32">
        <w:trPr>
          <w:trHeight w:val="350"/>
          <w:jc w:val="center"/>
        </w:trPr>
        <w:tc>
          <w:tcPr>
            <w:tcW w:w="1998" w:type="pct"/>
            <w:shd w:val="clear" w:color="auto" w:fill="auto"/>
            <w:vAlign w:val="center"/>
          </w:tcPr>
          <w:p w14:paraId="20A654D1"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LS Mean (SE)</w:t>
            </w:r>
          </w:p>
        </w:tc>
        <w:tc>
          <w:tcPr>
            <w:tcW w:w="803" w:type="pct"/>
            <w:shd w:val="clear" w:color="auto" w:fill="auto"/>
            <w:vAlign w:val="center"/>
          </w:tcPr>
          <w:p w14:paraId="2810AC8B"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-21.9 (0.93)</w:t>
            </w:r>
          </w:p>
        </w:tc>
        <w:tc>
          <w:tcPr>
            <w:tcW w:w="667" w:type="pct"/>
            <w:shd w:val="clear" w:color="auto" w:fill="auto"/>
            <w:vAlign w:val="center"/>
          </w:tcPr>
          <w:p w14:paraId="22B82970"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-17.8 (0.94)</w:t>
            </w:r>
          </w:p>
        </w:tc>
        <w:tc>
          <w:tcPr>
            <w:tcW w:w="839" w:type="pct"/>
            <w:shd w:val="clear" w:color="auto" w:fill="auto"/>
            <w:vAlign w:val="center"/>
          </w:tcPr>
          <w:p w14:paraId="0E1A7878"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-25.9 (0.67)</w:t>
            </w:r>
          </w:p>
        </w:tc>
        <w:tc>
          <w:tcPr>
            <w:tcW w:w="692" w:type="pct"/>
            <w:shd w:val="clear" w:color="auto" w:fill="auto"/>
            <w:vAlign w:val="center"/>
          </w:tcPr>
          <w:p w14:paraId="288C51B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-20.8 (0.66)</w:t>
            </w:r>
          </w:p>
        </w:tc>
      </w:tr>
      <w:tr w:rsidR="00DE3C2E" w:rsidRPr="00995FC1" w14:paraId="2299B801" w14:textId="77777777" w:rsidTr="00A00E32">
        <w:trPr>
          <w:trHeight w:val="350"/>
          <w:jc w:val="center"/>
        </w:trPr>
        <w:tc>
          <w:tcPr>
            <w:tcW w:w="1998" w:type="pct"/>
            <w:shd w:val="clear" w:color="auto" w:fill="auto"/>
            <w:vAlign w:val="center"/>
            <w:hideMark/>
          </w:tcPr>
          <w:p w14:paraId="47ED607B"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LS Mean Difference from vehicle (95% CI)</w:t>
            </w:r>
          </w:p>
        </w:tc>
        <w:tc>
          <w:tcPr>
            <w:tcW w:w="803" w:type="pct"/>
            <w:shd w:val="clear" w:color="auto" w:fill="auto"/>
            <w:vAlign w:val="center"/>
            <w:hideMark/>
          </w:tcPr>
          <w:p w14:paraId="789B2BBE"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-4.1 (-6.6, -1.7)</w:t>
            </w:r>
            <w:r w:rsidRPr="00995FC1">
              <w:rPr>
                <w:rFonts w:cs="Arial"/>
                <w:i/>
                <w:sz w:val="20"/>
                <w:szCs w:val="20"/>
              </w:rPr>
              <w:t xml:space="preserve"> p = 0.001 vs. Vehicle</w:t>
            </w:r>
          </w:p>
        </w:tc>
        <w:tc>
          <w:tcPr>
            <w:tcW w:w="667" w:type="pct"/>
            <w:shd w:val="clear" w:color="auto" w:fill="auto"/>
            <w:vAlign w:val="center"/>
            <w:hideMark/>
          </w:tcPr>
          <w:p w14:paraId="73EA08CA"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w:t>
            </w:r>
          </w:p>
        </w:tc>
        <w:tc>
          <w:tcPr>
            <w:tcW w:w="839" w:type="pct"/>
            <w:shd w:val="clear" w:color="auto" w:fill="auto"/>
            <w:vAlign w:val="center"/>
          </w:tcPr>
          <w:p w14:paraId="74601575"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-5.0 (-6.8, -3.3)</w:t>
            </w:r>
          </w:p>
          <w:p w14:paraId="25240EE2" w14:textId="77777777" w:rsidR="00DE3C2E" w:rsidRPr="00995FC1" w:rsidRDefault="00DE3C2E" w:rsidP="00466762">
            <w:pPr>
              <w:spacing w:before="0" w:after="0"/>
              <w:rPr>
                <w:rFonts w:eastAsia="Times New Roman" w:cs="Arial"/>
                <w:sz w:val="20"/>
                <w:szCs w:val="20"/>
                <w:lang w:eastAsia="fr-FR"/>
              </w:rPr>
            </w:pPr>
            <w:r w:rsidRPr="00995FC1">
              <w:rPr>
                <w:rFonts w:cs="Arial"/>
                <w:i/>
                <w:sz w:val="20"/>
                <w:szCs w:val="20"/>
              </w:rPr>
              <w:t>p ˂ 0.001 vs. Vehicle</w:t>
            </w:r>
          </w:p>
        </w:tc>
        <w:tc>
          <w:tcPr>
            <w:tcW w:w="692" w:type="pct"/>
            <w:shd w:val="clear" w:color="auto" w:fill="auto"/>
            <w:vAlign w:val="center"/>
          </w:tcPr>
          <w:p w14:paraId="735BC4CC"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w:t>
            </w:r>
          </w:p>
        </w:tc>
      </w:tr>
      <w:tr w:rsidR="00DE3C2E" w:rsidRPr="00995FC1" w14:paraId="47215092" w14:textId="77777777" w:rsidTr="00A00E32">
        <w:trPr>
          <w:trHeight w:val="350"/>
          <w:jc w:val="center"/>
        </w:trPr>
        <w:tc>
          <w:tcPr>
            <w:tcW w:w="5000" w:type="pct"/>
            <w:gridSpan w:val="5"/>
            <w:shd w:val="clear" w:color="auto" w:fill="auto"/>
            <w:vAlign w:val="center"/>
          </w:tcPr>
          <w:p w14:paraId="42DEE6CC" w14:textId="77777777" w:rsidR="00AF0949" w:rsidRDefault="00AF0949" w:rsidP="00466762">
            <w:pPr>
              <w:spacing w:before="0" w:after="0"/>
              <w:rPr>
                <w:rFonts w:eastAsia="Times New Roman" w:cs="Arial"/>
                <w:b/>
                <w:sz w:val="20"/>
                <w:szCs w:val="20"/>
                <w:lang w:eastAsia="fr-FR"/>
              </w:rPr>
            </w:pPr>
            <w:r>
              <w:rPr>
                <w:rFonts w:eastAsia="Times New Roman" w:cs="Arial"/>
                <w:b/>
                <w:sz w:val="20"/>
                <w:szCs w:val="20"/>
                <w:lang w:eastAsia="fr-FR"/>
              </w:rPr>
              <w:t>Supportive Endpoint</w:t>
            </w:r>
          </w:p>
          <w:p w14:paraId="7E34B56F" w14:textId="73454116" w:rsidR="00DE3C2E" w:rsidRPr="00995FC1" w:rsidRDefault="00DE3C2E" w:rsidP="00466762">
            <w:pPr>
              <w:spacing w:before="0" w:after="0"/>
              <w:rPr>
                <w:rFonts w:eastAsia="Times New Roman" w:cs="Arial"/>
                <w:sz w:val="20"/>
                <w:szCs w:val="20"/>
                <w:lang w:eastAsia="fr-FR"/>
              </w:rPr>
            </w:pPr>
            <w:r w:rsidRPr="00995FC1">
              <w:rPr>
                <w:rFonts w:eastAsia="Times New Roman" w:cs="Arial"/>
                <w:b/>
                <w:sz w:val="20"/>
                <w:szCs w:val="20"/>
                <w:lang w:eastAsia="fr-FR"/>
              </w:rPr>
              <w:t>Mean Percent Change from Baseline (%)</w:t>
            </w:r>
          </w:p>
        </w:tc>
      </w:tr>
      <w:tr w:rsidR="00DE3C2E" w:rsidRPr="00995FC1" w14:paraId="75610F3D" w14:textId="77777777" w:rsidTr="00A00E32">
        <w:trPr>
          <w:trHeight w:val="350"/>
          <w:jc w:val="center"/>
        </w:trPr>
        <w:tc>
          <w:tcPr>
            <w:tcW w:w="1998" w:type="pct"/>
            <w:shd w:val="clear" w:color="auto" w:fill="auto"/>
            <w:vAlign w:val="center"/>
          </w:tcPr>
          <w:p w14:paraId="641CC495"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Mean (SE)</w:t>
            </w:r>
          </w:p>
        </w:tc>
        <w:tc>
          <w:tcPr>
            <w:tcW w:w="803" w:type="pct"/>
            <w:shd w:val="clear" w:color="auto" w:fill="auto"/>
            <w:vAlign w:val="center"/>
          </w:tcPr>
          <w:p w14:paraId="3EAE764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24.5 (1.01)</w:t>
            </w:r>
          </w:p>
        </w:tc>
        <w:tc>
          <w:tcPr>
            <w:tcW w:w="667" w:type="pct"/>
            <w:shd w:val="clear" w:color="auto" w:fill="auto"/>
            <w:vAlign w:val="center"/>
          </w:tcPr>
          <w:p w14:paraId="45FC35B8"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29.4 (1.17)</w:t>
            </w:r>
          </w:p>
        </w:tc>
        <w:tc>
          <w:tcPr>
            <w:tcW w:w="839" w:type="pct"/>
            <w:shd w:val="clear" w:color="auto" w:fill="auto"/>
            <w:vAlign w:val="center"/>
          </w:tcPr>
          <w:p w14:paraId="77A5A8F6"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20.5 (0.78)</w:t>
            </w:r>
          </w:p>
        </w:tc>
        <w:tc>
          <w:tcPr>
            <w:tcW w:w="692" w:type="pct"/>
            <w:shd w:val="clear" w:color="auto" w:fill="auto"/>
            <w:vAlign w:val="center"/>
          </w:tcPr>
          <w:p w14:paraId="294FCC65"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 xml:space="preserve"> 24.5 (0.77)</w:t>
            </w:r>
          </w:p>
        </w:tc>
      </w:tr>
      <w:tr w:rsidR="00DE3C2E" w:rsidRPr="00995FC1" w14:paraId="1F393559" w14:textId="77777777" w:rsidTr="00A00E32">
        <w:trPr>
          <w:trHeight w:val="350"/>
          <w:jc w:val="center"/>
        </w:trPr>
        <w:tc>
          <w:tcPr>
            <w:tcW w:w="1998" w:type="pct"/>
            <w:shd w:val="clear" w:color="auto" w:fill="auto"/>
            <w:vAlign w:val="center"/>
          </w:tcPr>
          <w:p w14:paraId="27927B1E"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Mean Percent Change from Baseline</w:t>
            </w:r>
          </w:p>
        </w:tc>
        <w:tc>
          <w:tcPr>
            <w:tcW w:w="803" w:type="pct"/>
            <w:shd w:val="clear" w:color="auto" w:fill="auto"/>
            <w:vAlign w:val="center"/>
          </w:tcPr>
          <w:p w14:paraId="3989ED5D"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-49.1</w:t>
            </w:r>
          </w:p>
          <w:p w14:paraId="7B63DCDA" w14:textId="77777777" w:rsidR="00DE3C2E" w:rsidRPr="00995FC1" w:rsidRDefault="00DE3C2E" w:rsidP="00466762">
            <w:pPr>
              <w:spacing w:before="0" w:after="0"/>
              <w:rPr>
                <w:rFonts w:eastAsia="Times New Roman" w:cs="Arial"/>
                <w:sz w:val="20"/>
                <w:szCs w:val="20"/>
                <w:lang w:eastAsia="fr-FR"/>
              </w:rPr>
            </w:pPr>
            <w:r w:rsidRPr="00995FC1">
              <w:rPr>
                <w:rFonts w:cs="Arial"/>
                <w:i/>
                <w:sz w:val="20"/>
                <w:szCs w:val="20"/>
              </w:rPr>
              <w:t xml:space="preserve"> p ˂ 0.001 vs. Vehicle</w:t>
            </w:r>
          </w:p>
          <w:p w14:paraId="411C8FC1" w14:textId="77777777" w:rsidR="00DE3C2E" w:rsidRPr="00995FC1" w:rsidRDefault="00DE3C2E" w:rsidP="00466762">
            <w:pPr>
              <w:spacing w:before="0" w:after="0"/>
              <w:rPr>
                <w:rFonts w:eastAsia="Times New Roman" w:cs="Arial"/>
                <w:sz w:val="20"/>
                <w:szCs w:val="20"/>
                <w:lang w:eastAsia="fr-FR"/>
              </w:rPr>
            </w:pPr>
          </w:p>
        </w:tc>
        <w:tc>
          <w:tcPr>
            <w:tcW w:w="667" w:type="pct"/>
            <w:shd w:val="clear" w:color="auto" w:fill="auto"/>
            <w:vAlign w:val="center"/>
          </w:tcPr>
          <w:p w14:paraId="7FC3C2FD"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-40.3</w:t>
            </w:r>
          </w:p>
        </w:tc>
        <w:tc>
          <w:tcPr>
            <w:tcW w:w="839" w:type="pct"/>
            <w:shd w:val="clear" w:color="auto" w:fill="auto"/>
            <w:vAlign w:val="center"/>
          </w:tcPr>
          <w:p w14:paraId="141C68FC" w14:textId="77777777" w:rsidR="00DE3C2E" w:rsidRPr="00995FC1" w:rsidRDefault="00DE3C2E" w:rsidP="00466762">
            <w:pPr>
              <w:spacing w:before="0" w:after="0"/>
              <w:rPr>
                <w:rFonts w:cs="Arial"/>
                <w:i/>
                <w:sz w:val="20"/>
                <w:szCs w:val="20"/>
              </w:rPr>
            </w:pPr>
            <w:r w:rsidRPr="00995FC1">
              <w:rPr>
                <w:rFonts w:eastAsia="Times New Roman" w:cs="Arial"/>
                <w:sz w:val="20"/>
                <w:szCs w:val="20"/>
                <w:lang w:eastAsia="fr-FR"/>
              </w:rPr>
              <w:t>-55.2</w:t>
            </w:r>
            <w:r w:rsidRPr="00995FC1">
              <w:rPr>
                <w:rFonts w:cs="Arial"/>
                <w:i/>
                <w:sz w:val="20"/>
                <w:szCs w:val="20"/>
              </w:rPr>
              <w:t xml:space="preserve"> </w:t>
            </w:r>
          </w:p>
          <w:p w14:paraId="20F455CE" w14:textId="77777777" w:rsidR="00DE3C2E" w:rsidRPr="00995FC1" w:rsidRDefault="00DE3C2E" w:rsidP="00466762">
            <w:pPr>
              <w:spacing w:before="0" w:after="0"/>
              <w:rPr>
                <w:rFonts w:eastAsia="Times New Roman" w:cs="Arial"/>
                <w:sz w:val="20"/>
                <w:szCs w:val="20"/>
                <w:lang w:eastAsia="fr-FR"/>
              </w:rPr>
            </w:pPr>
            <w:r w:rsidRPr="00995FC1">
              <w:rPr>
                <w:rFonts w:cs="Arial"/>
                <w:i/>
                <w:sz w:val="20"/>
                <w:szCs w:val="20"/>
              </w:rPr>
              <w:t>p ˂ 0.001 vs. Vehicle</w:t>
            </w:r>
          </w:p>
        </w:tc>
        <w:tc>
          <w:tcPr>
            <w:tcW w:w="692" w:type="pct"/>
            <w:shd w:val="clear" w:color="auto" w:fill="auto"/>
            <w:vAlign w:val="center"/>
          </w:tcPr>
          <w:p w14:paraId="588C7389" w14:textId="77777777" w:rsidR="00DE3C2E" w:rsidRPr="00995FC1" w:rsidRDefault="00DE3C2E" w:rsidP="00466762">
            <w:pPr>
              <w:spacing w:before="0" w:after="0"/>
              <w:rPr>
                <w:rFonts w:eastAsia="Times New Roman" w:cs="Arial"/>
                <w:sz w:val="20"/>
                <w:szCs w:val="20"/>
                <w:lang w:eastAsia="fr-FR"/>
              </w:rPr>
            </w:pPr>
            <w:r w:rsidRPr="00995FC1">
              <w:rPr>
                <w:rFonts w:eastAsia="Times New Roman" w:cs="Arial"/>
                <w:sz w:val="20"/>
                <w:szCs w:val="20"/>
                <w:lang w:eastAsia="fr-FR"/>
              </w:rPr>
              <w:t>-45.1</w:t>
            </w:r>
          </w:p>
        </w:tc>
      </w:tr>
    </w:tbl>
    <w:p w14:paraId="5D2D2024" w14:textId="77777777" w:rsidR="00DE3C2E" w:rsidRPr="00AD5F53" w:rsidRDefault="00DE3C2E" w:rsidP="00466762">
      <w:pPr>
        <w:keepNext/>
        <w:keepLines/>
        <w:widowControl w:val="0"/>
        <w:autoSpaceDE w:val="0"/>
        <w:autoSpaceDN w:val="0"/>
        <w:adjustRightInd w:val="0"/>
        <w:rPr>
          <w:u w:val="single"/>
        </w:rPr>
      </w:pPr>
      <w:r w:rsidRPr="00321C75">
        <w:rPr>
          <w:u w:val="single"/>
        </w:rPr>
        <w:t>Paediatric population</w:t>
      </w:r>
    </w:p>
    <w:p w14:paraId="584FB388" w14:textId="04A73B48" w:rsidR="00807DD9" w:rsidRDefault="00DE3C2E" w:rsidP="00466762">
      <w:pPr>
        <w:keepNext/>
        <w:keepLines/>
        <w:widowControl w:val="0"/>
      </w:pPr>
      <w:r w:rsidRPr="002C31EF">
        <w:rPr>
          <w:rFonts w:eastAsia="Times New Roman"/>
          <w:u w:val="single"/>
          <w:lang w:eastAsia="en-CA"/>
        </w:rPr>
        <w:t xml:space="preserve">Age group </w:t>
      </w:r>
      <w:r w:rsidRPr="002C31EF">
        <w:rPr>
          <w:u w:val="single"/>
        </w:rPr>
        <w:t>12 to 17 years</w:t>
      </w:r>
      <w:r w:rsidRPr="002C31EF">
        <w:t xml:space="preserve">: </w:t>
      </w:r>
      <w:r w:rsidRPr="00F953E3">
        <w:t xml:space="preserve">In the phase 3 studies a total of 1128 children aged 12 to 17 years with moderate acne vulgaris were included: 573 of them in study 18251 and 555 children in study 18252. </w:t>
      </w:r>
    </w:p>
    <w:p w14:paraId="3C271EAE" w14:textId="11B483A5" w:rsidR="00DE3C2E" w:rsidRPr="00321C75" w:rsidRDefault="00DE3C2E" w:rsidP="00466762">
      <w:pPr>
        <w:pStyle w:val="Heading3"/>
      </w:pPr>
      <w:r w:rsidRPr="00321C75">
        <w:t>Long-term efficacy</w:t>
      </w:r>
    </w:p>
    <w:p w14:paraId="43D0C0B1" w14:textId="63FB49D1" w:rsidR="00DE3C2E" w:rsidRPr="00321C75" w:rsidRDefault="00DE3C2E" w:rsidP="00466762">
      <w:r w:rsidRPr="00321C75">
        <w:t xml:space="preserve">In </w:t>
      </w:r>
      <w:r w:rsidRPr="00321C75">
        <w:rPr>
          <w:b/>
        </w:rPr>
        <w:t>Study 3</w:t>
      </w:r>
      <w:r w:rsidRPr="00321C75">
        <w:t>, a one-y</w:t>
      </w:r>
      <w:r>
        <w:t>ear open label safety study of 4</w:t>
      </w:r>
      <w:r w:rsidR="00A00E32">
        <w:t>35</w:t>
      </w:r>
      <w:r>
        <w:t xml:space="preserve"> patients, </w:t>
      </w:r>
      <w:r w:rsidR="00A00E32">
        <w:t>12</w:t>
      </w:r>
      <w:r w:rsidRPr="00321C75">
        <w:rPr>
          <w:rFonts w:eastAsia="Calibri"/>
          <w:bCs/>
          <w:sz w:val="20"/>
          <w:lang w:eastAsia="fr-FR"/>
        </w:rPr>
        <w:t xml:space="preserve"> </w:t>
      </w:r>
      <w:r w:rsidRPr="00321C75">
        <w:t>years and older</w:t>
      </w:r>
      <w:r w:rsidR="000F3D81">
        <w:t xml:space="preserve"> (210 children completed 52 weeks of the study)</w:t>
      </w:r>
      <w:r w:rsidRPr="00321C75">
        <w:t>, with moderate f</w:t>
      </w:r>
      <w:r>
        <w:t>acial and truncal acne vulgaris</w:t>
      </w:r>
      <w:r w:rsidRPr="00321C75">
        <w:t xml:space="preserve">, Aklief cream demonstrated a clinically meaningful improvement with IGA and PGA success rates increasing: </w:t>
      </w:r>
    </w:p>
    <w:p w14:paraId="3A7D2B14" w14:textId="09CB2733" w:rsidR="00DE3C2E" w:rsidRPr="00321C75" w:rsidRDefault="00DE3C2E" w:rsidP="00466762">
      <w:pPr>
        <w:numPr>
          <w:ilvl w:val="0"/>
          <w:numId w:val="21"/>
        </w:numPr>
        <w:suppressAutoHyphens/>
      </w:pPr>
      <w:r w:rsidRPr="00321C75">
        <w:t>from 26.</w:t>
      </w:r>
      <w:r w:rsidR="0043484D">
        <w:t>3</w:t>
      </w:r>
      <w:r w:rsidRPr="00321C75">
        <w:t>% at Week 12 visit to 65.</w:t>
      </w:r>
      <w:r w:rsidR="0043484D">
        <w:t>9</w:t>
      </w:r>
      <w:r w:rsidRPr="00321C75">
        <w:t xml:space="preserve">% at Week 52 visit for the face and </w:t>
      </w:r>
    </w:p>
    <w:p w14:paraId="6EEA83DE" w14:textId="3C4089DD" w:rsidR="00DE3C2E" w:rsidRPr="00321C75" w:rsidRDefault="00DE3C2E" w:rsidP="00466762">
      <w:pPr>
        <w:numPr>
          <w:ilvl w:val="0"/>
          <w:numId w:val="21"/>
        </w:numPr>
        <w:suppressAutoHyphens/>
      </w:pPr>
      <w:r w:rsidRPr="00321C75">
        <w:t>from 38.</w:t>
      </w:r>
      <w:r w:rsidR="0043484D">
        <w:t>9</w:t>
      </w:r>
      <w:r w:rsidRPr="00321C75">
        <w:t>% at Week 12 visit to 6</w:t>
      </w:r>
      <w:r w:rsidR="0043484D">
        <w:t>7.1</w:t>
      </w:r>
      <w:r w:rsidRPr="00321C75">
        <w:t>% at Week 52 visit for the trunk, respectively. </w:t>
      </w:r>
    </w:p>
    <w:p w14:paraId="221B7BA8" w14:textId="769F1ABA" w:rsidR="00DE3C2E" w:rsidRDefault="00DE3C2E" w:rsidP="00466762">
      <w:pPr>
        <w:rPr>
          <w:lang w:eastAsia="ja-JP"/>
        </w:rPr>
      </w:pPr>
      <w:r w:rsidRPr="00321C75">
        <w:rPr>
          <w:lang w:eastAsia="ja-JP"/>
        </w:rPr>
        <w:t>IGA and PGA success experienced by the same subject increased from 2</w:t>
      </w:r>
      <w:r w:rsidR="0043484D">
        <w:rPr>
          <w:lang w:eastAsia="ja-JP"/>
        </w:rPr>
        <w:t>1.9</w:t>
      </w:r>
      <w:r w:rsidRPr="00321C75">
        <w:rPr>
          <w:lang w:eastAsia="ja-JP"/>
        </w:rPr>
        <w:t>% at Week 12 to 5</w:t>
      </w:r>
      <w:r w:rsidR="0043484D">
        <w:rPr>
          <w:lang w:eastAsia="ja-JP"/>
        </w:rPr>
        <w:t>8.2</w:t>
      </w:r>
      <w:r w:rsidRPr="00321C75">
        <w:rPr>
          <w:lang w:eastAsia="ja-JP"/>
        </w:rPr>
        <w:t>% at Week 52.</w:t>
      </w:r>
    </w:p>
    <w:p w14:paraId="7EEDC62D" w14:textId="77777777" w:rsidR="001A3992" w:rsidRPr="006A02F6" w:rsidRDefault="001A3992" w:rsidP="00466762">
      <w:pPr>
        <w:pStyle w:val="Heading2"/>
        <w:keepLines/>
        <w:widowControl w:val="0"/>
        <w:rPr>
          <w:lang w:val="en-US"/>
        </w:rPr>
      </w:pPr>
      <w:r w:rsidRPr="006A02F6">
        <w:rPr>
          <w:lang w:val="en-US"/>
        </w:rPr>
        <w:t xml:space="preserve">Pharmacokinetic properties </w:t>
      </w:r>
    </w:p>
    <w:p w14:paraId="4EFF158F" w14:textId="50CFC7C8" w:rsidR="00050C51" w:rsidRDefault="00050C51" w:rsidP="00466762">
      <w:pPr>
        <w:pStyle w:val="Heading3"/>
        <w:widowControl w:val="0"/>
        <w:spacing w:after="240"/>
        <w:rPr>
          <w:rFonts w:ascii="Arial" w:hAnsi="Arial" w:cs="Arial"/>
          <w:b w:val="0"/>
        </w:rPr>
      </w:pPr>
      <w:r w:rsidRPr="006A02F6">
        <w:rPr>
          <w:rFonts w:ascii="Arial" w:hAnsi="Arial" w:cs="Arial"/>
        </w:rPr>
        <w:t>Absorption</w:t>
      </w:r>
      <w:r w:rsidR="007439C1">
        <w:rPr>
          <w:rFonts w:ascii="Arial" w:hAnsi="Arial" w:cs="Arial"/>
        </w:rPr>
        <w:t xml:space="preserve"> </w:t>
      </w:r>
    </w:p>
    <w:p w14:paraId="2A665A97" w14:textId="1977DB78" w:rsidR="00DE3C2E" w:rsidRPr="00321C75" w:rsidRDefault="00DE3C2E" w:rsidP="00466762">
      <w:pPr>
        <w:keepNext/>
        <w:keepLines/>
        <w:widowControl w:val="0"/>
      </w:pPr>
      <w:r w:rsidRPr="00321C75">
        <w:t>The absorption of trifarotene from Aklief cream was evaluated in adult and paediatric (10-17</w:t>
      </w:r>
      <w:r w:rsidR="007D66B2">
        <w:t> </w:t>
      </w:r>
      <w:r w:rsidRPr="00321C75">
        <w:t>y</w:t>
      </w:r>
      <w:r w:rsidR="00BD1D54">
        <w:t xml:space="preserve">ears </w:t>
      </w:r>
      <w:r w:rsidRPr="00321C75">
        <w:t>o</w:t>
      </w:r>
      <w:r w:rsidR="00BD1D54">
        <w:t>ld</w:t>
      </w:r>
      <w:r w:rsidRPr="00321C75">
        <w:t xml:space="preserve">) subjects with acne vulgaris. Subjects were treated once daily for 30 days with 2 grams/day of Aklief applied on the face, shoulders, chest, and upper back. </w:t>
      </w:r>
    </w:p>
    <w:p w14:paraId="33AE1C96" w14:textId="77777777" w:rsidR="00DE3C2E" w:rsidRPr="00321C75" w:rsidRDefault="00DE3C2E" w:rsidP="00466762">
      <w:pPr>
        <w:keepNext/>
        <w:keepLines/>
        <w:widowControl w:val="0"/>
      </w:pPr>
      <w:r w:rsidRPr="00321C75">
        <w:t>Overall, systemic exposure levels were low and similar between adults and paediatric populations.</w:t>
      </w:r>
    </w:p>
    <w:p w14:paraId="398B7624" w14:textId="656532CE" w:rsidR="00DE3C2E" w:rsidRPr="00321C75" w:rsidRDefault="00DE3C2E" w:rsidP="00466762">
      <w:pPr>
        <w:keepNext/>
        <w:keepLines/>
        <w:widowControl w:val="0"/>
      </w:pPr>
      <w:r w:rsidRPr="00321C75">
        <w:t xml:space="preserve">After 4 weeks treatment, seven of nineteen (37%) adult subjects had quantifiable </w:t>
      </w:r>
      <w:r w:rsidR="00502536">
        <w:t>t</w:t>
      </w:r>
      <w:r w:rsidRPr="00321C75">
        <w:t>rifarotene plasma levels. C</w:t>
      </w:r>
      <w:r w:rsidRPr="00606211">
        <w:rPr>
          <w:vertAlign w:val="subscript"/>
        </w:rPr>
        <w:t>max</w:t>
      </w:r>
      <w:r w:rsidRPr="00321C75">
        <w:t xml:space="preserve"> ranged from below the limit of quantification (LOQ &lt;</w:t>
      </w:r>
      <w:r w:rsidR="00472CF4">
        <w:t xml:space="preserve"> </w:t>
      </w:r>
      <w:r w:rsidRPr="00321C75">
        <w:t xml:space="preserve">5 pg/mL) to 10 pg/mL and AUC </w:t>
      </w:r>
      <w:r w:rsidRPr="00321C75">
        <w:rPr>
          <w:vertAlign w:val="subscript"/>
        </w:rPr>
        <w:t>0-24h</w:t>
      </w:r>
      <w:r w:rsidRPr="00321C75">
        <w:t xml:space="preserve"> ranged from 75 to 104 pg.hr/mL.</w:t>
      </w:r>
    </w:p>
    <w:p w14:paraId="4E3034CC" w14:textId="4B533D9F" w:rsidR="00DE3C2E" w:rsidRDefault="00DE3C2E" w:rsidP="00466762">
      <w:pPr>
        <w:keepNext/>
        <w:keepLines/>
        <w:widowControl w:val="0"/>
      </w:pPr>
      <w:r w:rsidRPr="00321C75">
        <w:t>Three of the seventeen (18%) of paediatric subjects presented quantifiable systemic exposure. C</w:t>
      </w:r>
      <w:r w:rsidRPr="00606211">
        <w:rPr>
          <w:vertAlign w:val="subscript"/>
        </w:rPr>
        <w:t>max</w:t>
      </w:r>
      <w:r w:rsidRPr="00321C75">
        <w:t xml:space="preserve"> ranged from below the limit of quantification (LOQ &lt;</w:t>
      </w:r>
      <w:r w:rsidR="00472CF4">
        <w:t xml:space="preserve"> </w:t>
      </w:r>
      <w:r w:rsidRPr="00321C75">
        <w:t xml:space="preserve">5 pg/mL) to 9 pg/mL and AUC </w:t>
      </w:r>
      <w:r w:rsidRPr="00321C75">
        <w:rPr>
          <w:vertAlign w:val="subscript"/>
        </w:rPr>
        <w:t>0-24h</w:t>
      </w:r>
      <w:r w:rsidRPr="00321C75">
        <w:t xml:space="preserve"> ranged from 89 to 106 pg.hr/mL.</w:t>
      </w:r>
    </w:p>
    <w:p w14:paraId="746E7BE0" w14:textId="4D932D52" w:rsidR="00DE3C2E" w:rsidRPr="00DE3C2E" w:rsidRDefault="00DE3C2E" w:rsidP="00466762">
      <w:pPr>
        <w:keepNext/>
        <w:keepLines/>
        <w:widowControl w:val="0"/>
      </w:pPr>
      <w:r w:rsidRPr="00321C75">
        <w:t>Steady state conditions were achieved in both adult and paediatric subjects following 2 weeks of topical administration. No drug accumulation is expected with long-term use.</w:t>
      </w:r>
    </w:p>
    <w:p w14:paraId="1344644A" w14:textId="7CFEC55A" w:rsidR="00050C51" w:rsidRDefault="00050C51" w:rsidP="00466762">
      <w:pPr>
        <w:pStyle w:val="Heading3"/>
        <w:widowControl w:val="0"/>
        <w:spacing w:after="240"/>
        <w:rPr>
          <w:rFonts w:ascii="Arial" w:hAnsi="Arial" w:cs="Arial"/>
          <w:b w:val="0"/>
        </w:rPr>
      </w:pPr>
      <w:r w:rsidRPr="006A02F6">
        <w:rPr>
          <w:rFonts w:ascii="Arial" w:hAnsi="Arial" w:cs="Arial"/>
        </w:rPr>
        <w:t>Distribution</w:t>
      </w:r>
      <w:r w:rsidR="007439C1">
        <w:rPr>
          <w:rFonts w:ascii="Arial" w:hAnsi="Arial" w:cs="Arial"/>
        </w:rPr>
        <w:t xml:space="preserve"> </w:t>
      </w:r>
    </w:p>
    <w:p w14:paraId="7673E94E" w14:textId="77777777" w:rsidR="00DE3C2E" w:rsidRPr="00321C75" w:rsidRDefault="00DE3C2E" w:rsidP="00466762">
      <w:pPr>
        <w:keepNext/>
        <w:keepLines/>
        <w:widowControl w:val="0"/>
      </w:pPr>
      <w:r w:rsidRPr="00321C75">
        <w:t>Trifarotene penetrates into the skin with an exponential distribution from the stratum corneum to the epidermis and dermis.</w:t>
      </w:r>
    </w:p>
    <w:p w14:paraId="415F0C9E" w14:textId="0E6A7837" w:rsidR="00DE3C2E" w:rsidRPr="00DE3C2E" w:rsidRDefault="00DE3C2E" w:rsidP="00466762">
      <w:r w:rsidRPr="00321C75">
        <w:t xml:space="preserve">An </w:t>
      </w:r>
      <w:r w:rsidRPr="0092536E">
        <w:rPr>
          <w:i/>
          <w:iCs/>
        </w:rPr>
        <w:t>in vitro</w:t>
      </w:r>
      <w:r w:rsidRPr="00321C75">
        <w:t xml:space="preserve"> study demonstrated that </w:t>
      </w:r>
      <w:r w:rsidR="00502536">
        <w:t>t</w:t>
      </w:r>
      <w:r w:rsidRPr="00321C75">
        <w:t>rifarotene</w:t>
      </w:r>
      <w:r w:rsidRPr="00321C75" w:rsidDel="006C25B0">
        <w:t xml:space="preserve"> </w:t>
      </w:r>
      <w:r w:rsidRPr="00321C75">
        <w:t>is greater than 99.</w:t>
      </w:r>
      <w:r w:rsidR="00D059B6">
        <w:t>9</w:t>
      </w:r>
      <w:r w:rsidRPr="00321C75">
        <w:t xml:space="preserve">% bound to plasma proteins. No significant binding of </w:t>
      </w:r>
      <w:r w:rsidR="00502536">
        <w:t>t</w:t>
      </w:r>
      <w:r w:rsidRPr="00321C75">
        <w:t>rifarotene to erythrocytes was observed.</w:t>
      </w:r>
    </w:p>
    <w:p w14:paraId="2B783DFC" w14:textId="5838AC1F" w:rsidR="00E22D1D" w:rsidRPr="00321C75" w:rsidRDefault="00D40E4A" w:rsidP="00466762">
      <w:pPr>
        <w:pStyle w:val="Heading3"/>
        <w:rPr>
          <w:iCs/>
          <w:noProof/>
          <w:u w:val="single"/>
        </w:rPr>
      </w:pPr>
      <w:bookmarkStart w:id="7" w:name="_Hlk779427"/>
      <w:r w:rsidRPr="006A02F6">
        <w:t>Metabolism</w:t>
      </w:r>
    </w:p>
    <w:p w14:paraId="66DA2BA9" w14:textId="66C15D54" w:rsidR="00502536" w:rsidRPr="00321C75" w:rsidRDefault="00E22D1D" w:rsidP="00466762">
      <w:bookmarkStart w:id="8" w:name="_Hlk780810"/>
      <w:bookmarkEnd w:id="7"/>
      <w:r w:rsidRPr="006A22BA">
        <w:rPr>
          <w:i/>
          <w:iCs/>
        </w:rPr>
        <w:t>In vitro</w:t>
      </w:r>
      <w:r w:rsidRPr="006A22BA">
        <w:t xml:space="preserve"> studies using human hepatic microsomes and recombinant CYP450 enzymes have shown that</w:t>
      </w:r>
      <w:r w:rsidRPr="00321C75">
        <w:t xml:space="preserve"> </w:t>
      </w:r>
      <w:r w:rsidR="00502536">
        <w:t>t</w:t>
      </w:r>
      <w:r w:rsidRPr="00321C75">
        <w:t>rifarotene is primarily metaboli</w:t>
      </w:r>
      <w:r w:rsidR="00620A00">
        <w:t>s</w:t>
      </w:r>
      <w:r w:rsidRPr="00321C75">
        <w:t>ed by CYP2C9</w:t>
      </w:r>
      <w:r w:rsidR="00502536">
        <w:t xml:space="preserve"> and to a lesser extent by</w:t>
      </w:r>
      <w:r w:rsidRPr="00321C75">
        <w:t xml:space="preserve"> CYP3A4, CYP2C8 and CYP2B6. </w:t>
      </w:r>
    </w:p>
    <w:bookmarkEnd w:id="8"/>
    <w:p w14:paraId="67A8C28B" w14:textId="679DC9AE" w:rsidR="00502536" w:rsidRDefault="00502536" w:rsidP="00466762">
      <w:pPr>
        <w:pStyle w:val="Heading3"/>
        <w:widowControl w:val="0"/>
        <w:spacing w:after="240"/>
        <w:rPr>
          <w:rFonts w:ascii="Arial" w:hAnsi="Arial" w:cs="Arial"/>
          <w:b w:val="0"/>
        </w:rPr>
      </w:pPr>
      <w:r>
        <w:rPr>
          <w:rFonts w:ascii="Arial" w:hAnsi="Arial" w:cs="Arial"/>
        </w:rPr>
        <w:t xml:space="preserve">Excretion </w:t>
      </w:r>
    </w:p>
    <w:p w14:paraId="391DBF32" w14:textId="5FC61DF5" w:rsidR="00641221" w:rsidRPr="00641221" w:rsidRDefault="00502536" w:rsidP="00466762">
      <w:r>
        <w:t xml:space="preserve">In nonclinical studies, trifarotene is primarily excreted </w:t>
      </w:r>
      <w:r w:rsidR="006A22BA">
        <w:t>by the faeces.</w:t>
      </w:r>
      <w:r w:rsidRPr="00321C75">
        <w:t xml:space="preserve"> </w:t>
      </w:r>
    </w:p>
    <w:p w14:paraId="3E725F10" w14:textId="77777777" w:rsidR="001A3992" w:rsidRPr="006A02F6" w:rsidRDefault="001A3992" w:rsidP="00466762">
      <w:pPr>
        <w:pStyle w:val="Heading2"/>
        <w:rPr>
          <w:lang w:val="en-US"/>
        </w:rPr>
      </w:pPr>
      <w:r w:rsidRPr="006A02F6">
        <w:rPr>
          <w:lang w:val="en-US"/>
        </w:rPr>
        <w:t>Preclinical safety data</w:t>
      </w:r>
    </w:p>
    <w:p w14:paraId="1A6F062C" w14:textId="60A23FFA" w:rsidR="006A22BA" w:rsidRPr="006A02F6" w:rsidRDefault="006A22BA" w:rsidP="00466762">
      <w:pPr>
        <w:pStyle w:val="Heading3"/>
        <w:spacing w:after="240"/>
        <w:rPr>
          <w:rFonts w:ascii="Arial" w:hAnsi="Arial" w:cs="Arial"/>
        </w:rPr>
      </w:pPr>
      <w:bookmarkStart w:id="9" w:name="_Hlk509310316"/>
      <w:r w:rsidRPr="006A02F6">
        <w:rPr>
          <w:rFonts w:ascii="Arial" w:hAnsi="Arial" w:cs="Arial"/>
        </w:rPr>
        <w:t>Genotoxicity</w:t>
      </w:r>
    </w:p>
    <w:p w14:paraId="279163FC" w14:textId="65CCDE78" w:rsidR="0056348F" w:rsidRPr="0056348F" w:rsidRDefault="0056348F" w:rsidP="00466762">
      <w:pPr>
        <w:rPr>
          <w:rFonts w:eastAsia="TimesNewRoman"/>
          <w:lang w:val="en-US"/>
        </w:rPr>
      </w:pPr>
      <w:r w:rsidRPr="0056348F">
        <w:t>Based on the weight of evidence, Aklief cream was considered negative in an in vitro bacterial reverse mutation (Ames) assay, an in vitro mouse lymphoma assay with L5178Y/TK+/-cells and an in vivo micronucleus assay in rats. While an equivocal result was seen an in vitro micronucleus assay in primary human lymphocytes, the weight of evidence indicates a low genotoxic potential with trifarotene.</w:t>
      </w:r>
    </w:p>
    <w:p w14:paraId="5626DCC9" w14:textId="2D46D3B8" w:rsidR="006A22BA" w:rsidRPr="006A02F6" w:rsidRDefault="006A22BA" w:rsidP="00466762">
      <w:pPr>
        <w:pStyle w:val="Heading3"/>
        <w:spacing w:after="240"/>
        <w:rPr>
          <w:rFonts w:ascii="Arial" w:hAnsi="Arial" w:cs="Arial"/>
        </w:rPr>
      </w:pPr>
      <w:r w:rsidRPr="006A02F6">
        <w:rPr>
          <w:rFonts w:ascii="Arial" w:hAnsi="Arial" w:cs="Arial"/>
        </w:rPr>
        <w:t>Carcin</w:t>
      </w:r>
      <w:r w:rsidRPr="006A02F6">
        <w:rPr>
          <w:rFonts w:ascii="Arial" w:hAnsi="Arial" w:cs="Arial"/>
          <w:lang w:val="en-US"/>
        </w:rPr>
        <w:t>ogenicity</w:t>
      </w:r>
    </w:p>
    <w:p w14:paraId="1C3FC9A1" w14:textId="2611D4AA" w:rsidR="006A22BA" w:rsidRPr="0056348F" w:rsidRDefault="0056348F" w:rsidP="00466762">
      <w:r w:rsidRPr="0056348F">
        <w:t>Trifarotene was not carcinogenic when topically applied to mice daily for up to 24 months in the vehicle of A</w:t>
      </w:r>
      <w:r>
        <w:t>klief</w:t>
      </w:r>
      <w:r w:rsidRPr="0056348F">
        <w:t xml:space="preserve"> </w:t>
      </w:r>
      <w:r>
        <w:t>c</w:t>
      </w:r>
      <w:r w:rsidRPr="0056348F">
        <w:t>ream at doses of up to 0.02 mg/kg (at a concentration of 0.001% w/w). Systemic exposure at the highest dose in mice was 90-fold greater than the anticipated maximum human exposure with A</w:t>
      </w:r>
      <w:r>
        <w:t>klief</w:t>
      </w:r>
      <w:r w:rsidRPr="0056348F">
        <w:t xml:space="preserve"> cream. Trifarotene was also not carcinogenic when administered orally in a solution to rats daily for up to 24 months at doses of up to 0.75 mg/kg/day in males and 0.2 mg/kg/day in females. Systemic exposure at the highest dose in rats was 642-(males) and 1642-fold (females) times greater than the anticipated human exposure at the MRHD of A</w:t>
      </w:r>
      <w:r>
        <w:t>klief</w:t>
      </w:r>
      <w:r w:rsidRPr="0056348F">
        <w:t xml:space="preserve"> </w:t>
      </w:r>
      <w:r>
        <w:t>c</w:t>
      </w:r>
      <w:r w:rsidRPr="0056348F">
        <w:t>ream.</w:t>
      </w:r>
    </w:p>
    <w:bookmarkEnd w:id="9"/>
    <w:p w14:paraId="6F1DFFA1" w14:textId="1E976282" w:rsidR="001A3992" w:rsidRPr="006A02F6" w:rsidRDefault="001A3992" w:rsidP="00466762">
      <w:pPr>
        <w:pStyle w:val="Heading1"/>
        <w:widowControl w:val="0"/>
        <w:rPr>
          <w:lang w:val="en-US"/>
        </w:rPr>
      </w:pPr>
      <w:r w:rsidRPr="006A02F6">
        <w:rPr>
          <w:lang w:val="en-US"/>
        </w:rPr>
        <w:t>Pharmaceutical particulars</w:t>
      </w:r>
    </w:p>
    <w:p w14:paraId="6CE4C0D7" w14:textId="65A1D0B8" w:rsidR="001A3992" w:rsidRPr="006A02F6" w:rsidRDefault="00FF764B" w:rsidP="00466762">
      <w:pPr>
        <w:pStyle w:val="Heading2"/>
        <w:keepLines/>
        <w:widowControl w:val="0"/>
        <w:rPr>
          <w:lang w:val="en-US"/>
        </w:rPr>
      </w:pPr>
      <w:r w:rsidRPr="006A02F6">
        <w:rPr>
          <w:lang w:val="en-US"/>
        </w:rPr>
        <w:t>List of excipients</w:t>
      </w:r>
    </w:p>
    <w:p w14:paraId="44E5A2A2" w14:textId="77777777" w:rsidR="00872196"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Allantoin</w:t>
      </w:r>
    </w:p>
    <w:p w14:paraId="389CF020" w14:textId="004FFB82" w:rsidR="00872196"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Simulgel 600 PHA (</w:t>
      </w:r>
      <w:r w:rsidR="00472CF4" w:rsidRPr="000F0ECA">
        <w:rPr>
          <w:rFonts w:ascii="Arial" w:hAnsi="Arial"/>
        </w:rPr>
        <w:t>acrylamide</w:t>
      </w:r>
      <w:r w:rsidR="00472CF4">
        <w:rPr>
          <w:rFonts w:ascii="Arial" w:hAnsi="Arial"/>
        </w:rPr>
        <w:t>/</w:t>
      </w:r>
      <w:r w:rsidR="00472CF4" w:rsidRPr="000F0ECA">
        <w:rPr>
          <w:rFonts w:ascii="Arial" w:hAnsi="Arial"/>
        </w:rPr>
        <w:t>sodium acryloyldimethyltaurate</w:t>
      </w:r>
      <w:r w:rsidR="00472CF4">
        <w:rPr>
          <w:rFonts w:ascii="Arial" w:hAnsi="Arial"/>
        </w:rPr>
        <w:t xml:space="preserve"> copolymer</w:t>
      </w:r>
      <w:r w:rsidRPr="000F0ECA">
        <w:rPr>
          <w:rFonts w:ascii="Arial" w:hAnsi="Arial"/>
        </w:rPr>
        <w:t>, isohexadecane, polysorbate 80, sorbitan oleate)</w:t>
      </w:r>
    </w:p>
    <w:p w14:paraId="77B4DC34" w14:textId="77777777" w:rsidR="00872196"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 xml:space="preserve">Cyclomethicone </w:t>
      </w:r>
    </w:p>
    <w:p w14:paraId="7070BC43" w14:textId="77777777" w:rsidR="00872196"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Ethanol</w:t>
      </w:r>
    </w:p>
    <w:p w14:paraId="2FF33C78" w14:textId="77777777" w:rsidR="00872196"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Phenoxyethanol</w:t>
      </w:r>
    </w:p>
    <w:p w14:paraId="21639140" w14:textId="4FF25D5F" w:rsidR="00872196"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Propylene glycol</w:t>
      </w:r>
    </w:p>
    <w:p w14:paraId="03C80CEF" w14:textId="258527AE" w:rsidR="00872196" w:rsidRPr="000F0ECA" w:rsidRDefault="00A74720" w:rsidP="00466762">
      <w:pPr>
        <w:pStyle w:val="ListParagraph"/>
        <w:keepNext/>
        <w:keepLines/>
        <w:widowControl w:val="0"/>
        <w:numPr>
          <w:ilvl w:val="0"/>
          <w:numId w:val="25"/>
        </w:numPr>
        <w:spacing w:after="120"/>
        <w:ind w:left="714" w:hanging="357"/>
        <w:rPr>
          <w:rFonts w:ascii="Arial" w:hAnsi="Arial"/>
        </w:rPr>
      </w:pPr>
      <w:r>
        <w:rPr>
          <w:rFonts w:ascii="Arial" w:hAnsi="Arial"/>
        </w:rPr>
        <w:t>M</w:t>
      </w:r>
      <w:r w:rsidR="00472CF4" w:rsidRPr="000F0ECA">
        <w:rPr>
          <w:rFonts w:ascii="Arial" w:hAnsi="Arial"/>
        </w:rPr>
        <w:t>edium</w:t>
      </w:r>
      <w:r w:rsidR="00472CF4">
        <w:rPr>
          <w:rFonts w:ascii="Arial" w:hAnsi="Arial"/>
        </w:rPr>
        <w:t xml:space="preserve"> </w:t>
      </w:r>
      <w:r w:rsidR="00472CF4" w:rsidRPr="000F0ECA">
        <w:rPr>
          <w:rFonts w:ascii="Arial" w:hAnsi="Arial"/>
        </w:rPr>
        <w:t>chain</w:t>
      </w:r>
      <w:r w:rsidR="00472CF4">
        <w:rPr>
          <w:rFonts w:ascii="Arial" w:hAnsi="Arial"/>
        </w:rPr>
        <w:t xml:space="preserve"> t</w:t>
      </w:r>
      <w:r w:rsidR="00472CF4" w:rsidRPr="000F0ECA">
        <w:rPr>
          <w:rFonts w:ascii="Arial" w:hAnsi="Arial"/>
        </w:rPr>
        <w:t>riglycerides</w:t>
      </w:r>
    </w:p>
    <w:p w14:paraId="226A30E4" w14:textId="2CA4E7A5" w:rsidR="00EC54DA" w:rsidRPr="000F0ECA" w:rsidRDefault="00872196" w:rsidP="00466762">
      <w:pPr>
        <w:pStyle w:val="ListParagraph"/>
        <w:keepNext/>
        <w:keepLines/>
        <w:widowControl w:val="0"/>
        <w:numPr>
          <w:ilvl w:val="0"/>
          <w:numId w:val="25"/>
        </w:numPr>
        <w:spacing w:after="120"/>
        <w:ind w:left="714" w:hanging="357"/>
        <w:rPr>
          <w:rFonts w:ascii="Arial" w:hAnsi="Arial"/>
        </w:rPr>
      </w:pPr>
      <w:r w:rsidRPr="000F0ECA">
        <w:rPr>
          <w:rFonts w:ascii="Arial" w:hAnsi="Arial"/>
        </w:rPr>
        <w:t>Purified water</w:t>
      </w:r>
    </w:p>
    <w:p w14:paraId="1EC6F3F7" w14:textId="77D4BD9E" w:rsidR="001A3992" w:rsidRPr="006A02F6" w:rsidRDefault="00FF764B" w:rsidP="00466762">
      <w:pPr>
        <w:pStyle w:val="Heading2"/>
        <w:rPr>
          <w:lang w:val="en-US"/>
        </w:rPr>
      </w:pPr>
      <w:r w:rsidRPr="006A02F6">
        <w:rPr>
          <w:lang w:val="en-US"/>
        </w:rPr>
        <w:t>Incompatibilities</w:t>
      </w:r>
    </w:p>
    <w:p w14:paraId="377B406C" w14:textId="0A475125" w:rsidR="00FF764B" w:rsidRPr="006A02F6" w:rsidRDefault="00872196" w:rsidP="00466762">
      <w:pPr>
        <w:rPr>
          <w:rFonts w:cs="Arial"/>
          <w:lang w:val="en-US"/>
        </w:rPr>
      </w:pPr>
      <w:r w:rsidRPr="00321C75">
        <w:rPr>
          <w:noProof/>
        </w:rPr>
        <w:t>Not applicable.</w:t>
      </w:r>
      <w:r w:rsidR="00F0072F" w:rsidRPr="006A02F6">
        <w:rPr>
          <w:rFonts w:cs="Arial"/>
          <w:lang w:val="en-US"/>
        </w:rPr>
        <w:t xml:space="preserve"> </w:t>
      </w:r>
    </w:p>
    <w:p w14:paraId="518A07F2" w14:textId="0E6349FA" w:rsidR="001A3992" w:rsidRPr="006A02F6" w:rsidRDefault="001A3992" w:rsidP="00466762">
      <w:pPr>
        <w:pStyle w:val="Heading2"/>
        <w:rPr>
          <w:lang w:val="en-US"/>
        </w:rPr>
      </w:pPr>
      <w:r w:rsidRPr="006A02F6">
        <w:rPr>
          <w:lang w:val="en-US"/>
        </w:rPr>
        <w:t>Shelf life</w:t>
      </w:r>
    </w:p>
    <w:p w14:paraId="1AB9587C" w14:textId="77777777" w:rsidR="00872196" w:rsidRPr="00321C75" w:rsidRDefault="00872196" w:rsidP="00466762">
      <w:pPr>
        <w:rPr>
          <w:noProof/>
        </w:rPr>
      </w:pPr>
      <w:r w:rsidRPr="00321C75">
        <w:rPr>
          <w:noProof/>
        </w:rPr>
        <w:t>2 years</w:t>
      </w:r>
    </w:p>
    <w:p w14:paraId="142CF072" w14:textId="53845521" w:rsidR="00130CDE" w:rsidRPr="006A02F6" w:rsidRDefault="00872196" w:rsidP="00466762">
      <w:pPr>
        <w:rPr>
          <w:rFonts w:cs="Arial"/>
          <w:lang w:val="en-US"/>
        </w:rPr>
      </w:pPr>
      <w:r w:rsidRPr="00321C75">
        <w:rPr>
          <w:noProof/>
        </w:rPr>
        <w:t>After first opening: use within 6 months.</w:t>
      </w:r>
    </w:p>
    <w:p w14:paraId="375FB81D" w14:textId="75714367" w:rsidR="001A3992" w:rsidRPr="006A02F6" w:rsidRDefault="00FF764B" w:rsidP="00466762">
      <w:pPr>
        <w:pStyle w:val="Heading2"/>
        <w:rPr>
          <w:lang w:val="en-US"/>
        </w:rPr>
      </w:pPr>
      <w:r w:rsidRPr="006A02F6">
        <w:rPr>
          <w:lang w:val="en-US"/>
        </w:rPr>
        <w:t>Special precautions for storage</w:t>
      </w:r>
    </w:p>
    <w:p w14:paraId="1533B4A4" w14:textId="5E899440" w:rsidR="00FF764B" w:rsidRPr="006A02F6" w:rsidRDefault="00872196" w:rsidP="00466762">
      <w:pPr>
        <w:rPr>
          <w:rFonts w:cs="Arial"/>
          <w:lang w:val="en-US"/>
        </w:rPr>
      </w:pPr>
      <w:r w:rsidRPr="00321C75">
        <w:rPr>
          <w:noProof/>
        </w:rPr>
        <w:t>This medicinal product does not require any special storage condition.</w:t>
      </w:r>
    </w:p>
    <w:p w14:paraId="6E270B45" w14:textId="1EBF7CD4" w:rsidR="001A3992" w:rsidRPr="006A02F6" w:rsidRDefault="001A3992" w:rsidP="00466762">
      <w:pPr>
        <w:pStyle w:val="Heading2"/>
        <w:rPr>
          <w:lang w:val="en-US"/>
        </w:rPr>
      </w:pPr>
      <w:r w:rsidRPr="006A02F6">
        <w:rPr>
          <w:lang w:val="en-US"/>
        </w:rPr>
        <w:t>N</w:t>
      </w:r>
      <w:r w:rsidR="00FF764B" w:rsidRPr="006A02F6">
        <w:rPr>
          <w:lang w:val="en-US"/>
        </w:rPr>
        <w:t>ature and contents of container</w:t>
      </w:r>
    </w:p>
    <w:p w14:paraId="15A5EA6C" w14:textId="55245831" w:rsidR="00872196" w:rsidRPr="00321C75" w:rsidRDefault="00872196" w:rsidP="00466762">
      <w:pPr>
        <w:ind w:left="567" w:hanging="567"/>
        <w:rPr>
          <w:b/>
          <w:bCs/>
          <w:iCs/>
        </w:rPr>
      </w:pPr>
      <w:r w:rsidRPr="00321C75">
        <w:rPr>
          <w:b/>
          <w:bCs/>
          <w:iCs/>
        </w:rPr>
        <w:t>[Tube</w:t>
      </w:r>
      <w:r w:rsidR="00620A00">
        <w:rPr>
          <w:b/>
          <w:bCs/>
          <w:iCs/>
        </w:rPr>
        <w:t>, Physician’s sample</w:t>
      </w:r>
      <w:r w:rsidRPr="00321C75">
        <w:rPr>
          <w:b/>
          <w:bCs/>
          <w:iCs/>
        </w:rPr>
        <w:t>]</w:t>
      </w:r>
    </w:p>
    <w:p w14:paraId="191EEE9A" w14:textId="77777777" w:rsidR="00872196" w:rsidRPr="00321C75" w:rsidRDefault="00872196" w:rsidP="00466762">
      <w:pPr>
        <w:ind w:left="567" w:hanging="567"/>
        <w:rPr>
          <w:b/>
          <w:bCs/>
          <w:iCs/>
        </w:rPr>
      </w:pPr>
      <w:r w:rsidRPr="00321C75">
        <w:rPr>
          <w:b/>
          <w:bCs/>
          <w:iCs/>
        </w:rPr>
        <w:t xml:space="preserve">[5 g] </w:t>
      </w:r>
    </w:p>
    <w:p w14:paraId="52B45AB8" w14:textId="15659510" w:rsidR="00872196" w:rsidRPr="00321C75" w:rsidRDefault="00872196" w:rsidP="00466762">
      <w:r w:rsidRPr="00321C75">
        <w:t xml:space="preserve">White </w:t>
      </w:r>
      <w:r w:rsidR="000B71FB" w:rsidRPr="00321C75">
        <w:t>Low-density</w:t>
      </w:r>
      <w:r w:rsidRPr="00321C75">
        <w:rPr>
          <w:sz w:val="16"/>
          <w:szCs w:val="16"/>
        </w:rPr>
        <w:t xml:space="preserve"> </w:t>
      </w:r>
      <w:r w:rsidRPr="00321C75">
        <w:t>polyethylene (LDPE)/Aluminium (Al)/High density</w:t>
      </w:r>
      <w:r w:rsidRPr="00321C75">
        <w:rPr>
          <w:sz w:val="16"/>
          <w:szCs w:val="16"/>
        </w:rPr>
        <w:t xml:space="preserve"> </w:t>
      </w:r>
      <w:r w:rsidRPr="00321C75">
        <w:t xml:space="preserve">polyethylene (HDPE) laminated tubes with a white </w:t>
      </w:r>
      <w:r w:rsidR="000B71FB" w:rsidRPr="00321C75">
        <w:t>high-density</w:t>
      </w:r>
      <w:r w:rsidRPr="00321C75">
        <w:rPr>
          <w:sz w:val="16"/>
          <w:szCs w:val="16"/>
        </w:rPr>
        <w:t xml:space="preserve"> </w:t>
      </w:r>
      <w:r w:rsidRPr="00321C75">
        <w:t>polyethylene (HDPE) head and a white polypropylene (PP) closure.</w:t>
      </w:r>
    </w:p>
    <w:p w14:paraId="0C5E23CB" w14:textId="4502B760" w:rsidR="007C4AB4" w:rsidRDefault="007C4AB4" w:rsidP="00466762">
      <w:pPr>
        <w:keepNext/>
        <w:rPr>
          <w:b/>
          <w:bCs/>
          <w:iCs/>
        </w:rPr>
      </w:pPr>
      <w:r>
        <w:rPr>
          <w:b/>
          <w:bCs/>
          <w:iCs/>
        </w:rPr>
        <w:t>[</w:t>
      </w:r>
      <w:r w:rsidR="0056348F">
        <w:rPr>
          <w:b/>
          <w:bCs/>
          <w:iCs/>
        </w:rPr>
        <w:t>Multidose container with airless pump system</w:t>
      </w:r>
      <w:r>
        <w:rPr>
          <w:b/>
          <w:bCs/>
          <w:iCs/>
        </w:rPr>
        <w:t>]</w:t>
      </w:r>
    </w:p>
    <w:p w14:paraId="33D13DEC" w14:textId="7DA05EB4" w:rsidR="00872196" w:rsidRPr="00321C75" w:rsidRDefault="009C2093" w:rsidP="00466762">
      <w:pPr>
        <w:keepNext/>
        <w:rPr>
          <w:b/>
          <w:bCs/>
          <w:iCs/>
        </w:rPr>
      </w:pPr>
      <w:r>
        <w:rPr>
          <w:b/>
          <w:bCs/>
          <w:iCs/>
        </w:rPr>
        <w:t xml:space="preserve"> </w:t>
      </w:r>
      <w:r w:rsidR="00872196" w:rsidRPr="00321C75">
        <w:rPr>
          <w:b/>
          <w:bCs/>
          <w:iCs/>
        </w:rPr>
        <w:t>[15g; 30g; 75g]</w:t>
      </w:r>
    </w:p>
    <w:p w14:paraId="57D6C654" w14:textId="08EC3B8A" w:rsidR="000F0ECA" w:rsidRDefault="00872196" w:rsidP="00466762">
      <w:pPr>
        <w:spacing w:before="240"/>
        <w:contextualSpacing/>
      </w:pPr>
      <w:r w:rsidRPr="00321C75">
        <w:t>Polypropylene (PP)/High density polyethylene (HDPE) white airless bottle closed with a white polypropylene (PP) pump and a white polypropylene (PP) overcap.</w:t>
      </w:r>
    </w:p>
    <w:p w14:paraId="69B4E0CA" w14:textId="77777777" w:rsidR="004D1709" w:rsidRDefault="004D1709" w:rsidP="00466762">
      <w:pPr>
        <w:spacing w:before="240"/>
        <w:contextualSpacing/>
      </w:pPr>
    </w:p>
    <w:p w14:paraId="272803EE" w14:textId="6BEC005C" w:rsidR="00872196" w:rsidRPr="00321C75" w:rsidRDefault="00872196" w:rsidP="00466762">
      <w:pPr>
        <w:spacing w:before="240"/>
        <w:rPr>
          <w:noProof/>
        </w:rPr>
      </w:pPr>
      <w:r w:rsidRPr="00321C75">
        <w:rPr>
          <w:noProof/>
        </w:rPr>
        <w:t>Pack sizes: 1 tube of 5 g; 1 bottle of 15, 30  or 75 g.</w:t>
      </w:r>
    </w:p>
    <w:p w14:paraId="00C64AB5" w14:textId="452B7BFB" w:rsidR="00EC54DA" w:rsidRDefault="00872196" w:rsidP="00466762">
      <w:pPr>
        <w:rPr>
          <w:rFonts w:cs="Arial"/>
          <w:lang w:val="en-US"/>
        </w:rPr>
      </w:pPr>
      <w:r w:rsidRPr="00321C75">
        <w:rPr>
          <w:noProof/>
        </w:rPr>
        <w:t>Not all pack sizes may be marketed.</w:t>
      </w:r>
    </w:p>
    <w:p w14:paraId="6AE854FE" w14:textId="66888BCE" w:rsidR="001A3992" w:rsidRPr="006A02F6" w:rsidRDefault="001A3992" w:rsidP="00466762">
      <w:pPr>
        <w:pStyle w:val="Heading2"/>
        <w:rPr>
          <w:lang w:val="en-US"/>
        </w:rPr>
      </w:pPr>
      <w:r w:rsidRPr="006A02F6">
        <w:rPr>
          <w:lang w:val="en-US"/>
        </w:rPr>
        <w:t>S</w:t>
      </w:r>
      <w:r w:rsidR="00FF764B" w:rsidRPr="006A02F6">
        <w:rPr>
          <w:lang w:val="en-US"/>
        </w:rPr>
        <w:t>pecial precautions for disposal</w:t>
      </w:r>
    </w:p>
    <w:p w14:paraId="1F685C04" w14:textId="659AB772" w:rsidR="00FF764B" w:rsidRDefault="000F0ECA" w:rsidP="00466762">
      <w:pPr>
        <w:rPr>
          <w:rFonts w:cs="Arial"/>
        </w:rPr>
      </w:pPr>
      <w:r w:rsidRPr="00321C75">
        <w:rPr>
          <w:noProof/>
        </w:rPr>
        <w:t>Any unused medicinal product or waste material should be disposed of in accordance with local requirements.</w:t>
      </w:r>
    </w:p>
    <w:p w14:paraId="6E118916" w14:textId="77777777" w:rsidR="001A3992" w:rsidRPr="006A02F6" w:rsidRDefault="001A3992" w:rsidP="00466762">
      <w:pPr>
        <w:pStyle w:val="Heading2"/>
        <w:rPr>
          <w:lang w:val="en-US"/>
        </w:rPr>
      </w:pPr>
      <w:r w:rsidRPr="006A02F6">
        <w:rPr>
          <w:lang w:val="en-US"/>
        </w:rPr>
        <w:t>Physicochemical properties</w:t>
      </w:r>
    </w:p>
    <w:p w14:paraId="596E72A7" w14:textId="43FF5643" w:rsidR="000534C3" w:rsidRPr="00C50CD6" w:rsidRDefault="000534C3" w:rsidP="00466762">
      <w:pPr>
        <w:pStyle w:val="Heading3"/>
        <w:spacing w:after="240"/>
        <w:rPr>
          <w:rFonts w:ascii="Arial" w:eastAsiaTheme="minorHAnsi" w:hAnsi="Arial" w:cstheme="minorBidi"/>
          <w:color w:val="000000" w:themeColor="text1"/>
          <w:lang w:val="en-US"/>
        </w:rPr>
      </w:pPr>
      <w:r w:rsidRPr="00C50CD6">
        <w:rPr>
          <w:rFonts w:ascii="Arial" w:eastAsiaTheme="minorHAnsi" w:hAnsi="Arial" w:cstheme="minorBidi"/>
          <w:color w:val="000000" w:themeColor="text1"/>
          <w:lang w:val="en-US"/>
        </w:rPr>
        <w:t xml:space="preserve">Australian Approved Name (AAN): </w:t>
      </w:r>
      <w:r w:rsidRPr="00C50CD6">
        <w:rPr>
          <w:rFonts w:ascii="Arial" w:eastAsiaTheme="minorHAnsi" w:hAnsi="Arial" w:cstheme="minorBidi"/>
          <w:b w:val="0"/>
          <w:bCs w:val="0"/>
          <w:color w:val="000000" w:themeColor="text1"/>
          <w:lang w:val="en-US"/>
        </w:rPr>
        <w:t>TRIFAROTENE</w:t>
      </w:r>
    </w:p>
    <w:p w14:paraId="31C4F1BA" w14:textId="0FE18315" w:rsidR="001A3992" w:rsidRPr="00C50CD6" w:rsidRDefault="001A3992" w:rsidP="00466762">
      <w:pPr>
        <w:pStyle w:val="Heading3"/>
        <w:spacing w:after="240"/>
        <w:rPr>
          <w:rFonts w:ascii="Arial" w:hAnsi="Arial" w:cs="Arial"/>
          <w:color w:val="000000" w:themeColor="text1"/>
          <w:lang w:val="en-US"/>
        </w:rPr>
      </w:pPr>
      <w:r w:rsidRPr="00C50CD6">
        <w:rPr>
          <w:rFonts w:ascii="Arial" w:hAnsi="Arial" w:cs="Arial"/>
          <w:color w:val="000000" w:themeColor="text1"/>
          <w:lang w:val="en-US"/>
        </w:rPr>
        <w:t>Chemical structure</w:t>
      </w:r>
    </w:p>
    <w:p w14:paraId="1EFC85B8" w14:textId="68F86387" w:rsidR="000534C3" w:rsidRPr="00C50CD6" w:rsidRDefault="000534C3" w:rsidP="00466762">
      <w:pPr>
        <w:rPr>
          <w:color w:val="000000" w:themeColor="text1"/>
          <w:lang w:val="en-US"/>
        </w:rPr>
      </w:pPr>
      <w:r w:rsidRPr="00C50CD6">
        <w:rPr>
          <w:noProof/>
          <w:color w:val="000000" w:themeColor="text1"/>
          <w:lang w:eastAsia="en-AU"/>
        </w:rPr>
        <w:drawing>
          <wp:inline distT="0" distB="0" distL="0" distR="0" wp14:anchorId="557EAFB7" wp14:editId="1E15D0F8">
            <wp:extent cx="1895475" cy="1838325"/>
            <wp:effectExtent l="0" t="0" r="9525" b="9525"/>
            <wp:docPr id="2" name="Picture 2" descr="Image result for Trifarotene CAS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ifarotene CAS NU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838325"/>
                    </a:xfrm>
                    <a:prstGeom prst="rect">
                      <a:avLst/>
                    </a:prstGeom>
                    <a:noFill/>
                    <a:ln>
                      <a:noFill/>
                    </a:ln>
                  </pic:spPr>
                </pic:pic>
              </a:graphicData>
            </a:graphic>
          </wp:inline>
        </w:drawing>
      </w:r>
    </w:p>
    <w:p w14:paraId="1C0F1194" w14:textId="69E1722F" w:rsidR="000534C3" w:rsidRPr="00C50CD6" w:rsidRDefault="000534C3" w:rsidP="00466762">
      <w:pPr>
        <w:tabs>
          <w:tab w:val="left" w:pos="7806"/>
        </w:tabs>
        <w:rPr>
          <w:rFonts w:cs="Arial"/>
          <w:color w:val="000000" w:themeColor="text1"/>
          <w:vertAlign w:val="subscript"/>
        </w:rPr>
      </w:pPr>
      <w:r w:rsidRPr="00C50CD6">
        <w:rPr>
          <w:rFonts w:cs="Arial"/>
          <w:b/>
          <w:bCs/>
          <w:color w:val="000000" w:themeColor="text1"/>
        </w:rPr>
        <w:t xml:space="preserve">Molecular Formula: </w:t>
      </w:r>
      <w:r w:rsidRPr="00C50CD6">
        <w:rPr>
          <w:rFonts w:cs="Arial"/>
          <w:color w:val="000000" w:themeColor="text1"/>
        </w:rPr>
        <w:t>C</w:t>
      </w:r>
      <w:r w:rsidRPr="00C50CD6">
        <w:rPr>
          <w:rFonts w:cs="Arial"/>
          <w:color w:val="000000" w:themeColor="text1"/>
          <w:vertAlign w:val="subscript"/>
        </w:rPr>
        <w:t>29</w:t>
      </w:r>
      <w:r w:rsidRPr="00C50CD6">
        <w:rPr>
          <w:rFonts w:cs="Arial"/>
          <w:color w:val="000000" w:themeColor="text1"/>
        </w:rPr>
        <w:t>H</w:t>
      </w:r>
      <w:r w:rsidRPr="00C50CD6">
        <w:rPr>
          <w:rFonts w:cs="Arial"/>
          <w:color w:val="000000" w:themeColor="text1"/>
          <w:vertAlign w:val="subscript"/>
        </w:rPr>
        <w:t>33</w:t>
      </w:r>
      <w:r w:rsidRPr="00C50CD6">
        <w:rPr>
          <w:rFonts w:cs="Arial"/>
          <w:color w:val="000000" w:themeColor="text1"/>
        </w:rPr>
        <w:t>NO</w:t>
      </w:r>
      <w:r w:rsidRPr="00C50CD6">
        <w:rPr>
          <w:rFonts w:cs="Arial"/>
          <w:color w:val="000000" w:themeColor="text1"/>
          <w:vertAlign w:val="subscript"/>
        </w:rPr>
        <w:t>4</w:t>
      </w:r>
    </w:p>
    <w:p w14:paraId="08E6531D" w14:textId="04F741EE" w:rsidR="000534C3" w:rsidRPr="00C50CD6" w:rsidRDefault="000534C3" w:rsidP="00466762">
      <w:pPr>
        <w:rPr>
          <w:rFonts w:cs="Arial"/>
          <w:color w:val="000000" w:themeColor="text1"/>
          <w:lang w:val="en-US"/>
        </w:rPr>
      </w:pPr>
      <w:r w:rsidRPr="00C50CD6">
        <w:rPr>
          <w:rFonts w:cs="Arial"/>
          <w:b/>
          <w:bCs/>
          <w:color w:val="000000" w:themeColor="text1"/>
        </w:rPr>
        <w:t xml:space="preserve">Molecular Weight: </w:t>
      </w:r>
      <w:r w:rsidRPr="00C50CD6">
        <w:rPr>
          <w:rFonts w:eastAsiaTheme="majorEastAsia" w:cs="Arial"/>
          <w:color w:val="000000" w:themeColor="text1"/>
          <w:lang w:val="en-US"/>
        </w:rPr>
        <w:t>459.6</w:t>
      </w:r>
    </w:p>
    <w:p w14:paraId="6B7A333A" w14:textId="66A84799" w:rsidR="001A3992" w:rsidRDefault="001A3992" w:rsidP="00466762">
      <w:pPr>
        <w:pStyle w:val="Heading3"/>
        <w:spacing w:after="240"/>
        <w:rPr>
          <w:rFonts w:ascii="Arial" w:hAnsi="Arial" w:cs="Arial"/>
          <w:b w:val="0"/>
          <w:bCs w:val="0"/>
          <w:color w:val="000000" w:themeColor="text1"/>
          <w:lang w:val="en-US"/>
        </w:rPr>
      </w:pPr>
      <w:r w:rsidRPr="00C50CD6">
        <w:rPr>
          <w:rFonts w:ascii="Arial" w:eastAsiaTheme="minorHAnsi" w:hAnsi="Arial" w:cs="Arial"/>
          <w:color w:val="000000" w:themeColor="text1"/>
        </w:rPr>
        <w:t>CAS number</w:t>
      </w:r>
      <w:r w:rsidR="000534C3" w:rsidRPr="00C50CD6">
        <w:rPr>
          <w:rFonts w:ascii="Arial" w:hAnsi="Arial" w:cs="Arial"/>
          <w:color w:val="000000" w:themeColor="text1"/>
          <w:lang w:val="en-US"/>
        </w:rPr>
        <w:t xml:space="preserve">: </w:t>
      </w:r>
      <w:r w:rsidR="000534C3" w:rsidRPr="00C50CD6">
        <w:rPr>
          <w:rFonts w:ascii="Arial" w:hAnsi="Arial" w:cs="Arial"/>
          <w:b w:val="0"/>
          <w:bCs w:val="0"/>
          <w:color w:val="000000" w:themeColor="text1"/>
          <w:lang w:val="en-US"/>
        </w:rPr>
        <w:t>895542-09-3</w:t>
      </w:r>
    </w:p>
    <w:p w14:paraId="60CFB629" w14:textId="77777777" w:rsidR="001C6192" w:rsidRPr="00664B1C" w:rsidRDefault="001C6192" w:rsidP="00466762">
      <w:pPr>
        <w:rPr>
          <w:lang w:val="en-US"/>
        </w:rPr>
      </w:pPr>
    </w:p>
    <w:p w14:paraId="4A0C1CEC" w14:textId="77777777" w:rsidR="001A3992" w:rsidRPr="006A02F6" w:rsidRDefault="001A3992" w:rsidP="00466762">
      <w:pPr>
        <w:pStyle w:val="Heading1"/>
        <w:rPr>
          <w:lang w:val="en-US"/>
        </w:rPr>
      </w:pPr>
      <w:r w:rsidRPr="006A02F6">
        <w:rPr>
          <w:lang w:val="en-US"/>
        </w:rPr>
        <w:t>Medicine schedule (Poisons Standard)</w:t>
      </w:r>
    </w:p>
    <w:p w14:paraId="24976F24" w14:textId="1B8C2D38" w:rsidR="007439C1" w:rsidRDefault="00B1320E" w:rsidP="00466762">
      <w:pPr>
        <w:rPr>
          <w:rFonts w:cs="Arial"/>
        </w:rPr>
      </w:pPr>
      <w:r w:rsidRPr="006A02F6">
        <w:rPr>
          <w:rFonts w:cs="Arial"/>
        </w:rPr>
        <w:t>S4 – Prescription Only Medicine</w:t>
      </w:r>
    </w:p>
    <w:p w14:paraId="4DBE7674" w14:textId="77777777" w:rsidR="001A3992" w:rsidRPr="006A02F6" w:rsidRDefault="001A3992" w:rsidP="00466762">
      <w:pPr>
        <w:pStyle w:val="Heading1"/>
        <w:rPr>
          <w:lang w:val="en-US"/>
        </w:rPr>
      </w:pPr>
      <w:r w:rsidRPr="006A02F6">
        <w:rPr>
          <w:lang w:val="en-US"/>
        </w:rPr>
        <w:t>Sponsor</w:t>
      </w:r>
    </w:p>
    <w:p w14:paraId="7A51B10A" w14:textId="77777777" w:rsidR="000534C3" w:rsidRPr="000534C3" w:rsidRDefault="000534C3" w:rsidP="00466762">
      <w:pPr>
        <w:spacing w:before="0" w:after="0"/>
        <w:rPr>
          <w:rStyle w:val="streetline"/>
          <w:rFonts w:cs="Arial"/>
          <w:sz w:val="22"/>
        </w:rPr>
      </w:pPr>
      <w:r w:rsidRPr="000534C3">
        <w:rPr>
          <w:rStyle w:val="streetline"/>
          <w:rFonts w:cs="Arial"/>
          <w:sz w:val="22"/>
        </w:rPr>
        <w:t>Galderma Australia Pty Ltd</w:t>
      </w:r>
    </w:p>
    <w:p w14:paraId="2B01BFF3" w14:textId="77777777" w:rsidR="000534C3" w:rsidRPr="000534C3" w:rsidRDefault="000534C3" w:rsidP="00466762">
      <w:pPr>
        <w:spacing w:before="0" w:after="0"/>
        <w:rPr>
          <w:rStyle w:val="streetline"/>
          <w:rFonts w:cs="Arial"/>
          <w:sz w:val="22"/>
        </w:rPr>
      </w:pPr>
      <w:r w:rsidRPr="000534C3">
        <w:rPr>
          <w:rStyle w:val="streetline"/>
          <w:rFonts w:cs="Arial"/>
          <w:sz w:val="22"/>
        </w:rPr>
        <w:t>Suite 4, 13B Narabang Way</w:t>
      </w:r>
    </w:p>
    <w:p w14:paraId="7D2D95BB" w14:textId="77777777" w:rsidR="000534C3" w:rsidRPr="000534C3" w:rsidRDefault="000534C3" w:rsidP="00466762">
      <w:pPr>
        <w:spacing w:before="0" w:after="0"/>
        <w:rPr>
          <w:rStyle w:val="postcode"/>
          <w:rFonts w:cs="Arial"/>
          <w:sz w:val="22"/>
        </w:rPr>
      </w:pPr>
      <w:r w:rsidRPr="000534C3">
        <w:rPr>
          <w:rStyle w:val="locality"/>
          <w:rFonts w:cs="Arial"/>
          <w:sz w:val="22"/>
        </w:rPr>
        <w:t xml:space="preserve">Belrose </w:t>
      </w:r>
      <w:r w:rsidRPr="000534C3">
        <w:rPr>
          <w:rStyle w:val="state"/>
          <w:rFonts w:cs="Arial"/>
          <w:sz w:val="22"/>
        </w:rPr>
        <w:t xml:space="preserve">NSW </w:t>
      </w:r>
      <w:r w:rsidRPr="000534C3">
        <w:rPr>
          <w:rStyle w:val="postcode"/>
          <w:rFonts w:cs="Arial"/>
          <w:sz w:val="22"/>
        </w:rPr>
        <w:t>2085</w:t>
      </w:r>
    </w:p>
    <w:p w14:paraId="587E1EA4" w14:textId="5C422463" w:rsidR="00AE368B" w:rsidRDefault="000534C3" w:rsidP="00466762">
      <w:pPr>
        <w:spacing w:before="0" w:after="0"/>
        <w:rPr>
          <w:rStyle w:val="postcode"/>
          <w:rFonts w:cs="Arial"/>
          <w:sz w:val="22"/>
        </w:rPr>
      </w:pPr>
      <w:r w:rsidRPr="000534C3">
        <w:rPr>
          <w:rStyle w:val="postcode"/>
          <w:rFonts w:cs="Arial"/>
          <w:sz w:val="22"/>
        </w:rPr>
        <w:t>Ph. 1800 800 765</w:t>
      </w:r>
    </w:p>
    <w:p w14:paraId="650407B3" w14:textId="77777777" w:rsidR="001C6192" w:rsidRDefault="001C6192" w:rsidP="00466762">
      <w:pPr>
        <w:spacing w:before="0" w:after="0"/>
        <w:rPr>
          <w:rStyle w:val="postcode"/>
          <w:rFonts w:cs="Arial"/>
          <w:sz w:val="22"/>
        </w:rPr>
      </w:pPr>
    </w:p>
    <w:p w14:paraId="61100607" w14:textId="467FA9CC" w:rsidR="00700BB5" w:rsidRDefault="00700BB5" w:rsidP="00466762">
      <w:pPr>
        <w:spacing w:before="0" w:after="0"/>
        <w:rPr>
          <w:rStyle w:val="postcode"/>
          <w:rFonts w:cs="Arial"/>
          <w:sz w:val="22"/>
        </w:rPr>
      </w:pPr>
      <w:r>
        <w:rPr>
          <w:rStyle w:val="postcode"/>
          <w:rFonts w:cs="Arial"/>
          <w:sz w:val="22"/>
        </w:rPr>
        <w:t xml:space="preserve">Australian </w:t>
      </w:r>
      <w:r w:rsidR="00664B1C">
        <w:rPr>
          <w:rStyle w:val="postcode"/>
          <w:rFonts w:cs="Arial"/>
          <w:sz w:val="22"/>
        </w:rPr>
        <w:t>R</w:t>
      </w:r>
      <w:r>
        <w:rPr>
          <w:rStyle w:val="postcode"/>
          <w:rFonts w:cs="Arial"/>
          <w:sz w:val="22"/>
        </w:rPr>
        <w:t>egistration Number:</w:t>
      </w:r>
    </w:p>
    <w:p w14:paraId="06CC5E29" w14:textId="6944F839" w:rsidR="00700BB5" w:rsidRDefault="00700BB5" w:rsidP="00466762">
      <w:pPr>
        <w:spacing w:before="0" w:after="0"/>
        <w:rPr>
          <w:rStyle w:val="postcode"/>
          <w:rFonts w:cs="Arial"/>
          <w:sz w:val="22"/>
        </w:rPr>
      </w:pPr>
    </w:p>
    <w:p w14:paraId="15F39ECB" w14:textId="2A86B70C" w:rsidR="00700BB5" w:rsidRDefault="00700BB5" w:rsidP="00466762">
      <w:pPr>
        <w:spacing w:before="0" w:after="0"/>
        <w:rPr>
          <w:rStyle w:val="postcode"/>
          <w:rFonts w:cs="Arial"/>
          <w:sz w:val="22"/>
        </w:rPr>
      </w:pPr>
      <w:r>
        <w:rPr>
          <w:rStyle w:val="postcode"/>
          <w:rFonts w:cs="Arial"/>
          <w:sz w:val="22"/>
        </w:rPr>
        <w:t>AUST R 332220</w:t>
      </w:r>
    </w:p>
    <w:p w14:paraId="0D292386" w14:textId="308F6345" w:rsidR="00700BB5" w:rsidRPr="00593F5D" w:rsidRDefault="00700BB5" w:rsidP="00466762">
      <w:pPr>
        <w:spacing w:before="0" w:after="0"/>
        <w:rPr>
          <w:rFonts w:cs="Arial"/>
          <w:color w:val="000000"/>
        </w:rPr>
      </w:pPr>
      <w:r>
        <w:rPr>
          <w:rStyle w:val="postcode"/>
          <w:rFonts w:cs="Arial"/>
          <w:sz w:val="22"/>
        </w:rPr>
        <w:t>AUST R 340375</w:t>
      </w:r>
    </w:p>
    <w:p w14:paraId="1ED32F7D" w14:textId="4F79AC53" w:rsidR="001A3992" w:rsidRPr="006A02F6" w:rsidRDefault="001A3992" w:rsidP="00466762">
      <w:pPr>
        <w:pStyle w:val="Heading1"/>
        <w:rPr>
          <w:lang w:val="en-US"/>
        </w:rPr>
      </w:pPr>
      <w:r w:rsidRPr="006A02F6">
        <w:rPr>
          <w:lang w:val="en-US"/>
        </w:rPr>
        <w:t xml:space="preserve">Date of first </w:t>
      </w:r>
      <w:r w:rsidR="00FF764B" w:rsidRPr="006A02F6">
        <w:rPr>
          <w:lang w:val="en-US"/>
        </w:rPr>
        <w:t>approval</w:t>
      </w:r>
    </w:p>
    <w:p w14:paraId="0C445FE6" w14:textId="2542C871" w:rsidR="007439C1" w:rsidRDefault="00553D7A" w:rsidP="00466762">
      <w:pPr>
        <w:spacing w:after="0"/>
        <w:rPr>
          <w:rFonts w:cs="Arial"/>
          <w:lang w:val="en-US"/>
        </w:rPr>
      </w:pPr>
      <w:r>
        <w:rPr>
          <w:rFonts w:cs="Arial"/>
          <w:lang w:val="en-US"/>
        </w:rPr>
        <w:t>11 January 2021</w:t>
      </w:r>
    </w:p>
    <w:p w14:paraId="26D17EBE" w14:textId="2B2298BC" w:rsidR="001A3992" w:rsidRDefault="00FF764B" w:rsidP="00466762">
      <w:pPr>
        <w:pStyle w:val="Heading1"/>
        <w:rPr>
          <w:lang w:val="en-US"/>
        </w:rPr>
      </w:pPr>
      <w:r w:rsidRPr="006A02F6">
        <w:rPr>
          <w:lang w:val="en-US"/>
        </w:rPr>
        <w:t>Date of revision</w:t>
      </w:r>
    </w:p>
    <w:p w14:paraId="694A23E9" w14:textId="048434DC" w:rsidR="00C873B4" w:rsidRDefault="00316891" w:rsidP="00466762">
      <w:pPr>
        <w:rPr>
          <w:lang w:val="en-US"/>
        </w:rPr>
      </w:pPr>
      <w:r>
        <w:rPr>
          <w:lang w:val="en-US"/>
        </w:rPr>
        <w:t xml:space="preserve">      NA</w:t>
      </w:r>
    </w:p>
    <w:p w14:paraId="4DF7F891" w14:textId="0B369CCD" w:rsidR="001A3992" w:rsidRPr="006A02F6" w:rsidRDefault="001A3992" w:rsidP="00466762">
      <w:pPr>
        <w:pStyle w:val="Heading3"/>
        <w:spacing w:after="240"/>
        <w:rPr>
          <w:lang w:val="en-US"/>
        </w:rPr>
      </w:pPr>
      <w:bookmarkStart w:id="10" w:name="_Hlk519244227"/>
      <w:bookmarkStart w:id="11" w:name="_GoBack"/>
      <w:bookmarkEnd w:id="11"/>
      <w:r w:rsidRPr="006A02F6">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951"/>
        <w:gridCol w:w="7055"/>
      </w:tblGrid>
      <w:tr w:rsidR="00ED0937" w:rsidRPr="006A02F6" w14:paraId="7C1E5885" w14:textId="77777777" w:rsidTr="007C68D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Mar>
              <w:top w:w="113" w:type="dxa"/>
              <w:left w:w="113" w:type="dxa"/>
              <w:bottom w:w="113" w:type="dxa"/>
              <w:right w:w="113" w:type="dxa"/>
            </w:tcMar>
            <w:vAlign w:val="center"/>
          </w:tcPr>
          <w:p w14:paraId="3D07BFB2" w14:textId="77777777" w:rsidR="00ED0937" w:rsidRPr="006A02F6" w:rsidRDefault="00ED0937" w:rsidP="00466762">
            <w:pPr>
              <w:spacing w:before="0" w:after="0"/>
              <w:rPr>
                <w:rFonts w:cs="Arial"/>
                <w:sz w:val="20"/>
                <w:lang w:val="en-US"/>
              </w:rPr>
            </w:pPr>
            <w:r w:rsidRPr="006A02F6">
              <w:rPr>
                <w:rFonts w:cs="Arial"/>
                <w:sz w:val="20"/>
                <w:lang w:val="en-US"/>
              </w:rPr>
              <w:t>Section Changed</w:t>
            </w:r>
          </w:p>
        </w:tc>
        <w:tc>
          <w:tcPr>
            <w:tcW w:w="7055" w:type="dxa"/>
            <w:shd w:val="clear" w:color="auto" w:fill="F2F2F2" w:themeFill="background1" w:themeFillShade="F2"/>
            <w:tcMar>
              <w:top w:w="113" w:type="dxa"/>
              <w:left w:w="113" w:type="dxa"/>
              <w:bottom w:w="113" w:type="dxa"/>
              <w:right w:w="113" w:type="dxa"/>
            </w:tcMar>
            <w:vAlign w:val="center"/>
          </w:tcPr>
          <w:p w14:paraId="6D51F484" w14:textId="77777777" w:rsidR="00ED0937" w:rsidRPr="006A02F6" w:rsidRDefault="00ED0937" w:rsidP="00466762">
            <w:pPr>
              <w:spacing w:before="0" w:after="0"/>
              <w:cnfStyle w:val="100000000000" w:firstRow="1" w:lastRow="0" w:firstColumn="0" w:lastColumn="0" w:oddVBand="0" w:evenVBand="0" w:oddHBand="0" w:evenHBand="0" w:firstRowFirstColumn="0" w:firstRowLastColumn="0" w:lastRowFirstColumn="0" w:lastRowLastColumn="0"/>
              <w:rPr>
                <w:rFonts w:cs="Arial"/>
                <w:sz w:val="20"/>
                <w:lang w:val="en-US"/>
              </w:rPr>
            </w:pPr>
            <w:r w:rsidRPr="006A02F6">
              <w:rPr>
                <w:rFonts w:cs="Arial"/>
                <w:sz w:val="20"/>
                <w:lang w:val="en-US"/>
              </w:rPr>
              <w:t>Summary of new information</w:t>
            </w:r>
          </w:p>
        </w:tc>
      </w:tr>
      <w:tr w:rsidR="007D0887" w:rsidRPr="006A02F6" w14:paraId="1A6BCD05" w14:textId="77777777" w:rsidTr="00064B5E">
        <w:trPr>
          <w:cantSplit/>
          <w:trHeight w:val="400"/>
        </w:trPr>
        <w:tc>
          <w:tcPr>
            <w:cnfStyle w:val="001000000000" w:firstRow="0" w:lastRow="0" w:firstColumn="1" w:lastColumn="0" w:oddVBand="0" w:evenVBand="0" w:oddHBand="0" w:evenHBand="0" w:firstRowFirstColumn="0" w:firstRowLastColumn="0" w:lastRowFirstColumn="0" w:lastRowLastColumn="0"/>
            <w:tcW w:w="1951" w:type="dxa"/>
            <w:tcMar>
              <w:top w:w="113" w:type="dxa"/>
              <w:left w:w="113" w:type="dxa"/>
              <w:bottom w:w="113" w:type="dxa"/>
              <w:right w:w="113" w:type="dxa"/>
            </w:tcMar>
            <w:vAlign w:val="center"/>
          </w:tcPr>
          <w:p w14:paraId="3336EE2A" w14:textId="61D5FBF6" w:rsidR="007D0887" w:rsidRPr="006A02F6" w:rsidRDefault="007D0887" w:rsidP="00466762">
            <w:pPr>
              <w:spacing w:before="0" w:after="0"/>
              <w:rPr>
                <w:rFonts w:cs="Arial"/>
                <w:lang w:val="en-US"/>
              </w:rPr>
            </w:pPr>
          </w:p>
        </w:tc>
        <w:tc>
          <w:tcPr>
            <w:tcW w:w="7055" w:type="dxa"/>
            <w:tcMar>
              <w:top w:w="113" w:type="dxa"/>
              <w:left w:w="113" w:type="dxa"/>
              <w:bottom w:w="113" w:type="dxa"/>
              <w:right w:w="113" w:type="dxa"/>
            </w:tcMar>
            <w:vAlign w:val="center"/>
          </w:tcPr>
          <w:p w14:paraId="5D5B80DF" w14:textId="7AEF58E5" w:rsidR="007D0887" w:rsidRPr="006A02F6" w:rsidRDefault="00A74720" w:rsidP="00466762">
            <w:pPr>
              <w:spacing w:before="0" w:after="0"/>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Creation of PI</w:t>
            </w:r>
          </w:p>
        </w:tc>
      </w:tr>
      <w:tr w:rsidR="007D0887" w:rsidRPr="006A02F6" w14:paraId="6B3E89F5" w14:textId="77777777" w:rsidTr="00147F97">
        <w:trPr>
          <w:cantSplit/>
          <w:trHeight w:val="155"/>
        </w:trPr>
        <w:tc>
          <w:tcPr>
            <w:cnfStyle w:val="001000000000" w:firstRow="0" w:lastRow="0" w:firstColumn="1" w:lastColumn="0" w:oddVBand="0" w:evenVBand="0" w:oddHBand="0" w:evenHBand="0" w:firstRowFirstColumn="0" w:firstRowLastColumn="0" w:lastRowFirstColumn="0" w:lastRowLastColumn="0"/>
            <w:tcW w:w="1951" w:type="dxa"/>
            <w:tcMar>
              <w:top w:w="113" w:type="dxa"/>
              <w:left w:w="113" w:type="dxa"/>
              <w:bottom w:w="113" w:type="dxa"/>
              <w:right w:w="113" w:type="dxa"/>
            </w:tcMar>
            <w:vAlign w:val="center"/>
          </w:tcPr>
          <w:p w14:paraId="34A502C6" w14:textId="77777777" w:rsidR="007D0887" w:rsidRPr="006A02F6" w:rsidRDefault="007D0887" w:rsidP="00466762">
            <w:pPr>
              <w:spacing w:before="0" w:after="0"/>
              <w:rPr>
                <w:rFonts w:cs="Arial"/>
                <w:lang w:val="en-US"/>
              </w:rPr>
            </w:pPr>
          </w:p>
        </w:tc>
        <w:tc>
          <w:tcPr>
            <w:tcW w:w="7055" w:type="dxa"/>
            <w:tcMar>
              <w:top w:w="113" w:type="dxa"/>
              <w:left w:w="113" w:type="dxa"/>
              <w:bottom w:w="113" w:type="dxa"/>
              <w:right w:w="113" w:type="dxa"/>
            </w:tcMar>
            <w:vAlign w:val="center"/>
          </w:tcPr>
          <w:p w14:paraId="3968241F" w14:textId="77777777" w:rsidR="007D0887" w:rsidRPr="006A02F6" w:rsidRDefault="007D0887" w:rsidP="00466762">
            <w:pPr>
              <w:spacing w:before="0" w:after="0"/>
              <w:cnfStyle w:val="000000000000" w:firstRow="0" w:lastRow="0" w:firstColumn="0" w:lastColumn="0" w:oddVBand="0" w:evenVBand="0" w:oddHBand="0" w:evenHBand="0" w:firstRowFirstColumn="0" w:firstRowLastColumn="0" w:lastRowFirstColumn="0" w:lastRowLastColumn="0"/>
              <w:rPr>
                <w:rFonts w:cs="Arial"/>
                <w:lang w:val="en-US"/>
              </w:rPr>
            </w:pPr>
          </w:p>
        </w:tc>
      </w:tr>
      <w:tr w:rsidR="007D0887" w:rsidRPr="006A02F6" w14:paraId="3562325F" w14:textId="77777777" w:rsidTr="00147F97">
        <w:trPr>
          <w:cantSplit/>
          <w:trHeight w:val="200"/>
        </w:trPr>
        <w:tc>
          <w:tcPr>
            <w:cnfStyle w:val="001000000000" w:firstRow="0" w:lastRow="0" w:firstColumn="1" w:lastColumn="0" w:oddVBand="0" w:evenVBand="0" w:oddHBand="0" w:evenHBand="0" w:firstRowFirstColumn="0" w:firstRowLastColumn="0" w:lastRowFirstColumn="0" w:lastRowLastColumn="0"/>
            <w:tcW w:w="1951" w:type="dxa"/>
            <w:tcMar>
              <w:top w:w="113" w:type="dxa"/>
              <w:left w:w="113" w:type="dxa"/>
              <w:bottom w:w="113" w:type="dxa"/>
              <w:right w:w="113" w:type="dxa"/>
            </w:tcMar>
            <w:vAlign w:val="center"/>
          </w:tcPr>
          <w:p w14:paraId="593F6DE5" w14:textId="77777777" w:rsidR="007D0887" w:rsidRPr="006A02F6" w:rsidRDefault="007D0887" w:rsidP="00466762">
            <w:pPr>
              <w:spacing w:before="0" w:after="0"/>
              <w:rPr>
                <w:rFonts w:cs="Arial"/>
                <w:lang w:val="en-US"/>
              </w:rPr>
            </w:pPr>
          </w:p>
        </w:tc>
        <w:tc>
          <w:tcPr>
            <w:tcW w:w="7055" w:type="dxa"/>
            <w:tcMar>
              <w:top w:w="113" w:type="dxa"/>
              <w:left w:w="113" w:type="dxa"/>
              <w:bottom w:w="113" w:type="dxa"/>
              <w:right w:w="113" w:type="dxa"/>
            </w:tcMar>
            <w:vAlign w:val="center"/>
          </w:tcPr>
          <w:p w14:paraId="7167C7A0" w14:textId="77777777" w:rsidR="007D0887" w:rsidRPr="006A02F6" w:rsidRDefault="007D0887" w:rsidP="00466762">
            <w:pPr>
              <w:spacing w:before="0" w:after="0"/>
              <w:cnfStyle w:val="000000000000" w:firstRow="0" w:lastRow="0" w:firstColumn="0" w:lastColumn="0" w:oddVBand="0" w:evenVBand="0" w:oddHBand="0" w:evenHBand="0" w:firstRowFirstColumn="0" w:firstRowLastColumn="0" w:lastRowFirstColumn="0" w:lastRowLastColumn="0"/>
              <w:rPr>
                <w:rFonts w:cs="Arial"/>
                <w:lang w:val="en-US"/>
              </w:rPr>
            </w:pPr>
          </w:p>
        </w:tc>
      </w:tr>
      <w:bookmarkEnd w:id="10"/>
    </w:tbl>
    <w:p w14:paraId="2F47193B" w14:textId="77777777" w:rsidR="00960CD5" w:rsidRPr="006A02F6" w:rsidRDefault="00960CD5" w:rsidP="00466762">
      <w:pPr>
        <w:rPr>
          <w:rFonts w:cs="Arial"/>
        </w:rPr>
      </w:pPr>
    </w:p>
    <w:sectPr w:rsidR="00960CD5" w:rsidRPr="006A02F6" w:rsidSect="00E956EE">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9B9DC" w14:textId="77777777" w:rsidR="00466762" w:rsidRDefault="00466762" w:rsidP="001A3992">
      <w:pPr>
        <w:spacing w:after="0"/>
      </w:pPr>
      <w:r>
        <w:separator/>
      </w:r>
    </w:p>
  </w:endnote>
  <w:endnote w:type="continuationSeparator" w:id="0">
    <w:p w14:paraId="0AFB24CD" w14:textId="77777777" w:rsidR="00466762" w:rsidRDefault="00466762" w:rsidP="001A3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5EF2" w14:textId="77777777" w:rsidR="00466762" w:rsidRDefault="00466762">
    <w:pPr>
      <w:pStyle w:val="Footer"/>
    </w:pPr>
  </w:p>
  <w:p w14:paraId="677A80F6" w14:textId="77777777" w:rsidR="00466762" w:rsidRDefault="004667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4BB73813" w14:textId="08EAB4C4" w:rsidR="00466762" w:rsidRPr="00B8074A" w:rsidRDefault="00466762" w:rsidP="003C3A05">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5E6526">
          <w:rPr>
            <w:noProof/>
            <w:sz w:val="20"/>
          </w:rPr>
          <w:t>15</w:t>
        </w:r>
        <w:r w:rsidRPr="00B8074A">
          <w:rPr>
            <w:noProof/>
            <w:sz w:val="20"/>
          </w:rPr>
          <w:fldChar w:fldCharType="end"/>
        </w:r>
      </w:p>
    </w:sdtContent>
  </w:sdt>
  <w:p w14:paraId="57055093" w14:textId="77777777" w:rsidR="00466762" w:rsidRDefault="004667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27E7" w14:textId="77777777" w:rsidR="00466762" w:rsidRDefault="00466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0202F" w14:textId="77777777" w:rsidR="00466762" w:rsidRDefault="00466762" w:rsidP="001A3992">
      <w:pPr>
        <w:spacing w:after="0"/>
      </w:pPr>
      <w:r>
        <w:separator/>
      </w:r>
    </w:p>
  </w:footnote>
  <w:footnote w:type="continuationSeparator" w:id="0">
    <w:p w14:paraId="2D87BAD2" w14:textId="77777777" w:rsidR="00466762" w:rsidRDefault="00466762" w:rsidP="001A39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8784" w14:textId="77777777" w:rsidR="00466762" w:rsidRDefault="00466762">
    <w:pPr>
      <w:pStyle w:val="Header"/>
    </w:pPr>
  </w:p>
  <w:p w14:paraId="160643F0" w14:textId="77777777" w:rsidR="00466762" w:rsidRDefault="004667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466762" w:rsidRPr="000B2145" w14:paraId="05B4F328" w14:textId="77777777" w:rsidTr="00466762">
      <w:trPr>
        <w:trHeight w:val="1012"/>
      </w:trPr>
      <w:tc>
        <w:tcPr>
          <w:tcW w:w="8897" w:type="dxa"/>
          <w:shd w:val="clear" w:color="auto" w:fill="E4F2E0"/>
        </w:tcPr>
        <w:p w14:paraId="1C9B1D04" w14:textId="77777777" w:rsidR="00466762" w:rsidRPr="000B2145" w:rsidRDefault="00466762" w:rsidP="00466762">
          <w:pPr>
            <w:pStyle w:val="Footer"/>
            <w:rPr>
              <w:b/>
              <w:sz w:val="18"/>
              <w:szCs w:val="18"/>
            </w:rPr>
          </w:pPr>
          <w:r w:rsidRPr="00EA0C3C">
            <w:rPr>
              <w:b/>
              <w:sz w:val="18"/>
              <w:szCs w:val="18"/>
            </w:rPr>
            <w:t>Attachment 1:</w:t>
          </w:r>
          <w:r>
            <w:t xml:space="preserve"> </w:t>
          </w:r>
          <w:r w:rsidRPr="00673A58">
            <w:rPr>
              <w:b/>
            </w:rPr>
            <w:t>AusPAR - Aklief– trifarotene – Galderma Australia Pty Ltd PM-2020-01095-1-1</w:t>
          </w:r>
          <w:r>
            <w:rPr>
              <w:b/>
            </w:rPr>
            <w:t xml:space="preserve"> </w:t>
          </w:r>
          <w:r w:rsidRPr="00673A58">
            <w:rPr>
              <w:b/>
            </w:rPr>
            <w:t>FINAL 18 March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B281E8C" w14:textId="77777777" w:rsidR="00466762" w:rsidRDefault="00466762" w:rsidP="0046676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9731" w14:textId="77777777" w:rsidR="00466762" w:rsidRDefault="00466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AC6F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F3514"/>
    <w:multiLevelType w:val="hybridMultilevel"/>
    <w:tmpl w:val="E0DC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46720"/>
    <w:multiLevelType w:val="hybridMultilevel"/>
    <w:tmpl w:val="0FA20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6B45E5"/>
    <w:multiLevelType w:val="hybridMultilevel"/>
    <w:tmpl w:val="4D5E88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04814C1"/>
    <w:multiLevelType w:val="hybridMultilevel"/>
    <w:tmpl w:val="83608328"/>
    <w:lvl w:ilvl="0" w:tplc="3952665E">
      <w:start w:val="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C9653B"/>
    <w:multiLevelType w:val="multilevel"/>
    <w:tmpl w:val="189EED2C"/>
    <w:lvl w:ilvl="0">
      <w:start w:val="1"/>
      <w:numFmt w:val="decimal"/>
      <w:pStyle w:val="Numberedlist1"/>
      <w:lvlText w:val="%1."/>
      <w:lvlJc w:val="left"/>
      <w:pPr>
        <w:ind w:left="567" w:hanging="567"/>
      </w:pPr>
      <w:rPr>
        <w:rFonts w:hint="default"/>
      </w:rPr>
    </w:lvl>
    <w:lvl w:ilvl="1">
      <w:start w:val="1"/>
      <w:numFmt w:val="decimal"/>
      <w:pStyle w:val="Numberedlist2"/>
      <w:lvlText w:val="%1.%2."/>
      <w:lvlJc w:val="left"/>
      <w:pPr>
        <w:ind w:left="1134" w:hanging="850"/>
      </w:pPr>
      <w:rPr>
        <w:rFonts w:hint="default"/>
      </w:rPr>
    </w:lvl>
    <w:lvl w:ilvl="2">
      <w:start w:val="1"/>
      <w:numFmt w:val="lowerLetter"/>
      <w:pStyle w:val="Numberedlist3"/>
      <w:lvlText w:val="%1.%2.%3."/>
      <w:lvlJc w:val="left"/>
      <w:pPr>
        <w:ind w:left="1418" w:hanging="851"/>
      </w:pPr>
      <w:rPr>
        <w:rFonts w:hint="default"/>
      </w:rPr>
    </w:lvl>
    <w:lvl w:ilvl="3">
      <w:start w:val="1"/>
      <w:numFmt w:val="lowerRoman"/>
      <w:pStyle w:val="Numberedlist4"/>
      <w:lvlText w:val="%1.%2.%3.(%4)."/>
      <w:lvlJc w:val="left"/>
      <w:pPr>
        <w:ind w:left="1985" w:hanging="1134"/>
      </w:pPr>
      <w:rPr>
        <w:rFonts w:hint="default"/>
      </w:rPr>
    </w:lvl>
    <w:lvl w:ilvl="4">
      <w:start w:val="1"/>
      <w:numFmt w:val="decimal"/>
      <w:pStyle w:val="Numberedlist5"/>
      <w:lvlText w:val="%1.%2.%3.(%4).%5."/>
      <w:lvlJc w:val="left"/>
      <w:pPr>
        <w:ind w:left="2552"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807674"/>
    <w:multiLevelType w:val="hybridMultilevel"/>
    <w:tmpl w:val="03A2A794"/>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12" w15:restartNumberingAfterBreak="0">
    <w:nsid w:val="5DEC5F36"/>
    <w:multiLevelType w:val="hybridMultilevel"/>
    <w:tmpl w:val="E23EF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2C74AD8"/>
    <w:multiLevelType w:val="hybridMultilevel"/>
    <w:tmpl w:val="EE8E7368"/>
    <w:lvl w:ilvl="0" w:tplc="6678776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EB6E668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27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9570F3"/>
    <w:multiLevelType w:val="hybridMultilevel"/>
    <w:tmpl w:val="B2029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
  </w:num>
  <w:num w:numId="4">
    <w:abstractNumId w:val="9"/>
  </w:num>
  <w:num w:numId="5">
    <w:abstractNumId w:val="20"/>
  </w:num>
  <w:num w:numId="6">
    <w:abstractNumId w:val="17"/>
  </w:num>
  <w:num w:numId="7">
    <w:abstractNumId w:val="15"/>
  </w:num>
  <w:num w:numId="8">
    <w:abstractNumId w:val="18"/>
  </w:num>
  <w:num w:numId="9">
    <w:abstractNumId w:val="5"/>
  </w:num>
  <w:num w:numId="10">
    <w:abstractNumId w:val="14"/>
  </w:num>
  <w:num w:numId="11">
    <w:abstractNumId w:val="16"/>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6"/>
  </w:num>
  <w:num w:numId="16">
    <w:abstractNumId w:val="3"/>
  </w:num>
  <w:num w:numId="17">
    <w:abstractNumId w:val="13"/>
  </w:num>
  <w:num w:numId="18">
    <w:abstractNumId w:val="0"/>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4"/>
  </w:num>
  <w:num w:numId="23">
    <w:abstractNumId w:val="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36F7"/>
    <w:rsid w:val="0000654F"/>
    <w:rsid w:val="00035804"/>
    <w:rsid w:val="00050C51"/>
    <w:rsid w:val="0005203A"/>
    <w:rsid w:val="000534C3"/>
    <w:rsid w:val="00062561"/>
    <w:rsid w:val="00064B5E"/>
    <w:rsid w:val="000709A0"/>
    <w:rsid w:val="00070BBB"/>
    <w:rsid w:val="000966EF"/>
    <w:rsid w:val="000B4C96"/>
    <w:rsid w:val="000B71FB"/>
    <w:rsid w:val="000E500D"/>
    <w:rsid w:val="000F0ECA"/>
    <w:rsid w:val="000F3D81"/>
    <w:rsid w:val="00110F88"/>
    <w:rsid w:val="00130CDE"/>
    <w:rsid w:val="00147F97"/>
    <w:rsid w:val="001538ED"/>
    <w:rsid w:val="00155462"/>
    <w:rsid w:val="001A3992"/>
    <w:rsid w:val="001C4461"/>
    <w:rsid w:val="001C6192"/>
    <w:rsid w:val="001C6332"/>
    <w:rsid w:val="001E76AB"/>
    <w:rsid w:val="002055CE"/>
    <w:rsid w:val="00220A12"/>
    <w:rsid w:val="00230F9A"/>
    <w:rsid w:val="002441EF"/>
    <w:rsid w:val="00260379"/>
    <w:rsid w:val="002818A9"/>
    <w:rsid w:val="0028328F"/>
    <w:rsid w:val="00283D85"/>
    <w:rsid w:val="002A431E"/>
    <w:rsid w:val="002B3BF0"/>
    <w:rsid w:val="002B46A2"/>
    <w:rsid w:val="002C1EE3"/>
    <w:rsid w:val="002E277D"/>
    <w:rsid w:val="00307061"/>
    <w:rsid w:val="0030712F"/>
    <w:rsid w:val="003113AF"/>
    <w:rsid w:val="00316891"/>
    <w:rsid w:val="003264C9"/>
    <w:rsid w:val="00330499"/>
    <w:rsid w:val="003306C7"/>
    <w:rsid w:val="00340E04"/>
    <w:rsid w:val="003854AF"/>
    <w:rsid w:val="0038771C"/>
    <w:rsid w:val="003B1512"/>
    <w:rsid w:val="003B712D"/>
    <w:rsid w:val="003C27B6"/>
    <w:rsid w:val="003C3A05"/>
    <w:rsid w:val="003D47DB"/>
    <w:rsid w:val="003E716F"/>
    <w:rsid w:val="003F7EE3"/>
    <w:rsid w:val="004032BD"/>
    <w:rsid w:val="00411854"/>
    <w:rsid w:val="00417A50"/>
    <w:rsid w:val="00421A33"/>
    <w:rsid w:val="00427750"/>
    <w:rsid w:val="00431ACD"/>
    <w:rsid w:val="0043484D"/>
    <w:rsid w:val="00442783"/>
    <w:rsid w:val="00466762"/>
    <w:rsid w:val="00471441"/>
    <w:rsid w:val="00472CF4"/>
    <w:rsid w:val="00482687"/>
    <w:rsid w:val="004A2AA6"/>
    <w:rsid w:val="004B09E5"/>
    <w:rsid w:val="004B6C38"/>
    <w:rsid w:val="004D1709"/>
    <w:rsid w:val="004F3F8A"/>
    <w:rsid w:val="00502536"/>
    <w:rsid w:val="00512BA0"/>
    <w:rsid w:val="00545B8C"/>
    <w:rsid w:val="00553D7A"/>
    <w:rsid w:val="0055410C"/>
    <w:rsid w:val="0056348F"/>
    <w:rsid w:val="00566239"/>
    <w:rsid w:val="00567A64"/>
    <w:rsid w:val="00575384"/>
    <w:rsid w:val="00593F5D"/>
    <w:rsid w:val="00594019"/>
    <w:rsid w:val="0059465D"/>
    <w:rsid w:val="005B0462"/>
    <w:rsid w:val="005E6526"/>
    <w:rsid w:val="005F7D60"/>
    <w:rsid w:val="00601888"/>
    <w:rsid w:val="006048C6"/>
    <w:rsid w:val="00606211"/>
    <w:rsid w:val="00610F90"/>
    <w:rsid w:val="00612B4F"/>
    <w:rsid w:val="0061468C"/>
    <w:rsid w:val="00620A00"/>
    <w:rsid w:val="006246E0"/>
    <w:rsid w:val="00626DC0"/>
    <w:rsid w:val="00634B41"/>
    <w:rsid w:val="006365BE"/>
    <w:rsid w:val="00641221"/>
    <w:rsid w:val="00654283"/>
    <w:rsid w:val="00664B1C"/>
    <w:rsid w:val="006671DE"/>
    <w:rsid w:val="00670C2C"/>
    <w:rsid w:val="00672A63"/>
    <w:rsid w:val="006A02F6"/>
    <w:rsid w:val="006A22BA"/>
    <w:rsid w:val="006A651A"/>
    <w:rsid w:val="006C65DD"/>
    <w:rsid w:val="00700BB5"/>
    <w:rsid w:val="0070209B"/>
    <w:rsid w:val="00731116"/>
    <w:rsid w:val="007427DF"/>
    <w:rsid w:val="007439C1"/>
    <w:rsid w:val="00780067"/>
    <w:rsid w:val="00786BA4"/>
    <w:rsid w:val="0079703B"/>
    <w:rsid w:val="007A1B28"/>
    <w:rsid w:val="007B0913"/>
    <w:rsid w:val="007B39F3"/>
    <w:rsid w:val="007C4AB4"/>
    <w:rsid w:val="007C68DA"/>
    <w:rsid w:val="007D0887"/>
    <w:rsid w:val="007D66B2"/>
    <w:rsid w:val="007D6A2A"/>
    <w:rsid w:val="007E3F36"/>
    <w:rsid w:val="007E4311"/>
    <w:rsid w:val="007F5866"/>
    <w:rsid w:val="007F7074"/>
    <w:rsid w:val="00805272"/>
    <w:rsid w:val="00807DD9"/>
    <w:rsid w:val="008140CC"/>
    <w:rsid w:val="008229CB"/>
    <w:rsid w:val="00823BCD"/>
    <w:rsid w:val="00831F2A"/>
    <w:rsid w:val="00834AD3"/>
    <w:rsid w:val="008521D2"/>
    <w:rsid w:val="00852C99"/>
    <w:rsid w:val="0085468C"/>
    <w:rsid w:val="008605FB"/>
    <w:rsid w:val="00872196"/>
    <w:rsid w:val="008903F9"/>
    <w:rsid w:val="00892F53"/>
    <w:rsid w:val="00894840"/>
    <w:rsid w:val="00897D30"/>
    <w:rsid w:val="008C1AC7"/>
    <w:rsid w:val="008D056D"/>
    <w:rsid w:val="008D10A7"/>
    <w:rsid w:val="008D62BC"/>
    <w:rsid w:val="008F4C42"/>
    <w:rsid w:val="008F7C7A"/>
    <w:rsid w:val="009047B1"/>
    <w:rsid w:val="00923F35"/>
    <w:rsid w:val="0092536E"/>
    <w:rsid w:val="00946C5E"/>
    <w:rsid w:val="00950C1B"/>
    <w:rsid w:val="00960CD5"/>
    <w:rsid w:val="00971809"/>
    <w:rsid w:val="0097181C"/>
    <w:rsid w:val="009838AC"/>
    <w:rsid w:val="00993F36"/>
    <w:rsid w:val="009945B3"/>
    <w:rsid w:val="00995FC1"/>
    <w:rsid w:val="009A0103"/>
    <w:rsid w:val="009A24B8"/>
    <w:rsid w:val="009A6C42"/>
    <w:rsid w:val="009C2093"/>
    <w:rsid w:val="00A005AC"/>
    <w:rsid w:val="00A00E32"/>
    <w:rsid w:val="00A10106"/>
    <w:rsid w:val="00A13E73"/>
    <w:rsid w:val="00A32169"/>
    <w:rsid w:val="00A32BE5"/>
    <w:rsid w:val="00A411CA"/>
    <w:rsid w:val="00A4379E"/>
    <w:rsid w:val="00A47592"/>
    <w:rsid w:val="00A63CD2"/>
    <w:rsid w:val="00A74720"/>
    <w:rsid w:val="00A87312"/>
    <w:rsid w:val="00A964DB"/>
    <w:rsid w:val="00AA0EFB"/>
    <w:rsid w:val="00AA7A85"/>
    <w:rsid w:val="00AB0B41"/>
    <w:rsid w:val="00AB5A0D"/>
    <w:rsid w:val="00AE368B"/>
    <w:rsid w:val="00AF0949"/>
    <w:rsid w:val="00B07650"/>
    <w:rsid w:val="00B1320E"/>
    <w:rsid w:val="00B15263"/>
    <w:rsid w:val="00B714BC"/>
    <w:rsid w:val="00B8510A"/>
    <w:rsid w:val="00BA0135"/>
    <w:rsid w:val="00BB2268"/>
    <w:rsid w:val="00BC2C3F"/>
    <w:rsid w:val="00BC71D3"/>
    <w:rsid w:val="00BD1D54"/>
    <w:rsid w:val="00BD4300"/>
    <w:rsid w:val="00C0317E"/>
    <w:rsid w:val="00C12EA7"/>
    <w:rsid w:val="00C30BA9"/>
    <w:rsid w:val="00C50CD6"/>
    <w:rsid w:val="00C63A4D"/>
    <w:rsid w:val="00C63FBF"/>
    <w:rsid w:val="00C6404A"/>
    <w:rsid w:val="00C70747"/>
    <w:rsid w:val="00C873B4"/>
    <w:rsid w:val="00C9703E"/>
    <w:rsid w:val="00C971BD"/>
    <w:rsid w:val="00CA5C63"/>
    <w:rsid w:val="00CA6CCF"/>
    <w:rsid w:val="00CB1B29"/>
    <w:rsid w:val="00CD10CA"/>
    <w:rsid w:val="00CD52E2"/>
    <w:rsid w:val="00CE4EB5"/>
    <w:rsid w:val="00CF3BF3"/>
    <w:rsid w:val="00D008A0"/>
    <w:rsid w:val="00D02FC2"/>
    <w:rsid w:val="00D059B6"/>
    <w:rsid w:val="00D166A0"/>
    <w:rsid w:val="00D40E4A"/>
    <w:rsid w:val="00D410C9"/>
    <w:rsid w:val="00D44BA0"/>
    <w:rsid w:val="00D55D15"/>
    <w:rsid w:val="00D63CC6"/>
    <w:rsid w:val="00D81690"/>
    <w:rsid w:val="00DA168A"/>
    <w:rsid w:val="00DB1455"/>
    <w:rsid w:val="00DD43C1"/>
    <w:rsid w:val="00DE3C2E"/>
    <w:rsid w:val="00DE43E4"/>
    <w:rsid w:val="00DE6CAF"/>
    <w:rsid w:val="00DF5E99"/>
    <w:rsid w:val="00E00ACC"/>
    <w:rsid w:val="00E01BAF"/>
    <w:rsid w:val="00E134E9"/>
    <w:rsid w:val="00E22D1D"/>
    <w:rsid w:val="00E35BB9"/>
    <w:rsid w:val="00E40AB3"/>
    <w:rsid w:val="00E4303D"/>
    <w:rsid w:val="00E46E2D"/>
    <w:rsid w:val="00E50E85"/>
    <w:rsid w:val="00E5383B"/>
    <w:rsid w:val="00E55FEA"/>
    <w:rsid w:val="00E622C7"/>
    <w:rsid w:val="00E74A56"/>
    <w:rsid w:val="00E75F79"/>
    <w:rsid w:val="00E956EE"/>
    <w:rsid w:val="00EA70B8"/>
    <w:rsid w:val="00EC54DA"/>
    <w:rsid w:val="00ED05A2"/>
    <w:rsid w:val="00ED0937"/>
    <w:rsid w:val="00F0072F"/>
    <w:rsid w:val="00F01D32"/>
    <w:rsid w:val="00F225B8"/>
    <w:rsid w:val="00F24B29"/>
    <w:rsid w:val="00F24B2D"/>
    <w:rsid w:val="00F26307"/>
    <w:rsid w:val="00F41138"/>
    <w:rsid w:val="00F65B1F"/>
    <w:rsid w:val="00F71F7B"/>
    <w:rsid w:val="00F92945"/>
    <w:rsid w:val="00F97158"/>
    <w:rsid w:val="00FA2B6C"/>
    <w:rsid w:val="00FB23E5"/>
    <w:rsid w:val="00FF7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13841"/>
  <w15:docId w15:val="{9A9A01AC-A4C7-4EC1-AAB2-3EE75A8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CD2"/>
    <w:pPr>
      <w:spacing w:before="120" w:after="240" w:line="240" w:lineRule="auto"/>
    </w:pPr>
    <w:rPr>
      <w:rFonts w:ascii="Arial" w:hAnsi="Arial"/>
    </w:rPr>
  </w:style>
  <w:style w:type="paragraph" w:styleId="Heading1">
    <w:name w:val="heading 1"/>
    <w:aliases w:val="Heading"/>
    <w:basedOn w:val="Normal"/>
    <w:next w:val="Normal"/>
    <w:link w:val="Heading1Char"/>
    <w:autoRedefine/>
    <w:uiPriority w:val="9"/>
    <w:qFormat/>
    <w:rsid w:val="00BD4300"/>
    <w:pPr>
      <w:keepNext/>
      <w:keepLines/>
      <w:numPr>
        <w:numId w:val="1"/>
      </w:numPr>
      <w:spacing w:before="240" w:after="120"/>
      <w:outlineLvl w:val="0"/>
    </w:pPr>
    <w:rPr>
      <w:rFonts w:eastAsiaTheme="majorEastAsia" w:cstheme="majorBidi"/>
      <w:b/>
      <w:bCs/>
      <w:caps/>
      <w:sz w:val="28"/>
      <w:szCs w:val="28"/>
    </w:rPr>
  </w:style>
  <w:style w:type="paragraph" w:styleId="Heading2">
    <w:name w:val="heading 2"/>
    <w:basedOn w:val="Normal"/>
    <w:next w:val="Normal"/>
    <w:link w:val="Heading2Char"/>
    <w:autoRedefine/>
    <w:uiPriority w:val="9"/>
    <w:unhideWhenUsed/>
    <w:qFormat/>
    <w:rsid w:val="00BD4300"/>
    <w:pPr>
      <w:keepNext/>
      <w:numPr>
        <w:ilvl w:val="1"/>
        <w:numId w:val="11"/>
      </w:numPr>
      <w:spacing w:before="240"/>
      <w:ind w:left="578" w:hanging="578"/>
      <w:outlineLvl w:val="1"/>
    </w:pPr>
    <w:rPr>
      <w:rFonts w:ascii="Arial Bold" w:hAnsi="Arial Bold"/>
      <w:b/>
      <w:caps/>
      <w:sz w:val="24"/>
    </w:rPr>
  </w:style>
  <w:style w:type="paragraph" w:styleId="Heading3">
    <w:name w:val="heading 3"/>
    <w:basedOn w:val="Normal"/>
    <w:next w:val="Normal"/>
    <w:link w:val="Heading3Char"/>
    <w:uiPriority w:val="9"/>
    <w:unhideWhenUsed/>
    <w:qFormat/>
    <w:rsid w:val="00F41138"/>
    <w:pPr>
      <w:keepNext/>
      <w:keepLines/>
      <w:spacing w:after="60"/>
      <w:outlineLvl w:val="2"/>
    </w:pPr>
    <w:rPr>
      <w:rFonts w:ascii="Arial Bold" w:eastAsiaTheme="majorEastAsia" w:hAnsi="Arial Bold" w:cstheme="majorBidi"/>
      <w:b/>
      <w:bCs/>
    </w:rPr>
  </w:style>
  <w:style w:type="paragraph" w:styleId="Heading4">
    <w:name w:val="heading 4"/>
    <w:basedOn w:val="Normal"/>
    <w:next w:val="Normal"/>
    <w:link w:val="Heading4Char"/>
    <w:uiPriority w:val="9"/>
    <w:unhideWhenUsed/>
    <w:qFormat/>
    <w:rsid w:val="00BB2268"/>
    <w:pPr>
      <w:keepNext/>
      <w:keepLines/>
      <w:spacing w:before="200" w:after="360"/>
      <w:outlineLvl w:val="3"/>
    </w:pPr>
    <w:rPr>
      <w:rFonts w:eastAsia="SimSun" w:cs="Arial"/>
      <w:b/>
      <w:bCs/>
      <w:iCs/>
      <w:caps/>
      <w:sz w:val="32"/>
      <w:szCs w:val="32"/>
    </w:rPr>
  </w:style>
  <w:style w:type="paragraph" w:styleId="Heading5">
    <w:name w:val="heading 5"/>
    <w:basedOn w:val="Normal"/>
    <w:next w:val="Normal"/>
    <w:link w:val="Heading5Char"/>
    <w:uiPriority w:val="9"/>
    <w:semiHidden/>
    <w:unhideWhenUsed/>
    <w:qFormat/>
    <w:rsid w:val="001A3992"/>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BD4300"/>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9"/>
    <w:rsid w:val="00BD4300"/>
    <w:rPr>
      <w:rFonts w:ascii="Arial Bold" w:hAnsi="Arial Bold"/>
      <w:b/>
      <w:caps/>
      <w:sz w:val="24"/>
    </w:rPr>
  </w:style>
  <w:style w:type="character" w:customStyle="1" w:styleId="Heading3Char">
    <w:name w:val="Heading 3 Char"/>
    <w:basedOn w:val="DefaultParagraphFont"/>
    <w:link w:val="Heading3"/>
    <w:uiPriority w:val="9"/>
    <w:rsid w:val="00F41138"/>
    <w:rPr>
      <w:rFonts w:ascii="Arial Bold" w:eastAsiaTheme="majorEastAsia" w:hAnsi="Arial Bold" w:cstheme="majorBidi"/>
      <w:b/>
      <w:bCs/>
    </w:rPr>
  </w:style>
  <w:style w:type="character" w:customStyle="1" w:styleId="Heading4Char">
    <w:name w:val="Heading 4 Char"/>
    <w:basedOn w:val="DefaultParagraphFont"/>
    <w:link w:val="Heading4"/>
    <w:uiPriority w:val="9"/>
    <w:rsid w:val="00BB2268"/>
    <w:rPr>
      <w:rFonts w:ascii="Arial" w:eastAsia="SimSun" w:hAnsi="Arial" w:cs="Arial"/>
      <w:b/>
      <w:bCs/>
      <w:iCs/>
      <w:caps/>
      <w:sz w:val="32"/>
      <w:szCs w:val="32"/>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C6404A"/>
    <w:pPr>
      <w:numPr>
        <w:numId w:val="17"/>
      </w:numPr>
      <w:spacing w:before="0" w:after="0"/>
      <w:contextualSpacing/>
    </w:p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1538ED"/>
    <w:rPr>
      <w:rFonts w:asciiTheme="minorHAnsi" w:hAnsiTheme="minorHAnsi"/>
      <w:b/>
      <w:bCs/>
    </w:rPr>
  </w:style>
  <w:style w:type="character" w:customStyle="1" w:styleId="CommentSubjectChar">
    <w:name w:val="Comment Subject Char"/>
    <w:basedOn w:val="CommentTextChar"/>
    <w:link w:val="CommentSubject"/>
    <w:uiPriority w:val="99"/>
    <w:semiHidden/>
    <w:rsid w:val="001538ED"/>
    <w:rPr>
      <w:rFonts w:ascii="Cambria" w:hAnsi="Cambria"/>
      <w:b/>
      <w:bCs/>
      <w:sz w:val="20"/>
      <w:szCs w:val="20"/>
    </w:rPr>
  </w:style>
  <w:style w:type="paragraph" w:customStyle="1" w:styleId="Default">
    <w:name w:val="Default"/>
    <w:rsid w:val="001538ED"/>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semiHidden/>
    <w:unhideWhenUsed/>
    <w:rsid w:val="008140CC"/>
  </w:style>
  <w:style w:type="character" w:customStyle="1" w:styleId="BodyTextChar">
    <w:name w:val="Body Text Char"/>
    <w:basedOn w:val="DefaultParagraphFont"/>
    <w:link w:val="BodyText"/>
    <w:uiPriority w:val="99"/>
    <w:semiHidden/>
    <w:rsid w:val="008140CC"/>
  </w:style>
  <w:style w:type="paragraph" w:styleId="Revision">
    <w:name w:val="Revision"/>
    <w:hidden/>
    <w:uiPriority w:val="99"/>
    <w:semiHidden/>
    <w:rsid w:val="003B1512"/>
    <w:pPr>
      <w:spacing w:after="0" w:line="240" w:lineRule="auto"/>
    </w:pPr>
  </w:style>
  <w:style w:type="paragraph" w:customStyle="1" w:styleId="NormalBold">
    <w:name w:val="Normal Bold"/>
    <w:basedOn w:val="Normal"/>
    <w:qFormat/>
    <w:rsid w:val="008D62BC"/>
    <w:rPr>
      <w:b/>
    </w:rPr>
  </w:style>
  <w:style w:type="character" w:customStyle="1" w:styleId="UnresolvedMention1">
    <w:name w:val="Unresolved Mention1"/>
    <w:basedOn w:val="DefaultParagraphFont"/>
    <w:uiPriority w:val="99"/>
    <w:semiHidden/>
    <w:unhideWhenUsed/>
    <w:rsid w:val="00823BCD"/>
    <w:rPr>
      <w:color w:val="808080"/>
      <w:shd w:val="clear" w:color="auto" w:fill="E6E6E6"/>
    </w:rPr>
  </w:style>
  <w:style w:type="character" w:customStyle="1" w:styleId="UnresolvedMention">
    <w:name w:val="Unresolved Mention"/>
    <w:basedOn w:val="DefaultParagraphFont"/>
    <w:uiPriority w:val="99"/>
    <w:semiHidden/>
    <w:unhideWhenUsed/>
    <w:rsid w:val="00DE43E4"/>
    <w:rPr>
      <w:color w:val="605E5C"/>
      <w:shd w:val="clear" w:color="auto" w:fill="E1DFDD"/>
    </w:rPr>
  </w:style>
  <w:style w:type="paragraph" w:customStyle="1" w:styleId="Bodytext0-12">
    <w:name w:val="Body text 0-12"/>
    <w:basedOn w:val="Normal"/>
    <w:link w:val="Bodytext0-12Char"/>
    <w:qFormat/>
    <w:rsid w:val="006A651A"/>
    <w:pPr>
      <w:suppressAutoHyphens/>
      <w:spacing w:before="0"/>
      <w:jc w:val="both"/>
    </w:pPr>
    <w:rPr>
      <w:rFonts w:ascii="Times New Roman" w:eastAsia="MS Mincho" w:hAnsi="Times New Roman" w:cs="Times New Roman"/>
      <w:color w:val="000000"/>
      <w:sz w:val="24"/>
      <w:szCs w:val="24"/>
      <w:lang w:val="en-US"/>
    </w:rPr>
  </w:style>
  <w:style w:type="character" w:customStyle="1" w:styleId="Bodytext0-12Char">
    <w:name w:val="Body text 0-12 Char"/>
    <w:link w:val="Bodytext0-12"/>
    <w:rsid w:val="006A651A"/>
    <w:rPr>
      <w:rFonts w:ascii="Times New Roman" w:eastAsia="MS Mincho" w:hAnsi="Times New Roman" w:cs="Times New Roman"/>
      <w:color w:val="000000"/>
      <w:sz w:val="24"/>
      <w:szCs w:val="24"/>
      <w:lang w:val="en-US"/>
    </w:rPr>
  </w:style>
  <w:style w:type="paragraph" w:customStyle="1" w:styleId="AHeader1">
    <w:name w:val="AHeader 1"/>
    <w:basedOn w:val="Normal"/>
    <w:rsid w:val="004B09E5"/>
    <w:pPr>
      <w:numPr>
        <w:numId w:val="22"/>
      </w:numPr>
      <w:suppressAutoHyphens/>
      <w:spacing w:before="0" w:after="120"/>
      <w:jc w:val="both"/>
    </w:pPr>
    <w:rPr>
      <w:rFonts w:eastAsia="MS Mincho" w:cs="Arial"/>
      <w:b/>
      <w:bCs/>
      <w:color w:val="000000"/>
      <w:sz w:val="24"/>
      <w:szCs w:val="24"/>
      <w:lang w:val="en-US"/>
    </w:rPr>
  </w:style>
  <w:style w:type="paragraph" w:customStyle="1" w:styleId="AHeader2">
    <w:name w:val="AHeader 2"/>
    <w:basedOn w:val="AHeader1"/>
    <w:rsid w:val="004B09E5"/>
    <w:pPr>
      <w:numPr>
        <w:ilvl w:val="1"/>
      </w:numPr>
      <w:tabs>
        <w:tab w:val="clear" w:pos="709"/>
        <w:tab w:val="num" w:pos="360"/>
      </w:tabs>
    </w:pPr>
    <w:rPr>
      <w:sz w:val="22"/>
    </w:rPr>
  </w:style>
  <w:style w:type="paragraph" w:customStyle="1" w:styleId="AHeader3">
    <w:name w:val="AHeader 3"/>
    <w:basedOn w:val="AHeader2"/>
    <w:rsid w:val="004B09E5"/>
    <w:pPr>
      <w:numPr>
        <w:ilvl w:val="2"/>
      </w:numPr>
      <w:tabs>
        <w:tab w:val="clear" w:pos="1276"/>
        <w:tab w:val="num" w:pos="360"/>
      </w:tabs>
    </w:pPr>
  </w:style>
  <w:style w:type="paragraph" w:customStyle="1" w:styleId="AHeader2abc">
    <w:name w:val="AHeader 2 abc"/>
    <w:basedOn w:val="AHeader3"/>
    <w:rsid w:val="004B09E5"/>
    <w:pPr>
      <w:numPr>
        <w:ilvl w:val="3"/>
      </w:numPr>
      <w:tabs>
        <w:tab w:val="clear" w:pos="1276"/>
        <w:tab w:val="num" w:pos="360"/>
      </w:tabs>
    </w:pPr>
    <w:rPr>
      <w:b w:val="0"/>
      <w:bCs w:val="0"/>
    </w:rPr>
  </w:style>
  <w:style w:type="paragraph" w:customStyle="1" w:styleId="AHeader3abc">
    <w:name w:val="AHeader 3 abc"/>
    <w:basedOn w:val="AHeader2abc"/>
    <w:rsid w:val="004B09E5"/>
    <w:pPr>
      <w:numPr>
        <w:ilvl w:val="4"/>
      </w:numPr>
      <w:tabs>
        <w:tab w:val="clear" w:pos="1701"/>
        <w:tab w:val="num" w:pos="360"/>
      </w:tabs>
    </w:pPr>
  </w:style>
  <w:style w:type="paragraph" w:styleId="Caption">
    <w:name w:val="caption"/>
    <w:aliases w:val="GRD Caption"/>
    <w:basedOn w:val="Normal"/>
    <w:next w:val="Normal"/>
    <w:link w:val="CaptionChar"/>
    <w:rsid w:val="004F3F8A"/>
    <w:pPr>
      <w:keepNext/>
      <w:keepLines/>
      <w:suppressAutoHyphens/>
      <w:spacing w:before="480"/>
      <w:ind w:left="1418" w:hanging="1418"/>
    </w:pPr>
    <w:rPr>
      <w:rFonts w:ascii="Times New Roman" w:eastAsia="MS Mincho" w:hAnsi="Times New Roman" w:cs="Times New Roman"/>
      <w:b/>
      <w:bCs/>
      <w:color w:val="000000"/>
      <w:sz w:val="24"/>
      <w:szCs w:val="18"/>
      <w:lang w:val="en-US"/>
    </w:rPr>
  </w:style>
  <w:style w:type="paragraph" w:customStyle="1" w:styleId="Numberedlist3">
    <w:name w:val="Numbered list 3"/>
    <w:basedOn w:val="Bodytext0-12"/>
    <w:uiPriority w:val="1"/>
    <w:rsid w:val="004F3F8A"/>
    <w:pPr>
      <w:numPr>
        <w:ilvl w:val="2"/>
        <w:numId w:val="24"/>
      </w:numPr>
      <w:spacing w:before="120" w:after="120"/>
    </w:pPr>
  </w:style>
  <w:style w:type="paragraph" w:customStyle="1" w:styleId="Numberedlist2">
    <w:name w:val="Numbered list 2"/>
    <w:basedOn w:val="Bodytext0-12"/>
    <w:uiPriority w:val="1"/>
    <w:rsid w:val="004F3F8A"/>
    <w:pPr>
      <w:numPr>
        <w:ilvl w:val="1"/>
        <w:numId w:val="24"/>
      </w:numPr>
      <w:spacing w:before="120" w:after="120"/>
    </w:pPr>
  </w:style>
  <w:style w:type="paragraph" w:customStyle="1" w:styleId="Numberedlist1">
    <w:name w:val="Numbered list 1"/>
    <w:basedOn w:val="Bodytext0-12"/>
    <w:uiPriority w:val="1"/>
    <w:qFormat/>
    <w:rsid w:val="004F3F8A"/>
    <w:pPr>
      <w:numPr>
        <w:numId w:val="24"/>
      </w:numPr>
      <w:spacing w:before="120" w:after="120"/>
      <w:jc w:val="left"/>
    </w:pPr>
  </w:style>
  <w:style w:type="paragraph" w:customStyle="1" w:styleId="Numberedlist4">
    <w:name w:val="Numbered list 4"/>
    <w:basedOn w:val="Bodytext0-12"/>
    <w:uiPriority w:val="1"/>
    <w:rsid w:val="004F3F8A"/>
    <w:pPr>
      <w:numPr>
        <w:ilvl w:val="3"/>
        <w:numId w:val="24"/>
      </w:numPr>
      <w:spacing w:before="120" w:after="120"/>
    </w:pPr>
  </w:style>
  <w:style w:type="paragraph" w:customStyle="1" w:styleId="Numberedlist5">
    <w:name w:val="Numbered list 5"/>
    <w:basedOn w:val="Normal"/>
    <w:uiPriority w:val="1"/>
    <w:rsid w:val="004F3F8A"/>
    <w:pPr>
      <w:numPr>
        <w:ilvl w:val="4"/>
        <w:numId w:val="24"/>
      </w:numPr>
      <w:suppressAutoHyphens/>
      <w:spacing w:after="120"/>
      <w:jc w:val="both"/>
    </w:pPr>
    <w:rPr>
      <w:rFonts w:ascii="Times New Roman" w:eastAsia="MS Mincho" w:hAnsi="Times New Roman" w:cs="Times New Roman"/>
      <w:color w:val="000000"/>
      <w:sz w:val="24"/>
      <w:szCs w:val="24"/>
      <w:lang w:val="en-US"/>
    </w:rPr>
  </w:style>
  <w:style w:type="character" w:customStyle="1" w:styleId="CaptionChar">
    <w:name w:val="Caption Char"/>
    <w:aliases w:val="GRD Caption Char"/>
    <w:link w:val="Caption"/>
    <w:rsid w:val="004F3F8A"/>
    <w:rPr>
      <w:rFonts w:ascii="Times New Roman" w:eastAsia="MS Mincho" w:hAnsi="Times New Roman" w:cs="Times New Roman"/>
      <w:b/>
      <w:bCs/>
      <w:color w:val="000000"/>
      <w:sz w:val="24"/>
      <w:szCs w:val="18"/>
      <w:lang w:val="en-US"/>
    </w:rPr>
  </w:style>
  <w:style w:type="paragraph" w:customStyle="1" w:styleId="TableText">
    <w:name w:val="Table Text"/>
    <w:basedOn w:val="Normal"/>
    <w:link w:val="TableTextChar"/>
    <w:rsid w:val="00DE3C2E"/>
    <w:pPr>
      <w:suppressAutoHyphens/>
      <w:spacing w:before="0" w:after="0"/>
    </w:pPr>
    <w:rPr>
      <w:rFonts w:eastAsia="MS Mincho" w:cs="Times New Roman"/>
      <w:color w:val="000000"/>
      <w:sz w:val="18"/>
      <w:szCs w:val="24"/>
      <w:lang w:val="en-US"/>
    </w:rPr>
  </w:style>
  <w:style w:type="character" w:customStyle="1" w:styleId="TableTextChar">
    <w:name w:val="Table Text Char"/>
    <w:link w:val="TableText"/>
    <w:rsid w:val="00DE3C2E"/>
    <w:rPr>
      <w:rFonts w:ascii="Arial" w:eastAsia="MS Mincho" w:hAnsi="Arial" w:cs="Times New Roman"/>
      <w:color w:val="000000"/>
      <w:sz w:val="18"/>
      <w:szCs w:val="24"/>
      <w:lang w:val="en-US"/>
    </w:rPr>
  </w:style>
  <w:style w:type="character" w:customStyle="1" w:styleId="locality">
    <w:name w:val="locality"/>
    <w:rsid w:val="000534C3"/>
    <w:rPr>
      <w:color w:val="000000"/>
      <w:sz w:val="20"/>
    </w:rPr>
  </w:style>
  <w:style w:type="character" w:customStyle="1" w:styleId="streetline">
    <w:name w:val="street_line"/>
    <w:rsid w:val="000534C3"/>
    <w:rPr>
      <w:color w:val="000000"/>
      <w:sz w:val="20"/>
    </w:rPr>
  </w:style>
  <w:style w:type="character" w:customStyle="1" w:styleId="state">
    <w:name w:val="state"/>
    <w:rsid w:val="000534C3"/>
    <w:rPr>
      <w:color w:val="000000"/>
      <w:sz w:val="20"/>
    </w:rPr>
  </w:style>
  <w:style w:type="character" w:customStyle="1" w:styleId="postcode">
    <w:name w:val="postcode"/>
    <w:rsid w:val="000534C3"/>
    <w:rPr>
      <w:color w:val="000000"/>
      <w:sz w:val="20"/>
    </w:rPr>
  </w:style>
  <w:style w:type="paragraph" w:customStyle="1" w:styleId="TableParagraph">
    <w:name w:val="Table Paragraph"/>
    <w:basedOn w:val="Normal"/>
    <w:uiPriority w:val="1"/>
    <w:qFormat/>
    <w:rsid w:val="007E3F36"/>
    <w:pPr>
      <w:widowControl w:val="0"/>
      <w:autoSpaceDE w:val="0"/>
      <w:autoSpaceDN w:val="0"/>
      <w:spacing w:before="0" w:after="0"/>
    </w:pPr>
    <w:rPr>
      <w:rFonts w:eastAsia="Arial" w:cs="Arial"/>
      <w:lang w:val="en-US"/>
    </w:rPr>
  </w:style>
  <w:style w:type="table" w:styleId="TableGrid">
    <w:name w:val="Table Grid"/>
    <w:basedOn w:val="TableNormal"/>
    <w:uiPriority w:val="59"/>
    <w:rsid w:val="00466762"/>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3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C9D4-E0ED-447E-9A6B-F55CA1E1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4106</Words>
  <Characters>22384</Characters>
  <Application>Microsoft Office Word</Application>
  <DocSecurity>0</DocSecurity>
  <Lines>559</Lines>
  <Paragraphs>344</Paragraphs>
  <ScaleCrop>false</ScaleCrop>
  <HeadingPairs>
    <vt:vector size="2" baseType="variant">
      <vt:variant>
        <vt:lpstr>Title</vt:lpstr>
      </vt:variant>
      <vt:variant>
        <vt:i4>1</vt:i4>
      </vt:variant>
    </vt:vector>
  </HeadingPairs>
  <TitlesOfParts>
    <vt:vector size="1" baseType="lpstr">
      <vt:lpstr>Attachment: Product Information for Trifarotene</vt:lpstr>
    </vt:vector>
  </TitlesOfParts>
  <Company>Galderma Australia Pty Ltd</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Trifarotene</dc:title>
  <dc:subject>prescription medicines</dc:subject>
  <dc:creator>Galderma Australia Pty Ltd</dc:creator>
  <cp:lastPrinted>2021-01-21T04:37:00Z</cp:lastPrinted>
  <dcterms:created xsi:type="dcterms:W3CDTF">2021-03-22T05:16:00Z</dcterms:created>
  <dcterms:modified xsi:type="dcterms:W3CDTF">2021-03-22T06:10:00Z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SetDate">
    <vt:lpwstr>2020-02-26T22:31:34.8113052Z</vt:lpwstr>
  </property>
  <property fmtid="{D5CDD505-2E9C-101B-9397-08002B2CF9AE}" pid="5" name="MSIP_Label_1ada0a2f-b917-4d51-b0d0-d418a10c8b23_Name">
    <vt:lpwstr>General Use</vt:lpwstr>
  </property>
  <property fmtid="{D5CDD505-2E9C-101B-9397-08002B2CF9AE}" pid="6" name="MSIP_Label_1ada0a2f-b917-4d51-b0d0-d418a10c8b23_ActionId">
    <vt:lpwstr>7e88b04f-d6c0-4011-9720-cba299067c97</vt:lpwstr>
  </property>
  <property fmtid="{D5CDD505-2E9C-101B-9397-08002B2CF9AE}" pid="7" name="MSIP_Label_1ada0a2f-b917-4d51-b0d0-d418a10c8b23_Extended_MSFT_Method">
    <vt:lpwstr>Automatic</vt:lpwstr>
  </property>
  <property fmtid="{D5CDD505-2E9C-101B-9397-08002B2CF9AE}" pid="8" name="Sensitivity">
    <vt:lpwstr>General Use</vt:lpwstr>
  </property>
</Properties>
</file>