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616A3B" w14:paraId="530C0F45" w14:textId="77777777" w:rsidTr="00BF1190">
        <w:trPr>
          <w:trHeight w:val="1863"/>
        </w:trPr>
        <w:tc>
          <w:tcPr>
            <w:tcW w:w="3652" w:type="dxa"/>
            <w:tcBorders>
              <w:top w:val="nil"/>
              <w:left w:val="nil"/>
              <w:bottom w:val="nil"/>
              <w:right w:val="nil"/>
            </w:tcBorders>
          </w:tcPr>
          <w:p w14:paraId="30D0BDBF" w14:textId="0059F473" w:rsidR="008E7846" w:rsidRPr="00616A3B" w:rsidRDefault="004F74B1" w:rsidP="002E07DD">
            <w:pPr>
              <w:rPr>
                <w:rFonts w:ascii="Arial" w:hAnsi="Arial" w:cs="Arial"/>
                <w:b/>
                <w:color w:val="002C47"/>
                <w:sz w:val="36"/>
                <w:szCs w:val="36"/>
              </w:rPr>
            </w:pPr>
            <w:r>
              <w:rPr>
                <w:rFonts w:ascii="Arial" w:hAnsi="Arial" w:cs="Arial"/>
                <w:b/>
                <w:color w:val="002C47"/>
                <w:sz w:val="36"/>
                <w:szCs w:val="36"/>
              </w:rPr>
              <w:t>April</w:t>
            </w:r>
            <w:r w:rsidRPr="00616A3B">
              <w:rPr>
                <w:rFonts w:ascii="Arial" w:hAnsi="Arial" w:cs="Arial"/>
                <w:b/>
                <w:color w:val="002C47"/>
                <w:sz w:val="36"/>
                <w:szCs w:val="36"/>
              </w:rPr>
              <w:t xml:space="preserve"> </w:t>
            </w:r>
            <w:r w:rsidR="002E07DD" w:rsidRPr="00616A3B">
              <w:rPr>
                <w:rFonts w:ascii="Arial" w:hAnsi="Arial" w:cs="Arial"/>
                <w:b/>
                <w:color w:val="002C47"/>
                <w:sz w:val="36"/>
                <w:szCs w:val="36"/>
              </w:rPr>
              <w:t>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616A3B" w14:paraId="2F4F9814" w14:textId="77777777" w:rsidTr="0032583B">
        <w:trPr>
          <w:trHeight w:val="868"/>
        </w:trPr>
        <w:tc>
          <w:tcPr>
            <w:tcW w:w="9079" w:type="dxa"/>
          </w:tcPr>
          <w:p w14:paraId="10B29D77" w14:textId="6BA2C619" w:rsidR="0032583B" w:rsidRPr="00616A3B" w:rsidRDefault="0032583B" w:rsidP="00460036">
            <w:pPr>
              <w:pStyle w:val="Title"/>
              <w:rPr>
                <w:color w:val="FFFFFF" w:themeColor="background1"/>
              </w:rPr>
            </w:pPr>
            <w:r w:rsidRPr="00616A3B">
              <w:rPr>
                <w:color w:val="FFFFFF" w:themeColor="background1"/>
              </w:rPr>
              <w:t xml:space="preserve">Australian Public Assessment Report for </w:t>
            </w:r>
            <w:r w:rsidR="00B36BE3">
              <w:rPr>
                <w:color w:val="FFFFFF" w:themeColor="background1"/>
              </w:rPr>
              <w:t>Trientine d</w:t>
            </w:r>
            <w:r w:rsidR="002E07DD" w:rsidRPr="00616A3B">
              <w:rPr>
                <w:color w:val="FFFFFF" w:themeColor="background1"/>
              </w:rPr>
              <w:t>ihydrochloride</w:t>
            </w:r>
          </w:p>
        </w:tc>
      </w:tr>
      <w:tr w:rsidR="0032583B" w:rsidRPr="00616A3B" w14:paraId="164CBDB2" w14:textId="77777777" w:rsidTr="0032583B">
        <w:tc>
          <w:tcPr>
            <w:tcW w:w="9079" w:type="dxa"/>
          </w:tcPr>
          <w:p w14:paraId="1B89F370" w14:textId="77777777" w:rsidR="0032583B" w:rsidRPr="00616A3B" w:rsidRDefault="0032583B" w:rsidP="00460036">
            <w:pPr>
              <w:pStyle w:val="Subtitle"/>
              <w:rPr>
                <w:color w:val="FFFFFF" w:themeColor="background1"/>
              </w:rPr>
            </w:pPr>
            <w:r w:rsidRPr="00616A3B">
              <w:rPr>
                <w:color w:val="FFFFFF" w:themeColor="background1"/>
              </w:rPr>
              <w:t xml:space="preserve">Proprietary Product Name: </w:t>
            </w:r>
            <w:r w:rsidR="002E07DD" w:rsidRPr="00616A3B">
              <w:rPr>
                <w:color w:val="FFFFFF" w:themeColor="background1"/>
              </w:rPr>
              <w:t>Trientine Waymade</w:t>
            </w:r>
          </w:p>
        </w:tc>
      </w:tr>
      <w:tr w:rsidR="0032583B" w:rsidRPr="00616A3B" w14:paraId="007198D6" w14:textId="77777777" w:rsidTr="0032583B">
        <w:trPr>
          <w:trHeight w:val="486"/>
        </w:trPr>
        <w:tc>
          <w:tcPr>
            <w:tcW w:w="9079" w:type="dxa"/>
          </w:tcPr>
          <w:p w14:paraId="19161D60" w14:textId="2DD04135" w:rsidR="0032583B" w:rsidRPr="00616A3B" w:rsidRDefault="002E07DD" w:rsidP="002954B9">
            <w:pPr>
              <w:pStyle w:val="Subtitle"/>
              <w:tabs>
                <w:tab w:val="right" w:pos="8863"/>
              </w:tabs>
              <w:rPr>
                <w:color w:val="FFFFFF" w:themeColor="background1"/>
              </w:rPr>
            </w:pPr>
            <w:r w:rsidRPr="00616A3B">
              <w:rPr>
                <w:color w:val="FFFFFF" w:themeColor="background1"/>
              </w:rPr>
              <w:t>Sponsor: Waymade Australia Pty Ltd</w:t>
            </w:r>
          </w:p>
        </w:tc>
      </w:tr>
    </w:tbl>
    <w:p w14:paraId="2100FC9F" w14:textId="77777777" w:rsidR="008E7846" w:rsidRPr="00616A3B" w:rsidRDefault="008E7846" w:rsidP="0085156D">
      <w:r w:rsidRPr="00616A3B">
        <w:br w:type="page"/>
      </w:r>
    </w:p>
    <w:p w14:paraId="3DE8200D" w14:textId="77777777" w:rsidR="008E7846" w:rsidRPr="00616A3B" w:rsidRDefault="008E7846" w:rsidP="008E7846">
      <w:pPr>
        <w:pStyle w:val="NonTOCHeading2"/>
      </w:pPr>
      <w:r w:rsidRPr="00616A3B">
        <w:lastRenderedPageBreak/>
        <w:t>About the Therapeutic Goods Administration (TGA)</w:t>
      </w:r>
    </w:p>
    <w:p w14:paraId="0D227239" w14:textId="77777777" w:rsidR="008E7846" w:rsidRPr="00616A3B" w:rsidRDefault="008E7846" w:rsidP="008E7846">
      <w:pPr>
        <w:pStyle w:val="ListBullet"/>
        <w:numPr>
          <w:ilvl w:val="0"/>
          <w:numId w:val="3"/>
        </w:numPr>
        <w:ind w:left="357" w:hanging="357"/>
      </w:pPr>
      <w:r w:rsidRPr="00616A3B">
        <w:t xml:space="preserve">The Therapeutic Goods Administration (TGA) is </w:t>
      </w:r>
      <w:r w:rsidR="00E624A5" w:rsidRPr="00616A3B">
        <w:t xml:space="preserve">part </w:t>
      </w:r>
      <w:r w:rsidRPr="00616A3B">
        <w:t>of the Australian Government Department of Health and is responsible for regulating medicines and medical devices.</w:t>
      </w:r>
    </w:p>
    <w:p w14:paraId="7D84A841" w14:textId="77777777" w:rsidR="008E7846" w:rsidRPr="00616A3B" w:rsidRDefault="00C80137" w:rsidP="008E7846">
      <w:pPr>
        <w:pStyle w:val="ListBullet"/>
        <w:numPr>
          <w:ilvl w:val="0"/>
          <w:numId w:val="3"/>
        </w:numPr>
        <w:ind w:left="357" w:hanging="357"/>
      </w:pPr>
      <w:r w:rsidRPr="00616A3B">
        <w:t xml:space="preserve">The </w:t>
      </w:r>
      <w:r w:rsidR="008E7846" w:rsidRPr="00616A3B">
        <w:t xml:space="preserve">TGA administers the </w:t>
      </w:r>
      <w:r w:rsidR="008E7846" w:rsidRPr="00616A3B">
        <w:rPr>
          <w:i/>
        </w:rPr>
        <w:t>Therapeutic Goods Act 1989</w:t>
      </w:r>
      <w:r w:rsidR="00785717" w:rsidRPr="00616A3B">
        <w:rPr>
          <w:i/>
        </w:rPr>
        <w:t xml:space="preserve"> </w:t>
      </w:r>
      <w:r w:rsidR="00785717" w:rsidRPr="00616A3B">
        <w:t>(the Act)</w:t>
      </w:r>
      <w:r w:rsidR="008E7846" w:rsidRPr="00616A3B">
        <w:t>, applying a risk management approach designed to ensure therapeutic goods supplied in Australia meet acceptable standards of quality, safety and efficacy (performance) when necessary.</w:t>
      </w:r>
    </w:p>
    <w:p w14:paraId="6537C49D" w14:textId="77777777" w:rsidR="008E7846" w:rsidRPr="00616A3B" w:rsidRDefault="008E7846" w:rsidP="008E7846">
      <w:pPr>
        <w:pStyle w:val="ListBullet"/>
        <w:numPr>
          <w:ilvl w:val="0"/>
          <w:numId w:val="3"/>
        </w:numPr>
        <w:ind w:left="357" w:hanging="357"/>
      </w:pPr>
      <w:r w:rsidRPr="00616A3B">
        <w:t>The work of the TGA is based on applying scientific and clinical expertise to decision-making, to ensure that the benefits to consumers outweigh any risks associated with the use of medicines and medical devices.</w:t>
      </w:r>
    </w:p>
    <w:p w14:paraId="277EB6BE" w14:textId="77777777" w:rsidR="008E7846" w:rsidRPr="00616A3B" w:rsidRDefault="008E7846" w:rsidP="008E7846">
      <w:pPr>
        <w:pStyle w:val="ListBullet"/>
        <w:numPr>
          <w:ilvl w:val="0"/>
          <w:numId w:val="3"/>
        </w:numPr>
        <w:ind w:left="357" w:hanging="357"/>
      </w:pPr>
      <w:r w:rsidRPr="00616A3B">
        <w:t>The TGA relies on the public, healthcare professionals and industry to report problems with medicines or medical devices. TGA investigates reports received by it to determine any necessary regulatory action.</w:t>
      </w:r>
    </w:p>
    <w:p w14:paraId="43356C97" w14:textId="2898EF6A" w:rsidR="00441C3F" w:rsidRPr="00616A3B" w:rsidRDefault="008E7846" w:rsidP="00441C3F">
      <w:pPr>
        <w:pStyle w:val="ListBullet"/>
        <w:numPr>
          <w:ilvl w:val="0"/>
          <w:numId w:val="3"/>
        </w:numPr>
        <w:ind w:left="357" w:hanging="357"/>
      </w:pPr>
      <w:r w:rsidRPr="00616A3B">
        <w:t xml:space="preserve">To report a problem with a medicine or medical device, please see the information on </w:t>
      </w:r>
      <w:r w:rsidR="00441C3F" w:rsidRPr="00616A3B">
        <w:t>the TGA website &lt;</w:t>
      </w:r>
      <w:hyperlink r:id="rId11" w:history="1">
        <w:r w:rsidR="00441C3F" w:rsidRPr="00616A3B">
          <w:rPr>
            <w:rStyle w:val="Hyperlink"/>
          </w:rPr>
          <w:t>https://www.tga.gov.au</w:t>
        </w:r>
      </w:hyperlink>
      <w:r w:rsidR="00441C3F" w:rsidRPr="00616A3B">
        <w:t>&gt;.</w:t>
      </w:r>
    </w:p>
    <w:p w14:paraId="7393C753" w14:textId="77777777" w:rsidR="008E7846" w:rsidRPr="00616A3B" w:rsidRDefault="008E7846" w:rsidP="00875A6B">
      <w:pPr>
        <w:pStyle w:val="NonTOCHeading2"/>
      </w:pPr>
      <w:r w:rsidRPr="00616A3B">
        <w:t>About AusPARs</w:t>
      </w:r>
    </w:p>
    <w:p w14:paraId="0752BFA1" w14:textId="77777777" w:rsidR="008E7846" w:rsidRPr="00616A3B" w:rsidRDefault="008E7846" w:rsidP="008E7846">
      <w:pPr>
        <w:pStyle w:val="ListBullet"/>
        <w:numPr>
          <w:ilvl w:val="0"/>
          <w:numId w:val="3"/>
        </w:numPr>
        <w:ind w:left="357" w:hanging="357"/>
      </w:pPr>
      <w:r w:rsidRPr="00616A3B">
        <w:t>An Australian Public Assessment Re</w:t>
      </w:r>
      <w:r w:rsidR="00133A1B" w:rsidRPr="00616A3B">
        <w:t>port</w:t>
      </w:r>
      <w:r w:rsidRPr="00616A3B">
        <w:t xml:space="preserve"> (AusPAR) provides information about the evaluation of a prescription medicine and the considerations that led the TGA to approve or not approve a pr</w:t>
      </w:r>
      <w:r w:rsidR="00441C3F" w:rsidRPr="00616A3B">
        <w:t>escription medicine submission.</w:t>
      </w:r>
    </w:p>
    <w:p w14:paraId="0C8E3C5D" w14:textId="77777777" w:rsidR="008E7846" w:rsidRPr="00616A3B" w:rsidRDefault="008E7846" w:rsidP="008E7846">
      <w:pPr>
        <w:pStyle w:val="ListBullet"/>
        <w:numPr>
          <w:ilvl w:val="0"/>
          <w:numId w:val="3"/>
        </w:numPr>
        <w:ind w:left="357" w:hanging="357"/>
      </w:pPr>
      <w:r w:rsidRPr="00616A3B">
        <w:t>AusPARs are prepared and published by the TGA.</w:t>
      </w:r>
    </w:p>
    <w:p w14:paraId="47AE6A17" w14:textId="77777777" w:rsidR="008E7846" w:rsidRPr="00616A3B" w:rsidRDefault="008E7846" w:rsidP="008E7846">
      <w:pPr>
        <w:pStyle w:val="ListBullet"/>
        <w:numPr>
          <w:ilvl w:val="0"/>
          <w:numId w:val="3"/>
        </w:numPr>
        <w:ind w:left="357" w:hanging="357"/>
      </w:pPr>
      <w:r w:rsidRPr="00616A3B">
        <w:t>An AusPAR is prepared for submissions that relate to new chemical entities, generic medicines, major variations and extensions of indications.</w:t>
      </w:r>
    </w:p>
    <w:p w14:paraId="0928D7F0" w14:textId="77777777" w:rsidR="008E7846" w:rsidRPr="00616A3B" w:rsidRDefault="008E7846" w:rsidP="008E7846">
      <w:pPr>
        <w:pStyle w:val="ListBullet"/>
        <w:numPr>
          <w:ilvl w:val="0"/>
          <w:numId w:val="3"/>
        </w:numPr>
        <w:ind w:left="357" w:hanging="357"/>
      </w:pPr>
      <w:r w:rsidRPr="00616A3B">
        <w:t>An AusPAR is a static document</w:t>
      </w:r>
      <w:r w:rsidR="00133A1B" w:rsidRPr="00616A3B">
        <w:t>;</w:t>
      </w:r>
      <w:r w:rsidRPr="00616A3B">
        <w:t xml:space="preserve"> it provide</w:t>
      </w:r>
      <w:r w:rsidR="00133A1B" w:rsidRPr="00616A3B">
        <w:t>s</w:t>
      </w:r>
      <w:r w:rsidRPr="00616A3B">
        <w:t xml:space="preserve"> information that relates to a submission at a particular point in time.</w:t>
      </w:r>
    </w:p>
    <w:p w14:paraId="7EF0D505" w14:textId="77777777" w:rsidR="00B452CE" w:rsidRPr="00616A3B" w:rsidRDefault="008E7846" w:rsidP="00FF5755">
      <w:pPr>
        <w:pStyle w:val="ListBullet"/>
        <w:numPr>
          <w:ilvl w:val="0"/>
          <w:numId w:val="3"/>
        </w:numPr>
        <w:ind w:left="357" w:hanging="357"/>
      </w:pPr>
      <w:r w:rsidRPr="00616A3B">
        <w:t>A new AusPAR will be developed to reflect changes to indications and/or major variations to a prescription medicine subject to evaluation by the TGA.</w:t>
      </w:r>
    </w:p>
    <w:p w14:paraId="782921EA" w14:textId="77777777" w:rsidR="00924482" w:rsidRPr="00616A3B" w:rsidRDefault="00924482" w:rsidP="00F54B65">
      <w:pPr>
        <w:pStyle w:val="LegalSubheading"/>
        <w:spacing w:before="3120"/>
      </w:pPr>
      <w:r w:rsidRPr="00616A3B">
        <w:t>Copyright</w:t>
      </w:r>
    </w:p>
    <w:p w14:paraId="5D070D03" w14:textId="0E257AF8" w:rsidR="00924482" w:rsidRPr="00616A3B" w:rsidRDefault="00924482" w:rsidP="00924482">
      <w:pPr>
        <w:pStyle w:val="LegalCopy"/>
      </w:pPr>
      <w:r w:rsidRPr="00616A3B">
        <w:rPr>
          <w:rFonts w:cs="Arial"/>
          <w:lang w:val="en-GB"/>
        </w:rPr>
        <w:t>© Commonwealth of Australia 20</w:t>
      </w:r>
      <w:r w:rsidR="00460036" w:rsidRPr="00616A3B">
        <w:rPr>
          <w:rFonts w:cs="Arial"/>
          <w:lang w:val="en-GB"/>
        </w:rPr>
        <w:t>2</w:t>
      </w:r>
      <w:r w:rsidR="00324E45" w:rsidRPr="00616A3B">
        <w:rPr>
          <w:rFonts w:cs="Arial"/>
          <w:lang w:val="en-GB"/>
        </w:rPr>
        <w:t>1</w:t>
      </w:r>
      <w:r w:rsidRPr="00616A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616A3B">
        <w:rPr>
          <w:rFonts w:cs="Arial"/>
          <w:i/>
          <w:lang w:val="en-GB"/>
        </w:rPr>
        <w:t>Copyright Act 1968</w:t>
      </w:r>
      <w:r w:rsidRPr="00616A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sidRPr="00616A3B">
          <w:rPr>
            <w:rStyle w:val="Hyperlink"/>
            <w:rFonts w:cs="Arial"/>
            <w:lang w:val="en-GB"/>
          </w:rPr>
          <w:t>tga.copyright@tga.gov.au</w:t>
        </w:r>
      </w:hyperlink>
      <w:r w:rsidRPr="00616A3B">
        <w:rPr>
          <w:rFonts w:cs="Arial"/>
        </w:rPr>
        <w:t>&gt;.</w:t>
      </w:r>
    </w:p>
    <w:p w14:paraId="728B016E" w14:textId="77777777" w:rsidR="00924482" w:rsidRPr="00616A3B" w:rsidRDefault="00924482" w:rsidP="00924482">
      <w:pPr>
        <w:pStyle w:val="LegalCopy"/>
        <w:sectPr w:rsidR="00924482" w:rsidRPr="00616A3B" w:rsidSect="003D1E62">
          <w:headerReference w:type="even" r:id="rId13"/>
          <w:headerReference w:type="default" r:id="rId14"/>
          <w:footerReference w:type="even" r:id="rId15"/>
          <w:footerReference w:type="default" r:id="rId16"/>
          <w:headerReference w:type="first" r:id="rId17"/>
          <w:footerReference w:type="first" r:id="rId18"/>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9C2D4E4" w14:textId="77777777" w:rsidR="0089635C" w:rsidRPr="00616A3B" w:rsidRDefault="0089635C" w:rsidP="0010788A">
          <w:pPr>
            <w:pStyle w:val="Contents"/>
          </w:pPr>
          <w:r w:rsidRPr="00616A3B">
            <w:t>Contents</w:t>
          </w:r>
        </w:p>
        <w:p w14:paraId="74BF7A5E" w14:textId="7B81287E" w:rsidR="005F080C" w:rsidRDefault="00C525A2">
          <w:pPr>
            <w:pStyle w:val="TOC1"/>
            <w:rPr>
              <w:rFonts w:asciiTheme="minorHAnsi" w:eastAsiaTheme="minorEastAsia" w:hAnsiTheme="minorHAnsi" w:cstheme="minorBidi"/>
              <w:b w:val="0"/>
              <w:noProof/>
              <w:sz w:val="22"/>
              <w:lang w:eastAsia="en-AU"/>
            </w:rPr>
          </w:pPr>
          <w:r w:rsidRPr="00616A3B">
            <w:fldChar w:fldCharType="begin"/>
          </w:r>
          <w:r w:rsidRPr="00616A3B">
            <w:instrText xml:space="preserve"> TOC \h \z \t "Heading 2,1,Heading 3,2" </w:instrText>
          </w:r>
          <w:r w:rsidRPr="00616A3B">
            <w:fldChar w:fldCharType="separate"/>
          </w:r>
          <w:hyperlink w:anchor="_Toc70931342" w:history="1">
            <w:r w:rsidR="005F080C" w:rsidRPr="002A1A52">
              <w:rPr>
                <w:rStyle w:val="Hyperlink"/>
                <w:noProof/>
              </w:rPr>
              <w:t>List of abbreviations</w:t>
            </w:r>
            <w:r w:rsidR="005F080C">
              <w:rPr>
                <w:noProof/>
                <w:webHidden/>
              </w:rPr>
              <w:tab/>
            </w:r>
            <w:r w:rsidR="005F080C">
              <w:rPr>
                <w:noProof/>
                <w:webHidden/>
              </w:rPr>
              <w:fldChar w:fldCharType="begin"/>
            </w:r>
            <w:r w:rsidR="005F080C">
              <w:rPr>
                <w:noProof/>
                <w:webHidden/>
              </w:rPr>
              <w:instrText xml:space="preserve"> PAGEREF _Toc70931342 \h </w:instrText>
            </w:r>
            <w:r w:rsidR="005F080C">
              <w:rPr>
                <w:noProof/>
                <w:webHidden/>
              </w:rPr>
            </w:r>
            <w:r w:rsidR="005F080C">
              <w:rPr>
                <w:noProof/>
                <w:webHidden/>
              </w:rPr>
              <w:fldChar w:fldCharType="separate"/>
            </w:r>
            <w:r w:rsidR="005F080C">
              <w:rPr>
                <w:noProof/>
                <w:webHidden/>
              </w:rPr>
              <w:t>4</w:t>
            </w:r>
            <w:r w:rsidR="005F080C">
              <w:rPr>
                <w:noProof/>
                <w:webHidden/>
              </w:rPr>
              <w:fldChar w:fldCharType="end"/>
            </w:r>
          </w:hyperlink>
        </w:p>
        <w:p w14:paraId="70C6643A" w14:textId="3B79D2ED" w:rsidR="005F080C" w:rsidRDefault="004C6897">
          <w:pPr>
            <w:pStyle w:val="TOC1"/>
            <w:rPr>
              <w:rFonts w:asciiTheme="minorHAnsi" w:eastAsiaTheme="minorEastAsia" w:hAnsiTheme="minorHAnsi" w:cstheme="minorBidi"/>
              <w:b w:val="0"/>
              <w:noProof/>
              <w:sz w:val="22"/>
              <w:lang w:eastAsia="en-AU"/>
            </w:rPr>
          </w:pPr>
          <w:hyperlink w:anchor="_Toc70931343" w:history="1">
            <w:r w:rsidR="005F080C" w:rsidRPr="002A1A52">
              <w:rPr>
                <w:rStyle w:val="Hyperlink"/>
                <w:noProof/>
              </w:rPr>
              <w:t>I. Introduction to product submission</w:t>
            </w:r>
            <w:r w:rsidR="005F080C">
              <w:rPr>
                <w:noProof/>
                <w:webHidden/>
              </w:rPr>
              <w:tab/>
            </w:r>
            <w:r w:rsidR="005F080C">
              <w:rPr>
                <w:noProof/>
                <w:webHidden/>
              </w:rPr>
              <w:fldChar w:fldCharType="begin"/>
            </w:r>
            <w:r w:rsidR="005F080C">
              <w:rPr>
                <w:noProof/>
                <w:webHidden/>
              </w:rPr>
              <w:instrText xml:space="preserve"> PAGEREF _Toc70931343 \h </w:instrText>
            </w:r>
            <w:r w:rsidR="005F080C">
              <w:rPr>
                <w:noProof/>
                <w:webHidden/>
              </w:rPr>
            </w:r>
            <w:r w:rsidR="005F080C">
              <w:rPr>
                <w:noProof/>
                <w:webHidden/>
              </w:rPr>
              <w:fldChar w:fldCharType="separate"/>
            </w:r>
            <w:r w:rsidR="005F080C">
              <w:rPr>
                <w:noProof/>
                <w:webHidden/>
              </w:rPr>
              <w:t>6</w:t>
            </w:r>
            <w:r w:rsidR="005F080C">
              <w:rPr>
                <w:noProof/>
                <w:webHidden/>
              </w:rPr>
              <w:fldChar w:fldCharType="end"/>
            </w:r>
          </w:hyperlink>
        </w:p>
        <w:p w14:paraId="05FFFD7C" w14:textId="23E78319" w:rsidR="005F080C" w:rsidRDefault="004C6897">
          <w:pPr>
            <w:pStyle w:val="TOC2"/>
            <w:rPr>
              <w:rFonts w:asciiTheme="minorHAnsi" w:eastAsiaTheme="minorEastAsia" w:hAnsiTheme="minorHAnsi" w:cstheme="minorBidi"/>
              <w:b w:val="0"/>
              <w:noProof/>
              <w:sz w:val="22"/>
              <w:lang w:eastAsia="en-AU"/>
            </w:rPr>
          </w:pPr>
          <w:hyperlink w:anchor="_Toc70931344" w:history="1">
            <w:r w:rsidR="005F080C" w:rsidRPr="002A1A52">
              <w:rPr>
                <w:rStyle w:val="Hyperlink"/>
                <w:noProof/>
                <w:lang w:eastAsia="en-AU"/>
              </w:rPr>
              <w:t>Submission details</w:t>
            </w:r>
            <w:r w:rsidR="005F080C">
              <w:rPr>
                <w:noProof/>
                <w:webHidden/>
              </w:rPr>
              <w:tab/>
            </w:r>
            <w:r w:rsidR="005F080C">
              <w:rPr>
                <w:noProof/>
                <w:webHidden/>
              </w:rPr>
              <w:fldChar w:fldCharType="begin"/>
            </w:r>
            <w:r w:rsidR="005F080C">
              <w:rPr>
                <w:noProof/>
                <w:webHidden/>
              </w:rPr>
              <w:instrText xml:space="preserve"> PAGEREF _Toc70931344 \h </w:instrText>
            </w:r>
            <w:r w:rsidR="005F080C">
              <w:rPr>
                <w:noProof/>
                <w:webHidden/>
              </w:rPr>
            </w:r>
            <w:r w:rsidR="005F080C">
              <w:rPr>
                <w:noProof/>
                <w:webHidden/>
              </w:rPr>
              <w:fldChar w:fldCharType="separate"/>
            </w:r>
            <w:r w:rsidR="005F080C">
              <w:rPr>
                <w:noProof/>
                <w:webHidden/>
              </w:rPr>
              <w:t>6</w:t>
            </w:r>
            <w:r w:rsidR="005F080C">
              <w:rPr>
                <w:noProof/>
                <w:webHidden/>
              </w:rPr>
              <w:fldChar w:fldCharType="end"/>
            </w:r>
          </w:hyperlink>
        </w:p>
        <w:p w14:paraId="48AC2DA0" w14:textId="662E043A" w:rsidR="005F080C" w:rsidRDefault="004C6897">
          <w:pPr>
            <w:pStyle w:val="TOC2"/>
            <w:rPr>
              <w:rFonts w:asciiTheme="minorHAnsi" w:eastAsiaTheme="minorEastAsia" w:hAnsiTheme="minorHAnsi" w:cstheme="minorBidi"/>
              <w:b w:val="0"/>
              <w:noProof/>
              <w:sz w:val="22"/>
              <w:lang w:eastAsia="en-AU"/>
            </w:rPr>
          </w:pPr>
          <w:hyperlink w:anchor="_Toc70931345" w:history="1">
            <w:r w:rsidR="005F080C" w:rsidRPr="002A1A52">
              <w:rPr>
                <w:rStyle w:val="Hyperlink"/>
                <w:noProof/>
              </w:rPr>
              <w:t>Product background</w:t>
            </w:r>
            <w:r w:rsidR="005F080C">
              <w:rPr>
                <w:noProof/>
                <w:webHidden/>
              </w:rPr>
              <w:tab/>
            </w:r>
            <w:r w:rsidR="005F080C">
              <w:rPr>
                <w:noProof/>
                <w:webHidden/>
              </w:rPr>
              <w:fldChar w:fldCharType="begin"/>
            </w:r>
            <w:r w:rsidR="005F080C">
              <w:rPr>
                <w:noProof/>
                <w:webHidden/>
              </w:rPr>
              <w:instrText xml:space="preserve"> PAGEREF _Toc70931345 \h </w:instrText>
            </w:r>
            <w:r w:rsidR="005F080C">
              <w:rPr>
                <w:noProof/>
                <w:webHidden/>
              </w:rPr>
            </w:r>
            <w:r w:rsidR="005F080C">
              <w:rPr>
                <w:noProof/>
                <w:webHidden/>
              </w:rPr>
              <w:fldChar w:fldCharType="separate"/>
            </w:r>
            <w:r w:rsidR="005F080C">
              <w:rPr>
                <w:noProof/>
                <w:webHidden/>
              </w:rPr>
              <w:t>7</w:t>
            </w:r>
            <w:r w:rsidR="005F080C">
              <w:rPr>
                <w:noProof/>
                <w:webHidden/>
              </w:rPr>
              <w:fldChar w:fldCharType="end"/>
            </w:r>
          </w:hyperlink>
        </w:p>
        <w:p w14:paraId="105F3A14" w14:textId="1227F611" w:rsidR="005F080C" w:rsidRDefault="004C6897">
          <w:pPr>
            <w:pStyle w:val="TOC2"/>
            <w:rPr>
              <w:rFonts w:asciiTheme="minorHAnsi" w:eastAsiaTheme="minorEastAsia" w:hAnsiTheme="minorHAnsi" w:cstheme="minorBidi"/>
              <w:b w:val="0"/>
              <w:noProof/>
              <w:sz w:val="22"/>
              <w:lang w:eastAsia="en-AU"/>
            </w:rPr>
          </w:pPr>
          <w:hyperlink w:anchor="_Toc70931346" w:history="1">
            <w:r w:rsidR="005F080C" w:rsidRPr="002A1A52">
              <w:rPr>
                <w:rStyle w:val="Hyperlink"/>
                <w:noProof/>
              </w:rPr>
              <w:t>Regulatory status</w:t>
            </w:r>
            <w:r w:rsidR="005F080C">
              <w:rPr>
                <w:noProof/>
                <w:webHidden/>
              </w:rPr>
              <w:tab/>
            </w:r>
            <w:r w:rsidR="005F080C">
              <w:rPr>
                <w:noProof/>
                <w:webHidden/>
              </w:rPr>
              <w:fldChar w:fldCharType="begin"/>
            </w:r>
            <w:r w:rsidR="005F080C">
              <w:rPr>
                <w:noProof/>
                <w:webHidden/>
              </w:rPr>
              <w:instrText xml:space="preserve"> PAGEREF _Toc70931346 \h </w:instrText>
            </w:r>
            <w:r w:rsidR="005F080C">
              <w:rPr>
                <w:noProof/>
                <w:webHidden/>
              </w:rPr>
            </w:r>
            <w:r w:rsidR="005F080C">
              <w:rPr>
                <w:noProof/>
                <w:webHidden/>
              </w:rPr>
              <w:fldChar w:fldCharType="separate"/>
            </w:r>
            <w:r w:rsidR="005F080C">
              <w:rPr>
                <w:noProof/>
                <w:webHidden/>
              </w:rPr>
              <w:t>8</w:t>
            </w:r>
            <w:r w:rsidR="005F080C">
              <w:rPr>
                <w:noProof/>
                <w:webHidden/>
              </w:rPr>
              <w:fldChar w:fldCharType="end"/>
            </w:r>
          </w:hyperlink>
        </w:p>
        <w:p w14:paraId="3043DAC6" w14:textId="49A14DBE" w:rsidR="005F080C" w:rsidRDefault="004C6897">
          <w:pPr>
            <w:pStyle w:val="TOC2"/>
            <w:rPr>
              <w:rFonts w:asciiTheme="minorHAnsi" w:eastAsiaTheme="minorEastAsia" w:hAnsiTheme="minorHAnsi" w:cstheme="minorBidi"/>
              <w:b w:val="0"/>
              <w:noProof/>
              <w:sz w:val="22"/>
              <w:lang w:eastAsia="en-AU"/>
            </w:rPr>
          </w:pPr>
          <w:hyperlink w:anchor="_Toc70931347" w:history="1">
            <w:r w:rsidR="005F080C" w:rsidRPr="002A1A52">
              <w:rPr>
                <w:rStyle w:val="Hyperlink"/>
                <w:noProof/>
              </w:rPr>
              <w:t>Product Information</w:t>
            </w:r>
            <w:r w:rsidR="005F080C">
              <w:rPr>
                <w:noProof/>
                <w:webHidden/>
              </w:rPr>
              <w:tab/>
            </w:r>
            <w:r w:rsidR="005F080C">
              <w:rPr>
                <w:noProof/>
                <w:webHidden/>
              </w:rPr>
              <w:fldChar w:fldCharType="begin"/>
            </w:r>
            <w:r w:rsidR="005F080C">
              <w:rPr>
                <w:noProof/>
                <w:webHidden/>
              </w:rPr>
              <w:instrText xml:space="preserve"> PAGEREF _Toc70931347 \h </w:instrText>
            </w:r>
            <w:r w:rsidR="005F080C">
              <w:rPr>
                <w:noProof/>
                <w:webHidden/>
              </w:rPr>
            </w:r>
            <w:r w:rsidR="005F080C">
              <w:rPr>
                <w:noProof/>
                <w:webHidden/>
              </w:rPr>
              <w:fldChar w:fldCharType="separate"/>
            </w:r>
            <w:r w:rsidR="005F080C">
              <w:rPr>
                <w:noProof/>
                <w:webHidden/>
              </w:rPr>
              <w:t>9</w:t>
            </w:r>
            <w:r w:rsidR="005F080C">
              <w:rPr>
                <w:noProof/>
                <w:webHidden/>
              </w:rPr>
              <w:fldChar w:fldCharType="end"/>
            </w:r>
          </w:hyperlink>
        </w:p>
        <w:p w14:paraId="362C98AD" w14:textId="10C0E8AB" w:rsidR="005F080C" w:rsidRDefault="004C6897">
          <w:pPr>
            <w:pStyle w:val="TOC1"/>
            <w:rPr>
              <w:rFonts w:asciiTheme="minorHAnsi" w:eastAsiaTheme="minorEastAsia" w:hAnsiTheme="minorHAnsi" w:cstheme="minorBidi"/>
              <w:b w:val="0"/>
              <w:noProof/>
              <w:sz w:val="22"/>
              <w:lang w:eastAsia="en-AU"/>
            </w:rPr>
          </w:pPr>
          <w:hyperlink w:anchor="_Toc70931348" w:history="1">
            <w:r w:rsidR="005F080C" w:rsidRPr="002A1A52">
              <w:rPr>
                <w:rStyle w:val="Hyperlink"/>
                <w:noProof/>
              </w:rPr>
              <w:t>II. Registration timeline</w:t>
            </w:r>
            <w:r w:rsidR="005F080C">
              <w:rPr>
                <w:noProof/>
                <w:webHidden/>
              </w:rPr>
              <w:tab/>
            </w:r>
            <w:r w:rsidR="005F080C">
              <w:rPr>
                <w:noProof/>
                <w:webHidden/>
              </w:rPr>
              <w:fldChar w:fldCharType="begin"/>
            </w:r>
            <w:r w:rsidR="005F080C">
              <w:rPr>
                <w:noProof/>
                <w:webHidden/>
              </w:rPr>
              <w:instrText xml:space="preserve"> PAGEREF _Toc70931348 \h </w:instrText>
            </w:r>
            <w:r w:rsidR="005F080C">
              <w:rPr>
                <w:noProof/>
                <w:webHidden/>
              </w:rPr>
            </w:r>
            <w:r w:rsidR="005F080C">
              <w:rPr>
                <w:noProof/>
                <w:webHidden/>
              </w:rPr>
              <w:fldChar w:fldCharType="separate"/>
            </w:r>
            <w:r w:rsidR="005F080C">
              <w:rPr>
                <w:noProof/>
                <w:webHidden/>
              </w:rPr>
              <w:t>9</w:t>
            </w:r>
            <w:r w:rsidR="005F080C">
              <w:rPr>
                <w:noProof/>
                <w:webHidden/>
              </w:rPr>
              <w:fldChar w:fldCharType="end"/>
            </w:r>
          </w:hyperlink>
        </w:p>
        <w:p w14:paraId="67E9E7E8" w14:textId="53CB5F15" w:rsidR="005F080C" w:rsidRDefault="004C6897">
          <w:pPr>
            <w:pStyle w:val="TOC1"/>
            <w:rPr>
              <w:rFonts w:asciiTheme="minorHAnsi" w:eastAsiaTheme="minorEastAsia" w:hAnsiTheme="minorHAnsi" w:cstheme="minorBidi"/>
              <w:b w:val="0"/>
              <w:noProof/>
              <w:sz w:val="22"/>
              <w:lang w:eastAsia="en-AU"/>
            </w:rPr>
          </w:pPr>
          <w:hyperlink w:anchor="_Toc70931349" w:history="1">
            <w:r w:rsidR="005F080C" w:rsidRPr="002A1A52">
              <w:rPr>
                <w:rStyle w:val="Hyperlink"/>
                <w:noProof/>
              </w:rPr>
              <w:t>III. Submission overview and risk/benefit assessment</w:t>
            </w:r>
            <w:r w:rsidR="005F080C">
              <w:rPr>
                <w:noProof/>
                <w:webHidden/>
              </w:rPr>
              <w:tab/>
            </w:r>
            <w:r w:rsidR="005F080C">
              <w:rPr>
                <w:noProof/>
                <w:webHidden/>
              </w:rPr>
              <w:fldChar w:fldCharType="begin"/>
            </w:r>
            <w:r w:rsidR="005F080C">
              <w:rPr>
                <w:noProof/>
                <w:webHidden/>
              </w:rPr>
              <w:instrText xml:space="preserve"> PAGEREF _Toc70931349 \h </w:instrText>
            </w:r>
            <w:r w:rsidR="005F080C">
              <w:rPr>
                <w:noProof/>
                <w:webHidden/>
              </w:rPr>
            </w:r>
            <w:r w:rsidR="005F080C">
              <w:rPr>
                <w:noProof/>
                <w:webHidden/>
              </w:rPr>
              <w:fldChar w:fldCharType="separate"/>
            </w:r>
            <w:r w:rsidR="005F080C">
              <w:rPr>
                <w:noProof/>
                <w:webHidden/>
              </w:rPr>
              <w:t>10</w:t>
            </w:r>
            <w:r w:rsidR="005F080C">
              <w:rPr>
                <w:noProof/>
                <w:webHidden/>
              </w:rPr>
              <w:fldChar w:fldCharType="end"/>
            </w:r>
          </w:hyperlink>
        </w:p>
        <w:p w14:paraId="13729EED" w14:textId="7EC65FF5" w:rsidR="005F080C" w:rsidRDefault="004C6897">
          <w:pPr>
            <w:pStyle w:val="TOC2"/>
            <w:rPr>
              <w:rFonts w:asciiTheme="minorHAnsi" w:eastAsiaTheme="minorEastAsia" w:hAnsiTheme="minorHAnsi" w:cstheme="minorBidi"/>
              <w:b w:val="0"/>
              <w:noProof/>
              <w:sz w:val="22"/>
              <w:lang w:eastAsia="en-AU"/>
            </w:rPr>
          </w:pPr>
          <w:hyperlink w:anchor="_Toc70931350" w:history="1">
            <w:r w:rsidR="005F080C" w:rsidRPr="002A1A52">
              <w:rPr>
                <w:rStyle w:val="Hyperlink"/>
                <w:noProof/>
              </w:rPr>
              <w:t>Quality</w:t>
            </w:r>
            <w:r w:rsidR="005F080C">
              <w:rPr>
                <w:noProof/>
                <w:webHidden/>
              </w:rPr>
              <w:tab/>
            </w:r>
            <w:r w:rsidR="005F080C">
              <w:rPr>
                <w:noProof/>
                <w:webHidden/>
              </w:rPr>
              <w:fldChar w:fldCharType="begin"/>
            </w:r>
            <w:r w:rsidR="005F080C">
              <w:rPr>
                <w:noProof/>
                <w:webHidden/>
              </w:rPr>
              <w:instrText xml:space="preserve"> PAGEREF _Toc70931350 \h </w:instrText>
            </w:r>
            <w:r w:rsidR="005F080C">
              <w:rPr>
                <w:noProof/>
                <w:webHidden/>
              </w:rPr>
            </w:r>
            <w:r w:rsidR="005F080C">
              <w:rPr>
                <w:noProof/>
                <w:webHidden/>
              </w:rPr>
              <w:fldChar w:fldCharType="separate"/>
            </w:r>
            <w:r w:rsidR="005F080C">
              <w:rPr>
                <w:noProof/>
                <w:webHidden/>
              </w:rPr>
              <w:t>11</w:t>
            </w:r>
            <w:r w:rsidR="005F080C">
              <w:rPr>
                <w:noProof/>
                <w:webHidden/>
              </w:rPr>
              <w:fldChar w:fldCharType="end"/>
            </w:r>
          </w:hyperlink>
        </w:p>
        <w:p w14:paraId="2F47B64D" w14:textId="39E1879F" w:rsidR="005F080C" w:rsidRDefault="004C6897">
          <w:pPr>
            <w:pStyle w:val="TOC2"/>
            <w:rPr>
              <w:rFonts w:asciiTheme="minorHAnsi" w:eastAsiaTheme="minorEastAsia" w:hAnsiTheme="minorHAnsi" w:cstheme="minorBidi"/>
              <w:b w:val="0"/>
              <w:noProof/>
              <w:sz w:val="22"/>
              <w:lang w:eastAsia="en-AU"/>
            </w:rPr>
          </w:pPr>
          <w:hyperlink w:anchor="_Toc70931351" w:history="1">
            <w:r w:rsidR="005F080C" w:rsidRPr="002A1A52">
              <w:rPr>
                <w:rStyle w:val="Hyperlink"/>
                <w:noProof/>
              </w:rPr>
              <w:t>Nonclinical</w:t>
            </w:r>
            <w:r w:rsidR="005F080C">
              <w:rPr>
                <w:noProof/>
                <w:webHidden/>
              </w:rPr>
              <w:tab/>
            </w:r>
            <w:r w:rsidR="005F080C">
              <w:rPr>
                <w:noProof/>
                <w:webHidden/>
              </w:rPr>
              <w:fldChar w:fldCharType="begin"/>
            </w:r>
            <w:r w:rsidR="005F080C">
              <w:rPr>
                <w:noProof/>
                <w:webHidden/>
              </w:rPr>
              <w:instrText xml:space="preserve"> PAGEREF _Toc70931351 \h </w:instrText>
            </w:r>
            <w:r w:rsidR="005F080C">
              <w:rPr>
                <w:noProof/>
                <w:webHidden/>
              </w:rPr>
            </w:r>
            <w:r w:rsidR="005F080C">
              <w:rPr>
                <w:noProof/>
                <w:webHidden/>
              </w:rPr>
              <w:fldChar w:fldCharType="separate"/>
            </w:r>
            <w:r w:rsidR="005F080C">
              <w:rPr>
                <w:noProof/>
                <w:webHidden/>
              </w:rPr>
              <w:t>11</w:t>
            </w:r>
            <w:r w:rsidR="005F080C">
              <w:rPr>
                <w:noProof/>
                <w:webHidden/>
              </w:rPr>
              <w:fldChar w:fldCharType="end"/>
            </w:r>
          </w:hyperlink>
        </w:p>
        <w:p w14:paraId="6D297765" w14:textId="6849BCDC" w:rsidR="005F080C" w:rsidRDefault="004C6897">
          <w:pPr>
            <w:pStyle w:val="TOC2"/>
            <w:rPr>
              <w:rFonts w:asciiTheme="minorHAnsi" w:eastAsiaTheme="minorEastAsia" w:hAnsiTheme="minorHAnsi" w:cstheme="minorBidi"/>
              <w:b w:val="0"/>
              <w:noProof/>
              <w:sz w:val="22"/>
              <w:lang w:eastAsia="en-AU"/>
            </w:rPr>
          </w:pPr>
          <w:hyperlink w:anchor="_Toc70931352" w:history="1">
            <w:r w:rsidR="005F080C" w:rsidRPr="002A1A52">
              <w:rPr>
                <w:rStyle w:val="Hyperlink"/>
                <w:noProof/>
              </w:rPr>
              <w:t>Clinical</w:t>
            </w:r>
            <w:r w:rsidR="005F080C">
              <w:rPr>
                <w:noProof/>
                <w:webHidden/>
              </w:rPr>
              <w:tab/>
            </w:r>
            <w:r w:rsidR="005F080C">
              <w:rPr>
                <w:noProof/>
                <w:webHidden/>
              </w:rPr>
              <w:fldChar w:fldCharType="begin"/>
            </w:r>
            <w:r w:rsidR="005F080C">
              <w:rPr>
                <w:noProof/>
                <w:webHidden/>
              </w:rPr>
              <w:instrText xml:space="preserve"> PAGEREF _Toc70931352 \h </w:instrText>
            </w:r>
            <w:r w:rsidR="005F080C">
              <w:rPr>
                <w:noProof/>
                <w:webHidden/>
              </w:rPr>
            </w:r>
            <w:r w:rsidR="005F080C">
              <w:rPr>
                <w:noProof/>
                <w:webHidden/>
              </w:rPr>
              <w:fldChar w:fldCharType="separate"/>
            </w:r>
            <w:r w:rsidR="005F080C">
              <w:rPr>
                <w:noProof/>
                <w:webHidden/>
              </w:rPr>
              <w:t>12</w:t>
            </w:r>
            <w:r w:rsidR="005F080C">
              <w:rPr>
                <w:noProof/>
                <w:webHidden/>
              </w:rPr>
              <w:fldChar w:fldCharType="end"/>
            </w:r>
          </w:hyperlink>
        </w:p>
        <w:p w14:paraId="6AD64C35" w14:textId="3633B799" w:rsidR="005F080C" w:rsidRDefault="004C6897">
          <w:pPr>
            <w:pStyle w:val="TOC2"/>
            <w:rPr>
              <w:rFonts w:asciiTheme="minorHAnsi" w:eastAsiaTheme="minorEastAsia" w:hAnsiTheme="minorHAnsi" w:cstheme="minorBidi"/>
              <w:b w:val="0"/>
              <w:noProof/>
              <w:sz w:val="22"/>
              <w:lang w:eastAsia="en-AU"/>
            </w:rPr>
          </w:pPr>
          <w:hyperlink w:anchor="_Toc70931353" w:history="1">
            <w:r w:rsidR="005F080C" w:rsidRPr="002A1A52">
              <w:rPr>
                <w:rStyle w:val="Hyperlink"/>
                <w:noProof/>
                <w:lang w:eastAsia="en-AU"/>
              </w:rPr>
              <w:t>Risk management plan</w:t>
            </w:r>
            <w:r w:rsidR="005F080C">
              <w:rPr>
                <w:noProof/>
                <w:webHidden/>
              </w:rPr>
              <w:tab/>
            </w:r>
            <w:r w:rsidR="005F080C">
              <w:rPr>
                <w:noProof/>
                <w:webHidden/>
              </w:rPr>
              <w:fldChar w:fldCharType="begin"/>
            </w:r>
            <w:r w:rsidR="005F080C">
              <w:rPr>
                <w:noProof/>
                <w:webHidden/>
              </w:rPr>
              <w:instrText xml:space="preserve"> PAGEREF _Toc70931353 \h </w:instrText>
            </w:r>
            <w:r w:rsidR="005F080C">
              <w:rPr>
                <w:noProof/>
                <w:webHidden/>
              </w:rPr>
            </w:r>
            <w:r w:rsidR="005F080C">
              <w:rPr>
                <w:noProof/>
                <w:webHidden/>
              </w:rPr>
              <w:fldChar w:fldCharType="separate"/>
            </w:r>
            <w:r w:rsidR="005F080C">
              <w:rPr>
                <w:noProof/>
                <w:webHidden/>
              </w:rPr>
              <w:t>25</w:t>
            </w:r>
            <w:r w:rsidR="005F080C">
              <w:rPr>
                <w:noProof/>
                <w:webHidden/>
              </w:rPr>
              <w:fldChar w:fldCharType="end"/>
            </w:r>
          </w:hyperlink>
        </w:p>
        <w:p w14:paraId="3A368A76" w14:textId="32BAA7D2" w:rsidR="005F080C" w:rsidRDefault="004C6897">
          <w:pPr>
            <w:pStyle w:val="TOC2"/>
            <w:rPr>
              <w:rFonts w:asciiTheme="minorHAnsi" w:eastAsiaTheme="minorEastAsia" w:hAnsiTheme="minorHAnsi" w:cstheme="minorBidi"/>
              <w:b w:val="0"/>
              <w:noProof/>
              <w:sz w:val="22"/>
              <w:lang w:eastAsia="en-AU"/>
            </w:rPr>
          </w:pPr>
          <w:hyperlink w:anchor="_Toc70931354" w:history="1">
            <w:r w:rsidR="005F080C" w:rsidRPr="002A1A52">
              <w:rPr>
                <w:rStyle w:val="Hyperlink"/>
                <w:noProof/>
              </w:rPr>
              <w:t>Risk-benefit analysis</w:t>
            </w:r>
            <w:r w:rsidR="005F080C">
              <w:rPr>
                <w:noProof/>
                <w:webHidden/>
              </w:rPr>
              <w:tab/>
            </w:r>
            <w:r w:rsidR="005F080C">
              <w:rPr>
                <w:noProof/>
                <w:webHidden/>
              </w:rPr>
              <w:fldChar w:fldCharType="begin"/>
            </w:r>
            <w:r w:rsidR="005F080C">
              <w:rPr>
                <w:noProof/>
                <w:webHidden/>
              </w:rPr>
              <w:instrText xml:space="preserve"> PAGEREF _Toc70931354 \h </w:instrText>
            </w:r>
            <w:r w:rsidR="005F080C">
              <w:rPr>
                <w:noProof/>
                <w:webHidden/>
              </w:rPr>
            </w:r>
            <w:r w:rsidR="005F080C">
              <w:rPr>
                <w:noProof/>
                <w:webHidden/>
              </w:rPr>
              <w:fldChar w:fldCharType="separate"/>
            </w:r>
            <w:r w:rsidR="005F080C">
              <w:rPr>
                <w:noProof/>
                <w:webHidden/>
              </w:rPr>
              <w:t>26</w:t>
            </w:r>
            <w:r w:rsidR="005F080C">
              <w:rPr>
                <w:noProof/>
                <w:webHidden/>
              </w:rPr>
              <w:fldChar w:fldCharType="end"/>
            </w:r>
          </w:hyperlink>
        </w:p>
        <w:p w14:paraId="596A986C" w14:textId="2B0F59A4" w:rsidR="005F080C" w:rsidRDefault="004C6897">
          <w:pPr>
            <w:pStyle w:val="TOC2"/>
            <w:rPr>
              <w:rFonts w:asciiTheme="minorHAnsi" w:eastAsiaTheme="minorEastAsia" w:hAnsiTheme="minorHAnsi" w:cstheme="minorBidi"/>
              <w:b w:val="0"/>
              <w:noProof/>
              <w:sz w:val="22"/>
              <w:lang w:eastAsia="en-AU"/>
            </w:rPr>
          </w:pPr>
          <w:hyperlink w:anchor="_Toc70931355" w:history="1">
            <w:r w:rsidR="005F080C" w:rsidRPr="002A1A52">
              <w:rPr>
                <w:rStyle w:val="Hyperlink"/>
                <w:noProof/>
              </w:rPr>
              <w:t>Outcome</w:t>
            </w:r>
            <w:r w:rsidR="005F080C">
              <w:rPr>
                <w:noProof/>
                <w:webHidden/>
              </w:rPr>
              <w:tab/>
            </w:r>
            <w:r w:rsidR="005F080C">
              <w:rPr>
                <w:noProof/>
                <w:webHidden/>
              </w:rPr>
              <w:fldChar w:fldCharType="begin"/>
            </w:r>
            <w:r w:rsidR="005F080C">
              <w:rPr>
                <w:noProof/>
                <w:webHidden/>
              </w:rPr>
              <w:instrText xml:space="preserve"> PAGEREF _Toc70931355 \h </w:instrText>
            </w:r>
            <w:r w:rsidR="005F080C">
              <w:rPr>
                <w:noProof/>
                <w:webHidden/>
              </w:rPr>
            </w:r>
            <w:r w:rsidR="005F080C">
              <w:rPr>
                <w:noProof/>
                <w:webHidden/>
              </w:rPr>
              <w:fldChar w:fldCharType="separate"/>
            </w:r>
            <w:r w:rsidR="005F080C">
              <w:rPr>
                <w:noProof/>
                <w:webHidden/>
              </w:rPr>
              <w:t>29</w:t>
            </w:r>
            <w:r w:rsidR="005F080C">
              <w:rPr>
                <w:noProof/>
                <w:webHidden/>
              </w:rPr>
              <w:fldChar w:fldCharType="end"/>
            </w:r>
          </w:hyperlink>
        </w:p>
        <w:p w14:paraId="696652FB" w14:textId="06F98D78" w:rsidR="005F080C" w:rsidRDefault="004C6897">
          <w:pPr>
            <w:pStyle w:val="TOC1"/>
            <w:rPr>
              <w:rFonts w:asciiTheme="minorHAnsi" w:eastAsiaTheme="minorEastAsia" w:hAnsiTheme="minorHAnsi" w:cstheme="minorBidi"/>
              <w:b w:val="0"/>
              <w:noProof/>
              <w:sz w:val="22"/>
              <w:lang w:eastAsia="en-AU"/>
            </w:rPr>
          </w:pPr>
          <w:hyperlink w:anchor="_Toc70931356" w:history="1">
            <w:r w:rsidR="005F080C" w:rsidRPr="002A1A52">
              <w:rPr>
                <w:rStyle w:val="Hyperlink"/>
                <w:noProof/>
              </w:rPr>
              <w:t>Attachment 1. Product Information</w:t>
            </w:r>
            <w:r w:rsidR="005F080C">
              <w:rPr>
                <w:noProof/>
                <w:webHidden/>
              </w:rPr>
              <w:tab/>
            </w:r>
            <w:r w:rsidR="005F080C">
              <w:rPr>
                <w:noProof/>
                <w:webHidden/>
              </w:rPr>
              <w:fldChar w:fldCharType="begin"/>
            </w:r>
            <w:r w:rsidR="005F080C">
              <w:rPr>
                <w:noProof/>
                <w:webHidden/>
              </w:rPr>
              <w:instrText xml:space="preserve"> PAGEREF _Toc70931356 \h </w:instrText>
            </w:r>
            <w:r w:rsidR="005F080C">
              <w:rPr>
                <w:noProof/>
                <w:webHidden/>
              </w:rPr>
            </w:r>
            <w:r w:rsidR="005F080C">
              <w:rPr>
                <w:noProof/>
                <w:webHidden/>
              </w:rPr>
              <w:fldChar w:fldCharType="separate"/>
            </w:r>
            <w:r w:rsidR="005F080C">
              <w:rPr>
                <w:noProof/>
                <w:webHidden/>
              </w:rPr>
              <w:t>30</w:t>
            </w:r>
            <w:r w:rsidR="005F080C">
              <w:rPr>
                <w:noProof/>
                <w:webHidden/>
              </w:rPr>
              <w:fldChar w:fldCharType="end"/>
            </w:r>
          </w:hyperlink>
        </w:p>
        <w:p w14:paraId="53C7E959" w14:textId="26E9DC91" w:rsidR="003A7F6C" w:rsidRPr="00616A3B" w:rsidRDefault="00C525A2" w:rsidP="00B811C6">
          <w:pPr>
            <w:pStyle w:val="TOC2"/>
          </w:pPr>
          <w:r w:rsidRPr="00616A3B">
            <w:fldChar w:fldCharType="end"/>
          </w:r>
        </w:p>
      </w:sdtContent>
    </w:sdt>
    <w:bookmarkStart w:id="2" w:name="_Toc314842482" w:displacedByCustomXml="prev"/>
    <w:p w14:paraId="374FEA0A" w14:textId="77777777" w:rsidR="00FD119B" w:rsidRPr="00616A3B" w:rsidRDefault="00FD119B">
      <w:pPr>
        <w:spacing w:before="0" w:after="200" w:line="0" w:lineRule="auto"/>
      </w:pPr>
      <w:r w:rsidRPr="00616A3B">
        <w:br w:type="page"/>
      </w:r>
    </w:p>
    <w:p w14:paraId="0FD2569B" w14:textId="77777777" w:rsidR="00FD119B" w:rsidRPr="00616A3B" w:rsidRDefault="00324E45" w:rsidP="004F0C4A">
      <w:pPr>
        <w:pStyle w:val="Heading2"/>
      </w:pPr>
      <w:bookmarkStart w:id="3" w:name="_Toc351716269"/>
      <w:bookmarkStart w:id="4" w:name="_Toc351718881"/>
      <w:bookmarkStart w:id="5" w:name="_Toc355338616"/>
      <w:bookmarkStart w:id="6" w:name="_Toc356306144"/>
      <w:bookmarkStart w:id="7" w:name="_Toc70931342"/>
      <w:r w:rsidRPr="00616A3B">
        <w:t>List of</w:t>
      </w:r>
      <w:r w:rsidR="00FD119B" w:rsidRPr="00616A3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604"/>
      </w:tblGrid>
      <w:tr w:rsidR="00FD119B" w:rsidRPr="00616A3B" w14:paraId="371A2FC9" w14:textId="77777777" w:rsidTr="00AC5B0F">
        <w:trPr>
          <w:cnfStyle w:val="100000000000" w:firstRow="1" w:lastRow="0" w:firstColumn="0" w:lastColumn="0" w:oddVBand="0" w:evenVBand="0" w:oddHBand="0" w:evenHBand="0" w:firstRowFirstColumn="0" w:firstRowLastColumn="0" w:lastRowFirstColumn="0" w:lastRowLastColumn="0"/>
        </w:trPr>
        <w:tc>
          <w:tcPr>
            <w:tcW w:w="1797" w:type="dxa"/>
            <w:tcBorders>
              <w:top w:val="single" w:sz="4" w:space="0" w:color="auto"/>
              <w:left w:val="single" w:sz="4" w:space="0" w:color="auto"/>
              <w:bottom w:val="single" w:sz="4" w:space="0" w:color="auto"/>
              <w:right w:val="single" w:sz="4" w:space="0" w:color="auto"/>
            </w:tcBorders>
          </w:tcPr>
          <w:p w14:paraId="13512B0A" w14:textId="77777777" w:rsidR="00FD119B" w:rsidRPr="004F74B1" w:rsidRDefault="00FD119B" w:rsidP="004F74B1">
            <w:r w:rsidRPr="00727930">
              <w:t>Abbreviation</w:t>
            </w:r>
          </w:p>
        </w:tc>
        <w:tc>
          <w:tcPr>
            <w:tcW w:w="6697" w:type="dxa"/>
            <w:tcBorders>
              <w:top w:val="single" w:sz="4" w:space="0" w:color="auto"/>
              <w:left w:val="single" w:sz="4" w:space="0" w:color="auto"/>
              <w:bottom w:val="single" w:sz="4" w:space="0" w:color="auto"/>
              <w:right w:val="single" w:sz="4" w:space="0" w:color="auto"/>
            </w:tcBorders>
          </w:tcPr>
          <w:p w14:paraId="2BECD0FC" w14:textId="77777777" w:rsidR="00FD119B" w:rsidRPr="004F74B1" w:rsidRDefault="00FD119B" w:rsidP="004F74B1">
            <w:r w:rsidRPr="00727930">
              <w:t>Meaning</w:t>
            </w:r>
          </w:p>
        </w:tc>
      </w:tr>
      <w:tr w:rsidR="002E07DD" w:rsidRPr="00616A3B" w14:paraId="631D2B7B" w14:textId="77777777" w:rsidTr="00AC5B0F">
        <w:tc>
          <w:tcPr>
            <w:tcW w:w="1797" w:type="dxa"/>
          </w:tcPr>
          <w:p w14:paraId="1EF13454" w14:textId="77777777" w:rsidR="002E07DD" w:rsidRPr="00727930" w:rsidRDefault="002E07DD" w:rsidP="004F74B1">
            <w:r w:rsidRPr="00727930">
              <w:t>AASLD</w:t>
            </w:r>
          </w:p>
        </w:tc>
        <w:tc>
          <w:tcPr>
            <w:tcW w:w="6697" w:type="dxa"/>
          </w:tcPr>
          <w:p w14:paraId="2671497E" w14:textId="77777777" w:rsidR="002E07DD" w:rsidRPr="00C00DEC" w:rsidRDefault="002E07DD" w:rsidP="004F74B1">
            <w:r w:rsidRPr="00C00DEC">
              <w:t>American Association for the Study of Liver Disease</w:t>
            </w:r>
          </w:p>
        </w:tc>
      </w:tr>
      <w:tr w:rsidR="002E07DD" w:rsidRPr="00616A3B" w14:paraId="1B90CD90" w14:textId="77777777" w:rsidTr="00AC5B0F">
        <w:tc>
          <w:tcPr>
            <w:tcW w:w="1797" w:type="dxa"/>
          </w:tcPr>
          <w:p w14:paraId="7119FD2D" w14:textId="77777777" w:rsidR="002E07DD" w:rsidRPr="00727930" w:rsidRDefault="002E07DD" w:rsidP="004F74B1">
            <w:r w:rsidRPr="00727930">
              <w:t>ACM</w:t>
            </w:r>
          </w:p>
        </w:tc>
        <w:tc>
          <w:tcPr>
            <w:tcW w:w="6697" w:type="dxa"/>
          </w:tcPr>
          <w:p w14:paraId="0D128BFB" w14:textId="77777777" w:rsidR="002E07DD" w:rsidRPr="009C4E54" w:rsidRDefault="002E07DD" w:rsidP="004F74B1">
            <w:r w:rsidRPr="00C00DEC">
              <w:t>Ad</w:t>
            </w:r>
            <w:r w:rsidRPr="009C4E54">
              <w:t>visory Committee on Medicines</w:t>
            </w:r>
          </w:p>
        </w:tc>
      </w:tr>
      <w:tr w:rsidR="002E07DD" w:rsidRPr="00616A3B" w14:paraId="3A2F8C39" w14:textId="77777777" w:rsidTr="00AC5B0F">
        <w:tc>
          <w:tcPr>
            <w:tcW w:w="1797" w:type="dxa"/>
          </w:tcPr>
          <w:p w14:paraId="1D2ADBB1" w14:textId="77777777" w:rsidR="002E07DD" w:rsidRPr="00727930" w:rsidRDefault="002E07DD" w:rsidP="004F74B1">
            <w:r w:rsidRPr="00727930">
              <w:t>AE</w:t>
            </w:r>
          </w:p>
        </w:tc>
        <w:tc>
          <w:tcPr>
            <w:tcW w:w="6697" w:type="dxa"/>
          </w:tcPr>
          <w:p w14:paraId="103AC8A1" w14:textId="443E12E5" w:rsidR="002E07DD" w:rsidRPr="009C4E54" w:rsidRDefault="00D7125C" w:rsidP="004F74B1">
            <w:r w:rsidRPr="00C00DEC">
              <w:t>Adverse event</w:t>
            </w:r>
          </w:p>
        </w:tc>
      </w:tr>
      <w:tr w:rsidR="002E07DD" w:rsidRPr="00616A3B" w14:paraId="1E389B6D" w14:textId="77777777" w:rsidTr="00AC5B0F">
        <w:tc>
          <w:tcPr>
            <w:tcW w:w="1797" w:type="dxa"/>
          </w:tcPr>
          <w:p w14:paraId="4D234857" w14:textId="77777777" w:rsidR="002E07DD" w:rsidRPr="00727930" w:rsidRDefault="002E07DD" w:rsidP="004F74B1">
            <w:r w:rsidRPr="00727930">
              <w:t>ALT</w:t>
            </w:r>
          </w:p>
        </w:tc>
        <w:tc>
          <w:tcPr>
            <w:tcW w:w="6697" w:type="dxa"/>
          </w:tcPr>
          <w:p w14:paraId="5D9AFF14" w14:textId="77777777" w:rsidR="002E07DD" w:rsidRPr="00C00DEC" w:rsidRDefault="002E07DD" w:rsidP="004F74B1">
            <w:r w:rsidRPr="00C00DEC">
              <w:t>Alanine aminotransferase</w:t>
            </w:r>
          </w:p>
        </w:tc>
      </w:tr>
      <w:tr w:rsidR="002E07DD" w:rsidRPr="00616A3B" w14:paraId="6BAB717B" w14:textId="77777777" w:rsidTr="00AC5B0F">
        <w:tc>
          <w:tcPr>
            <w:tcW w:w="1797" w:type="dxa"/>
          </w:tcPr>
          <w:p w14:paraId="71E305ED" w14:textId="77777777" w:rsidR="002E07DD" w:rsidRPr="00727930" w:rsidRDefault="002E07DD" w:rsidP="004F74B1">
            <w:r w:rsidRPr="00727930">
              <w:t>AST</w:t>
            </w:r>
          </w:p>
        </w:tc>
        <w:tc>
          <w:tcPr>
            <w:tcW w:w="6697" w:type="dxa"/>
          </w:tcPr>
          <w:p w14:paraId="2D6736BB" w14:textId="77777777" w:rsidR="002E07DD" w:rsidRPr="00C00DEC" w:rsidRDefault="002E07DD" w:rsidP="004F74B1">
            <w:r w:rsidRPr="00C00DEC">
              <w:t>Aspartate aminotransferase</w:t>
            </w:r>
          </w:p>
        </w:tc>
      </w:tr>
      <w:tr w:rsidR="002E07DD" w:rsidRPr="00616A3B" w14:paraId="401DBEF5" w14:textId="77777777" w:rsidTr="00AC5B0F">
        <w:tc>
          <w:tcPr>
            <w:tcW w:w="1797" w:type="dxa"/>
          </w:tcPr>
          <w:p w14:paraId="2B2D7BD0" w14:textId="77777777" w:rsidR="002E07DD" w:rsidRPr="00727930" w:rsidRDefault="002E07DD" w:rsidP="004F74B1">
            <w:r w:rsidRPr="00727930">
              <w:t>ARTG</w:t>
            </w:r>
          </w:p>
        </w:tc>
        <w:tc>
          <w:tcPr>
            <w:tcW w:w="6697" w:type="dxa"/>
          </w:tcPr>
          <w:p w14:paraId="0AF3A56B" w14:textId="77777777" w:rsidR="002E07DD" w:rsidRPr="00C00DEC" w:rsidRDefault="002E07DD" w:rsidP="004F74B1">
            <w:r w:rsidRPr="00C00DEC">
              <w:t>Australian Register of Therapeutic Goods</w:t>
            </w:r>
          </w:p>
        </w:tc>
      </w:tr>
      <w:tr w:rsidR="002E07DD" w:rsidRPr="00616A3B" w14:paraId="5997C5FD" w14:textId="77777777" w:rsidTr="00AC5B0F">
        <w:tc>
          <w:tcPr>
            <w:tcW w:w="1797" w:type="dxa"/>
          </w:tcPr>
          <w:p w14:paraId="5033829D" w14:textId="77777777" w:rsidR="002E07DD" w:rsidRPr="00727930" w:rsidRDefault="002E07DD" w:rsidP="004F74B1">
            <w:r w:rsidRPr="00727930">
              <w:t>ATP7B</w:t>
            </w:r>
          </w:p>
        </w:tc>
        <w:tc>
          <w:tcPr>
            <w:tcW w:w="6697" w:type="dxa"/>
          </w:tcPr>
          <w:p w14:paraId="6326910F" w14:textId="77777777" w:rsidR="002E07DD" w:rsidRPr="00C00DEC" w:rsidRDefault="002E07DD" w:rsidP="004F74B1">
            <w:r w:rsidRPr="00C00DEC">
              <w:t>Copper-transporting P-type ATPase 7</w:t>
            </w:r>
          </w:p>
        </w:tc>
      </w:tr>
      <w:tr w:rsidR="002E07DD" w:rsidRPr="00616A3B" w14:paraId="4CE09BDB" w14:textId="77777777" w:rsidTr="00AC5B0F">
        <w:tc>
          <w:tcPr>
            <w:tcW w:w="1797" w:type="dxa"/>
          </w:tcPr>
          <w:p w14:paraId="19C199A3" w14:textId="78750BEE" w:rsidR="002E07DD" w:rsidRPr="00727930" w:rsidRDefault="00157D01" w:rsidP="004F74B1">
            <w:r w:rsidRPr="00727930">
              <w:t>BID</w:t>
            </w:r>
          </w:p>
        </w:tc>
        <w:tc>
          <w:tcPr>
            <w:tcW w:w="6697" w:type="dxa"/>
          </w:tcPr>
          <w:p w14:paraId="332FD3E4" w14:textId="288F37C9" w:rsidR="002E07DD" w:rsidRPr="00727930" w:rsidRDefault="00157D01" w:rsidP="004F74B1">
            <w:r w:rsidRPr="00727930">
              <w:t xml:space="preserve">Twice daily (Latin: </w:t>
            </w:r>
            <w:proofErr w:type="spellStart"/>
            <w:r w:rsidRPr="00727930">
              <w:rPr>
                <w:i/>
              </w:rPr>
              <w:t>bis</w:t>
            </w:r>
            <w:proofErr w:type="spellEnd"/>
            <w:r w:rsidRPr="00727930">
              <w:rPr>
                <w:i/>
              </w:rPr>
              <w:t xml:space="preserve"> in die</w:t>
            </w:r>
            <w:r w:rsidRPr="00727930">
              <w:t>)</w:t>
            </w:r>
          </w:p>
        </w:tc>
      </w:tr>
      <w:tr w:rsidR="006B30A8" w:rsidRPr="00616A3B" w14:paraId="56F8FC34" w14:textId="77777777" w:rsidTr="00AC5B0F">
        <w:tc>
          <w:tcPr>
            <w:tcW w:w="1797" w:type="dxa"/>
          </w:tcPr>
          <w:p w14:paraId="5BA87E8B" w14:textId="4F0B63E7" w:rsidR="006B30A8" w:rsidRPr="00727930" w:rsidRDefault="006B30A8" w:rsidP="004F74B1">
            <w:r w:rsidRPr="00727930">
              <w:t>CHMP</w:t>
            </w:r>
          </w:p>
        </w:tc>
        <w:tc>
          <w:tcPr>
            <w:tcW w:w="6697" w:type="dxa"/>
          </w:tcPr>
          <w:p w14:paraId="6A0B84F8" w14:textId="63C43811" w:rsidR="006B30A8" w:rsidRPr="00727930" w:rsidRDefault="006B30A8" w:rsidP="004F74B1">
            <w:r w:rsidRPr="00727930">
              <w:t>Committee for Medicinal Products for Human Use</w:t>
            </w:r>
            <w:r w:rsidR="00727930">
              <w:t xml:space="preserve"> (European Union)</w:t>
            </w:r>
          </w:p>
        </w:tc>
      </w:tr>
      <w:tr w:rsidR="002E07DD" w:rsidRPr="00616A3B" w14:paraId="1FBBFAA5" w14:textId="77777777" w:rsidTr="00AC5B0F">
        <w:tc>
          <w:tcPr>
            <w:tcW w:w="1797" w:type="dxa"/>
          </w:tcPr>
          <w:p w14:paraId="57EC80CF" w14:textId="77777777" w:rsidR="002E07DD" w:rsidRPr="00727930" w:rsidRDefault="002E07DD" w:rsidP="004F74B1">
            <w:r w:rsidRPr="00727930">
              <w:t>CMI</w:t>
            </w:r>
          </w:p>
        </w:tc>
        <w:tc>
          <w:tcPr>
            <w:tcW w:w="6697" w:type="dxa"/>
          </w:tcPr>
          <w:p w14:paraId="27165B5E" w14:textId="77777777" w:rsidR="002E07DD" w:rsidRPr="00C00DEC" w:rsidRDefault="002E07DD" w:rsidP="004F74B1">
            <w:r w:rsidRPr="00C00DEC">
              <w:t>Consumer Medicines Information</w:t>
            </w:r>
          </w:p>
        </w:tc>
      </w:tr>
      <w:tr w:rsidR="002E07DD" w:rsidRPr="00616A3B" w14:paraId="57645C0E" w14:textId="77777777" w:rsidTr="00AC5B0F">
        <w:tc>
          <w:tcPr>
            <w:tcW w:w="1797" w:type="dxa"/>
          </w:tcPr>
          <w:p w14:paraId="36B0ED32" w14:textId="77777777" w:rsidR="002E07DD" w:rsidRPr="00727930" w:rsidRDefault="002E07DD" w:rsidP="004F74B1">
            <w:r w:rsidRPr="00727930">
              <w:t>DAT</w:t>
            </w:r>
          </w:p>
        </w:tc>
        <w:tc>
          <w:tcPr>
            <w:tcW w:w="6697" w:type="dxa"/>
          </w:tcPr>
          <w:p w14:paraId="3C8863AB" w14:textId="77E2B2EC" w:rsidR="002E07DD" w:rsidRPr="009C4E54" w:rsidRDefault="00E76E64" w:rsidP="004F74B1">
            <w:proofErr w:type="spellStart"/>
            <w:r w:rsidRPr="00C00DEC">
              <w:t>Diacetyl</w:t>
            </w:r>
            <w:proofErr w:type="spellEnd"/>
            <w:r w:rsidRPr="00C00DEC">
              <w:t xml:space="preserve"> trientine</w:t>
            </w:r>
          </w:p>
        </w:tc>
      </w:tr>
      <w:tr w:rsidR="00C908A0" w:rsidRPr="00616A3B" w14:paraId="0A30E505" w14:textId="77777777" w:rsidTr="00AC5B0F">
        <w:tc>
          <w:tcPr>
            <w:tcW w:w="1797" w:type="dxa"/>
          </w:tcPr>
          <w:p w14:paraId="784B6EC7" w14:textId="55537A23" w:rsidR="00C908A0" w:rsidRPr="00727930" w:rsidRDefault="00C908A0" w:rsidP="004F74B1">
            <w:r w:rsidRPr="00727930">
              <w:t>DLP</w:t>
            </w:r>
          </w:p>
        </w:tc>
        <w:tc>
          <w:tcPr>
            <w:tcW w:w="6697" w:type="dxa"/>
          </w:tcPr>
          <w:p w14:paraId="00E5C7DC" w14:textId="5E48054C" w:rsidR="00C908A0" w:rsidRPr="00C00DEC" w:rsidRDefault="00C908A0" w:rsidP="004F74B1">
            <w:r w:rsidRPr="00C00DEC">
              <w:t>Data lock point</w:t>
            </w:r>
          </w:p>
        </w:tc>
      </w:tr>
      <w:tr w:rsidR="002E07DD" w:rsidRPr="00616A3B" w14:paraId="680CFD78" w14:textId="77777777" w:rsidTr="00AC5B0F">
        <w:tc>
          <w:tcPr>
            <w:tcW w:w="1797" w:type="dxa"/>
          </w:tcPr>
          <w:p w14:paraId="533CC996" w14:textId="77777777" w:rsidR="002E07DD" w:rsidRPr="00727930" w:rsidRDefault="002E07DD" w:rsidP="004F74B1">
            <w:r w:rsidRPr="00727930">
              <w:t>EASL</w:t>
            </w:r>
          </w:p>
        </w:tc>
        <w:tc>
          <w:tcPr>
            <w:tcW w:w="6697" w:type="dxa"/>
          </w:tcPr>
          <w:p w14:paraId="5E0E5CDA" w14:textId="77777777" w:rsidR="002E07DD" w:rsidRPr="00C00DEC" w:rsidRDefault="002E07DD" w:rsidP="004F74B1">
            <w:r w:rsidRPr="00C00DEC">
              <w:t>European Association for the Study of the Liver</w:t>
            </w:r>
          </w:p>
        </w:tc>
      </w:tr>
      <w:tr w:rsidR="002E07DD" w:rsidRPr="00616A3B" w14:paraId="0E0F7BC5" w14:textId="77777777" w:rsidTr="00AC5B0F">
        <w:tc>
          <w:tcPr>
            <w:tcW w:w="1797" w:type="dxa"/>
          </w:tcPr>
          <w:p w14:paraId="11CB5D4D" w14:textId="77777777" w:rsidR="002E07DD" w:rsidRPr="00727930" w:rsidRDefault="002E07DD" w:rsidP="004F74B1">
            <w:r w:rsidRPr="00727930">
              <w:t>EMA</w:t>
            </w:r>
          </w:p>
        </w:tc>
        <w:tc>
          <w:tcPr>
            <w:tcW w:w="6697" w:type="dxa"/>
          </w:tcPr>
          <w:p w14:paraId="41C718CE" w14:textId="0F6846D5" w:rsidR="002E07DD" w:rsidRPr="00727930" w:rsidRDefault="002E07DD" w:rsidP="004F74B1">
            <w:r w:rsidRPr="00727930">
              <w:t>European Medicines Agency</w:t>
            </w:r>
            <w:r w:rsidR="00727930">
              <w:t xml:space="preserve"> (European Union)</w:t>
            </w:r>
          </w:p>
        </w:tc>
      </w:tr>
      <w:tr w:rsidR="002E07DD" w:rsidRPr="00616A3B" w14:paraId="0F36F4FE" w14:textId="77777777" w:rsidTr="00AC5B0F">
        <w:tc>
          <w:tcPr>
            <w:tcW w:w="1797" w:type="dxa"/>
          </w:tcPr>
          <w:p w14:paraId="030BDB62" w14:textId="77777777" w:rsidR="002E07DD" w:rsidRPr="00727930" w:rsidRDefault="002E07DD" w:rsidP="004F74B1">
            <w:r w:rsidRPr="00727930">
              <w:t>EPAR</w:t>
            </w:r>
          </w:p>
        </w:tc>
        <w:tc>
          <w:tcPr>
            <w:tcW w:w="6697" w:type="dxa"/>
          </w:tcPr>
          <w:p w14:paraId="78EBF585" w14:textId="4ECFAC69" w:rsidR="002E07DD" w:rsidRPr="00727930" w:rsidRDefault="002E07DD" w:rsidP="004F74B1">
            <w:r w:rsidRPr="00727930">
              <w:t>European public assessment report</w:t>
            </w:r>
          </w:p>
        </w:tc>
      </w:tr>
      <w:tr w:rsidR="00650DA7" w:rsidRPr="00616A3B" w14:paraId="23BF8EC8" w14:textId="77777777" w:rsidTr="00AC5B0F">
        <w:tc>
          <w:tcPr>
            <w:tcW w:w="1797" w:type="dxa"/>
          </w:tcPr>
          <w:p w14:paraId="3910E361" w14:textId="7310DAB7" w:rsidR="00650DA7" w:rsidRPr="00727930" w:rsidRDefault="00650DA7" w:rsidP="004F74B1">
            <w:r w:rsidRPr="00727930">
              <w:t>EPS</w:t>
            </w:r>
          </w:p>
        </w:tc>
        <w:tc>
          <w:tcPr>
            <w:tcW w:w="6697" w:type="dxa"/>
          </w:tcPr>
          <w:p w14:paraId="57EFC0AD" w14:textId="3582702D" w:rsidR="00650DA7" w:rsidRPr="00C00DEC" w:rsidRDefault="00650DA7" w:rsidP="004F74B1">
            <w:r w:rsidRPr="00C00DEC">
              <w:t xml:space="preserve">Elastosis </w:t>
            </w:r>
            <w:proofErr w:type="spellStart"/>
            <w:r w:rsidRPr="00C00DEC">
              <w:t>perfrons</w:t>
            </w:r>
            <w:proofErr w:type="spellEnd"/>
            <w:r w:rsidRPr="00C00DEC">
              <w:t xml:space="preserve"> </w:t>
            </w:r>
            <w:proofErr w:type="spellStart"/>
            <w:r w:rsidRPr="00C00DEC">
              <w:t>serpiginosa</w:t>
            </w:r>
            <w:proofErr w:type="spellEnd"/>
          </w:p>
        </w:tc>
      </w:tr>
      <w:tr w:rsidR="002C0F64" w:rsidRPr="00616A3B" w14:paraId="15E92BC4" w14:textId="77777777" w:rsidTr="00AC5B0F">
        <w:tc>
          <w:tcPr>
            <w:tcW w:w="1797" w:type="dxa"/>
          </w:tcPr>
          <w:p w14:paraId="309A80F6" w14:textId="50227A53" w:rsidR="002C0F64" w:rsidRPr="00727930" w:rsidRDefault="002C0F64" w:rsidP="004F74B1">
            <w:r w:rsidRPr="00727930">
              <w:t>ESPGHN</w:t>
            </w:r>
          </w:p>
        </w:tc>
        <w:tc>
          <w:tcPr>
            <w:tcW w:w="6697" w:type="dxa"/>
          </w:tcPr>
          <w:p w14:paraId="32522F31" w14:textId="2B58879A" w:rsidR="002C0F64" w:rsidRPr="00C00DEC" w:rsidRDefault="002C0F64" w:rsidP="004F74B1">
            <w:r w:rsidRPr="00C00DEC">
              <w:t xml:space="preserve">European Society for Paediatric Gastroenterology, </w:t>
            </w:r>
            <w:proofErr w:type="spellStart"/>
            <w:r w:rsidRPr="00C00DEC">
              <w:t>Hepatology</w:t>
            </w:r>
            <w:proofErr w:type="spellEnd"/>
            <w:r w:rsidRPr="00C00DEC">
              <w:t xml:space="preserve"> and Nutrition</w:t>
            </w:r>
          </w:p>
        </w:tc>
      </w:tr>
      <w:tr w:rsidR="006B30A8" w:rsidRPr="00616A3B" w14:paraId="1472981F" w14:textId="77777777" w:rsidTr="00AC5B0F">
        <w:tc>
          <w:tcPr>
            <w:tcW w:w="1797" w:type="dxa"/>
          </w:tcPr>
          <w:p w14:paraId="7514EE92" w14:textId="447DE583" w:rsidR="006B30A8" w:rsidRPr="00727930" w:rsidRDefault="006B30A8" w:rsidP="004F74B1">
            <w:r w:rsidRPr="00727930">
              <w:t>GVP</w:t>
            </w:r>
          </w:p>
        </w:tc>
        <w:tc>
          <w:tcPr>
            <w:tcW w:w="6697" w:type="dxa"/>
          </w:tcPr>
          <w:p w14:paraId="3F114436" w14:textId="0E0169E3" w:rsidR="006B30A8" w:rsidRPr="00C00DEC" w:rsidRDefault="006B30A8" w:rsidP="004F74B1">
            <w:r w:rsidRPr="00C00DEC">
              <w:t>Good Pharmacovigilance Practices</w:t>
            </w:r>
          </w:p>
        </w:tc>
      </w:tr>
      <w:tr w:rsidR="005819AB" w:rsidRPr="00616A3B" w14:paraId="5F53D4AB" w14:textId="77777777" w:rsidTr="00AC5B0F">
        <w:tc>
          <w:tcPr>
            <w:tcW w:w="1797" w:type="dxa"/>
          </w:tcPr>
          <w:p w14:paraId="1683F6AE" w14:textId="6A0D399D" w:rsidR="005819AB" w:rsidRPr="00727930" w:rsidRDefault="005819AB" w:rsidP="004F74B1">
            <w:r w:rsidRPr="00727930">
              <w:t>ITT</w:t>
            </w:r>
          </w:p>
        </w:tc>
        <w:tc>
          <w:tcPr>
            <w:tcW w:w="6697" w:type="dxa"/>
          </w:tcPr>
          <w:p w14:paraId="5F9B2E80" w14:textId="1ADCC0D1" w:rsidR="005819AB" w:rsidRPr="00C00DEC" w:rsidRDefault="005819AB" w:rsidP="004F74B1">
            <w:r w:rsidRPr="00C00DEC">
              <w:t>Intention to treat</w:t>
            </w:r>
          </w:p>
        </w:tc>
      </w:tr>
      <w:tr w:rsidR="00C80E1E" w:rsidRPr="00616A3B" w14:paraId="5670E3C5" w14:textId="77777777" w:rsidTr="00AC5B0F">
        <w:tc>
          <w:tcPr>
            <w:tcW w:w="1797" w:type="dxa"/>
          </w:tcPr>
          <w:p w14:paraId="73DECF5C" w14:textId="245BBCED" w:rsidR="00C80E1E" w:rsidRPr="00727930" w:rsidRDefault="00C80E1E" w:rsidP="004F74B1">
            <w:r w:rsidRPr="00727930">
              <w:t>IU</w:t>
            </w:r>
          </w:p>
        </w:tc>
        <w:tc>
          <w:tcPr>
            <w:tcW w:w="6697" w:type="dxa"/>
          </w:tcPr>
          <w:p w14:paraId="45C5F5BB" w14:textId="3F12ADAA" w:rsidR="00C80E1E" w:rsidRPr="00C00DEC" w:rsidRDefault="00C80E1E" w:rsidP="004F74B1">
            <w:r w:rsidRPr="00C00DEC">
              <w:t>International units</w:t>
            </w:r>
          </w:p>
        </w:tc>
      </w:tr>
      <w:tr w:rsidR="002E07DD" w:rsidRPr="00616A3B" w14:paraId="5B54230B" w14:textId="77777777" w:rsidTr="00AC5B0F">
        <w:tc>
          <w:tcPr>
            <w:tcW w:w="1797" w:type="dxa"/>
          </w:tcPr>
          <w:p w14:paraId="1452CD6F" w14:textId="16C09F4A" w:rsidR="002E07DD" w:rsidRPr="00727930" w:rsidRDefault="00EC0612" w:rsidP="004F74B1">
            <w:r w:rsidRPr="00727930">
              <w:t>KF</w:t>
            </w:r>
          </w:p>
        </w:tc>
        <w:tc>
          <w:tcPr>
            <w:tcW w:w="6697" w:type="dxa"/>
          </w:tcPr>
          <w:p w14:paraId="479FDFA9" w14:textId="0F1333A7" w:rsidR="002E07DD" w:rsidRPr="009C4E54" w:rsidRDefault="00EC0612" w:rsidP="004F74B1">
            <w:proofErr w:type="spellStart"/>
            <w:r w:rsidRPr="00C00DEC">
              <w:t>Kayser</w:t>
            </w:r>
            <w:proofErr w:type="spellEnd"/>
            <w:r w:rsidRPr="00C00DEC">
              <w:t>-Fleischer</w:t>
            </w:r>
          </w:p>
        </w:tc>
      </w:tr>
      <w:tr w:rsidR="00250E7C" w:rsidRPr="00616A3B" w14:paraId="724CA257" w14:textId="77777777" w:rsidTr="00AC5B0F">
        <w:tc>
          <w:tcPr>
            <w:tcW w:w="1797" w:type="dxa"/>
          </w:tcPr>
          <w:p w14:paraId="35A0E2E4" w14:textId="0E8567BF" w:rsidR="00250E7C" w:rsidRPr="00727930" w:rsidRDefault="00250E7C" w:rsidP="004F74B1">
            <w:r w:rsidRPr="00727930">
              <w:t>MAT</w:t>
            </w:r>
          </w:p>
        </w:tc>
        <w:tc>
          <w:tcPr>
            <w:tcW w:w="6697" w:type="dxa"/>
          </w:tcPr>
          <w:p w14:paraId="782D0603" w14:textId="50F8D604" w:rsidR="00250E7C" w:rsidRPr="009C4E54" w:rsidRDefault="00250E7C" w:rsidP="004F74B1">
            <w:proofErr w:type="spellStart"/>
            <w:r w:rsidRPr="00C00DEC">
              <w:t>Monoace</w:t>
            </w:r>
            <w:r w:rsidRPr="009C4E54">
              <w:t>tyl</w:t>
            </w:r>
            <w:proofErr w:type="spellEnd"/>
            <w:r w:rsidRPr="009C4E54">
              <w:t xml:space="preserve"> trientine</w:t>
            </w:r>
          </w:p>
        </w:tc>
      </w:tr>
      <w:tr w:rsidR="002E07DD" w:rsidRPr="00616A3B" w14:paraId="5522D504" w14:textId="77777777" w:rsidTr="00AC5B0F">
        <w:tc>
          <w:tcPr>
            <w:tcW w:w="1797" w:type="dxa"/>
          </w:tcPr>
          <w:p w14:paraId="2399BD02" w14:textId="109F90AE" w:rsidR="002E07DD" w:rsidRPr="00727930" w:rsidRDefault="00915BF0" w:rsidP="004F74B1">
            <w:proofErr w:type="spellStart"/>
            <w:r w:rsidRPr="00727930">
              <w:t>n.s</w:t>
            </w:r>
            <w:proofErr w:type="spellEnd"/>
            <w:r w:rsidRPr="00727930">
              <w:t>.</w:t>
            </w:r>
          </w:p>
        </w:tc>
        <w:tc>
          <w:tcPr>
            <w:tcW w:w="6697" w:type="dxa"/>
          </w:tcPr>
          <w:p w14:paraId="5BF4B078" w14:textId="1F08E34B" w:rsidR="002E07DD" w:rsidRPr="009C4E54" w:rsidRDefault="00915BF0" w:rsidP="004F74B1">
            <w:r w:rsidRPr="00C00DEC">
              <w:t>Non-significant</w:t>
            </w:r>
          </w:p>
        </w:tc>
      </w:tr>
      <w:tr w:rsidR="002E07DD" w:rsidRPr="00616A3B" w14:paraId="4429A036" w14:textId="77777777" w:rsidTr="00AC5B0F">
        <w:tc>
          <w:tcPr>
            <w:tcW w:w="1797" w:type="dxa"/>
          </w:tcPr>
          <w:p w14:paraId="4F362412" w14:textId="77777777" w:rsidR="002E07DD" w:rsidRPr="00727930" w:rsidRDefault="002E07DD" w:rsidP="004F74B1">
            <w:r w:rsidRPr="00727930">
              <w:t>PD</w:t>
            </w:r>
          </w:p>
        </w:tc>
        <w:tc>
          <w:tcPr>
            <w:tcW w:w="6697" w:type="dxa"/>
          </w:tcPr>
          <w:p w14:paraId="6B129D4E" w14:textId="55026890" w:rsidR="002E07DD" w:rsidRPr="00727930" w:rsidRDefault="00052E1C" w:rsidP="004F74B1">
            <w:r w:rsidRPr="00727930">
              <w:t>Pharmacodynamic</w:t>
            </w:r>
            <w:r w:rsidR="00727930">
              <w:t>(s)</w:t>
            </w:r>
          </w:p>
        </w:tc>
      </w:tr>
      <w:tr w:rsidR="002E07DD" w:rsidRPr="00616A3B" w14:paraId="3C3430A7" w14:textId="77777777" w:rsidTr="00AC5B0F">
        <w:tc>
          <w:tcPr>
            <w:tcW w:w="1797" w:type="dxa"/>
          </w:tcPr>
          <w:p w14:paraId="0BF42098" w14:textId="77777777" w:rsidR="002E07DD" w:rsidRPr="00727930" w:rsidRDefault="002E07DD" w:rsidP="004F74B1">
            <w:r w:rsidRPr="00727930">
              <w:t>PI</w:t>
            </w:r>
          </w:p>
        </w:tc>
        <w:tc>
          <w:tcPr>
            <w:tcW w:w="6697" w:type="dxa"/>
          </w:tcPr>
          <w:p w14:paraId="2F932D0E" w14:textId="0752817D" w:rsidR="002E07DD" w:rsidRPr="00727930" w:rsidRDefault="002E07DD" w:rsidP="004F74B1">
            <w:r w:rsidRPr="00727930">
              <w:t xml:space="preserve">Product </w:t>
            </w:r>
            <w:r w:rsidR="00613FE7" w:rsidRPr="00727930">
              <w:t>Information</w:t>
            </w:r>
          </w:p>
        </w:tc>
      </w:tr>
      <w:tr w:rsidR="002E07DD" w:rsidRPr="00616A3B" w14:paraId="5E58D56C" w14:textId="77777777" w:rsidTr="00AC5B0F">
        <w:tc>
          <w:tcPr>
            <w:tcW w:w="1797" w:type="dxa"/>
          </w:tcPr>
          <w:p w14:paraId="393B43D8" w14:textId="77777777" w:rsidR="002E07DD" w:rsidRPr="00727930" w:rsidRDefault="002E07DD" w:rsidP="004F74B1">
            <w:r w:rsidRPr="00727930">
              <w:t>PK</w:t>
            </w:r>
          </w:p>
        </w:tc>
        <w:tc>
          <w:tcPr>
            <w:tcW w:w="6697" w:type="dxa"/>
          </w:tcPr>
          <w:p w14:paraId="31A692C1" w14:textId="3C56F684" w:rsidR="002E07DD" w:rsidRPr="00727930" w:rsidRDefault="002E07DD" w:rsidP="004F74B1">
            <w:r w:rsidRPr="00727930">
              <w:t>Ph</w:t>
            </w:r>
            <w:r w:rsidR="00052E1C" w:rsidRPr="00727930">
              <w:t>armacokinetic</w:t>
            </w:r>
            <w:r w:rsidR="00727930">
              <w:t>(s)</w:t>
            </w:r>
          </w:p>
        </w:tc>
      </w:tr>
      <w:tr w:rsidR="00E90966" w:rsidRPr="00616A3B" w14:paraId="04189388" w14:textId="77777777" w:rsidTr="00AC5B0F">
        <w:tc>
          <w:tcPr>
            <w:tcW w:w="1797" w:type="dxa"/>
          </w:tcPr>
          <w:p w14:paraId="26690F65" w14:textId="03B52E0E" w:rsidR="00E90966" w:rsidRPr="00727930" w:rsidRDefault="00E90966" w:rsidP="004F74B1">
            <w:r w:rsidRPr="00727930">
              <w:t>PSUR</w:t>
            </w:r>
          </w:p>
        </w:tc>
        <w:tc>
          <w:tcPr>
            <w:tcW w:w="6697" w:type="dxa"/>
          </w:tcPr>
          <w:p w14:paraId="278067BD" w14:textId="0B051184" w:rsidR="00E90966" w:rsidRPr="00727930" w:rsidRDefault="00E90966" w:rsidP="004F74B1">
            <w:r w:rsidRPr="00727930">
              <w:t>Periodic safety update report</w:t>
            </w:r>
          </w:p>
        </w:tc>
      </w:tr>
      <w:tr w:rsidR="00C908A0" w:rsidRPr="00616A3B" w14:paraId="4EEFFB1E" w14:textId="77777777" w:rsidTr="00AC5B0F">
        <w:tc>
          <w:tcPr>
            <w:tcW w:w="1797" w:type="dxa"/>
          </w:tcPr>
          <w:p w14:paraId="2F55E466" w14:textId="6808FE1B" w:rsidR="00C908A0" w:rsidRPr="00727930" w:rsidRDefault="00C908A0" w:rsidP="004F74B1">
            <w:r w:rsidRPr="00727930">
              <w:t>RMP</w:t>
            </w:r>
          </w:p>
        </w:tc>
        <w:tc>
          <w:tcPr>
            <w:tcW w:w="6697" w:type="dxa"/>
          </w:tcPr>
          <w:p w14:paraId="0D27E7B0" w14:textId="26CEB82F" w:rsidR="00C908A0" w:rsidRPr="00727930" w:rsidRDefault="00C908A0" w:rsidP="004F74B1">
            <w:r w:rsidRPr="00727930">
              <w:t>Risk management plan</w:t>
            </w:r>
          </w:p>
        </w:tc>
      </w:tr>
      <w:tr w:rsidR="002E07DD" w:rsidRPr="00616A3B" w14:paraId="4A8D4C9A" w14:textId="77777777" w:rsidTr="00AC5B0F">
        <w:tc>
          <w:tcPr>
            <w:tcW w:w="1797" w:type="dxa"/>
          </w:tcPr>
          <w:p w14:paraId="454A1F35" w14:textId="77777777" w:rsidR="002E07DD" w:rsidRPr="00727930" w:rsidRDefault="002E07DD" w:rsidP="004F74B1">
            <w:r w:rsidRPr="00727930">
              <w:t>SAS</w:t>
            </w:r>
          </w:p>
        </w:tc>
        <w:tc>
          <w:tcPr>
            <w:tcW w:w="6697" w:type="dxa"/>
          </w:tcPr>
          <w:p w14:paraId="479C198F" w14:textId="75C595FA" w:rsidR="002E07DD" w:rsidRPr="00727930" w:rsidRDefault="002E07DD" w:rsidP="004F74B1">
            <w:r w:rsidRPr="00727930">
              <w:t>Special</w:t>
            </w:r>
            <w:r w:rsidR="00C908A0" w:rsidRPr="00727930">
              <w:t xml:space="preserve"> </w:t>
            </w:r>
            <w:r w:rsidR="00727930">
              <w:t>A</w:t>
            </w:r>
            <w:r w:rsidR="00C908A0" w:rsidRPr="00727930">
              <w:t xml:space="preserve">ccess </w:t>
            </w:r>
            <w:r w:rsidR="00727930">
              <w:t>S</w:t>
            </w:r>
            <w:r w:rsidR="00C908A0" w:rsidRPr="00727930">
              <w:t>cheme</w:t>
            </w:r>
          </w:p>
        </w:tc>
      </w:tr>
      <w:tr w:rsidR="002E07DD" w:rsidRPr="00616A3B" w14:paraId="65882FBF" w14:textId="77777777" w:rsidTr="00AC5B0F">
        <w:tc>
          <w:tcPr>
            <w:tcW w:w="1797" w:type="dxa"/>
          </w:tcPr>
          <w:p w14:paraId="29C09EFE" w14:textId="77777777" w:rsidR="002E07DD" w:rsidRPr="00727930" w:rsidRDefault="002E07DD" w:rsidP="004F74B1">
            <w:r w:rsidRPr="00727930">
              <w:t>SAE</w:t>
            </w:r>
          </w:p>
        </w:tc>
        <w:tc>
          <w:tcPr>
            <w:tcW w:w="6697" w:type="dxa"/>
          </w:tcPr>
          <w:p w14:paraId="5DA03117" w14:textId="77777777" w:rsidR="002E07DD" w:rsidRPr="00727930" w:rsidRDefault="002E07DD" w:rsidP="004F74B1">
            <w:r w:rsidRPr="00727930">
              <w:t>Serious adverse event</w:t>
            </w:r>
          </w:p>
        </w:tc>
      </w:tr>
      <w:tr w:rsidR="005241A0" w:rsidRPr="00616A3B" w14:paraId="2C31C043" w14:textId="77777777" w:rsidTr="00AC5B0F">
        <w:tc>
          <w:tcPr>
            <w:tcW w:w="1797" w:type="dxa"/>
          </w:tcPr>
          <w:p w14:paraId="16330C39" w14:textId="5EE402C7" w:rsidR="005241A0" w:rsidRPr="00727930" w:rsidRDefault="005241A0" w:rsidP="004F74B1">
            <w:r w:rsidRPr="00727930">
              <w:t>SD</w:t>
            </w:r>
          </w:p>
        </w:tc>
        <w:tc>
          <w:tcPr>
            <w:tcW w:w="6697" w:type="dxa"/>
          </w:tcPr>
          <w:p w14:paraId="3F68A293" w14:textId="7972CE81" w:rsidR="005241A0" w:rsidRPr="00727930" w:rsidRDefault="005241A0" w:rsidP="004F74B1">
            <w:r w:rsidRPr="00727930">
              <w:t>Standard deviation</w:t>
            </w:r>
          </w:p>
        </w:tc>
      </w:tr>
      <w:tr w:rsidR="002E07DD" w:rsidRPr="00616A3B" w14:paraId="3F3C7683" w14:textId="77777777" w:rsidTr="00AC5B0F">
        <w:tc>
          <w:tcPr>
            <w:tcW w:w="1797" w:type="dxa"/>
          </w:tcPr>
          <w:p w14:paraId="00F138AA" w14:textId="5507EAF5" w:rsidR="002E07DD" w:rsidRPr="00727930" w:rsidRDefault="004B4562" w:rsidP="004F74B1">
            <w:r w:rsidRPr="00727930">
              <w:t>SSAT</w:t>
            </w:r>
          </w:p>
        </w:tc>
        <w:tc>
          <w:tcPr>
            <w:tcW w:w="6697" w:type="dxa"/>
          </w:tcPr>
          <w:p w14:paraId="41178B01" w14:textId="51E03BC9" w:rsidR="002E07DD" w:rsidRPr="00727930" w:rsidRDefault="002E07DD" w:rsidP="004F74B1">
            <w:r w:rsidRPr="00727930">
              <w:t>Spermidine</w:t>
            </w:r>
            <w:r w:rsidR="004B4562" w:rsidRPr="00727930">
              <w:t>/</w:t>
            </w:r>
            <w:proofErr w:type="spellStart"/>
            <w:r w:rsidR="004B4562" w:rsidRPr="00727930">
              <w:t>spermine</w:t>
            </w:r>
            <w:proofErr w:type="spellEnd"/>
            <w:r w:rsidR="004B4562" w:rsidRPr="00727930">
              <w:t xml:space="preserve"> N1-acetyltransferase</w:t>
            </w:r>
          </w:p>
        </w:tc>
      </w:tr>
      <w:tr w:rsidR="002C1222" w:rsidRPr="00616A3B" w14:paraId="3E15EBEA" w14:textId="77777777" w:rsidTr="00AC5B0F">
        <w:tc>
          <w:tcPr>
            <w:tcW w:w="1797" w:type="dxa"/>
          </w:tcPr>
          <w:p w14:paraId="39F924A0" w14:textId="7F82F6EE" w:rsidR="002C1222" w:rsidRPr="00727930" w:rsidRDefault="002C1222" w:rsidP="004F74B1">
            <w:r w:rsidRPr="00727930">
              <w:t>TDS</w:t>
            </w:r>
          </w:p>
        </w:tc>
        <w:tc>
          <w:tcPr>
            <w:tcW w:w="6697" w:type="dxa"/>
          </w:tcPr>
          <w:p w14:paraId="25FEE14C" w14:textId="1CB9B4D4" w:rsidR="002C1222" w:rsidRPr="00727930" w:rsidRDefault="002C1222" w:rsidP="004F74B1">
            <w:r w:rsidRPr="00727930">
              <w:t xml:space="preserve">Three times a day (Latin: </w:t>
            </w:r>
            <w:proofErr w:type="spellStart"/>
            <w:r w:rsidRPr="00727930">
              <w:rPr>
                <w:i/>
              </w:rPr>
              <w:t>ter</w:t>
            </w:r>
            <w:proofErr w:type="spellEnd"/>
            <w:r w:rsidRPr="00727930">
              <w:rPr>
                <w:i/>
              </w:rPr>
              <w:t xml:space="preserve"> die </w:t>
            </w:r>
            <w:proofErr w:type="spellStart"/>
            <w:r w:rsidRPr="00727930">
              <w:rPr>
                <w:i/>
              </w:rPr>
              <w:t>sumendus</w:t>
            </w:r>
            <w:proofErr w:type="spellEnd"/>
            <w:r w:rsidRPr="00727930">
              <w:t>)</w:t>
            </w:r>
          </w:p>
        </w:tc>
      </w:tr>
      <w:tr w:rsidR="002E07DD" w:rsidRPr="00616A3B" w14:paraId="05D09F2C" w14:textId="77777777" w:rsidTr="00AC5B0F">
        <w:tc>
          <w:tcPr>
            <w:tcW w:w="1797" w:type="dxa"/>
          </w:tcPr>
          <w:p w14:paraId="70206C5E" w14:textId="77777777" w:rsidR="002E07DD" w:rsidRPr="00727930" w:rsidRDefault="002E07DD" w:rsidP="004F74B1">
            <w:r w:rsidRPr="00727930">
              <w:t>TEAE</w:t>
            </w:r>
          </w:p>
        </w:tc>
        <w:tc>
          <w:tcPr>
            <w:tcW w:w="6697" w:type="dxa"/>
          </w:tcPr>
          <w:p w14:paraId="26EA4E75" w14:textId="2C233BE9" w:rsidR="002E07DD" w:rsidRPr="00727930" w:rsidRDefault="002E07DD" w:rsidP="004F74B1">
            <w:r w:rsidRPr="00727930">
              <w:t>T</w:t>
            </w:r>
            <w:r w:rsidR="00D7125C" w:rsidRPr="00727930">
              <w:t>reatment emergent adverse event</w:t>
            </w:r>
          </w:p>
        </w:tc>
      </w:tr>
      <w:tr w:rsidR="002E07DD" w:rsidRPr="00616A3B" w14:paraId="2D7854F1" w14:textId="77777777" w:rsidTr="00AC5B0F">
        <w:tc>
          <w:tcPr>
            <w:tcW w:w="1797" w:type="dxa"/>
          </w:tcPr>
          <w:p w14:paraId="1DCB8A90" w14:textId="77777777" w:rsidR="002E07DD" w:rsidRPr="00727930" w:rsidRDefault="002E07DD" w:rsidP="004F74B1">
            <w:r w:rsidRPr="00727930">
              <w:t>TGA</w:t>
            </w:r>
          </w:p>
        </w:tc>
        <w:tc>
          <w:tcPr>
            <w:tcW w:w="6697" w:type="dxa"/>
          </w:tcPr>
          <w:p w14:paraId="248F6DE9" w14:textId="77777777" w:rsidR="002E07DD" w:rsidRPr="00727930" w:rsidRDefault="002E07DD" w:rsidP="004F74B1">
            <w:r w:rsidRPr="00727930">
              <w:t>Therapeutic Goods Administration</w:t>
            </w:r>
          </w:p>
        </w:tc>
      </w:tr>
      <w:tr w:rsidR="002E07DD" w:rsidRPr="00616A3B" w14:paraId="27C837FC" w14:textId="77777777" w:rsidTr="00AC5B0F">
        <w:tc>
          <w:tcPr>
            <w:tcW w:w="1797" w:type="dxa"/>
          </w:tcPr>
          <w:p w14:paraId="7C5F7E75" w14:textId="77777777" w:rsidR="002E07DD" w:rsidRPr="004F74B1" w:rsidRDefault="002E07DD" w:rsidP="004F74B1">
            <w:proofErr w:type="spellStart"/>
            <w:r w:rsidRPr="00727930">
              <w:t>T</w:t>
            </w:r>
            <w:r w:rsidRPr="00E26526">
              <w:rPr>
                <w:vertAlign w:val="subscript"/>
              </w:rPr>
              <w:t>max</w:t>
            </w:r>
            <w:proofErr w:type="spellEnd"/>
          </w:p>
        </w:tc>
        <w:tc>
          <w:tcPr>
            <w:tcW w:w="6697" w:type="dxa"/>
          </w:tcPr>
          <w:p w14:paraId="768357B2" w14:textId="77777777" w:rsidR="002E07DD" w:rsidRPr="00727930" w:rsidRDefault="002E07DD" w:rsidP="004F74B1">
            <w:r w:rsidRPr="00727930">
              <w:t>Time at maximum concentration</w:t>
            </w:r>
          </w:p>
        </w:tc>
      </w:tr>
      <w:tr w:rsidR="004766FA" w:rsidRPr="00616A3B" w14:paraId="562FA6B4" w14:textId="77777777" w:rsidTr="00AC5B0F">
        <w:tc>
          <w:tcPr>
            <w:tcW w:w="1797" w:type="dxa"/>
          </w:tcPr>
          <w:p w14:paraId="2EF34E24" w14:textId="6EEAC6BF" w:rsidR="004766FA" w:rsidRPr="00727930" w:rsidRDefault="004766FA" w:rsidP="004F74B1">
            <w:r w:rsidRPr="00727930">
              <w:t>UK</w:t>
            </w:r>
          </w:p>
        </w:tc>
        <w:tc>
          <w:tcPr>
            <w:tcW w:w="6697" w:type="dxa"/>
          </w:tcPr>
          <w:p w14:paraId="47099897" w14:textId="2B5C8B40" w:rsidR="004766FA" w:rsidRPr="00727930" w:rsidRDefault="004766FA" w:rsidP="004F74B1">
            <w:r w:rsidRPr="00727930">
              <w:t>United Kingdom</w:t>
            </w:r>
          </w:p>
        </w:tc>
      </w:tr>
      <w:tr w:rsidR="002E07DD" w:rsidRPr="00616A3B" w14:paraId="6C4A11D6" w14:textId="77777777" w:rsidTr="00AC5B0F">
        <w:tc>
          <w:tcPr>
            <w:tcW w:w="1797" w:type="dxa"/>
          </w:tcPr>
          <w:p w14:paraId="47187CD0" w14:textId="76FDB6A4" w:rsidR="002E07DD" w:rsidRPr="00727930" w:rsidRDefault="004766FA" w:rsidP="004F74B1">
            <w:r w:rsidRPr="00727930">
              <w:t>USA</w:t>
            </w:r>
          </w:p>
        </w:tc>
        <w:tc>
          <w:tcPr>
            <w:tcW w:w="6697" w:type="dxa"/>
          </w:tcPr>
          <w:p w14:paraId="11790F3B" w14:textId="77777777" w:rsidR="002E07DD" w:rsidRPr="00727930" w:rsidRDefault="002E07DD" w:rsidP="004F74B1">
            <w:r w:rsidRPr="00727930">
              <w:t>United States of America</w:t>
            </w:r>
          </w:p>
        </w:tc>
      </w:tr>
      <w:tr w:rsidR="006C7E21" w:rsidRPr="00616A3B" w14:paraId="26E94FDB" w14:textId="77777777" w:rsidTr="00AC5B0F">
        <w:tc>
          <w:tcPr>
            <w:tcW w:w="1797" w:type="dxa"/>
          </w:tcPr>
          <w:p w14:paraId="411C5231" w14:textId="59360866" w:rsidR="006C7E21" w:rsidRPr="00727930" w:rsidRDefault="006C7E21" w:rsidP="004F74B1">
            <w:r>
              <w:t>USP</w:t>
            </w:r>
          </w:p>
        </w:tc>
        <w:tc>
          <w:tcPr>
            <w:tcW w:w="6697" w:type="dxa"/>
          </w:tcPr>
          <w:p w14:paraId="7689FE2F" w14:textId="3799E3C3" w:rsidR="006C7E21" w:rsidRPr="00727930" w:rsidRDefault="006C7E21" w:rsidP="004F74B1">
            <w:r w:rsidRPr="006C7E21">
              <w:t>United States Pharmacopeia</w:t>
            </w:r>
          </w:p>
        </w:tc>
      </w:tr>
      <w:tr w:rsidR="00DB44F5" w:rsidRPr="00616A3B" w14:paraId="36C65CB8" w14:textId="77777777" w:rsidTr="00AC5B0F">
        <w:tc>
          <w:tcPr>
            <w:tcW w:w="1797" w:type="dxa"/>
          </w:tcPr>
          <w:p w14:paraId="49B93F79" w14:textId="5E9C22A2" w:rsidR="00DB44F5" w:rsidRPr="00727930" w:rsidRDefault="00DB44F5" w:rsidP="004F74B1">
            <w:r w:rsidRPr="00727930">
              <w:t>UWDRS</w:t>
            </w:r>
          </w:p>
        </w:tc>
        <w:tc>
          <w:tcPr>
            <w:tcW w:w="6697" w:type="dxa"/>
          </w:tcPr>
          <w:p w14:paraId="62C4E65D" w14:textId="4A7D582A" w:rsidR="00DB44F5" w:rsidRPr="00727930" w:rsidRDefault="00DB44F5" w:rsidP="004F74B1">
            <w:r w:rsidRPr="00727930">
              <w:t>Unified Wilson’s Disease Rating Scale</w:t>
            </w:r>
          </w:p>
        </w:tc>
      </w:tr>
      <w:tr w:rsidR="002E07DD" w:rsidRPr="00616A3B" w14:paraId="5A431D49" w14:textId="77777777" w:rsidTr="00AC5B0F">
        <w:tc>
          <w:tcPr>
            <w:tcW w:w="1797" w:type="dxa"/>
          </w:tcPr>
          <w:p w14:paraId="3AA800F2" w14:textId="77777777" w:rsidR="002E07DD" w:rsidRPr="00727930" w:rsidRDefault="002E07DD" w:rsidP="004F74B1">
            <w:r w:rsidRPr="00727930">
              <w:t>WD</w:t>
            </w:r>
          </w:p>
        </w:tc>
        <w:tc>
          <w:tcPr>
            <w:tcW w:w="6697" w:type="dxa"/>
          </w:tcPr>
          <w:p w14:paraId="5A3910B7" w14:textId="244ECDBF" w:rsidR="002E07DD" w:rsidRPr="00727930" w:rsidRDefault="004766FA" w:rsidP="004F74B1">
            <w:r w:rsidRPr="00727930">
              <w:t>Wilson’s disease</w:t>
            </w:r>
          </w:p>
        </w:tc>
      </w:tr>
    </w:tbl>
    <w:p w14:paraId="5AC2C2F5" w14:textId="77777777" w:rsidR="00FD119B" w:rsidRPr="00616A3B" w:rsidRDefault="00FD119B" w:rsidP="00FD119B"/>
    <w:p w14:paraId="7CBE2537" w14:textId="77777777" w:rsidR="00FD119B" w:rsidRPr="00616A3B" w:rsidRDefault="00FD119B" w:rsidP="00FD119B">
      <w:pPr>
        <w:spacing w:before="0" w:after="200" w:line="0" w:lineRule="auto"/>
        <w:rPr>
          <w:b/>
          <w:i/>
          <w:sz w:val="24"/>
          <w:szCs w:val="24"/>
        </w:rPr>
      </w:pPr>
      <w:r w:rsidRPr="00616A3B">
        <w:rPr>
          <w:b/>
          <w:i/>
          <w:sz w:val="24"/>
          <w:szCs w:val="24"/>
        </w:rPr>
        <w:br w:type="page"/>
      </w:r>
      <w:bookmarkStart w:id="8" w:name="_GoBack"/>
      <w:bookmarkEnd w:id="8"/>
    </w:p>
    <w:p w14:paraId="25A6A49F" w14:textId="77777777" w:rsidR="008E7846" w:rsidRPr="00616A3B" w:rsidRDefault="00F53C07" w:rsidP="008E7846">
      <w:pPr>
        <w:pStyle w:val="Heading2"/>
      </w:pPr>
      <w:bookmarkStart w:id="9" w:name="_Toc70931343"/>
      <w:r w:rsidRPr="00616A3B">
        <w:t>I.</w:t>
      </w:r>
      <w:r w:rsidR="008E7846" w:rsidRPr="00616A3B">
        <w:t xml:space="preserve"> Introduction to product submission</w:t>
      </w:r>
      <w:bookmarkEnd w:id="9"/>
      <w:bookmarkEnd w:id="0"/>
      <w:bookmarkEnd w:id="2"/>
    </w:p>
    <w:p w14:paraId="05062223" w14:textId="77777777" w:rsidR="008E7846" w:rsidRPr="00616A3B" w:rsidRDefault="008E7846" w:rsidP="008E7846">
      <w:pPr>
        <w:pStyle w:val="Heading3"/>
        <w:rPr>
          <w:lang w:eastAsia="en-AU"/>
        </w:rPr>
      </w:pPr>
      <w:bookmarkStart w:id="10" w:name="_Toc247691502"/>
      <w:bookmarkStart w:id="11" w:name="_Toc314842483"/>
      <w:bookmarkStart w:id="12" w:name="_Toc70931344"/>
      <w:r w:rsidRPr="00616A3B">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616A3B" w14:paraId="33473E72" w14:textId="77777777" w:rsidTr="003735BC">
        <w:tc>
          <w:tcPr>
            <w:tcW w:w="2907" w:type="dxa"/>
          </w:tcPr>
          <w:p w14:paraId="575838EF" w14:textId="77777777" w:rsidR="008E7846" w:rsidRPr="00616A3B" w:rsidRDefault="001B5C90" w:rsidP="001B5C90">
            <w:pPr>
              <w:rPr>
                <w:i/>
              </w:rPr>
            </w:pPr>
            <w:r w:rsidRPr="00616A3B">
              <w:rPr>
                <w:i/>
              </w:rPr>
              <w:t>Type of s</w:t>
            </w:r>
            <w:r w:rsidR="008E7846" w:rsidRPr="00616A3B">
              <w:rPr>
                <w:i/>
              </w:rPr>
              <w:t>ubmission</w:t>
            </w:r>
            <w:r w:rsidRPr="00616A3B">
              <w:rPr>
                <w:i/>
              </w:rPr>
              <w:t>:</w:t>
            </w:r>
          </w:p>
        </w:tc>
        <w:tc>
          <w:tcPr>
            <w:tcW w:w="6307" w:type="dxa"/>
          </w:tcPr>
          <w:p w14:paraId="6E8D06B5" w14:textId="77777777" w:rsidR="008E7846" w:rsidRPr="00616A3B" w:rsidRDefault="008E7846" w:rsidP="002E07DD">
            <w:r w:rsidRPr="00616A3B">
              <w:t xml:space="preserve">New </w:t>
            </w:r>
            <w:r w:rsidR="001B5C90" w:rsidRPr="00616A3B">
              <w:t>c</w:t>
            </w:r>
            <w:r w:rsidRPr="00616A3B">
              <w:t xml:space="preserve">hemical </w:t>
            </w:r>
            <w:r w:rsidR="001B5C90" w:rsidRPr="00616A3B">
              <w:t>e</w:t>
            </w:r>
            <w:r w:rsidR="002E07DD" w:rsidRPr="00616A3B">
              <w:t>ntity</w:t>
            </w:r>
          </w:p>
        </w:tc>
      </w:tr>
      <w:tr w:rsidR="00460036" w:rsidRPr="00616A3B" w14:paraId="1DB34F6A" w14:textId="77777777" w:rsidTr="003735BC">
        <w:tc>
          <w:tcPr>
            <w:tcW w:w="2907" w:type="dxa"/>
          </w:tcPr>
          <w:p w14:paraId="4F337C72" w14:textId="77777777" w:rsidR="00460036" w:rsidRPr="00616A3B" w:rsidRDefault="00460036" w:rsidP="002E07DD">
            <w:pPr>
              <w:rPr>
                <w:i/>
              </w:rPr>
            </w:pPr>
            <w:r w:rsidRPr="00616A3B">
              <w:rPr>
                <w:i/>
              </w:rPr>
              <w:t>Product name:</w:t>
            </w:r>
          </w:p>
        </w:tc>
        <w:tc>
          <w:tcPr>
            <w:tcW w:w="6307" w:type="dxa"/>
          </w:tcPr>
          <w:p w14:paraId="053A03E0" w14:textId="77777777" w:rsidR="00460036" w:rsidRPr="00616A3B" w:rsidRDefault="002E07DD" w:rsidP="001B5C90">
            <w:r w:rsidRPr="00616A3B">
              <w:t>Trientine Waymade</w:t>
            </w:r>
          </w:p>
        </w:tc>
      </w:tr>
      <w:tr w:rsidR="00460036" w:rsidRPr="00616A3B" w14:paraId="53A25533" w14:textId="77777777" w:rsidTr="003735BC">
        <w:tc>
          <w:tcPr>
            <w:tcW w:w="2907" w:type="dxa"/>
          </w:tcPr>
          <w:p w14:paraId="02FA6157" w14:textId="77777777" w:rsidR="00460036" w:rsidRPr="00616A3B" w:rsidRDefault="00460036" w:rsidP="002E07DD">
            <w:pPr>
              <w:rPr>
                <w:i/>
              </w:rPr>
            </w:pPr>
            <w:r w:rsidRPr="00616A3B">
              <w:rPr>
                <w:i/>
              </w:rPr>
              <w:t>Active ingredient:</w:t>
            </w:r>
          </w:p>
        </w:tc>
        <w:tc>
          <w:tcPr>
            <w:tcW w:w="6307" w:type="dxa"/>
          </w:tcPr>
          <w:p w14:paraId="5A74F330" w14:textId="77777777" w:rsidR="00460036" w:rsidRPr="00616A3B" w:rsidRDefault="002E07DD" w:rsidP="001B5C90">
            <w:r w:rsidRPr="00616A3B">
              <w:t>Trientine dihydrochloride</w:t>
            </w:r>
          </w:p>
        </w:tc>
      </w:tr>
      <w:tr w:rsidR="008E7846" w:rsidRPr="00616A3B" w14:paraId="2C368354" w14:textId="77777777" w:rsidTr="003735BC">
        <w:tc>
          <w:tcPr>
            <w:tcW w:w="2907" w:type="dxa"/>
          </w:tcPr>
          <w:p w14:paraId="15AB716D" w14:textId="77777777" w:rsidR="008E7846" w:rsidRPr="00616A3B" w:rsidRDefault="008E7846" w:rsidP="003D1E62">
            <w:r w:rsidRPr="00616A3B">
              <w:rPr>
                <w:i/>
              </w:rPr>
              <w:t>Decision</w:t>
            </w:r>
            <w:r w:rsidRPr="00616A3B">
              <w:t>:</w:t>
            </w:r>
          </w:p>
        </w:tc>
        <w:tc>
          <w:tcPr>
            <w:tcW w:w="6307" w:type="dxa"/>
          </w:tcPr>
          <w:p w14:paraId="6D2B2BA6" w14:textId="77777777" w:rsidR="008E7846" w:rsidRPr="00616A3B" w:rsidRDefault="002E07DD" w:rsidP="002E07DD">
            <w:r w:rsidRPr="00616A3B">
              <w:t>Approved</w:t>
            </w:r>
          </w:p>
        </w:tc>
      </w:tr>
      <w:tr w:rsidR="008E7846" w:rsidRPr="00616A3B" w14:paraId="7BC21742" w14:textId="77777777" w:rsidTr="003735BC">
        <w:tc>
          <w:tcPr>
            <w:tcW w:w="2907" w:type="dxa"/>
          </w:tcPr>
          <w:p w14:paraId="42590974" w14:textId="77777777" w:rsidR="008E7846" w:rsidRPr="00616A3B" w:rsidRDefault="008E7846" w:rsidP="001B5C90">
            <w:pPr>
              <w:rPr>
                <w:i/>
              </w:rPr>
            </w:pPr>
            <w:r w:rsidRPr="00616A3B">
              <w:rPr>
                <w:i/>
              </w:rPr>
              <w:t xml:space="preserve">Date of </w:t>
            </w:r>
            <w:r w:rsidR="001B5C90" w:rsidRPr="00616A3B">
              <w:rPr>
                <w:i/>
              </w:rPr>
              <w:t>d</w:t>
            </w:r>
            <w:r w:rsidRPr="00616A3B">
              <w:rPr>
                <w:i/>
              </w:rPr>
              <w:t>ecision:</w:t>
            </w:r>
          </w:p>
        </w:tc>
        <w:tc>
          <w:tcPr>
            <w:tcW w:w="6307" w:type="dxa"/>
          </w:tcPr>
          <w:p w14:paraId="6CCC7C1B" w14:textId="77777777" w:rsidR="008E7846" w:rsidRPr="00616A3B" w:rsidRDefault="002E07DD" w:rsidP="001B5C90">
            <w:r w:rsidRPr="00616A3B">
              <w:t>7 January 2021</w:t>
            </w:r>
          </w:p>
        </w:tc>
      </w:tr>
      <w:tr w:rsidR="00ED2922" w:rsidRPr="00616A3B" w14:paraId="1F813365" w14:textId="77777777" w:rsidTr="003735BC">
        <w:tc>
          <w:tcPr>
            <w:tcW w:w="2907" w:type="dxa"/>
          </w:tcPr>
          <w:p w14:paraId="60033E21" w14:textId="77777777" w:rsidR="00ED2922" w:rsidRPr="00616A3B" w:rsidRDefault="00ED2922" w:rsidP="001B5C90">
            <w:pPr>
              <w:rPr>
                <w:i/>
              </w:rPr>
            </w:pPr>
            <w:r w:rsidRPr="00616A3B">
              <w:rPr>
                <w:i/>
              </w:rPr>
              <w:t>Date of entry onto ARTG</w:t>
            </w:r>
            <w:r w:rsidR="00500337" w:rsidRPr="00616A3B">
              <w:rPr>
                <w:i/>
              </w:rPr>
              <w:t>:</w:t>
            </w:r>
          </w:p>
        </w:tc>
        <w:tc>
          <w:tcPr>
            <w:tcW w:w="6307" w:type="dxa"/>
          </w:tcPr>
          <w:p w14:paraId="77735B44" w14:textId="77777777" w:rsidR="00ED2922" w:rsidRPr="00616A3B" w:rsidRDefault="002E07DD" w:rsidP="00D153D8">
            <w:pPr>
              <w:rPr>
                <w:i/>
              </w:rPr>
            </w:pPr>
            <w:r w:rsidRPr="00616A3B">
              <w:t>11 January 2021</w:t>
            </w:r>
          </w:p>
        </w:tc>
      </w:tr>
      <w:tr w:rsidR="00500337" w:rsidRPr="00616A3B" w14:paraId="53106945" w14:textId="77777777" w:rsidTr="003735BC">
        <w:tc>
          <w:tcPr>
            <w:tcW w:w="2907" w:type="dxa"/>
          </w:tcPr>
          <w:p w14:paraId="3A9D6E8D" w14:textId="77777777" w:rsidR="00500337" w:rsidRPr="00616A3B" w:rsidRDefault="00500337" w:rsidP="002E07DD">
            <w:pPr>
              <w:rPr>
                <w:i/>
              </w:rPr>
            </w:pPr>
            <w:r w:rsidRPr="00616A3B">
              <w:rPr>
                <w:i/>
              </w:rPr>
              <w:t>ARTG number:</w:t>
            </w:r>
          </w:p>
        </w:tc>
        <w:tc>
          <w:tcPr>
            <w:tcW w:w="6307" w:type="dxa"/>
          </w:tcPr>
          <w:p w14:paraId="44A6EE4A" w14:textId="77777777" w:rsidR="00500337" w:rsidRPr="00616A3B" w:rsidRDefault="002E07DD" w:rsidP="00EC463D">
            <w:r w:rsidRPr="00616A3B">
              <w:t>327984</w:t>
            </w:r>
          </w:p>
        </w:tc>
      </w:tr>
      <w:tr w:rsidR="003735BC" w:rsidRPr="00616A3B" w14:paraId="77093547" w14:textId="77777777" w:rsidTr="003735BC">
        <w:tc>
          <w:tcPr>
            <w:tcW w:w="2907" w:type="dxa"/>
          </w:tcPr>
          <w:p w14:paraId="37A3547C" w14:textId="77777777" w:rsidR="003735BC" w:rsidRPr="00616A3B" w:rsidRDefault="00FA5069" w:rsidP="001B5C90">
            <w:pPr>
              <w:rPr>
                <w:i/>
              </w:rPr>
            </w:pPr>
            <w:r w:rsidRPr="00616A3B">
              <w:rPr>
                <w:rFonts w:ascii="Wingdings 3" w:hAnsi="Wingdings 3"/>
                <w:sz w:val="34"/>
                <w:szCs w:val="34"/>
                <w:lang w:eastAsia="en-AU"/>
              </w:rPr>
              <w:t></w:t>
            </w:r>
            <w:r w:rsidR="003735BC" w:rsidRPr="00616A3B">
              <w:rPr>
                <w:i/>
              </w:rPr>
              <w:t>Black Triangle Scheme</w:t>
            </w:r>
            <w:r w:rsidR="004C4FBE" w:rsidRPr="00616A3B">
              <w:rPr>
                <w:i/>
              </w:rPr>
              <w:t>:</w:t>
            </w:r>
            <w:bookmarkStart w:id="13" w:name="_Ref67362093"/>
            <w:r w:rsidR="00460036" w:rsidRPr="00616A3B">
              <w:rPr>
                <w:rStyle w:val="FootnoteReference"/>
                <w:i/>
              </w:rPr>
              <w:footnoteReference w:id="1"/>
            </w:r>
            <w:bookmarkEnd w:id="13"/>
          </w:p>
        </w:tc>
        <w:tc>
          <w:tcPr>
            <w:tcW w:w="6307" w:type="dxa"/>
          </w:tcPr>
          <w:p w14:paraId="0C5D6C1C" w14:textId="3357351E" w:rsidR="003735BC" w:rsidRPr="00616A3B" w:rsidRDefault="002E07DD" w:rsidP="00541B0D">
            <w:pPr>
              <w:rPr>
                <w:i/>
                <w:color w:val="007099"/>
              </w:rPr>
            </w:pPr>
            <w:r w:rsidRPr="00616A3B">
              <w:t>Yes</w:t>
            </w:r>
            <w:r w:rsidR="00541B0D">
              <w:br/>
            </w:r>
            <w:r w:rsidR="003735BC" w:rsidRPr="00616A3B">
              <w:t>This product</w:t>
            </w:r>
            <w:r w:rsidR="001558AA" w:rsidRPr="00616A3B">
              <w:t xml:space="preserve"> will remain in the scheme for five</w:t>
            </w:r>
            <w:r w:rsidR="003735BC" w:rsidRPr="00616A3B">
              <w:t xml:space="preserve"> years, starting on the date the product is first supplied in </w:t>
            </w:r>
            <w:r w:rsidRPr="00616A3B">
              <w:t>Australia.</w:t>
            </w:r>
          </w:p>
        </w:tc>
      </w:tr>
      <w:tr w:rsidR="008E7846" w:rsidRPr="00616A3B" w14:paraId="63027D2C" w14:textId="77777777" w:rsidTr="00BF1190">
        <w:tc>
          <w:tcPr>
            <w:tcW w:w="2907" w:type="dxa"/>
          </w:tcPr>
          <w:p w14:paraId="374DCD18" w14:textId="77777777" w:rsidR="008E7846" w:rsidRPr="00616A3B" w:rsidRDefault="008E7846" w:rsidP="001B5C90">
            <w:pPr>
              <w:rPr>
                <w:i/>
              </w:rPr>
            </w:pPr>
            <w:r w:rsidRPr="00616A3B">
              <w:rPr>
                <w:i/>
              </w:rPr>
              <w:t xml:space="preserve">Sponsor’s </w:t>
            </w:r>
            <w:r w:rsidR="001B5C90" w:rsidRPr="00616A3B">
              <w:rPr>
                <w:i/>
              </w:rPr>
              <w:t>n</w:t>
            </w:r>
            <w:r w:rsidRPr="00616A3B">
              <w:rPr>
                <w:i/>
              </w:rPr>
              <w:t xml:space="preserve">ame and </w:t>
            </w:r>
            <w:r w:rsidR="001B5C90" w:rsidRPr="00616A3B">
              <w:rPr>
                <w:i/>
              </w:rPr>
              <w:t>a</w:t>
            </w:r>
            <w:r w:rsidRPr="00616A3B">
              <w:rPr>
                <w:i/>
              </w:rPr>
              <w:t>ddress:</w:t>
            </w:r>
          </w:p>
        </w:tc>
        <w:tc>
          <w:tcPr>
            <w:tcW w:w="6307" w:type="dxa"/>
          </w:tcPr>
          <w:p w14:paraId="3EC1E590" w14:textId="77777777" w:rsidR="00305017" w:rsidRPr="00616A3B" w:rsidRDefault="00305017" w:rsidP="00305017">
            <w:r w:rsidRPr="00616A3B">
              <w:t>Waymade Australia Pty Ltd</w:t>
            </w:r>
          </w:p>
          <w:p w14:paraId="2F90A8F8" w14:textId="77777777" w:rsidR="00305017" w:rsidRPr="00616A3B" w:rsidRDefault="00305017" w:rsidP="00305017">
            <w:r w:rsidRPr="00616A3B">
              <w:t xml:space="preserve">KPMG Tower 3 International Towers, 300 </w:t>
            </w:r>
            <w:proofErr w:type="spellStart"/>
            <w:r w:rsidRPr="00616A3B">
              <w:t>Barangaroo</w:t>
            </w:r>
            <w:proofErr w:type="spellEnd"/>
            <w:r w:rsidRPr="00616A3B">
              <w:t xml:space="preserve"> Avenue</w:t>
            </w:r>
          </w:p>
          <w:p w14:paraId="5BAEFBE6" w14:textId="77777777" w:rsidR="008E7846" w:rsidRPr="00616A3B" w:rsidRDefault="00305017" w:rsidP="00305017">
            <w:r w:rsidRPr="00616A3B">
              <w:t>Sydney, NSW 2000</w:t>
            </w:r>
          </w:p>
        </w:tc>
      </w:tr>
      <w:tr w:rsidR="008E7846" w:rsidRPr="00616A3B" w14:paraId="3AF62D01" w14:textId="77777777" w:rsidTr="00BF1190">
        <w:tc>
          <w:tcPr>
            <w:tcW w:w="2907" w:type="dxa"/>
          </w:tcPr>
          <w:p w14:paraId="7188D9EC" w14:textId="77777777" w:rsidR="008E7846" w:rsidRPr="00616A3B" w:rsidRDefault="001B5C90" w:rsidP="00305017">
            <w:pPr>
              <w:rPr>
                <w:i/>
              </w:rPr>
            </w:pPr>
            <w:r w:rsidRPr="00616A3B">
              <w:rPr>
                <w:i/>
              </w:rPr>
              <w:t>Dose form:</w:t>
            </w:r>
          </w:p>
        </w:tc>
        <w:tc>
          <w:tcPr>
            <w:tcW w:w="6307" w:type="dxa"/>
          </w:tcPr>
          <w:p w14:paraId="2A1D23E1" w14:textId="77777777" w:rsidR="008E7846" w:rsidRPr="00616A3B" w:rsidRDefault="00305017" w:rsidP="00E45619">
            <w:r w:rsidRPr="00616A3B">
              <w:t>Capsule</w:t>
            </w:r>
          </w:p>
        </w:tc>
      </w:tr>
      <w:tr w:rsidR="008E7846" w:rsidRPr="00616A3B" w14:paraId="69F8FBDF" w14:textId="77777777" w:rsidTr="00BF1190">
        <w:tc>
          <w:tcPr>
            <w:tcW w:w="2907" w:type="dxa"/>
          </w:tcPr>
          <w:p w14:paraId="11295708" w14:textId="77777777" w:rsidR="008E7846" w:rsidRPr="00616A3B" w:rsidRDefault="00324E45" w:rsidP="00305017">
            <w:pPr>
              <w:rPr>
                <w:i/>
              </w:rPr>
            </w:pPr>
            <w:r w:rsidRPr="00616A3B">
              <w:rPr>
                <w:i/>
              </w:rPr>
              <w:t>Strength:</w:t>
            </w:r>
          </w:p>
        </w:tc>
        <w:tc>
          <w:tcPr>
            <w:tcW w:w="6307" w:type="dxa"/>
          </w:tcPr>
          <w:p w14:paraId="79FC954F" w14:textId="77777777" w:rsidR="008E7846" w:rsidRPr="00616A3B" w:rsidRDefault="00305017" w:rsidP="00E45619">
            <w:r w:rsidRPr="00616A3B">
              <w:t>250 mg</w:t>
            </w:r>
          </w:p>
        </w:tc>
      </w:tr>
      <w:tr w:rsidR="008E7846" w:rsidRPr="00616A3B" w14:paraId="3FE825DC" w14:textId="77777777" w:rsidTr="00BF1190">
        <w:tc>
          <w:tcPr>
            <w:tcW w:w="2907" w:type="dxa"/>
          </w:tcPr>
          <w:p w14:paraId="0FE383BD" w14:textId="77777777" w:rsidR="008E7846" w:rsidRPr="00616A3B" w:rsidRDefault="008E7846" w:rsidP="00305017">
            <w:pPr>
              <w:rPr>
                <w:i/>
              </w:rPr>
            </w:pPr>
            <w:r w:rsidRPr="00616A3B">
              <w:rPr>
                <w:i/>
              </w:rPr>
              <w:t>Container:</w:t>
            </w:r>
          </w:p>
        </w:tc>
        <w:tc>
          <w:tcPr>
            <w:tcW w:w="6307" w:type="dxa"/>
          </w:tcPr>
          <w:p w14:paraId="2641A874" w14:textId="77777777" w:rsidR="008E7846" w:rsidRPr="00616A3B" w:rsidRDefault="00305017" w:rsidP="00E45619">
            <w:r w:rsidRPr="00616A3B">
              <w:t>Bottle</w:t>
            </w:r>
          </w:p>
        </w:tc>
      </w:tr>
      <w:tr w:rsidR="008E7846" w:rsidRPr="00616A3B" w14:paraId="28DDB5FE" w14:textId="77777777" w:rsidTr="00BF1190">
        <w:tc>
          <w:tcPr>
            <w:tcW w:w="2907" w:type="dxa"/>
          </w:tcPr>
          <w:p w14:paraId="480139D8" w14:textId="77777777" w:rsidR="008E7846" w:rsidRPr="00616A3B" w:rsidRDefault="008E7846" w:rsidP="00305017">
            <w:pPr>
              <w:rPr>
                <w:i/>
              </w:rPr>
            </w:pPr>
            <w:r w:rsidRPr="00616A3B">
              <w:rPr>
                <w:i/>
              </w:rPr>
              <w:t>Pack size:</w:t>
            </w:r>
          </w:p>
        </w:tc>
        <w:tc>
          <w:tcPr>
            <w:tcW w:w="6307" w:type="dxa"/>
          </w:tcPr>
          <w:p w14:paraId="7214F3E6" w14:textId="179543E4" w:rsidR="008E7846" w:rsidRPr="00616A3B" w:rsidRDefault="00305017" w:rsidP="00E45619">
            <w:r w:rsidRPr="00616A3B">
              <w:t>100</w:t>
            </w:r>
            <w:r w:rsidR="002954B9" w:rsidRPr="00616A3B">
              <w:t xml:space="preserve"> capsules</w:t>
            </w:r>
          </w:p>
        </w:tc>
      </w:tr>
      <w:tr w:rsidR="008E7846" w:rsidRPr="00616A3B" w14:paraId="0C1BB173" w14:textId="77777777" w:rsidTr="00BF1190">
        <w:tc>
          <w:tcPr>
            <w:tcW w:w="2907" w:type="dxa"/>
          </w:tcPr>
          <w:p w14:paraId="5C9B996E" w14:textId="77777777" w:rsidR="008E7846" w:rsidRPr="00616A3B" w:rsidRDefault="008E7846" w:rsidP="001B5C90">
            <w:pPr>
              <w:rPr>
                <w:i/>
              </w:rPr>
            </w:pPr>
            <w:r w:rsidRPr="00616A3B">
              <w:rPr>
                <w:i/>
              </w:rPr>
              <w:t xml:space="preserve">Approved </w:t>
            </w:r>
            <w:r w:rsidR="001B5C90" w:rsidRPr="00616A3B">
              <w:rPr>
                <w:i/>
              </w:rPr>
              <w:t>t</w:t>
            </w:r>
            <w:r w:rsidRPr="00616A3B">
              <w:rPr>
                <w:i/>
              </w:rPr>
              <w:t>herapeutic use:</w:t>
            </w:r>
          </w:p>
        </w:tc>
        <w:tc>
          <w:tcPr>
            <w:tcW w:w="6307" w:type="dxa"/>
          </w:tcPr>
          <w:p w14:paraId="5859E7BA" w14:textId="77777777" w:rsidR="008E7846" w:rsidRPr="00616A3B" w:rsidRDefault="0040258E" w:rsidP="0040258E">
            <w:pPr>
              <w:rPr>
                <w:i/>
              </w:rPr>
            </w:pPr>
            <w:r w:rsidRPr="00616A3B">
              <w:rPr>
                <w:i/>
              </w:rPr>
              <w:t>Trientine Waymade is indicated in the treatment of patients with Wilson’s disease who are intolerant of penicillamine.</w:t>
            </w:r>
          </w:p>
        </w:tc>
      </w:tr>
      <w:tr w:rsidR="008E7846" w:rsidRPr="00616A3B" w14:paraId="5792FCEE" w14:textId="77777777" w:rsidTr="00BF1190">
        <w:tc>
          <w:tcPr>
            <w:tcW w:w="2907" w:type="dxa"/>
          </w:tcPr>
          <w:p w14:paraId="1D734B51" w14:textId="77777777" w:rsidR="008E7846" w:rsidRPr="00616A3B" w:rsidRDefault="008E7846" w:rsidP="00305017">
            <w:pPr>
              <w:rPr>
                <w:i/>
              </w:rPr>
            </w:pPr>
            <w:r w:rsidRPr="00616A3B">
              <w:rPr>
                <w:i/>
              </w:rPr>
              <w:t>Route of administration:</w:t>
            </w:r>
          </w:p>
        </w:tc>
        <w:tc>
          <w:tcPr>
            <w:tcW w:w="6307" w:type="dxa"/>
          </w:tcPr>
          <w:p w14:paraId="6B1D214A" w14:textId="77777777" w:rsidR="008E7846" w:rsidRPr="00616A3B" w:rsidRDefault="00305017" w:rsidP="00E45619">
            <w:r w:rsidRPr="00616A3B">
              <w:t>Oral</w:t>
            </w:r>
          </w:p>
        </w:tc>
      </w:tr>
      <w:tr w:rsidR="008E7846" w:rsidRPr="00616A3B" w14:paraId="530D9A97" w14:textId="77777777" w:rsidTr="00BF1190">
        <w:tc>
          <w:tcPr>
            <w:tcW w:w="2907" w:type="dxa"/>
          </w:tcPr>
          <w:p w14:paraId="3CFE29C7" w14:textId="77777777" w:rsidR="008E7846" w:rsidRPr="00616A3B" w:rsidRDefault="008E7846" w:rsidP="00E45619">
            <w:pPr>
              <w:rPr>
                <w:i/>
              </w:rPr>
            </w:pPr>
            <w:r w:rsidRPr="00616A3B">
              <w:rPr>
                <w:i/>
              </w:rPr>
              <w:t>Dosage:</w:t>
            </w:r>
          </w:p>
        </w:tc>
        <w:tc>
          <w:tcPr>
            <w:tcW w:w="6307" w:type="dxa"/>
          </w:tcPr>
          <w:p w14:paraId="7D957FAC" w14:textId="21DD0414" w:rsidR="00305017" w:rsidRPr="00616A3B" w:rsidRDefault="00305017" w:rsidP="00305017">
            <w:r w:rsidRPr="00616A3B">
              <w:t>The starting dose would usually correspond to the lowest recommended dose and the dose should subsequently be adapted according to the pa</w:t>
            </w:r>
            <w:r w:rsidR="00CA4DFA" w:rsidRPr="00616A3B">
              <w:t>tient’s clinical response (see</w:t>
            </w:r>
            <w:r w:rsidR="00727930">
              <w:t> </w:t>
            </w:r>
            <w:r w:rsidR="00CA4DFA" w:rsidRPr="00616A3B">
              <w:t>Section</w:t>
            </w:r>
            <w:r w:rsidR="00727930">
              <w:t> </w:t>
            </w:r>
            <w:r w:rsidR="00CA4DFA" w:rsidRPr="00616A3B">
              <w:t>4.4 S</w:t>
            </w:r>
            <w:r w:rsidRPr="00616A3B">
              <w:t>pecial warnings and precautions for</w:t>
            </w:r>
            <w:r w:rsidR="002954B9" w:rsidRPr="00616A3B">
              <w:t xml:space="preserve"> use in the </w:t>
            </w:r>
            <w:r w:rsidR="00727930">
              <w:t>P</w:t>
            </w:r>
            <w:r w:rsidR="002954B9" w:rsidRPr="00616A3B">
              <w:t xml:space="preserve">roduct </w:t>
            </w:r>
            <w:r w:rsidR="00727930">
              <w:t>I</w:t>
            </w:r>
            <w:r w:rsidR="002954B9" w:rsidRPr="00616A3B">
              <w:t>nformation</w:t>
            </w:r>
            <w:r w:rsidRPr="00616A3B">
              <w:t>).</w:t>
            </w:r>
          </w:p>
          <w:p w14:paraId="6B4FD527" w14:textId="1136AAFA" w:rsidR="00305017" w:rsidRPr="00616A3B" w:rsidRDefault="00305017" w:rsidP="00305017">
            <w:r w:rsidRPr="00616A3B">
              <w:t>The daily dose of Trientine Waymade should be increased only when the clinical response is not adequate, or the concentration of free serum c</w:t>
            </w:r>
            <w:r w:rsidR="002954B9" w:rsidRPr="00616A3B">
              <w:t>opper is persistently above 3.1 </w:t>
            </w:r>
            <w:r w:rsidRPr="00616A3B">
              <w:t>µ</w:t>
            </w:r>
            <w:proofErr w:type="spellStart"/>
            <w:r w:rsidRPr="00616A3B">
              <w:t>mol</w:t>
            </w:r>
            <w:proofErr w:type="spellEnd"/>
            <w:r w:rsidRPr="00616A3B">
              <w:t>/L. Optimal</w:t>
            </w:r>
            <w:r w:rsidR="00727930">
              <w:t> </w:t>
            </w:r>
            <w:r w:rsidRPr="00616A3B">
              <w:t>long term maintenance dosage should be determined at 6 to 12</w:t>
            </w:r>
            <w:r w:rsidR="002954B9" w:rsidRPr="00616A3B">
              <w:t> </w:t>
            </w:r>
            <w:r w:rsidRPr="00616A3B">
              <w:t>month intervals.</w:t>
            </w:r>
          </w:p>
          <w:p w14:paraId="70B13A1E" w14:textId="77777777" w:rsidR="00305017" w:rsidRPr="00616A3B" w:rsidRDefault="00305017" w:rsidP="00305017">
            <w:pPr>
              <w:rPr>
                <w:b/>
              </w:rPr>
            </w:pPr>
            <w:r w:rsidRPr="00616A3B">
              <w:rPr>
                <w:b/>
              </w:rPr>
              <w:t>Adults</w:t>
            </w:r>
          </w:p>
          <w:p w14:paraId="5A0F81F7" w14:textId="01E79C42" w:rsidR="00305017" w:rsidRPr="00616A3B" w:rsidRDefault="00305017" w:rsidP="00305017">
            <w:r w:rsidRPr="00616A3B">
              <w:t>The recommended initial dose of Trientine Waymade is 750</w:t>
            </w:r>
            <w:r w:rsidR="004F74B1">
              <w:t xml:space="preserve"> </w:t>
            </w:r>
            <w:r w:rsidRPr="00616A3B">
              <w:t>to</w:t>
            </w:r>
            <w:r w:rsidR="00727930">
              <w:t xml:space="preserve"> </w:t>
            </w:r>
            <w:r w:rsidRPr="00616A3B">
              <w:t>1250</w:t>
            </w:r>
            <w:r w:rsidR="002954B9" w:rsidRPr="00616A3B">
              <w:t> </w:t>
            </w:r>
            <w:r w:rsidRPr="00616A3B">
              <w:t>mg/day (equivalent to 500 to 833</w:t>
            </w:r>
            <w:r w:rsidR="002954B9" w:rsidRPr="00616A3B">
              <w:t> </w:t>
            </w:r>
            <w:r w:rsidRPr="00616A3B">
              <w:t>mg/day trientine base) for adults given in divided doses two, three or four times daily. This may be increased to a maximum of 2000</w:t>
            </w:r>
            <w:r w:rsidR="002954B9" w:rsidRPr="00616A3B">
              <w:t> </w:t>
            </w:r>
            <w:r w:rsidRPr="00616A3B">
              <w:t>mg/day (1333</w:t>
            </w:r>
            <w:r w:rsidR="002954B9" w:rsidRPr="00616A3B">
              <w:t> </w:t>
            </w:r>
            <w:r w:rsidRPr="00616A3B">
              <w:t>mg/day trientine base) for adults.</w:t>
            </w:r>
          </w:p>
          <w:p w14:paraId="1FF9BE51" w14:textId="77777777" w:rsidR="00305017" w:rsidRPr="00616A3B" w:rsidRDefault="00305017" w:rsidP="00305017">
            <w:pPr>
              <w:rPr>
                <w:b/>
              </w:rPr>
            </w:pPr>
            <w:r w:rsidRPr="00616A3B">
              <w:rPr>
                <w:b/>
              </w:rPr>
              <w:t>Paediatric patients</w:t>
            </w:r>
          </w:p>
          <w:p w14:paraId="38A9EC0F" w14:textId="1EA79557" w:rsidR="00727930" w:rsidRDefault="00727930" w:rsidP="00305017">
            <w:r>
              <w:t>For paediatric patients under the age of 12, Trientine Waymade is dose according to bodyweight.</w:t>
            </w:r>
          </w:p>
          <w:p w14:paraId="4B06FE3F" w14:textId="295EE5FD" w:rsidR="00305017" w:rsidRPr="00616A3B" w:rsidRDefault="00305017" w:rsidP="00305017">
            <w:r w:rsidRPr="00616A3B">
              <w:t>The recommended initial dose of Trientine Waymade is 20</w:t>
            </w:r>
            <w:r w:rsidR="002954B9" w:rsidRPr="00616A3B">
              <w:t> </w:t>
            </w:r>
            <w:r w:rsidRPr="00616A3B">
              <w:t>mg/kg/day (equivalent to 13</w:t>
            </w:r>
            <w:r w:rsidR="002954B9" w:rsidRPr="00616A3B">
              <w:t> </w:t>
            </w:r>
            <w:r w:rsidRPr="00616A3B">
              <w:t>mg/kg/day trientine base) rounded off to the nearest 250</w:t>
            </w:r>
            <w:r w:rsidR="002954B9" w:rsidRPr="00616A3B">
              <w:t> </w:t>
            </w:r>
            <w:r w:rsidRPr="00616A3B">
              <w:t xml:space="preserve">mg, given in two or three divided doses. This may be increased to a maximum of </w:t>
            </w:r>
            <w:r w:rsidR="00574BF9" w:rsidRPr="00616A3B">
              <w:t>1500 mg/day (equivalent to 1000 </w:t>
            </w:r>
            <w:r w:rsidRPr="00616A3B">
              <w:t>mg/day trientine base) for paediatric patients age 12 or under.</w:t>
            </w:r>
          </w:p>
          <w:p w14:paraId="6654820A" w14:textId="77777777" w:rsidR="00460036" w:rsidRPr="00616A3B" w:rsidRDefault="00305017" w:rsidP="00305017">
            <w:r w:rsidRPr="00616A3B">
              <w:t>F</w:t>
            </w:r>
            <w:r w:rsidR="00460036" w:rsidRPr="00616A3B">
              <w:t>or further information regarding dosage, refer to the Product Information.</w:t>
            </w:r>
          </w:p>
        </w:tc>
      </w:tr>
      <w:tr w:rsidR="00460036" w:rsidRPr="00616A3B" w14:paraId="0C6B2C24" w14:textId="77777777" w:rsidTr="00BF1190">
        <w:tc>
          <w:tcPr>
            <w:tcW w:w="2907" w:type="dxa"/>
          </w:tcPr>
          <w:p w14:paraId="4BF06E58" w14:textId="77777777" w:rsidR="00460036" w:rsidRPr="00616A3B" w:rsidRDefault="00460036" w:rsidP="00E45619">
            <w:pPr>
              <w:rPr>
                <w:i/>
              </w:rPr>
            </w:pPr>
            <w:r w:rsidRPr="00616A3B">
              <w:rPr>
                <w:i/>
              </w:rPr>
              <w:t>Pregnancy category:</w:t>
            </w:r>
          </w:p>
        </w:tc>
        <w:tc>
          <w:tcPr>
            <w:tcW w:w="6307" w:type="dxa"/>
          </w:tcPr>
          <w:p w14:paraId="61C5F77D" w14:textId="77777777" w:rsidR="00305017" w:rsidRPr="00616A3B" w:rsidRDefault="00305017" w:rsidP="00305017">
            <w:r w:rsidRPr="00616A3B">
              <w:t>D</w:t>
            </w:r>
          </w:p>
          <w:p w14:paraId="02B4683B" w14:textId="77777777" w:rsidR="00305017" w:rsidRPr="00616A3B" w:rsidRDefault="00305017" w:rsidP="00305017">
            <w:r w:rsidRPr="00616A3B">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5E0F4F89" w14:textId="77777777" w:rsidR="00460036" w:rsidRPr="00616A3B" w:rsidRDefault="00460036" w:rsidP="00460036">
            <w:r w:rsidRPr="00616A3B">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068924BE" w14:textId="77777777" w:rsidR="008E7846" w:rsidRPr="00616A3B" w:rsidRDefault="008E7846" w:rsidP="008E7846">
      <w:pPr>
        <w:pStyle w:val="Heading3"/>
      </w:pPr>
      <w:bookmarkStart w:id="14" w:name="_Toc247691503"/>
      <w:bookmarkStart w:id="15" w:name="_Toc314842484"/>
      <w:bookmarkStart w:id="16" w:name="_Toc70931345"/>
      <w:r w:rsidRPr="00616A3B">
        <w:t>Product background</w:t>
      </w:r>
      <w:bookmarkEnd w:id="14"/>
      <w:bookmarkEnd w:id="15"/>
      <w:bookmarkEnd w:id="16"/>
    </w:p>
    <w:p w14:paraId="56534153" w14:textId="77777777" w:rsidR="008E7846" w:rsidRPr="00616A3B" w:rsidRDefault="00250271" w:rsidP="00940A89">
      <w:r w:rsidRPr="00616A3B">
        <w:t>This AusPA</w:t>
      </w:r>
      <w:r w:rsidR="00822781" w:rsidRPr="00616A3B">
        <w:t xml:space="preserve">R describes the application by Waymade Australia Pty Ltd (the sponsor) to register Trientine Waymade </w:t>
      </w:r>
      <w:r w:rsidRPr="00616A3B">
        <w:t>(</w:t>
      </w:r>
      <w:r w:rsidR="00822781" w:rsidRPr="00616A3B">
        <w:t>trientine dihydrochloride</w:t>
      </w:r>
      <w:r w:rsidRPr="00616A3B">
        <w:t xml:space="preserve">) </w:t>
      </w:r>
      <w:r w:rsidR="00822781" w:rsidRPr="00616A3B">
        <w:t>250 mg</w:t>
      </w:r>
      <w:r w:rsidRPr="00616A3B">
        <w:t xml:space="preserve">, </w:t>
      </w:r>
      <w:r w:rsidR="00822781" w:rsidRPr="00616A3B">
        <w:t>capsule</w:t>
      </w:r>
      <w:r w:rsidRPr="00616A3B">
        <w:t xml:space="preserve"> for the following proposed indication</w:t>
      </w:r>
      <w:r w:rsidR="00CF5DAD" w:rsidRPr="00616A3B">
        <w:t>:</w:t>
      </w:r>
    </w:p>
    <w:p w14:paraId="52FDDEC0" w14:textId="77777777" w:rsidR="0040258E" w:rsidRPr="00616A3B" w:rsidRDefault="0040258E" w:rsidP="0040258E">
      <w:pPr>
        <w:ind w:left="720"/>
        <w:rPr>
          <w:i/>
        </w:rPr>
      </w:pPr>
      <w:r w:rsidRPr="00616A3B">
        <w:rPr>
          <w:i/>
        </w:rPr>
        <w:t>Trientine Waymade is indicated for the treatment of patients with Wilson's disease who are intolerant of penicillamine.</w:t>
      </w:r>
    </w:p>
    <w:p w14:paraId="70573E2B" w14:textId="71054EDA" w:rsidR="00F90E37" w:rsidRPr="00616A3B" w:rsidRDefault="00F90E37" w:rsidP="0040258E">
      <w:r w:rsidRPr="00616A3B">
        <w:t>Wilson’s disease</w:t>
      </w:r>
      <w:r w:rsidR="004766FA" w:rsidRPr="00616A3B">
        <w:t xml:space="preserve"> (WD)</w:t>
      </w:r>
      <w:r w:rsidRPr="00616A3B">
        <w:t xml:space="preserve">, also known as </w:t>
      </w:r>
      <w:proofErr w:type="spellStart"/>
      <w:r w:rsidRPr="00616A3B">
        <w:t>hepatolenticular</w:t>
      </w:r>
      <w:proofErr w:type="spellEnd"/>
      <w:r w:rsidRPr="00616A3B">
        <w:t xml:space="preserve"> degeneration, is an inherited autosomal recessive disorder in which defective biliary excretion of copper leads to accumulation of copper deposits, predominantly in the liver and brain, but also in the kidneys and in the cornea where the typical appearance is known as </w:t>
      </w:r>
      <w:proofErr w:type="spellStart"/>
      <w:r w:rsidRPr="00616A3B">
        <w:t>Kayser</w:t>
      </w:r>
      <w:proofErr w:type="spellEnd"/>
      <w:r w:rsidRPr="00616A3B">
        <w:t xml:space="preserve">-Fleischer (KF) </w:t>
      </w:r>
      <w:r w:rsidR="004766FA" w:rsidRPr="00616A3B">
        <w:t>rings. WD</w:t>
      </w:r>
      <w:r w:rsidRPr="00616A3B">
        <w:t xml:space="preserve"> is due to mutations of the </w:t>
      </w:r>
      <w:r w:rsidR="00EC0612" w:rsidRPr="00616A3B">
        <w:t>copper-transporting P-type ATPase 7 (</w:t>
      </w:r>
      <w:r w:rsidRPr="004F74B1">
        <w:rPr>
          <w:i/>
        </w:rPr>
        <w:t>ATP7B</w:t>
      </w:r>
      <w:r w:rsidR="00EC0612" w:rsidRPr="00616A3B">
        <w:t>)</w:t>
      </w:r>
      <w:r w:rsidRPr="00616A3B">
        <w:t xml:space="preserve"> gene on</w:t>
      </w:r>
      <w:r w:rsidR="00EC0612" w:rsidRPr="00616A3B">
        <w:t xml:space="preserve"> chromosome 13, which encodes </w:t>
      </w:r>
      <w:r w:rsidR="00615C10">
        <w:t xml:space="preserve">the </w:t>
      </w:r>
      <w:r w:rsidRPr="00616A3B">
        <w:t xml:space="preserve">ATP7B </w:t>
      </w:r>
      <w:r w:rsidR="00615C10">
        <w:t xml:space="preserve">protein (also known as the Wilson disease protein) </w:t>
      </w:r>
      <w:r w:rsidRPr="00616A3B">
        <w:t>residing in the trans-Golgi network of hepatocytes. ATP7B is responsible for transporting copper from intracellular chaperone proteins into the secretory pathway, both for excretion into bile</w:t>
      </w:r>
      <w:r w:rsidR="00EC0612" w:rsidRPr="00616A3B">
        <w:t xml:space="preserve"> and for incorporation into </w:t>
      </w:r>
      <w:proofErr w:type="spellStart"/>
      <w:r w:rsidR="00EC0612" w:rsidRPr="00616A3B">
        <w:t>apo</w:t>
      </w:r>
      <w:r w:rsidRPr="00616A3B">
        <w:t>c</w:t>
      </w:r>
      <w:r w:rsidR="00615C10">
        <w:t>a</w:t>
      </w:r>
      <w:r w:rsidRPr="00616A3B">
        <w:t>eruloplasmin</w:t>
      </w:r>
      <w:proofErr w:type="spellEnd"/>
      <w:r w:rsidRPr="00616A3B">
        <w:t xml:space="preserve"> for the synthesis of functional </w:t>
      </w:r>
      <w:proofErr w:type="spellStart"/>
      <w:r w:rsidRPr="00616A3B">
        <w:t>c</w:t>
      </w:r>
      <w:r w:rsidR="00615C10">
        <w:t>a</w:t>
      </w:r>
      <w:r w:rsidRPr="00616A3B">
        <w:t>eruloplasmin</w:t>
      </w:r>
      <w:proofErr w:type="spellEnd"/>
      <w:r w:rsidRPr="00616A3B">
        <w:t xml:space="preserve">. The </w:t>
      </w:r>
      <w:r w:rsidR="004766FA" w:rsidRPr="00616A3B">
        <w:t>condition affects about one in 30,</w:t>
      </w:r>
      <w:r w:rsidRPr="00616A3B">
        <w:t>000 people and most commonly presents between the ages of five and 35 years, although it may be diagnosed at any age. WD may present as mild hepatic dysfunction with abnormal serum liver enzymes to fulminant hepatic failure; with one or more of a broad spectrum of neurological symptoms including tremor, ataxia, dysarthria, or psychiatric symptoms including mood disturbances; or as a mixed presentation. A proportion of patients are identified while asymptomatic following screening after the diagnosis of WD in a relative.</w:t>
      </w:r>
    </w:p>
    <w:p w14:paraId="5DF8F054" w14:textId="35973FC3" w:rsidR="0040258E" w:rsidRPr="00616A3B" w:rsidRDefault="0040258E" w:rsidP="0040258E">
      <w:r w:rsidRPr="00616A3B">
        <w:t xml:space="preserve">WD requires lifelong treatment to remove excess copper deposits in the tissues and to prevent </w:t>
      </w:r>
      <w:proofErr w:type="spellStart"/>
      <w:r w:rsidRPr="00616A3B">
        <w:t>reaccumulation</w:t>
      </w:r>
      <w:proofErr w:type="spellEnd"/>
      <w:r w:rsidRPr="00616A3B">
        <w:t xml:space="preserve">. Chelating agents, including penicillamine (D-penicillamine) and trientine, have been used for many years to remove excess copper. Penicillamine has been used for the treatment of WD since 1956, and has been included on the </w:t>
      </w:r>
      <w:r w:rsidR="004766FA" w:rsidRPr="00616A3B">
        <w:t>Australian Register of Therapeutic Goods (</w:t>
      </w:r>
      <w:r w:rsidRPr="00616A3B">
        <w:t>ARTG</w:t>
      </w:r>
      <w:r w:rsidR="004766FA" w:rsidRPr="00616A3B">
        <w:t>)</w:t>
      </w:r>
      <w:r w:rsidRPr="00616A3B">
        <w:t xml:space="preserve"> since 1994. Penicillamine has generally been preferred as the primary chelating agent, but its use can be limited by adverse effects in about 30% of patients. Trientine was first registered in the </w:t>
      </w:r>
      <w:r w:rsidR="004766FA" w:rsidRPr="00616A3B">
        <w:t>United States of America (</w:t>
      </w:r>
      <w:r w:rsidRPr="00616A3B">
        <w:t>USA</w:t>
      </w:r>
      <w:r w:rsidR="004766FA" w:rsidRPr="00616A3B">
        <w:t>)</w:t>
      </w:r>
      <w:r w:rsidRPr="00616A3B">
        <w:t xml:space="preserve"> and </w:t>
      </w:r>
      <w:r w:rsidR="004766FA" w:rsidRPr="00616A3B">
        <w:t>United Kingdom (</w:t>
      </w:r>
      <w:r w:rsidRPr="00616A3B">
        <w:t>UK</w:t>
      </w:r>
      <w:r w:rsidR="004766FA" w:rsidRPr="00616A3B">
        <w:t>)</w:t>
      </w:r>
      <w:r w:rsidRPr="00616A3B">
        <w:t xml:space="preserve"> in 1985, but has been in clinical use since 1969 as an alternative to penicillamine. There are no controlled trials comparing these chelating agents, so their use is based mainly on observational data and clinical experience. Other treatment options for WD include zinc and </w:t>
      </w:r>
      <w:proofErr w:type="spellStart"/>
      <w:r w:rsidRPr="00616A3B">
        <w:t>tetrathiomolybdate</w:t>
      </w:r>
      <w:proofErr w:type="spellEnd"/>
      <w:r w:rsidRPr="00616A3B">
        <w:t>.</w:t>
      </w:r>
    </w:p>
    <w:p w14:paraId="3228B855" w14:textId="785037EF" w:rsidR="00F90E37" w:rsidRPr="00616A3B" w:rsidRDefault="00F90E37" w:rsidP="00F90E37">
      <w:r w:rsidRPr="00616A3B">
        <w:t xml:space="preserve">Trientine dihydrochloride is a chelating compound used to remove excess copper from the body. Trientine appears to act at two points, </w:t>
      </w:r>
      <w:r w:rsidR="00445659">
        <w:t xml:space="preserve">firstly </w:t>
      </w:r>
      <w:r w:rsidRPr="00616A3B">
        <w:t xml:space="preserve">chelating copper in the gut and increasing faecal excretion of copper, and </w:t>
      </w:r>
      <w:r w:rsidR="00445659">
        <w:t xml:space="preserve">secondly, </w:t>
      </w:r>
      <w:r w:rsidRPr="00616A3B">
        <w:t>chelating copper from the blood stream and tissues where it may be loosely bound and increasing urinary excretion.</w:t>
      </w:r>
    </w:p>
    <w:p w14:paraId="5F346B58" w14:textId="77777777" w:rsidR="008E7846" w:rsidRPr="00616A3B" w:rsidRDefault="00386150" w:rsidP="008E7846">
      <w:pPr>
        <w:pStyle w:val="Heading3"/>
      </w:pPr>
      <w:bookmarkStart w:id="17" w:name="_Toc314842485"/>
      <w:bookmarkStart w:id="18" w:name="_Toc247691504"/>
      <w:bookmarkStart w:id="19" w:name="_Toc70931346"/>
      <w:r w:rsidRPr="00616A3B">
        <w:t>Regulatory s</w:t>
      </w:r>
      <w:r w:rsidR="008E7846" w:rsidRPr="00616A3B">
        <w:t>tatus</w:t>
      </w:r>
      <w:bookmarkEnd w:id="17"/>
      <w:bookmarkEnd w:id="18"/>
      <w:bookmarkEnd w:id="19"/>
    </w:p>
    <w:p w14:paraId="79070055" w14:textId="4AA76064" w:rsidR="00940A89" w:rsidRPr="00616A3B" w:rsidRDefault="00006FAB" w:rsidP="00940A89">
      <w:bookmarkStart w:id="20" w:name="_Toc247691505"/>
      <w:bookmarkStart w:id="21" w:name="_Toc314842486"/>
      <w:r w:rsidRPr="00616A3B">
        <w:t>This product is considered a new chemical entity for Australian regulatory purposes.</w:t>
      </w:r>
    </w:p>
    <w:p w14:paraId="501FA483" w14:textId="3F44103E" w:rsidR="00445659" w:rsidRPr="00616A3B" w:rsidRDefault="00006FAB" w:rsidP="00006FAB">
      <w:r w:rsidRPr="00616A3B">
        <w:t xml:space="preserve">At the time the </w:t>
      </w:r>
      <w:r w:rsidR="0083673A" w:rsidRPr="00616A3B">
        <w:t>Therapeutic Goods Administration (</w:t>
      </w:r>
      <w:r w:rsidRPr="00616A3B">
        <w:t>TGA</w:t>
      </w:r>
      <w:r w:rsidR="0083673A" w:rsidRPr="00616A3B">
        <w:t>)</w:t>
      </w:r>
      <w:r w:rsidRPr="00616A3B">
        <w:t xml:space="preserve"> considered this application, a similar application had been approved </w:t>
      </w:r>
      <w:r w:rsidR="00D70F8D" w:rsidRPr="00616A3B">
        <w:t xml:space="preserve">in </w:t>
      </w:r>
      <w:r w:rsidR="0083673A" w:rsidRPr="00616A3B">
        <w:t xml:space="preserve">the </w:t>
      </w:r>
      <w:r w:rsidR="00D70F8D" w:rsidRPr="00616A3B">
        <w:t>USA (approved on 16 January 2019)</w:t>
      </w:r>
      <w:r w:rsidR="0083673A" w:rsidRPr="00616A3B">
        <w:t>, and</w:t>
      </w:r>
      <w:r w:rsidR="00D70F8D" w:rsidRPr="00616A3B">
        <w:t xml:space="preserve"> </w:t>
      </w:r>
      <w:r w:rsidR="00445659">
        <w:t xml:space="preserve">similar applications </w:t>
      </w:r>
      <w:r w:rsidR="00D70F8D" w:rsidRPr="00616A3B">
        <w:t>w</w:t>
      </w:r>
      <w:r w:rsidR="00445659">
        <w:t>ere</w:t>
      </w:r>
      <w:r w:rsidR="00D70F8D" w:rsidRPr="00616A3B">
        <w:t xml:space="preserve"> under consideration in Canada (submitted on 8 July 2019), Switzerland (submitted on 7 August 2020) and New Zealand (submitted on</w:t>
      </w:r>
      <w:r w:rsidR="007A7AE5">
        <w:t xml:space="preserve"> 6 March 2020</w:t>
      </w:r>
      <w:r w:rsidRPr="00616A3B">
        <w:t>).</w:t>
      </w:r>
    </w:p>
    <w:p w14:paraId="75F10C11" w14:textId="0BCD2D05" w:rsidR="00324E45" w:rsidRPr="00616A3B" w:rsidRDefault="00D7461E" w:rsidP="00541B0D">
      <w:pPr>
        <w:pStyle w:val="TableTitle"/>
      </w:pPr>
      <w:r w:rsidRPr="00616A3B">
        <w:t xml:space="preserve">Table </w:t>
      </w:r>
      <w:fldSimple w:instr=" SEQ Table \* ARABIC ">
        <w:r w:rsidR="005815A1">
          <w:rPr>
            <w:noProof/>
          </w:rPr>
          <w:t>1</w:t>
        </w:r>
      </w:fldSimple>
      <w:r w:rsidR="00324E45" w:rsidRPr="00616A3B">
        <w:t>: International regulatory status</w:t>
      </w:r>
    </w:p>
    <w:tbl>
      <w:tblPr>
        <w:tblStyle w:val="TableTGAblue"/>
        <w:tblW w:w="5087" w:type="pct"/>
        <w:tblLayout w:type="fixed"/>
        <w:tblLook w:val="04A0" w:firstRow="1" w:lastRow="0" w:firstColumn="1" w:lastColumn="0" w:noHBand="0" w:noVBand="1"/>
      </w:tblPr>
      <w:tblGrid>
        <w:gridCol w:w="1698"/>
        <w:gridCol w:w="1842"/>
        <w:gridCol w:w="1701"/>
        <w:gridCol w:w="3401"/>
      </w:tblGrid>
      <w:tr w:rsidR="00541B0D" w:rsidRPr="00541B0D" w14:paraId="0FABE1A6" w14:textId="77777777" w:rsidTr="00541B0D">
        <w:trPr>
          <w:cnfStyle w:val="100000000000" w:firstRow="1" w:lastRow="0" w:firstColumn="0" w:lastColumn="0" w:oddVBand="0" w:evenVBand="0" w:oddHBand="0" w:evenHBand="0" w:firstRowFirstColumn="0" w:firstRowLastColumn="0" w:lastRowFirstColumn="0" w:lastRowLastColumn="0"/>
        </w:trPr>
        <w:tc>
          <w:tcPr>
            <w:tcW w:w="982" w:type="pct"/>
            <w:tcBorders>
              <w:top w:val="single" w:sz="4" w:space="0" w:color="auto"/>
              <w:left w:val="single" w:sz="4" w:space="0" w:color="auto"/>
              <w:bottom w:val="single" w:sz="4" w:space="0" w:color="auto"/>
              <w:right w:val="single" w:sz="4" w:space="0" w:color="auto"/>
            </w:tcBorders>
          </w:tcPr>
          <w:p w14:paraId="3B68DF50" w14:textId="77777777" w:rsidR="00006FAB" w:rsidRPr="00541B0D" w:rsidRDefault="00006FAB" w:rsidP="00541B0D">
            <w:pPr>
              <w:ind w:left="0"/>
              <w:rPr>
                <w:szCs w:val="22"/>
              </w:rPr>
            </w:pPr>
            <w:r w:rsidRPr="00541B0D">
              <w:rPr>
                <w:szCs w:val="22"/>
              </w:rPr>
              <w:t>Region</w:t>
            </w:r>
          </w:p>
        </w:tc>
        <w:tc>
          <w:tcPr>
            <w:tcW w:w="1066" w:type="pct"/>
            <w:tcBorders>
              <w:top w:val="single" w:sz="4" w:space="0" w:color="auto"/>
              <w:left w:val="single" w:sz="4" w:space="0" w:color="auto"/>
              <w:bottom w:val="single" w:sz="4" w:space="0" w:color="auto"/>
              <w:right w:val="single" w:sz="4" w:space="0" w:color="auto"/>
            </w:tcBorders>
          </w:tcPr>
          <w:p w14:paraId="414BD2B5" w14:textId="77777777" w:rsidR="00006FAB" w:rsidRPr="00541B0D" w:rsidRDefault="00006FAB" w:rsidP="00541B0D">
            <w:pPr>
              <w:ind w:left="0"/>
              <w:rPr>
                <w:szCs w:val="22"/>
              </w:rPr>
            </w:pPr>
            <w:r w:rsidRPr="00541B0D">
              <w:rPr>
                <w:szCs w:val="22"/>
              </w:rPr>
              <w:t>Submission date</w:t>
            </w:r>
          </w:p>
        </w:tc>
        <w:tc>
          <w:tcPr>
            <w:tcW w:w="984" w:type="pct"/>
            <w:tcBorders>
              <w:top w:val="single" w:sz="4" w:space="0" w:color="auto"/>
              <w:left w:val="single" w:sz="4" w:space="0" w:color="auto"/>
              <w:bottom w:val="single" w:sz="4" w:space="0" w:color="auto"/>
              <w:right w:val="single" w:sz="4" w:space="0" w:color="auto"/>
            </w:tcBorders>
          </w:tcPr>
          <w:p w14:paraId="14DF5102" w14:textId="77777777" w:rsidR="00006FAB" w:rsidRPr="00541B0D" w:rsidRDefault="00006FAB" w:rsidP="00541B0D">
            <w:pPr>
              <w:ind w:left="0"/>
              <w:rPr>
                <w:szCs w:val="22"/>
              </w:rPr>
            </w:pPr>
            <w:r w:rsidRPr="00541B0D">
              <w:rPr>
                <w:szCs w:val="22"/>
              </w:rPr>
              <w:t>Status</w:t>
            </w:r>
          </w:p>
        </w:tc>
        <w:tc>
          <w:tcPr>
            <w:tcW w:w="1968" w:type="pct"/>
            <w:tcBorders>
              <w:top w:val="single" w:sz="4" w:space="0" w:color="auto"/>
              <w:left w:val="single" w:sz="4" w:space="0" w:color="auto"/>
              <w:bottom w:val="single" w:sz="4" w:space="0" w:color="auto"/>
              <w:right w:val="single" w:sz="4" w:space="0" w:color="auto"/>
            </w:tcBorders>
          </w:tcPr>
          <w:p w14:paraId="563378BD" w14:textId="77777777" w:rsidR="00006FAB" w:rsidRPr="00541B0D" w:rsidRDefault="00006FAB" w:rsidP="00541B0D">
            <w:pPr>
              <w:ind w:left="37"/>
              <w:rPr>
                <w:szCs w:val="22"/>
              </w:rPr>
            </w:pPr>
            <w:r w:rsidRPr="00541B0D">
              <w:rPr>
                <w:szCs w:val="22"/>
              </w:rPr>
              <w:t>Approved indications</w:t>
            </w:r>
          </w:p>
        </w:tc>
      </w:tr>
      <w:tr w:rsidR="00541B0D" w:rsidRPr="00541B0D" w14:paraId="737C8EFD" w14:textId="77777777" w:rsidTr="00541B0D">
        <w:tc>
          <w:tcPr>
            <w:tcW w:w="982" w:type="pct"/>
            <w:tcBorders>
              <w:top w:val="single" w:sz="4" w:space="0" w:color="auto"/>
            </w:tcBorders>
          </w:tcPr>
          <w:p w14:paraId="4FFC61DD" w14:textId="77777777" w:rsidR="00006FAB" w:rsidRPr="00541B0D" w:rsidRDefault="00D03795" w:rsidP="00541B0D">
            <w:pPr>
              <w:ind w:left="0"/>
              <w:rPr>
                <w:szCs w:val="22"/>
              </w:rPr>
            </w:pPr>
            <w:r w:rsidRPr="00541B0D">
              <w:rPr>
                <w:szCs w:val="22"/>
              </w:rPr>
              <w:t>USA</w:t>
            </w:r>
          </w:p>
        </w:tc>
        <w:tc>
          <w:tcPr>
            <w:tcW w:w="1066" w:type="pct"/>
            <w:tcBorders>
              <w:top w:val="single" w:sz="4" w:space="0" w:color="auto"/>
            </w:tcBorders>
          </w:tcPr>
          <w:p w14:paraId="20433CD8" w14:textId="25454591" w:rsidR="00006FAB" w:rsidRPr="00541B0D" w:rsidRDefault="007E5505" w:rsidP="00541B0D">
            <w:pPr>
              <w:ind w:left="0"/>
              <w:rPr>
                <w:szCs w:val="22"/>
              </w:rPr>
            </w:pPr>
            <w:r w:rsidRPr="00541B0D">
              <w:rPr>
                <w:szCs w:val="22"/>
              </w:rPr>
              <w:t>15</w:t>
            </w:r>
            <w:r w:rsidR="004F74B1" w:rsidRPr="00541B0D">
              <w:rPr>
                <w:szCs w:val="22"/>
              </w:rPr>
              <w:t xml:space="preserve"> </w:t>
            </w:r>
            <w:r w:rsidR="00627358" w:rsidRPr="00541B0D">
              <w:rPr>
                <w:szCs w:val="22"/>
              </w:rPr>
              <w:t>December 2017</w:t>
            </w:r>
          </w:p>
        </w:tc>
        <w:tc>
          <w:tcPr>
            <w:tcW w:w="984" w:type="pct"/>
            <w:tcBorders>
              <w:top w:val="single" w:sz="4" w:space="0" w:color="auto"/>
            </w:tcBorders>
          </w:tcPr>
          <w:p w14:paraId="4E81F0FA" w14:textId="77777777" w:rsidR="00006FAB" w:rsidRPr="00541B0D" w:rsidRDefault="00006FAB" w:rsidP="00541B0D">
            <w:pPr>
              <w:ind w:left="0"/>
              <w:rPr>
                <w:szCs w:val="22"/>
              </w:rPr>
            </w:pPr>
            <w:r w:rsidRPr="00541B0D">
              <w:rPr>
                <w:szCs w:val="22"/>
              </w:rPr>
              <w:t xml:space="preserve">Approved on </w:t>
            </w:r>
            <w:r w:rsidR="00D70F8D" w:rsidRPr="00541B0D">
              <w:rPr>
                <w:szCs w:val="22"/>
              </w:rPr>
              <w:t>16 January 2019</w:t>
            </w:r>
          </w:p>
        </w:tc>
        <w:tc>
          <w:tcPr>
            <w:tcW w:w="1968" w:type="pct"/>
            <w:tcBorders>
              <w:top w:val="single" w:sz="4" w:space="0" w:color="auto"/>
            </w:tcBorders>
          </w:tcPr>
          <w:p w14:paraId="6A067DBC" w14:textId="77777777" w:rsidR="00D70F8D" w:rsidRPr="00541B0D" w:rsidRDefault="00D70F8D" w:rsidP="00541B0D">
            <w:pPr>
              <w:ind w:left="37"/>
              <w:rPr>
                <w:i/>
                <w:szCs w:val="22"/>
              </w:rPr>
            </w:pPr>
            <w:r w:rsidRPr="00541B0D">
              <w:rPr>
                <w:i/>
                <w:szCs w:val="22"/>
              </w:rPr>
              <w:t>Trientine Hydrochloride Capsule is indicated in the treatment of patients with Wilson’s disease who are intolerant of penicillamine. Clinical experience with Trientine Hydrochloride Capsule is limited and alternate dosing regimens have not been well-characterized; all endpoints in determining an individual patient’s dose have not been well defined. Trientine Hydrochloride Capsule and penicillamine cannot be considered interchangeable. Trientine Hydrochloride Capsule should be used when continued treatment with penicillamine is no longer possible because of intolerable or life endangering side effects.</w:t>
            </w:r>
          </w:p>
          <w:p w14:paraId="16128A1D" w14:textId="5947A0D9" w:rsidR="00D70F8D" w:rsidRPr="00541B0D" w:rsidRDefault="00D70F8D" w:rsidP="00541B0D">
            <w:pPr>
              <w:ind w:left="37"/>
              <w:rPr>
                <w:i/>
                <w:szCs w:val="22"/>
              </w:rPr>
            </w:pPr>
            <w:r w:rsidRPr="00541B0D">
              <w:rPr>
                <w:i/>
                <w:szCs w:val="22"/>
              </w:rPr>
              <w:t xml:space="preserve">Unlike penicillamine, Trientine Hydrochloride Capsule is not recommended in </w:t>
            </w:r>
            <w:proofErr w:type="spellStart"/>
            <w:r w:rsidRPr="00541B0D">
              <w:rPr>
                <w:i/>
                <w:szCs w:val="22"/>
              </w:rPr>
              <w:t>cystinuria</w:t>
            </w:r>
            <w:proofErr w:type="spellEnd"/>
            <w:r w:rsidRPr="00541B0D">
              <w:rPr>
                <w:i/>
                <w:szCs w:val="22"/>
              </w:rPr>
              <w:t xml:space="preserve"> or rheumatoid arthritis. The absence of a sulfhydryl moiety renders it incapable of binding </w:t>
            </w:r>
            <w:proofErr w:type="spellStart"/>
            <w:r w:rsidRPr="00541B0D">
              <w:rPr>
                <w:i/>
                <w:szCs w:val="22"/>
              </w:rPr>
              <w:t>cystine</w:t>
            </w:r>
            <w:proofErr w:type="spellEnd"/>
            <w:r w:rsidRPr="00541B0D">
              <w:rPr>
                <w:i/>
                <w:szCs w:val="22"/>
              </w:rPr>
              <w:t xml:space="preserve"> and, therefore, it is of no use in </w:t>
            </w:r>
            <w:proofErr w:type="spellStart"/>
            <w:r w:rsidRPr="00541B0D">
              <w:rPr>
                <w:i/>
                <w:szCs w:val="22"/>
              </w:rPr>
              <w:t>cystinuria</w:t>
            </w:r>
            <w:proofErr w:type="spellEnd"/>
            <w:r w:rsidRPr="00541B0D">
              <w:rPr>
                <w:i/>
                <w:szCs w:val="22"/>
              </w:rPr>
              <w:t>. In 15 patients with rheumatoid arthritis, Trientine Hydrochloride Capsule was reported not to be effective in improving any clinical or biochemical parameter after 12</w:t>
            </w:r>
            <w:r w:rsidR="00445659" w:rsidRPr="00541B0D">
              <w:rPr>
                <w:i/>
                <w:szCs w:val="22"/>
              </w:rPr>
              <w:t> </w:t>
            </w:r>
            <w:r w:rsidRPr="00541B0D">
              <w:rPr>
                <w:i/>
                <w:szCs w:val="22"/>
              </w:rPr>
              <w:t>weeks of treatment.</w:t>
            </w:r>
          </w:p>
          <w:p w14:paraId="604934D4" w14:textId="77777777" w:rsidR="00006FAB" w:rsidRPr="00541B0D" w:rsidRDefault="00D70F8D" w:rsidP="00541B0D">
            <w:pPr>
              <w:ind w:left="37"/>
              <w:rPr>
                <w:i/>
                <w:szCs w:val="22"/>
              </w:rPr>
            </w:pPr>
            <w:r w:rsidRPr="00541B0D">
              <w:rPr>
                <w:i/>
                <w:szCs w:val="22"/>
              </w:rPr>
              <w:t>Trientine Hydrochloride Capsule is not indicated for treatment of biliary cirrhosis.</w:t>
            </w:r>
          </w:p>
        </w:tc>
      </w:tr>
      <w:tr w:rsidR="00541B0D" w:rsidRPr="00541B0D" w14:paraId="144A4499" w14:textId="77777777" w:rsidTr="00541B0D">
        <w:tc>
          <w:tcPr>
            <w:tcW w:w="982" w:type="pct"/>
          </w:tcPr>
          <w:p w14:paraId="0C868848" w14:textId="77777777" w:rsidR="00006FAB" w:rsidRPr="00541B0D" w:rsidRDefault="00D70F8D" w:rsidP="00541B0D">
            <w:pPr>
              <w:ind w:left="0"/>
              <w:rPr>
                <w:szCs w:val="22"/>
              </w:rPr>
            </w:pPr>
            <w:r w:rsidRPr="00541B0D">
              <w:rPr>
                <w:szCs w:val="22"/>
              </w:rPr>
              <w:t>Canada</w:t>
            </w:r>
          </w:p>
        </w:tc>
        <w:tc>
          <w:tcPr>
            <w:tcW w:w="1066" w:type="pct"/>
          </w:tcPr>
          <w:p w14:paraId="2026FC1D" w14:textId="77777777" w:rsidR="00006FAB" w:rsidRPr="00541B0D" w:rsidRDefault="00D70F8D" w:rsidP="00541B0D">
            <w:pPr>
              <w:ind w:left="0"/>
              <w:rPr>
                <w:szCs w:val="22"/>
              </w:rPr>
            </w:pPr>
            <w:r w:rsidRPr="00541B0D">
              <w:rPr>
                <w:szCs w:val="22"/>
              </w:rPr>
              <w:t>8 July 2019</w:t>
            </w:r>
          </w:p>
        </w:tc>
        <w:tc>
          <w:tcPr>
            <w:tcW w:w="984" w:type="pct"/>
          </w:tcPr>
          <w:p w14:paraId="12A2A2BB" w14:textId="77777777" w:rsidR="00006FAB" w:rsidRPr="00541B0D" w:rsidRDefault="00D70F8D" w:rsidP="00541B0D">
            <w:pPr>
              <w:ind w:left="0"/>
              <w:rPr>
                <w:szCs w:val="22"/>
              </w:rPr>
            </w:pPr>
            <w:r w:rsidRPr="00541B0D">
              <w:rPr>
                <w:szCs w:val="22"/>
              </w:rPr>
              <w:t>Under consideration</w:t>
            </w:r>
          </w:p>
        </w:tc>
        <w:tc>
          <w:tcPr>
            <w:tcW w:w="1968" w:type="pct"/>
          </w:tcPr>
          <w:p w14:paraId="04498A46" w14:textId="77777777" w:rsidR="00006FAB" w:rsidRPr="00541B0D" w:rsidRDefault="00D70F8D" w:rsidP="00541B0D">
            <w:pPr>
              <w:ind w:left="37"/>
              <w:rPr>
                <w:szCs w:val="22"/>
              </w:rPr>
            </w:pPr>
            <w:r w:rsidRPr="00541B0D">
              <w:rPr>
                <w:szCs w:val="22"/>
              </w:rPr>
              <w:t>Under consideration</w:t>
            </w:r>
          </w:p>
        </w:tc>
      </w:tr>
      <w:tr w:rsidR="00541B0D" w:rsidRPr="00541B0D" w14:paraId="7A9911D2" w14:textId="77777777" w:rsidTr="00541B0D">
        <w:tc>
          <w:tcPr>
            <w:tcW w:w="982" w:type="pct"/>
          </w:tcPr>
          <w:p w14:paraId="003658A9" w14:textId="77777777" w:rsidR="00D70F8D" w:rsidRPr="00541B0D" w:rsidRDefault="00D70F8D" w:rsidP="00541B0D">
            <w:pPr>
              <w:ind w:left="0"/>
              <w:rPr>
                <w:szCs w:val="22"/>
              </w:rPr>
            </w:pPr>
            <w:r w:rsidRPr="00541B0D">
              <w:rPr>
                <w:szCs w:val="22"/>
              </w:rPr>
              <w:t>Switzerland</w:t>
            </w:r>
          </w:p>
        </w:tc>
        <w:tc>
          <w:tcPr>
            <w:tcW w:w="1066" w:type="pct"/>
          </w:tcPr>
          <w:p w14:paraId="3FF3EBEA" w14:textId="77777777" w:rsidR="00D70F8D" w:rsidRPr="00541B0D" w:rsidRDefault="00D70F8D" w:rsidP="00541B0D">
            <w:pPr>
              <w:ind w:left="0"/>
              <w:rPr>
                <w:szCs w:val="22"/>
              </w:rPr>
            </w:pPr>
            <w:r w:rsidRPr="00541B0D">
              <w:rPr>
                <w:szCs w:val="22"/>
              </w:rPr>
              <w:t>7 August 2020</w:t>
            </w:r>
          </w:p>
        </w:tc>
        <w:tc>
          <w:tcPr>
            <w:tcW w:w="984" w:type="pct"/>
          </w:tcPr>
          <w:p w14:paraId="0BAE4368" w14:textId="77777777" w:rsidR="00D70F8D" w:rsidRPr="00541B0D" w:rsidRDefault="00D70F8D" w:rsidP="00541B0D">
            <w:pPr>
              <w:ind w:left="0"/>
              <w:rPr>
                <w:szCs w:val="22"/>
              </w:rPr>
            </w:pPr>
            <w:r w:rsidRPr="00541B0D">
              <w:rPr>
                <w:szCs w:val="22"/>
              </w:rPr>
              <w:t>Under consideration</w:t>
            </w:r>
          </w:p>
        </w:tc>
        <w:tc>
          <w:tcPr>
            <w:tcW w:w="1968" w:type="pct"/>
          </w:tcPr>
          <w:p w14:paraId="375CB503" w14:textId="77777777" w:rsidR="00D70F8D" w:rsidRPr="00541B0D" w:rsidRDefault="00D70F8D" w:rsidP="00541B0D">
            <w:pPr>
              <w:ind w:left="37"/>
              <w:rPr>
                <w:szCs w:val="22"/>
              </w:rPr>
            </w:pPr>
            <w:r w:rsidRPr="00541B0D">
              <w:rPr>
                <w:szCs w:val="22"/>
              </w:rPr>
              <w:t>Under consideration</w:t>
            </w:r>
          </w:p>
        </w:tc>
      </w:tr>
      <w:tr w:rsidR="00541B0D" w:rsidRPr="00541B0D" w14:paraId="646AD9E1" w14:textId="77777777" w:rsidTr="00541B0D">
        <w:tc>
          <w:tcPr>
            <w:tcW w:w="982" w:type="pct"/>
          </w:tcPr>
          <w:p w14:paraId="5D4DAE68" w14:textId="77777777" w:rsidR="00D70F8D" w:rsidRPr="00541B0D" w:rsidRDefault="00D70F8D" w:rsidP="00541B0D">
            <w:pPr>
              <w:ind w:left="0"/>
              <w:rPr>
                <w:szCs w:val="22"/>
              </w:rPr>
            </w:pPr>
            <w:r w:rsidRPr="00541B0D">
              <w:rPr>
                <w:szCs w:val="22"/>
              </w:rPr>
              <w:t>New Zealand</w:t>
            </w:r>
          </w:p>
        </w:tc>
        <w:tc>
          <w:tcPr>
            <w:tcW w:w="1066" w:type="pct"/>
          </w:tcPr>
          <w:p w14:paraId="0828B536" w14:textId="527D4FE0" w:rsidR="00D70F8D" w:rsidRPr="00541B0D" w:rsidRDefault="007A7AE5" w:rsidP="00541B0D">
            <w:pPr>
              <w:ind w:left="0"/>
              <w:rPr>
                <w:szCs w:val="22"/>
              </w:rPr>
            </w:pPr>
            <w:r w:rsidRPr="00541B0D">
              <w:rPr>
                <w:szCs w:val="22"/>
              </w:rPr>
              <w:t>6 March 2020</w:t>
            </w:r>
          </w:p>
        </w:tc>
        <w:tc>
          <w:tcPr>
            <w:tcW w:w="984" w:type="pct"/>
          </w:tcPr>
          <w:p w14:paraId="1CBC7B89" w14:textId="77777777" w:rsidR="00D70F8D" w:rsidRPr="00541B0D" w:rsidRDefault="00D70F8D" w:rsidP="00541B0D">
            <w:pPr>
              <w:ind w:left="0"/>
              <w:rPr>
                <w:szCs w:val="22"/>
              </w:rPr>
            </w:pPr>
            <w:r w:rsidRPr="00541B0D">
              <w:rPr>
                <w:szCs w:val="22"/>
              </w:rPr>
              <w:t>Under consideration</w:t>
            </w:r>
          </w:p>
        </w:tc>
        <w:tc>
          <w:tcPr>
            <w:tcW w:w="1968" w:type="pct"/>
          </w:tcPr>
          <w:p w14:paraId="05DC02FA" w14:textId="77777777" w:rsidR="00D70F8D" w:rsidRPr="00541B0D" w:rsidRDefault="00D70F8D" w:rsidP="00541B0D">
            <w:pPr>
              <w:ind w:left="37"/>
              <w:rPr>
                <w:szCs w:val="22"/>
              </w:rPr>
            </w:pPr>
            <w:r w:rsidRPr="00541B0D">
              <w:rPr>
                <w:szCs w:val="22"/>
              </w:rPr>
              <w:t>Under consideration</w:t>
            </w:r>
          </w:p>
        </w:tc>
      </w:tr>
    </w:tbl>
    <w:p w14:paraId="72357B41" w14:textId="77777777" w:rsidR="008E7846" w:rsidRPr="00616A3B" w:rsidRDefault="008E7846" w:rsidP="00940A89">
      <w:pPr>
        <w:pStyle w:val="Heading3"/>
      </w:pPr>
      <w:bookmarkStart w:id="22" w:name="_Toc70931347"/>
      <w:r w:rsidRPr="00616A3B">
        <w:t>Product Information</w:t>
      </w:r>
      <w:bookmarkEnd w:id="20"/>
      <w:bookmarkEnd w:id="21"/>
      <w:bookmarkEnd w:id="22"/>
    </w:p>
    <w:p w14:paraId="08C669BF" w14:textId="5944DF3F" w:rsidR="00940A89" w:rsidRPr="00616A3B" w:rsidRDefault="006136D7" w:rsidP="00940A89">
      <w:bookmarkStart w:id="23" w:name="_Toc247691506"/>
      <w:bookmarkStart w:id="24" w:name="_Toc314842487"/>
      <w:r w:rsidRPr="00616A3B">
        <w:t xml:space="preserve">The Product Information (PI) approved with the submission which is described in this AusPAR can be found as Attachment 1. For the most recent PI, please refer to the TGA website at </w:t>
      </w:r>
      <w:r w:rsidR="00441C3F" w:rsidRPr="00616A3B">
        <w:t>&lt;</w:t>
      </w:r>
      <w:hyperlink r:id="rId19" w:history="1">
        <w:r w:rsidR="00441C3F" w:rsidRPr="00616A3B">
          <w:rPr>
            <w:rStyle w:val="Hyperlink"/>
          </w:rPr>
          <w:t>https://www.tga.gov.au/product-information-pi</w:t>
        </w:r>
      </w:hyperlink>
      <w:r w:rsidR="00441C3F" w:rsidRPr="00616A3B">
        <w:t>&gt;</w:t>
      </w:r>
      <w:r w:rsidR="00940A89" w:rsidRPr="00616A3B">
        <w:t>.</w:t>
      </w:r>
    </w:p>
    <w:p w14:paraId="3ED3850D" w14:textId="77777777" w:rsidR="00500337" w:rsidRPr="00616A3B" w:rsidRDefault="00500337" w:rsidP="00500337">
      <w:pPr>
        <w:pStyle w:val="Heading2"/>
      </w:pPr>
      <w:bookmarkStart w:id="25" w:name="_Toc504480011"/>
      <w:bookmarkStart w:id="26" w:name="_Toc70931348"/>
      <w:r w:rsidRPr="00616A3B">
        <w:t>II. Registration timeline</w:t>
      </w:r>
      <w:bookmarkEnd w:id="25"/>
      <w:bookmarkEnd w:id="26"/>
    </w:p>
    <w:p w14:paraId="53A41432" w14:textId="77777777" w:rsidR="00500337" w:rsidRPr="00616A3B" w:rsidRDefault="00500337" w:rsidP="00500337">
      <w:r w:rsidRPr="00616A3B">
        <w:t>The following table captures the key steps and dates for this application and which are detailed and discussed in this AusPAR.</w:t>
      </w:r>
    </w:p>
    <w:p w14:paraId="58A79F26" w14:textId="73861D48" w:rsidR="006A58A8" w:rsidRPr="00616A3B" w:rsidRDefault="00D7461E" w:rsidP="00D7461E">
      <w:pPr>
        <w:pStyle w:val="TableTitle"/>
      </w:pPr>
      <w:r w:rsidRPr="00616A3B">
        <w:t xml:space="preserve">Table </w:t>
      </w:r>
      <w:fldSimple w:instr=" SEQ Table \* ARABIC ">
        <w:r w:rsidR="005815A1">
          <w:rPr>
            <w:noProof/>
          </w:rPr>
          <w:t>2</w:t>
        </w:r>
      </w:fldSimple>
      <w:r w:rsidR="00006FAB" w:rsidRPr="00616A3B">
        <w:t>:</w:t>
      </w:r>
      <w:r w:rsidR="006A58A8" w:rsidRPr="00616A3B">
        <w:t xml:space="preserve"> Timeline for Submission PM-</w:t>
      </w:r>
      <w:r w:rsidR="00FE4A19" w:rsidRPr="00616A3B">
        <w:t>2019-05976-1-3</w:t>
      </w:r>
    </w:p>
    <w:tbl>
      <w:tblPr>
        <w:tblStyle w:val="TableTGAblue"/>
        <w:tblW w:w="0" w:type="auto"/>
        <w:tblLook w:val="04A0" w:firstRow="1" w:lastRow="0" w:firstColumn="1" w:lastColumn="0" w:noHBand="0" w:noVBand="1"/>
      </w:tblPr>
      <w:tblGrid>
        <w:gridCol w:w="5807"/>
        <w:gridCol w:w="2687"/>
      </w:tblGrid>
      <w:tr w:rsidR="00500337" w:rsidRPr="00616A3B" w14:paraId="2EAC3823" w14:textId="77777777" w:rsidTr="00541B0D">
        <w:trPr>
          <w:cnfStyle w:val="100000000000" w:firstRow="1" w:lastRow="0" w:firstColumn="0" w:lastColumn="0" w:oddVBand="0" w:evenVBand="0" w:oddHBand="0" w:evenHBand="0" w:firstRowFirstColumn="0" w:firstRowLastColumn="0" w:lastRowFirstColumn="0" w:lastRowLastColumn="0"/>
          <w:cantSplit/>
        </w:trPr>
        <w:tc>
          <w:tcPr>
            <w:tcW w:w="5807" w:type="dxa"/>
            <w:tcBorders>
              <w:top w:val="single" w:sz="4" w:space="0" w:color="auto"/>
              <w:left w:val="single" w:sz="4" w:space="0" w:color="auto"/>
              <w:bottom w:val="single" w:sz="4" w:space="0" w:color="auto"/>
              <w:right w:val="single" w:sz="4" w:space="0" w:color="auto"/>
            </w:tcBorders>
          </w:tcPr>
          <w:p w14:paraId="31915E9B" w14:textId="77777777" w:rsidR="00500337" w:rsidRPr="00616A3B" w:rsidRDefault="00500337" w:rsidP="00500337">
            <w:pPr>
              <w:ind w:left="0" w:right="0"/>
            </w:pPr>
            <w:r w:rsidRPr="00616A3B">
              <w:t>Description</w:t>
            </w:r>
          </w:p>
        </w:tc>
        <w:tc>
          <w:tcPr>
            <w:tcW w:w="2687" w:type="dxa"/>
            <w:tcBorders>
              <w:top w:val="single" w:sz="4" w:space="0" w:color="auto"/>
              <w:left w:val="single" w:sz="4" w:space="0" w:color="auto"/>
              <w:bottom w:val="single" w:sz="4" w:space="0" w:color="auto"/>
              <w:right w:val="single" w:sz="4" w:space="0" w:color="auto"/>
            </w:tcBorders>
          </w:tcPr>
          <w:p w14:paraId="30E72611" w14:textId="77777777" w:rsidR="00500337" w:rsidRPr="00616A3B" w:rsidRDefault="00500337" w:rsidP="00500337">
            <w:pPr>
              <w:ind w:left="0" w:right="0"/>
            </w:pPr>
            <w:r w:rsidRPr="00616A3B">
              <w:t>Date</w:t>
            </w:r>
          </w:p>
        </w:tc>
      </w:tr>
      <w:tr w:rsidR="00500337" w:rsidRPr="00616A3B" w14:paraId="0CDE9AD5" w14:textId="77777777" w:rsidTr="00541B0D">
        <w:tc>
          <w:tcPr>
            <w:tcW w:w="5807" w:type="dxa"/>
            <w:tcBorders>
              <w:top w:val="single" w:sz="4" w:space="0" w:color="auto"/>
            </w:tcBorders>
          </w:tcPr>
          <w:p w14:paraId="1FF26804" w14:textId="5778496A" w:rsidR="00500337" w:rsidRPr="00616A3B" w:rsidRDefault="00500337" w:rsidP="00D7461E">
            <w:pPr>
              <w:ind w:left="0" w:right="0"/>
            </w:pPr>
            <w:r w:rsidRPr="00616A3B">
              <w:t>Designation (Orphan</w:t>
            </w:r>
            <w:r w:rsidR="00D7461E" w:rsidRPr="00616A3B">
              <w:t>)</w:t>
            </w:r>
            <w:r w:rsidR="00406747">
              <w:rPr>
                <w:rStyle w:val="FootnoteReference"/>
              </w:rPr>
              <w:footnoteReference w:id="2"/>
            </w:r>
          </w:p>
        </w:tc>
        <w:tc>
          <w:tcPr>
            <w:tcW w:w="2687" w:type="dxa"/>
            <w:tcBorders>
              <w:top w:val="single" w:sz="4" w:space="0" w:color="auto"/>
            </w:tcBorders>
          </w:tcPr>
          <w:p w14:paraId="318D1801" w14:textId="77777777" w:rsidR="00500337" w:rsidRPr="00616A3B" w:rsidRDefault="00D7461E" w:rsidP="00500337">
            <w:pPr>
              <w:ind w:left="0" w:right="0"/>
            </w:pPr>
            <w:r w:rsidRPr="00616A3B">
              <w:t>7 August 2019</w:t>
            </w:r>
          </w:p>
        </w:tc>
      </w:tr>
      <w:tr w:rsidR="00500337" w:rsidRPr="00616A3B" w14:paraId="4C70A522" w14:textId="77777777" w:rsidTr="00541B0D">
        <w:tc>
          <w:tcPr>
            <w:tcW w:w="5807" w:type="dxa"/>
          </w:tcPr>
          <w:p w14:paraId="52E6A742" w14:textId="77777777" w:rsidR="00500337" w:rsidRPr="00616A3B" w:rsidRDefault="00500337" w:rsidP="00500337">
            <w:pPr>
              <w:ind w:left="0" w:right="0"/>
            </w:pPr>
            <w:r w:rsidRPr="00616A3B">
              <w:t>Submission dossier accepted and first round evaluation commenced</w:t>
            </w:r>
          </w:p>
        </w:tc>
        <w:tc>
          <w:tcPr>
            <w:tcW w:w="2687" w:type="dxa"/>
          </w:tcPr>
          <w:p w14:paraId="75AB6C8F" w14:textId="77777777" w:rsidR="00500337" w:rsidRPr="00616A3B" w:rsidRDefault="00D7461E" w:rsidP="00500337">
            <w:pPr>
              <w:ind w:left="0" w:right="0"/>
            </w:pPr>
            <w:r w:rsidRPr="00616A3B">
              <w:t>30 January 2020</w:t>
            </w:r>
          </w:p>
        </w:tc>
      </w:tr>
      <w:tr w:rsidR="00500337" w:rsidRPr="00616A3B" w14:paraId="0E7B08C8" w14:textId="77777777" w:rsidTr="00541B0D">
        <w:tc>
          <w:tcPr>
            <w:tcW w:w="5807" w:type="dxa"/>
          </w:tcPr>
          <w:p w14:paraId="187BD482" w14:textId="77777777" w:rsidR="00500337" w:rsidRPr="00616A3B" w:rsidRDefault="00500337" w:rsidP="00500337">
            <w:pPr>
              <w:ind w:left="0" w:right="0"/>
            </w:pPr>
            <w:r w:rsidRPr="00616A3B">
              <w:t>First round evaluation completed</w:t>
            </w:r>
          </w:p>
        </w:tc>
        <w:tc>
          <w:tcPr>
            <w:tcW w:w="2687" w:type="dxa"/>
          </w:tcPr>
          <w:p w14:paraId="619439D2" w14:textId="77777777" w:rsidR="00500337" w:rsidRPr="00616A3B" w:rsidRDefault="00D7461E" w:rsidP="00500337">
            <w:pPr>
              <w:ind w:left="0" w:right="0"/>
            </w:pPr>
            <w:r w:rsidRPr="00616A3B">
              <w:t>30 June 2020</w:t>
            </w:r>
          </w:p>
        </w:tc>
      </w:tr>
      <w:tr w:rsidR="00500337" w:rsidRPr="00616A3B" w14:paraId="70E80BB4" w14:textId="77777777" w:rsidTr="00541B0D">
        <w:tc>
          <w:tcPr>
            <w:tcW w:w="5807" w:type="dxa"/>
          </w:tcPr>
          <w:p w14:paraId="210C8BD1" w14:textId="77777777" w:rsidR="00500337" w:rsidRPr="00616A3B" w:rsidRDefault="00500337" w:rsidP="00500337">
            <w:pPr>
              <w:ind w:left="0" w:right="0"/>
            </w:pPr>
            <w:r w:rsidRPr="00616A3B">
              <w:t>Sponsor provides responses on questions raised in first round evaluation</w:t>
            </w:r>
          </w:p>
        </w:tc>
        <w:tc>
          <w:tcPr>
            <w:tcW w:w="2687" w:type="dxa"/>
          </w:tcPr>
          <w:p w14:paraId="795C9C60" w14:textId="77777777" w:rsidR="00500337" w:rsidRPr="00616A3B" w:rsidRDefault="00D7461E" w:rsidP="00500337">
            <w:pPr>
              <w:ind w:left="0" w:right="0"/>
            </w:pPr>
            <w:r w:rsidRPr="00616A3B">
              <w:t>31 August 2020</w:t>
            </w:r>
          </w:p>
        </w:tc>
      </w:tr>
      <w:tr w:rsidR="00500337" w:rsidRPr="00616A3B" w14:paraId="7C1EC184" w14:textId="77777777" w:rsidTr="00541B0D">
        <w:tc>
          <w:tcPr>
            <w:tcW w:w="5807" w:type="dxa"/>
          </w:tcPr>
          <w:p w14:paraId="1115E9E9" w14:textId="77777777" w:rsidR="00500337" w:rsidRPr="00616A3B" w:rsidRDefault="00500337" w:rsidP="00500337">
            <w:pPr>
              <w:ind w:left="0" w:right="0"/>
            </w:pPr>
            <w:r w:rsidRPr="00616A3B">
              <w:t>Second round evaluation completed</w:t>
            </w:r>
          </w:p>
        </w:tc>
        <w:tc>
          <w:tcPr>
            <w:tcW w:w="2687" w:type="dxa"/>
          </w:tcPr>
          <w:p w14:paraId="10BB4A51" w14:textId="77777777" w:rsidR="00500337" w:rsidRPr="00616A3B" w:rsidRDefault="00D7461E" w:rsidP="00500337">
            <w:pPr>
              <w:ind w:left="0" w:right="0"/>
            </w:pPr>
            <w:r w:rsidRPr="00616A3B">
              <w:t>19 October 2020</w:t>
            </w:r>
          </w:p>
        </w:tc>
      </w:tr>
      <w:tr w:rsidR="00500337" w:rsidRPr="00616A3B" w14:paraId="78EB374C" w14:textId="77777777" w:rsidTr="00541B0D">
        <w:tc>
          <w:tcPr>
            <w:tcW w:w="5807" w:type="dxa"/>
          </w:tcPr>
          <w:p w14:paraId="42F2D8B8" w14:textId="77777777" w:rsidR="00500337" w:rsidRPr="00616A3B" w:rsidRDefault="00324E45" w:rsidP="00500337">
            <w:pPr>
              <w:ind w:left="0" w:right="0"/>
            </w:pPr>
            <w:r w:rsidRPr="00616A3B">
              <w:t>Delegate’s Overall benefit-risk assessment and request for Advisory Comm</w:t>
            </w:r>
            <w:r w:rsidR="00D7461E" w:rsidRPr="00616A3B">
              <w:t>ittee advice</w:t>
            </w:r>
          </w:p>
        </w:tc>
        <w:tc>
          <w:tcPr>
            <w:tcW w:w="2687" w:type="dxa"/>
          </w:tcPr>
          <w:p w14:paraId="7970D6BE" w14:textId="77777777" w:rsidR="00500337" w:rsidRPr="00616A3B" w:rsidRDefault="00D7461E" w:rsidP="00500337">
            <w:pPr>
              <w:ind w:left="0" w:right="0"/>
            </w:pPr>
            <w:r w:rsidRPr="00616A3B">
              <w:t>2 November 2020</w:t>
            </w:r>
          </w:p>
        </w:tc>
      </w:tr>
      <w:tr w:rsidR="00500337" w:rsidRPr="00616A3B" w14:paraId="3607CFE2" w14:textId="77777777" w:rsidTr="00541B0D">
        <w:tc>
          <w:tcPr>
            <w:tcW w:w="5807" w:type="dxa"/>
          </w:tcPr>
          <w:p w14:paraId="72B55D9C" w14:textId="77777777" w:rsidR="00500337" w:rsidRPr="00616A3B" w:rsidRDefault="00500337" w:rsidP="00500337">
            <w:pPr>
              <w:ind w:left="0" w:right="0"/>
            </w:pPr>
            <w:r w:rsidRPr="00616A3B">
              <w:t>Sponsor’s pre-Advisory Committee response</w:t>
            </w:r>
          </w:p>
        </w:tc>
        <w:tc>
          <w:tcPr>
            <w:tcW w:w="2687" w:type="dxa"/>
          </w:tcPr>
          <w:p w14:paraId="32D52561" w14:textId="77777777" w:rsidR="00500337" w:rsidRPr="00616A3B" w:rsidRDefault="00D7461E" w:rsidP="00500337">
            <w:pPr>
              <w:ind w:left="0" w:right="0"/>
            </w:pPr>
            <w:r w:rsidRPr="00616A3B">
              <w:t>13 November 2020</w:t>
            </w:r>
          </w:p>
        </w:tc>
      </w:tr>
      <w:tr w:rsidR="00500337" w:rsidRPr="00616A3B" w14:paraId="05CE74A4" w14:textId="77777777" w:rsidTr="00541B0D">
        <w:tc>
          <w:tcPr>
            <w:tcW w:w="5807" w:type="dxa"/>
          </w:tcPr>
          <w:p w14:paraId="64BEDC2E" w14:textId="77777777" w:rsidR="00500337" w:rsidRPr="00616A3B" w:rsidRDefault="00500337" w:rsidP="00500337">
            <w:pPr>
              <w:ind w:left="0" w:right="0"/>
            </w:pPr>
            <w:r w:rsidRPr="00616A3B">
              <w:t>Advisory Committee meeting</w:t>
            </w:r>
          </w:p>
        </w:tc>
        <w:tc>
          <w:tcPr>
            <w:tcW w:w="2687" w:type="dxa"/>
          </w:tcPr>
          <w:p w14:paraId="0911AAB4" w14:textId="77777777" w:rsidR="00500337" w:rsidRPr="00616A3B" w:rsidRDefault="00D7461E" w:rsidP="00500337">
            <w:pPr>
              <w:ind w:left="0" w:right="0"/>
            </w:pPr>
            <w:r w:rsidRPr="00616A3B">
              <w:t>3 to 4 December 2020</w:t>
            </w:r>
          </w:p>
        </w:tc>
      </w:tr>
      <w:tr w:rsidR="00500337" w:rsidRPr="00616A3B" w14:paraId="00C0F58E" w14:textId="77777777" w:rsidTr="00541B0D">
        <w:tc>
          <w:tcPr>
            <w:tcW w:w="5807" w:type="dxa"/>
          </w:tcPr>
          <w:p w14:paraId="5C5D625C" w14:textId="77777777" w:rsidR="00500337" w:rsidRPr="00616A3B" w:rsidRDefault="00500337" w:rsidP="00500337">
            <w:pPr>
              <w:ind w:left="0" w:right="0"/>
            </w:pPr>
            <w:r w:rsidRPr="00616A3B">
              <w:t>Registration decision (Outcome)</w:t>
            </w:r>
          </w:p>
        </w:tc>
        <w:tc>
          <w:tcPr>
            <w:tcW w:w="2687" w:type="dxa"/>
          </w:tcPr>
          <w:p w14:paraId="059358C3" w14:textId="77777777" w:rsidR="00500337" w:rsidRPr="00616A3B" w:rsidRDefault="00D7461E" w:rsidP="00500337">
            <w:pPr>
              <w:ind w:left="0" w:right="0"/>
            </w:pPr>
            <w:r w:rsidRPr="00616A3B">
              <w:t>7 January 2021</w:t>
            </w:r>
          </w:p>
        </w:tc>
      </w:tr>
      <w:tr w:rsidR="00500337" w:rsidRPr="00616A3B" w14:paraId="7DA41350" w14:textId="77777777" w:rsidTr="00541B0D">
        <w:tc>
          <w:tcPr>
            <w:tcW w:w="5807" w:type="dxa"/>
          </w:tcPr>
          <w:p w14:paraId="0598EB5B" w14:textId="77777777" w:rsidR="00500337" w:rsidRPr="00616A3B" w:rsidRDefault="00500337" w:rsidP="00500337">
            <w:pPr>
              <w:ind w:left="0" w:right="0"/>
            </w:pPr>
            <w:r w:rsidRPr="00616A3B">
              <w:t xml:space="preserve">Completion of administrative activities and registration on </w:t>
            </w:r>
            <w:r w:rsidR="00006FAB" w:rsidRPr="00616A3B">
              <w:t xml:space="preserve">the </w:t>
            </w:r>
            <w:r w:rsidRPr="00616A3B">
              <w:t>ARTG</w:t>
            </w:r>
          </w:p>
        </w:tc>
        <w:tc>
          <w:tcPr>
            <w:tcW w:w="2687" w:type="dxa"/>
          </w:tcPr>
          <w:p w14:paraId="5689C053" w14:textId="77777777" w:rsidR="00500337" w:rsidRPr="00616A3B" w:rsidRDefault="00D7461E" w:rsidP="00500337">
            <w:pPr>
              <w:ind w:left="0" w:right="0"/>
            </w:pPr>
            <w:r w:rsidRPr="00616A3B">
              <w:t>11 January 2021</w:t>
            </w:r>
          </w:p>
        </w:tc>
      </w:tr>
      <w:tr w:rsidR="00500337" w:rsidRPr="00616A3B" w14:paraId="2B6AFAC2" w14:textId="77777777" w:rsidTr="00541B0D">
        <w:tc>
          <w:tcPr>
            <w:tcW w:w="5807" w:type="dxa"/>
          </w:tcPr>
          <w:p w14:paraId="1A85D8E1" w14:textId="77777777" w:rsidR="00500337" w:rsidRPr="00616A3B" w:rsidRDefault="00500337" w:rsidP="00500337">
            <w:pPr>
              <w:ind w:left="0" w:right="0"/>
            </w:pPr>
            <w:r w:rsidRPr="00616A3B">
              <w:t>Number of working days from submission dossier acceptance to registration decision*</w:t>
            </w:r>
          </w:p>
        </w:tc>
        <w:tc>
          <w:tcPr>
            <w:tcW w:w="2687" w:type="dxa"/>
          </w:tcPr>
          <w:p w14:paraId="1BDDEA1C" w14:textId="77777777" w:rsidR="00500337" w:rsidRPr="00616A3B" w:rsidRDefault="00D7461E" w:rsidP="00500337">
            <w:pPr>
              <w:ind w:left="0" w:right="0"/>
            </w:pPr>
            <w:r w:rsidRPr="00616A3B">
              <w:t>188</w:t>
            </w:r>
          </w:p>
        </w:tc>
      </w:tr>
    </w:tbl>
    <w:p w14:paraId="42229C00" w14:textId="77777777" w:rsidR="00500337" w:rsidRPr="00616A3B" w:rsidRDefault="00500337" w:rsidP="00500337">
      <w:pPr>
        <w:pStyle w:val="TableDescription"/>
      </w:pPr>
      <w:r w:rsidRPr="00616A3B">
        <w:t>*</w:t>
      </w:r>
      <w:r w:rsidR="006603BC" w:rsidRPr="00616A3B">
        <w:t>Statutory timeframe for standard applications is 255 working days</w:t>
      </w:r>
    </w:p>
    <w:p w14:paraId="44C77654" w14:textId="77777777" w:rsidR="008E7846" w:rsidRPr="00616A3B" w:rsidRDefault="00456765" w:rsidP="00445659">
      <w:pPr>
        <w:pStyle w:val="Heading2"/>
      </w:pPr>
      <w:bookmarkStart w:id="27" w:name="_Toc196046504"/>
      <w:bookmarkStart w:id="28" w:name="_Toc247691527"/>
      <w:bookmarkStart w:id="29" w:name="_Toc314842510"/>
      <w:bookmarkStart w:id="30" w:name="_Toc70931349"/>
      <w:bookmarkStart w:id="31" w:name="_Toc163441390"/>
      <w:bookmarkEnd w:id="23"/>
      <w:bookmarkEnd w:id="24"/>
      <w:bookmarkEnd w:id="1"/>
      <w:r w:rsidRPr="00616A3B">
        <w:t>I</w:t>
      </w:r>
      <w:r w:rsidR="00DA64CB" w:rsidRPr="00616A3B">
        <w:t>I</w:t>
      </w:r>
      <w:r w:rsidR="008E7846" w:rsidRPr="00616A3B">
        <w:t xml:space="preserve">I. </w:t>
      </w:r>
      <w:r w:rsidR="00006FAB" w:rsidRPr="00616A3B">
        <w:t xml:space="preserve">Submission overview </w:t>
      </w:r>
      <w:r w:rsidR="008E7846" w:rsidRPr="00616A3B">
        <w:t>and risk/benefit assessment</w:t>
      </w:r>
      <w:bookmarkEnd w:id="27"/>
      <w:bookmarkEnd w:id="28"/>
      <w:bookmarkEnd w:id="29"/>
      <w:bookmarkEnd w:id="30"/>
    </w:p>
    <w:p w14:paraId="3313558D" w14:textId="77777777" w:rsidR="00006FAB" w:rsidRPr="00616A3B" w:rsidRDefault="00006FAB" w:rsidP="006C7E21">
      <w:pPr>
        <w:keepNext/>
      </w:pPr>
      <w:bookmarkStart w:id="32" w:name="_Toc247691528"/>
      <w:r w:rsidRPr="00616A3B">
        <w:t>The submission was summarised in the following Delegate’s overview and recommendations.</w:t>
      </w:r>
    </w:p>
    <w:p w14:paraId="07C5BE52" w14:textId="370DD1BD" w:rsidR="00B95FD0" w:rsidRPr="00616A3B" w:rsidRDefault="00B95FD0" w:rsidP="006C7E21">
      <w:pPr>
        <w:keepNext/>
      </w:pPr>
      <w:r w:rsidRPr="00616A3B">
        <w:t>Relevant guidelines or guidance documents referred to by the Delegate are listed below:</w:t>
      </w:r>
    </w:p>
    <w:p w14:paraId="788028CF" w14:textId="52255C71" w:rsidR="001234F9" w:rsidRPr="00616A3B" w:rsidRDefault="001234F9" w:rsidP="001234F9">
      <w:pPr>
        <w:pStyle w:val="ListBullet"/>
      </w:pPr>
      <w:proofErr w:type="spellStart"/>
      <w:r w:rsidRPr="00616A3B">
        <w:t>eTG</w:t>
      </w:r>
      <w:proofErr w:type="spellEnd"/>
      <w:r w:rsidRPr="00616A3B">
        <w:t xml:space="preserve"> complete. Melbourne: Therapeutic Guidelines Ltd; 2019. Wilson disease (updated</w:t>
      </w:r>
      <w:r w:rsidR="00445659">
        <w:t> </w:t>
      </w:r>
      <w:r w:rsidRPr="00616A3B">
        <w:t>March 2017; cited 8 November 2019).</w:t>
      </w:r>
    </w:p>
    <w:p w14:paraId="4384D093" w14:textId="77777777" w:rsidR="001234F9" w:rsidRPr="00616A3B" w:rsidRDefault="001234F9" w:rsidP="001234F9">
      <w:pPr>
        <w:pStyle w:val="ListBullet"/>
      </w:pPr>
      <w:r w:rsidRPr="00616A3B">
        <w:t xml:space="preserve">European Association for the Study of the Liver (EASL), Clinical Practice Guidelines: Wilson's disease, </w:t>
      </w:r>
      <w:r w:rsidRPr="00616A3B">
        <w:rPr>
          <w:i/>
        </w:rPr>
        <w:t xml:space="preserve">J </w:t>
      </w:r>
      <w:proofErr w:type="spellStart"/>
      <w:r w:rsidRPr="00616A3B">
        <w:rPr>
          <w:i/>
        </w:rPr>
        <w:t>Hepatology</w:t>
      </w:r>
      <w:proofErr w:type="spellEnd"/>
      <w:r w:rsidRPr="00616A3B">
        <w:t>, 2012; 56: 671-685.</w:t>
      </w:r>
    </w:p>
    <w:p w14:paraId="2CAF6835" w14:textId="77777777" w:rsidR="001234F9" w:rsidRPr="00616A3B" w:rsidRDefault="001234F9" w:rsidP="001234F9">
      <w:pPr>
        <w:pStyle w:val="ListBullet"/>
      </w:pPr>
      <w:r w:rsidRPr="00616A3B">
        <w:t xml:space="preserve">European Medicines Agency (EMA), Committee for Medicinal Products for Human Use (CHMP), European Assessment Report, </w:t>
      </w:r>
      <w:proofErr w:type="spellStart"/>
      <w:r w:rsidRPr="00616A3B">
        <w:t>Cufence</w:t>
      </w:r>
      <w:proofErr w:type="spellEnd"/>
      <w:r w:rsidRPr="00616A3B">
        <w:t xml:space="preserve"> (trientine dihydrochloride), EMA/330602/2019, 29 May 2019. Available from the EMA website.</w:t>
      </w:r>
    </w:p>
    <w:p w14:paraId="0059B36E" w14:textId="77777777" w:rsidR="001234F9" w:rsidRPr="00616A3B" w:rsidRDefault="001234F9" w:rsidP="001234F9">
      <w:pPr>
        <w:pStyle w:val="ListBullet"/>
      </w:pPr>
      <w:r w:rsidRPr="00616A3B">
        <w:t>EMA, Guideline on Good Pharmacovigilance Practices (GVP) Module VII-Periodic Safety Update Report (Rev 1), EMA/816292/2011 Rev 1, 9 December 2013, available from the EMA website.</w:t>
      </w:r>
    </w:p>
    <w:p w14:paraId="4822F6D4" w14:textId="77777777" w:rsidR="00EB5165" w:rsidRPr="00616A3B" w:rsidRDefault="00EB5165" w:rsidP="008F57E2">
      <w:pPr>
        <w:pStyle w:val="ListBullet"/>
      </w:pPr>
      <w:r w:rsidRPr="00616A3B">
        <w:t xml:space="preserve">Roberts, E.A. and </w:t>
      </w:r>
      <w:proofErr w:type="spellStart"/>
      <w:r w:rsidRPr="00616A3B">
        <w:t>Schilsky</w:t>
      </w:r>
      <w:proofErr w:type="spellEnd"/>
      <w:r w:rsidRPr="00616A3B">
        <w:t xml:space="preserve">, M.L. American Association for the Study of Liver Diseases (AASLD) Practice guidelines. Diagnosis and treatment of Wilson disease: an update. A practice guideline on Wilson disease, </w:t>
      </w:r>
      <w:proofErr w:type="spellStart"/>
      <w:r w:rsidRPr="00616A3B">
        <w:rPr>
          <w:i/>
        </w:rPr>
        <w:t>Hepatology</w:t>
      </w:r>
      <w:proofErr w:type="spellEnd"/>
      <w:r w:rsidRPr="00616A3B">
        <w:t>, 2008; 47(6): 2089-2111.</w:t>
      </w:r>
    </w:p>
    <w:p w14:paraId="765FF4C7" w14:textId="2C4402AF" w:rsidR="001234F9" w:rsidRPr="00616A3B" w:rsidRDefault="001234F9" w:rsidP="008F57E2">
      <w:pPr>
        <w:pStyle w:val="ListBullet"/>
      </w:pPr>
      <w:proofErr w:type="spellStart"/>
      <w:r w:rsidRPr="00616A3B">
        <w:t>Socha</w:t>
      </w:r>
      <w:proofErr w:type="spellEnd"/>
      <w:r w:rsidRPr="00616A3B">
        <w:t xml:space="preserve">, P et al. Wilson’s Disease in children: a Children: a Position Paper by the </w:t>
      </w:r>
      <w:proofErr w:type="spellStart"/>
      <w:r w:rsidRPr="00616A3B">
        <w:t>Hepatology</w:t>
      </w:r>
      <w:proofErr w:type="spellEnd"/>
      <w:r w:rsidRPr="00616A3B">
        <w:t xml:space="preserve"> Committee of the European Society for Paediatric Gastroenterology, </w:t>
      </w:r>
      <w:proofErr w:type="spellStart"/>
      <w:r w:rsidRPr="00616A3B">
        <w:t>Hepatology</w:t>
      </w:r>
      <w:proofErr w:type="spellEnd"/>
      <w:r w:rsidRPr="00616A3B">
        <w:t xml:space="preserve"> and Nutrition (ESPGHN), </w:t>
      </w:r>
      <w:r w:rsidRPr="00616A3B">
        <w:rPr>
          <w:i/>
        </w:rPr>
        <w:t xml:space="preserve">J of </w:t>
      </w:r>
      <w:proofErr w:type="spellStart"/>
      <w:r w:rsidRPr="00616A3B">
        <w:rPr>
          <w:i/>
        </w:rPr>
        <w:t>Pediatr</w:t>
      </w:r>
      <w:proofErr w:type="spellEnd"/>
      <w:r w:rsidRPr="00616A3B">
        <w:rPr>
          <w:i/>
        </w:rPr>
        <w:t xml:space="preserve"> </w:t>
      </w:r>
      <w:proofErr w:type="spellStart"/>
      <w:r w:rsidRPr="00616A3B">
        <w:rPr>
          <w:i/>
        </w:rPr>
        <w:t>Gastr</w:t>
      </w:r>
      <w:proofErr w:type="spellEnd"/>
      <w:r w:rsidRPr="00616A3B">
        <w:rPr>
          <w:i/>
        </w:rPr>
        <w:t xml:space="preserve"> and </w:t>
      </w:r>
      <w:proofErr w:type="spellStart"/>
      <w:r w:rsidRPr="00616A3B">
        <w:rPr>
          <w:i/>
        </w:rPr>
        <w:t>Nutr</w:t>
      </w:r>
      <w:proofErr w:type="spellEnd"/>
      <w:r w:rsidRPr="00616A3B">
        <w:t>, 2018; 66 (2): 334-344.</w:t>
      </w:r>
    </w:p>
    <w:p w14:paraId="56F96A45" w14:textId="77777777" w:rsidR="008E7846" w:rsidRPr="00616A3B" w:rsidRDefault="008E7846" w:rsidP="008E7846">
      <w:pPr>
        <w:pStyle w:val="Heading3"/>
      </w:pPr>
      <w:bookmarkStart w:id="33" w:name="_Toc314842511"/>
      <w:bookmarkStart w:id="34" w:name="_Toc70931350"/>
      <w:r w:rsidRPr="00616A3B">
        <w:t>Quality</w:t>
      </w:r>
      <w:bookmarkEnd w:id="32"/>
      <w:bookmarkEnd w:id="33"/>
      <w:bookmarkEnd w:id="34"/>
    </w:p>
    <w:p w14:paraId="396EBC54" w14:textId="0DB21101" w:rsidR="00296CF1" w:rsidRPr="00616A3B" w:rsidRDefault="00296CF1" w:rsidP="00296CF1">
      <w:r w:rsidRPr="00616A3B">
        <w:t>The product is labelled in terms of the quantity of</w:t>
      </w:r>
      <w:r w:rsidR="00613FE7" w:rsidRPr="00616A3B">
        <w:t xml:space="preserve"> the dihydrochloride salt (250 </w:t>
      </w:r>
      <w:r w:rsidRPr="00616A3B">
        <w:t>mg) rather th</w:t>
      </w:r>
      <w:r w:rsidR="00613FE7" w:rsidRPr="00616A3B">
        <w:t>an the free base (trientine 167 </w:t>
      </w:r>
      <w:r w:rsidRPr="00616A3B">
        <w:t>mg). The product was develop</w:t>
      </w:r>
      <w:r w:rsidR="00613FE7" w:rsidRPr="00616A3B">
        <w:t xml:space="preserve">ed as a generic of </w:t>
      </w:r>
      <w:proofErr w:type="spellStart"/>
      <w:r w:rsidR="00613FE7" w:rsidRPr="00616A3B">
        <w:t>Syprine</w:t>
      </w:r>
      <w:proofErr w:type="spellEnd"/>
      <w:r w:rsidR="00613FE7" w:rsidRPr="00616A3B">
        <w:t xml:space="preserve"> (250 </w:t>
      </w:r>
      <w:r w:rsidRPr="00616A3B">
        <w:t>mg capsules</w:t>
      </w:r>
      <w:r w:rsidR="006C25AB">
        <w:t>, Bausch Health Companies Inc</w:t>
      </w:r>
      <w:r w:rsidRPr="00616A3B">
        <w:t>), which has been registered in the USA since 1985. Trientine Waymade capsules are registered in the USA as Trientine</w:t>
      </w:r>
      <w:r w:rsidR="00613FE7" w:rsidRPr="00616A3B">
        <w:t xml:space="preserve"> Hydrochloride Capsules USP</w:t>
      </w:r>
      <w:r w:rsidR="009C4E54">
        <w:rPr>
          <w:rStyle w:val="FootnoteReference"/>
        </w:rPr>
        <w:footnoteReference w:id="3"/>
      </w:r>
      <w:r w:rsidR="00613FE7" w:rsidRPr="00616A3B">
        <w:t xml:space="preserve"> 250 </w:t>
      </w:r>
      <w:r w:rsidRPr="00616A3B">
        <w:t>mg (</w:t>
      </w:r>
      <w:r w:rsidR="009C4E54">
        <w:t xml:space="preserve">marketed by </w:t>
      </w:r>
      <w:proofErr w:type="spellStart"/>
      <w:r w:rsidRPr="00616A3B">
        <w:t>Navinta</w:t>
      </w:r>
      <w:proofErr w:type="spellEnd"/>
      <w:r w:rsidRPr="00616A3B">
        <w:t xml:space="preserve"> LLC). Study 17-VIN-0021 confirmed bioequivalence to </w:t>
      </w:r>
      <w:proofErr w:type="spellStart"/>
      <w:r w:rsidRPr="00616A3B">
        <w:t>Syprine</w:t>
      </w:r>
      <w:proofErr w:type="spellEnd"/>
      <w:r w:rsidRPr="00616A3B">
        <w:t>.</w:t>
      </w:r>
      <w:r w:rsidR="00BC380C" w:rsidRPr="00616A3B">
        <w:t xml:space="preserve"> The chemical structure of trientine dihydrochloride is shown in </w:t>
      </w:r>
      <w:r w:rsidR="00BC380C" w:rsidRPr="00616A3B">
        <w:fldChar w:fldCharType="begin"/>
      </w:r>
      <w:r w:rsidR="00BC380C" w:rsidRPr="00616A3B">
        <w:instrText xml:space="preserve"> REF _Ref65496879 \h </w:instrText>
      </w:r>
      <w:r w:rsidR="00616A3B">
        <w:instrText xml:space="preserve"> \* MERGEFORMAT </w:instrText>
      </w:r>
      <w:r w:rsidR="00BC380C" w:rsidRPr="00616A3B">
        <w:fldChar w:fldCharType="separate"/>
      </w:r>
      <w:r w:rsidR="005815A1" w:rsidRPr="00616A3B">
        <w:t xml:space="preserve">Figure </w:t>
      </w:r>
      <w:r w:rsidR="005815A1">
        <w:rPr>
          <w:noProof/>
        </w:rPr>
        <w:t>1</w:t>
      </w:r>
      <w:r w:rsidR="00BC380C" w:rsidRPr="00616A3B">
        <w:fldChar w:fldCharType="end"/>
      </w:r>
      <w:r w:rsidR="00BC380C" w:rsidRPr="00616A3B">
        <w:t xml:space="preserve"> below.</w:t>
      </w:r>
    </w:p>
    <w:p w14:paraId="683BB7B5" w14:textId="3BD9EC34" w:rsidR="00BC380C" w:rsidRPr="00616A3B" w:rsidRDefault="00BC380C" w:rsidP="00BC380C">
      <w:pPr>
        <w:pStyle w:val="FigureTitle"/>
      </w:pPr>
      <w:bookmarkStart w:id="35" w:name="_Ref65496879"/>
      <w:r w:rsidRPr="00616A3B">
        <w:t xml:space="preserve">Figure </w:t>
      </w:r>
      <w:fldSimple w:instr=" SEQ Figure \* ARABIC ">
        <w:r w:rsidR="005815A1">
          <w:rPr>
            <w:noProof/>
          </w:rPr>
          <w:t>1</w:t>
        </w:r>
      </w:fldSimple>
      <w:bookmarkEnd w:id="35"/>
      <w:r w:rsidRPr="00616A3B">
        <w:t xml:space="preserve">: </w:t>
      </w:r>
      <w:r w:rsidR="00613FE7" w:rsidRPr="00616A3B">
        <w:t>Chemical s</w:t>
      </w:r>
      <w:r w:rsidRPr="00616A3B">
        <w:t>tructure of trientine dihydrochloride</w:t>
      </w:r>
    </w:p>
    <w:p w14:paraId="560388BF" w14:textId="77777777" w:rsidR="00BC380C" w:rsidRPr="00616A3B" w:rsidRDefault="00BC380C" w:rsidP="00296CF1">
      <w:r w:rsidRPr="00616A3B">
        <w:rPr>
          <w:noProof/>
          <w:lang w:eastAsia="en-AU"/>
        </w:rPr>
        <w:drawing>
          <wp:inline distT="0" distB="0" distL="0" distR="0" wp14:anchorId="1095B5D8" wp14:editId="28CF7751">
            <wp:extent cx="3302758" cy="671578"/>
            <wp:effectExtent l="0" t="0" r="0" b="0"/>
            <wp:docPr id="12" name="Picture 12" descr="Chemical structure of trientine dihydrochlo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5146" cy="678164"/>
                    </a:xfrm>
                    <a:prstGeom prst="rect">
                      <a:avLst/>
                    </a:prstGeom>
                    <a:noFill/>
                    <a:ln>
                      <a:noFill/>
                    </a:ln>
                  </pic:spPr>
                </pic:pic>
              </a:graphicData>
            </a:graphic>
          </wp:inline>
        </w:drawing>
      </w:r>
    </w:p>
    <w:p w14:paraId="60A1FA1A" w14:textId="3C388B4F" w:rsidR="00296CF1" w:rsidRPr="00616A3B" w:rsidRDefault="00563D55" w:rsidP="00296CF1">
      <w:r w:rsidRPr="00616A3B">
        <w:t>The q</w:t>
      </w:r>
      <w:r w:rsidR="00296CF1" w:rsidRPr="00616A3B">
        <w:t>uality evaluator accepts the propo</w:t>
      </w:r>
      <w:r w:rsidR="00613FE7" w:rsidRPr="00616A3B">
        <w:t>sed expression of strength (250 </w:t>
      </w:r>
      <w:r w:rsidR="00296CF1" w:rsidRPr="00616A3B">
        <w:t xml:space="preserve">mg trientine dihydrochloride) with appropriate descriptions of the free base in the </w:t>
      </w:r>
      <w:r w:rsidR="00613FE7" w:rsidRPr="00616A3B">
        <w:t>PI</w:t>
      </w:r>
      <w:r w:rsidR="00296CF1" w:rsidRPr="00616A3B">
        <w:t>: ‘</w:t>
      </w:r>
      <w:r w:rsidR="00613FE7" w:rsidRPr="00616A3B">
        <w:rPr>
          <w:i/>
        </w:rPr>
        <w:t>Each capsule contains 250 </w:t>
      </w:r>
      <w:r w:rsidR="00296CF1" w:rsidRPr="00616A3B">
        <w:rPr>
          <w:i/>
        </w:rPr>
        <w:t>mg trientine dihyd</w:t>
      </w:r>
      <w:r w:rsidR="00613FE7" w:rsidRPr="00616A3B">
        <w:rPr>
          <w:i/>
        </w:rPr>
        <w:t>rochloride (equivalent to 166.7 </w:t>
      </w:r>
      <w:r w:rsidR="00296CF1" w:rsidRPr="00616A3B">
        <w:rPr>
          <w:i/>
        </w:rPr>
        <w:t>mg trientine base)</w:t>
      </w:r>
      <w:r w:rsidR="00296CF1" w:rsidRPr="00616A3B">
        <w:t>.’</w:t>
      </w:r>
    </w:p>
    <w:p w14:paraId="410494CE" w14:textId="77777777" w:rsidR="00296CF1" w:rsidRPr="00616A3B" w:rsidRDefault="00296CF1" w:rsidP="00296CF1">
      <w:r w:rsidRPr="00616A3B">
        <w:t>The revised bottle label is acceptable.</w:t>
      </w:r>
    </w:p>
    <w:p w14:paraId="67CD891C" w14:textId="7331D439" w:rsidR="00296CF1" w:rsidRPr="00616A3B" w:rsidRDefault="00296CF1" w:rsidP="00296CF1">
      <w:r w:rsidRPr="00616A3B">
        <w:t>The revised P</w:t>
      </w:r>
      <w:r w:rsidR="00613FE7" w:rsidRPr="00616A3B">
        <w:t>I</w:t>
      </w:r>
      <w:r w:rsidRPr="00616A3B">
        <w:t xml:space="preserve"> (dated</w:t>
      </w:r>
      <w:r w:rsidR="00E57430">
        <w:t xml:space="preserve"> </w:t>
      </w:r>
      <w:r w:rsidR="00C53103" w:rsidRPr="00C53103">
        <w:t>5 January</w:t>
      </w:r>
      <w:r w:rsidR="00C53103">
        <w:t xml:space="preserve"> 2021</w:t>
      </w:r>
      <w:r w:rsidR="00E57430">
        <w:t>) is acceptable.</w:t>
      </w:r>
    </w:p>
    <w:p w14:paraId="5311F50D" w14:textId="77777777" w:rsidR="00296CF1" w:rsidRPr="00616A3B" w:rsidRDefault="00296CF1" w:rsidP="00296CF1">
      <w:r w:rsidRPr="00616A3B">
        <w:t>The drug substance specifications are acceptable.</w:t>
      </w:r>
    </w:p>
    <w:p w14:paraId="72F2D38E" w14:textId="231D7A18" w:rsidR="00296CF1" w:rsidRPr="00616A3B" w:rsidRDefault="00296CF1" w:rsidP="00296CF1">
      <w:r w:rsidRPr="00616A3B">
        <w:t>The manufactu</w:t>
      </w:r>
      <w:r w:rsidR="000E35EA" w:rsidRPr="00616A3B">
        <w:t xml:space="preserve">ring sites have </w:t>
      </w:r>
      <w:r w:rsidR="00C27EA4">
        <w:t>Good Manufacturing Practice</w:t>
      </w:r>
      <w:r w:rsidR="000E35EA" w:rsidRPr="00616A3B">
        <w:t xml:space="preserve"> clearance.</w:t>
      </w:r>
    </w:p>
    <w:p w14:paraId="68AAD4A3" w14:textId="29221565" w:rsidR="00E45619" w:rsidRPr="00616A3B" w:rsidRDefault="00296CF1" w:rsidP="00296CF1">
      <w:r w:rsidRPr="00616A3B">
        <w:t xml:space="preserve">Approval is recommended from a </w:t>
      </w:r>
      <w:r w:rsidR="00025DD5" w:rsidRPr="00616A3B">
        <w:t>quality</w:t>
      </w:r>
      <w:r w:rsidRPr="00616A3B">
        <w:t xml:space="preserve"> perspective.</w:t>
      </w:r>
    </w:p>
    <w:p w14:paraId="7CAC5A56" w14:textId="77777777" w:rsidR="008E7846" w:rsidRPr="00616A3B" w:rsidRDefault="008E7846" w:rsidP="008E7846">
      <w:pPr>
        <w:pStyle w:val="Heading3"/>
      </w:pPr>
      <w:bookmarkStart w:id="36" w:name="_Toc314842512"/>
      <w:bookmarkStart w:id="37" w:name="_Toc70931351"/>
      <w:r w:rsidRPr="00616A3B">
        <w:t>Nonclinical</w:t>
      </w:r>
      <w:bookmarkEnd w:id="36"/>
      <w:bookmarkEnd w:id="37"/>
    </w:p>
    <w:p w14:paraId="7B128F5F" w14:textId="5E9CAFCD" w:rsidR="00644026" w:rsidRPr="00616A3B" w:rsidRDefault="00644026" w:rsidP="00644026">
      <w:r w:rsidRPr="00616A3B">
        <w:t xml:space="preserve">The </w:t>
      </w:r>
      <w:r w:rsidR="00DB7F6A" w:rsidRPr="00616A3B">
        <w:t>nonclinical</w:t>
      </w:r>
      <w:r w:rsidRPr="00616A3B">
        <w:t xml:space="preserve"> dossier was based on published literature. The oral bioavailability of trientine was low, and was negatively affected by food in rats. Distribution of trientine was observed to the liver and kidney. Trientine only minimally crossed the blood-brain barrier. Both </w:t>
      </w:r>
      <w:r w:rsidR="004B4562" w:rsidRPr="00616A3B">
        <w:t>spermidine/</w:t>
      </w:r>
      <w:proofErr w:type="spellStart"/>
      <w:r w:rsidR="004B4562" w:rsidRPr="00616A3B">
        <w:t>spermine</w:t>
      </w:r>
      <w:proofErr w:type="spellEnd"/>
      <w:r w:rsidR="004B4562" w:rsidRPr="00616A3B">
        <w:t xml:space="preserve"> N1-acetyltransferase (</w:t>
      </w:r>
      <w:r w:rsidRPr="00616A3B">
        <w:t>SSAT</w:t>
      </w:r>
      <w:r w:rsidR="004B4562" w:rsidRPr="00616A3B">
        <w:t>)</w:t>
      </w:r>
      <w:r w:rsidR="00C27EA4">
        <w:t xml:space="preserve"> </w:t>
      </w:r>
      <w:r w:rsidRPr="00616A3B">
        <w:t>2 and SSAT1 were found to acetylate trientine. Urinary excretion was the main route of e</w:t>
      </w:r>
      <w:r w:rsidR="004B4562" w:rsidRPr="00616A3B">
        <w:t xml:space="preserve">xcretion for absorbed trientine </w:t>
      </w:r>
      <w:r w:rsidRPr="00616A3B">
        <w:t xml:space="preserve">related material in rats. The set of </w:t>
      </w:r>
      <w:r w:rsidRPr="00616A3B">
        <w:rPr>
          <w:i/>
        </w:rPr>
        <w:t>in vitro</w:t>
      </w:r>
      <w:r w:rsidRPr="00616A3B">
        <w:t xml:space="preserve"> pharmacokinetic</w:t>
      </w:r>
      <w:r w:rsidR="00052E1C" w:rsidRPr="00616A3B">
        <w:t xml:space="preserve"> (PK)</w:t>
      </w:r>
      <w:r w:rsidRPr="00616A3B">
        <w:t xml:space="preserve"> drug interaction studies was limited, but this should not preclude registration.</w:t>
      </w:r>
    </w:p>
    <w:p w14:paraId="121332B7" w14:textId="7095CC9E" w:rsidR="00644026" w:rsidRPr="00616A3B" w:rsidRDefault="00644026" w:rsidP="00644026">
      <w:r w:rsidRPr="00616A3B">
        <w:t>Primary pharmacology studies showed copper chelation activity in all animal species tested, supporting the use of this medicine for the proposed indication. No preclinical studies in juvenile animals were submitted, so support for use in paediatric patients is reliant on clinical data. Lower efficacy in reducing brain levels of copper was seen in animals, consistent with the poor ability of</w:t>
      </w:r>
      <w:r w:rsidR="00250E7C" w:rsidRPr="00616A3B">
        <w:t xml:space="preserve"> the drug to cross the blood </w:t>
      </w:r>
      <w:r w:rsidRPr="00616A3B">
        <w:t xml:space="preserve">brain barrier. The </w:t>
      </w:r>
      <w:proofErr w:type="spellStart"/>
      <w:r w:rsidRPr="00616A3B">
        <w:t>monoacetylated</w:t>
      </w:r>
      <w:proofErr w:type="spellEnd"/>
      <w:r w:rsidRPr="00616A3B">
        <w:t xml:space="preserve"> metabolite, </w:t>
      </w:r>
      <w:proofErr w:type="spellStart"/>
      <w:r w:rsidR="00250E7C" w:rsidRPr="00616A3B">
        <w:t>monoacetyl</w:t>
      </w:r>
      <w:proofErr w:type="spellEnd"/>
      <w:r w:rsidR="00250E7C" w:rsidRPr="00616A3B">
        <w:t xml:space="preserve"> trientine (</w:t>
      </w:r>
      <w:r w:rsidRPr="00616A3B">
        <w:t>MAT</w:t>
      </w:r>
      <w:r w:rsidR="00250E7C" w:rsidRPr="00616A3B">
        <w:t>)</w:t>
      </w:r>
      <w:r w:rsidRPr="00616A3B">
        <w:t>, may contribut</w:t>
      </w:r>
      <w:r w:rsidR="00DB7F6A" w:rsidRPr="00616A3B">
        <w:t>e to the efficacy of trientine.</w:t>
      </w:r>
    </w:p>
    <w:p w14:paraId="058D4C0F" w14:textId="7D94ED9F" w:rsidR="00644026" w:rsidRPr="00616A3B" w:rsidRDefault="00250E7C" w:rsidP="00644026">
      <w:r w:rsidRPr="00616A3B">
        <w:t xml:space="preserve">Repeat </w:t>
      </w:r>
      <w:r w:rsidR="00644026" w:rsidRPr="00616A3B">
        <w:t xml:space="preserve">dose toxicity studies in mice, rats and dogs showed histopathological changes in the lungs (interstitial inflammation and </w:t>
      </w:r>
      <w:proofErr w:type="spellStart"/>
      <w:r w:rsidR="00644026" w:rsidRPr="00616A3B">
        <w:t>bronchoalveolar</w:t>
      </w:r>
      <w:proofErr w:type="spellEnd"/>
      <w:r w:rsidR="00644026" w:rsidRPr="00616A3B">
        <w:t xml:space="preserve"> pneumonia) in all species. These pulmonary effects were assessed as likely due to the pharmacological action of trientine, although similar lung findings in the control group in the long</w:t>
      </w:r>
      <w:r w:rsidR="00C711FF" w:rsidRPr="00616A3B">
        <w:t xml:space="preserve"> </w:t>
      </w:r>
      <w:r w:rsidR="00644026" w:rsidRPr="00616A3B">
        <w:t>term dog study raise uncertainty regarding the relationship to treatment in this species. Effects on copper and electrolytes were consistent with the pharm</w:t>
      </w:r>
      <w:r w:rsidR="00DB7F6A" w:rsidRPr="00616A3B">
        <w:t>acological effect of trientine.</w:t>
      </w:r>
    </w:p>
    <w:p w14:paraId="18AB8A0F" w14:textId="021904E2" w:rsidR="008E7846" w:rsidRPr="00616A3B" w:rsidRDefault="00644026" w:rsidP="00644026">
      <w:r w:rsidRPr="00616A3B">
        <w:t xml:space="preserve">Trientine was genotoxic in some </w:t>
      </w:r>
      <w:r w:rsidRPr="00616A3B">
        <w:rPr>
          <w:i/>
        </w:rPr>
        <w:t>in vitro</w:t>
      </w:r>
      <w:r w:rsidRPr="00616A3B">
        <w:t xml:space="preserve"> studies, but negative in an adequately conducted mammalian gene mutation assay and consistently negative in </w:t>
      </w:r>
      <w:r w:rsidRPr="00616A3B">
        <w:rPr>
          <w:i/>
        </w:rPr>
        <w:t>in vivo</w:t>
      </w:r>
      <w:r w:rsidRPr="00616A3B">
        <w:t xml:space="preserve"> mouse micronucleus studies. The absence of a carcinogenicity study for oral trientine is considered acceptable based on the negative results in </w:t>
      </w:r>
      <w:r w:rsidRPr="00616A3B">
        <w:rPr>
          <w:i/>
        </w:rPr>
        <w:t>in vivo</w:t>
      </w:r>
      <w:r w:rsidRPr="00616A3B">
        <w:t xml:space="preserve"> genotoxicity studies, the negative findings of tumours or other proliferative lesions at the application site in a mouse dermal carcinogenicity study, the absence of concerning findings in the repeat</w:t>
      </w:r>
      <w:r w:rsidR="00C711FF" w:rsidRPr="00616A3B">
        <w:t xml:space="preserve"> </w:t>
      </w:r>
      <w:r w:rsidRPr="00616A3B">
        <w:t>dose studies, and the long history of clinical use.</w:t>
      </w:r>
    </w:p>
    <w:p w14:paraId="07DC142E" w14:textId="0256386D" w:rsidR="00DB7F6A" w:rsidRPr="00616A3B" w:rsidRDefault="00DB7F6A" w:rsidP="00DB7F6A">
      <w:r w:rsidRPr="00616A3B">
        <w:t>The set of reproductive and development studies was limited, but this should not preclude registration. Embryofetal development studies suggest some teratogenic potential of trientine. The evaluator recommends Pregnancy Category D.</w:t>
      </w:r>
      <w:r w:rsidR="00F968CF" w:rsidRPr="00616A3B">
        <w:rPr>
          <w:rStyle w:val="FootnoteReference"/>
        </w:rPr>
        <w:footnoteReference w:id="4"/>
      </w:r>
    </w:p>
    <w:p w14:paraId="20FEDB11" w14:textId="71428E82" w:rsidR="00DB7F6A" w:rsidRPr="00616A3B" w:rsidRDefault="00DB7F6A" w:rsidP="00DB7F6A">
      <w:r w:rsidRPr="00616A3B">
        <w:t xml:space="preserve">The revised </w:t>
      </w:r>
      <w:r w:rsidR="00613FE7" w:rsidRPr="00616A3B">
        <w:t xml:space="preserve">PI </w:t>
      </w:r>
      <w:r w:rsidRPr="00616A3B">
        <w:t xml:space="preserve">is acceptable from a </w:t>
      </w:r>
      <w:r w:rsidR="00885993" w:rsidRPr="00616A3B">
        <w:t>nonclinical</w:t>
      </w:r>
      <w:r w:rsidRPr="00616A3B">
        <w:t xml:space="preserve"> perspective.</w:t>
      </w:r>
    </w:p>
    <w:p w14:paraId="6C26D10C" w14:textId="77777777" w:rsidR="008E7846" w:rsidRPr="00616A3B" w:rsidRDefault="008E7846" w:rsidP="008E7846">
      <w:pPr>
        <w:pStyle w:val="Heading3"/>
      </w:pPr>
      <w:bookmarkStart w:id="38" w:name="_Toc247691530"/>
      <w:bookmarkStart w:id="39" w:name="_Toc314842513"/>
      <w:bookmarkStart w:id="40" w:name="_Toc70931352"/>
      <w:r w:rsidRPr="00616A3B">
        <w:t>Clinical</w:t>
      </w:r>
      <w:bookmarkEnd w:id="38"/>
      <w:bookmarkEnd w:id="39"/>
      <w:bookmarkEnd w:id="40"/>
    </w:p>
    <w:p w14:paraId="282EAA34" w14:textId="77777777" w:rsidR="00B95FD0" w:rsidRPr="00616A3B" w:rsidRDefault="00B95FD0" w:rsidP="00B95FD0">
      <w:bookmarkStart w:id="41" w:name="_Toc314842514"/>
      <w:r w:rsidRPr="00616A3B">
        <w:t>The clinical dossier consisted of the following studies:</w:t>
      </w:r>
    </w:p>
    <w:p w14:paraId="214455A6" w14:textId="33523763" w:rsidR="00BC7DC5" w:rsidRPr="00616A3B" w:rsidRDefault="00BC7DC5" w:rsidP="00BC7DC5">
      <w:pPr>
        <w:pStyle w:val="ListBullet"/>
      </w:pPr>
      <w:r w:rsidRPr="00616A3B">
        <w:t xml:space="preserve">Sixteen published studies that provided </w:t>
      </w:r>
      <w:r w:rsidR="00052E1C" w:rsidRPr="00616A3B">
        <w:t>PK and pharmacodynamic</w:t>
      </w:r>
      <w:r w:rsidRPr="00616A3B">
        <w:t xml:space="preserve"> (PD)</w:t>
      </w:r>
      <w:r w:rsidR="00613E8F" w:rsidRPr="00616A3B">
        <w:t xml:space="preserve"> outcomes</w:t>
      </w:r>
      <w:r w:rsidR="007A7AE5">
        <w:t>.</w:t>
      </w:r>
    </w:p>
    <w:p w14:paraId="55968317" w14:textId="419E58F3" w:rsidR="00BC7DC5" w:rsidRPr="00616A3B" w:rsidRDefault="00BC7DC5" w:rsidP="002F24E5">
      <w:pPr>
        <w:pStyle w:val="ListBullet"/>
      </w:pPr>
      <w:r w:rsidRPr="00616A3B">
        <w:t xml:space="preserve">Five published efficacy studies, two abstracts for conference presentations, and the </w:t>
      </w:r>
      <w:r w:rsidR="00613E8F" w:rsidRPr="00616A3B">
        <w:t>European</w:t>
      </w:r>
      <w:r w:rsidRPr="00616A3B">
        <w:t xml:space="preserve"> public assessment report (EPAR) for an alternative trientine </w:t>
      </w:r>
      <w:r w:rsidR="002F24E5" w:rsidRPr="00616A3B">
        <w:t>dihydrochloride</w:t>
      </w:r>
      <w:r w:rsidRPr="00616A3B">
        <w:t xml:space="preserve"> formulation </w:t>
      </w:r>
      <w:r w:rsidR="002F24E5" w:rsidRPr="00616A3B">
        <w:t>to support claims for efficacy.</w:t>
      </w:r>
    </w:p>
    <w:p w14:paraId="0A2FF5A1" w14:textId="2F047E06" w:rsidR="00BC7DC5" w:rsidRPr="00616A3B" w:rsidRDefault="002F24E5" w:rsidP="00BC7DC5">
      <w:pPr>
        <w:pStyle w:val="ListBullet"/>
      </w:pPr>
      <w:r w:rsidRPr="00616A3B">
        <w:t>Twenty</w:t>
      </w:r>
      <w:r w:rsidR="00C27EA4">
        <w:t>-</w:t>
      </w:r>
      <w:r w:rsidRPr="00616A3B">
        <w:t>four</w:t>
      </w:r>
      <w:r w:rsidR="00BC7DC5" w:rsidRPr="00616A3B">
        <w:t xml:space="preserve"> published studies (not including individual case studies unless as above) included to support claims for safety.</w:t>
      </w:r>
    </w:p>
    <w:p w14:paraId="24219A3D" w14:textId="77777777" w:rsidR="00885993" w:rsidRPr="00616A3B" w:rsidRDefault="00885993" w:rsidP="00885993">
      <w:pPr>
        <w:pStyle w:val="Heading4"/>
      </w:pPr>
      <w:r w:rsidRPr="00616A3B">
        <w:t>Pharmacology</w:t>
      </w:r>
    </w:p>
    <w:p w14:paraId="3826CD88" w14:textId="7CBF0178" w:rsidR="00885993" w:rsidRPr="00616A3B" w:rsidRDefault="00885993" w:rsidP="00885993">
      <w:r w:rsidRPr="00616A3B">
        <w:t>The literature search identified 16 published studies which inform the PK and/or PD of tri</w:t>
      </w:r>
      <w:r w:rsidR="003B0D8D" w:rsidRPr="00616A3B">
        <w:t xml:space="preserve">entine. </w:t>
      </w:r>
      <w:r w:rsidRPr="00616A3B">
        <w:t>Summaries of the main PK and PD findings are provided below.</w:t>
      </w:r>
    </w:p>
    <w:p w14:paraId="43A7BD29" w14:textId="77777777" w:rsidR="00885993" w:rsidRPr="00616A3B" w:rsidRDefault="00BC7DC5" w:rsidP="00885993">
      <w:pPr>
        <w:pStyle w:val="Heading5"/>
      </w:pPr>
      <w:r w:rsidRPr="00616A3B">
        <w:t>Pharmacokinetics</w:t>
      </w:r>
    </w:p>
    <w:p w14:paraId="1510B72C" w14:textId="3A41B460" w:rsidR="00885993" w:rsidRPr="00616A3B" w:rsidRDefault="00885993" w:rsidP="00885993">
      <w:r w:rsidRPr="00616A3B">
        <w:t>Following oral administration, absorption of trientine is low and variable. Absolute bioavailability was not reported. The PK of trientine is similar between healthy ind</w:t>
      </w:r>
      <w:r w:rsidR="00FA7F4B" w:rsidRPr="00616A3B">
        <w:t xml:space="preserve">ividuals and patients with WD. </w:t>
      </w:r>
      <w:r w:rsidR="00C6720C">
        <w:t>The t</w:t>
      </w:r>
      <w:r w:rsidR="00E76E64" w:rsidRPr="00616A3B">
        <w:t xml:space="preserve">ime </w:t>
      </w:r>
      <w:r w:rsidR="00C6720C">
        <w:t>of</w:t>
      </w:r>
      <w:r w:rsidR="00E76E64" w:rsidRPr="00616A3B">
        <w:t xml:space="preserve"> maximum concentration (</w:t>
      </w:r>
      <w:proofErr w:type="spellStart"/>
      <w:r w:rsidRPr="00616A3B">
        <w:t>T</w:t>
      </w:r>
      <w:r w:rsidRPr="00616A3B">
        <w:rPr>
          <w:vertAlign w:val="subscript"/>
        </w:rPr>
        <w:t>max</w:t>
      </w:r>
      <w:proofErr w:type="spellEnd"/>
      <w:r w:rsidR="00E76E64" w:rsidRPr="00616A3B">
        <w:t>)</w:t>
      </w:r>
      <w:r w:rsidRPr="00616A3B">
        <w:t xml:space="preserve"> occurs between 0.5 and </w:t>
      </w:r>
      <w:r w:rsidR="00C6720C">
        <w:t>4</w:t>
      </w:r>
      <w:r w:rsidR="00C6720C" w:rsidRPr="00616A3B">
        <w:t xml:space="preserve"> </w:t>
      </w:r>
      <w:r w:rsidR="00E76E64" w:rsidRPr="00616A3B">
        <w:t xml:space="preserve">hours post </w:t>
      </w:r>
      <w:r w:rsidRPr="00616A3B">
        <w:t xml:space="preserve">dose in healthy volunteers and patients. Trientine displays linear </w:t>
      </w:r>
      <w:r w:rsidR="00052E1C" w:rsidRPr="00616A3B">
        <w:t>PK</w:t>
      </w:r>
      <w:r w:rsidR="00E76E64" w:rsidRPr="00616A3B">
        <w:t xml:space="preserve">. The terminal </w:t>
      </w:r>
      <w:proofErr w:type="spellStart"/>
      <w:r w:rsidR="00E76E64" w:rsidRPr="00616A3B">
        <w:t xml:space="preserve">half </w:t>
      </w:r>
      <w:r w:rsidRPr="00616A3B">
        <w:t>life</w:t>
      </w:r>
      <w:proofErr w:type="spellEnd"/>
      <w:r w:rsidRPr="00616A3B">
        <w:t xml:space="preserve"> in plasma is approximately 13.5 h</w:t>
      </w:r>
      <w:r w:rsidR="00FA7F4B" w:rsidRPr="00616A3B">
        <w:t>ours</w:t>
      </w:r>
      <w:r w:rsidRPr="00616A3B">
        <w:t>. There is high inter</w:t>
      </w:r>
      <w:r w:rsidR="00C6720C">
        <w:noBreakHyphen/>
      </w:r>
      <w:r w:rsidRPr="00616A3B">
        <w:t>individual varia</w:t>
      </w:r>
      <w:r w:rsidR="004766FA" w:rsidRPr="00616A3B">
        <w:t>bility in the PK of trientine.</w:t>
      </w:r>
    </w:p>
    <w:p w14:paraId="3D4FCE54" w14:textId="63F8D10D" w:rsidR="00885993" w:rsidRPr="00616A3B" w:rsidRDefault="00885993" w:rsidP="00885993">
      <w:r w:rsidRPr="00616A3B">
        <w:t xml:space="preserve">PK studies in the healthy population were predominantly performed under fasting conditions. The studies lacked robust data on the effect of food on the PK of trientine, but some studies commented that co-administration with food may result in binding with trace metals in the diet and reduced bioavailability of trientine. Trientine is recommended to be taken at least </w:t>
      </w:r>
      <w:r w:rsidR="00E76E64" w:rsidRPr="00616A3B">
        <w:t>one</w:t>
      </w:r>
      <w:r w:rsidRPr="00616A3B">
        <w:t xml:space="preserve"> hour before meals or two hours after meals to allow for maximal absorption and reduce the likelihood of binding with trace metals in the di</w:t>
      </w:r>
      <w:r w:rsidR="004766FA" w:rsidRPr="00616A3B">
        <w:t>et.</w:t>
      </w:r>
    </w:p>
    <w:p w14:paraId="39AB40F6" w14:textId="40B2AB4B" w:rsidR="00885993" w:rsidRPr="00616A3B" w:rsidRDefault="00885993" w:rsidP="00885993">
      <w:r w:rsidRPr="00616A3B">
        <w:t xml:space="preserve">Trientine is rapidly metabolised to MAT and </w:t>
      </w:r>
      <w:proofErr w:type="spellStart"/>
      <w:r w:rsidRPr="00616A3B">
        <w:t>diacetyl</w:t>
      </w:r>
      <w:proofErr w:type="spellEnd"/>
      <w:r w:rsidR="00250E7C" w:rsidRPr="00616A3B">
        <w:t xml:space="preserve"> </w:t>
      </w:r>
      <w:r w:rsidRPr="00616A3B">
        <w:t>trientine (DAT). The extent of the contribution of MAT and DAT to the overall effect of trientine on copper levels is uncertain. Trientine and its metaboli</w:t>
      </w:r>
      <w:r w:rsidR="00247DC8" w:rsidRPr="00616A3B">
        <w:t xml:space="preserve">tes are excreted in the urine. </w:t>
      </w:r>
      <w:r w:rsidRPr="00616A3B">
        <w:t>Unabsorbed trientine is eliminated through faecal excretion.</w:t>
      </w:r>
    </w:p>
    <w:p w14:paraId="66273941" w14:textId="30AFD0F1" w:rsidR="003C2321" w:rsidRPr="00616A3B" w:rsidRDefault="00885993" w:rsidP="003C2321">
      <w:r w:rsidRPr="00616A3B">
        <w:t>The proposed product is the same formulation as the test product in the bioequivalence Study 17-VIN-0021. This study confirmed bioequivalence with the US</w:t>
      </w:r>
      <w:r w:rsidR="00E76E64" w:rsidRPr="00616A3B">
        <w:t>A</w:t>
      </w:r>
      <w:r w:rsidRPr="00616A3B">
        <w:t xml:space="preserve"> reference product, </w:t>
      </w:r>
      <w:proofErr w:type="spellStart"/>
      <w:r w:rsidRPr="00616A3B">
        <w:t>Syprine</w:t>
      </w:r>
      <w:proofErr w:type="spellEnd"/>
      <w:r w:rsidRPr="00616A3B">
        <w:t xml:space="preserve"> (</w:t>
      </w:r>
      <w:r w:rsidR="003C2321" w:rsidRPr="00616A3B">
        <w:t xml:space="preserve">see </w:t>
      </w:r>
      <w:r w:rsidR="003C2321" w:rsidRPr="00616A3B">
        <w:fldChar w:fldCharType="begin"/>
      </w:r>
      <w:r w:rsidR="003C2321" w:rsidRPr="00616A3B">
        <w:instrText xml:space="preserve"> REF _Ref65583505 \h </w:instrText>
      </w:r>
      <w:r w:rsidR="00616A3B">
        <w:instrText xml:space="preserve"> \* MERGEFORMAT </w:instrText>
      </w:r>
      <w:r w:rsidR="003C2321" w:rsidRPr="00616A3B">
        <w:fldChar w:fldCharType="separate"/>
      </w:r>
      <w:r w:rsidR="005815A1" w:rsidRPr="00616A3B">
        <w:t xml:space="preserve">Table </w:t>
      </w:r>
      <w:r w:rsidR="005815A1">
        <w:rPr>
          <w:noProof/>
        </w:rPr>
        <w:t>3</w:t>
      </w:r>
      <w:r w:rsidR="003C2321" w:rsidRPr="00616A3B">
        <w:fldChar w:fldCharType="end"/>
      </w:r>
      <w:r w:rsidR="003C2321" w:rsidRPr="00616A3B">
        <w:t xml:space="preserve"> and </w:t>
      </w:r>
      <w:r w:rsidR="003C2321" w:rsidRPr="00616A3B">
        <w:fldChar w:fldCharType="begin"/>
      </w:r>
      <w:r w:rsidR="003C2321" w:rsidRPr="00616A3B">
        <w:instrText xml:space="preserve"> REF _Ref65583509 \h </w:instrText>
      </w:r>
      <w:r w:rsidR="00616A3B">
        <w:instrText xml:space="preserve"> \* MERGEFORMAT </w:instrText>
      </w:r>
      <w:r w:rsidR="003C2321" w:rsidRPr="00616A3B">
        <w:fldChar w:fldCharType="separate"/>
      </w:r>
      <w:r w:rsidR="005815A1" w:rsidRPr="00616A3B">
        <w:t xml:space="preserve">Table </w:t>
      </w:r>
      <w:r w:rsidR="005815A1">
        <w:rPr>
          <w:noProof/>
        </w:rPr>
        <w:t>4</w:t>
      </w:r>
      <w:r w:rsidR="003C2321" w:rsidRPr="00616A3B">
        <w:fldChar w:fldCharType="end"/>
      </w:r>
      <w:r w:rsidRPr="00616A3B">
        <w:t>).</w:t>
      </w:r>
    </w:p>
    <w:p w14:paraId="51573132" w14:textId="0FE8852D" w:rsidR="00885993" w:rsidRDefault="00E76E64" w:rsidP="003C2321">
      <w:pPr>
        <w:pStyle w:val="TableTitle"/>
      </w:pPr>
      <w:bookmarkStart w:id="42" w:name="_Ref65583505"/>
      <w:r w:rsidRPr="00616A3B">
        <w:t xml:space="preserve">Table </w:t>
      </w:r>
      <w:fldSimple w:instr=" SEQ Table \* ARABIC ">
        <w:r w:rsidR="005815A1">
          <w:rPr>
            <w:noProof/>
          </w:rPr>
          <w:t>3</w:t>
        </w:r>
      </w:fldSimple>
      <w:bookmarkEnd w:id="42"/>
      <w:r w:rsidRPr="00616A3B">
        <w:t xml:space="preserve">: </w:t>
      </w:r>
      <w:r w:rsidR="00173F21" w:rsidRPr="00616A3B">
        <w:t>S</w:t>
      </w:r>
      <w:r w:rsidR="00885993" w:rsidRPr="00616A3B">
        <w:t>tudy 17-VIN-0021</w:t>
      </w:r>
      <w:r w:rsidR="00BF14A9">
        <w:t xml:space="preserve"> </w:t>
      </w:r>
      <w:r w:rsidR="00FA2E51">
        <w:t>B</w:t>
      </w:r>
      <w:r w:rsidR="00BF14A9">
        <w:t xml:space="preserve">ioequivalence of test </w:t>
      </w:r>
      <w:r w:rsidR="00F947D1">
        <w:t xml:space="preserve">versus reference </w:t>
      </w:r>
      <w:r w:rsidR="00BF14A9">
        <w:t>product</w:t>
      </w:r>
    </w:p>
    <w:p w14:paraId="420D0D95" w14:textId="59348E7C" w:rsidR="008111EC" w:rsidRPr="00616A3B" w:rsidRDefault="008111EC" w:rsidP="00541B0D">
      <w:r>
        <w:rPr>
          <w:noProof/>
          <w:lang w:eastAsia="en-AU"/>
        </w:rPr>
        <w:drawing>
          <wp:inline distT="0" distB="0" distL="0" distR="0" wp14:anchorId="504B14D8" wp14:editId="4B00D672">
            <wp:extent cx="4794637" cy="2052831"/>
            <wp:effectExtent l="0" t="0" r="6350" b="5080"/>
            <wp:docPr id="5" name="Picture 5" descr="Bioequivalence Study 17-VIN-0021, trientine hydrochloride 250 mg capsules of Navinta LLC versus reference product Syprine (trientine hydrochloride 250 mg caps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20501" cy="2063905"/>
                    </a:xfrm>
                    <a:prstGeom prst="rect">
                      <a:avLst/>
                    </a:prstGeom>
                  </pic:spPr>
                </pic:pic>
              </a:graphicData>
            </a:graphic>
          </wp:inline>
        </w:drawing>
      </w:r>
    </w:p>
    <w:p w14:paraId="043EA4BC" w14:textId="000E47E2" w:rsidR="006C25AB" w:rsidRDefault="006C25AB" w:rsidP="008111EC">
      <w:pPr>
        <w:pStyle w:val="TableDescription"/>
        <w:rPr>
          <w:noProof/>
          <w:lang w:eastAsia="en-AU"/>
        </w:rPr>
      </w:pPr>
      <w:r>
        <w:rPr>
          <w:noProof/>
          <w:lang w:eastAsia="en-AU"/>
        </w:rPr>
        <w:t xml:space="preserve">Reference product (R) = Syprine </w:t>
      </w:r>
      <w:r w:rsidR="00FA2E51">
        <w:rPr>
          <w:noProof/>
          <w:lang w:eastAsia="en-AU"/>
        </w:rPr>
        <w:t>(</w:t>
      </w:r>
      <w:r>
        <w:rPr>
          <w:noProof/>
          <w:lang w:eastAsia="en-AU"/>
        </w:rPr>
        <w:t>trientine hydrochloride</w:t>
      </w:r>
      <w:r w:rsidR="00FA2E51">
        <w:rPr>
          <w:noProof/>
          <w:lang w:eastAsia="en-AU"/>
        </w:rPr>
        <w:t>)</w:t>
      </w:r>
      <w:r>
        <w:rPr>
          <w:noProof/>
          <w:lang w:eastAsia="en-AU"/>
        </w:rPr>
        <w:t xml:space="preserve"> 250</w:t>
      </w:r>
      <w:r w:rsidR="00FA2E51">
        <w:rPr>
          <w:noProof/>
          <w:lang w:eastAsia="en-AU"/>
        </w:rPr>
        <w:t xml:space="preserve"> </w:t>
      </w:r>
      <w:r>
        <w:rPr>
          <w:noProof/>
          <w:lang w:eastAsia="en-AU"/>
        </w:rPr>
        <w:t>mg capsules, Bausch Health Companies Inc, USA.</w:t>
      </w:r>
    </w:p>
    <w:p w14:paraId="4762E618" w14:textId="083A577D" w:rsidR="006C25AB" w:rsidRDefault="006C25AB" w:rsidP="008111EC">
      <w:pPr>
        <w:pStyle w:val="TableDescription"/>
        <w:rPr>
          <w:noProof/>
          <w:lang w:eastAsia="en-AU"/>
        </w:rPr>
      </w:pPr>
      <w:r>
        <w:rPr>
          <w:noProof/>
          <w:lang w:eastAsia="en-AU"/>
        </w:rPr>
        <w:t>Test product (T) = Trientine hydrochloride 250 mg capsules, Navinta LLC, USA.</w:t>
      </w:r>
    </w:p>
    <w:p w14:paraId="190724DB" w14:textId="395035F2" w:rsidR="00885993" w:rsidRPr="00616A3B" w:rsidRDefault="00F947D1" w:rsidP="008111EC">
      <w:pPr>
        <w:pStyle w:val="TableDescription"/>
      </w:pPr>
      <w:r>
        <w:rPr>
          <w:noProof/>
          <w:lang w:eastAsia="en-AU"/>
        </w:rPr>
        <w:t xml:space="preserve">SD = standard deviation; %CV = coefficient of variation; </w:t>
      </w:r>
      <w:r w:rsidR="00BF14A9">
        <w:rPr>
          <w:noProof/>
          <w:lang w:eastAsia="en-AU"/>
        </w:rPr>
        <w:t>C</w:t>
      </w:r>
      <w:r w:rsidR="00BF14A9" w:rsidRPr="00FA2E51">
        <w:rPr>
          <w:noProof/>
          <w:vertAlign w:val="subscript"/>
          <w:lang w:eastAsia="en-AU"/>
        </w:rPr>
        <w:t>max</w:t>
      </w:r>
      <w:r w:rsidR="00BF14A9">
        <w:rPr>
          <w:noProof/>
          <w:lang w:eastAsia="en-AU"/>
        </w:rPr>
        <w:t xml:space="preserve"> = maximum concentration; T</w:t>
      </w:r>
      <w:r w:rsidR="00BF14A9" w:rsidRPr="00FA2E51">
        <w:rPr>
          <w:noProof/>
          <w:vertAlign w:val="subscript"/>
          <w:lang w:eastAsia="en-AU"/>
        </w:rPr>
        <w:t>max</w:t>
      </w:r>
      <w:r w:rsidR="00BF14A9">
        <w:rPr>
          <w:noProof/>
          <w:lang w:eastAsia="en-AU"/>
        </w:rPr>
        <w:t xml:space="preserve"> = time of maximum concentration; AUC</w:t>
      </w:r>
      <w:r w:rsidR="00BF14A9" w:rsidRPr="00FA2E51">
        <w:rPr>
          <w:noProof/>
          <w:vertAlign w:val="subscript"/>
          <w:lang w:eastAsia="en-AU"/>
        </w:rPr>
        <w:t xml:space="preserve">0-t </w:t>
      </w:r>
      <w:r w:rsidR="00BF14A9">
        <w:rPr>
          <w:noProof/>
          <w:lang w:eastAsia="en-AU"/>
        </w:rPr>
        <w:t>= area under the concentration-time curve from time zero to last measurable concentration; AUC</w:t>
      </w:r>
      <w:r w:rsidR="00BF14A9" w:rsidRPr="00FA2E51">
        <w:rPr>
          <w:noProof/>
          <w:vertAlign w:val="subscript"/>
          <w:lang w:eastAsia="en-AU"/>
        </w:rPr>
        <w:t>0-∞</w:t>
      </w:r>
      <w:r w:rsidR="00BF14A9">
        <w:rPr>
          <w:noProof/>
          <w:lang w:eastAsia="en-AU"/>
        </w:rPr>
        <w:t xml:space="preserve"> = area under the concentration-time curve from time zero extrapolated to infinity; t</w:t>
      </w:r>
      <w:r w:rsidR="00BF14A9" w:rsidRPr="00FA2E51">
        <w:rPr>
          <w:noProof/>
          <w:vertAlign w:val="subscript"/>
          <w:lang w:eastAsia="en-AU"/>
        </w:rPr>
        <w:t>1/2</w:t>
      </w:r>
      <w:r w:rsidR="00BF14A9">
        <w:rPr>
          <w:noProof/>
          <w:lang w:eastAsia="en-AU"/>
        </w:rPr>
        <w:t xml:space="preserve"> = half life; K</w:t>
      </w:r>
      <w:r w:rsidR="00BF14A9" w:rsidRPr="00FA2E51">
        <w:rPr>
          <w:noProof/>
          <w:vertAlign w:val="subscript"/>
          <w:lang w:eastAsia="en-AU"/>
        </w:rPr>
        <w:t>el</w:t>
      </w:r>
      <w:r w:rsidR="00BF14A9">
        <w:rPr>
          <w:noProof/>
          <w:lang w:eastAsia="en-AU"/>
        </w:rPr>
        <w:t xml:space="preserve"> = </w:t>
      </w:r>
      <w:r w:rsidR="00BF14A9" w:rsidRPr="00BF14A9">
        <w:rPr>
          <w:noProof/>
          <w:lang w:eastAsia="en-AU"/>
        </w:rPr>
        <w:t>first-order rate constant for elimination of drug from the central compartment of the pharmacokinetic model</w:t>
      </w:r>
      <w:r w:rsidR="00BF14A9">
        <w:rPr>
          <w:noProof/>
          <w:lang w:eastAsia="en-AU"/>
        </w:rPr>
        <w:t>; AUC_%Extrap_obs = a</w:t>
      </w:r>
      <w:r w:rsidR="00BF14A9" w:rsidRPr="00BF14A9">
        <w:rPr>
          <w:noProof/>
          <w:lang w:eastAsia="en-AU"/>
        </w:rPr>
        <w:t>rea under the plasma concentration-time curve extrapolated from time t to infinity as a percentage of total AUC</w:t>
      </w:r>
      <w:r w:rsidR="00BF14A9">
        <w:rPr>
          <w:noProof/>
          <w:lang w:eastAsia="en-AU"/>
        </w:rPr>
        <w:t xml:space="preserve">. </w:t>
      </w:r>
      <w:r w:rsidR="008111EC">
        <w:rPr>
          <w:noProof/>
          <w:lang w:eastAsia="en-AU"/>
        </w:rPr>
        <w:t># For T</w:t>
      </w:r>
      <w:r w:rsidR="008111EC" w:rsidRPr="008111EC">
        <w:rPr>
          <w:noProof/>
          <w:vertAlign w:val="subscript"/>
          <w:lang w:eastAsia="en-AU"/>
        </w:rPr>
        <w:t>max</w:t>
      </w:r>
      <w:r w:rsidR="008111EC" w:rsidRPr="008111EC">
        <w:rPr>
          <w:noProof/>
          <w:lang w:eastAsia="en-AU"/>
        </w:rPr>
        <w:t>,</w:t>
      </w:r>
      <w:r w:rsidR="008111EC">
        <w:rPr>
          <w:noProof/>
          <w:lang w:eastAsia="en-AU"/>
        </w:rPr>
        <w:t xml:space="preserve"> median (min – max)</w:t>
      </w:r>
    </w:p>
    <w:p w14:paraId="421DA94B" w14:textId="34E5383B" w:rsidR="00885993" w:rsidRPr="00616A3B" w:rsidRDefault="00E76E64" w:rsidP="00541B0D">
      <w:pPr>
        <w:pStyle w:val="TableTitle"/>
        <w:pageBreakBefore/>
      </w:pPr>
      <w:bookmarkStart w:id="43" w:name="_Ref65583509"/>
      <w:r w:rsidRPr="00616A3B">
        <w:t xml:space="preserve">Table </w:t>
      </w:r>
      <w:fldSimple w:instr=" SEQ Table \* ARABIC ">
        <w:r w:rsidR="005815A1">
          <w:rPr>
            <w:noProof/>
          </w:rPr>
          <w:t>4</w:t>
        </w:r>
      </w:fldSimple>
      <w:bookmarkEnd w:id="43"/>
      <w:r w:rsidRPr="00616A3B">
        <w:t xml:space="preserve">: </w:t>
      </w:r>
      <w:r w:rsidR="00885993" w:rsidRPr="00616A3B">
        <w:t>Study 17-VIN-00</w:t>
      </w:r>
      <w:r w:rsidRPr="00616A3B">
        <w:t>21</w:t>
      </w:r>
      <w:r w:rsidR="00F947D1">
        <w:t xml:space="preserve"> </w:t>
      </w:r>
      <w:r w:rsidR="00FA2E51">
        <w:t>B</w:t>
      </w:r>
      <w:r w:rsidR="00F947D1">
        <w:t>ioequivalence of test versus reference product</w:t>
      </w:r>
    </w:p>
    <w:p w14:paraId="7EF59863" w14:textId="3DCB36F7" w:rsidR="00E76E64" w:rsidRDefault="00E76E64" w:rsidP="00541B0D">
      <w:r w:rsidRPr="00616A3B">
        <w:rPr>
          <w:noProof/>
          <w:lang w:eastAsia="en-AU"/>
        </w:rPr>
        <w:drawing>
          <wp:inline distT="0" distB="0" distL="0" distR="0" wp14:anchorId="43492F13" wp14:editId="31235834">
            <wp:extent cx="4817660" cy="1516566"/>
            <wp:effectExtent l="0" t="0" r="2540" b="7620"/>
            <wp:docPr id="7" name="Picture 7" descr="Bioequivalence Study 17-VIN-0021, trientine hydrochloride 250 mg capsules of Navinta LLC versus Syprine (trientine hydrochloride 250 mg caps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25708" cy="1519099"/>
                    </a:xfrm>
                    <a:prstGeom prst="rect">
                      <a:avLst/>
                    </a:prstGeom>
                  </pic:spPr>
                </pic:pic>
              </a:graphicData>
            </a:graphic>
          </wp:inline>
        </w:drawing>
      </w:r>
    </w:p>
    <w:p w14:paraId="4DCDBE62" w14:textId="5EB616A0" w:rsidR="00F947D1" w:rsidRDefault="00F947D1" w:rsidP="00F947D1">
      <w:pPr>
        <w:pStyle w:val="TableDescription"/>
        <w:rPr>
          <w:noProof/>
          <w:lang w:eastAsia="en-AU"/>
        </w:rPr>
      </w:pPr>
      <w:r>
        <w:rPr>
          <w:noProof/>
          <w:lang w:eastAsia="en-AU"/>
        </w:rPr>
        <w:t xml:space="preserve">Reference product (R) = Syprine </w:t>
      </w:r>
      <w:r w:rsidR="00FA2E51">
        <w:rPr>
          <w:noProof/>
          <w:lang w:eastAsia="en-AU"/>
        </w:rPr>
        <w:t>(</w:t>
      </w:r>
      <w:r>
        <w:rPr>
          <w:noProof/>
          <w:lang w:eastAsia="en-AU"/>
        </w:rPr>
        <w:t>trientine hydrochloride</w:t>
      </w:r>
      <w:r w:rsidR="00FA2E51">
        <w:rPr>
          <w:noProof/>
          <w:lang w:eastAsia="en-AU"/>
        </w:rPr>
        <w:t>)</w:t>
      </w:r>
      <w:r>
        <w:rPr>
          <w:noProof/>
          <w:lang w:eastAsia="en-AU"/>
        </w:rPr>
        <w:t xml:space="preserve"> 250</w:t>
      </w:r>
      <w:r w:rsidR="00FA2E51">
        <w:rPr>
          <w:noProof/>
          <w:lang w:eastAsia="en-AU"/>
        </w:rPr>
        <w:t xml:space="preserve"> </w:t>
      </w:r>
      <w:r>
        <w:rPr>
          <w:noProof/>
          <w:lang w:eastAsia="en-AU"/>
        </w:rPr>
        <w:t>mg capsules, Bausch Health Companies Inc, USA.</w:t>
      </w:r>
    </w:p>
    <w:p w14:paraId="690D9A14" w14:textId="77777777" w:rsidR="00F947D1" w:rsidRDefault="00F947D1" w:rsidP="00F947D1">
      <w:pPr>
        <w:pStyle w:val="TableDescription"/>
        <w:rPr>
          <w:noProof/>
          <w:lang w:eastAsia="en-AU"/>
        </w:rPr>
      </w:pPr>
      <w:r>
        <w:rPr>
          <w:noProof/>
          <w:lang w:eastAsia="en-AU"/>
        </w:rPr>
        <w:t>Test product (T) = Trientine hydrochloride 250 mg capsules, Navinta LLC, USA.</w:t>
      </w:r>
    </w:p>
    <w:p w14:paraId="38087534" w14:textId="25496CE9" w:rsidR="00BF14A9" w:rsidRPr="00616A3B" w:rsidRDefault="00F947D1" w:rsidP="00FA2E51">
      <w:pPr>
        <w:pStyle w:val="TableDescription"/>
      </w:pPr>
      <w:r>
        <w:rPr>
          <w:noProof/>
          <w:lang w:eastAsia="en-AU"/>
        </w:rPr>
        <w:t xml:space="preserve">%CV = coefficient of variation; </w:t>
      </w:r>
      <w:r w:rsidR="00BF14A9">
        <w:rPr>
          <w:noProof/>
          <w:lang w:eastAsia="en-AU"/>
        </w:rPr>
        <w:t>C</w:t>
      </w:r>
      <w:r w:rsidR="00BF14A9" w:rsidRPr="00155C8A">
        <w:rPr>
          <w:noProof/>
          <w:vertAlign w:val="subscript"/>
          <w:lang w:eastAsia="en-AU"/>
        </w:rPr>
        <w:t>max</w:t>
      </w:r>
      <w:r w:rsidR="00BF14A9">
        <w:rPr>
          <w:noProof/>
          <w:lang w:eastAsia="en-AU"/>
        </w:rPr>
        <w:t xml:space="preserve"> = maximum concentration; AUC</w:t>
      </w:r>
      <w:r w:rsidR="00BF14A9" w:rsidRPr="00155C8A">
        <w:rPr>
          <w:noProof/>
          <w:vertAlign w:val="subscript"/>
          <w:lang w:eastAsia="en-AU"/>
        </w:rPr>
        <w:t xml:space="preserve">0-t </w:t>
      </w:r>
      <w:r w:rsidR="00BF14A9">
        <w:rPr>
          <w:noProof/>
          <w:lang w:eastAsia="en-AU"/>
        </w:rPr>
        <w:t>= area under the concentration-time curve from time zero to last measurable concentration; AUC</w:t>
      </w:r>
      <w:r w:rsidR="00BF14A9" w:rsidRPr="00155C8A">
        <w:rPr>
          <w:noProof/>
          <w:vertAlign w:val="subscript"/>
          <w:lang w:eastAsia="en-AU"/>
        </w:rPr>
        <w:t>0-∞</w:t>
      </w:r>
      <w:r w:rsidR="00BF14A9">
        <w:rPr>
          <w:noProof/>
          <w:lang w:eastAsia="en-AU"/>
        </w:rPr>
        <w:t xml:space="preserve"> = area under the concentration-time curve from time zero extrapolated to infinity</w:t>
      </w:r>
      <w:r>
        <w:rPr>
          <w:noProof/>
          <w:lang w:eastAsia="en-AU"/>
        </w:rPr>
        <w:t>.</w:t>
      </w:r>
    </w:p>
    <w:p w14:paraId="6D741C36" w14:textId="0AEC7CBA" w:rsidR="00885993" w:rsidRPr="00616A3B" w:rsidRDefault="00885993" w:rsidP="00E76E64">
      <w:bookmarkStart w:id="44" w:name="_Ref50990303"/>
      <w:r w:rsidRPr="00616A3B">
        <w:t>No data on PK interactions were presented.</w:t>
      </w:r>
      <w:bookmarkEnd w:id="44"/>
    </w:p>
    <w:p w14:paraId="1A6B3CC7" w14:textId="4EE86A61" w:rsidR="00885993" w:rsidRPr="00616A3B" w:rsidRDefault="00885993" w:rsidP="00885993">
      <w:pPr>
        <w:pStyle w:val="Heading5"/>
      </w:pPr>
      <w:r w:rsidRPr="00616A3B">
        <w:t>Pharmacodynamics</w:t>
      </w:r>
    </w:p>
    <w:p w14:paraId="1F076D32" w14:textId="7931B295" w:rsidR="00885993" w:rsidRPr="00616A3B" w:rsidRDefault="00885993" w:rsidP="00885993">
      <w:r w:rsidRPr="00616A3B">
        <w:t>The primary PD effect of trientine is to increase renal excretion of copper as the stable trientine-copper complex. Some studies reported decreased absorption of ingested copper with trientine.</w:t>
      </w:r>
    </w:p>
    <w:p w14:paraId="7AF4D4E7" w14:textId="55A14B04" w:rsidR="00885993" w:rsidRPr="00616A3B" w:rsidRDefault="00885993" w:rsidP="00885993">
      <w:r w:rsidRPr="00616A3B">
        <w:t>There is intra</w:t>
      </w:r>
      <w:r w:rsidR="003C2321" w:rsidRPr="00616A3B">
        <w:t>-</w:t>
      </w:r>
      <w:r w:rsidRPr="00616A3B">
        <w:t xml:space="preserve"> and inter-individual variability in responsiveness to trientine, but the relationship between trientine dose and urinary copper excretion is generally linear. The </w:t>
      </w:r>
      <w:proofErr w:type="spellStart"/>
      <w:r w:rsidRPr="00616A3B">
        <w:t>cupruretic</w:t>
      </w:r>
      <w:proofErr w:type="spellEnd"/>
      <w:r w:rsidRPr="00616A3B">
        <w:t xml:space="preserve"> response to trientine is affected by the degree of copper overload, with smaller responses seen in patients whose copper overload has been controlled.</w:t>
      </w:r>
    </w:p>
    <w:p w14:paraId="1D989589" w14:textId="77777777" w:rsidR="00885993" w:rsidRPr="00616A3B" w:rsidRDefault="00885993" w:rsidP="00885993">
      <w:pPr>
        <w:pStyle w:val="Heading5"/>
      </w:pPr>
      <w:r w:rsidRPr="00616A3B">
        <w:t>Dosage</w:t>
      </w:r>
    </w:p>
    <w:p w14:paraId="01AD66BD" w14:textId="77777777" w:rsidR="00885993" w:rsidRPr="00616A3B" w:rsidRDefault="00885993" w:rsidP="00885993">
      <w:r w:rsidRPr="00616A3B">
        <w:t xml:space="preserve">The proposed dosage guidance for Trientine Waymade is based on the dosage guidance for </w:t>
      </w:r>
      <w:proofErr w:type="spellStart"/>
      <w:r w:rsidRPr="00616A3B">
        <w:t>Syprine</w:t>
      </w:r>
      <w:proofErr w:type="spellEnd"/>
      <w:r w:rsidRPr="00616A3B">
        <w:t>.</w:t>
      </w:r>
    </w:p>
    <w:p w14:paraId="744B1C73" w14:textId="3A04A68F" w:rsidR="00885993" w:rsidRPr="00616A3B" w:rsidRDefault="00885993" w:rsidP="00885993">
      <w:r w:rsidRPr="00616A3B">
        <w:t>There were no formal dose finding studies in the literature. The dosages reported in the studies ranged from 100</w:t>
      </w:r>
      <w:r w:rsidR="00157D01" w:rsidRPr="00616A3B">
        <w:t> mg </w:t>
      </w:r>
      <w:r w:rsidR="00F947D1">
        <w:t>twice daily (</w:t>
      </w:r>
      <w:r w:rsidRPr="00616A3B">
        <w:t>B</w:t>
      </w:r>
      <w:r w:rsidR="00157D01" w:rsidRPr="00616A3B">
        <w:t>ID</w:t>
      </w:r>
      <w:r w:rsidR="00F947D1">
        <w:t>)</w:t>
      </w:r>
      <w:r w:rsidR="00157D01" w:rsidRPr="00616A3B">
        <w:t xml:space="preserve"> to 1800 mg </w:t>
      </w:r>
      <w:r w:rsidRPr="00616A3B">
        <w:t>B</w:t>
      </w:r>
      <w:r w:rsidR="00157D01" w:rsidRPr="00616A3B">
        <w:t>I</w:t>
      </w:r>
      <w:r w:rsidRPr="00616A3B">
        <w:t>D. Cho</w:t>
      </w:r>
      <w:r w:rsidR="00A06009">
        <w:t xml:space="preserve"> et al.</w:t>
      </w:r>
      <w:r w:rsidRPr="00616A3B">
        <w:t xml:space="preserve"> </w:t>
      </w:r>
      <w:r w:rsidR="006C294B">
        <w:t>(</w:t>
      </w:r>
      <w:r w:rsidRPr="00616A3B">
        <w:t>2009</w:t>
      </w:r>
      <w:r w:rsidR="006C294B">
        <w:t>)</w:t>
      </w:r>
      <w:r w:rsidR="00333267">
        <w:rPr>
          <w:rStyle w:val="FootnoteReference"/>
        </w:rPr>
        <w:footnoteReference w:id="5"/>
      </w:r>
      <w:r w:rsidRPr="00616A3B">
        <w:t xml:space="preserve"> evaluated the PK, PD, tolerability and safety of trientine after repeated twice daily doses of 200, 600, 1200 and 1800</w:t>
      </w:r>
      <w:r w:rsidR="00157D01" w:rsidRPr="00616A3B">
        <w:t> mg for 14 </w:t>
      </w:r>
      <w:r w:rsidRPr="00616A3B">
        <w:t>days in adults. The authors concluded that the steady state doses were safe and well tolerated, but the PK/PD and safety profile support a 600</w:t>
      </w:r>
      <w:r w:rsidR="00157D01" w:rsidRPr="00616A3B">
        <w:t> </w:t>
      </w:r>
      <w:r w:rsidRPr="00616A3B">
        <w:t>mg</w:t>
      </w:r>
      <w:r w:rsidR="00157D01" w:rsidRPr="00616A3B">
        <w:t> </w:t>
      </w:r>
      <w:r w:rsidRPr="00616A3B">
        <w:t>B</w:t>
      </w:r>
      <w:r w:rsidR="00157D01" w:rsidRPr="00616A3B">
        <w:t>I</w:t>
      </w:r>
      <w:r w:rsidRPr="00616A3B">
        <w:t>D regimen (1200</w:t>
      </w:r>
      <w:r w:rsidR="00157D01" w:rsidRPr="00616A3B">
        <w:t> </w:t>
      </w:r>
      <w:r w:rsidRPr="00616A3B">
        <w:t>mg/day) as more adverse events</w:t>
      </w:r>
      <w:r w:rsidR="00D7125C" w:rsidRPr="00616A3B">
        <w:t xml:space="preserve"> (AE)</w:t>
      </w:r>
      <w:r w:rsidRPr="00616A3B">
        <w:t xml:space="preserve"> were reported wit</w:t>
      </w:r>
      <w:r w:rsidR="004766FA" w:rsidRPr="00616A3B">
        <w:t>h the higher 3600</w:t>
      </w:r>
      <w:r w:rsidR="00157D01" w:rsidRPr="00616A3B">
        <w:t> </w:t>
      </w:r>
      <w:r w:rsidR="004766FA" w:rsidRPr="00616A3B">
        <w:t>mg/day dose.</w:t>
      </w:r>
    </w:p>
    <w:p w14:paraId="008F660A" w14:textId="595D3D48" w:rsidR="00885993" w:rsidRPr="00616A3B" w:rsidRDefault="00885993" w:rsidP="00885993">
      <w:r w:rsidRPr="00616A3B">
        <w:t>Trientine has been in clinical use for many years. There is high inter-individual variability in the PK of trientine, and the dose is typically titrated according to clinical response. The Australian Therapeutic Guidelines (</w:t>
      </w:r>
      <w:proofErr w:type="spellStart"/>
      <w:r w:rsidRPr="00616A3B">
        <w:t>eTG</w:t>
      </w:r>
      <w:proofErr w:type="spellEnd"/>
      <w:r w:rsidRPr="00616A3B">
        <w:t xml:space="preserve"> December 2019) lists trientine as a treatment for WD but does not make </w:t>
      </w:r>
      <w:r w:rsidR="004766FA" w:rsidRPr="00616A3B">
        <w:t>specific dose recommendations.</w:t>
      </w:r>
    </w:p>
    <w:p w14:paraId="239C79E7" w14:textId="74D11407" w:rsidR="00ED211D" w:rsidRDefault="00885993" w:rsidP="00885993">
      <w:r w:rsidRPr="00616A3B">
        <w:t xml:space="preserve">The AASLD 2008 practice guideline for WD by Roberts </w:t>
      </w:r>
      <w:r w:rsidR="00B20166">
        <w:t xml:space="preserve">and </w:t>
      </w:r>
      <w:proofErr w:type="spellStart"/>
      <w:r w:rsidR="00B20166">
        <w:t>Schilsky</w:t>
      </w:r>
      <w:proofErr w:type="spellEnd"/>
      <w:r w:rsidRPr="00616A3B">
        <w:t xml:space="preserve"> </w:t>
      </w:r>
      <w:r w:rsidR="00F876B2">
        <w:t>(</w:t>
      </w:r>
      <w:r w:rsidRPr="00616A3B">
        <w:t>2008</w:t>
      </w:r>
      <w:r w:rsidR="00F876B2">
        <w:t>)</w:t>
      </w:r>
      <w:r w:rsidR="005779AF" w:rsidRPr="005779AF">
        <w:rPr>
          <w:vertAlign w:val="superscript"/>
        </w:rPr>
        <w:fldChar w:fldCharType="begin"/>
      </w:r>
      <w:r w:rsidR="005779AF" w:rsidRPr="005779AF">
        <w:rPr>
          <w:vertAlign w:val="superscript"/>
        </w:rPr>
        <w:instrText xml:space="preserve"> NOTEREF _Ref68853116 \h </w:instrText>
      </w:r>
      <w:r w:rsidR="005779AF">
        <w:rPr>
          <w:vertAlign w:val="superscript"/>
        </w:rPr>
        <w:instrText xml:space="preserve"> \* MERGEFORMAT </w:instrText>
      </w:r>
      <w:r w:rsidR="005779AF" w:rsidRPr="005779AF">
        <w:rPr>
          <w:vertAlign w:val="superscript"/>
        </w:rPr>
      </w:r>
      <w:r w:rsidR="005779AF" w:rsidRPr="005779AF">
        <w:rPr>
          <w:vertAlign w:val="superscript"/>
        </w:rPr>
        <w:fldChar w:fldCharType="separate"/>
      </w:r>
      <w:r w:rsidR="005815A1">
        <w:rPr>
          <w:vertAlign w:val="superscript"/>
        </w:rPr>
        <w:t>6</w:t>
      </w:r>
      <w:r w:rsidR="005779AF" w:rsidRPr="005779AF">
        <w:rPr>
          <w:vertAlign w:val="superscript"/>
        </w:rPr>
        <w:fldChar w:fldCharType="end"/>
      </w:r>
      <w:r w:rsidRPr="00616A3B">
        <w:t xml:space="preserve"> advises</w:t>
      </w:r>
      <w:r w:rsidR="00ED211D">
        <w:t>:</w:t>
      </w:r>
    </w:p>
    <w:p w14:paraId="184A3439" w14:textId="5E73C7DC" w:rsidR="00885993" w:rsidRPr="00616A3B" w:rsidRDefault="00157D01" w:rsidP="00885993">
      <w:r w:rsidRPr="00616A3B">
        <w:t>‘</w:t>
      </w:r>
      <w:r w:rsidRPr="00616A3B">
        <w:rPr>
          <w:i/>
        </w:rPr>
        <w:t xml:space="preserve">Typical dosages are 750 to </w:t>
      </w:r>
      <w:r w:rsidR="00885993" w:rsidRPr="00616A3B">
        <w:rPr>
          <w:i/>
        </w:rPr>
        <w:t>1500</w:t>
      </w:r>
      <w:r w:rsidRPr="00616A3B">
        <w:rPr>
          <w:i/>
        </w:rPr>
        <w:t> </w:t>
      </w:r>
      <w:r w:rsidR="00885993" w:rsidRPr="00616A3B">
        <w:rPr>
          <w:i/>
        </w:rPr>
        <w:t>mg/day in two or three divided doses, with 750 or 1000</w:t>
      </w:r>
      <w:r w:rsidRPr="00616A3B">
        <w:rPr>
          <w:i/>
        </w:rPr>
        <w:t> </w:t>
      </w:r>
      <w:r w:rsidR="00885993" w:rsidRPr="00616A3B">
        <w:rPr>
          <w:i/>
        </w:rPr>
        <w:t>mg used for maintenance therapy. In children, the weight</w:t>
      </w:r>
      <w:r w:rsidRPr="00616A3B">
        <w:rPr>
          <w:i/>
        </w:rPr>
        <w:t xml:space="preserve"> </w:t>
      </w:r>
      <w:r w:rsidR="00885993" w:rsidRPr="00616A3B">
        <w:rPr>
          <w:i/>
        </w:rPr>
        <w:t>based dose is not established, but the dose generally used is 20</w:t>
      </w:r>
      <w:r w:rsidRPr="00616A3B">
        <w:rPr>
          <w:i/>
        </w:rPr>
        <w:t> </w:t>
      </w:r>
      <w:r w:rsidR="00885993" w:rsidRPr="00616A3B">
        <w:rPr>
          <w:i/>
        </w:rPr>
        <w:t>mg/kg/day rounded off to the nearest 250</w:t>
      </w:r>
      <w:r w:rsidRPr="00616A3B">
        <w:rPr>
          <w:i/>
        </w:rPr>
        <w:t> </w:t>
      </w:r>
      <w:r w:rsidR="00885993" w:rsidRPr="00616A3B">
        <w:rPr>
          <w:i/>
        </w:rPr>
        <w:t xml:space="preserve">mg, given in two or three divided doses. Trientine should be administered </w:t>
      </w:r>
      <w:r w:rsidRPr="00616A3B">
        <w:rPr>
          <w:i/>
        </w:rPr>
        <w:t>one</w:t>
      </w:r>
      <w:r w:rsidR="00885993" w:rsidRPr="00616A3B">
        <w:rPr>
          <w:i/>
        </w:rPr>
        <w:t xml:space="preserve"> hour </w:t>
      </w:r>
      <w:r w:rsidR="004766FA" w:rsidRPr="00616A3B">
        <w:rPr>
          <w:i/>
        </w:rPr>
        <w:t xml:space="preserve">before or </w:t>
      </w:r>
      <w:r w:rsidRPr="00616A3B">
        <w:rPr>
          <w:i/>
        </w:rPr>
        <w:t>two hours after meals.</w:t>
      </w:r>
      <w:r w:rsidRPr="00616A3B">
        <w:t>’</w:t>
      </w:r>
      <w:bookmarkStart w:id="45" w:name="_Ref68853116"/>
      <w:r w:rsidR="00ED211D">
        <w:rPr>
          <w:rStyle w:val="FootnoteReference"/>
        </w:rPr>
        <w:footnoteReference w:id="6"/>
      </w:r>
      <w:bookmarkEnd w:id="45"/>
    </w:p>
    <w:p w14:paraId="71C23716" w14:textId="01BF862E" w:rsidR="00885993" w:rsidRPr="00616A3B" w:rsidRDefault="00885993" w:rsidP="00885993">
      <w:r w:rsidRPr="00616A3B">
        <w:t>The EASL 2012 Clinical Practice Guidelines for WD</w:t>
      </w:r>
      <w:r w:rsidR="005779AF">
        <w:t>;</w:t>
      </w:r>
      <w:r w:rsidR="005779AF" w:rsidRPr="005779AF">
        <w:rPr>
          <w:vertAlign w:val="superscript"/>
        </w:rPr>
        <w:fldChar w:fldCharType="begin"/>
      </w:r>
      <w:r w:rsidR="005779AF" w:rsidRPr="005779AF">
        <w:rPr>
          <w:vertAlign w:val="superscript"/>
        </w:rPr>
        <w:instrText xml:space="preserve"> NOTEREF _Ref68852748 \h </w:instrText>
      </w:r>
      <w:r w:rsidR="005779AF">
        <w:rPr>
          <w:vertAlign w:val="superscript"/>
        </w:rPr>
        <w:instrText xml:space="preserve"> \* MERGEFORMAT </w:instrText>
      </w:r>
      <w:r w:rsidR="005779AF" w:rsidRPr="005779AF">
        <w:rPr>
          <w:vertAlign w:val="superscript"/>
        </w:rPr>
      </w:r>
      <w:r w:rsidR="005779AF" w:rsidRPr="005779AF">
        <w:rPr>
          <w:vertAlign w:val="superscript"/>
        </w:rPr>
        <w:fldChar w:fldCharType="separate"/>
      </w:r>
      <w:r w:rsidR="005815A1">
        <w:rPr>
          <w:vertAlign w:val="superscript"/>
        </w:rPr>
        <w:t>7</w:t>
      </w:r>
      <w:r w:rsidR="005779AF" w:rsidRPr="005779AF">
        <w:rPr>
          <w:vertAlign w:val="superscript"/>
        </w:rPr>
        <w:fldChar w:fldCharType="end"/>
      </w:r>
      <w:r w:rsidRPr="00616A3B">
        <w:t xml:space="preserve"> advise</w:t>
      </w:r>
      <w:r w:rsidR="00157D01" w:rsidRPr="00616A3B">
        <w:t>s ‘</w:t>
      </w:r>
      <w:r w:rsidRPr="00616A3B">
        <w:rPr>
          <w:i/>
        </w:rPr>
        <w:t>Typic</w:t>
      </w:r>
      <w:r w:rsidR="00157D01" w:rsidRPr="00616A3B">
        <w:rPr>
          <w:i/>
        </w:rPr>
        <w:t>al dosages of trientine are 900 to 2700 </w:t>
      </w:r>
      <w:r w:rsidRPr="00616A3B">
        <w:rPr>
          <w:i/>
        </w:rPr>
        <w:t>mg/day in two o</w:t>
      </w:r>
      <w:r w:rsidR="00157D01" w:rsidRPr="00616A3B">
        <w:rPr>
          <w:i/>
        </w:rPr>
        <w:t xml:space="preserve">r three divided doses, with 900 to </w:t>
      </w:r>
      <w:r w:rsidRPr="00616A3B">
        <w:rPr>
          <w:i/>
        </w:rPr>
        <w:t>1500</w:t>
      </w:r>
      <w:r w:rsidR="00157D01" w:rsidRPr="00616A3B">
        <w:rPr>
          <w:i/>
        </w:rPr>
        <w:t> </w:t>
      </w:r>
      <w:r w:rsidRPr="00616A3B">
        <w:rPr>
          <w:i/>
        </w:rPr>
        <w:t>mg/day used for maintenance therapy. In children, the weight-based dose is not established, bu</w:t>
      </w:r>
      <w:r w:rsidR="00157D01" w:rsidRPr="00616A3B">
        <w:rPr>
          <w:i/>
        </w:rPr>
        <w:t>t the dose generally used is 20 </w:t>
      </w:r>
      <w:r w:rsidRPr="00616A3B">
        <w:rPr>
          <w:i/>
        </w:rPr>
        <w:t>mg/kg/day rou</w:t>
      </w:r>
      <w:r w:rsidR="00157D01" w:rsidRPr="00616A3B">
        <w:rPr>
          <w:i/>
        </w:rPr>
        <w:t>nded off to the nearest 250 </w:t>
      </w:r>
      <w:r w:rsidRPr="00616A3B">
        <w:rPr>
          <w:i/>
        </w:rPr>
        <w:t>mg, given i</w:t>
      </w:r>
      <w:r w:rsidR="00157D01" w:rsidRPr="00616A3B">
        <w:rPr>
          <w:i/>
        </w:rPr>
        <w:t>n two or three divided doses</w:t>
      </w:r>
      <w:r w:rsidR="00157D01" w:rsidRPr="00616A3B">
        <w:t>.’</w:t>
      </w:r>
      <w:bookmarkStart w:id="46" w:name="_Ref68852748"/>
      <w:r w:rsidR="00B20166">
        <w:rPr>
          <w:rStyle w:val="FootnoteReference"/>
        </w:rPr>
        <w:footnoteReference w:id="7"/>
      </w:r>
      <w:bookmarkEnd w:id="46"/>
    </w:p>
    <w:p w14:paraId="42C83E2A" w14:textId="69707BE8" w:rsidR="00885993" w:rsidRPr="00616A3B" w:rsidRDefault="00885993" w:rsidP="00885993">
      <w:r w:rsidRPr="00616A3B">
        <w:t xml:space="preserve">A position paper by the </w:t>
      </w:r>
      <w:r w:rsidR="002C0F64" w:rsidRPr="00616A3B">
        <w:t>ESPGHN</w:t>
      </w:r>
      <w:r w:rsidRPr="00616A3B">
        <w:t xml:space="preserve"> Committee (</w:t>
      </w:r>
      <w:proofErr w:type="spellStart"/>
      <w:r w:rsidRPr="00616A3B">
        <w:t>Socha</w:t>
      </w:r>
      <w:proofErr w:type="spellEnd"/>
      <w:r w:rsidRPr="00616A3B">
        <w:t xml:space="preserve"> et al 2018)</w:t>
      </w:r>
      <w:r w:rsidR="00F876B2">
        <w:rPr>
          <w:rStyle w:val="FootnoteReference"/>
        </w:rPr>
        <w:footnoteReference w:id="8"/>
      </w:r>
      <w:r w:rsidRPr="00616A3B">
        <w:t xml:space="preserve"> advises </w:t>
      </w:r>
      <w:r w:rsidR="00157D01" w:rsidRPr="00616A3B">
        <w:t>‘</w:t>
      </w:r>
      <w:r w:rsidRPr="00616A3B">
        <w:rPr>
          <w:i/>
        </w:rPr>
        <w:t>The recommended dose of trientine in children is 20</w:t>
      </w:r>
      <w:r w:rsidR="00157D01" w:rsidRPr="00616A3B">
        <w:rPr>
          <w:i/>
        </w:rPr>
        <w:t> mg/kg/day in two to three divided doses</w:t>
      </w:r>
      <w:r w:rsidR="00157D01" w:rsidRPr="00616A3B">
        <w:t>.’</w:t>
      </w:r>
    </w:p>
    <w:p w14:paraId="1705BA89" w14:textId="77777777" w:rsidR="00885993" w:rsidRPr="00616A3B" w:rsidRDefault="00885993" w:rsidP="00885993">
      <w:pPr>
        <w:pStyle w:val="Heading4"/>
      </w:pPr>
      <w:r w:rsidRPr="00616A3B">
        <w:t>Efficacy</w:t>
      </w:r>
    </w:p>
    <w:p w14:paraId="51D1D51D" w14:textId="497D9FBB" w:rsidR="00885993" w:rsidRPr="00616A3B" w:rsidRDefault="00885993" w:rsidP="00E2544A">
      <w:r w:rsidRPr="00616A3B">
        <w:t>The literature search identified six published studies which informed efficacy in the proposed indication (</w:t>
      </w:r>
      <w:r w:rsidRPr="00616A3B">
        <w:fldChar w:fldCharType="begin"/>
      </w:r>
      <w:r w:rsidRPr="00616A3B">
        <w:instrText xml:space="preserve"> REF _Ref50991477 \h  \* MERGEFORMAT </w:instrText>
      </w:r>
      <w:r w:rsidRPr="00616A3B">
        <w:fldChar w:fldCharType="separate"/>
      </w:r>
      <w:r w:rsidR="005815A1" w:rsidRPr="00616A3B">
        <w:t xml:space="preserve">Table </w:t>
      </w:r>
      <w:r w:rsidR="005815A1">
        <w:t>5</w:t>
      </w:r>
      <w:r w:rsidRPr="00616A3B">
        <w:fldChar w:fldCharType="end"/>
      </w:r>
      <w:r w:rsidRPr="00616A3B">
        <w:t xml:space="preserve">). In addition, the submission referenced the Australian Therapeutic Guidelines and clinical practice guidelines published by European and USA </w:t>
      </w:r>
      <w:proofErr w:type="spellStart"/>
      <w:r w:rsidRPr="00616A3B">
        <w:t>hepatology</w:t>
      </w:r>
      <w:proofErr w:type="spellEnd"/>
      <w:r w:rsidRPr="00616A3B">
        <w:t xml:space="preserve"> associations (</w:t>
      </w:r>
      <w:r w:rsidRPr="00616A3B">
        <w:fldChar w:fldCharType="begin"/>
      </w:r>
      <w:r w:rsidRPr="00616A3B">
        <w:instrText xml:space="preserve"> REF _Ref53134001 \h  \* MERGEFORMAT </w:instrText>
      </w:r>
      <w:r w:rsidRPr="00616A3B">
        <w:fldChar w:fldCharType="separate"/>
      </w:r>
      <w:r w:rsidR="005815A1" w:rsidRPr="00616A3B">
        <w:t xml:space="preserve">Table </w:t>
      </w:r>
      <w:r w:rsidR="005815A1">
        <w:t>6</w:t>
      </w:r>
      <w:r w:rsidRPr="00616A3B">
        <w:fldChar w:fldCharType="end"/>
      </w:r>
      <w:r w:rsidR="00E57430">
        <w:t>).</w:t>
      </w:r>
    </w:p>
    <w:p w14:paraId="79E98DFA" w14:textId="076DFA8F" w:rsidR="00885993" w:rsidRPr="00616A3B" w:rsidRDefault="00885993" w:rsidP="00E2544A">
      <w:r w:rsidRPr="00616A3B">
        <w:t>The retrospective cohort study by Weiss et al</w:t>
      </w:r>
      <w:r w:rsidR="00733A96">
        <w:t>.</w:t>
      </w:r>
      <w:r w:rsidRPr="00616A3B">
        <w:t xml:space="preserve"> </w:t>
      </w:r>
      <w:r w:rsidR="008546C4">
        <w:t>(</w:t>
      </w:r>
      <w:r w:rsidRPr="00616A3B">
        <w:t>2013</w:t>
      </w:r>
      <w:bookmarkStart w:id="47" w:name="_Ref65681113"/>
      <w:r w:rsidR="008546C4">
        <w:t>)</w:t>
      </w:r>
      <w:r w:rsidRPr="00616A3B">
        <w:rPr>
          <w:vertAlign w:val="superscript"/>
        </w:rPr>
        <w:footnoteReference w:id="9"/>
      </w:r>
      <w:bookmarkEnd w:id="47"/>
      <w:r w:rsidRPr="00616A3B">
        <w:t xml:space="preserve"> was identified as the pivotal study to support efficacy. The other studies were retrospective or prospective uncontrolled case series. Weiss </w:t>
      </w:r>
      <w:r w:rsidR="00733A96">
        <w:t xml:space="preserve">et al. </w:t>
      </w:r>
      <w:r w:rsidR="008546C4">
        <w:t>(</w:t>
      </w:r>
      <w:r w:rsidRPr="00616A3B">
        <w:t>2018</w:t>
      </w:r>
      <w:r w:rsidR="008546C4">
        <w:t>)</w:t>
      </w:r>
      <w:r w:rsidR="00F876B2">
        <w:t>;</w:t>
      </w:r>
      <w:bookmarkStart w:id="48" w:name="_Ref65680394"/>
      <w:r w:rsidR="00F876B2">
        <w:rPr>
          <w:rStyle w:val="FootnoteReference"/>
        </w:rPr>
        <w:footnoteReference w:id="10"/>
      </w:r>
      <w:bookmarkEnd w:id="48"/>
      <w:r w:rsidRPr="00616A3B">
        <w:t xml:space="preserve"> and Weiss </w:t>
      </w:r>
      <w:r w:rsidR="00733A96">
        <w:t xml:space="preserve">et al. </w:t>
      </w:r>
      <w:r w:rsidR="008546C4">
        <w:t>(</w:t>
      </w:r>
      <w:r w:rsidRPr="00616A3B">
        <w:t>2019</w:t>
      </w:r>
      <w:r w:rsidR="008546C4">
        <w:t>)</w:t>
      </w:r>
      <w:r w:rsidR="00F876B2">
        <w:t>;</w:t>
      </w:r>
      <w:bookmarkStart w:id="49" w:name="_Ref65680416"/>
      <w:r w:rsidR="00F876B2">
        <w:rPr>
          <w:rStyle w:val="FootnoteReference"/>
        </w:rPr>
        <w:footnoteReference w:id="11"/>
      </w:r>
      <w:bookmarkEnd w:id="49"/>
      <w:r w:rsidRPr="00616A3B">
        <w:t xml:space="preserve"> were published conference abstracts relating to Study UNV-TRI-002, the pivotal study supporting the marketing authorisation of </w:t>
      </w:r>
      <w:proofErr w:type="spellStart"/>
      <w:r w:rsidRPr="00616A3B">
        <w:t>Cufence</w:t>
      </w:r>
      <w:proofErr w:type="spellEnd"/>
      <w:r w:rsidRPr="00616A3B">
        <w:t xml:space="preserve"> (trientine dihydrochloride) in Europe in 2019.</w:t>
      </w:r>
    </w:p>
    <w:p w14:paraId="0FF8A4DD" w14:textId="69046FFA" w:rsidR="00885993" w:rsidRDefault="00885993" w:rsidP="006B6EBD">
      <w:pPr>
        <w:pStyle w:val="TableTitle"/>
      </w:pPr>
      <w:bookmarkStart w:id="50" w:name="_Ref50991477"/>
      <w:r w:rsidRPr="00616A3B">
        <w:t xml:space="preserve">Table </w:t>
      </w:r>
      <w:fldSimple w:instr=" SEQ Table \* ARABIC ">
        <w:r w:rsidR="005815A1">
          <w:rPr>
            <w:noProof/>
          </w:rPr>
          <w:t>5</w:t>
        </w:r>
      </w:fldSimple>
      <w:bookmarkEnd w:id="50"/>
      <w:r w:rsidR="00A920AB" w:rsidRPr="00616A3B">
        <w:t>:</w:t>
      </w:r>
      <w:r w:rsidRPr="00616A3B">
        <w:t xml:space="preserve"> </w:t>
      </w:r>
      <w:r w:rsidR="00A920AB" w:rsidRPr="00616A3B">
        <w:t>Overview of efficacy studies</w:t>
      </w:r>
    </w:p>
    <w:tbl>
      <w:tblPr>
        <w:tblStyle w:val="TableTGAblue"/>
        <w:tblW w:w="0" w:type="auto"/>
        <w:tblLayout w:type="fixed"/>
        <w:tblLook w:val="04A0" w:firstRow="1" w:lastRow="0" w:firstColumn="1" w:lastColumn="0" w:noHBand="0" w:noVBand="1"/>
      </w:tblPr>
      <w:tblGrid>
        <w:gridCol w:w="1160"/>
        <w:gridCol w:w="1399"/>
        <w:gridCol w:w="1751"/>
        <w:gridCol w:w="1980"/>
        <w:gridCol w:w="2194"/>
      </w:tblGrid>
      <w:tr w:rsidR="006B6EBD" w:rsidRPr="00541B0D" w14:paraId="69EE15F5" w14:textId="77777777" w:rsidTr="00D27933">
        <w:trPr>
          <w:cnfStyle w:val="100000000000" w:firstRow="1" w:lastRow="0" w:firstColumn="0" w:lastColumn="0" w:oddVBand="0" w:evenVBand="0" w:oddHBand="0" w:evenHBand="0" w:firstRowFirstColumn="0" w:firstRowLastColumn="0" w:lastRowFirstColumn="0" w:lastRowLastColumn="0"/>
        </w:trPr>
        <w:tc>
          <w:tcPr>
            <w:tcW w:w="1160" w:type="dxa"/>
          </w:tcPr>
          <w:p w14:paraId="70AB3129" w14:textId="5A7AA3C5" w:rsidR="006B6EBD" w:rsidRPr="00541B0D" w:rsidRDefault="006B6EBD" w:rsidP="00541B0D">
            <w:pPr>
              <w:rPr>
                <w:sz w:val="20"/>
                <w:szCs w:val="20"/>
              </w:rPr>
            </w:pPr>
            <w:r w:rsidRPr="00541B0D">
              <w:rPr>
                <w:sz w:val="20"/>
                <w:szCs w:val="20"/>
              </w:rPr>
              <w:t>Literature reference</w:t>
            </w:r>
          </w:p>
        </w:tc>
        <w:tc>
          <w:tcPr>
            <w:tcW w:w="1399" w:type="dxa"/>
          </w:tcPr>
          <w:p w14:paraId="7289D2C6" w14:textId="7406B134" w:rsidR="006B6EBD" w:rsidRPr="00541B0D" w:rsidRDefault="006B6EBD" w:rsidP="00541B0D">
            <w:pPr>
              <w:rPr>
                <w:sz w:val="20"/>
                <w:szCs w:val="20"/>
              </w:rPr>
            </w:pPr>
            <w:r w:rsidRPr="00541B0D">
              <w:rPr>
                <w:sz w:val="20"/>
                <w:szCs w:val="20"/>
              </w:rPr>
              <w:t>Level of evidence and study design</w:t>
            </w:r>
          </w:p>
        </w:tc>
        <w:tc>
          <w:tcPr>
            <w:tcW w:w="1751" w:type="dxa"/>
          </w:tcPr>
          <w:p w14:paraId="2C67F0E3" w14:textId="314F9075" w:rsidR="006B6EBD" w:rsidRPr="00541B0D" w:rsidRDefault="006B6EBD" w:rsidP="00541B0D">
            <w:pPr>
              <w:rPr>
                <w:sz w:val="20"/>
                <w:szCs w:val="20"/>
              </w:rPr>
            </w:pPr>
            <w:r w:rsidRPr="00541B0D">
              <w:rPr>
                <w:sz w:val="20"/>
                <w:szCs w:val="20"/>
              </w:rPr>
              <w:t xml:space="preserve">Diagnosis of patients </w:t>
            </w:r>
            <w:r w:rsidR="00D27933" w:rsidRPr="00541B0D">
              <w:rPr>
                <w:sz w:val="20"/>
                <w:szCs w:val="20"/>
              </w:rPr>
              <w:t>and p</w:t>
            </w:r>
            <w:r w:rsidRPr="00541B0D">
              <w:rPr>
                <w:sz w:val="20"/>
                <w:szCs w:val="20"/>
              </w:rPr>
              <w:t>atient population</w:t>
            </w:r>
          </w:p>
        </w:tc>
        <w:tc>
          <w:tcPr>
            <w:tcW w:w="1980" w:type="dxa"/>
          </w:tcPr>
          <w:p w14:paraId="2A911127" w14:textId="2169085F" w:rsidR="006B6EBD" w:rsidRPr="00541B0D" w:rsidRDefault="006B6EBD" w:rsidP="00541B0D">
            <w:pPr>
              <w:rPr>
                <w:sz w:val="20"/>
                <w:szCs w:val="20"/>
              </w:rPr>
            </w:pPr>
            <w:r w:rsidRPr="00541B0D">
              <w:rPr>
                <w:sz w:val="20"/>
                <w:szCs w:val="20"/>
              </w:rPr>
              <w:t>Objective of the study</w:t>
            </w:r>
          </w:p>
        </w:tc>
        <w:tc>
          <w:tcPr>
            <w:tcW w:w="2194" w:type="dxa"/>
          </w:tcPr>
          <w:p w14:paraId="1A4BD319" w14:textId="5572F9C7" w:rsidR="006B6EBD" w:rsidRPr="00541B0D" w:rsidRDefault="006B6EBD" w:rsidP="00541B0D">
            <w:pPr>
              <w:rPr>
                <w:sz w:val="20"/>
                <w:szCs w:val="20"/>
              </w:rPr>
            </w:pPr>
            <w:r w:rsidRPr="00541B0D">
              <w:rPr>
                <w:sz w:val="20"/>
                <w:szCs w:val="20"/>
              </w:rPr>
              <w:t>Clinical endpoints</w:t>
            </w:r>
          </w:p>
        </w:tc>
      </w:tr>
      <w:tr w:rsidR="006B6EBD" w:rsidRPr="00541B0D" w14:paraId="11D169E5" w14:textId="77777777" w:rsidTr="00D27933">
        <w:tc>
          <w:tcPr>
            <w:tcW w:w="1160" w:type="dxa"/>
          </w:tcPr>
          <w:p w14:paraId="6DCD5AD4" w14:textId="3EE03C4E" w:rsidR="006B6EBD" w:rsidRPr="00541B0D" w:rsidRDefault="006B6EBD" w:rsidP="00541B0D">
            <w:pPr>
              <w:rPr>
                <w:sz w:val="20"/>
                <w:szCs w:val="20"/>
              </w:rPr>
            </w:pPr>
            <w:r w:rsidRPr="00541B0D">
              <w:rPr>
                <w:sz w:val="20"/>
                <w:szCs w:val="20"/>
              </w:rPr>
              <w:t xml:space="preserve">Weiss </w:t>
            </w:r>
            <w:r w:rsidR="00733A96" w:rsidRPr="00541B0D">
              <w:rPr>
                <w:sz w:val="20"/>
                <w:szCs w:val="20"/>
              </w:rPr>
              <w:t xml:space="preserve">et. al. </w:t>
            </w:r>
            <w:r w:rsidR="008546C4" w:rsidRPr="00541B0D">
              <w:rPr>
                <w:sz w:val="20"/>
                <w:szCs w:val="20"/>
              </w:rPr>
              <w:t>(</w:t>
            </w:r>
            <w:r w:rsidRPr="00541B0D">
              <w:rPr>
                <w:sz w:val="20"/>
                <w:szCs w:val="20"/>
              </w:rPr>
              <w:t>2013</w:t>
            </w:r>
            <w:r w:rsidR="008546C4" w:rsidRPr="00541B0D">
              <w:rPr>
                <w:sz w:val="20"/>
                <w:szCs w:val="20"/>
              </w:rPr>
              <w:t>)</w:t>
            </w:r>
            <w:r w:rsidRPr="00541B0D">
              <w:rPr>
                <w:sz w:val="20"/>
                <w:szCs w:val="20"/>
              </w:rPr>
              <w:t xml:space="preserve"> </w:t>
            </w:r>
          </w:p>
        </w:tc>
        <w:tc>
          <w:tcPr>
            <w:tcW w:w="1399" w:type="dxa"/>
          </w:tcPr>
          <w:p w14:paraId="7A225665" w14:textId="13457836" w:rsidR="006B6EBD" w:rsidRPr="00541B0D" w:rsidRDefault="006B6EBD" w:rsidP="00541B0D">
            <w:pPr>
              <w:rPr>
                <w:sz w:val="20"/>
                <w:szCs w:val="20"/>
              </w:rPr>
            </w:pPr>
            <w:r w:rsidRPr="00541B0D">
              <w:rPr>
                <w:sz w:val="20"/>
                <w:szCs w:val="20"/>
              </w:rPr>
              <w:t>Level III-3 Retrospective case series</w:t>
            </w:r>
          </w:p>
        </w:tc>
        <w:tc>
          <w:tcPr>
            <w:tcW w:w="1751" w:type="dxa"/>
          </w:tcPr>
          <w:p w14:paraId="4CF3503F" w14:textId="1C068E19" w:rsidR="00D27933" w:rsidRPr="00541B0D" w:rsidRDefault="006B6EBD" w:rsidP="00541B0D">
            <w:pPr>
              <w:rPr>
                <w:sz w:val="20"/>
                <w:szCs w:val="20"/>
              </w:rPr>
            </w:pPr>
            <w:r w:rsidRPr="00541B0D">
              <w:rPr>
                <w:sz w:val="20"/>
                <w:szCs w:val="20"/>
              </w:rPr>
              <w:t>W</w:t>
            </w:r>
            <w:r w:rsidR="00FC034F" w:rsidRPr="00541B0D">
              <w:rPr>
                <w:sz w:val="20"/>
                <w:szCs w:val="20"/>
              </w:rPr>
              <w:t>D</w:t>
            </w:r>
            <w:r w:rsidRPr="00541B0D">
              <w:rPr>
                <w:sz w:val="20"/>
                <w:szCs w:val="20"/>
              </w:rPr>
              <w:t xml:space="preserve"> with Leipzig score </w:t>
            </w:r>
            <w:r w:rsidR="007E4E48" w:rsidRPr="00541B0D">
              <w:rPr>
                <w:sz w:val="20"/>
                <w:szCs w:val="20"/>
              </w:rPr>
              <w:t>≥</w:t>
            </w:r>
            <w:r w:rsidR="00D27933" w:rsidRPr="00541B0D">
              <w:rPr>
                <w:sz w:val="20"/>
                <w:szCs w:val="20"/>
              </w:rPr>
              <w:t> 4</w:t>
            </w:r>
          </w:p>
          <w:p w14:paraId="63733600" w14:textId="77777777" w:rsidR="00FC034F" w:rsidRPr="00541B0D" w:rsidRDefault="006B6EBD" w:rsidP="00541B0D">
            <w:pPr>
              <w:rPr>
                <w:sz w:val="20"/>
                <w:szCs w:val="20"/>
              </w:rPr>
            </w:pPr>
            <w:r w:rsidRPr="00541B0D">
              <w:rPr>
                <w:sz w:val="20"/>
                <w:szCs w:val="20"/>
              </w:rPr>
              <w:t>19.51 years (1.23 to 55.06 years)</w:t>
            </w:r>
          </w:p>
          <w:p w14:paraId="125969BD" w14:textId="16B61C95" w:rsidR="006B6EBD" w:rsidRPr="00541B0D" w:rsidRDefault="006B6EBD" w:rsidP="00541B0D">
            <w:pPr>
              <w:rPr>
                <w:sz w:val="20"/>
                <w:szCs w:val="20"/>
              </w:rPr>
            </w:pPr>
            <w:r w:rsidRPr="00541B0D">
              <w:rPr>
                <w:sz w:val="20"/>
                <w:szCs w:val="20"/>
              </w:rPr>
              <w:t>n = 141 trientine n = 326 DPA</w:t>
            </w:r>
          </w:p>
        </w:tc>
        <w:tc>
          <w:tcPr>
            <w:tcW w:w="1980" w:type="dxa"/>
          </w:tcPr>
          <w:p w14:paraId="0B3A33AE" w14:textId="61853D5D" w:rsidR="006B6EBD" w:rsidRPr="00541B0D" w:rsidRDefault="006B6EBD" w:rsidP="00541B0D">
            <w:pPr>
              <w:rPr>
                <w:sz w:val="20"/>
                <w:szCs w:val="20"/>
              </w:rPr>
            </w:pPr>
            <w:r w:rsidRPr="00541B0D">
              <w:rPr>
                <w:sz w:val="20"/>
                <w:szCs w:val="20"/>
              </w:rPr>
              <w:t>To evaluate the efficacy of trientine versus DPA therapy in terms of hepatic and neurologic outcomes and compare safety based on adverse events leading to discontinuation of treatment</w:t>
            </w:r>
          </w:p>
        </w:tc>
        <w:tc>
          <w:tcPr>
            <w:tcW w:w="2194" w:type="dxa"/>
          </w:tcPr>
          <w:p w14:paraId="254984BE" w14:textId="5EDCD33E" w:rsidR="00CE4810" w:rsidRPr="00541B0D" w:rsidRDefault="006B6EBD" w:rsidP="00541B0D">
            <w:pPr>
              <w:rPr>
                <w:sz w:val="20"/>
                <w:szCs w:val="20"/>
              </w:rPr>
            </w:pPr>
            <w:r w:rsidRPr="00541B0D">
              <w:rPr>
                <w:sz w:val="20"/>
                <w:szCs w:val="20"/>
              </w:rPr>
              <w:t>Investigator rated change in hepatic and neurologic outcomes (</w:t>
            </w:r>
            <w:r w:rsidR="00D27933" w:rsidRPr="00541B0D">
              <w:rPr>
                <w:sz w:val="20"/>
                <w:szCs w:val="20"/>
              </w:rPr>
              <w:t>that is,</w:t>
            </w:r>
            <w:r w:rsidRPr="00541B0D">
              <w:rPr>
                <w:sz w:val="20"/>
                <w:szCs w:val="20"/>
              </w:rPr>
              <w:t xml:space="preserve"> clinical symptoms and tests) at 6, 12,</w:t>
            </w:r>
            <w:r w:rsidR="00D27933" w:rsidRPr="00541B0D">
              <w:rPr>
                <w:sz w:val="20"/>
                <w:szCs w:val="20"/>
              </w:rPr>
              <w:t xml:space="preserve"> 24, 36, and 48 </w:t>
            </w:r>
            <w:r w:rsidRPr="00541B0D">
              <w:rPr>
                <w:sz w:val="20"/>
                <w:szCs w:val="20"/>
              </w:rPr>
              <w:t>months after initiation of the current treatment regimen</w:t>
            </w:r>
          </w:p>
          <w:p w14:paraId="52DD60A5" w14:textId="2CADDECF" w:rsidR="006B6EBD" w:rsidRPr="00541B0D" w:rsidRDefault="006B6EBD" w:rsidP="00541B0D">
            <w:pPr>
              <w:rPr>
                <w:sz w:val="20"/>
                <w:szCs w:val="20"/>
              </w:rPr>
            </w:pPr>
            <w:r w:rsidRPr="00541B0D">
              <w:rPr>
                <w:sz w:val="20"/>
                <w:szCs w:val="20"/>
              </w:rPr>
              <w:t>Adverse events and time to discontinuation of therapy</w:t>
            </w:r>
          </w:p>
        </w:tc>
      </w:tr>
      <w:tr w:rsidR="006B6EBD" w:rsidRPr="00541B0D" w14:paraId="2791A243" w14:textId="77777777" w:rsidTr="00D27933">
        <w:tc>
          <w:tcPr>
            <w:tcW w:w="1160" w:type="dxa"/>
            <w:vMerge w:val="restart"/>
          </w:tcPr>
          <w:p w14:paraId="236828BA" w14:textId="7EE135BF" w:rsidR="006B6EBD" w:rsidRPr="00541B0D" w:rsidRDefault="006B6EBD" w:rsidP="00541B0D">
            <w:pPr>
              <w:rPr>
                <w:sz w:val="20"/>
                <w:szCs w:val="20"/>
              </w:rPr>
            </w:pPr>
            <w:r w:rsidRPr="00541B0D">
              <w:rPr>
                <w:sz w:val="20"/>
                <w:szCs w:val="20"/>
              </w:rPr>
              <w:t xml:space="preserve">Weiss </w:t>
            </w:r>
            <w:r w:rsidR="00733A96" w:rsidRPr="00541B0D">
              <w:rPr>
                <w:sz w:val="20"/>
                <w:szCs w:val="20"/>
              </w:rPr>
              <w:t xml:space="preserve">et al. </w:t>
            </w:r>
            <w:r w:rsidR="008546C4" w:rsidRPr="00541B0D">
              <w:rPr>
                <w:sz w:val="20"/>
                <w:szCs w:val="20"/>
              </w:rPr>
              <w:t>(</w:t>
            </w:r>
            <w:r w:rsidRPr="00541B0D">
              <w:rPr>
                <w:sz w:val="20"/>
                <w:szCs w:val="20"/>
              </w:rPr>
              <w:t>2018</w:t>
            </w:r>
            <w:r w:rsidR="008546C4" w:rsidRPr="00541B0D">
              <w:rPr>
                <w:sz w:val="20"/>
                <w:szCs w:val="20"/>
              </w:rPr>
              <w:t>)</w:t>
            </w:r>
          </w:p>
          <w:p w14:paraId="29D82267" w14:textId="52D661EA" w:rsidR="006B6EBD" w:rsidRPr="00541B0D" w:rsidRDefault="006B6EBD" w:rsidP="00541B0D">
            <w:pPr>
              <w:rPr>
                <w:sz w:val="20"/>
                <w:szCs w:val="20"/>
              </w:rPr>
            </w:pPr>
            <w:r w:rsidRPr="00541B0D">
              <w:rPr>
                <w:sz w:val="20"/>
                <w:szCs w:val="20"/>
              </w:rPr>
              <w:t xml:space="preserve">Weiss </w:t>
            </w:r>
            <w:r w:rsidR="00733A96" w:rsidRPr="00541B0D">
              <w:rPr>
                <w:sz w:val="20"/>
                <w:szCs w:val="20"/>
              </w:rPr>
              <w:t xml:space="preserve">et al. </w:t>
            </w:r>
            <w:r w:rsidR="008546C4" w:rsidRPr="00541B0D">
              <w:rPr>
                <w:sz w:val="20"/>
                <w:szCs w:val="20"/>
              </w:rPr>
              <w:t>(</w:t>
            </w:r>
            <w:r w:rsidRPr="00541B0D">
              <w:rPr>
                <w:sz w:val="20"/>
                <w:szCs w:val="20"/>
              </w:rPr>
              <w:t>2019</w:t>
            </w:r>
            <w:r w:rsidR="008546C4" w:rsidRPr="00541B0D">
              <w:rPr>
                <w:sz w:val="20"/>
                <w:szCs w:val="20"/>
              </w:rPr>
              <w:t>)</w:t>
            </w:r>
          </w:p>
        </w:tc>
        <w:tc>
          <w:tcPr>
            <w:tcW w:w="1399" w:type="dxa"/>
          </w:tcPr>
          <w:p w14:paraId="63AC8356" w14:textId="69B05021" w:rsidR="006B6EBD" w:rsidRPr="00541B0D" w:rsidRDefault="006B6EBD" w:rsidP="00541B0D">
            <w:pPr>
              <w:rPr>
                <w:sz w:val="20"/>
                <w:szCs w:val="20"/>
              </w:rPr>
            </w:pPr>
            <w:r w:rsidRPr="00541B0D">
              <w:rPr>
                <w:sz w:val="20"/>
                <w:szCs w:val="20"/>
              </w:rPr>
              <w:t>Level IV Retrospective case series</w:t>
            </w:r>
          </w:p>
        </w:tc>
        <w:tc>
          <w:tcPr>
            <w:tcW w:w="1751" w:type="dxa"/>
          </w:tcPr>
          <w:p w14:paraId="3789FDC6" w14:textId="2F19B05B" w:rsidR="00D27933" w:rsidRPr="00541B0D" w:rsidRDefault="006B6EBD" w:rsidP="00541B0D">
            <w:pPr>
              <w:rPr>
                <w:sz w:val="20"/>
                <w:szCs w:val="20"/>
              </w:rPr>
            </w:pPr>
            <w:r w:rsidRPr="00541B0D">
              <w:rPr>
                <w:sz w:val="20"/>
                <w:szCs w:val="20"/>
              </w:rPr>
              <w:t>W</w:t>
            </w:r>
            <w:r w:rsidR="00FC034F" w:rsidRPr="00541B0D">
              <w:rPr>
                <w:sz w:val="20"/>
                <w:szCs w:val="20"/>
              </w:rPr>
              <w:t>D</w:t>
            </w:r>
            <w:r w:rsidRPr="00541B0D">
              <w:rPr>
                <w:sz w:val="20"/>
                <w:szCs w:val="20"/>
              </w:rPr>
              <w:t xml:space="preserve"> with </w:t>
            </w:r>
            <w:proofErr w:type="spellStart"/>
            <w:r w:rsidRPr="00541B0D">
              <w:rPr>
                <w:sz w:val="20"/>
                <w:szCs w:val="20"/>
              </w:rPr>
              <w:t>Ferenci</w:t>
            </w:r>
            <w:proofErr w:type="spellEnd"/>
            <w:r w:rsidRPr="00541B0D">
              <w:rPr>
                <w:sz w:val="20"/>
                <w:szCs w:val="20"/>
              </w:rPr>
              <w:t xml:space="preserve"> Score &gt; </w:t>
            </w:r>
            <w:r w:rsidR="00D27933" w:rsidRPr="00541B0D">
              <w:rPr>
                <w:sz w:val="20"/>
                <w:szCs w:val="20"/>
              </w:rPr>
              <w:t>3</w:t>
            </w:r>
          </w:p>
          <w:p w14:paraId="34F8CCCE" w14:textId="5A58DAAC" w:rsidR="00FC034F" w:rsidRPr="00541B0D" w:rsidRDefault="00CE4810" w:rsidP="00541B0D">
            <w:pPr>
              <w:rPr>
                <w:sz w:val="20"/>
                <w:szCs w:val="20"/>
              </w:rPr>
            </w:pPr>
            <w:r w:rsidRPr="00541B0D">
              <w:rPr>
                <w:sz w:val="20"/>
                <w:szCs w:val="20"/>
              </w:rPr>
              <w:t>35.6 </w:t>
            </w:r>
            <w:r w:rsidR="006B6EBD" w:rsidRPr="00541B0D">
              <w:rPr>
                <w:sz w:val="20"/>
                <w:szCs w:val="20"/>
              </w:rPr>
              <w:t>+</w:t>
            </w:r>
            <w:r w:rsidRPr="00541B0D">
              <w:rPr>
                <w:sz w:val="20"/>
                <w:szCs w:val="20"/>
              </w:rPr>
              <w:t>/</w:t>
            </w:r>
            <w:r w:rsidRPr="00541B0D">
              <w:rPr>
                <w:sz w:val="20"/>
                <w:szCs w:val="20"/>
              </w:rPr>
              <w:noBreakHyphen/>
              <w:t xml:space="preserve"> 17.74 </w:t>
            </w:r>
            <w:r w:rsidR="00FC034F" w:rsidRPr="00541B0D">
              <w:rPr>
                <w:sz w:val="20"/>
                <w:szCs w:val="20"/>
              </w:rPr>
              <w:t>years</w:t>
            </w:r>
          </w:p>
          <w:p w14:paraId="6C3763BD" w14:textId="6CEF5766" w:rsidR="006B6EBD" w:rsidRPr="00541B0D" w:rsidRDefault="00D27933" w:rsidP="00541B0D">
            <w:pPr>
              <w:rPr>
                <w:sz w:val="20"/>
                <w:szCs w:val="20"/>
              </w:rPr>
            </w:pPr>
            <w:r w:rsidRPr="00541B0D">
              <w:rPr>
                <w:sz w:val="20"/>
                <w:szCs w:val="20"/>
              </w:rPr>
              <w:t>(</w:t>
            </w:r>
            <w:r w:rsidR="006B6EBD" w:rsidRPr="00541B0D">
              <w:rPr>
                <w:sz w:val="20"/>
                <w:szCs w:val="20"/>
              </w:rPr>
              <w:t>n</w:t>
            </w:r>
            <w:r w:rsidRPr="00541B0D">
              <w:rPr>
                <w:sz w:val="20"/>
                <w:szCs w:val="20"/>
              </w:rPr>
              <w:t> </w:t>
            </w:r>
            <w:r w:rsidR="006B6EBD" w:rsidRPr="00541B0D">
              <w:rPr>
                <w:sz w:val="20"/>
                <w:szCs w:val="20"/>
              </w:rPr>
              <w:t>=</w:t>
            </w:r>
            <w:r w:rsidRPr="00541B0D">
              <w:rPr>
                <w:sz w:val="20"/>
                <w:szCs w:val="20"/>
              </w:rPr>
              <w:t xml:space="preserve"> 77; </w:t>
            </w:r>
            <w:r w:rsidR="006B6EBD" w:rsidRPr="00541B0D">
              <w:rPr>
                <w:sz w:val="20"/>
                <w:szCs w:val="20"/>
              </w:rPr>
              <w:t>16 children)</w:t>
            </w:r>
          </w:p>
        </w:tc>
        <w:tc>
          <w:tcPr>
            <w:tcW w:w="1980" w:type="dxa"/>
          </w:tcPr>
          <w:p w14:paraId="23FA4046" w14:textId="2AD53136" w:rsidR="006B6EBD" w:rsidRPr="00541B0D" w:rsidRDefault="006B6EBD" w:rsidP="00541B0D">
            <w:pPr>
              <w:rPr>
                <w:sz w:val="20"/>
                <w:szCs w:val="20"/>
              </w:rPr>
            </w:pPr>
            <w:r w:rsidRPr="00541B0D">
              <w:rPr>
                <w:sz w:val="20"/>
                <w:szCs w:val="20"/>
              </w:rPr>
              <w:t xml:space="preserve">To assess efficacy, safety, and tolerability outcomes of trientine </w:t>
            </w:r>
            <w:proofErr w:type="spellStart"/>
            <w:r w:rsidRPr="00541B0D">
              <w:rPr>
                <w:sz w:val="20"/>
                <w:szCs w:val="20"/>
              </w:rPr>
              <w:t>chelator</w:t>
            </w:r>
            <w:proofErr w:type="spellEnd"/>
            <w:r w:rsidR="00E478B4" w:rsidRPr="00541B0D">
              <w:rPr>
                <w:sz w:val="20"/>
                <w:szCs w:val="20"/>
              </w:rPr>
              <w:t xml:space="preserve"> </w:t>
            </w:r>
            <w:r w:rsidRPr="00541B0D">
              <w:rPr>
                <w:sz w:val="20"/>
                <w:szCs w:val="20"/>
              </w:rPr>
              <w:t xml:space="preserve">based treatment after withdrawal of </w:t>
            </w:r>
            <w:r w:rsidR="006F01E8" w:rsidRPr="00541B0D">
              <w:rPr>
                <w:sz w:val="20"/>
                <w:szCs w:val="20"/>
              </w:rPr>
              <w:t>DPA</w:t>
            </w:r>
          </w:p>
        </w:tc>
        <w:tc>
          <w:tcPr>
            <w:tcW w:w="2194" w:type="dxa"/>
          </w:tcPr>
          <w:p w14:paraId="267D7536" w14:textId="6D5EC5DF" w:rsidR="006F01E8" w:rsidRPr="00541B0D" w:rsidRDefault="006B6EBD" w:rsidP="00541B0D">
            <w:pPr>
              <w:rPr>
                <w:sz w:val="20"/>
                <w:szCs w:val="20"/>
              </w:rPr>
            </w:pPr>
            <w:r w:rsidRPr="00541B0D">
              <w:rPr>
                <w:sz w:val="20"/>
                <w:szCs w:val="20"/>
              </w:rPr>
              <w:t>Investigator rated changes in ne</w:t>
            </w:r>
            <w:r w:rsidR="00FC034F" w:rsidRPr="00541B0D">
              <w:rPr>
                <w:sz w:val="20"/>
                <w:szCs w:val="20"/>
              </w:rPr>
              <w:t>urological and hepatic outcomes</w:t>
            </w:r>
          </w:p>
          <w:p w14:paraId="60A42F96" w14:textId="5CF986BA" w:rsidR="006F01E8" w:rsidRPr="00541B0D" w:rsidRDefault="006B6EBD" w:rsidP="00541B0D">
            <w:pPr>
              <w:rPr>
                <w:sz w:val="20"/>
                <w:szCs w:val="20"/>
              </w:rPr>
            </w:pPr>
            <w:r w:rsidRPr="00541B0D">
              <w:rPr>
                <w:sz w:val="20"/>
                <w:szCs w:val="20"/>
              </w:rPr>
              <w:t>Copper storage and metabolism</w:t>
            </w:r>
          </w:p>
          <w:p w14:paraId="52808596" w14:textId="3606F810" w:rsidR="006B6EBD" w:rsidRPr="00541B0D" w:rsidRDefault="006B6EBD" w:rsidP="00541B0D">
            <w:pPr>
              <w:rPr>
                <w:sz w:val="20"/>
                <w:szCs w:val="20"/>
              </w:rPr>
            </w:pPr>
            <w:r w:rsidRPr="00541B0D">
              <w:rPr>
                <w:sz w:val="20"/>
                <w:szCs w:val="20"/>
              </w:rPr>
              <w:t>Time to discontinuation of treatment due to AE and/or inadequate response</w:t>
            </w:r>
          </w:p>
        </w:tc>
      </w:tr>
      <w:tr w:rsidR="006B6EBD" w:rsidRPr="00541B0D" w14:paraId="4A377737" w14:textId="77777777" w:rsidTr="00D27933">
        <w:tc>
          <w:tcPr>
            <w:tcW w:w="1160" w:type="dxa"/>
            <w:vMerge/>
          </w:tcPr>
          <w:p w14:paraId="190AA4DB" w14:textId="77777777" w:rsidR="006B6EBD" w:rsidRPr="00541B0D" w:rsidRDefault="006B6EBD" w:rsidP="00541B0D">
            <w:pPr>
              <w:rPr>
                <w:sz w:val="20"/>
                <w:szCs w:val="20"/>
              </w:rPr>
            </w:pPr>
          </w:p>
        </w:tc>
        <w:tc>
          <w:tcPr>
            <w:tcW w:w="1399" w:type="dxa"/>
          </w:tcPr>
          <w:p w14:paraId="48632818" w14:textId="0CB34195" w:rsidR="006B6EBD" w:rsidRPr="00541B0D" w:rsidRDefault="006B6EBD" w:rsidP="00541B0D">
            <w:pPr>
              <w:rPr>
                <w:sz w:val="20"/>
                <w:szCs w:val="20"/>
              </w:rPr>
            </w:pPr>
            <w:r w:rsidRPr="00541B0D">
              <w:rPr>
                <w:sz w:val="20"/>
                <w:szCs w:val="20"/>
              </w:rPr>
              <w:t>Level IV Prospective case series</w:t>
            </w:r>
          </w:p>
        </w:tc>
        <w:tc>
          <w:tcPr>
            <w:tcW w:w="1751" w:type="dxa"/>
          </w:tcPr>
          <w:p w14:paraId="40D545C8" w14:textId="359FDB07" w:rsidR="00D27933" w:rsidRPr="00541B0D" w:rsidRDefault="006B6EBD" w:rsidP="00541B0D">
            <w:pPr>
              <w:rPr>
                <w:sz w:val="20"/>
                <w:szCs w:val="20"/>
              </w:rPr>
            </w:pPr>
            <w:r w:rsidRPr="00541B0D">
              <w:rPr>
                <w:sz w:val="20"/>
                <w:szCs w:val="20"/>
              </w:rPr>
              <w:t>W</w:t>
            </w:r>
            <w:r w:rsidR="00FC034F" w:rsidRPr="00541B0D">
              <w:rPr>
                <w:sz w:val="20"/>
                <w:szCs w:val="20"/>
              </w:rPr>
              <w:t>D</w:t>
            </w:r>
            <w:r w:rsidR="00D27933" w:rsidRPr="00541B0D">
              <w:rPr>
                <w:sz w:val="20"/>
                <w:szCs w:val="20"/>
              </w:rPr>
              <w:t xml:space="preserve"> with </w:t>
            </w:r>
            <w:proofErr w:type="spellStart"/>
            <w:r w:rsidR="00D27933" w:rsidRPr="00541B0D">
              <w:rPr>
                <w:sz w:val="20"/>
                <w:szCs w:val="20"/>
              </w:rPr>
              <w:t>Ferenci</w:t>
            </w:r>
            <w:proofErr w:type="spellEnd"/>
            <w:r w:rsidR="00D27933" w:rsidRPr="00541B0D">
              <w:rPr>
                <w:sz w:val="20"/>
                <w:szCs w:val="20"/>
              </w:rPr>
              <w:t xml:space="preserve"> Score &gt; 3</w:t>
            </w:r>
          </w:p>
          <w:p w14:paraId="39BD494D" w14:textId="39E53EBB" w:rsidR="00FC034F" w:rsidRPr="00541B0D" w:rsidRDefault="006B6EBD" w:rsidP="00541B0D">
            <w:pPr>
              <w:rPr>
                <w:sz w:val="20"/>
                <w:szCs w:val="20"/>
              </w:rPr>
            </w:pPr>
            <w:r w:rsidRPr="00541B0D">
              <w:rPr>
                <w:sz w:val="20"/>
                <w:szCs w:val="20"/>
              </w:rPr>
              <w:t>42.3 +</w:t>
            </w:r>
            <w:r w:rsidR="00D27933" w:rsidRPr="00541B0D">
              <w:rPr>
                <w:sz w:val="20"/>
                <w:szCs w:val="20"/>
              </w:rPr>
              <w:t>/-</w:t>
            </w:r>
            <w:r w:rsidRPr="00541B0D">
              <w:rPr>
                <w:sz w:val="20"/>
                <w:szCs w:val="20"/>
              </w:rPr>
              <w:t xml:space="preserve"> 14.52</w:t>
            </w:r>
            <w:r w:rsidR="00FC034F" w:rsidRPr="00541B0D">
              <w:rPr>
                <w:sz w:val="20"/>
                <w:szCs w:val="20"/>
              </w:rPr>
              <w:t xml:space="preserve"> years</w:t>
            </w:r>
          </w:p>
          <w:p w14:paraId="1F0605F3" w14:textId="218D031E" w:rsidR="006B6EBD" w:rsidRPr="00541B0D" w:rsidRDefault="00D27933" w:rsidP="00541B0D">
            <w:pPr>
              <w:rPr>
                <w:sz w:val="20"/>
                <w:szCs w:val="20"/>
              </w:rPr>
            </w:pPr>
            <w:r w:rsidRPr="00541B0D">
              <w:rPr>
                <w:sz w:val="20"/>
                <w:szCs w:val="20"/>
              </w:rPr>
              <w:t>(</w:t>
            </w:r>
            <w:r w:rsidR="006B6EBD" w:rsidRPr="00541B0D">
              <w:rPr>
                <w:sz w:val="20"/>
                <w:szCs w:val="20"/>
              </w:rPr>
              <w:t>n</w:t>
            </w:r>
            <w:r w:rsidRPr="00541B0D">
              <w:rPr>
                <w:sz w:val="20"/>
                <w:szCs w:val="20"/>
              </w:rPr>
              <w:t> </w:t>
            </w:r>
            <w:r w:rsidR="006B6EBD" w:rsidRPr="00541B0D">
              <w:rPr>
                <w:sz w:val="20"/>
                <w:szCs w:val="20"/>
              </w:rPr>
              <w:t>=</w:t>
            </w:r>
            <w:r w:rsidRPr="00541B0D">
              <w:rPr>
                <w:sz w:val="20"/>
                <w:szCs w:val="20"/>
              </w:rPr>
              <w:t> </w:t>
            </w:r>
            <w:r w:rsidR="006B6EBD" w:rsidRPr="00541B0D">
              <w:rPr>
                <w:sz w:val="20"/>
                <w:szCs w:val="20"/>
              </w:rPr>
              <w:t>52</w:t>
            </w:r>
            <w:r w:rsidRPr="00541B0D">
              <w:rPr>
                <w:sz w:val="20"/>
                <w:szCs w:val="20"/>
              </w:rPr>
              <w:t>)</w:t>
            </w:r>
          </w:p>
        </w:tc>
        <w:tc>
          <w:tcPr>
            <w:tcW w:w="1980" w:type="dxa"/>
          </w:tcPr>
          <w:p w14:paraId="451EFDF7" w14:textId="6F9E92F6" w:rsidR="006B6EBD" w:rsidRPr="00541B0D" w:rsidRDefault="006B6EBD" w:rsidP="00541B0D">
            <w:pPr>
              <w:rPr>
                <w:sz w:val="20"/>
                <w:szCs w:val="20"/>
              </w:rPr>
            </w:pPr>
            <w:r w:rsidRPr="00541B0D">
              <w:rPr>
                <w:sz w:val="20"/>
                <w:szCs w:val="20"/>
              </w:rPr>
              <w:t>To assess the efficacy, safety, and quality of life</w:t>
            </w:r>
            <w:r w:rsidR="00FC034F" w:rsidRPr="00541B0D">
              <w:rPr>
                <w:sz w:val="20"/>
                <w:szCs w:val="20"/>
              </w:rPr>
              <w:t xml:space="preserve"> outcomes of trientine </w:t>
            </w:r>
            <w:proofErr w:type="spellStart"/>
            <w:r w:rsidR="00FC034F" w:rsidRPr="00541B0D">
              <w:rPr>
                <w:sz w:val="20"/>
                <w:szCs w:val="20"/>
              </w:rPr>
              <w:t>chelator</w:t>
            </w:r>
            <w:proofErr w:type="spellEnd"/>
            <w:r w:rsidR="00FC034F" w:rsidRPr="00541B0D">
              <w:rPr>
                <w:sz w:val="20"/>
                <w:szCs w:val="20"/>
              </w:rPr>
              <w:t xml:space="preserve"> </w:t>
            </w:r>
            <w:r w:rsidRPr="00541B0D">
              <w:rPr>
                <w:sz w:val="20"/>
                <w:szCs w:val="20"/>
              </w:rPr>
              <w:t xml:space="preserve">based treatment after withdrawal of </w:t>
            </w:r>
            <w:r w:rsidR="006F01E8" w:rsidRPr="00541B0D">
              <w:rPr>
                <w:sz w:val="20"/>
                <w:szCs w:val="20"/>
              </w:rPr>
              <w:t>DPA</w:t>
            </w:r>
          </w:p>
        </w:tc>
        <w:tc>
          <w:tcPr>
            <w:tcW w:w="2194" w:type="dxa"/>
          </w:tcPr>
          <w:p w14:paraId="74042412" w14:textId="77777777" w:rsidR="006F01E8" w:rsidRPr="00541B0D" w:rsidRDefault="006B6EBD" w:rsidP="00541B0D">
            <w:pPr>
              <w:rPr>
                <w:sz w:val="20"/>
                <w:szCs w:val="20"/>
              </w:rPr>
            </w:pPr>
            <w:r w:rsidRPr="00541B0D">
              <w:rPr>
                <w:sz w:val="20"/>
                <w:szCs w:val="20"/>
              </w:rPr>
              <w:t>Investigator rated changes in neurological and hepatic outcomes; changes in the UWDRS neurological subscale</w:t>
            </w:r>
          </w:p>
          <w:p w14:paraId="19CBC189" w14:textId="77777777" w:rsidR="006F01E8" w:rsidRPr="00541B0D" w:rsidRDefault="006B6EBD" w:rsidP="00541B0D">
            <w:pPr>
              <w:rPr>
                <w:sz w:val="20"/>
                <w:szCs w:val="20"/>
              </w:rPr>
            </w:pPr>
            <w:r w:rsidRPr="00541B0D">
              <w:rPr>
                <w:sz w:val="20"/>
                <w:szCs w:val="20"/>
              </w:rPr>
              <w:t>Copper metabolism</w:t>
            </w:r>
          </w:p>
          <w:p w14:paraId="5101B988" w14:textId="375B574E" w:rsidR="006B6EBD" w:rsidRPr="00541B0D" w:rsidRDefault="006B6EBD" w:rsidP="00541B0D">
            <w:pPr>
              <w:rPr>
                <w:sz w:val="20"/>
                <w:szCs w:val="20"/>
              </w:rPr>
            </w:pPr>
            <w:r w:rsidRPr="00541B0D">
              <w:rPr>
                <w:sz w:val="20"/>
                <w:szCs w:val="20"/>
              </w:rPr>
              <w:t>Quality of life assessments</w:t>
            </w:r>
          </w:p>
        </w:tc>
      </w:tr>
      <w:tr w:rsidR="006B6EBD" w:rsidRPr="00541B0D" w14:paraId="31B4FCD7" w14:textId="77777777" w:rsidTr="00D27933">
        <w:tc>
          <w:tcPr>
            <w:tcW w:w="1160" w:type="dxa"/>
          </w:tcPr>
          <w:p w14:paraId="4CE54688" w14:textId="648EB718" w:rsidR="006B6EBD" w:rsidRPr="00541B0D" w:rsidRDefault="006B6EBD" w:rsidP="00541B0D">
            <w:pPr>
              <w:rPr>
                <w:sz w:val="20"/>
                <w:szCs w:val="20"/>
              </w:rPr>
            </w:pPr>
            <w:proofErr w:type="spellStart"/>
            <w:r w:rsidRPr="00541B0D">
              <w:rPr>
                <w:sz w:val="20"/>
                <w:szCs w:val="20"/>
              </w:rPr>
              <w:t>Walshe</w:t>
            </w:r>
            <w:proofErr w:type="spellEnd"/>
            <w:r w:rsidRPr="00541B0D">
              <w:rPr>
                <w:sz w:val="20"/>
                <w:szCs w:val="20"/>
              </w:rPr>
              <w:t xml:space="preserve"> </w:t>
            </w:r>
            <w:r w:rsidR="00146F8F" w:rsidRPr="00541B0D">
              <w:rPr>
                <w:sz w:val="20"/>
                <w:szCs w:val="20"/>
              </w:rPr>
              <w:t xml:space="preserve">et al. </w:t>
            </w:r>
            <w:r w:rsidR="008546C4" w:rsidRPr="00541B0D">
              <w:rPr>
                <w:sz w:val="20"/>
                <w:szCs w:val="20"/>
              </w:rPr>
              <w:t>(</w:t>
            </w:r>
            <w:r w:rsidRPr="00541B0D">
              <w:rPr>
                <w:sz w:val="20"/>
                <w:szCs w:val="20"/>
              </w:rPr>
              <w:t>1982</w:t>
            </w:r>
            <w:r w:rsidR="008546C4" w:rsidRPr="00541B0D">
              <w:rPr>
                <w:sz w:val="20"/>
                <w:szCs w:val="20"/>
              </w:rPr>
              <w:t>)</w:t>
            </w:r>
          </w:p>
        </w:tc>
        <w:tc>
          <w:tcPr>
            <w:tcW w:w="1399" w:type="dxa"/>
          </w:tcPr>
          <w:p w14:paraId="12CFA92C" w14:textId="63E32EEC" w:rsidR="006B6EBD" w:rsidRPr="00541B0D" w:rsidRDefault="006B6EBD" w:rsidP="00541B0D">
            <w:pPr>
              <w:rPr>
                <w:sz w:val="20"/>
                <w:szCs w:val="20"/>
              </w:rPr>
            </w:pPr>
            <w:r w:rsidRPr="00541B0D">
              <w:rPr>
                <w:sz w:val="20"/>
                <w:szCs w:val="20"/>
              </w:rPr>
              <w:t>Level IV Case series</w:t>
            </w:r>
          </w:p>
        </w:tc>
        <w:tc>
          <w:tcPr>
            <w:tcW w:w="1751" w:type="dxa"/>
          </w:tcPr>
          <w:p w14:paraId="33135AE1" w14:textId="4A5D32B9" w:rsidR="00FC034F" w:rsidRPr="00541B0D" w:rsidRDefault="006B6EBD" w:rsidP="00541B0D">
            <w:pPr>
              <w:rPr>
                <w:sz w:val="20"/>
                <w:szCs w:val="20"/>
              </w:rPr>
            </w:pPr>
            <w:r w:rsidRPr="00541B0D">
              <w:rPr>
                <w:sz w:val="20"/>
                <w:szCs w:val="20"/>
              </w:rPr>
              <w:t>W</w:t>
            </w:r>
            <w:r w:rsidR="00FC034F" w:rsidRPr="00541B0D">
              <w:rPr>
                <w:sz w:val="20"/>
                <w:szCs w:val="20"/>
              </w:rPr>
              <w:t>D</w:t>
            </w:r>
            <w:r w:rsidRPr="00541B0D">
              <w:rPr>
                <w:sz w:val="20"/>
                <w:szCs w:val="20"/>
              </w:rPr>
              <w:t xml:space="preserve"> with seve</w:t>
            </w:r>
            <w:r w:rsidR="00FC034F" w:rsidRPr="00541B0D">
              <w:rPr>
                <w:sz w:val="20"/>
                <w:szCs w:val="20"/>
              </w:rPr>
              <w:t>re intolerance to penicillamine</w:t>
            </w:r>
          </w:p>
          <w:p w14:paraId="603FDEF1" w14:textId="77777777" w:rsidR="00FC034F" w:rsidRPr="00541B0D" w:rsidRDefault="00FC034F" w:rsidP="00541B0D">
            <w:pPr>
              <w:rPr>
                <w:sz w:val="20"/>
                <w:szCs w:val="20"/>
              </w:rPr>
            </w:pPr>
            <w:r w:rsidRPr="00541B0D">
              <w:rPr>
                <w:sz w:val="20"/>
                <w:szCs w:val="20"/>
              </w:rPr>
              <w:t>Age not specified</w:t>
            </w:r>
          </w:p>
          <w:p w14:paraId="4399C7B0" w14:textId="24DD7E38" w:rsidR="006B6EBD" w:rsidRPr="00541B0D" w:rsidRDefault="00D27933" w:rsidP="00541B0D">
            <w:pPr>
              <w:rPr>
                <w:sz w:val="20"/>
                <w:szCs w:val="20"/>
              </w:rPr>
            </w:pPr>
            <w:r w:rsidRPr="00541B0D">
              <w:rPr>
                <w:sz w:val="20"/>
                <w:szCs w:val="20"/>
              </w:rPr>
              <w:t>(</w:t>
            </w:r>
            <w:r w:rsidR="006B6EBD" w:rsidRPr="00541B0D">
              <w:rPr>
                <w:sz w:val="20"/>
                <w:szCs w:val="20"/>
              </w:rPr>
              <w:t>n</w:t>
            </w:r>
            <w:r w:rsidRPr="00541B0D">
              <w:rPr>
                <w:sz w:val="20"/>
                <w:szCs w:val="20"/>
              </w:rPr>
              <w:t> </w:t>
            </w:r>
            <w:r w:rsidR="006B6EBD" w:rsidRPr="00541B0D">
              <w:rPr>
                <w:sz w:val="20"/>
                <w:szCs w:val="20"/>
              </w:rPr>
              <w:t>=</w:t>
            </w:r>
            <w:r w:rsidRPr="00541B0D">
              <w:rPr>
                <w:sz w:val="20"/>
                <w:szCs w:val="20"/>
              </w:rPr>
              <w:t> </w:t>
            </w:r>
            <w:r w:rsidR="006B6EBD" w:rsidRPr="00541B0D">
              <w:rPr>
                <w:sz w:val="20"/>
                <w:szCs w:val="20"/>
              </w:rPr>
              <w:t>20</w:t>
            </w:r>
            <w:r w:rsidRPr="00541B0D">
              <w:rPr>
                <w:sz w:val="20"/>
                <w:szCs w:val="20"/>
              </w:rPr>
              <w:t>)</w:t>
            </w:r>
          </w:p>
        </w:tc>
        <w:tc>
          <w:tcPr>
            <w:tcW w:w="1980" w:type="dxa"/>
          </w:tcPr>
          <w:p w14:paraId="7D8E8872" w14:textId="0D5A0DA9" w:rsidR="006B6EBD" w:rsidRPr="00541B0D" w:rsidRDefault="00D27933" w:rsidP="00541B0D">
            <w:pPr>
              <w:rPr>
                <w:sz w:val="20"/>
                <w:szCs w:val="20"/>
              </w:rPr>
            </w:pPr>
            <w:r w:rsidRPr="00541B0D">
              <w:rPr>
                <w:sz w:val="20"/>
                <w:szCs w:val="20"/>
              </w:rPr>
              <w:t>To summarise experience over 13 </w:t>
            </w:r>
            <w:r w:rsidR="006B6EBD" w:rsidRPr="00541B0D">
              <w:rPr>
                <w:sz w:val="20"/>
                <w:szCs w:val="20"/>
              </w:rPr>
              <w:t>years in patients with WD</w:t>
            </w:r>
          </w:p>
        </w:tc>
        <w:tc>
          <w:tcPr>
            <w:tcW w:w="2194" w:type="dxa"/>
          </w:tcPr>
          <w:p w14:paraId="601571A0" w14:textId="1FAE3A7E" w:rsidR="006B6EBD" w:rsidRPr="00541B0D" w:rsidRDefault="006B6EBD" w:rsidP="00541B0D">
            <w:pPr>
              <w:rPr>
                <w:sz w:val="20"/>
                <w:szCs w:val="20"/>
              </w:rPr>
            </w:pPr>
            <w:r w:rsidRPr="00541B0D">
              <w:rPr>
                <w:sz w:val="20"/>
                <w:szCs w:val="20"/>
              </w:rPr>
              <w:t>Changes in copper metabolism and clearance; and clinical symptoms</w:t>
            </w:r>
          </w:p>
        </w:tc>
      </w:tr>
      <w:tr w:rsidR="006B6EBD" w:rsidRPr="00541B0D" w14:paraId="0BBFE9D4" w14:textId="77777777" w:rsidTr="00D27933">
        <w:tc>
          <w:tcPr>
            <w:tcW w:w="1160" w:type="dxa"/>
          </w:tcPr>
          <w:p w14:paraId="0754854C" w14:textId="3FB022EE" w:rsidR="006B6EBD" w:rsidRPr="00541B0D" w:rsidRDefault="006B6EBD" w:rsidP="00541B0D">
            <w:pPr>
              <w:rPr>
                <w:sz w:val="20"/>
                <w:szCs w:val="20"/>
              </w:rPr>
            </w:pPr>
            <w:proofErr w:type="spellStart"/>
            <w:r w:rsidRPr="00541B0D">
              <w:rPr>
                <w:sz w:val="20"/>
                <w:szCs w:val="20"/>
              </w:rPr>
              <w:t>Dahlman</w:t>
            </w:r>
            <w:proofErr w:type="spellEnd"/>
            <w:r w:rsidRPr="00541B0D">
              <w:rPr>
                <w:sz w:val="20"/>
                <w:szCs w:val="20"/>
              </w:rPr>
              <w:t xml:space="preserve"> </w:t>
            </w:r>
            <w:r w:rsidR="00146F8F" w:rsidRPr="00541B0D">
              <w:rPr>
                <w:sz w:val="20"/>
                <w:szCs w:val="20"/>
              </w:rPr>
              <w:t xml:space="preserve">et al. </w:t>
            </w:r>
            <w:r w:rsidR="008546C4" w:rsidRPr="00541B0D">
              <w:rPr>
                <w:sz w:val="20"/>
                <w:szCs w:val="20"/>
              </w:rPr>
              <w:t>(</w:t>
            </w:r>
            <w:r w:rsidRPr="00541B0D">
              <w:rPr>
                <w:sz w:val="20"/>
                <w:szCs w:val="20"/>
              </w:rPr>
              <w:t>1995</w:t>
            </w:r>
            <w:r w:rsidR="008546C4" w:rsidRPr="00541B0D">
              <w:rPr>
                <w:sz w:val="20"/>
                <w:szCs w:val="20"/>
              </w:rPr>
              <w:t>)</w:t>
            </w:r>
          </w:p>
        </w:tc>
        <w:tc>
          <w:tcPr>
            <w:tcW w:w="1399" w:type="dxa"/>
          </w:tcPr>
          <w:p w14:paraId="508A6922" w14:textId="6C4DF3CA" w:rsidR="006B6EBD" w:rsidRPr="00541B0D" w:rsidRDefault="006B6EBD" w:rsidP="00541B0D">
            <w:pPr>
              <w:rPr>
                <w:sz w:val="20"/>
                <w:szCs w:val="20"/>
              </w:rPr>
            </w:pPr>
            <w:r w:rsidRPr="00541B0D">
              <w:rPr>
                <w:sz w:val="20"/>
                <w:szCs w:val="20"/>
              </w:rPr>
              <w:t>Level IV Case series</w:t>
            </w:r>
          </w:p>
        </w:tc>
        <w:tc>
          <w:tcPr>
            <w:tcW w:w="1751" w:type="dxa"/>
          </w:tcPr>
          <w:p w14:paraId="34767884" w14:textId="318F9040" w:rsidR="00FC034F" w:rsidRPr="00541B0D" w:rsidRDefault="00FC034F" w:rsidP="00541B0D">
            <w:pPr>
              <w:rPr>
                <w:sz w:val="20"/>
                <w:szCs w:val="20"/>
              </w:rPr>
            </w:pPr>
            <w:r w:rsidRPr="00541B0D">
              <w:rPr>
                <w:sz w:val="20"/>
                <w:szCs w:val="20"/>
              </w:rPr>
              <w:t>W</w:t>
            </w:r>
            <w:r w:rsidR="00E478B4" w:rsidRPr="00541B0D">
              <w:rPr>
                <w:sz w:val="20"/>
                <w:szCs w:val="20"/>
              </w:rPr>
              <w:t>D</w:t>
            </w:r>
          </w:p>
          <w:p w14:paraId="41325AD4" w14:textId="69EBB9B8" w:rsidR="00FC034F" w:rsidRPr="00541B0D" w:rsidRDefault="006B6EBD" w:rsidP="00541B0D">
            <w:pPr>
              <w:rPr>
                <w:sz w:val="20"/>
                <w:szCs w:val="20"/>
              </w:rPr>
            </w:pPr>
            <w:r w:rsidRPr="00541B0D">
              <w:rPr>
                <w:sz w:val="20"/>
                <w:szCs w:val="20"/>
              </w:rPr>
              <w:t>Adults</w:t>
            </w:r>
          </w:p>
          <w:p w14:paraId="68F023DA" w14:textId="19252613" w:rsidR="006B6EBD" w:rsidRPr="00541B0D" w:rsidRDefault="006B6EBD" w:rsidP="00541B0D">
            <w:pPr>
              <w:rPr>
                <w:sz w:val="20"/>
                <w:szCs w:val="20"/>
              </w:rPr>
            </w:pPr>
            <w:r w:rsidRPr="00541B0D">
              <w:rPr>
                <w:sz w:val="20"/>
                <w:szCs w:val="20"/>
              </w:rPr>
              <w:t>(n = 19)</w:t>
            </w:r>
          </w:p>
        </w:tc>
        <w:tc>
          <w:tcPr>
            <w:tcW w:w="1980" w:type="dxa"/>
          </w:tcPr>
          <w:p w14:paraId="5F9C4E9D" w14:textId="5D2F8F4B" w:rsidR="006B6EBD" w:rsidRPr="00541B0D" w:rsidRDefault="00FC034F" w:rsidP="00541B0D">
            <w:pPr>
              <w:rPr>
                <w:sz w:val="20"/>
                <w:szCs w:val="20"/>
              </w:rPr>
            </w:pPr>
            <w:r w:rsidRPr="00541B0D">
              <w:rPr>
                <w:sz w:val="20"/>
                <w:szCs w:val="20"/>
              </w:rPr>
              <w:t xml:space="preserve">To examine the long </w:t>
            </w:r>
            <w:r w:rsidR="006B6EBD" w:rsidRPr="00541B0D">
              <w:rPr>
                <w:sz w:val="20"/>
                <w:szCs w:val="20"/>
              </w:rPr>
              <w:t>term effects of trientine</w:t>
            </w:r>
          </w:p>
        </w:tc>
        <w:tc>
          <w:tcPr>
            <w:tcW w:w="2194" w:type="dxa"/>
          </w:tcPr>
          <w:p w14:paraId="0A80D6DF" w14:textId="69F7BB13" w:rsidR="006B6EBD" w:rsidRPr="00541B0D" w:rsidRDefault="006B6EBD" w:rsidP="00541B0D">
            <w:pPr>
              <w:rPr>
                <w:sz w:val="20"/>
                <w:szCs w:val="20"/>
              </w:rPr>
            </w:pPr>
            <w:r w:rsidRPr="00541B0D">
              <w:rPr>
                <w:sz w:val="20"/>
                <w:szCs w:val="20"/>
              </w:rPr>
              <w:t>Changes in clinical symptoms and KF rings</w:t>
            </w:r>
          </w:p>
        </w:tc>
      </w:tr>
      <w:tr w:rsidR="006B6EBD" w:rsidRPr="00541B0D" w14:paraId="7213BBF1" w14:textId="77777777" w:rsidTr="00D27933">
        <w:trPr>
          <w:cantSplit/>
        </w:trPr>
        <w:tc>
          <w:tcPr>
            <w:tcW w:w="1160" w:type="dxa"/>
          </w:tcPr>
          <w:p w14:paraId="5C7A2210" w14:textId="171C0192" w:rsidR="006B6EBD" w:rsidRPr="00541B0D" w:rsidRDefault="006B6EBD" w:rsidP="00541B0D">
            <w:pPr>
              <w:rPr>
                <w:sz w:val="20"/>
                <w:szCs w:val="20"/>
              </w:rPr>
            </w:pPr>
            <w:proofErr w:type="spellStart"/>
            <w:r w:rsidRPr="00541B0D">
              <w:rPr>
                <w:sz w:val="20"/>
                <w:szCs w:val="20"/>
              </w:rPr>
              <w:t>Arnon</w:t>
            </w:r>
            <w:proofErr w:type="spellEnd"/>
            <w:r w:rsidRPr="00541B0D">
              <w:rPr>
                <w:sz w:val="20"/>
                <w:szCs w:val="20"/>
              </w:rPr>
              <w:t xml:space="preserve"> </w:t>
            </w:r>
            <w:r w:rsidR="00146F8F" w:rsidRPr="00541B0D">
              <w:rPr>
                <w:sz w:val="20"/>
                <w:szCs w:val="20"/>
              </w:rPr>
              <w:t xml:space="preserve">et al. </w:t>
            </w:r>
            <w:r w:rsidR="008546C4" w:rsidRPr="00541B0D">
              <w:rPr>
                <w:sz w:val="20"/>
                <w:szCs w:val="20"/>
              </w:rPr>
              <w:t>(</w:t>
            </w:r>
            <w:r w:rsidRPr="00541B0D">
              <w:rPr>
                <w:sz w:val="20"/>
                <w:szCs w:val="20"/>
              </w:rPr>
              <w:t>2007</w:t>
            </w:r>
            <w:r w:rsidR="008546C4" w:rsidRPr="00541B0D">
              <w:rPr>
                <w:sz w:val="20"/>
                <w:szCs w:val="20"/>
              </w:rPr>
              <w:t>)</w:t>
            </w:r>
          </w:p>
        </w:tc>
        <w:tc>
          <w:tcPr>
            <w:tcW w:w="1399" w:type="dxa"/>
          </w:tcPr>
          <w:p w14:paraId="5479948E" w14:textId="679F4538" w:rsidR="006B6EBD" w:rsidRPr="00541B0D" w:rsidRDefault="006B6EBD" w:rsidP="00541B0D">
            <w:pPr>
              <w:rPr>
                <w:sz w:val="20"/>
                <w:szCs w:val="20"/>
              </w:rPr>
            </w:pPr>
            <w:r w:rsidRPr="00541B0D">
              <w:rPr>
                <w:sz w:val="20"/>
                <w:szCs w:val="20"/>
              </w:rPr>
              <w:t>Level IV Retrospective cohort</w:t>
            </w:r>
          </w:p>
        </w:tc>
        <w:tc>
          <w:tcPr>
            <w:tcW w:w="1751" w:type="dxa"/>
          </w:tcPr>
          <w:p w14:paraId="7BDC4BE9" w14:textId="72DE339C" w:rsidR="00FC034F" w:rsidRPr="00541B0D" w:rsidRDefault="006B6EBD" w:rsidP="00541B0D">
            <w:pPr>
              <w:rPr>
                <w:sz w:val="20"/>
                <w:szCs w:val="20"/>
              </w:rPr>
            </w:pPr>
            <w:r w:rsidRPr="00541B0D">
              <w:rPr>
                <w:sz w:val="20"/>
                <w:szCs w:val="20"/>
              </w:rPr>
              <w:t>W</w:t>
            </w:r>
            <w:r w:rsidR="002A085F" w:rsidRPr="00541B0D">
              <w:rPr>
                <w:sz w:val="20"/>
                <w:szCs w:val="20"/>
              </w:rPr>
              <w:t>D</w:t>
            </w:r>
          </w:p>
          <w:p w14:paraId="381CC427" w14:textId="77777777" w:rsidR="00FC034F" w:rsidRPr="00541B0D" w:rsidRDefault="006B6EBD" w:rsidP="00541B0D">
            <w:pPr>
              <w:rPr>
                <w:sz w:val="20"/>
                <w:szCs w:val="20"/>
              </w:rPr>
            </w:pPr>
            <w:r w:rsidRPr="00541B0D">
              <w:rPr>
                <w:sz w:val="20"/>
                <w:szCs w:val="20"/>
              </w:rPr>
              <w:t>Children/</w:t>
            </w:r>
            <w:r w:rsidR="00FC034F" w:rsidRPr="00541B0D">
              <w:rPr>
                <w:sz w:val="20"/>
                <w:szCs w:val="20"/>
              </w:rPr>
              <w:t>adolescents</w:t>
            </w:r>
          </w:p>
          <w:p w14:paraId="42479136" w14:textId="77777777" w:rsidR="00FC034F" w:rsidRPr="00541B0D" w:rsidRDefault="006B6EBD" w:rsidP="00541B0D">
            <w:pPr>
              <w:rPr>
                <w:sz w:val="20"/>
                <w:szCs w:val="20"/>
              </w:rPr>
            </w:pPr>
            <w:r w:rsidRPr="00541B0D">
              <w:rPr>
                <w:sz w:val="20"/>
                <w:szCs w:val="20"/>
              </w:rPr>
              <w:t xml:space="preserve">8 to </w:t>
            </w:r>
            <w:r w:rsidR="00FC034F" w:rsidRPr="00541B0D">
              <w:rPr>
                <w:sz w:val="20"/>
                <w:szCs w:val="20"/>
              </w:rPr>
              <w:t>17 years</w:t>
            </w:r>
          </w:p>
          <w:p w14:paraId="5744F622" w14:textId="10FFD97F" w:rsidR="006B6EBD" w:rsidRPr="00541B0D" w:rsidRDefault="006B6EBD" w:rsidP="00541B0D">
            <w:pPr>
              <w:rPr>
                <w:sz w:val="20"/>
                <w:szCs w:val="20"/>
              </w:rPr>
            </w:pPr>
            <w:r w:rsidRPr="00541B0D">
              <w:rPr>
                <w:sz w:val="20"/>
                <w:szCs w:val="20"/>
              </w:rPr>
              <w:t>(n = 10)</w:t>
            </w:r>
          </w:p>
        </w:tc>
        <w:tc>
          <w:tcPr>
            <w:tcW w:w="1980" w:type="dxa"/>
          </w:tcPr>
          <w:p w14:paraId="0BA35B6F" w14:textId="0A6FDC89" w:rsidR="006B6EBD" w:rsidRPr="00541B0D" w:rsidRDefault="006B6EBD" w:rsidP="00541B0D">
            <w:pPr>
              <w:rPr>
                <w:sz w:val="20"/>
                <w:szCs w:val="20"/>
              </w:rPr>
            </w:pPr>
            <w:r w:rsidRPr="00541B0D">
              <w:rPr>
                <w:sz w:val="20"/>
                <w:szCs w:val="20"/>
              </w:rPr>
              <w:t>To evaluate the efficacy of and adherence to trientine and/or zinc therapy in children with WD</w:t>
            </w:r>
          </w:p>
        </w:tc>
        <w:tc>
          <w:tcPr>
            <w:tcW w:w="2194" w:type="dxa"/>
          </w:tcPr>
          <w:p w14:paraId="3C5AEE0F" w14:textId="77777777" w:rsidR="002A085F" w:rsidRPr="00541B0D" w:rsidRDefault="006B6EBD" w:rsidP="00541B0D">
            <w:pPr>
              <w:rPr>
                <w:sz w:val="20"/>
                <w:szCs w:val="20"/>
              </w:rPr>
            </w:pPr>
            <w:r w:rsidRPr="00541B0D">
              <w:rPr>
                <w:sz w:val="20"/>
                <w:szCs w:val="20"/>
              </w:rPr>
              <w:t>Clinical status, normalisation of serum ALT and AST levels, and reduction of 24 h</w:t>
            </w:r>
            <w:r w:rsidR="002A085F" w:rsidRPr="00541B0D">
              <w:rPr>
                <w:sz w:val="20"/>
                <w:szCs w:val="20"/>
              </w:rPr>
              <w:t>ours urinary copper levels</w:t>
            </w:r>
          </w:p>
          <w:p w14:paraId="14F76614" w14:textId="088DA0B5" w:rsidR="006B6EBD" w:rsidRPr="00541B0D" w:rsidRDefault="006B6EBD" w:rsidP="00541B0D">
            <w:pPr>
              <w:rPr>
                <w:sz w:val="20"/>
                <w:szCs w:val="20"/>
              </w:rPr>
            </w:pPr>
            <w:r w:rsidRPr="00541B0D">
              <w:rPr>
                <w:sz w:val="20"/>
                <w:szCs w:val="20"/>
              </w:rPr>
              <w:t>Adherence to treatment</w:t>
            </w:r>
          </w:p>
        </w:tc>
      </w:tr>
      <w:tr w:rsidR="006B6EBD" w:rsidRPr="00541B0D" w14:paraId="20B8799F" w14:textId="77777777" w:rsidTr="00D27933">
        <w:tc>
          <w:tcPr>
            <w:tcW w:w="1160" w:type="dxa"/>
          </w:tcPr>
          <w:p w14:paraId="7A1E12F8" w14:textId="7F06A38E" w:rsidR="006B6EBD" w:rsidRPr="00541B0D" w:rsidRDefault="006B6EBD" w:rsidP="00541B0D">
            <w:pPr>
              <w:rPr>
                <w:sz w:val="20"/>
                <w:szCs w:val="20"/>
              </w:rPr>
            </w:pPr>
            <w:r w:rsidRPr="00541B0D">
              <w:rPr>
                <w:sz w:val="20"/>
                <w:szCs w:val="20"/>
              </w:rPr>
              <w:t xml:space="preserve">Ala </w:t>
            </w:r>
            <w:r w:rsidR="00146F8F" w:rsidRPr="00541B0D">
              <w:rPr>
                <w:sz w:val="20"/>
                <w:szCs w:val="20"/>
              </w:rPr>
              <w:t xml:space="preserve">et al. </w:t>
            </w:r>
            <w:r w:rsidR="008546C4" w:rsidRPr="00541B0D">
              <w:rPr>
                <w:sz w:val="20"/>
                <w:szCs w:val="20"/>
              </w:rPr>
              <w:t>(</w:t>
            </w:r>
            <w:r w:rsidRPr="00541B0D">
              <w:rPr>
                <w:sz w:val="20"/>
                <w:szCs w:val="20"/>
              </w:rPr>
              <w:t>2015</w:t>
            </w:r>
            <w:r w:rsidR="008546C4" w:rsidRPr="00541B0D">
              <w:rPr>
                <w:sz w:val="20"/>
                <w:szCs w:val="20"/>
              </w:rPr>
              <w:t>)</w:t>
            </w:r>
          </w:p>
        </w:tc>
        <w:tc>
          <w:tcPr>
            <w:tcW w:w="1399" w:type="dxa"/>
          </w:tcPr>
          <w:p w14:paraId="6ECAAF33" w14:textId="00774A82" w:rsidR="006B6EBD" w:rsidRPr="00541B0D" w:rsidRDefault="006B6EBD" w:rsidP="00541B0D">
            <w:pPr>
              <w:rPr>
                <w:sz w:val="20"/>
                <w:szCs w:val="20"/>
              </w:rPr>
            </w:pPr>
            <w:r w:rsidRPr="00541B0D">
              <w:rPr>
                <w:sz w:val="20"/>
                <w:szCs w:val="20"/>
              </w:rPr>
              <w:t>Level IV Prospect</w:t>
            </w:r>
            <w:r w:rsidR="00AE57CC" w:rsidRPr="00541B0D">
              <w:rPr>
                <w:sz w:val="20"/>
                <w:szCs w:val="20"/>
              </w:rPr>
              <w:t>i</w:t>
            </w:r>
            <w:r w:rsidRPr="00541B0D">
              <w:rPr>
                <w:sz w:val="20"/>
                <w:szCs w:val="20"/>
              </w:rPr>
              <w:t>ve pilot study</w:t>
            </w:r>
          </w:p>
        </w:tc>
        <w:tc>
          <w:tcPr>
            <w:tcW w:w="1751" w:type="dxa"/>
          </w:tcPr>
          <w:p w14:paraId="6808BB90" w14:textId="77777777" w:rsidR="002A085F" w:rsidRPr="00541B0D" w:rsidRDefault="006B6EBD" w:rsidP="00541B0D">
            <w:pPr>
              <w:rPr>
                <w:sz w:val="20"/>
                <w:szCs w:val="20"/>
              </w:rPr>
            </w:pPr>
            <w:r w:rsidRPr="00541B0D">
              <w:rPr>
                <w:sz w:val="20"/>
                <w:szCs w:val="20"/>
              </w:rPr>
              <w:t>W</w:t>
            </w:r>
            <w:r w:rsidR="002A085F" w:rsidRPr="00541B0D">
              <w:rPr>
                <w:sz w:val="20"/>
                <w:szCs w:val="20"/>
              </w:rPr>
              <w:t>D</w:t>
            </w:r>
          </w:p>
          <w:p w14:paraId="20A1FD5B" w14:textId="77777777" w:rsidR="002A085F" w:rsidRPr="00541B0D" w:rsidRDefault="006B6EBD" w:rsidP="00541B0D">
            <w:pPr>
              <w:rPr>
                <w:sz w:val="20"/>
                <w:szCs w:val="20"/>
              </w:rPr>
            </w:pPr>
            <w:r w:rsidRPr="00541B0D">
              <w:rPr>
                <w:sz w:val="20"/>
                <w:szCs w:val="20"/>
              </w:rPr>
              <w:t xml:space="preserve">22 to </w:t>
            </w:r>
            <w:r w:rsidR="002A085F" w:rsidRPr="00541B0D">
              <w:rPr>
                <w:sz w:val="20"/>
                <w:szCs w:val="20"/>
              </w:rPr>
              <w:t>71 years</w:t>
            </w:r>
          </w:p>
          <w:p w14:paraId="70B02226" w14:textId="63892D76" w:rsidR="006B6EBD" w:rsidRPr="00541B0D" w:rsidRDefault="006B6EBD" w:rsidP="00541B0D">
            <w:pPr>
              <w:rPr>
                <w:sz w:val="20"/>
                <w:szCs w:val="20"/>
              </w:rPr>
            </w:pPr>
            <w:r w:rsidRPr="00541B0D">
              <w:rPr>
                <w:sz w:val="20"/>
                <w:szCs w:val="20"/>
              </w:rPr>
              <w:t>(n = 8)</w:t>
            </w:r>
          </w:p>
        </w:tc>
        <w:tc>
          <w:tcPr>
            <w:tcW w:w="1980" w:type="dxa"/>
          </w:tcPr>
          <w:p w14:paraId="301AF7ED" w14:textId="24355D8A" w:rsidR="006B6EBD" w:rsidRPr="00541B0D" w:rsidRDefault="006B6EBD" w:rsidP="00541B0D">
            <w:pPr>
              <w:rPr>
                <w:sz w:val="20"/>
                <w:szCs w:val="20"/>
              </w:rPr>
            </w:pPr>
            <w:r w:rsidRPr="00541B0D">
              <w:rPr>
                <w:sz w:val="20"/>
                <w:szCs w:val="20"/>
              </w:rPr>
              <w:t>T</w:t>
            </w:r>
            <w:r w:rsidR="002A085F" w:rsidRPr="00541B0D">
              <w:rPr>
                <w:sz w:val="20"/>
                <w:szCs w:val="20"/>
              </w:rPr>
              <w:t xml:space="preserve">o prospectively evaluate once </w:t>
            </w:r>
            <w:r w:rsidRPr="00541B0D">
              <w:rPr>
                <w:sz w:val="20"/>
                <w:szCs w:val="20"/>
              </w:rPr>
              <w:t>daily trientine as a therapy for WD</w:t>
            </w:r>
          </w:p>
        </w:tc>
        <w:tc>
          <w:tcPr>
            <w:tcW w:w="2194" w:type="dxa"/>
          </w:tcPr>
          <w:p w14:paraId="3EF766A5" w14:textId="77777777" w:rsidR="002A085F" w:rsidRPr="00541B0D" w:rsidRDefault="006B6EBD" w:rsidP="00541B0D">
            <w:pPr>
              <w:rPr>
                <w:sz w:val="20"/>
                <w:szCs w:val="20"/>
              </w:rPr>
            </w:pPr>
            <w:r w:rsidRPr="00541B0D">
              <w:rPr>
                <w:sz w:val="20"/>
                <w:szCs w:val="20"/>
              </w:rPr>
              <w:t>Biochemical and haematology tests, copper and zinc st</w:t>
            </w:r>
            <w:r w:rsidR="002A085F" w:rsidRPr="00541B0D">
              <w:rPr>
                <w:sz w:val="20"/>
                <w:szCs w:val="20"/>
              </w:rPr>
              <w:t>udies, hepatic fibrosis markers</w:t>
            </w:r>
          </w:p>
          <w:p w14:paraId="079D341A" w14:textId="77777777" w:rsidR="002A085F" w:rsidRPr="00541B0D" w:rsidRDefault="006B6EBD" w:rsidP="00541B0D">
            <w:pPr>
              <w:rPr>
                <w:sz w:val="20"/>
                <w:szCs w:val="20"/>
              </w:rPr>
            </w:pPr>
            <w:r w:rsidRPr="00541B0D">
              <w:rPr>
                <w:sz w:val="20"/>
                <w:szCs w:val="20"/>
              </w:rPr>
              <w:t>Physical examinat</w:t>
            </w:r>
            <w:r w:rsidR="002A085F" w:rsidRPr="00541B0D">
              <w:rPr>
                <w:sz w:val="20"/>
                <w:szCs w:val="20"/>
              </w:rPr>
              <w:t>ions</w:t>
            </w:r>
          </w:p>
          <w:p w14:paraId="15A61D23" w14:textId="261ED34F" w:rsidR="006B6EBD" w:rsidRPr="00541B0D" w:rsidRDefault="006B6EBD" w:rsidP="00541B0D">
            <w:pPr>
              <w:rPr>
                <w:sz w:val="20"/>
                <w:szCs w:val="20"/>
              </w:rPr>
            </w:pPr>
            <w:r w:rsidRPr="00541B0D">
              <w:rPr>
                <w:sz w:val="20"/>
                <w:szCs w:val="20"/>
              </w:rPr>
              <w:t>Adherence and adverse effects</w:t>
            </w:r>
          </w:p>
        </w:tc>
      </w:tr>
    </w:tbl>
    <w:p w14:paraId="11ADA68E" w14:textId="5D3D9E40" w:rsidR="00D767E7" w:rsidRPr="00616A3B" w:rsidRDefault="002A085F" w:rsidP="00541B0D">
      <w:pPr>
        <w:pStyle w:val="TableDescription"/>
      </w:pPr>
      <w:r>
        <w:t xml:space="preserve">WD = Wilson’s disease; </w:t>
      </w:r>
      <w:r w:rsidR="00D767E7">
        <w:t>DPA = D-</w:t>
      </w:r>
      <w:r w:rsidR="00D767E7" w:rsidRPr="00D96AB5">
        <w:t>penicillamine</w:t>
      </w:r>
      <w:r w:rsidR="00D767E7">
        <w:t>;</w:t>
      </w:r>
      <w:r w:rsidR="006F01E8">
        <w:t xml:space="preserve"> AE = a</w:t>
      </w:r>
      <w:r>
        <w:t>dverse events;</w:t>
      </w:r>
      <w:r w:rsidR="00D767E7">
        <w:t xml:space="preserve"> </w:t>
      </w:r>
      <w:r w:rsidR="00FC034F" w:rsidRPr="00FC034F">
        <w:t xml:space="preserve">UWDRS </w:t>
      </w:r>
      <w:r w:rsidR="00FC034F">
        <w:t xml:space="preserve">= </w:t>
      </w:r>
      <w:r w:rsidR="00FC034F" w:rsidRPr="00FC034F">
        <w:t>Unified Wilson’s Disease Rating Scale</w:t>
      </w:r>
      <w:r>
        <w:t>;</w:t>
      </w:r>
      <w:r w:rsidR="00FC034F">
        <w:t xml:space="preserve"> </w:t>
      </w:r>
      <w:r w:rsidR="00D767E7">
        <w:t xml:space="preserve">KF = </w:t>
      </w:r>
      <w:proofErr w:type="spellStart"/>
      <w:r w:rsidR="00D767E7" w:rsidRPr="00D767E7">
        <w:t>Kayser</w:t>
      </w:r>
      <w:proofErr w:type="spellEnd"/>
      <w:r w:rsidR="00D767E7" w:rsidRPr="00D767E7">
        <w:t>–Fleischer</w:t>
      </w:r>
      <w:r w:rsidR="00D767E7">
        <w:t>; ALT = alanine aminotransferase; AS</w:t>
      </w:r>
      <w:r>
        <w:t>T = aspartate aminotransferase.</w:t>
      </w:r>
    </w:p>
    <w:p w14:paraId="3D8F4D9E" w14:textId="31D1E781" w:rsidR="00885993" w:rsidRDefault="00885993" w:rsidP="00A920AB">
      <w:pPr>
        <w:pStyle w:val="TableTitle"/>
        <w:rPr>
          <w:lang w:eastAsia="ja-JP"/>
        </w:rPr>
      </w:pPr>
      <w:bookmarkStart w:id="51" w:name="_Ref53134001"/>
      <w:r w:rsidRPr="00616A3B">
        <w:t xml:space="preserve">Table </w:t>
      </w:r>
      <w:fldSimple w:instr=" SEQ Table \* ARABIC ">
        <w:r w:rsidR="005815A1">
          <w:rPr>
            <w:noProof/>
          </w:rPr>
          <w:t>6</w:t>
        </w:r>
      </w:fldSimple>
      <w:bookmarkEnd w:id="51"/>
      <w:r w:rsidR="00A920AB" w:rsidRPr="00616A3B">
        <w:rPr>
          <w:noProof/>
        </w:rPr>
        <w:t>:</w:t>
      </w:r>
      <w:r w:rsidRPr="00616A3B">
        <w:t xml:space="preserve"> </w:t>
      </w:r>
      <w:r w:rsidR="00A920AB" w:rsidRPr="00616A3B">
        <w:rPr>
          <w:lang w:eastAsia="ja-JP"/>
        </w:rPr>
        <w:t>Clinical practice g</w:t>
      </w:r>
      <w:r w:rsidRPr="00616A3B">
        <w:rPr>
          <w:lang w:eastAsia="ja-JP"/>
        </w:rPr>
        <w:t>uidelines</w:t>
      </w:r>
    </w:p>
    <w:tbl>
      <w:tblPr>
        <w:tblStyle w:val="TableTGAblue"/>
        <w:tblW w:w="0" w:type="auto"/>
        <w:tblLook w:val="04A0" w:firstRow="1" w:lastRow="0" w:firstColumn="1" w:lastColumn="0" w:noHBand="0" w:noVBand="1"/>
      </w:tblPr>
      <w:tblGrid>
        <w:gridCol w:w="1698"/>
        <w:gridCol w:w="6786"/>
      </w:tblGrid>
      <w:tr w:rsidR="00D767E7" w:rsidRPr="00541B0D" w14:paraId="7B0E0F2D" w14:textId="77777777" w:rsidTr="00EE58C6">
        <w:trPr>
          <w:cnfStyle w:val="100000000000" w:firstRow="1" w:lastRow="0" w:firstColumn="0" w:lastColumn="0" w:oddVBand="0" w:evenVBand="0" w:oddHBand="0" w:evenHBand="0" w:firstRowFirstColumn="0" w:firstRowLastColumn="0" w:lastRowFirstColumn="0" w:lastRowLastColumn="0"/>
        </w:trPr>
        <w:tc>
          <w:tcPr>
            <w:tcW w:w="8484" w:type="dxa"/>
            <w:gridSpan w:val="2"/>
          </w:tcPr>
          <w:p w14:paraId="7E6B7254" w14:textId="142FE22A" w:rsidR="00D767E7" w:rsidRPr="00541B0D" w:rsidRDefault="00D767E7" w:rsidP="00D767E7">
            <w:pPr>
              <w:rPr>
                <w:sz w:val="20"/>
                <w:szCs w:val="20"/>
              </w:rPr>
            </w:pPr>
            <w:r w:rsidRPr="00541B0D">
              <w:rPr>
                <w:sz w:val="20"/>
                <w:szCs w:val="20"/>
              </w:rPr>
              <w:t>Treatment guidelines</w:t>
            </w:r>
          </w:p>
        </w:tc>
      </w:tr>
      <w:tr w:rsidR="00065F5F" w:rsidRPr="00541B0D" w14:paraId="62365632" w14:textId="77777777" w:rsidTr="00EE58C6">
        <w:tc>
          <w:tcPr>
            <w:tcW w:w="1698" w:type="dxa"/>
          </w:tcPr>
          <w:p w14:paraId="65692B8E" w14:textId="79CEDB4B" w:rsidR="00065F5F" w:rsidRPr="00541B0D" w:rsidRDefault="00065F5F" w:rsidP="00065F5F">
            <w:pPr>
              <w:rPr>
                <w:sz w:val="20"/>
                <w:szCs w:val="20"/>
              </w:rPr>
            </w:pPr>
            <w:r w:rsidRPr="00541B0D">
              <w:rPr>
                <w:sz w:val="20"/>
                <w:szCs w:val="20"/>
              </w:rPr>
              <w:t xml:space="preserve">AASLD </w:t>
            </w:r>
            <w:r w:rsidR="008546C4" w:rsidRPr="00541B0D">
              <w:rPr>
                <w:sz w:val="20"/>
                <w:szCs w:val="20"/>
              </w:rPr>
              <w:t>(</w:t>
            </w:r>
            <w:r w:rsidRPr="00541B0D">
              <w:rPr>
                <w:sz w:val="20"/>
                <w:szCs w:val="20"/>
              </w:rPr>
              <w:t>2008</w:t>
            </w:r>
            <w:r w:rsidR="008546C4" w:rsidRPr="00541B0D">
              <w:rPr>
                <w:sz w:val="20"/>
                <w:szCs w:val="20"/>
              </w:rPr>
              <w:t>)</w:t>
            </w:r>
          </w:p>
        </w:tc>
        <w:tc>
          <w:tcPr>
            <w:tcW w:w="6786" w:type="dxa"/>
          </w:tcPr>
          <w:p w14:paraId="0EB8CA52" w14:textId="6C267688" w:rsidR="00065F5F" w:rsidRPr="00541B0D" w:rsidRDefault="00065F5F" w:rsidP="00065F5F">
            <w:pPr>
              <w:rPr>
                <w:sz w:val="20"/>
                <w:szCs w:val="20"/>
              </w:rPr>
            </w:pPr>
            <w:r w:rsidRPr="00541B0D">
              <w:rPr>
                <w:sz w:val="20"/>
                <w:szCs w:val="20"/>
              </w:rPr>
              <w:t xml:space="preserve">Roberts, E.A. and </w:t>
            </w:r>
            <w:proofErr w:type="spellStart"/>
            <w:r w:rsidRPr="00541B0D">
              <w:rPr>
                <w:sz w:val="20"/>
                <w:szCs w:val="20"/>
              </w:rPr>
              <w:t>Schilsky</w:t>
            </w:r>
            <w:proofErr w:type="spellEnd"/>
            <w:r w:rsidRPr="00541B0D">
              <w:rPr>
                <w:sz w:val="20"/>
                <w:szCs w:val="20"/>
              </w:rPr>
              <w:t xml:space="preserve">, M.L. American Association for the Study of Liver Diseases (AASLD) Practice </w:t>
            </w:r>
            <w:r w:rsidR="003743BA" w:rsidRPr="00541B0D">
              <w:rPr>
                <w:sz w:val="20"/>
                <w:szCs w:val="20"/>
              </w:rPr>
              <w:t>Guidelines</w:t>
            </w:r>
            <w:r w:rsidRPr="00541B0D">
              <w:rPr>
                <w:sz w:val="20"/>
                <w:szCs w:val="20"/>
              </w:rPr>
              <w:t xml:space="preserve">. Diagnosis and </w:t>
            </w:r>
            <w:r w:rsidR="003743BA" w:rsidRPr="00541B0D">
              <w:rPr>
                <w:sz w:val="20"/>
                <w:szCs w:val="20"/>
              </w:rPr>
              <w:t xml:space="preserve">Treatment </w:t>
            </w:r>
            <w:r w:rsidRPr="00541B0D">
              <w:rPr>
                <w:sz w:val="20"/>
                <w:szCs w:val="20"/>
              </w:rPr>
              <w:t xml:space="preserve">of Wilson </w:t>
            </w:r>
            <w:r w:rsidR="003743BA" w:rsidRPr="00541B0D">
              <w:rPr>
                <w:sz w:val="20"/>
                <w:szCs w:val="20"/>
              </w:rPr>
              <w:t>Disease</w:t>
            </w:r>
            <w:r w:rsidRPr="00541B0D">
              <w:rPr>
                <w:sz w:val="20"/>
                <w:szCs w:val="20"/>
              </w:rPr>
              <w:t xml:space="preserve">: an </w:t>
            </w:r>
            <w:r w:rsidR="003743BA" w:rsidRPr="00541B0D">
              <w:rPr>
                <w:sz w:val="20"/>
                <w:szCs w:val="20"/>
              </w:rPr>
              <w:t>Update</w:t>
            </w:r>
            <w:r w:rsidRPr="00541B0D">
              <w:rPr>
                <w:sz w:val="20"/>
                <w:szCs w:val="20"/>
              </w:rPr>
              <w:t xml:space="preserve">. A </w:t>
            </w:r>
            <w:r w:rsidR="003743BA" w:rsidRPr="00541B0D">
              <w:rPr>
                <w:sz w:val="20"/>
                <w:szCs w:val="20"/>
              </w:rPr>
              <w:t xml:space="preserve">Practice Guideline </w:t>
            </w:r>
            <w:r w:rsidRPr="00541B0D">
              <w:rPr>
                <w:sz w:val="20"/>
                <w:szCs w:val="20"/>
              </w:rPr>
              <w:t xml:space="preserve">on Wilson </w:t>
            </w:r>
            <w:r w:rsidR="003743BA" w:rsidRPr="00541B0D">
              <w:rPr>
                <w:sz w:val="20"/>
                <w:szCs w:val="20"/>
              </w:rPr>
              <w:t>Disease</w:t>
            </w:r>
            <w:r w:rsidRPr="00541B0D">
              <w:rPr>
                <w:sz w:val="20"/>
                <w:szCs w:val="20"/>
              </w:rPr>
              <w:t xml:space="preserve">, </w:t>
            </w:r>
            <w:proofErr w:type="spellStart"/>
            <w:r w:rsidRPr="00541B0D">
              <w:rPr>
                <w:i/>
                <w:sz w:val="20"/>
                <w:szCs w:val="20"/>
              </w:rPr>
              <w:t>Hepatology</w:t>
            </w:r>
            <w:proofErr w:type="spellEnd"/>
            <w:r w:rsidRPr="00541B0D">
              <w:rPr>
                <w:sz w:val="20"/>
                <w:szCs w:val="20"/>
              </w:rPr>
              <w:t>, 2008; 47(6): 2089-2111.</w:t>
            </w:r>
          </w:p>
        </w:tc>
      </w:tr>
      <w:tr w:rsidR="00065F5F" w:rsidRPr="00541B0D" w14:paraId="61A44F64" w14:textId="77777777" w:rsidTr="00EE58C6">
        <w:tc>
          <w:tcPr>
            <w:tcW w:w="1698" w:type="dxa"/>
          </w:tcPr>
          <w:p w14:paraId="5995B506" w14:textId="09AE5546" w:rsidR="00065F5F" w:rsidRPr="00541B0D" w:rsidRDefault="00065F5F" w:rsidP="00065F5F">
            <w:pPr>
              <w:rPr>
                <w:sz w:val="20"/>
                <w:szCs w:val="20"/>
              </w:rPr>
            </w:pPr>
            <w:r w:rsidRPr="00541B0D">
              <w:rPr>
                <w:sz w:val="20"/>
                <w:szCs w:val="20"/>
              </w:rPr>
              <w:t xml:space="preserve">EASL </w:t>
            </w:r>
            <w:r w:rsidR="008546C4" w:rsidRPr="00541B0D">
              <w:rPr>
                <w:sz w:val="20"/>
                <w:szCs w:val="20"/>
              </w:rPr>
              <w:t>(</w:t>
            </w:r>
            <w:r w:rsidRPr="00541B0D">
              <w:rPr>
                <w:sz w:val="20"/>
                <w:szCs w:val="20"/>
              </w:rPr>
              <w:t>2012</w:t>
            </w:r>
            <w:r w:rsidR="008546C4" w:rsidRPr="00541B0D">
              <w:rPr>
                <w:sz w:val="20"/>
                <w:szCs w:val="20"/>
              </w:rPr>
              <w:t>)</w:t>
            </w:r>
          </w:p>
        </w:tc>
        <w:tc>
          <w:tcPr>
            <w:tcW w:w="6786" w:type="dxa"/>
          </w:tcPr>
          <w:p w14:paraId="5F4E807E" w14:textId="074FA86D" w:rsidR="00065F5F" w:rsidRPr="00541B0D" w:rsidRDefault="00065F5F" w:rsidP="00065F5F">
            <w:pPr>
              <w:rPr>
                <w:sz w:val="20"/>
                <w:szCs w:val="20"/>
              </w:rPr>
            </w:pPr>
            <w:r w:rsidRPr="00541B0D">
              <w:rPr>
                <w:sz w:val="20"/>
                <w:szCs w:val="20"/>
              </w:rPr>
              <w:t xml:space="preserve">European Association for the Study of the Liver (EASL), Clinical Practice Guidelines: Wilson's </w:t>
            </w:r>
            <w:r w:rsidR="003743BA" w:rsidRPr="00541B0D">
              <w:rPr>
                <w:sz w:val="20"/>
                <w:szCs w:val="20"/>
              </w:rPr>
              <w:t>Disease</w:t>
            </w:r>
            <w:r w:rsidRPr="00541B0D">
              <w:rPr>
                <w:sz w:val="20"/>
                <w:szCs w:val="20"/>
              </w:rPr>
              <w:t xml:space="preserve">, </w:t>
            </w:r>
            <w:r w:rsidRPr="00541B0D">
              <w:rPr>
                <w:i/>
                <w:sz w:val="20"/>
                <w:szCs w:val="20"/>
              </w:rPr>
              <w:t xml:space="preserve">J </w:t>
            </w:r>
            <w:proofErr w:type="spellStart"/>
            <w:r w:rsidRPr="00541B0D">
              <w:rPr>
                <w:i/>
                <w:sz w:val="20"/>
                <w:szCs w:val="20"/>
              </w:rPr>
              <w:t>Hepatology</w:t>
            </w:r>
            <w:proofErr w:type="spellEnd"/>
            <w:r w:rsidRPr="00541B0D">
              <w:rPr>
                <w:sz w:val="20"/>
                <w:szCs w:val="20"/>
              </w:rPr>
              <w:t>, 2012; 56: 671-685.</w:t>
            </w:r>
          </w:p>
        </w:tc>
      </w:tr>
      <w:tr w:rsidR="00D767E7" w:rsidRPr="00541B0D" w14:paraId="720EC345" w14:textId="77777777" w:rsidTr="00EE58C6">
        <w:tc>
          <w:tcPr>
            <w:tcW w:w="1698" w:type="dxa"/>
          </w:tcPr>
          <w:p w14:paraId="7786A590" w14:textId="1BAE2DC9" w:rsidR="00D767E7" w:rsidRPr="00541B0D" w:rsidRDefault="00D767E7" w:rsidP="00D767E7">
            <w:pPr>
              <w:rPr>
                <w:sz w:val="20"/>
                <w:szCs w:val="20"/>
              </w:rPr>
            </w:pPr>
            <w:r w:rsidRPr="00541B0D">
              <w:rPr>
                <w:sz w:val="20"/>
                <w:szCs w:val="20"/>
              </w:rPr>
              <w:t xml:space="preserve">ESPGHN </w:t>
            </w:r>
            <w:r w:rsidR="008546C4" w:rsidRPr="00541B0D">
              <w:rPr>
                <w:sz w:val="20"/>
                <w:szCs w:val="20"/>
              </w:rPr>
              <w:t>(</w:t>
            </w:r>
            <w:r w:rsidRPr="00541B0D">
              <w:rPr>
                <w:sz w:val="20"/>
                <w:szCs w:val="20"/>
              </w:rPr>
              <w:t>2018</w:t>
            </w:r>
            <w:r w:rsidR="008546C4" w:rsidRPr="00541B0D">
              <w:rPr>
                <w:sz w:val="20"/>
                <w:szCs w:val="20"/>
              </w:rPr>
              <w:t>)</w:t>
            </w:r>
          </w:p>
        </w:tc>
        <w:tc>
          <w:tcPr>
            <w:tcW w:w="6786" w:type="dxa"/>
          </w:tcPr>
          <w:p w14:paraId="038A7748" w14:textId="41AB414F" w:rsidR="00D767E7" w:rsidRPr="00541B0D" w:rsidRDefault="00065F5F" w:rsidP="00D767E7">
            <w:pPr>
              <w:rPr>
                <w:sz w:val="20"/>
                <w:szCs w:val="20"/>
              </w:rPr>
            </w:pPr>
            <w:proofErr w:type="spellStart"/>
            <w:r w:rsidRPr="00541B0D">
              <w:rPr>
                <w:sz w:val="20"/>
                <w:szCs w:val="20"/>
              </w:rPr>
              <w:t>Socha</w:t>
            </w:r>
            <w:proofErr w:type="spellEnd"/>
            <w:r w:rsidRPr="00541B0D">
              <w:rPr>
                <w:sz w:val="20"/>
                <w:szCs w:val="20"/>
              </w:rPr>
              <w:t xml:space="preserve">, P et al. Wilson’s Disease in children: a Children: a Position Paper by the </w:t>
            </w:r>
            <w:proofErr w:type="spellStart"/>
            <w:r w:rsidRPr="00541B0D">
              <w:rPr>
                <w:sz w:val="20"/>
                <w:szCs w:val="20"/>
              </w:rPr>
              <w:t>Hepatology</w:t>
            </w:r>
            <w:proofErr w:type="spellEnd"/>
            <w:r w:rsidRPr="00541B0D">
              <w:rPr>
                <w:sz w:val="20"/>
                <w:szCs w:val="20"/>
              </w:rPr>
              <w:t xml:space="preserve"> Committee of the European Society for Paediatric Gastroenterology, </w:t>
            </w:r>
            <w:proofErr w:type="spellStart"/>
            <w:r w:rsidRPr="00541B0D">
              <w:rPr>
                <w:sz w:val="20"/>
                <w:szCs w:val="20"/>
              </w:rPr>
              <w:t>Hepatology</w:t>
            </w:r>
            <w:proofErr w:type="spellEnd"/>
            <w:r w:rsidRPr="00541B0D">
              <w:rPr>
                <w:sz w:val="20"/>
                <w:szCs w:val="20"/>
              </w:rPr>
              <w:t xml:space="preserve"> and Nutrition (ESPGHN), </w:t>
            </w:r>
            <w:r w:rsidRPr="00541B0D">
              <w:rPr>
                <w:i/>
                <w:sz w:val="20"/>
                <w:szCs w:val="20"/>
              </w:rPr>
              <w:t xml:space="preserve">J of </w:t>
            </w:r>
            <w:proofErr w:type="spellStart"/>
            <w:r w:rsidRPr="00541B0D">
              <w:rPr>
                <w:i/>
                <w:sz w:val="20"/>
                <w:szCs w:val="20"/>
              </w:rPr>
              <w:t>Pediatr</w:t>
            </w:r>
            <w:proofErr w:type="spellEnd"/>
            <w:r w:rsidRPr="00541B0D">
              <w:rPr>
                <w:i/>
                <w:sz w:val="20"/>
                <w:szCs w:val="20"/>
              </w:rPr>
              <w:t xml:space="preserve"> </w:t>
            </w:r>
            <w:proofErr w:type="spellStart"/>
            <w:r w:rsidRPr="00541B0D">
              <w:rPr>
                <w:i/>
                <w:sz w:val="20"/>
                <w:szCs w:val="20"/>
              </w:rPr>
              <w:t>Gastr</w:t>
            </w:r>
            <w:proofErr w:type="spellEnd"/>
            <w:r w:rsidRPr="00541B0D">
              <w:rPr>
                <w:i/>
                <w:sz w:val="20"/>
                <w:szCs w:val="20"/>
              </w:rPr>
              <w:t xml:space="preserve"> and </w:t>
            </w:r>
            <w:proofErr w:type="spellStart"/>
            <w:r w:rsidRPr="00541B0D">
              <w:rPr>
                <w:i/>
                <w:sz w:val="20"/>
                <w:szCs w:val="20"/>
              </w:rPr>
              <w:t>Nutr</w:t>
            </w:r>
            <w:proofErr w:type="spellEnd"/>
            <w:r w:rsidRPr="00541B0D">
              <w:rPr>
                <w:sz w:val="20"/>
                <w:szCs w:val="20"/>
              </w:rPr>
              <w:t>, 2018; 66 (2): 334-344.</w:t>
            </w:r>
          </w:p>
        </w:tc>
      </w:tr>
      <w:tr w:rsidR="00D767E7" w:rsidRPr="00541B0D" w14:paraId="2A8FE38F" w14:textId="77777777" w:rsidTr="00EE58C6">
        <w:tc>
          <w:tcPr>
            <w:tcW w:w="1698" w:type="dxa"/>
          </w:tcPr>
          <w:p w14:paraId="3B661E29" w14:textId="61CA9A64" w:rsidR="00D767E7" w:rsidRPr="00541B0D" w:rsidRDefault="00D767E7" w:rsidP="00D767E7">
            <w:pPr>
              <w:rPr>
                <w:sz w:val="20"/>
                <w:szCs w:val="20"/>
              </w:rPr>
            </w:pPr>
            <w:r w:rsidRPr="00541B0D">
              <w:rPr>
                <w:sz w:val="20"/>
                <w:szCs w:val="20"/>
              </w:rPr>
              <w:t xml:space="preserve">Therapeutic Guidelines </w:t>
            </w:r>
            <w:r w:rsidR="008546C4" w:rsidRPr="00541B0D">
              <w:rPr>
                <w:sz w:val="20"/>
                <w:szCs w:val="20"/>
              </w:rPr>
              <w:t>(</w:t>
            </w:r>
            <w:r w:rsidR="00065F5F" w:rsidRPr="00541B0D">
              <w:rPr>
                <w:sz w:val="20"/>
                <w:szCs w:val="20"/>
              </w:rPr>
              <w:t>2017</w:t>
            </w:r>
            <w:r w:rsidR="008546C4" w:rsidRPr="00541B0D">
              <w:rPr>
                <w:sz w:val="20"/>
                <w:szCs w:val="20"/>
              </w:rPr>
              <w:t>)</w:t>
            </w:r>
          </w:p>
        </w:tc>
        <w:tc>
          <w:tcPr>
            <w:tcW w:w="6786" w:type="dxa"/>
          </w:tcPr>
          <w:p w14:paraId="579FDA8B" w14:textId="12BEC1AA" w:rsidR="00D767E7" w:rsidRPr="00541B0D" w:rsidRDefault="00065F5F" w:rsidP="003743BA">
            <w:pPr>
              <w:rPr>
                <w:sz w:val="20"/>
                <w:szCs w:val="20"/>
              </w:rPr>
            </w:pPr>
            <w:proofErr w:type="spellStart"/>
            <w:r w:rsidRPr="00541B0D">
              <w:rPr>
                <w:sz w:val="20"/>
                <w:szCs w:val="20"/>
              </w:rPr>
              <w:t>eTG</w:t>
            </w:r>
            <w:proofErr w:type="spellEnd"/>
            <w:r w:rsidRPr="00541B0D">
              <w:rPr>
                <w:sz w:val="20"/>
                <w:szCs w:val="20"/>
              </w:rPr>
              <w:t xml:space="preserve"> complete. Melbourne: Therapeutic Guidelines Ltd; 2019. Wilson disease (updated March 2017; cited 8 November 2019).</w:t>
            </w:r>
          </w:p>
        </w:tc>
      </w:tr>
    </w:tbl>
    <w:p w14:paraId="3696A51B" w14:textId="2EF1E567" w:rsidR="00EE58C6" w:rsidRDefault="00EE58C6" w:rsidP="00EE58C6">
      <w:pPr>
        <w:pStyle w:val="TableDescription"/>
      </w:pPr>
      <w:r w:rsidRPr="00EE58C6">
        <w:t xml:space="preserve">AASLD </w:t>
      </w:r>
      <w:r>
        <w:t xml:space="preserve">= </w:t>
      </w:r>
      <w:r w:rsidRPr="00EE58C6">
        <w:t>American Association for the Study of Liver Disease</w:t>
      </w:r>
      <w:r>
        <w:t xml:space="preserve">; </w:t>
      </w:r>
      <w:r w:rsidRPr="00EE58C6">
        <w:t>EASL</w:t>
      </w:r>
      <w:r>
        <w:t xml:space="preserve"> = </w:t>
      </w:r>
      <w:r w:rsidRPr="00C00DEC">
        <w:t>European Associ</w:t>
      </w:r>
      <w:r>
        <w:t xml:space="preserve">ation for the Study of the Liver; </w:t>
      </w:r>
      <w:r w:rsidRPr="00EE58C6">
        <w:t xml:space="preserve">ESPGHN </w:t>
      </w:r>
      <w:r>
        <w:t xml:space="preserve">= </w:t>
      </w:r>
      <w:r w:rsidRPr="00EE58C6">
        <w:t xml:space="preserve">European Society for Paediatric Gastroenterology, </w:t>
      </w:r>
      <w:proofErr w:type="spellStart"/>
      <w:r w:rsidRPr="00EE58C6">
        <w:t>Hepatology</w:t>
      </w:r>
      <w:proofErr w:type="spellEnd"/>
      <w:r w:rsidRPr="00EE58C6">
        <w:t xml:space="preserve"> and Nutrition</w:t>
      </w:r>
      <w:r>
        <w:t>.</w:t>
      </w:r>
    </w:p>
    <w:p w14:paraId="5BAC103C" w14:textId="7F7B4DBF" w:rsidR="00885993" w:rsidRPr="00616A3B" w:rsidRDefault="00885993" w:rsidP="00541B0D">
      <w:pPr>
        <w:pStyle w:val="Heading5"/>
        <w:pageBreakBefore/>
      </w:pPr>
      <w:r w:rsidRPr="00616A3B">
        <w:t xml:space="preserve">Weiss </w:t>
      </w:r>
      <w:r w:rsidR="00FA002F">
        <w:t>et al. (</w:t>
      </w:r>
      <w:r w:rsidRPr="00616A3B">
        <w:t>2013</w:t>
      </w:r>
      <w:r w:rsidR="00FA002F">
        <w:t>)</w:t>
      </w:r>
    </w:p>
    <w:p w14:paraId="72F7C7B4" w14:textId="0AFE4C6A" w:rsidR="00885993" w:rsidRPr="00616A3B" w:rsidRDefault="00885993" w:rsidP="00885993">
      <w:r w:rsidRPr="00616A3B">
        <w:t xml:space="preserve">This was a retrospective cohort study of 380 patients with WD treated at six tertiary care centres in Germany and Austria, and 25 patients from the </w:t>
      </w:r>
      <w:proofErr w:type="spellStart"/>
      <w:r w:rsidR="00A920AB" w:rsidRPr="00616A3B">
        <w:t>Eurowilson</w:t>
      </w:r>
      <w:proofErr w:type="spellEnd"/>
      <w:r w:rsidR="00A920AB" w:rsidRPr="00616A3B">
        <w:t xml:space="preserve"> </w:t>
      </w:r>
      <w:r w:rsidRPr="00616A3B">
        <w:t xml:space="preserve">registry. The purpose of the study was to evaluate the efficacy and safety of trientine and penicillamine therapy, in terms of hepatic and neurological outcomes and </w:t>
      </w:r>
      <w:r w:rsidR="00D7125C" w:rsidRPr="00616A3B">
        <w:t>AEs</w:t>
      </w:r>
      <w:r w:rsidR="00247DC8" w:rsidRPr="00616A3B">
        <w:t xml:space="preserve"> leading to discontinuation.</w:t>
      </w:r>
    </w:p>
    <w:p w14:paraId="26B53289" w14:textId="5B131968" w:rsidR="00885993" w:rsidRPr="00616A3B" w:rsidRDefault="00885993" w:rsidP="00885993">
      <w:r w:rsidRPr="00616A3B">
        <w:t>Medical records of the 405 patients were reviewed. Data were collected for a mean of 13.3</w:t>
      </w:r>
      <w:r w:rsidR="00A920AB" w:rsidRPr="00616A3B">
        <w:t> </w:t>
      </w:r>
      <w:r w:rsidRPr="00616A3B">
        <w:t>years after therapy began. Patients were categorised according to symptoms present at diagnosis: asymptomatic, hepatic, neurologic, or hepatic and neurologic. 207</w:t>
      </w:r>
      <w:r w:rsidR="00A920AB" w:rsidRPr="00616A3B">
        <w:t> </w:t>
      </w:r>
      <w:r w:rsidRPr="00616A3B">
        <w:t>(51.1%) patients presented with hepatic symptoms only, 92</w:t>
      </w:r>
      <w:r w:rsidR="00A920AB" w:rsidRPr="00616A3B">
        <w:t> </w:t>
      </w:r>
      <w:r w:rsidRPr="00616A3B">
        <w:t>(22.7%) presented with neurologic symptoms only, 52</w:t>
      </w:r>
      <w:r w:rsidR="00A920AB" w:rsidRPr="00616A3B">
        <w:t> </w:t>
      </w:r>
      <w:r w:rsidRPr="00616A3B">
        <w:t>(12.8%) presented with hepatic and neurologic symptoms, and 54</w:t>
      </w:r>
      <w:r w:rsidR="00A920AB" w:rsidRPr="00616A3B">
        <w:t> </w:t>
      </w:r>
      <w:r w:rsidRPr="00616A3B">
        <w:t>(13.3%) were asymptomatic at diagnosis. 21</w:t>
      </w:r>
      <w:r w:rsidR="00A920AB" w:rsidRPr="00616A3B">
        <w:t> </w:t>
      </w:r>
      <w:r w:rsidRPr="00616A3B">
        <w:t>patients</w:t>
      </w:r>
      <w:r w:rsidR="00A920AB" w:rsidRPr="00616A3B">
        <w:t> </w:t>
      </w:r>
      <w:r w:rsidRPr="00616A3B">
        <w:t>(5.2%) presented with fulminant WD with</w:t>
      </w:r>
      <w:r w:rsidR="00247DC8" w:rsidRPr="00616A3B">
        <w:t xml:space="preserve"> hepatic failure at diagnosis.</w:t>
      </w:r>
    </w:p>
    <w:p w14:paraId="10608C36" w14:textId="5A8B5E40" w:rsidR="00885993" w:rsidRPr="00616A3B" w:rsidRDefault="00885993" w:rsidP="00885993">
      <w:r w:rsidRPr="00616A3B">
        <w:t>Patients with a stable course were assessed in the tertiary centres approximately once a year. Patients were reviewe</w:t>
      </w:r>
      <w:r w:rsidR="00A920AB" w:rsidRPr="00616A3B">
        <w:t>d more frequently (3, 6, and 12 </w:t>
      </w:r>
      <w:r w:rsidRPr="00616A3B">
        <w:t>months) after initiating or changing therapy. No systematic criteria were applied in the initial choice of chelating agent.</w:t>
      </w:r>
    </w:p>
    <w:p w14:paraId="62EFB04F" w14:textId="3FC2C07E" w:rsidR="00885993" w:rsidRPr="00616A3B" w:rsidRDefault="00885993" w:rsidP="00885993">
      <w:r w:rsidRPr="00616A3B">
        <w:t xml:space="preserve">Hepatic and neurologic outcomes were assessed from patient </w:t>
      </w:r>
      <w:r w:rsidR="00406820" w:rsidRPr="00616A3B">
        <w:t>records at 6, 12, 24, 36 and 48 </w:t>
      </w:r>
      <w:r w:rsidRPr="00616A3B">
        <w:t>months after initiation of the treatment. Hepatic outcome measures were based on clinical symptoms, course of liver enzymes, and liver function tests. Neurologic outcomes were evaluated by the physician. Hepatic and neurologic outcomes were scored as unchanged, improved to normal, improved but not normal, deteriorated,</w:t>
      </w:r>
      <w:r w:rsidR="004766FA" w:rsidRPr="00616A3B">
        <w:t xml:space="preserve"> or asymptomatic over duration.</w:t>
      </w:r>
    </w:p>
    <w:p w14:paraId="204BA57C" w14:textId="2AEDFE4C" w:rsidR="00885993" w:rsidRPr="00616A3B" w:rsidRDefault="00885993" w:rsidP="00885993">
      <w:r w:rsidRPr="00616A3B">
        <w:t>The a</w:t>
      </w:r>
      <w:r w:rsidR="00406820" w:rsidRPr="00616A3B">
        <w:t xml:space="preserve">nalysis identified 467 </w:t>
      </w:r>
      <w:proofErr w:type="spellStart"/>
      <w:r w:rsidR="00406820" w:rsidRPr="00616A3B">
        <w:t>chelator</w:t>
      </w:r>
      <w:proofErr w:type="spellEnd"/>
      <w:r w:rsidR="00406820" w:rsidRPr="00616A3B">
        <w:t xml:space="preserve"> </w:t>
      </w:r>
      <w:r w:rsidRPr="00616A3B">
        <w:t>based treatment</w:t>
      </w:r>
      <w:r w:rsidR="009F4E05">
        <w:t xml:space="preserve">s with a duration of more than six </w:t>
      </w:r>
      <w:r w:rsidRPr="00616A3B">
        <w:t>months: 326 involved penicill</w:t>
      </w:r>
      <w:r w:rsidR="00406820" w:rsidRPr="00616A3B">
        <w:t xml:space="preserve">amine monotherapy (295 as first </w:t>
      </w:r>
      <w:r w:rsidRPr="00616A3B">
        <w:t>line, 31 as second</w:t>
      </w:r>
      <w:r w:rsidR="00406820" w:rsidRPr="00616A3B">
        <w:t xml:space="preserve"> </w:t>
      </w:r>
      <w:r w:rsidRPr="00616A3B">
        <w:t>line) and 141 involved trientine monotherapy (38 as first</w:t>
      </w:r>
      <w:r w:rsidR="00406820" w:rsidRPr="00616A3B">
        <w:t xml:space="preserve"> </w:t>
      </w:r>
      <w:r w:rsidRPr="00616A3B">
        <w:t>line and 103 as second</w:t>
      </w:r>
      <w:r w:rsidR="00406820" w:rsidRPr="00616A3B">
        <w:t xml:space="preserve"> </w:t>
      </w:r>
      <w:r w:rsidRPr="00616A3B">
        <w:t>line). No specific dosage information was presented. Zinc treatments were not analysed, and patients who received only zinc salts over the whole treatment period w</w:t>
      </w:r>
      <w:r w:rsidR="00E57430">
        <w:t>ere excluded from the analysis.</w:t>
      </w:r>
    </w:p>
    <w:p w14:paraId="11185746" w14:textId="2A9E01D5" w:rsidR="00885993" w:rsidRPr="00616A3B" w:rsidRDefault="00885993" w:rsidP="00406820">
      <w:pPr>
        <w:pStyle w:val="FigureTitle"/>
        <w:rPr>
          <w:rFonts w:asciiTheme="minorHAnsi" w:eastAsiaTheme="minorHAnsi" w:hAnsiTheme="minorHAnsi" w:cs="LegacySerif-Book"/>
        </w:rPr>
      </w:pPr>
      <w:r w:rsidRPr="00616A3B">
        <w:t xml:space="preserve">Figure </w:t>
      </w:r>
      <w:fldSimple w:instr=" SEQ Figure \* ARABIC ">
        <w:r w:rsidR="005815A1">
          <w:rPr>
            <w:noProof/>
          </w:rPr>
          <w:t>2</w:t>
        </w:r>
      </w:fldSimple>
      <w:r w:rsidR="00A379E9" w:rsidRPr="00616A3B">
        <w:rPr>
          <w:noProof/>
        </w:rPr>
        <w:t>:</w:t>
      </w:r>
      <w:r w:rsidR="00247DC8" w:rsidRPr="00616A3B">
        <w:t xml:space="preserve"> </w:t>
      </w:r>
      <w:r w:rsidRPr="00616A3B">
        <w:t>Weiss</w:t>
      </w:r>
      <w:r w:rsidR="00733A96">
        <w:t xml:space="preserve"> et al.</w:t>
      </w:r>
      <w:r w:rsidRPr="00616A3B">
        <w:t xml:space="preserve"> </w:t>
      </w:r>
      <w:r w:rsidR="002774B3">
        <w:t>(</w:t>
      </w:r>
      <w:r w:rsidRPr="00616A3B">
        <w:t>2013</w:t>
      </w:r>
      <w:r w:rsidR="002774B3">
        <w:t>)</w:t>
      </w:r>
      <w:r w:rsidRPr="00616A3B">
        <w:t xml:space="preserve"> overview</w:t>
      </w:r>
    </w:p>
    <w:p w14:paraId="6DD8C802" w14:textId="77777777" w:rsidR="00885993" w:rsidRPr="00616A3B" w:rsidRDefault="00885993" w:rsidP="00541B0D">
      <w:pPr>
        <w:rPr>
          <w:rFonts w:asciiTheme="minorHAnsi" w:eastAsiaTheme="minorHAnsi" w:hAnsiTheme="minorHAnsi" w:cs="LegacySerif-Book"/>
        </w:rPr>
      </w:pPr>
      <w:r w:rsidRPr="00616A3B">
        <w:rPr>
          <w:noProof/>
          <w:lang w:eastAsia="en-AU"/>
        </w:rPr>
        <w:drawing>
          <wp:inline distT="0" distB="0" distL="0" distR="0" wp14:anchorId="18D22C1C" wp14:editId="0DD8F2E5">
            <wp:extent cx="4848225" cy="2781300"/>
            <wp:effectExtent l="0" t="0" r="9525" b="0"/>
            <wp:docPr id="80" name="Picture 80" descr="This study was conducted at multiple tertiary care centres in Germany and Austria, and the Eurowilson registry. Medical records of the 405 Wilson’s disease patients were reviewed. The analysis identified 467 chelator based treatments by penicillamine and trientine. For penicillamine monotherapy, 295 are first line treatments, 31 are second line treatments and 9 patients are progressed to liver transplantation. For trientine monotherapy, 38 are first line treatments and 103 are second line treatments and 3 patients are progressed to liver transplantation."/>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8225" cy="2781300"/>
                    </a:xfrm>
                    <a:prstGeom prst="rect">
                      <a:avLst/>
                    </a:prstGeom>
                    <a:noFill/>
                    <a:ln>
                      <a:noFill/>
                    </a:ln>
                  </pic:spPr>
                </pic:pic>
              </a:graphicData>
            </a:graphic>
          </wp:inline>
        </w:drawing>
      </w:r>
    </w:p>
    <w:p w14:paraId="307DDBAE" w14:textId="6E896341" w:rsidR="00885993" w:rsidRPr="00616A3B" w:rsidRDefault="00885993" w:rsidP="00885993">
      <w:r w:rsidRPr="00616A3B">
        <w:t xml:space="preserve">Baseline characteristics, recorded at the time of initiation of, or change in, </w:t>
      </w:r>
      <w:proofErr w:type="spellStart"/>
      <w:r w:rsidRPr="00616A3B">
        <w:t>chelator</w:t>
      </w:r>
      <w:proofErr w:type="spellEnd"/>
      <w:r w:rsidR="00406820" w:rsidRPr="00616A3B">
        <w:t xml:space="preserve"> </w:t>
      </w:r>
      <w:r w:rsidRPr="00616A3B">
        <w:t>based treatment, were generally similar across the treatment groups but penicillamine was used more commonly as first</w:t>
      </w:r>
      <w:r w:rsidR="00406820" w:rsidRPr="00616A3B">
        <w:t xml:space="preserve"> </w:t>
      </w:r>
      <w:r w:rsidRPr="00616A3B">
        <w:t>line treatment.</w:t>
      </w:r>
    </w:p>
    <w:p w14:paraId="67616BDD" w14:textId="1D4B00A8" w:rsidR="00885993" w:rsidRPr="00616A3B" w:rsidRDefault="00885993" w:rsidP="00885993">
      <w:r w:rsidRPr="00616A3B">
        <w:t>Hepatic and neurologic improvement and worsening were reported for penicillamine and trientine, stratified by first</w:t>
      </w:r>
      <w:r w:rsidR="00406820" w:rsidRPr="00616A3B">
        <w:t xml:space="preserve"> </w:t>
      </w:r>
      <w:r w:rsidRPr="00616A3B">
        <w:t>line and second</w:t>
      </w:r>
      <w:r w:rsidR="00406820" w:rsidRPr="00616A3B">
        <w:t xml:space="preserve"> </w:t>
      </w:r>
      <w:r w:rsidRPr="00616A3B">
        <w:t>line use (</w:t>
      </w:r>
      <w:r w:rsidR="00FA002F">
        <w:t xml:space="preserve">shown in </w:t>
      </w:r>
      <w:r w:rsidRPr="00616A3B">
        <w:fldChar w:fldCharType="begin"/>
      </w:r>
      <w:r w:rsidRPr="00616A3B">
        <w:instrText xml:space="preserve"> REF _Ref52283751 \h  \* MERGEFORMAT </w:instrText>
      </w:r>
      <w:r w:rsidRPr="00616A3B">
        <w:fldChar w:fldCharType="separate"/>
      </w:r>
      <w:r w:rsidR="005815A1" w:rsidRPr="00616A3B">
        <w:t xml:space="preserve">Table </w:t>
      </w:r>
      <w:r w:rsidR="005815A1">
        <w:t>7</w:t>
      </w:r>
      <w:r w:rsidRPr="00616A3B">
        <w:fldChar w:fldCharType="end"/>
      </w:r>
      <w:r w:rsidR="00FA002F">
        <w:t>, below</w:t>
      </w:r>
      <w:r w:rsidRPr="00616A3B">
        <w:t>)</w:t>
      </w:r>
      <w:bookmarkStart w:id="52" w:name="_Ref50974368"/>
      <w:bookmarkStart w:id="53" w:name="_Ref50991688"/>
      <w:r w:rsidR="00247DC8" w:rsidRPr="00616A3B">
        <w:t>.</w:t>
      </w:r>
    </w:p>
    <w:p w14:paraId="1F73EC55" w14:textId="6D1EB63F" w:rsidR="00885993" w:rsidRPr="00616A3B" w:rsidRDefault="00885993" w:rsidP="00885993">
      <w:r w:rsidRPr="00616A3B">
        <w:t>For trientine in the second</w:t>
      </w:r>
      <w:r w:rsidR="00406820" w:rsidRPr="00616A3B">
        <w:t xml:space="preserve"> </w:t>
      </w:r>
      <w:r w:rsidRPr="00616A3B">
        <w:t>line setting (proposed for registration):</w:t>
      </w:r>
    </w:p>
    <w:p w14:paraId="3D3E33B3" w14:textId="63FFA562" w:rsidR="00885993" w:rsidRPr="00616A3B" w:rsidRDefault="00406820" w:rsidP="00885993">
      <w:pPr>
        <w:pStyle w:val="ListBullet"/>
      </w:pPr>
      <w:r w:rsidRPr="00616A3B">
        <w:t>31 of </w:t>
      </w:r>
      <w:r w:rsidR="00885993" w:rsidRPr="00616A3B">
        <w:t>45</w:t>
      </w:r>
      <w:r w:rsidRPr="00616A3B">
        <w:t> </w:t>
      </w:r>
      <w:r w:rsidR="00885993" w:rsidRPr="00616A3B">
        <w:t>(68.9%) patients with hepatic symptoms</w:t>
      </w:r>
      <w:r w:rsidR="00F84F4B" w:rsidRPr="00616A3B">
        <w:t xml:space="preserve"> showed hepatic improvement;</w:t>
      </w:r>
    </w:p>
    <w:p w14:paraId="1652240F" w14:textId="4FC4DB45" w:rsidR="00885993" w:rsidRPr="00616A3B" w:rsidRDefault="00FA002F" w:rsidP="00885993">
      <w:pPr>
        <w:pStyle w:val="ListBullet"/>
      </w:pPr>
      <w:r>
        <w:t>10</w:t>
      </w:r>
      <w:r w:rsidRPr="00616A3B">
        <w:t> </w:t>
      </w:r>
      <w:r w:rsidR="00885993" w:rsidRPr="00616A3B">
        <w:t>(22.2%) patients with hepatic symptom</w:t>
      </w:r>
      <w:r w:rsidR="00F84F4B" w:rsidRPr="00616A3B">
        <w:t>s showed stable hepatic disease;</w:t>
      </w:r>
    </w:p>
    <w:p w14:paraId="683E189B" w14:textId="7DE4D6CC" w:rsidR="00885993" w:rsidRPr="00616A3B" w:rsidRDefault="00FA002F" w:rsidP="00885993">
      <w:pPr>
        <w:pStyle w:val="ListBullet"/>
      </w:pPr>
      <w:r>
        <w:t>4</w:t>
      </w:r>
      <w:r w:rsidRPr="00616A3B">
        <w:t> </w:t>
      </w:r>
      <w:r w:rsidR="00885993" w:rsidRPr="00616A3B">
        <w:t>(8.9%) patients with hepatic symptoms</w:t>
      </w:r>
      <w:r w:rsidR="00F84F4B" w:rsidRPr="00616A3B">
        <w:t xml:space="preserve"> showed hepatic worsening;</w:t>
      </w:r>
    </w:p>
    <w:p w14:paraId="3142E540" w14:textId="5054FE8D" w:rsidR="00885993" w:rsidRPr="00616A3B" w:rsidRDefault="00F84F4B" w:rsidP="00885993">
      <w:pPr>
        <w:pStyle w:val="ListBullet"/>
      </w:pPr>
      <w:r w:rsidRPr="00616A3B">
        <w:t>n</w:t>
      </w:r>
      <w:r w:rsidR="00885993" w:rsidRPr="00616A3B">
        <w:t>o hepatic worsening was observed in asymptomatic pat</w:t>
      </w:r>
      <w:r w:rsidRPr="00616A3B">
        <w:t>ients;</w:t>
      </w:r>
    </w:p>
    <w:p w14:paraId="6E619426" w14:textId="26086E89" w:rsidR="00885993" w:rsidRPr="00616A3B" w:rsidRDefault="00406820" w:rsidP="00885993">
      <w:pPr>
        <w:pStyle w:val="ListBullet"/>
      </w:pPr>
      <w:r w:rsidRPr="00616A3B">
        <w:t>26 of </w:t>
      </w:r>
      <w:r w:rsidR="00885993" w:rsidRPr="00616A3B">
        <w:t>51 (50.9%) patients with neurologic symptoms showed neurologic improvement</w:t>
      </w:r>
      <w:r w:rsidR="00F84F4B" w:rsidRPr="00616A3B">
        <w:t>;</w:t>
      </w:r>
    </w:p>
    <w:p w14:paraId="307D7615" w14:textId="400EABA2" w:rsidR="00885993" w:rsidRPr="00616A3B" w:rsidRDefault="00406820" w:rsidP="00885993">
      <w:pPr>
        <w:pStyle w:val="ListBullet"/>
      </w:pPr>
      <w:r w:rsidRPr="00616A3B">
        <w:t>17 </w:t>
      </w:r>
      <w:r w:rsidR="00885993" w:rsidRPr="00616A3B">
        <w:t>(33.3%) patients with neurologic symptoms sh</w:t>
      </w:r>
      <w:r w:rsidRPr="00616A3B">
        <w:t>owed stable neurologic disease</w:t>
      </w:r>
      <w:r w:rsidR="00F84F4B" w:rsidRPr="00616A3B">
        <w:t>;</w:t>
      </w:r>
    </w:p>
    <w:p w14:paraId="5827DC45" w14:textId="7884E86D" w:rsidR="00885993" w:rsidRPr="00616A3B" w:rsidRDefault="00FA002F" w:rsidP="00885993">
      <w:pPr>
        <w:pStyle w:val="ListBullet"/>
      </w:pPr>
      <w:r>
        <w:t>8</w:t>
      </w:r>
      <w:r w:rsidRPr="00616A3B">
        <w:t> </w:t>
      </w:r>
      <w:r w:rsidR="00885993" w:rsidRPr="00616A3B">
        <w:t>(15.7%) patients with neurologic symptoms</w:t>
      </w:r>
      <w:r w:rsidR="00F84F4B" w:rsidRPr="00616A3B">
        <w:t xml:space="preserve"> showed neurologic worsening;</w:t>
      </w:r>
    </w:p>
    <w:p w14:paraId="0C3A1857" w14:textId="3151C591" w:rsidR="00885993" w:rsidRPr="00616A3B" w:rsidRDefault="00F84F4B" w:rsidP="00885993">
      <w:pPr>
        <w:pStyle w:val="ListBullet"/>
      </w:pPr>
      <w:r w:rsidRPr="00616A3B">
        <w:t>n</w:t>
      </w:r>
      <w:r w:rsidR="00885993" w:rsidRPr="00616A3B">
        <w:t>o neurologic worsening was observed in asymptomatic patients.</w:t>
      </w:r>
    </w:p>
    <w:p w14:paraId="2BC469D8" w14:textId="7185BB00" w:rsidR="00885993" w:rsidRPr="00616A3B" w:rsidRDefault="00885993" w:rsidP="00885993">
      <w:r w:rsidRPr="00616A3B">
        <w:t>Hepatic improvement was lower in the second</w:t>
      </w:r>
      <w:r w:rsidR="00DE4CCD" w:rsidRPr="00616A3B">
        <w:t xml:space="preserve"> </w:t>
      </w:r>
      <w:r w:rsidRPr="00616A3B">
        <w:t>line setting compared to the first</w:t>
      </w:r>
      <w:r w:rsidR="00DE4CCD" w:rsidRPr="00616A3B">
        <w:t xml:space="preserve"> </w:t>
      </w:r>
      <w:r w:rsidRPr="00616A3B">
        <w:t>line setting for both penicillamine and trientine. The authors attributed this finding to advanced liver disease and irreversible structural liver damage.</w:t>
      </w:r>
    </w:p>
    <w:p w14:paraId="291D4BB4" w14:textId="3B5A249D" w:rsidR="00885993" w:rsidRPr="00616A3B" w:rsidRDefault="00885993" w:rsidP="00885993">
      <w:r w:rsidRPr="00616A3B">
        <w:t>Neurologic deterioration occurred more frequently with trientine than penicillamine in both the first</w:t>
      </w:r>
      <w:r w:rsidR="00DE4CCD" w:rsidRPr="00616A3B">
        <w:t xml:space="preserve"> </w:t>
      </w:r>
      <w:r w:rsidRPr="00616A3B">
        <w:t>line and second</w:t>
      </w:r>
      <w:r w:rsidR="00DE4CCD" w:rsidRPr="00616A3B">
        <w:t xml:space="preserve"> </w:t>
      </w:r>
      <w:r w:rsidRPr="00616A3B">
        <w:t>line settings.</w:t>
      </w:r>
    </w:p>
    <w:p w14:paraId="63EDEFC3" w14:textId="024740D6" w:rsidR="00885993" w:rsidRPr="00616A3B" w:rsidRDefault="00885993" w:rsidP="00DE4CCD">
      <w:pPr>
        <w:pStyle w:val="TableTitle"/>
      </w:pPr>
      <w:bookmarkStart w:id="54" w:name="_Ref52283751"/>
      <w:r w:rsidRPr="00616A3B">
        <w:t xml:space="preserve">Table </w:t>
      </w:r>
      <w:fldSimple w:instr=" SEQ Table \* ARABIC ">
        <w:r w:rsidR="005815A1">
          <w:rPr>
            <w:noProof/>
          </w:rPr>
          <w:t>7</w:t>
        </w:r>
      </w:fldSimple>
      <w:bookmarkEnd w:id="52"/>
      <w:bookmarkEnd w:id="53"/>
      <w:bookmarkEnd w:id="54"/>
      <w:r w:rsidR="00A379E9" w:rsidRPr="00616A3B">
        <w:rPr>
          <w:noProof/>
        </w:rPr>
        <w:t>:</w:t>
      </w:r>
      <w:r w:rsidRPr="00616A3B">
        <w:t xml:space="preserve"> </w:t>
      </w:r>
      <w:r w:rsidR="00FA002F">
        <w:t xml:space="preserve">Weiss et al. (2013) </w:t>
      </w:r>
      <w:r w:rsidRPr="00616A3B">
        <w:t>Rate of hepatic or neurological improvement and worsening in all or only symptomatic patients stratified by first and second</w:t>
      </w:r>
      <w:r w:rsidR="00DE4CCD" w:rsidRPr="00616A3B">
        <w:t xml:space="preserve"> </w:t>
      </w:r>
      <w:r w:rsidRPr="00616A3B">
        <w:t>line treatment</w:t>
      </w:r>
    </w:p>
    <w:p w14:paraId="732CE3A8" w14:textId="2CABF627" w:rsidR="00DE4CCD" w:rsidRPr="00616A3B" w:rsidRDefault="00DE4CCD" w:rsidP="00541B0D">
      <w:r w:rsidRPr="00616A3B">
        <w:rPr>
          <w:noProof/>
          <w:lang w:eastAsia="en-AU"/>
        </w:rPr>
        <w:drawing>
          <wp:inline distT="0" distB="0" distL="0" distR="0" wp14:anchorId="16816B97" wp14:editId="5F0826C4">
            <wp:extent cx="5400040" cy="2240915"/>
            <wp:effectExtent l="0" t="0" r="0" b="6985"/>
            <wp:docPr id="1" name="Picture 1" descr="Rate of hepatic or neurological improvement and worsening in all or only symptomatic patients stratified by first and second line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2240915"/>
                    </a:xfrm>
                    <a:prstGeom prst="rect">
                      <a:avLst/>
                    </a:prstGeom>
                  </pic:spPr>
                </pic:pic>
              </a:graphicData>
            </a:graphic>
          </wp:inline>
        </w:drawing>
      </w:r>
    </w:p>
    <w:p w14:paraId="5C0F0C1C" w14:textId="2FC8178A" w:rsidR="00DE4CCD" w:rsidRPr="00541B0D" w:rsidRDefault="00DE4CCD" w:rsidP="00541B0D">
      <w:pPr>
        <w:pStyle w:val="TableDescription"/>
      </w:pPr>
      <w:r w:rsidRPr="00541B0D">
        <w:t>P-value were established using the two-tailed Fisher test</w:t>
      </w:r>
      <w:r w:rsidR="00640B91" w:rsidRPr="00541B0D">
        <w:t>.</w:t>
      </w:r>
    </w:p>
    <w:p w14:paraId="2A3BC77A" w14:textId="1C77134B" w:rsidR="00FA002F" w:rsidRPr="00541B0D" w:rsidRDefault="00FA002F" w:rsidP="00541B0D">
      <w:pPr>
        <w:pStyle w:val="TableDescription"/>
      </w:pPr>
      <w:r w:rsidRPr="00541B0D">
        <w:t>DPA = D-</w:t>
      </w:r>
      <w:proofErr w:type="spellStart"/>
      <w:r w:rsidRPr="00541B0D">
        <w:t>penacillamine</w:t>
      </w:r>
      <w:proofErr w:type="spellEnd"/>
    </w:p>
    <w:p w14:paraId="29B5267F" w14:textId="3D74E702" w:rsidR="00885993" w:rsidRPr="00616A3B" w:rsidRDefault="00885993" w:rsidP="00885993">
      <w:pPr>
        <w:pStyle w:val="Heading5"/>
      </w:pPr>
      <w:proofErr w:type="spellStart"/>
      <w:r w:rsidRPr="00616A3B">
        <w:t>Walshe</w:t>
      </w:r>
      <w:proofErr w:type="spellEnd"/>
      <w:r w:rsidR="00FA002F">
        <w:t xml:space="preserve"> et al.</w:t>
      </w:r>
      <w:r w:rsidRPr="00616A3B">
        <w:t xml:space="preserve"> </w:t>
      </w:r>
      <w:r w:rsidR="00FA002F">
        <w:t>(</w:t>
      </w:r>
      <w:r w:rsidRPr="00616A3B">
        <w:t>1982</w:t>
      </w:r>
      <w:r w:rsidR="00FA002F">
        <w:t>)</w:t>
      </w:r>
    </w:p>
    <w:p w14:paraId="2592917B" w14:textId="45E1A050" w:rsidR="00885993" w:rsidRPr="00616A3B" w:rsidRDefault="00885993" w:rsidP="00885993">
      <w:r w:rsidRPr="00616A3B">
        <w:t xml:space="preserve">This was a retrospective review </w:t>
      </w:r>
      <w:r w:rsidR="002C1222" w:rsidRPr="00616A3B">
        <w:t xml:space="preserve">of records for 20 penicillamine </w:t>
      </w:r>
      <w:r w:rsidRPr="00616A3B">
        <w:t>intolerant patients treated with trientine di</w:t>
      </w:r>
      <w:r w:rsidR="002C1222" w:rsidRPr="00616A3B">
        <w:t>hydrochloride for a minimum of one</w:t>
      </w:r>
      <w:r w:rsidRPr="00616A3B">
        <w:t xml:space="preserve"> year over the preceding 13 years.</w:t>
      </w:r>
      <w:bookmarkStart w:id="55" w:name="_Ref68853514"/>
      <w:r w:rsidR="00B45D7D" w:rsidRPr="00B45D7D">
        <w:rPr>
          <w:rStyle w:val="FootnoteReference"/>
        </w:rPr>
        <w:t xml:space="preserve"> </w:t>
      </w:r>
      <w:r w:rsidR="00B45D7D">
        <w:rPr>
          <w:rStyle w:val="FootnoteReference"/>
        </w:rPr>
        <w:footnoteReference w:id="12"/>
      </w:r>
      <w:bookmarkEnd w:id="55"/>
      <w:r w:rsidRPr="00616A3B">
        <w:t xml:space="preserve"> The aim was to describe the clinical response to trientine in patients with WD intolerant to penicillamine. The study reported trientine doses between 400</w:t>
      </w:r>
      <w:r w:rsidR="002C1222" w:rsidRPr="00616A3B">
        <w:t> </w:t>
      </w:r>
      <w:r w:rsidRPr="00616A3B">
        <w:t xml:space="preserve">mg </w:t>
      </w:r>
      <w:r w:rsidR="002C1222" w:rsidRPr="00616A3B">
        <w:t>three times a day (</w:t>
      </w:r>
      <w:r w:rsidRPr="00616A3B">
        <w:t>TD</w:t>
      </w:r>
      <w:r w:rsidR="00247DC8" w:rsidRPr="00616A3B">
        <w:t>S</w:t>
      </w:r>
      <w:r w:rsidR="002C1222" w:rsidRPr="00616A3B">
        <w:t>)</w:t>
      </w:r>
      <w:r w:rsidR="00247DC8" w:rsidRPr="00616A3B">
        <w:t xml:space="preserve"> and 800</w:t>
      </w:r>
      <w:r w:rsidR="002C1222" w:rsidRPr="00616A3B">
        <w:t> </w:t>
      </w:r>
      <w:r w:rsidR="00247DC8" w:rsidRPr="00616A3B">
        <w:t>mg TDS before meals.</w:t>
      </w:r>
    </w:p>
    <w:p w14:paraId="02E3F022" w14:textId="279C60C1" w:rsidR="00885993" w:rsidRPr="00616A3B" w:rsidRDefault="00885993" w:rsidP="00885993">
      <w:r w:rsidRPr="00616A3B">
        <w:t>The analysis grouped patients according to the stage at which they developed penicillamine intolerance: patients in whom penicillamine intolerance developed within days or weeks of commencing treatment (Group</w:t>
      </w:r>
      <w:r w:rsidR="002C1222" w:rsidRPr="00616A3B">
        <w:t> </w:t>
      </w:r>
      <w:r w:rsidRPr="00616A3B">
        <w:t>A,</w:t>
      </w:r>
      <w:r w:rsidR="002C1222" w:rsidRPr="00616A3B">
        <w:t> </w:t>
      </w:r>
      <w:r w:rsidRPr="00616A3B">
        <w:t>n</w:t>
      </w:r>
      <w:r w:rsidR="002C1222" w:rsidRPr="00616A3B">
        <w:t> </w:t>
      </w:r>
      <w:r w:rsidRPr="00616A3B">
        <w:t>=</w:t>
      </w:r>
      <w:r w:rsidR="002C1222" w:rsidRPr="00616A3B">
        <w:t> </w:t>
      </w:r>
      <w:r w:rsidRPr="00616A3B">
        <w:t>8); patients who had received less than one year of continuous penicillamine before developing intolerance (Group</w:t>
      </w:r>
      <w:r w:rsidR="002C1222" w:rsidRPr="00616A3B">
        <w:t> </w:t>
      </w:r>
      <w:r w:rsidRPr="00616A3B">
        <w:t>B,</w:t>
      </w:r>
      <w:r w:rsidR="002C1222" w:rsidRPr="00616A3B">
        <w:t> </w:t>
      </w:r>
      <w:r w:rsidRPr="00616A3B">
        <w:t>n</w:t>
      </w:r>
      <w:r w:rsidR="002C1222" w:rsidRPr="00616A3B">
        <w:t> </w:t>
      </w:r>
      <w:r w:rsidRPr="00616A3B">
        <w:t>=</w:t>
      </w:r>
      <w:r w:rsidR="002C1222" w:rsidRPr="00616A3B">
        <w:t> </w:t>
      </w:r>
      <w:r w:rsidRPr="00616A3B">
        <w:t>3); and patients who had responded well to penicillamine before developing intolerance at a later stage (Group</w:t>
      </w:r>
      <w:r w:rsidR="002C1222" w:rsidRPr="00616A3B">
        <w:t> </w:t>
      </w:r>
      <w:r w:rsidRPr="00616A3B">
        <w:t>C,</w:t>
      </w:r>
      <w:r w:rsidR="002C1222" w:rsidRPr="00616A3B">
        <w:t> </w:t>
      </w:r>
      <w:r w:rsidRPr="00616A3B">
        <w:t>n</w:t>
      </w:r>
      <w:r w:rsidR="002C1222" w:rsidRPr="00616A3B">
        <w:t> </w:t>
      </w:r>
      <w:r w:rsidRPr="00616A3B">
        <w:t>=</w:t>
      </w:r>
      <w:r w:rsidR="002C1222" w:rsidRPr="00616A3B">
        <w:t> </w:t>
      </w:r>
      <w:r w:rsidRPr="00616A3B">
        <w:t>9).</w:t>
      </w:r>
    </w:p>
    <w:p w14:paraId="7D7FF0A9" w14:textId="03CDDD84" w:rsidR="00885993" w:rsidRPr="00616A3B" w:rsidRDefault="00885993" w:rsidP="00885993">
      <w:r w:rsidRPr="00616A3B">
        <w:t>Clinical responses for patients in Group</w:t>
      </w:r>
      <w:r w:rsidR="002C1222" w:rsidRPr="00616A3B">
        <w:t> </w:t>
      </w:r>
      <w:r w:rsidRPr="00616A3B">
        <w:t xml:space="preserve">A are shown in </w:t>
      </w:r>
      <w:r w:rsidRPr="00616A3B">
        <w:fldChar w:fldCharType="begin"/>
      </w:r>
      <w:r w:rsidRPr="00616A3B">
        <w:instrText xml:space="preserve"> REF _Ref51656062 \h  \* MERGEFORMAT </w:instrText>
      </w:r>
      <w:r w:rsidRPr="00616A3B">
        <w:fldChar w:fldCharType="separate"/>
      </w:r>
      <w:r w:rsidR="005815A1" w:rsidRPr="00616A3B">
        <w:t xml:space="preserve">Table </w:t>
      </w:r>
      <w:r w:rsidR="005815A1">
        <w:t>8</w:t>
      </w:r>
      <w:r w:rsidRPr="00616A3B">
        <w:fldChar w:fldCharType="end"/>
      </w:r>
      <w:r w:rsidRPr="00616A3B">
        <w:t>. All patients in Group</w:t>
      </w:r>
      <w:r w:rsidR="002C1222" w:rsidRPr="00616A3B">
        <w:t> </w:t>
      </w:r>
      <w:r w:rsidRPr="00616A3B">
        <w:t>A experienced improvement in symptoms after treatment with trientine (duration of treatment ranging from 14 to 120</w:t>
      </w:r>
      <w:r w:rsidR="002C1222" w:rsidRPr="00616A3B">
        <w:t> </w:t>
      </w:r>
      <w:r w:rsidRPr="00616A3B">
        <w:t>months). The three patients in Group B were reported to have considerable neurological deficit which improved after commencing trientine, although two had some residual deficit. The patients in Group</w:t>
      </w:r>
      <w:r w:rsidR="002C1222" w:rsidRPr="00616A3B">
        <w:t> </w:t>
      </w:r>
      <w:r w:rsidRPr="00616A3B">
        <w:t>C had been adequately ‘</w:t>
      </w:r>
      <w:r w:rsidRPr="00616A3B">
        <w:rPr>
          <w:i/>
        </w:rPr>
        <w:t>de</w:t>
      </w:r>
      <w:r w:rsidR="00FA002F">
        <w:rPr>
          <w:i/>
        </w:rPr>
        <w:noBreakHyphen/>
      </w:r>
      <w:r w:rsidRPr="00616A3B">
        <w:rPr>
          <w:i/>
        </w:rPr>
        <w:t>coppered</w:t>
      </w:r>
      <w:r w:rsidRPr="00616A3B">
        <w:t xml:space="preserve">’ at the time of changeover. They remained symptomatically well controlled after changing </w:t>
      </w:r>
      <w:r w:rsidR="004B4562" w:rsidRPr="00616A3B">
        <w:t xml:space="preserve">to trientine, the penicillamine </w:t>
      </w:r>
      <w:r w:rsidRPr="00616A3B">
        <w:t>related toxicities resolved, and no new toxicities were observed other than iron deficiency.</w:t>
      </w:r>
    </w:p>
    <w:p w14:paraId="304078F6" w14:textId="763CEE68" w:rsidR="00885993" w:rsidRPr="00616A3B" w:rsidRDefault="00885993" w:rsidP="002C1222">
      <w:pPr>
        <w:pStyle w:val="TableTitle"/>
      </w:pPr>
      <w:bookmarkStart w:id="56" w:name="_Ref51656062"/>
      <w:r w:rsidRPr="00616A3B">
        <w:t xml:space="preserve">Table </w:t>
      </w:r>
      <w:fldSimple w:instr=" SEQ Table \* ARABIC ">
        <w:r w:rsidR="005815A1">
          <w:rPr>
            <w:noProof/>
          </w:rPr>
          <w:t>8</w:t>
        </w:r>
      </w:fldSimple>
      <w:bookmarkEnd w:id="56"/>
      <w:r w:rsidR="00A379E9" w:rsidRPr="00616A3B">
        <w:rPr>
          <w:noProof/>
        </w:rPr>
        <w:t>:</w:t>
      </w:r>
      <w:r w:rsidR="002C1222" w:rsidRPr="00616A3B">
        <w:t xml:space="preserve"> </w:t>
      </w:r>
      <w:proofErr w:type="spellStart"/>
      <w:r w:rsidR="002C1222" w:rsidRPr="00616A3B">
        <w:t>Walshe</w:t>
      </w:r>
      <w:proofErr w:type="spellEnd"/>
      <w:r w:rsidR="00FA002F">
        <w:t xml:space="preserve"> et al.</w:t>
      </w:r>
      <w:r w:rsidR="002C1222" w:rsidRPr="00616A3B">
        <w:t xml:space="preserve"> </w:t>
      </w:r>
      <w:r w:rsidR="00FA002F">
        <w:t>(</w:t>
      </w:r>
      <w:r w:rsidR="002C1222" w:rsidRPr="00616A3B">
        <w:t>1982</w:t>
      </w:r>
      <w:r w:rsidR="00FA002F">
        <w:t>)</w:t>
      </w:r>
      <w:r w:rsidR="002C1222" w:rsidRPr="00616A3B">
        <w:t xml:space="preserve"> </w:t>
      </w:r>
      <w:r w:rsidRPr="00616A3B">
        <w:t xml:space="preserve">Clinical and </w:t>
      </w:r>
      <w:r w:rsidR="002C1222" w:rsidRPr="00616A3B">
        <w:t xml:space="preserve">pharmacodynamic </w:t>
      </w:r>
      <w:r w:rsidRPr="00616A3B">
        <w:t>response to trientine after early into</w:t>
      </w:r>
      <w:r w:rsidR="002C1222" w:rsidRPr="00616A3B">
        <w:t>lerance to penicillamine (Group </w:t>
      </w:r>
      <w:r w:rsidRPr="00616A3B">
        <w:t>A)</w:t>
      </w:r>
    </w:p>
    <w:p w14:paraId="04A99135" w14:textId="6B4FF5DA" w:rsidR="00A379E9" w:rsidRPr="00616A3B" w:rsidRDefault="00A379E9" w:rsidP="00541B0D">
      <w:r w:rsidRPr="00616A3B">
        <w:rPr>
          <w:noProof/>
          <w:lang w:eastAsia="en-AU"/>
        </w:rPr>
        <w:drawing>
          <wp:inline distT="0" distB="0" distL="0" distR="0" wp14:anchorId="7597A3B4" wp14:editId="2EEBD7D8">
            <wp:extent cx="5400040" cy="1928495"/>
            <wp:effectExtent l="0" t="0" r="0" b="0"/>
            <wp:docPr id="3" name="Picture 3" descr="Walshe 1982 Clinical and pharmacodynamic response to trientine after early intolerance to penicillamine (Grou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1928495"/>
                    </a:xfrm>
                    <a:prstGeom prst="rect">
                      <a:avLst/>
                    </a:prstGeom>
                  </pic:spPr>
                </pic:pic>
              </a:graphicData>
            </a:graphic>
          </wp:inline>
        </w:drawing>
      </w:r>
    </w:p>
    <w:p w14:paraId="7D40FCBD" w14:textId="141C6691" w:rsidR="002C1222" w:rsidRPr="00616A3B" w:rsidRDefault="002C1222" w:rsidP="00A379E9">
      <w:pPr>
        <w:pStyle w:val="TableDescription"/>
      </w:pPr>
      <w:r w:rsidRPr="00616A3B">
        <w:t>* Had splenectomy at age 11 years</w:t>
      </w:r>
    </w:p>
    <w:p w14:paraId="20978E10" w14:textId="503D9DCD" w:rsidR="002C1222" w:rsidRPr="00616A3B" w:rsidRDefault="002C1222" w:rsidP="00A379E9">
      <w:pPr>
        <w:pStyle w:val="TableDescription"/>
      </w:pPr>
      <w:r w:rsidRPr="00616A3B">
        <w:t>† 22 weeks pregnancy when estimated</w:t>
      </w:r>
    </w:p>
    <w:p w14:paraId="66DB9551" w14:textId="02278828" w:rsidR="002C1222" w:rsidRDefault="002C1222" w:rsidP="00A379E9">
      <w:pPr>
        <w:pStyle w:val="TableDescription"/>
      </w:pPr>
      <w:r w:rsidRPr="00616A3B">
        <w:t>‡</w:t>
      </w:r>
      <w:r w:rsidR="00A379E9" w:rsidRPr="00616A3B">
        <w:t xml:space="preserve"> Previously reported</w:t>
      </w:r>
    </w:p>
    <w:p w14:paraId="419F1F67" w14:textId="1046D9B3" w:rsidR="00FA002F" w:rsidRPr="00616A3B" w:rsidRDefault="00EE58C6" w:rsidP="00A379E9">
      <w:pPr>
        <w:pStyle w:val="TableDescription"/>
      </w:pPr>
      <w:proofErr w:type="spellStart"/>
      <w:r>
        <w:t>yr</w:t>
      </w:r>
      <w:proofErr w:type="spellEnd"/>
      <w:r>
        <w:t xml:space="preserve"> = year; </w:t>
      </w:r>
      <w:r w:rsidR="00FA002F">
        <w:t xml:space="preserve">M = male; F = female; Ca = circa (approximately); </w:t>
      </w:r>
      <w:proofErr w:type="spellStart"/>
      <w:r w:rsidR="00FA002F">
        <w:t>mo</w:t>
      </w:r>
      <w:proofErr w:type="spellEnd"/>
      <w:r w:rsidR="00FA002F">
        <w:t xml:space="preserve"> = months; KF = </w:t>
      </w:r>
      <w:proofErr w:type="spellStart"/>
      <w:r w:rsidR="00FA002F" w:rsidRPr="00FA002F">
        <w:t>Kayser</w:t>
      </w:r>
      <w:proofErr w:type="spellEnd"/>
      <w:r w:rsidR="00FA002F" w:rsidRPr="00FA002F">
        <w:t>–Fleischer</w:t>
      </w:r>
      <w:r w:rsidR="00FA002F">
        <w:t>.</w:t>
      </w:r>
    </w:p>
    <w:p w14:paraId="346D3F9F" w14:textId="55910302" w:rsidR="00885993" w:rsidRPr="00616A3B" w:rsidRDefault="00885993" w:rsidP="00885993">
      <w:pPr>
        <w:pStyle w:val="Heading5"/>
      </w:pPr>
      <w:proofErr w:type="spellStart"/>
      <w:r w:rsidRPr="00616A3B">
        <w:t>Arnon</w:t>
      </w:r>
      <w:proofErr w:type="spellEnd"/>
      <w:r w:rsidRPr="00616A3B">
        <w:t xml:space="preserve"> </w:t>
      </w:r>
      <w:r w:rsidR="00FA002F">
        <w:t>et al. (</w:t>
      </w:r>
      <w:r w:rsidRPr="00616A3B">
        <w:t>2007</w:t>
      </w:r>
      <w:r w:rsidR="00FA002F">
        <w:t>)</w:t>
      </w:r>
    </w:p>
    <w:p w14:paraId="5E2E90D3" w14:textId="3C15825A" w:rsidR="00885993" w:rsidRPr="00616A3B" w:rsidRDefault="00885993" w:rsidP="00885993">
      <w:r w:rsidRPr="00616A3B">
        <w:t xml:space="preserve">This was a retrospective review of the clinical records of children with WD </w:t>
      </w:r>
      <w:r w:rsidR="00C80E1E" w:rsidRPr="00616A3B">
        <w:t xml:space="preserve">treated in the paediatric liver or </w:t>
      </w:r>
      <w:r w:rsidRPr="00616A3B">
        <w:t xml:space="preserve">liver transplant unit of the Mount Sinai Medical </w:t>
      </w:r>
      <w:proofErr w:type="spellStart"/>
      <w:r w:rsidR="00C80E1E" w:rsidRPr="00616A3B">
        <w:t>Cent</w:t>
      </w:r>
      <w:r w:rsidR="00FA002F">
        <w:t>er</w:t>
      </w:r>
      <w:proofErr w:type="spellEnd"/>
      <w:r w:rsidRPr="00616A3B">
        <w:t xml:space="preserve"> between 1998 and 2006.</w:t>
      </w:r>
      <w:r w:rsidR="00B45D7D" w:rsidRPr="00B45D7D">
        <w:rPr>
          <w:rStyle w:val="FootnoteReference"/>
        </w:rPr>
        <w:t xml:space="preserve"> </w:t>
      </w:r>
      <w:r w:rsidR="00B45D7D">
        <w:rPr>
          <w:rStyle w:val="FootnoteReference"/>
        </w:rPr>
        <w:footnoteReference w:id="13"/>
      </w:r>
      <w:r w:rsidRPr="00616A3B">
        <w:t xml:space="preserve"> The objective was to evaluate the efficacy of, and adher</w:t>
      </w:r>
      <w:r w:rsidR="00C80E1E" w:rsidRPr="00616A3B">
        <w:t>ence to, trientine therapy (250 to 500</w:t>
      </w:r>
      <w:r w:rsidR="00644288" w:rsidRPr="00616A3B">
        <w:t> </w:t>
      </w:r>
      <w:r w:rsidRPr="00616A3B">
        <w:t>mg</w:t>
      </w:r>
      <w:r w:rsidR="00C80E1E" w:rsidRPr="00616A3B">
        <w:t> </w:t>
      </w:r>
      <w:r w:rsidRPr="00616A3B">
        <w:t>B</w:t>
      </w:r>
      <w:r w:rsidR="00157D01" w:rsidRPr="00616A3B">
        <w:t>I</w:t>
      </w:r>
      <w:r w:rsidRPr="00616A3B">
        <w:t xml:space="preserve">D, </w:t>
      </w:r>
      <w:r w:rsidR="00C80E1E" w:rsidRPr="00616A3B">
        <w:t xml:space="preserve">approximate </w:t>
      </w:r>
      <w:r w:rsidRPr="00616A3B">
        <w:t>20</w:t>
      </w:r>
      <w:r w:rsidR="00C80E1E" w:rsidRPr="00616A3B">
        <w:t> </w:t>
      </w:r>
      <w:r w:rsidRPr="00616A3B">
        <w:t xml:space="preserve">mg/kg/day) and/or zinc therapy </w:t>
      </w:r>
      <w:r w:rsidR="00C80E1E" w:rsidRPr="00616A3B">
        <w:t xml:space="preserve">(25 to </w:t>
      </w:r>
      <w:r w:rsidR="00926C26" w:rsidRPr="00616A3B">
        <w:t>50</w:t>
      </w:r>
      <w:r w:rsidR="00C80E1E" w:rsidRPr="00616A3B">
        <w:t> </w:t>
      </w:r>
      <w:r w:rsidR="00926C26" w:rsidRPr="00616A3B">
        <w:t>mg</w:t>
      </w:r>
      <w:r w:rsidR="00C80E1E" w:rsidRPr="00616A3B">
        <w:t> </w:t>
      </w:r>
      <w:r w:rsidR="00926C26" w:rsidRPr="00616A3B">
        <w:t>B</w:t>
      </w:r>
      <w:r w:rsidR="00157D01" w:rsidRPr="00616A3B">
        <w:t>I</w:t>
      </w:r>
      <w:r w:rsidR="00C80E1E" w:rsidRPr="00616A3B">
        <w:t xml:space="preserve">D, approximate </w:t>
      </w:r>
      <w:r w:rsidR="00926C26" w:rsidRPr="00616A3B">
        <w:t>1</w:t>
      </w:r>
      <w:r w:rsidR="00C80E1E" w:rsidRPr="00616A3B">
        <w:t xml:space="preserve"> to 2 </w:t>
      </w:r>
      <w:r w:rsidR="00926C26" w:rsidRPr="00616A3B">
        <w:t xml:space="preserve">mg/kg/day). </w:t>
      </w:r>
      <w:r w:rsidRPr="00616A3B">
        <w:t>This study assessed trientine as first</w:t>
      </w:r>
      <w:r w:rsidR="00C80E1E" w:rsidRPr="00616A3B">
        <w:t xml:space="preserve"> </w:t>
      </w:r>
      <w:r w:rsidRPr="00616A3B">
        <w:t xml:space="preserve">line therapy, not following intolerance to penicillamine. Zinc was added once adequate chelation had been achieved. Efficacy was assessed by measuring serum </w:t>
      </w:r>
      <w:r w:rsidR="00C80E1E" w:rsidRPr="00616A3B">
        <w:t>alanine aminotransferase (</w:t>
      </w:r>
      <w:r w:rsidRPr="00616A3B">
        <w:t>ALT</w:t>
      </w:r>
      <w:r w:rsidR="00C80E1E" w:rsidRPr="00616A3B">
        <w:t>)</w:t>
      </w:r>
      <w:r w:rsidRPr="00616A3B">
        <w:t xml:space="preserve"> and </w:t>
      </w:r>
      <w:r w:rsidR="00C80E1E" w:rsidRPr="00616A3B">
        <w:t>aspartate aminotransferase (</w:t>
      </w:r>
      <w:r w:rsidR="00926C26" w:rsidRPr="00616A3B">
        <w:t>AST</w:t>
      </w:r>
      <w:r w:rsidR="00C80E1E" w:rsidRPr="00616A3B">
        <w:t>)</w:t>
      </w:r>
      <w:r w:rsidR="00926C26" w:rsidRPr="00616A3B">
        <w:t>, and 24</w:t>
      </w:r>
      <w:r w:rsidR="00C80E1E" w:rsidRPr="00616A3B">
        <w:t> </w:t>
      </w:r>
      <w:r w:rsidR="00926C26" w:rsidRPr="00616A3B">
        <w:t>hour urine copper.</w:t>
      </w:r>
    </w:p>
    <w:p w14:paraId="3B76D53B" w14:textId="549C2BFE" w:rsidR="00885993" w:rsidRPr="00616A3B" w:rsidRDefault="00C80E1E" w:rsidP="00885993">
      <w:r w:rsidRPr="00616A3B">
        <w:t>Of the 22 patients, seven</w:t>
      </w:r>
      <w:r w:rsidR="00885993" w:rsidRPr="00616A3B">
        <w:t xml:space="preserve"> presented with acute liver failure requiring liver transplantation at admission, and 15 commenced trientine. Mean ALT levels decreased from 183</w:t>
      </w:r>
      <w:r w:rsidR="005167BD" w:rsidRPr="00616A3B">
        <w:t> </w:t>
      </w:r>
      <w:r w:rsidRPr="00616A3B">
        <w:t>international units (</w:t>
      </w:r>
      <w:r w:rsidR="00885993" w:rsidRPr="00616A3B">
        <w:t>IU</w:t>
      </w:r>
      <w:r w:rsidRPr="00616A3B">
        <w:t>)</w:t>
      </w:r>
      <w:r w:rsidR="00885993" w:rsidRPr="00616A3B">
        <w:t xml:space="preserve"> at presentation (n</w:t>
      </w:r>
      <w:r w:rsidR="005167BD" w:rsidRPr="00616A3B">
        <w:t> </w:t>
      </w:r>
      <w:r w:rsidR="00885993" w:rsidRPr="00616A3B">
        <w:t>=</w:t>
      </w:r>
      <w:r w:rsidR="005167BD" w:rsidRPr="00616A3B">
        <w:t> 10) to 80</w:t>
      </w:r>
      <w:r w:rsidR="00441934" w:rsidRPr="00616A3B">
        <w:t> </w:t>
      </w:r>
      <w:r w:rsidR="005167BD" w:rsidRPr="00616A3B">
        <w:t>IU at 12 </w:t>
      </w:r>
      <w:r w:rsidR="00885993" w:rsidRPr="00616A3B">
        <w:t>months (n</w:t>
      </w:r>
      <w:r w:rsidR="005167BD" w:rsidRPr="00616A3B">
        <w:t> </w:t>
      </w:r>
      <w:r w:rsidR="00885993" w:rsidRPr="00616A3B">
        <w:t>=</w:t>
      </w:r>
      <w:r w:rsidR="005167BD" w:rsidRPr="00616A3B">
        <w:t> </w:t>
      </w:r>
      <w:r w:rsidR="00885993" w:rsidRPr="00616A3B">
        <w:t>10) and 66</w:t>
      </w:r>
      <w:r w:rsidR="005167BD" w:rsidRPr="00616A3B">
        <w:t> </w:t>
      </w:r>
      <w:r w:rsidR="00885993" w:rsidRPr="00616A3B">
        <w:t>IU at 18</w:t>
      </w:r>
      <w:r w:rsidR="005167BD" w:rsidRPr="00616A3B">
        <w:t> </w:t>
      </w:r>
      <w:r w:rsidR="00885993" w:rsidRPr="00616A3B">
        <w:t>months (n</w:t>
      </w:r>
      <w:r w:rsidR="005167BD" w:rsidRPr="00616A3B">
        <w:t> </w:t>
      </w:r>
      <w:r w:rsidR="00885993" w:rsidRPr="00616A3B">
        <w:t>=</w:t>
      </w:r>
      <w:r w:rsidR="005167BD" w:rsidRPr="00616A3B">
        <w:t> </w:t>
      </w:r>
      <w:r w:rsidR="00885993" w:rsidRPr="00616A3B">
        <w:t>7). Mean 24</w:t>
      </w:r>
      <w:r w:rsidR="00E47A15" w:rsidRPr="00616A3B">
        <w:t> </w:t>
      </w:r>
      <w:r w:rsidR="00885993" w:rsidRPr="00616A3B">
        <w:t>hour urinary copper levels increased from 156</w:t>
      </w:r>
      <w:r w:rsidR="005167BD" w:rsidRPr="00616A3B">
        <w:t> </w:t>
      </w:r>
      <w:r w:rsidR="00885993" w:rsidRPr="00616A3B">
        <w:t>µg at presentation to 494</w:t>
      </w:r>
      <w:r w:rsidR="005167BD" w:rsidRPr="00616A3B">
        <w:t> µg at one</w:t>
      </w:r>
      <w:r w:rsidR="00885993" w:rsidRPr="00616A3B">
        <w:t xml:space="preserve"> to </w:t>
      </w:r>
      <w:r w:rsidR="005167BD" w:rsidRPr="00616A3B">
        <w:t>two</w:t>
      </w:r>
      <w:r w:rsidR="00885993" w:rsidRPr="00616A3B">
        <w:t xml:space="preserve"> months, then decreased to 72</w:t>
      </w:r>
      <w:r w:rsidR="005167BD" w:rsidRPr="00616A3B">
        <w:t> </w:t>
      </w:r>
      <w:r w:rsidR="00885993" w:rsidRPr="00616A3B">
        <w:t>µg after 12</w:t>
      </w:r>
      <w:r w:rsidR="005167BD" w:rsidRPr="00616A3B">
        <w:t> </w:t>
      </w:r>
      <w:r w:rsidR="00885993" w:rsidRPr="00616A3B">
        <w:t>months of treatment.</w:t>
      </w:r>
    </w:p>
    <w:p w14:paraId="58DF0575" w14:textId="3BDDF328" w:rsidR="00885993" w:rsidRPr="00616A3B" w:rsidRDefault="00885993" w:rsidP="00885993">
      <w:pPr>
        <w:pStyle w:val="Heading5"/>
      </w:pPr>
      <w:proofErr w:type="spellStart"/>
      <w:r w:rsidRPr="00616A3B">
        <w:t>Dahlman</w:t>
      </w:r>
      <w:proofErr w:type="spellEnd"/>
      <w:r w:rsidRPr="00616A3B">
        <w:t xml:space="preserve"> </w:t>
      </w:r>
      <w:r w:rsidR="00C84766">
        <w:t>et al. (</w:t>
      </w:r>
      <w:r w:rsidRPr="00616A3B">
        <w:t>1995</w:t>
      </w:r>
      <w:r w:rsidR="00C84766">
        <w:t>)</w:t>
      </w:r>
    </w:p>
    <w:p w14:paraId="7EE14F36" w14:textId="2F3E389E" w:rsidR="00885993" w:rsidRPr="00616A3B" w:rsidRDefault="00885993" w:rsidP="00885993">
      <w:r w:rsidRPr="00616A3B">
        <w:t>This was a case series of 19</w:t>
      </w:r>
      <w:r w:rsidR="00E47A15" w:rsidRPr="00616A3B">
        <w:t> </w:t>
      </w:r>
      <w:r w:rsidRPr="00616A3B">
        <w:t>patients with WD, 17 of whom were treated initially with penicillamine and subsequently switched to trientine due to adverse effects, lack of improvement or worsening</w:t>
      </w:r>
      <w:r w:rsidR="00E47A15" w:rsidRPr="00616A3B">
        <w:t xml:space="preserve"> of neurological symptoms, and two</w:t>
      </w:r>
      <w:r w:rsidRPr="00616A3B">
        <w:t xml:space="preserve"> of whom were treated with trientine from diagnosis.</w:t>
      </w:r>
      <w:r w:rsidR="00B45D7D" w:rsidRPr="00B45D7D">
        <w:rPr>
          <w:rStyle w:val="FootnoteReference"/>
        </w:rPr>
        <w:t xml:space="preserve"> </w:t>
      </w:r>
      <w:r w:rsidR="00B45D7D">
        <w:rPr>
          <w:rStyle w:val="FootnoteReference"/>
        </w:rPr>
        <w:footnoteReference w:id="14"/>
      </w:r>
      <w:r w:rsidRPr="00616A3B">
        <w:t xml:space="preserve"> Trientine doses ranged from 1000</w:t>
      </w:r>
      <w:r w:rsidR="00E47A15" w:rsidRPr="00616A3B">
        <w:t> </w:t>
      </w:r>
      <w:r w:rsidRPr="00616A3B">
        <w:t>mg to 1800</w:t>
      </w:r>
      <w:r w:rsidR="00E47A15" w:rsidRPr="00616A3B">
        <w:t> </w:t>
      </w:r>
      <w:r w:rsidRPr="00616A3B">
        <w:t>mg per day, and duration of treatment ranged from 4 months to 17.5 years. Efficacy was evaluated based on clinical symptoms and KF rings (</w:t>
      </w:r>
      <w:r w:rsidR="00E47A15" w:rsidRPr="00616A3B">
        <w:t xml:space="preserve">see </w:t>
      </w:r>
      <w:r w:rsidRPr="00616A3B">
        <w:fldChar w:fldCharType="begin"/>
      </w:r>
      <w:r w:rsidRPr="00616A3B">
        <w:instrText xml:space="preserve"> REF _Ref54951747 \h  \* MERGEFORMAT </w:instrText>
      </w:r>
      <w:r w:rsidRPr="00616A3B">
        <w:fldChar w:fldCharType="separate"/>
      </w:r>
      <w:r w:rsidR="005815A1" w:rsidRPr="00616A3B">
        <w:t xml:space="preserve">Table </w:t>
      </w:r>
      <w:r w:rsidR="005815A1">
        <w:t>9</w:t>
      </w:r>
      <w:r w:rsidRPr="00616A3B">
        <w:fldChar w:fldCharType="end"/>
      </w:r>
      <w:r w:rsidR="00C84766">
        <w:t>, below</w:t>
      </w:r>
      <w:r w:rsidR="00247DC8" w:rsidRPr="00616A3B">
        <w:t xml:space="preserve">). </w:t>
      </w:r>
      <w:r w:rsidRPr="00616A3B">
        <w:t xml:space="preserve">The authors reported that all patients responded well to trientine with the exception of one patient who was treated initially with trientine and developed neurological deterioration. </w:t>
      </w:r>
      <w:r w:rsidR="00E47A15" w:rsidRPr="00616A3B">
        <w:t xml:space="preserve">Thirteen </w:t>
      </w:r>
      <w:r w:rsidRPr="00616A3B">
        <w:t>remained on trientine at final review, and the mean duration of trientine treatment was 8.5 years.</w:t>
      </w:r>
      <w:bookmarkStart w:id="57" w:name="_Ref51658457"/>
    </w:p>
    <w:p w14:paraId="24A8D889" w14:textId="5BDF8822" w:rsidR="00885993" w:rsidRDefault="00885993" w:rsidP="00E47A15">
      <w:pPr>
        <w:pStyle w:val="TableTitle"/>
      </w:pPr>
      <w:bookmarkStart w:id="58" w:name="_Ref54951747"/>
      <w:bookmarkEnd w:id="57"/>
      <w:r w:rsidRPr="00616A3B">
        <w:t xml:space="preserve">Table </w:t>
      </w:r>
      <w:fldSimple w:instr=" SEQ Table \* ARABIC ">
        <w:r w:rsidR="005815A1">
          <w:rPr>
            <w:noProof/>
          </w:rPr>
          <w:t>9</w:t>
        </w:r>
      </w:fldSimple>
      <w:bookmarkEnd w:id="58"/>
      <w:r w:rsidR="00E47A15" w:rsidRPr="00616A3B">
        <w:rPr>
          <w:noProof/>
        </w:rPr>
        <w:t>:</w:t>
      </w:r>
      <w:r w:rsidRPr="00616A3B">
        <w:t xml:space="preserve"> </w:t>
      </w:r>
      <w:proofErr w:type="spellStart"/>
      <w:r w:rsidRPr="00616A3B">
        <w:t>Dahlman</w:t>
      </w:r>
      <w:proofErr w:type="spellEnd"/>
      <w:r w:rsidRPr="00616A3B">
        <w:t xml:space="preserve"> </w:t>
      </w:r>
      <w:r w:rsidR="00AE57CC">
        <w:t>et al. (</w:t>
      </w:r>
      <w:r w:rsidRPr="00616A3B">
        <w:t>1995</w:t>
      </w:r>
      <w:r w:rsidR="00AE57CC">
        <w:t>)</w:t>
      </w:r>
      <w:r w:rsidRPr="00616A3B">
        <w:t xml:space="preserve"> Change in </w:t>
      </w:r>
      <w:r w:rsidR="00E47A15" w:rsidRPr="00616A3B">
        <w:t xml:space="preserve">Wilson’s disease </w:t>
      </w:r>
      <w:r w:rsidRPr="00616A3B">
        <w:t>signs and symptoms with trientine</w:t>
      </w:r>
    </w:p>
    <w:p w14:paraId="589B7A34" w14:textId="51AB59CE" w:rsidR="00E47A15" w:rsidRPr="00616A3B" w:rsidRDefault="0033028F" w:rsidP="00541B0D">
      <w:r>
        <w:rPr>
          <w:noProof/>
          <w:lang w:eastAsia="en-AU"/>
        </w:rPr>
        <w:drawing>
          <wp:inline distT="0" distB="0" distL="0" distR="0" wp14:anchorId="19F23AE3" wp14:editId="0490CBAE">
            <wp:extent cx="5400040" cy="3852545"/>
            <wp:effectExtent l="0" t="0" r="0" b="0"/>
            <wp:docPr id="2" name="Picture 2" descr="Change in Wilson’s disease signs and symptoms with trien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3852545"/>
                    </a:xfrm>
                    <a:prstGeom prst="rect">
                      <a:avLst/>
                    </a:prstGeom>
                  </pic:spPr>
                </pic:pic>
              </a:graphicData>
            </a:graphic>
          </wp:inline>
        </w:drawing>
      </w:r>
    </w:p>
    <w:p w14:paraId="4E93AF03" w14:textId="09BB3A47" w:rsidR="00E47A15" w:rsidRPr="00616A3B" w:rsidRDefault="00E47A15" w:rsidP="00650DA7">
      <w:pPr>
        <w:pStyle w:val="TableDescription"/>
      </w:pPr>
      <w:r w:rsidRPr="00616A3B">
        <w:t>Symptom</w:t>
      </w:r>
      <w:r w:rsidR="00650DA7" w:rsidRPr="00616A3B">
        <w:t>s</w:t>
      </w:r>
      <w:r w:rsidRPr="00616A3B">
        <w:t xml:space="preserve"> </w:t>
      </w:r>
      <w:r w:rsidR="00650DA7" w:rsidRPr="00616A3B">
        <w:t>referred</w:t>
      </w:r>
      <w:r w:rsidRPr="00616A3B">
        <w:t xml:space="preserve"> to as mild or moderate in ‘</w:t>
      </w:r>
      <w:r w:rsidR="00650DA7" w:rsidRPr="00616A3B">
        <w:t>p</w:t>
      </w:r>
      <w:r w:rsidRPr="00616A3B">
        <w:t xml:space="preserve">resent </w:t>
      </w:r>
      <w:r w:rsidR="00650DA7" w:rsidRPr="00616A3B">
        <w:t>status</w:t>
      </w:r>
      <w:r w:rsidRPr="00616A3B">
        <w:t>’ were more severe at the time of diagnosis</w:t>
      </w:r>
    </w:p>
    <w:p w14:paraId="32E7062C" w14:textId="1B8ECE74" w:rsidR="00E47A15" w:rsidRPr="00616A3B" w:rsidRDefault="00E47A15" w:rsidP="00650DA7">
      <w:pPr>
        <w:pStyle w:val="TableDescription"/>
      </w:pPr>
      <w:r w:rsidRPr="00616A3B">
        <w:t>* No data available.</w:t>
      </w:r>
    </w:p>
    <w:p w14:paraId="50930AF0" w14:textId="688C8F7D" w:rsidR="00E47A15" w:rsidRPr="00616A3B" w:rsidRDefault="00C84766" w:rsidP="00650DA7">
      <w:pPr>
        <w:pStyle w:val="TableDescription"/>
      </w:pPr>
      <w:r>
        <w:t xml:space="preserve">KF = </w:t>
      </w:r>
      <w:proofErr w:type="spellStart"/>
      <w:r w:rsidRPr="00C84766">
        <w:t>Kayser</w:t>
      </w:r>
      <w:proofErr w:type="spellEnd"/>
      <w:r w:rsidRPr="00C84766">
        <w:t>–Fleischer</w:t>
      </w:r>
      <w:r>
        <w:t xml:space="preserve">; </w:t>
      </w:r>
      <w:r w:rsidR="00E47A15" w:rsidRPr="00616A3B">
        <w:t>EPS</w:t>
      </w:r>
      <w:r>
        <w:t xml:space="preserve"> =</w:t>
      </w:r>
      <w:r w:rsidR="00E47A15" w:rsidRPr="00616A3B">
        <w:t xml:space="preserve"> elastosis </w:t>
      </w:r>
      <w:proofErr w:type="spellStart"/>
      <w:r w:rsidR="00E47A15" w:rsidRPr="00616A3B">
        <w:t>pe</w:t>
      </w:r>
      <w:r w:rsidR="00650DA7" w:rsidRPr="00616A3B">
        <w:t>rfro</w:t>
      </w:r>
      <w:r w:rsidR="00E47A15" w:rsidRPr="00616A3B">
        <w:t>ns</w:t>
      </w:r>
      <w:proofErr w:type="spellEnd"/>
      <w:r w:rsidR="00E47A15" w:rsidRPr="00616A3B">
        <w:t xml:space="preserve"> </w:t>
      </w:r>
      <w:proofErr w:type="spellStart"/>
      <w:r w:rsidR="00E47A15" w:rsidRPr="00616A3B">
        <w:t>serpiginosa</w:t>
      </w:r>
      <w:proofErr w:type="spellEnd"/>
    </w:p>
    <w:p w14:paraId="260D053C" w14:textId="0E6ACD1F" w:rsidR="00E47A15" w:rsidRPr="00616A3B" w:rsidRDefault="00E47A15" w:rsidP="00650DA7">
      <w:pPr>
        <w:pStyle w:val="TableDescription"/>
      </w:pPr>
      <w:r w:rsidRPr="00616A3B">
        <w:t xml:space="preserve">- </w:t>
      </w:r>
      <w:r w:rsidR="00650DA7" w:rsidRPr="00616A3B">
        <w:t>absent</w:t>
      </w:r>
      <w:r w:rsidR="00B9038B">
        <w:t xml:space="preserve">; </w:t>
      </w:r>
      <w:r w:rsidRPr="00616A3B">
        <w:t>(+) narrow</w:t>
      </w:r>
      <w:r w:rsidR="00B9038B">
        <w:t xml:space="preserve"> </w:t>
      </w:r>
      <w:r w:rsidRPr="00616A3B">
        <w:t>+ moderate</w:t>
      </w:r>
      <w:r w:rsidR="00B9038B">
        <w:t xml:space="preserve">; </w:t>
      </w:r>
      <w:r w:rsidRPr="00616A3B">
        <w:t>++ wide</w:t>
      </w:r>
    </w:p>
    <w:p w14:paraId="7D22477C" w14:textId="1506D336" w:rsidR="00885993" w:rsidRPr="00616A3B" w:rsidRDefault="00885993" w:rsidP="00885993">
      <w:pPr>
        <w:pStyle w:val="Heading5"/>
      </w:pPr>
      <w:r w:rsidRPr="00616A3B">
        <w:t xml:space="preserve">Weiss </w:t>
      </w:r>
      <w:r w:rsidR="00B9038B">
        <w:t>et al. (</w:t>
      </w:r>
      <w:r w:rsidRPr="00616A3B">
        <w:t>2018</w:t>
      </w:r>
      <w:r w:rsidR="00B9038B">
        <w:t>)</w:t>
      </w:r>
      <w:r w:rsidRPr="00616A3B">
        <w:t xml:space="preserve">, Weiss </w:t>
      </w:r>
      <w:r w:rsidR="00B9038B">
        <w:t>et al. (</w:t>
      </w:r>
      <w:r w:rsidRPr="00616A3B">
        <w:t>2019</w:t>
      </w:r>
      <w:r w:rsidR="00B9038B">
        <w:t>)</w:t>
      </w:r>
      <w:r w:rsidRPr="00616A3B">
        <w:t xml:space="preserve">, </w:t>
      </w:r>
      <w:r w:rsidR="00650DA7" w:rsidRPr="00616A3B">
        <w:t xml:space="preserve">European </w:t>
      </w:r>
      <w:r w:rsidR="00B9038B">
        <w:t xml:space="preserve">Public Assessment Report </w:t>
      </w:r>
      <w:r w:rsidRPr="00616A3B">
        <w:t xml:space="preserve">for </w:t>
      </w:r>
      <w:proofErr w:type="spellStart"/>
      <w:r w:rsidRPr="00616A3B">
        <w:t>Cufence</w:t>
      </w:r>
      <w:proofErr w:type="spellEnd"/>
      <w:r w:rsidRPr="00616A3B">
        <w:t xml:space="preserve"> (2019)</w:t>
      </w:r>
    </w:p>
    <w:p w14:paraId="271D6ABE" w14:textId="52B69099" w:rsidR="00885993" w:rsidRPr="00616A3B" w:rsidRDefault="00885993" w:rsidP="00885993">
      <w:r w:rsidRPr="00616A3B">
        <w:t>The submission included published conference extracts (Weiss</w:t>
      </w:r>
      <w:r w:rsidR="00B9038B">
        <w:t xml:space="preserve"> et al.</w:t>
      </w:r>
      <w:r w:rsidRPr="00616A3B">
        <w:t xml:space="preserve"> </w:t>
      </w:r>
      <w:r w:rsidR="00B9038B">
        <w:t>(</w:t>
      </w:r>
      <w:r w:rsidRPr="00616A3B">
        <w:t>2018</w:t>
      </w:r>
      <w:r w:rsidR="00B9038B">
        <w:t>)</w:t>
      </w:r>
      <w:r w:rsidR="00F04AE2" w:rsidRPr="00F04AE2">
        <w:rPr>
          <w:vertAlign w:val="superscript"/>
        </w:rPr>
        <w:fldChar w:fldCharType="begin"/>
      </w:r>
      <w:r w:rsidR="00F04AE2" w:rsidRPr="00F04AE2">
        <w:rPr>
          <w:vertAlign w:val="superscript"/>
        </w:rPr>
        <w:instrText xml:space="preserve"> NOTEREF _Ref65680394 \h </w:instrText>
      </w:r>
      <w:r w:rsidR="00F04AE2">
        <w:rPr>
          <w:vertAlign w:val="superscript"/>
        </w:rPr>
        <w:instrText xml:space="preserve"> \* MERGEFORMAT </w:instrText>
      </w:r>
      <w:r w:rsidR="00F04AE2" w:rsidRPr="00F04AE2">
        <w:rPr>
          <w:vertAlign w:val="superscript"/>
        </w:rPr>
      </w:r>
      <w:r w:rsidR="00F04AE2" w:rsidRPr="00F04AE2">
        <w:rPr>
          <w:vertAlign w:val="superscript"/>
        </w:rPr>
        <w:fldChar w:fldCharType="separate"/>
      </w:r>
      <w:r w:rsidR="005815A1">
        <w:rPr>
          <w:vertAlign w:val="superscript"/>
        </w:rPr>
        <w:t>10</w:t>
      </w:r>
      <w:r w:rsidR="00F04AE2" w:rsidRPr="00F04AE2">
        <w:rPr>
          <w:vertAlign w:val="superscript"/>
        </w:rPr>
        <w:fldChar w:fldCharType="end"/>
      </w:r>
      <w:r w:rsidRPr="00616A3B">
        <w:t xml:space="preserve"> </w:t>
      </w:r>
      <w:r w:rsidR="00B9038B">
        <w:t xml:space="preserve">and </w:t>
      </w:r>
      <w:r w:rsidRPr="00616A3B">
        <w:t>Weiss</w:t>
      </w:r>
      <w:r w:rsidR="00B9038B">
        <w:t> et al.</w:t>
      </w:r>
      <w:r w:rsidR="00733A96">
        <w:t xml:space="preserve"> (</w:t>
      </w:r>
      <w:r w:rsidRPr="00616A3B">
        <w:t>2019</w:t>
      </w:r>
      <w:r w:rsidR="00733A96">
        <w:t>)</w:t>
      </w:r>
      <w:r w:rsidR="00F04AE2" w:rsidRPr="00F04AE2">
        <w:rPr>
          <w:vertAlign w:val="superscript"/>
        </w:rPr>
        <w:fldChar w:fldCharType="begin"/>
      </w:r>
      <w:r w:rsidR="00F04AE2" w:rsidRPr="00F04AE2">
        <w:rPr>
          <w:vertAlign w:val="superscript"/>
        </w:rPr>
        <w:instrText xml:space="preserve"> NOTEREF _Ref65680416 \h </w:instrText>
      </w:r>
      <w:r w:rsidR="00F04AE2">
        <w:rPr>
          <w:vertAlign w:val="superscript"/>
        </w:rPr>
        <w:instrText xml:space="preserve"> \* MERGEFORMAT </w:instrText>
      </w:r>
      <w:r w:rsidR="00F04AE2" w:rsidRPr="00F04AE2">
        <w:rPr>
          <w:vertAlign w:val="superscript"/>
        </w:rPr>
      </w:r>
      <w:r w:rsidR="00F04AE2" w:rsidRPr="00F04AE2">
        <w:rPr>
          <w:vertAlign w:val="superscript"/>
        </w:rPr>
        <w:fldChar w:fldCharType="separate"/>
      </w:r>
      <w:r w:rsidR="005815A1">
        <w:rPr>
          <w:vertAlign w:val="superscript"/>
        </w:rPr>
        <w:t>11</w:t>
      </w:r>
      <w:r w:rsidR="00F04AE2" w:rsidRPr="00F04AE2">
        <w:rPr>
          <w:vertAlign w:val="superscript"/>
        </w:rPr>
        <w:fldChar w:fldCharType="end"/>
      </w:r>
      <w:r w:rsidRPr="00616A3B">
        <w:t xml:space="preserve">) relating to Study UNV-TRI-002. This study, which comprised a retrospective study followed by a prospective study, supported the marketing authorisation of </w:t>
      </w:r>
      <w:proofErr w:type="spellStart"/>
      <w:r w:rsidR="00A70E0C" w:rsidRPr="00616A3B">
        <w:t>Cufence</w:t>
      </w:r>
      <w:proofErr w:type="spellEnd"/>
      <w:r w:rsidRPr="00616A3B">
        <w:t xml:space="preserve"> (trientine dihydrochloride</w:t>
      </w:r>
      <w:r w:rsidR="00B9038B">
        <w:t>) by</w:t>
      </w:r>
      <w:r w:rsidRPr="00616A3B">
        <w:t xml:space="preserve"> Univar Solutions B</w:t>
      </w:r>
      <w:r w:rsidR="00A70E0C" w:rsidRPr="00616A3B">
        <w:t>.</w:t>
      </w:r>
      <w:r w:rsidRPr="00616A3B">
        <w:t>V</w:t>
      </w:r>
      <w:r w:rsidR="00A70E0C" w:rsidRPr="00616A3B">
        <w:t>.</w:t>
      </w:r>
      <w:r w:rsidRPr="00616A3B">
        <w:t xml:space="preserve"> in Europe</w:t>
      </w:r>
      <w:r w:rsidR="00B9038B">
        <w:t xml:space="preserve"> by the European Medicines Agency</w:t>
      </w:r>
      <w:r w:rsidRPr="00616A3B">
        <w:t xml:space="preserve"> on 25 July 2019. The </w:t>
      </w:r>
      <w:r w:rsidR="002F24E5" w:rsidRPr="00616A3B">
        <w:t>EPAR</w:t>
      </w:r>
      <w:r w:rsidRPr="00616A3B">
        <w:t xml:space="preserve"> for </w:t>
      </w:r>
      <w:proofErr w:type="spellStart"/>
      <w:r w:rsidR="00A70E0C" w:rsidRPr="00616A3B">
        <w:t>Cufence</w:t>
      </w:r>
      <w:proofErr w:type="spellEnd"/>
      <w:r w:rsidR="00333267">
        <w:t>;</w:t>
      </w:r>
      <w:bookmarkStart w:id="59" w:name="_Ref68852501"/>
      <w:r w:rsidR="00B45D7D" w:rsidRPr="00B45D7D">
        <w:rPr>
          <w:rStyle w:val="FootnoteReference"/>
        </w:rPr>
        <w:t xml:space="preserve"> </w:t>
      </w:r>
      <w:r w:rsidR="00B45D7D">
        <w:rPr>
          <w:rStyle w:val="FootnoteReference"/>
        </w:rPr>
        <w:footnoteReference w:id="15"/>
      </w:r>
      <w:bookmarkEnd w:id="59"/>
      <w:r w:rsidR="00A70E0C" w:rsidRPr="00616A3B">
        <w:t xml:space="preserve"> </w:t>
      </w:r>
      <w:r w:rsidRPr="00616A3B">
        <w:t>was inc</w:t>
      </w:r>
      <w:r w:rsidR="00247DC8" w:rsidRPr="00616A3B">
        <w:t>luded in the clinical dossier.</w:t>
      </w:r>
    </w:p>
    <w:p w14:paraId="2E94B6E4" w14:textId="227D41F8" w:rsidR="00885993" w:rsidRPr="00616A3B" w:rsidRDefault="00885993" w:rsidP="00885993">
      <w:r w:rsidRPr="00616A3B">
        <w:t>The multicentre retrospective study was performed to assess long-term outcomes of treatment with trientine in WD patients withdrawn from therapy with penicillamine. Patients were treated for a minimum of six months with trientine (300</w:t>
      </w:r>
      <w:r w:rsidR="00A70E0C" w:rsidRPr="00616A3B">
        <w:t> </w:t>
      </w:r>
      <w:r w:rsidRPr="00616A3B">
        <w:t>mg capsules commercially available from Univar) at doses of 1200</w:t>
      </w:r>
      <w:r w:rsidR="00A70E0C" w:rsidRPr="00616A3B">
        <w:t xml:space="preserve"> to </w:t>
      </w:r>
      <w:r w:rsidRPr="00616A3B">
        <w:t>2400</w:t>
      </w:r>
      <w:r w:rsidR="00A70E0C" w:rsidRPr="00616A3B">
        <w:t> </w:t>
      </w:r>
      <w:r w:rsidRPr="00616A3B">
        <w:t>mg/day (800</w:t>
      </w:r>
      <w:r w:rsidR="00A70E0C" w:rsidRPr="00616A3B">
        <w:t xml:space="preserve"> to </w:t>
      </w:r>
      <w:r w:rsidRPr="00616A3B">
        <w:t>1600</w:t>
      </w:r>
      <w:r w:rsidR="00A70E0C" w:rsidRPr="00616A3B">
        <w:t> </w:t>
      </w:r>
      <w:r w:rsidRPr="00616A3B">
        <w:t>mg trientine base) in two to four divided doses in adults, or 600</w:t>
      </w:r>
      <w:r w:rsidR="00A70E0C" w:rsidRPr="00616A3B">
        <w:t xml:space="preserve"> to </w:t>
      </w:r>
      <w:r w:rsidRPr="00616A3B">
        <w:t>1500</w:t>
      </w:r>
      <w:r w:rsidR="00A70E0C" w:rsidRPr="00616A3B">
        <w:t> </w:t>
      </w:r>
      <w:r w:rsidRPr="00616A3B">
        <w:t>mg/day (400</w:t>
      </w:r>
      <w:r w:rsidR="00A70E0C" w:rsidRPr="00616A3B">
        <w:t xml:space="preserve"> to </w:t>
      </w:r>
      <w:r w:rsidRPr="00616A3B">
        <w:t>1000</w:t>
      </w:r>
      <w:r w:rsidR="00A70E0C" w:rsidRPr="00616A3B">
        <w:t> </w:t>
      </w:r>
      <w:r w:rsidRPr="00616A3B">
        <w:t>mg trientine base) in children. 81</w:t>
      </w:r>
      <w:r w:rsidR="00A70E0C" w:rsidRPr="00616A3B">
        <w:t> </w:t>
      </w:r>
      <w:r w:rsidRPr="00616A3B">
        <w:t xml:space="preserve">patients were enrolled and 77 were included in the </w:t>
      </w:r>
      <w:r w:rsidR="005819AB" w:rsidRPr="005819AB">
        <w:t>intention to treat</w:t>
      </w:r>
      <w:r w:rsidR="005819AB">
        <w:t xml:space="preserve"> (</w:t>
      </w:r>
      <w:r w:rsidRPr="00616A3B">
        <w:t>ITT</w:t>
      </w:r>
      <w:r w:rsidR="005819AB">
        <w:t>)</w:t>
      </w:r>
      <w:r w:rsidRPr="00616A3B">
        <w:t xml:space="preserve"> </w:t>
      </w:r>
      <w:r w:rsidR="00A70E0C" w:rsidRPr="00616A3B">
        <w:t>population (four</w:t>
      </w:r>
      <w:r w:rsidRPr="00616A3B">
        <w:t xml:space="preserve"> patients were excluded from the ITT population as they received non-Univar trientine at initiation). Efficacy was assessed based on the clinical course of neurological and hepatic disease (unchanged; improved but not normal; improved to normal; asymptomatic over duration of therapy; worsened) at defined intervals up to 48</w:t>
      </w:r>
      <w:r w:rsidR="00A70E0C" w:rsidRPr="00616A3B">
        <w:t> </w:t>
      </w:r>
      <w:r w:rsidRPr="00616A3B">
        <w:t>months of tr</w:t>
      </w:r>
      <w:r w:rsidR="00A70E0C" w:rsidRPr="00616A3B">
        <w:t>eatment and then at last visit.</w:t>
      </w:r>
    </w:p>
    <w:p w14:paraId="1A3927B1" w14:textId="5AE80C21" w:rsidR="00885993" w:rsidRPr="00400CB4" w:rsidRDefault="00885993" w:rsidP="00400CB4">
      <w:r w:rsidRPr="00400CB4">
        <w:t>Weiss</w:t>
      </w:r>
      <w:r w:rsidR="00B9038B" w:rsidRPr="00400CB4">
        <w:t xml:space="preserve"> et al.</w:t>
      </w:r>
      <w:r w:rsidRPr="00400CB4">
        <w:t xml:space="preserve"> </w:t>
      </w:r>
      <w:r w:rsidR="00B9038B" w:rsidRPr="00400CB4">
        <w:t>(</w:t>
      </w:r>
      <w:r w:rsidRPr="00400CB4">
        <w:t>2018</w:t>
      </w:r>
      <w:r w:rsidR="00B9038B" w:rsidRPr="00400CB4">
        <w:t>)</w:t>
      </w:r>
      <w:r w:rsidR="00400CB4" w:rsidRPr="00400CB4">
        <w:rPr>
          <w:vertAlign w:val="superscript"/>
        </w:rPr>
        <w:fldChar w:fldCharType="begin"/>
      </w:r>
      <w:r w:rsidR="00400CB4" w:rsidRPr="00400CB4">
        <w:rPr>
          <w:vertAlign w:val="superscript"/>
        </w:rPr>
        <w:instrText xml:space="preserve"> NOTEREF _Ref65680394 \h </w:instrText>
      </w:r>
      <w:r w:rsidR="00400CB4">
        <w:rPr>
          <w:vertAlign w:val="superscript"/>
        </w:rPr>
        <w:instrText xml:space="preserve"> \* MERGEFORMAT </w:instrText>
      </w:r>
      <w:r w:rsidR="00400CB4" w:rsidRPr="00400CB4">
        <w:rPr>
          <w:vertAlign w:val="superscript"/>
        </w:rPr>
      </w:r>
      <w:r w:rsidR="00400CB4" w:rsidRPr="00400CB4">
        <w:rPr>
          <w:vertAlign w:val="superscript"/>
        </w:rPr>
        <w:fldChar w:fldCharType="separate"/>
      </w:r>
      <w:r w:rsidR="005815A1">
        <w:rPr>
          <w:vertAlign w:val="superscript"/>
        </w:rPr>
        <w:t>10</w:t>
      </w:r>
      <w:r w:rsidR="00400CB4" w:rsidRPr="00400CB4">
        <w:rPr>
          <w:vertAlign w:val="superscript"/>
        </w:rPr>
        <w:fldChar w:fldCharType="end"/>
      </w:r>
      <w:r w:rsidRPr="00400CB4">
        <w:t xml:space="preserve"> summarised the efficacy outcomes of the retrospective study as:</w:t>
      </w:r>
    </w:p>
    <w:p w14:paraId="1DB46321" w14:textId="2E64547E" w:rsidR="00885993" w:rsidRPr="00616A3B" w:rsidRDefault="00885993" w:rsidP="00885993">
      <w:pPr>
        <w:rPr>
          <w:i/>
        </w:rPr>
      </w:pPr>
      <w:r w:rsidRPr="00616A3B">
        <w:rPr>
          <w:i/>
        </w:rPr>
        <w:t>‘Of the 77 patients included in the ITT population, 16</w:t>
      </w:r>
      <w:r w:rsidR="00A70E0C" w:rsidRPr="00616A3B">
        <w:rPr>
          <w:i/>
        </w:rPr>
        <w:t> </w:t>
      </w:r>
      <w:r w:rsidRPr="00616A3B">
        <w:rPr>
          <w:i/>
        </w:rPr>
        <w:t>(20.8%) patients were under the age of 18</w:t>
      </w:r>
      <w:r w:rsidR="00A70E0C" w:rsidRPr="00616A3B">
        <w:rPr>
          <w:i/>
        </w:rPr>
        <w:t> </w:t>
      </w:r>
      <w:r w:rsidRPr="00616A3B">
        <w:rPr>
          <w:i/>
        </w:rPr>
        <w:t>years. Reasons for discontinuation of D-</w:t>
      </w:r>
      <w:proofErr w:type="spellStart"/>
      <w:r w:rsidRPr="00616A3B">
        <w:rPr>
          <w:i/>
        </w:rPr>
        <w:t>Penicilamine</w:t>
      </w:r>
      <w:proofErr w:type="spellEnd"/>
      <w:r w:rsidRPr="00616A3B">
        <w:rPr>
          <w:i/>
        </w:rPr>
        <w:t xml:space="preserve"> were adverse events (58</w:t>
      </w:r>
      <w:r w:rsidR="00A70E0C" w:rsidRPr="00616A3B">
        <w:rPr>
          <w:i/>
        </w:rPr>
        <w:t> (</w:t>
      </w:r>
      <w:r w:rsidRPr="00616A3B">
        <w:rPr>
          <w:i/>
        </w:rPr>
        <w:t>75.3%</w:t>
      </w:r>
      <w:r w:rsidR="00A70E0C" w:rsidRPr="00616A3B">
        <w:rPr>
          <w:i/>
        </w:rPr>
        <w:t>)</w:t>
      </w:r>
      <w:r w:rsidRPr="00616A3B">
        <w:rPr>
          <w:i/>
        </w:rPr>
        <w:t xml:space="preserve"> patients) or lack of clinical improvement (12</w:t>
      </w:r>
      <w:r w:rsidR="00A70E0C" w:rsidRPr="00616A3B">
        <w:rPr>
          <w:i/>
        </w:rPr>
        <w:t> (</w:t>
      </w:r>
      <w:r w:rsidRPr="00616A3B">
        <w:rPr>
          <w:i/>
        </w:rPr>
        <w:t>15.6%</w:t>
      </w:r>
      <w:r w:rsidR="00A70E0C" w:rsidRPr="00616A3B">
        <w:rPr>
          <w:i/>
        </w:rPr>
        <w:t>)</w:t>
      </w:r>
      <w:r w:rsidRPr="00616A3B">
        <w:rPr>
          <w:i/>
        </w:rPr>
        <w:t xml:space="preserve"> patients).</w:t>
      </w:r>
    </w:p>
    <w:p w14:paraId="2C4BBAD0" w14:textId="2D15415D" w:rsidR="00885993" w:rsidRPr="00616A3B" w:rsidRDefault="00885993" w:rsidP="00885993">
      <w:pPr>
        <w:rPr>
          <w:i/>
        </w:rPr>
      </w:pPr>
      <w:r w:rsidRPr="00616A3B">
        <w:rPr>
          <w:i/>
        </w:rPr>
        <w:t>On average, patients were treated with trientine for 73.3</w:t>
      </w:r>
      <w:r w:rsidR="00A70E0C" w:rsidRPr="00616A3B">
        <w:rPr>
          <w:i/>
        </w:rPr>
        <w:t> </w:t>
      </w:r>
      <w:r w:rsidRPr="00616A3B">
        <w:rPr>
          <w:i/>
        </w:rPr>
        <w:t>(±</w:t>
      </w:r>
      <w:r w:rsidR="00A70E0C" w:rsidRPr="00616A3B">
        <w:rPr>
          <w:i/>
        </w:rPr>
        <w:t> </w:t>
      </w:r>
      <w:r w:rsidRPr="00616A3B">
        <w:rPr>
          <w:i/>
        </w:rPr>
        <w:t>74.76)</w:t>
      </w:r>
      <w:r w:rsidR="00A70E0C" w:rsidRPr="00616A3B">
        <w:rPr>
          <w:i/>
        </w:rPr>
        <w:t> </w:t>
      </w:r>
      <w:r w:rsidRPr="00616A3B">
        <w:rPr>
          <w:i/>
        </w:rPr>
        <w:t>months. The mean total dose per day during treatment was 1005.7</w:t>
      </w:r>
      <w:r w:rsidR="00A70E0C" w:rsidRPr="00616A3B">
        <w:rPr>
          <w:i/>
        </w:rPr>
        <w:t> </w:t>
      </w:r>
      <w:r w:rsidRPr="00616A3B">
        <w:rPr>
          <w:i/>
        </w:rPr>
        <w:t>(±</w:t>
      </w:r>
      <w:r w:rsidR="00A70E0C" w:rsidRPr="00616A3B">
        <w:rPr>
          <w:i/>
        </w:rPr>
        <w:t> </w:t>
      </w:r>
      <w:r w:rsidRPr="00616A3B">
        <w:rPr>
          <w:i/>
        </w:rPr>
        <w:t>425.32)</w:t>
      </w:r>
      <w:r w:rsidR="00A70E0C" w:rsidRPr="00616A3B">
        <w:rPr>
          <w:i/>
        </w:rPr>
        <w:t> </w:t>
      </w:r>
      <w:r w:rsidRPr="00616A3B">
        <w:rPr>
          <w:i/>
        </w:rPr>
        <w:t>mg. Treatment with trientine improved hepatic symptoms in 49.4% of patients, with 35.1% asymptomatic, 10.4% unchanged and 5.2% worsened, whereas neurological symptoms remained unchanged in 36.4% of patients, with 46.8% asymptomatic, 14.3% improved and 2.6% worsened.’</w:t>
      </w:r>
    </w:p>
    <w:p w14:paraId="704A7E86" w14:textId="4342397D" w:rsidR="00885993" w:rsidRPr="00616A3B" w:rsidRDefault="00885993" w:rsidP="00885993">
      <w:r w:rsidRPr="00616A3B">
        <w:t xml:space="preserve">Weiss </w:t>
      </w:r>
      <w:r w:rsidR="00B9038B">
        <w:t>et al. (</w:t>
      </w:r>
      <w:r w:rsidRPr="00616A3B">
        <w:t>2019</w:t>
      </w:r>
      <w:r w:rsidR="00B9038B">
        <w:t>)</w:t>
      </w:r>
      <w:r w:rsidR="00400CB4" w:rsidRPr="00400CB4">
        <w:rPr>
          <w:vertAlign w:val="superscript"/>
        </w:rPr>
        <w:fldChar w:fldCharType="begin"/>
      </w:r>
      <w:r w:rsidR="00400CB4" w:rsidRPr="00400CB4">
        <w:rPr>
          <w:vertAlign w:val="superscript"/>
        </w:rPr>
        <w:instrText xml:space="preserve"> NOTEREF _Ref65680416 \h </w:instrText>
      </w:r>
      <w:r w:rsidR="00400CB4">
        <w:rPr>
          <w:vertAlign w:val="superscript"/>
        </w:rPr>
        <w:instrText xml:space="preserve"> \* MERGEFORMAT </w:instrText>
      </w:r>
      <w:r w:rsidR="00400CB4" w:rsidRPr="00400CB4">
        <w:rPr>
          <w:vertAlign w:val="superscript"/>
        </w:rPr>
      </w:r>
      <w:r w:rsidR="00400CB4" w:rsidRPr="00400CB4">
        <w:rPr>
          <w:vertAlign w:val="superscript"/>
        </w:rPr>
        <w:fldChar w:fldCharType="separate"/>
      </w:r>
      <w:r w:rsidR="005815A1">
        <w:rPr>
          <w:vertAlign w:val="superscript"/>
        </w:rPr>
        <w:t>11</w:t>
      </w:r>
      <w:r w:rsidR="00400CB4" w:rsidRPr="00400CB4">
        <w:rPr>
          <w:vertAlign w:val="superscript"/>
        </w:rPr>
        <w:fldChar w:fldCharType="end"/>
      </w:r>
      <w:r w:rsidRPr="00616A3B">
        <w:t xml:space="preserve"> reported outcomes from the prospective study of 52</w:t>
      </w:r>
      <w:r w:rsidR="005241A0" w:rsidRPr="00616A3B">
        <w:t> </w:t>
      </w:r>
      <w:r w:rsidRPr="00616A3B">
        <w:t>patients with WD, which followed on from the retrospective study. The mean (</w:t>
      </w:r>
      <w:r w:rsidR="005241A0" w:rsidRPr="00616A3B">
        <w:t>standard deviation (</w:t>
      </w:r>
      <w:r w:rsidRPr="00616A3B">
        <w:t>SD)</w:t>
      </w:r>
      <w:r w:rsidR="005241A0" w:rsidRPr="00616A3B">
        <w:t>)</w:t>
      </w:r>
      <w:r w:rsidRPr="00616A3B">
        <w:t xml:space="preserve"> age was 42.3</w:t>
      </w:r>
      <w:r w:rsidR="005241A0" w:rsidRPr="00616A3B">
        <w:t> </w:t>
      </w:r>
      <w:r w:rsidRPr="00616A3B">
        <w:t>(14.52)</w:t>
      </w:r>
      <w:r w:rsidR="005241A0" w:rsidRPr="00616A3B">
        <w:t xml:space="preserve"> </w:t>
      </w:r>
      <w:r w:rsidRPr="00616A3B">
        <w:t>years and the mean (SD) dose during treatment was 1377.6</w:t>
      </w:r>
      <w:r w:rsidR="005241A0" w:rsidRPr="00616A3B">
        <w:t> </w:t>
      </w:r>
      <w:r w:rsidRPr="00616A3B">
        <w:t>(368.78)</w:t>
      </w:r>
      <w:r w:rsidR="005241A0" w:rsidRPr="00616A3B">
        <w:t xml:space="preserve"> mg per day. Investigator </w:t>
      </w:r>
      <w:r w:rsidRPr="00616A3B">
        <w:t>rated outcome of hepatic and neurologic symptoms was assessed at 6 and 12</w:t>
      </w:r>
      <w:r w:rsidR="005241A0" w:rsidRPr="00616A3B">
        <w:t> </w:t>
      </w:r>
      <w:r w:rsidRPr="00616A3B">
        <w:t xml:space="preserve">months. Weiss </w:t>
      </w:r>
      <w:r w:rsidR="00733A96">
        <w:t xml:space="preserve">et al. </w:t>
      </w:r>
      <w:r w:rsidR="008546C4">
        <w:t>(</w:t>
      </w:r>
      <w:r w:rsidRPr="00616A3B">
        <w:t>2019</w:t>
      </w:r>
      <w:r w:rsidR="008546C4">
        <w:t>)</w:t>
      </w:r>
      <w:r w:rsidR="008546C4" w:rsidRPr="008546C4">
        <w:rPr>
          <w:vertAlign w:val="superscript"/>
        </w:rPr>
        <w:fldChar w:fldCharType="begin"/>
      </w:r>
      <w:r w:rsidR="008546C4" w:rsidRPr="008546C4">
        <w:rPr>
          <w:vertAlign w:val="superscript"/>
        </w:rPr>
        <w:instrText xml:space="preserve"> NOTEREF _Ref65680416 \h </w:instrText>
      </w:r>
      <w:r w:rsidR="008546C4">
        <w:rPr>
          <w:vertAlign w:val="superscript"/>
        </w:rPr>
        <w:instrText xml:space="preserve"> \* MERGEFORMAT </w:instrText>
      </w:r>
      <w:r w:rsidR="008546C4" w:rsidRPr="008546C4">
        <w:rPr>
          <w:vertAlign w:val="superscript"/>
        </w:rPr>
      </w:r>
      <w:r w:rsidR="008546C4" w:rsidRPr="008546C4">
        <w:rPr>
          <w:vertAlign w:val="superscript"/>
        </w:rPr>
        <w:fldChar w:fldCharType="separate"/>
      </w:r>
      <w:r w:rsidR="005815A1">
        <w:rPr>
          <w:vertAlign w:val="superscript"/>
        </w:rPr>
        <w:t>11</w:t>
      </w:r>
      <w:r w:rsidR="008546C4" w:rsidRPr="008546C4">
        <w:rPr>
          <w:vertAlign w:val="superscript"/>
        </w:rPr>
        <w:fldChar w:fldCharType="end"/>
      </w:r>
      <w:r w:rsidRPr="00616A3B">
        <w:t xml:space="preserve"> reported that 50 of 51</w:t>
      </w:r>
      <w:r w:rsidR="005241A0" w:rsidRPr="00616A3B">
        <w:t> </w:t>
      </w:r>
      <w:r w:rsidRPr="00616A3B">
        <w:t xml:space="preserve">patients (98.0%) treated with trientine were responders, while only one patient (2.0%) showed a mild worsening of disease. The overall mean (SD) values for </w:t>
      </w:r>
      <w:r w:rsidR="00DB44F5" w:rsidRPr="00DB44F5">
        <w:t xml:space="preserve">Unified Wilson’s Disease Rating Scale </w:t>
      </w:r>
      <w:r w:rsidR="00DB44F5">
        <w:t>(</w:t>
      </w:r>
      <w:r w:rsidRPr="00616A3B">
        <w:t>UWDRS</w:t>
      </w:r>
      <w:r w:rsidR="00DB44F5">
        <w:t>)</w:t>
      </w:r>
      <w:r w:rsidRPr="00616A3B">
        <w:t>-neurologic subscale assessment-was 11.3</w:t>
      </w:r>
      <w:r w:rsidR="005241A0" w:rsidRPr="00616A3B">
        <w:t> </w:t>
      </w:r>
      <w:r w:rsidRPr="00616A3B">
        <w:t>(24.31) at Baseline, 9.7</w:t>
      </w:r>
      <w:r w:rsidR="005241A0" w:rsidRPr="00616A3B">
        <w:t> </w:t>
      </w:r>
      <w:r w:rsidRPr="00616A3B">
        <w:t>(23.85) at Month</w:t>
      </w:r>
      <w:r w:rsidR="005241A0" w:rsidRPr="00616A3B">
        <w:t> </w:t>
      </w:r>
      <w:r w:rsidRPr="00616A3B">
        <w:t>6 and 8.8</w:t>
      </w:r>
      <w:r w:rsidR="005241A0" w:rsidRPr="00616A3B">
        <w:t> </w:t>
      </w:r>
      <w:r w:rsidRPr="00616A3B">
        <w:t>(22.86) at Month</w:t>
      </w:r>
      <w:r w:rsidR="005241A0" w:rsidRPr="00616A3B">
        <w:t> </w:t>
      </w:r>
      <w:r w:rsidRPr="00616A3B">
        <w:t>12. The authors concluded that treatment with trientine was effective in maintaining stable hepatic and neurologic disease in patients with WD.</w:t>
      </w:r>
    </w:p>
    <w:p w14:paraId="74E4C706" w14:textId="30B0BB85" w:rsidR="00885993" w:rsidRPr="00616A3B" w:rsidRDefault="00885993" w:rsidP="00885993">
      <w:pPr>
        <w:pStyle w:val="Heading5"/>
      </w:pPr>
      <w:r w:rsidRPr="00616A3B">
        <w:t xml:space="preserve">Ala </w:t>
      </w:r>
      <w:r w:rsidR="00B9038B">
        <w:t>et al. (</w:t>
      </w:r>
      <w:r w:rsidRPr="00616A3B">
        <w:t>2015</w:t>
      </w:r>
      <w:r w:rsidR="00B9038B">
        <w:t>)</w:t>
      </w:r>
    </w:p>
    <w:p w14:paraId="07B42433" w14:textId="4BED6A81" w:rsidR="00885993" w:rsidRPr="00616A3B" w:rsidRDefault="00885993" w:rsidP="00885993">
      <w:r w:rsidRPr="00616A3B">
        <w:t>This was a prospective pilot study to evaluate once</w:t>
      </w:r>
      <w:r w:rsidR="005241A0" w:rsidRPr="00616A3B">
        <w:t xml:space="preserve"> </w:t>
      </w:r>
      <w:r w:rsidRPr="00616A3B">
        <w:t>daily trientine in patients with WD.</w:t>
      </w:r>
      <w:r w:rsidR="00B45D7D">
        <w:rPr>
          <w:rStyle w:val="FootnoteReference"/>
        </w:rPr>
        <w:footnoteReference w:id="16"/>
      </w:r>
      <w:r w:rsidRPr="00616A3B">
        <w:t xml:space="preserve"> </w:t>
      </w:r>
      <w:r w:rsidR="005241A0" w:rsidRPr="00616A3B">
        <w:t>Eight</w:t>
      </w:r>
      <w:r w:rsidRPr="00616A3B">
        <w:t xml:space="preserve"> patients aged 22 to 71 years with stable WD for at least one year on current therapy (zinc acetate, </w:t>
      </w:r>
      <w:r w:rsidR="005241A0" w:rsidRPr="00616A3B">
        <w:t>two</w:t>
      </w:r>
      <w:r w:rsidRPr="00616A3B">
        <w:t xml:space="preserve">; penicillamine, </w:t>
      </w:r>
      <w:r w:rsidR="005241A0" w:rsidRPr="00616A3B">
        <w:t>one</w:t>
      </w:r>
      <w:r w:rsidRPr="00616A3B">
        <w:t xml:space="preserve">; trientine, </w:t>
      </w:r>
      <w:r w:rsidR="005241A0" w:rsidRPr="00616A3B">
        <w:t>five</w:t>
      </w:r>
      <w:r w:rsidRPr="00616A3B">
        <w:t>) were prospectively enrolled into a one year trial of trientine at a single daily fixed dose of 15</w:t>
      </w:r>
      <w:r w:rsidR="005241A0" w:rsidRPr="00616A3B">
        <w:t> </w:t>
      </w:r>
      <w:r w:rsidRPr="00616A3B">
        <w:t>mg/kg. Patients had clinical and laboratory assessments at monthly intervals for three months before commencing the study, then monthly for three months after commencing the study, then at six, nine and 12</w:t>
      </w:r>
      <w:r w:rsidR="005241A0" w:rsidRPr="00616A3B">
        <w:t> </w:t>
      </w:r>
      <w:r w:rsidRPr="00616A3B">
        <w:t xml:space="preserve">months. </w:t>
      </w:r>
    </w:p>
    <w:p w14:paraId="24DD651D" w14:textId="2FEF6984" w:rsidR="00885993" w:rsidRPr="00616A3B" w:rsidRDefault="00885993" w:rsidP="00885993">
      <w:r w:rsidRPr="00616A3B">
        <w:t>All patients remained clinically well throughout the study, no new neurological signs were detected, and biochemical parameters remained broadly similar. The authors concluded that once</w:t>
      </w:r>
      <w:r w:rsidR="005241A0" w:rsidRPr="00616A3B">
        <w:t xml:space="preserve"> </w:t>
      </w:r>
      <w:r w:rsidRPr="00616A3B">
        <w:t>daily trientine should be explored further, and that larger trials and longer</w:t>
      </w:r>
      <w:r w:rsidR="005241A0" w:rsidRPr="00616A3B">
        <w:t xml:space="preserve"> </w:t>
      </w:r>
      <w:r w:rsidRPr="00616A3B">
        <w:t>term follow-up are necessary to establish the efficacy and safety of a once</w:t>
      </w:r>
      <w:r w:rsidR="005241A0" w:rsidRPr="00616A3B">
        <w:t xml:space="preserve"> </w:t>
      </w:r>
      <w:r w:rsidRPr="00616A3B">
        <w:t>daily regimen.</w:t>
      </w:r>
    </w:p>
    <w:p w14:paraId="5C7CBFEF" w14:textId="77777777" w:rsidR="00885993" w:rsidRPr="00616A3B" w:rsidRDefault="00885993" w:rsidP="00885993">
      <w:pPr>
        <w:pStyle w:val="Heading4"/>
      </w:pPr>
      <w:r w:rsidRPr="00616A3B">
        <w:t>Safety</w:t>
      </w:r>
    </w:p>
    <w:p w14:paraId="38DC08B8" w14:textId="0A8E7D19" w:rsidR="00885993" w:rsidRPr="00616A3B" w:rsidRDefault="00885993" w:rsidP="00885993">
      <w:r w:rsidRPr="00616A3B">
        <w:t xml:space="preserve">The literature search identified 37 published studies reporting safety outcomes for trientine. </w:t>
      </w:r>
      <w:r w:rsidR="00D25765">
        <w:t>Seventeen</w:t>
      </w:r>
      <w:r w:rsidRPr="00616A3B">
        <w:t xml:space="preserve"> studies reported safety in adults, </w:t>
      </w:r>
      <w:r w:rsidR="005241A0" w:rsidRPr="00616A3B">
        <w:t>seven</w:t>
      </w:r>
      <w:r w:rsidRPr="00616A3B">
        <w:t xml:space="preserve"> studies reported safety in children, and 16 studies did not specify the age of patients. Over 741 patients were exposed to trientine across the safety studies. The studies which identified age included 233</w:t>
      </w:r>
      <w:r w:rsidR="005241A0" w:rsidRPr="00616A3B">
        <w:t> </w:t>
      </w:r>
      <w:r w:rsidRPr="00616A3B">
        <w:t xml:space="preserve">adults and 43 children aged </w:t>
      </w:r>
      <w:r w:rsidR="005241A0" w:rsidRPr="00616A3B">
        <w:t>three</w:t>
      </w:r>
      <w:r w:rsidRPr="00616A3B">
        <w:t xml:space="preserve"> years or older. The duration of the exposure ranged from a single dose up to 30 years (n</w:t>
      </w:r>
      <w:r w:rsidR="005241A0" w:rsidRPr="00616A3B">
        <w:t> </w:t>
      </w:r>
      <w:r w:rsidRPr="00616A3B">
        <w:t>=</w:t>
      </w:r>
      <w:r w:rsidR="005241A0" w:rsidRPr="00616A3B">
        <w:t> </w:t>
      </w:r>
      <w:r w:rsidRPr="00616A3B">
        <w:t>2) in adults and from a single dose up to 18.6</w:t>
      </w:r>
      <w:r w:rsidR="005241A0" w:rsidRPr="00616A3B">
        <w:t> </w:t>
      </w:r>
      <w:r w:rsidRPr="00616A3B">
        <w:t>years in children. The trientine dosage in the studies ranged from 250</w:t>
      </w:r>
      <w:r w:rsidR="005241A0" w:rsidRPr="00616A3B">
        <w:t xml:space="preserve"> mg/day to 3600 </w:t>
      </w:r>
      <w:r w:rsidRPr="00616A3B">
        <w:t>mg/day. Reporting of safety data in the published studies was variable and the submission did not include an integrated summary of safety.</w:t>
      </w:r>
    </w:p>
    <w:p w14:paraId="6C474CF6" w14:textId="47067143" w:rsidR="00885993" w:rsidRPr="00616A3B" w:rsidRDefault="00885993" w:rsidP="00885993">
      <w:pPr>
        <w:pStyle w:val="Heading5"/>
      </w:pPr>
      <w:r w:rsidRPr="00616A3B">
        <w:t>Weiss</w:t>
      </w:r>
      <w:r w:rsidR="00B9038B">
        <w:t xml:space="preserve"> et al.</w:t>
      </w:r>
      <w:r w:rsidRPr="00616A3B">
        <w:t xml:space="preserve"> </w:t>
      </w:r>
      <w:r w:rsidR="00B9038B">
        <w:t>(</w:t>
      </w:r>
      <w:r w:rsidRPr="00616A3B">
        <w:t>2013</w:t>
      </w:r>
      <w:r w:rsidR="00B9038B">
        <w:t>)</w:t>
      </w:r>
    </w:p>
    <w:p w14:paraId="06607C92" w14:textId="510735AC" w:rsidR="00885993" w:rsidRPr="00616A3B" w:rsidRDefault="00885993" w:rsidP="00885993">
      <w:r w:rsidRPr="00616A3B">
        <w:t>This retrospective cohort study included 326 patients treated with penicillamine (295 as first</w:t>
      </w:r>
      <w:r w:rsidR="005241A0" w:rsidRPr="00616A3B">
        <w:t xml:space="preserve"> </w:t>
      </w:r>
      <w:r w:rsidRPr="00616A3B">
        <w:t>line, 31 as second</w:t>
      </w:r>
      <w:r w:rsidR="005241A0" w:rsidRPr="00616A3B">
        <w:t xml:space="preserve"> </w:t>
      </w:r>
      <w:r w:rsidRPr="00616A3B">
        <w:t>line) and 141 patients treated with trientine (38 as first</w:t>
      </w:r>
      <w:r w:rsidR="005241A0" w:rsidRPr="00616A3B">
        <w:t xml:space="preserve"> </w:t>
      </w:r>
      <w:r w:rsidRPr="00616A3B">
        <w:t>line and 103 as second</w:t>
      </w:r>
      <w:r w:rsidR="005241A0" w:rsidRPr="00616A3B">
        <w:t xml:space="preserve"> </w:t>
      </w:r>
      <w:r w:rsidRPr="00616A3B">
        <w:t>line). The median follow up period was 13.3</w:t>
      </w:r>
      <w:r w:rsidR="005241A0" w:rsidRPr="00616A3B">
        <w:t> </w:t>
      </w:r>
      <w:r w:rsidRPr="00616A3B">
        <w:t xml:space="preserve">years. The safety analysis was restricted to </w:t>
      </w:r>
      <w:r w:rsidR="00D7125C" w:rsidRPr="00616A3B">
        <w:t>AEs</w:t>
      </w:r>
      <w:r w:rsidRPr="00616A3B">
        <w:t xml:space="preserve"> that led to discontinuation of therapy.</w:t>
      </w:r>
    </w:p>
    <w:p w14:paraId="3E97A29D" w14:textId="19CFCA6F" w:rsidR="00885993" w:rsidRPr="00616A3B" w:rsidRDefault="00885993" w:rsidP="00885993">
      <w:r w:rsidRPr="00616A3B">
        <w:t xml:space="preserve">Discontinuation due to </w:t>
      </w:r>
      <w:r w:rsidR="00D7125C" w:rsidRPr="00616A3B">
        <w:t>AEs</w:t>
      </w:r>
      <w:r w:rsidRPr="00616A3B">
        <w:t xml:space="preserve"> was more frequent with penicillamine (94 of 326, 28.8%) than trientine (10 of 141, 7.1%; p</w:t>
      </w:r>
      <w:r w:rsidR="005241A0" w:rsidRPr="00616A3B">
        <w:t> </w:t>
      </w:r>
      <w:r w:rsidRPr="00616A3B">
        <w:t>=</w:t>
      </w:r>
      <w:r w:rsidR="005241A0" w:rsidRPr="00616A3B">
        <w:t> </w:t>
      </w:r>
      <w:r w:rsidRPr="00616A3B">
        <w:t>0.039). In trientine</w:t>
      </w:r>
      <w:r w:rsidR="005241A0" w:rsidRPr="00616A3B">
        <w:t xml:space="preserve"> </w:t>
      </w:r>
      <w:r w:rsidRPr="00616A3B">
        <w:t xml:space="preserve">treated patients, </w:t>
      </w:r>
      <w:r w:rsidR="00D7125C" w:rsidRPr="00616A3B">
        <w:t>AEs</w:t>
      </w:r>
      <w:r w:rsidRPr="00616A3B">
        <w:t xml:space="preserve"> that led to discontinuation were arthralgia (4), gastric complaints (2), pruritus (1), myalgia (1), nephropathy (1), </w:t>
      </w:r>
      <w:proofErr w:type="spellStart"/>
      <w:r w:rsidRPr="00616A3B">
        <w:t>leukopaenia</w:t>
      </w:r>
      <w:proofErr w:type="spellEnd"/>
      <w:r w:rsidRPr="00616A3B">
        <w:t xml:space="preserve"> (1), increased antinuclear antibodies (1), erythema (1), lupus erythematosus (1), hirsutism (1) and other (4). There were no deaths related to AE.</w:t>
      </w:r>
    </w:p>
    <w:p w14:paraId="5A463601" w14:textId="46053B8C" w:rsidR="00885993" w:rsidRPr="00616A3B" w:rsidRDefault="00885993" w:rsidP="00885993">
      <w:pPr>
        <w:pStyle w:val="Heading5"/>
      </w:pPr>
      <w:r w:rsidRPr="00616A3B">
        <w:t>Weiss</w:t>
      </w:r>
      <w:r w:rsidR="00B9038B">
        <w:t xml:space="preserve"> et al.</w:t>
      </w:r>
      <w:r w:rsidRPr="00616A3B">
        <w:t xml:space="preserve"> </w:t>
      </w:r>
      <w:r w:rsidR="00B9038B">
        <w:t>(</w:t>
      </w:r>
      <w:r w:rsidRPr="00616A3B">
        <w:t>2018</w:t>
      </w:r>
      <w:r w:rsidR="00B9038B">
        <w:t>)</w:t>
      </w:r>
    </w:p>
    <w:p w14:paraId="52929D74" w14:textId="691A20BD" w:rsidR="00885993" w:rsidRPr="00616A3B" w:rsidRDefault="00885993" w:rsidP="00885993">
      <w:r w:rsidRPr="00616A3B">
        <w:t>This published conference extract reported safety from the retrospective part of Study</w:t>
      </w:r>
      <w:r w:rsidR="00B9038B">
        <w:t> </w:t>
      </w:r>
      <w:r w:rsidRPr="00616A3B">
        <w:t xml:space="preserve">UNV-TRI-002, which was submitted as part of the application for marketing authorisation for </w:t>
      </w:r>
      <w:proofErr w:type="spellStart"/>
      <w:r w:rsidR="00D7125C" w:rsidRPr="00616A3B">
        <w:t>Cufence</w:t>
      </w:r>
      <w:proofErr w:type="spellEnd"/>
      <w:r w:rsidR="00D7125C" w:rsidRPr="00616A3B">
        <w:t xml:space="preserve"> </w:t>
      </w:r>
      <w:r w:rsidRPr="00616A3B">
        <w:t xml:space="preserve">in the EU. This study is described in detail in the </w:t>
      </w:r>
      <w:r w:rsidR="002F24E5" w:rsidRPr="00616A3B">
        <w:t>EPAR</w:t>
      </w:r>
      <w:r w:rsidRPr="00616A3B">
        <w:t xml:space="preserve"> for </w:t>
      </w:r>
      <w:proofErr w:type="spellStart"/>
      <w:r w:rsidR="00D7125C" w:rsidRPr="00616A3B">
        <w:t>Cufence</w:t>
      </w:r>
      <w:proofErr w:type="spellEnd"/>
      <w:r w:rsidRPr="00616A3B">
        <w:t>.</w:t>
      </w:r>
    </w:p>
    <w:p w14:paraId="5DAF43DB" w14:textId="20FA2937" w:rsidR="00885993" w:rsidRPr="00616A3B" w:rsidRDefault="00885993" w:rsidP="00885993">
      <w:r w:rsidRPr="00616A3B">
        <w:t>Mean daily doses were 1005.7</w:t>
      </w:r>
      <w:r w:rsidR="00D7125C" w:rsidRPr="00616A3B">
        <w:t> </w:t>
      </w:r>
      <w:r w:rsidRPr="00616A3B">
        <w:t>mg for adults and 629.7</w:t>
      </w:r>
      <w:r w:rsidR="00D7125C" w:rsidRPr="00616A3B">
        <w:t> </w:t>
      </w:r>
      <w:r w:rsidRPr="00616A3B">
        <w:t>mg for paediatric patients. The highest daily dose received in this study was 2100</w:t>
      </w:r>
      <w:r w:rsidR="00D7125C" w:rsidRPr="00616A3B">
        <w:t> mg. Twelve</w:t>
      </w:r>
      <w:r w:rsidRPr="00616A3B">
        <w:t xml:space="preserve"> of 77 patients (15.6%) discontinued trientine. </w:t>
      </w:r>
      <w:r w:rsidR="00D7125C" w:rsidRPr="00616A3B">
        <w:t>Treatment emergent adverse events (</w:t>
      </w:r>
      <w:r w:rsidRPr="00616A3B">
        <w:t>TEAE</w:t>
      </w:r>
      <w:r w:rsidR="00D7125C" w:rsidRPr="00616A3B">
        <w:t>)</w:t>
      </w:r>
      <w:r w:rsidRPr="00616A3B">
        <w:t xml:space="preserve"> were reported in 46</w:t>
      </w:r>
      <w:r w:rsidR="007677EA" w:rsidRPr="00616A3B">
        <w:t> </w:t>
      </w:r>
      <w:r w:rsidRPr="00616A3B">
        <w:t>(62.3%) patients (</w:t>
      </w:r>
      <w:r w:rsidRPr="00616A3B">
        <w:fldChar w:fldCharType="begin"/>
      </w:r>
      <w:r w:rsidRPr="00616A3B">
        <w:instrText xml:space="preserve"> REF _Ref51686711 \h  \* MERGEFORMAT </w:instrText>
      </w:r>
      <w:r w:rsidRPr="00616A3B">
        <w:fldChar w:fldCharType="separate"/>
      </w:r>
      <w:r w:rsidR="005815A1" w:rsidRPr="00A659C3">
        <w:t xml:space="preserve">Table </w:t>
      </w:r>
      <w:r w:rsidR="005815A1">
        <w:t>10</w:t>
      </w:r>
      <w:r w:rsidRPr="00616A3B">
        <w:fldChar w:fldCharType="end"/>
      </w:r>
      <w:r w:rsidRPr="00616A3B">
        <w:t>). The profile of AEs in paediatric patients was similar to adult patients (</w:t>
      </w:r>
      <w:r w:rsidRPr="00616A3B">
        <w:fldChar w:fldCharType="begin"/>
      </w:r>
      <w:r w:rsidRPr="00616A3B">
        <w:instrText xml:space="preserve"> REF _Ref51687447 \h  \* MERGEFORMAT </w:instrText>
      </w:r>
      <w:r w:rsidRPr="00616A3B">
        <w:fldChar w:fldCharType="separate"/>
      </w:r>
      <w:r w:rsidR="005815A1" w:rsidRPr="00E81D86">
        <w:t xml:space="preserve">Table </w:t>
      </w:r>
      <w:r w:rsidR="005815A1">
        <w:t>11</w:t>
      </w:r>
      <w:r w:rsidRPr="00616A3B">
        <w:fldChar w:fldCharType="end"/>
      </w:r>
      <w:r w:rsidRPr="00616A3B">
        <w:t xml:space="preserve">). There were no deaths due to AE. </w:t>
      </w:r>
      <w:r w:rsidR="007677EA" w:rsidRPr="00616A3B">
        <w:t>Serious adverse events (</w:t>
      </w:r>
      <w:r w:rsidRPr="00616A3B">
        <w:t>SAE</w:t>
      </w:r>
      <w:r w:rsidR="007677EA" w:rsidRPr="00616A3B">
        <w:t>)</w:t>
      </w:r>
      <w:r w:rsidRPr="00616A3B">
        <w:t xml:space="preserve"> assessed as related</w:t>
      </w:r>
      <w:r w:rsidR="007677EA" w:rsidRPr="00616A3B">
        <w:t xml:space="preserve"> to trientine were reported in two</w:t>
      </w:r>
      <w:r w:rsidRPr="00616A3B">
        <w:t xml:space="preserve"> patients, and included anaemia (which led to discontinuation of trientine)</w:t>
      </w:r>
      <w:r w:rsidR="007677EA" w:rsidRPr="00616A3B">
        <w:t xml:space="preserve"> and intestinal obstruction in one</w:t>
      </w:r>
      <w:r w:rsidRPr="00616A3B">
        <w:t xml:space="preserve"> patient, and Hepatic enzyme increased (lead</w:t>
      </w:r>
      <w:r w:rsidR="007677EA" w:rsidRPr="00616A3B">
        <w:t>ing to dose reduction from 1800 mg to 1200 </w:t>
      </w:r>
      <w:r w:rsidRPr="00616A3B">
        <w:t xml:space="preserve">mg/day) in </w:t>
      </w:r>
      <w:r w:rsidR="007677EA" w:rsidRPr="00616A3B">
        <w:t>one</w:t>
      </w:r>
      <w:r w:rsidRPr="00616A3B">
        <w:t xml:space="preserve"> patient.</w:t>
      </w:r>
    </w:p>
    <w:p w14:paraId="27CB04CC" w14:textId="5825F50F" w:rsidR="00885993" w:rsidRPr="00A659C3" w:rsidRDefault="00885993" w:rsidP="00A659C3">
      <w:pPr>
        <w:pStyle w:val="TableTitle"/>
      </w:pPr>
      <w:bookmarkStart w:id="60" w:name="_Ref51686711"/>
      <w:r w:rsidRPr="00A659C3">
        <w:t xml:space="preserve">Table </w:t>
      </w:r>
      <w:fldSimple w:instr=" SEQ Table \* ARABIC ">
        <w:r w:rsidR="005815A1">
          <w:rPr>
            <w:noProof/>
          </w:rPr>
          <w:t>10</w:t>
        </w:r>
      </w:fldSimple>
      <w:bookmarkEnd w:id="60"/>
      <w:r w:rsidR="007677EA" w:rsidRPr="00A659C3">
        <w:t>:</w:t>
      </w:r>
      <w:r w:rsidRPr="00A659C3">
        <w:t xml:space="preserve"> </w:t>
      </w:r>
      <w:r w:rsidR="007677EA" w:rsidRPr="00A659C3">
        <w:t xml:space="preserve">Study UNV-TRI-002 Treatment emergent adverse events </w:t>
      </w:r>
      <w:r w:rsidRPr="00A659C3">
        <w:t xml:space="preserve">(by </w:t>
      </w:r>
      <w:r w:rsidR="00B9038B" w:rsidRPr="00A659C3">
        <w:t>System Organ Class and P</w:t>
      </w:r>
      <w:r w:rsidRPr="00A659C3">
        <w:t xml:space="preserve">referred </w:t>
      </w:r>
      <w:r w:rsidR="00B9038B" w:rsidRPr="00A659C3">
        <w:t>T</w:t>
      </w:r>
      <w:r w:rsidRPr="00A659C3">
        <w:t>erm) in at least four patients (</w:t>
      </w:r>
      <w:r w:rsidR="00A659C3">
        <w:t>i</w:t>
      </w:r>
      <w:r w:rsidR="00A659C3" w:rsidRPr="00A659C3">
        <w:t xml:space="preserve">ntention to treat </w:t>
      </w:r>
      <w:r w:rsidRPr="00A659C3">
        <w:t>population)</w:t>
      </w:r>
    </w:p>
    <w:p w14:paraId="5B2EE0C6" w14:textId="77777777" w:rsidR="00E57430" w:rsidRDefault="00885993" w:rsidP="00541B0D">
      <w:r w:rsidRPr="00616A3B">
        <w:rPr>
          <w:noProof/>
          <w:lang w:eastAsia="en-AU"/>
        </w:rPr>
        <w:drawing>
          <wp:inline distT="0" distB="0" distL="0" distR="0" wp14:anchorId="3ECFE7C2" wp14:editId="1ADB7AF9">
            <wp:extent cx="4667534" cy="2806188"/>
            <wp:effectExtent l="0" t="0" r="0" b="0"/>
            <wp:docPr id="11" name="Picture 11" descr="Study UNV-TRI-002 Treatment emergent adverse events (by System Organ Class and Preferred Term) in at least four patients (intention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27384" cy="2842170"/>
                    </a:xfrm>
                    <a:prstGeom prst="rect">
                      <a:avLst/>
                    </a:prstGeom>
                  </pic:spPr>
                </pic:pic>
              </a:graphicData>
            </a:graphic>
          </wp:inline>
        </w:drawing>
      </w:r>
    </w:p>
    <w:p w14:paraId="42538C0A" w14:textId="1E5A9D86" w:rsidR="00EE58C6" w:rsidRDefault="00EE58C6" w:rsidP="00640B91">
      <w:pPr>
        <w:pStyle w:val="TableDescription"/>
      </w:pPr>
      <w:r>
        <w:t xml:space="preserve">TEAE = </w:t>
      </w:r>
      <w:r w:rsidRPr="00EE58C6">
        <w:t>Treatment emergent adverse event</w:t>
      </w:r>
      <w:r>
        <w:t>.</w:t>
      </w:r>
    </w:p>
    <w:p w14:paraId="3283D097" w14:textId="56DB9E44" w:rsidR="00885993" w:rsidRPr="00616A3B" w:rsidRDefault="00885993" w:rsidP="00640B91">
      <w:pPr>
        <w:pStyle w:val="TableDescription"/>
      </w:pPr>
      <w:r w:rsidRPr="00DD016E">
        <w:t>Sourc</w:t>
      </w:r>
      <w:r w:rsidR="00DD016E" w:rsidRPr="00DD016E">
        <w:t xml:space="preserve">e: EMA, EPAR, </w:t>
      </w:r>
      <w:proofErr w:type="spellStart"/>
      <w:r w:rsidRPr="00DD016E">
        <w:t>Cufence</w:t>
      </w:r>
      <w:proofErr w:type="spellEnd"/>
      <w:r w:rsidR="00DD016E" w:rsidRPr="00DD016E">
        <w:t xml:space="preserve"> (trientine dihydrochloride),</w:t>
      </w:r>
      <w:r w:rsidRPr="00DD016E">
        <w:t xml:space="preserve"> </w:t>
      </w:r>
      <w:r w:rsidR="00DD016E" w:rsidRPr="00DD016E">
        <w:t>EMA/330602/2019, 29 May 2019,</w:t>
      </w:r>
      <w:r w:rsidRPr="00DD016E">
        <w:t xml:space="preserve"> p 78, Table</w:t>
      </w:r>
      <w:r w:rsidR="00B9038B">
        <w:t> </w:t>
      </w:r>
      <w:r w:rsidRPr="00DD016E">
        <w:t>18</w:t>
      </w:r>
      <w:r w:rsidR="00DD016E">
        <w:t>.</w:t>
      </w:r>
      <w:r w:rsidRPr="00DD016E">
        <w:t xml:space="preserve"> </w:t>
      </w:r>
      <w:r w:rsidR="00DD016E" w:rsidRPr="00DD016E">
        <w:t>Available from the EMA website.</w:t>
      </w:r>
    </w:p>
    <w:p w14:paraId="629FFE14" w14:textId="73E636F3" w:rsidR="00885993" w:rsidRPr="00E81D86" w:rsidRDefault="00885993" w:rsidP="00E81D86">
      <w:pPr>
        <w:pStyle w:val="TableTitle"/>
      </w:pPr>
      <w:bookmarkStart w:id="61" w:name="_Ref51687447"/>
      <w:r w:rsidRPr="00E81D86">
        <w:t xml:space="preserve">Table </w:t>
      </w:r>
      <w:fldSimple w:instr=" SEQ Table \* ARABIC ">
        <w:r w:rsidR="005815A1">
          <w:rPr>
            <w:noProof/>
          </w:rPr>
          <w:t>11</w:t>
        </w:r>
      </w:fldSimple>
      <w:bookmarkEnd w:id="61"/>
      <w:r w:rsidR="007677EA" w:rsidRPr="00E81D86">
        <w:t>: Study UNV-TRI-002</w:t>
      </w:r>
      <w:r w:rsidRPr="00E81D86">
        <w:t xml:space="preserve"> Summary of </w:t>
      </w:r>
      <w:r w:rsidR="007677EA" w:rsidRPr="00E81D86">
        <w:t>adverse events</w:t>
      </w:r>
      <w:r w:rsidRPr="00E81D86">
        <w:t xml:space="preserve"> </w:t>
      </w:r>
      <w:r w:rsidR="007677EA" w:rsidRPr="00E81D86">
        <w:t xml:space="preserve">by </w:t>
      </w:r>
      <w:r w:rsidR="00B9038B" w:rsidRPr="00E81D86">
        <w:t>System Organ Class</w:t>
      </w:r>
      <w:r w:rsidR="007677EA" w:rsidRPr="00E81D86">
        <w:t xml:space="preserve"> and age group </w:t>
      </w:r>
      <w:r w:rsidRPr="00E81D86">
        <w:t>(</w:t>
      </w:r>
      <w:r w:rsidR="00A659C3" w:rsidRPr="00A659C3">
        <w:t xml:space="preserve">intention to treat </w:t>
      </w:r>
      <w:r w:rsidRPr="00E81D86">
        <w:t>population)</w:t>
      </w:r>
    </w:p>
    <w:p w14:paraId="0C2E6ED5" w14:textId="20CB9E8F" w:rsidR="00EE58C6" w:rsidRDefault="00EE58C6" w:rsidP="005F080C">
      <w:r w:rsidRPr="00EE58C6">
        <w:t>TEAE = Treatment emergent adverse event.</w:t>
      </w:r>
      <w:r w:rsidR="006A716A">
        <w:rPr>
          <w:noProof/>
          <w:lang w:eastAsia="en-AU"/>
        </w:rPr>
        <w:drawing>
          <wp:inline distT="0" distB="0" distL="0" distR="0" wp14:anchorId="77348F6A" wp14:editId="366EDA35">
            <wp:extent cx="4769982" cy="3543300"/>
            <wp:effectExtent l="0" t="0" r="0" b="0"/>
            <wp:docPr id="13" name="Picture 13" descr="Study UNV-TRI-002 Summary of adverse events by System Organ Class and age group (intention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769982" cy="3543300"/>
                    </a:xfrm>
                    <a:prstGeom prst="rect">
                      <a:avLst/>
                    </a:prstGeom>
                    <a:noFill/>
                    <a:ln>
                      <a:noFill/>
                    </a:ln>
                  </pic:spPr>
                </pic:pic>
              </a:graphicData>
            </a:graphic>
          </wp:inline>
        </w:drawing>
      </w:r>
    </w:p>
    <w:p w14:paraId="5FCBF53D" w14:textId="45B35771" w:rsidR="00B55FC8" w:rsidRDefault="00885993" w:rsidP="00640B91">
      <w:pPr>
        <w:pStyle w:val="TableDescription"/>
      </w:pPr>
      <w:r w:rsidRPr="00DD016E">
        <w:t xml:space="preserve">Source: </w:t>
      </w:r>
      <w:r w:rsidR="00DD016E" w:rsidRPr="00DD016E">
        <w:t xml:space="preserve">EMA, </w:t>
      </w:r>
      <w:r w:rsidRPr="00DD016E">
        <w:t>EPAR</w:t>
      </w:r>
      <w:r w:rsidR="00DD016E" w:rsidRPr="00DD016E">
        <w:t>,</w:t>
      </w:r>
      <w:r w:rsidRPr="00DD016E">
        <w:t xml:space="preserve"> </w:t>
      </w:r>
      <w:proofErr w:type="spellStart"/>
      <w:r w:rsidR="00DD016E" w:rsidRPr="00DD016E">
        <w:t>Cufence</w:t>
      </w:r>
      <w:proofErr w:type="spellEnd"/>
      <w:r w:rsidR="00DD016E" w:rsidRPr="00DD016E">
        <w:t xml:space="preserve"> (trientine dihydrochloride), EMA/330602/2019, 29 May 2019, p 80, Table 20. Available from the EMA website.</w:t>
      </w:r>
    </w:p>
    <w:p w14:paraId="5E2C7270" w14:textId="0BE2418C" w:rsidR="00885993" w:rsidRPr="00B55FC8" w:rsidRDefault="00885993" w:rsidP="00B55FC8">
      <w:proofErr w:type="spellStart"/>
      <w:r w:rsidRPr="00B55FC8">
        <w:t>Pfeiffenberger</w:t>
      </w:r>
      <w:proofErr w:type="spellEnd"/>
      <w:r w:rsidRPr="00B55FC8">
        <w:t xml:space="preserve"> et al</w:t>
      </w:r>
      <w:r w:rsidR="00B9038B">
        <w:t>.</w:t>
      </w:r>
      <w:r w:rsidRPr="00B55FC8">
        <w:t xml:space="preserve"> (2018)</w:t>
      </w:r>
      <w:bookmarkStart w:id="62" w:name="_Ref65680954"/>
      <w:r w:rsidR="005779AF" w:rsidRPr="005779AF">
        <w:rPr>
          <w:vertAlign w:val="superscript"/>
        </w:rPr>
        <w:t xml:space="preserve"> </w:t>
      </w:r>
      <w:bookmarkStart w:id="63" w:name="_Ref68853241"/>
      <w:r w:rsidR="005779AF" w:rsidRPr="00B55FC8">
        <w:rPr>
          <w:vertAlign w:val="superscript"/>
        </w:rPr>
        <w:footnoteReference w:id="17"/>
      </w:r>
      <w:bookmarkEnd w:id="62"/>
      <w:bookmarkEnd w:id="63"/>
      <w:r w:rsidRPr="00B55FC8">
        <w:t xml:space="preserve"> was a retrospective, multicentre study that, </w:t>
      </w:r>
      <w:r w:rsidR="00915BF0" w:rsidRPr="00B55FC8">
        <w:t>reviewed 282 pregnancies in 136 W</w:t>
      </w:r>
      <w:r w:rsidRPr="00B55FC8">
        <w:t xml:space="preserve">D patients. Pregnancy outcomes are shown in </w:t>
      </w:r>
      <w:r w:rsidRPr="00B55FC8">
        <w:fldChar w:fldCharType="begin"/>
      </w:r>
      <w:r w:rsidRPr="00B55FC8">
        <w:instrText xml:space="preserve"> REF _Ref53649182 \h  \* MERGEFORMAT </w:instrText>
      </w:r>
      <w:r w:rsidRPr="00B55FC8">
        <w:fldChar w:fldCharType="separate"/>
      </w:r>
      <w:r w:rsidR="005815A1" w:rsidRPr="00616A3B">
        <w:t xml:space="preserve">Table </w:t>
      </w:r>
      <w:r w:rsidR="005815A1">
        <w:t>12</w:t>
      </w:r>
      <w:r w:rsidRPr="00B55FC8">
        <w:fldChar w:fldCharType="end"/>
      </w:r>
      <w:r w:rsidRPr="00B55FC8">
        <w:t>. Live birth rates were higher in treated pat</w:t>
      </w:r>
      <w:r w:rsidR="00247DC8" w:rsidRPr="00B55FC8">
        <w:t xml:space="preserve">ients than untreated patients. </w:t>
      </w:r>
      <w:r w:rsidR="003A460D">
        <w:t>202</w:t>
      </w:r>
      <w:r w:rsidRPr="00B55FC8">
        <w:t xml:space="preserve"> of the 209 live births were healthy, with birth defects reported in </w:t>
      </w:r>
      <w:r w:rsidR="00243E67">
        <w:t xml:space="preserve">seven </w:t>
      </w:r>
      <w:r w:rsidRPr="00B55FC8">
        <w:t xml:space="preserve">(3%). Four birth defects were reported in the penicillamine cohort and one birth defect (glucose 6-phosphate dehydrogenase deficiency) was reported </w:t>
      </w:r>
      <w:r w:rsidR="00247DC8" w:rsidRPr="00B55FC8">
        <w:t xml:space="preserve">in the trientine cohort. </w:t>
      </w:r>
      <w:r w:rsidRPr="00B55FC8">
        <w:t>Limitations of this study include the retrospective design, non-randomised treatment allocation, and trientine frequently being used as second</w:t>
      </w:r>
      <w:r w:rsidR="00915BF0" w:rsidRPr="00B55FC8">
        <w:t xml:space="preserve"> </w:t>
      </w:r>
      <w:r w:rsidRPr="00B55FC8">
        <w:t>line to penicillamine because of intolerance.</w:t>
      </w:r>
    </w:p>
    <w:p w14:paraId="6A2F2926" w14:textId="58452229" w:rsidR="00885993" w:rsidRPr="00EE58C6" w:rsidRDefault="00885993" w:rsidP="00644288">
      <w:pPr>
        <w:pStyle w:val="TableTitle"/>
      </w:pPr>
      <w:bookmarkStart w:id="64" w:name="_Ref53649182"/>
      <w:r w:rsidRPr="00616A3B">
        <w:t xml:space="preserve">Table </w:t>
      </w:r>
      <w:fldSimple w:instr=" SEQ Table \* ARABIC ">
        <w:r w:rsidR="005815A1">
          <w:rPr>
            <w:noProof/>
          </w:rPr>
          <w:t>12</w:t>
        </w:r>
      </w:fldSimple>
      <w:bookmarkEnd w:id="64"/>
      <w:r w:rsidR="00644288" w:rsidRPr="00616A3B">
        <w:rPr>
          <w:noProof/>
        </w:rPr>
        <w:t>:</w:t>
      </w:r>
      <w:r w:rsidRPr="00616A3B">
        <w:t xml:space="preserve"> </w:t>
      </w:r>
      <w:proofErr w:type="spellStart"/>
      <w:r w:rsidR="003A460D" w:rsidRPr="00616A3B">
        <w:t>Pfeiffenberger</w:t>
      </w:r>
      <w:proofErr w:type="spellEnd"/>
      <w:r w:rsidR="003A460D" w:rsidRPr="00616A3B">
        <w:t xml:space="preserve"> et al</w:t>
      </w:r>
      <w:r w:rsidR="003A460D">
        <w:t>.</w:t>
      </w:r>
      <w:r w:rsidR="003A460D" w:rsidRPr="00616A3B">
        <w:t xml:space="preserve"> </w:t>
      </w:r>
      <w:r w:rsidR="003A460D">
        <w:t>(</w:t>
      </w:r>
      <w:r w:rsidR="003A460D" w:rsidRPr="00616A3B">
        <w:t>2018</w:t>
      </w:r>
      <w:r w:rsidR="003A460D">
        <w:t>) Pregnancy outcomes</w:t>
      </w:r>
      <w:r w:rsidRPr="00616A3B">
        <w:t xml:space="preserve"> with respect to the Wilson’s disease medical therapy during pregnancy</w:t>
      </w:r>
    </w:p>
    <w:p w14:paraId="410E50C1" w14:textId="06CFB96D" w:rsidR="00915BF0" w:rsidRPr="00640B91" w:rsidRDefault="00885993" w:rsidP="005F080C">
      <w:pPr>
        <w:pStyle w:val="TableDescription"/>
        <w:rPr>
          <w:lang w:eastAsia="ja-JP"/>
        </w:rPr>
      </w:pPr>
      <w:r w:rsidRPr="00616A3B">
        <w:rPr>
          <w:noProof/>
          <w:lang w:eastAsia="en-AU"/>
        </w:rPr>
        <w:drawing>
          <wp:inline distT="0" distB="0" distL="0" distR="0" wp14:anchorId="22E02B2C" wp14:editId="7337F190">
            <wp:extent cx="4993420" cy="812136"/>
            <wp:effectExtent l="0" t="0" r="0" b="7620"/>
            <wp:docPr id="207" name="Picture 207" descr="Number of pregnancies and abortion rates with respect to the Wilson’s disease medical therapy during pregna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86295" cy="827241"/>
                    </a:xfrm>
                    <a:prstGeom prst="rect">
                      <a:avLst/>
                    </a:prstGeom>
                  </pic:spPr>
                </pic:pic>
              </a:graphicData>
            </a:graphic>
          </wp:inline>
        </w:drawing>
      </w:r>
      <w:r w:rsidRPr="00640B91">
        <w:rPr>
          <w:lang w:eastAsia="ja-JP"/>
        </w:rPr>
        <w:t>Relative risks for abortion for each therapy are shown in comparison to pregnancies in</w:t>
      </w:r>
      <w:r w:rsidR="00E57430">
        <w:rPr>
          <w:lang w:eastAsia="ja-JP"/>
        </w:rPr>
        <w:t xml:space="preserve"> undiagnosed patients.</w:t>
      </w:r>
    </w:p>
    <w:p w14:paraId="728FB5C9" w14:textId="15A15967" w:rsidR="00915BF0" w:rsidRPr="00640B91" w:rsidRDefault="00CA4DFA" w:rsidP="00640B91">
      <w:pPr>
        <w:pStyle w:val="TableDescription"/>
        <w:rPr>
          <w:lang w:eastAsia="ja-JP"/>
        </w:rPr>
      </w:pPr>
      <w:r w:rsidRPr="00640B91">
        <w:rPr>
          <w:lang w:eastAsia="ja-JP"/>
        </w:rPr>
        <w:t xml:space="preserve">*P value </w:t>
      </w:r>
      <w:r w:rsidR="00E57430">
        <w:rPr>
          <w:lang w:eastAsia="ja-JP"/>
        </w:rPr>
        <w:t xml:space="preserve">adjusted according </w:t>
      </w:r>
      <w:proofErr w:type="spellStart"/>
      <w:r w:rsidR="00E57430">
        <w:rPr>
          <w:lang w:eastAsia="ja-JP"/>
        </w:rPr>
        <w:t>Bonferroni</w:t>
      </w:r>
      <w:proofErr w:type="spellEnd"/>
      <w:r w:rsidR="00E57430">
        <w:rPr>
          <w:lang w:eastAsia="ja-JP"/>
        </w:rPr>
        <w:t>.</w:t>
      </w:r>
    </w:p>
    <w:p w14:paraId="3FD53197" w14:textId="5B8A67C3" w:rsidR="00B45D7D" w:rsidRDefault="006C442A" w:rsidP="00640B91">
      <w:pPr>
        <w:pStyle w:val="TableDescription"/>
        <w:rPr>
          <w:lang w:eastAsia="ja-JP"/>
        </w:rPr>
      </w:pPr>
      <w:r>
        <w:rPr>
          <w:lang w:eastAsia="ja-JP"/>
        </w:rPr>
        <w:t xml:space="preserve">WD = Wilson’s disease; </w:t>
      </w:r>
      <w:proofErr w:type="spellStart"/>
      <w:r w:rsidR="00885993" w:rsidRPr="00640B91">
        <w:rPr>
          <w:lang w:eastAsia="ja-JP"/>
        </w:rPr>
        <w:t>n.s</w:t>
      </w:r>
      <w:proofErr w:type="spellEnd"/>
      <w:r w:rsidR="00885993" w:rsidRPr="00640B91">
        <w:rPr>
          <w:lang w:eastAsia="ja-JP"/>
        </w:rPr>
        <w:t>.</w:t>
      </w:r>
      <w:r w:rsidR="00915BF0" w:rsidRPr="00640B91">
        <w:rPr>
          <w:lang w:eastAsia="ja-JP"/>
        </w:rPr>
        <w:t>:</w:t>
      </w:r>
      <w:r w:rsidR="00885993" w:rsidRPr="00640B91">
        <w:rPr>
          <w:lang w:eastAsia="ja-JP"/>
        </w:rPr>
        <w:t xml:space="preserve"> non</w:t>
      </w:r>
      <w:r w:rsidR="00915BF0" w:rsidRPr="00640B91">
        <w:rPr>
          <w:lang w:eastAsia="ja-JP"/>
        </w:rPr>
        <w:t>-</w:t>
      </w:r>
      <w:r w:rsidR="00885993" w:rsidRPr="00640B91">
        <w:rPr>
          <w:lang w:eastAsia="ja-JP"/>
        </w:rPr>
        <w:t>significant</w:t>
      </w:r>
      <w:r w:rsidR="00EE58C6">
        <w:rPr>
          <w:lang w:eastAsia="ja-JP"/>
        </w:rPr>
        <w:t>; DPA = D-</w:t>
      </w:r>
      <w:proofErr w:type="spellStart"/>
      <w:r w:rsidR="00EE58C6">
        <w:rPr>
          <w:lang w:eastAsia="ja-JP"/>
        </w:rPr>
        <w:t>penacillamine</w:t>
      </w:r>
      <w:proofErr w:type="spellEnd"/>
      <w:r w:rsidR="00EE58C6">
        <w:rPr>
          <w:lang w:eastAsia="ja-JP"/>
        </w:rPr>
        <w:t>; CI = confidence interval.</w:t>
      </w:r>
    </w:p>
    <w:p w14:paraId="79D0101A" w14:textId="0E884B4F" w:rsidR="00885993" w:rsidRPr="00E57430" w:rsidRDefault="00885993" w:rsidP="00E57430">
      <w:r w:rsidRPr="00E57430">
        <w:t>Weiss et al</w:t>
      </w:r>
      <w:r w:rsidR="006C442A">
        <w:t>.</w:t>
      </w:r>
      <w:r w:rsidRPr="00E57430">
        <w:t xml:space="preserve"> </w:t>
      </w:r>
      <w:r w:rsidR="006C442A">
        <w:t>(</w:t>
      </w:r>
      <w:r w:rsidRPr="00E57430">
        <w:t>2011</w:t>
      </w:r>
      <w:r w:rsidR="006C442A">
        <w:t>)</w:t>
      </w:r>
      <w:r w:rsidR="005E40FA">
        <w:rPr>
          <w:rStyle w:val="FootnoteReference"/>
        </w:rPr>
        <w:footnoteReference w:id="18"/>
      </w:r>
      <w:r w:rsidRPr="00E57430">
        <w:t xml:space="preserve"> was a retrospective study which assessed outcomes of 207 pregnancies in 100 WD patients in European tertiary centres. Medical regimens included penicillamine, trientine, zinc salts, or a combination of a </w:t>
      </w:r>
      <w:proofErr w:type="spellStart"/>
      <w:r w:rsidRPr="00E57430">
        <w:t>chelator</w:t>
      </w:r>
      <w:proofErr w:type="spellEnd"/>
      <w:r w:rsidRPr="00E57430">
        <w:t xml:space="preserve"> and zinc. Overall abortion rate was 48/207</w:t>
      </w:r>
      <w:r w:rsidR="00915BF0" w:rsidRPr="00E57430">
        <w:t> </w:t>
      </w:r>
      <w:r w:rsidRPr="00E57430">
        <w:t>(23.2%) in the study group. Abortion rate under trientine treatment (8/20; 40%; p</w:t>
      </w:r>
      <w:r w:rsidR="00915BF0" w:rsidRPr="00E57430">
        <w:t> </w:t>
      </w:r>
      <w:r w:rsidRPr="00E57430">
        <w:t>=</w:t>
      </w:r>
      <w:r w:rsidR="00915BF0" w:rsidRPr="00E57430">
        <w:t> </w:t>
      </w:r>
      <w:r w:rsidRPr="00E57430">
        <w:t xml:space="preserve">0.04) was higher than under penicillamine (14/96; 14.7%) or zinc (2/19; 10.5%). </w:t>
      </w:r>
      <w:r w:rsidR="00915BF0" w:rsidRPr="00E57430">
        <w:t>Birth defects were observed in two</w:t>
      </w:r>
      <w:r w:rsidRPr="00E57430">
        <w:t xml:space="preserve"> newborns, one associated with penicillamine therapy (partial oesophageal atresia), and one associated with zinc therapy (</w:t>
      </w:r>
      <w:r w:rsidR="006C442A">
        <w:t>g</w:t>
      </w:r>
      <w:r w:rsidRPr="00E57430">
        <w:t>lu</w:t>
      </w:r>
      <w:r w:rsidR="006C442A">
        <w:t>cose</w:t>
      </w:r>
      <w:r w:rsidRPr="00E57430">
        <w:t>-6-</w:t>
      </w:r>
      <w:r w:rsidR="006C442A">
        <w:t>phosphate dehydrogenase</w:t>
      </w:r>
      <w:r w:rsidRPr="00E57430">
        <w:t xml:space="preserve"> deficiency).</w:t>
      </w:r>
    </w:p>
    <w:p w14:paraId="3E069FB2" w14:textId="77777777" w:rsidR="008E7846" w:rsidRPr="00616A3B" w:rsidRDefault="00386150" w:rsidP="007B6132">
      <w:pPr>
        <w:pStyle w:val="Heading3"/>
        <w:rPr>
          <w:lang w:eastAsia="en-AU"/>
        </w:rPr>
      </w:pPr>
      <w:bookmarkStart w:id="65" w:name="_Toc70931353"/>
      <w:r w:rsidRPr="00616A3B">
        <w:rPr>
          <w:lang w:eastAsia="en-AU"/>
        </w:rPr>
        <w:t>Risk m</w:t>
      </w:r>
      <w:r w:rsidR="008E7846" w:rsidRPr="00616A3B">
        <w:rPr>
          <w:lang w:eastAsia="en-AU"/>
        </w:rPr>
        <w:t xml:space="preserve">anagement </w:t>
      </w:r>
      <w:r w:rsidRPr="00616A3B">
        <w:rPr>
          <w:lang w:eastAsia="en-AU"/>
        </w:rPr>
        <w:t>p</w:t>
      </w:r>
      <w:r w:rsidR="008E7846" w:rsidRPr="00616A3B">
        <w:rPr>
          <w:lang w:eastAsia="en-AU"/>
        </w:rPr>
        <w:t>lan</w:t>
      </w:r>
      <w:bookmarkEnd w:id="41"/>
      <w:bookmarkEnd w:id="65"/>
    </w:p>
    <w:p w14:paraId="1F293905" w14:textId="60E29C50" w:rsidR="00F21E53" w:rsidRPr="00616A3B" w:rsidRDefault="00F13900" w:rsidP="00F21E53">
      <w:r w:rsidRPr="00616A3B">
        <w:t xml:space="preserve">The sponsor </w:t>
      </w:r>
      <w:r w:rsidR="00F21E53" w:rsidRPr="00616A3B">
        <w:t xml:space="preserve">has submitted </w:t>
      </w:r>
      <w:r w:rsidR="00C07EF7" w:rsidRPr="00616A3B">
        <w:t>Australian risk management plan (</w:t>
      </w:r>
      <w:r w:rsidR="00F21E53" w:rsidRPr="00616A3B">
        <w:t>RMP</w:t>
      </w:r>
      <w:r w:rsidR="00C07EF7" w:rsidRPr="00616A3B">
        <w:t>)</w:t>
      </w:r>
      <w:r w:rsidR="00F21E53" w:rsidRPr="00616A3B">
        <w:t xml:space="preserve"> version 0.1 (18</w:t>
      </w:r>
      <w:r w:rsidR="006C442A">
        <w:t> </w:t>
      </w:r>
      <w:r w:rsidR="00F21E53" w:rsidRPr="00616A3B">
        <w:t xml:space="preserve">December 2019; </w:t>
      </w:r>
      <w:r w:rsidR="00C908A0" w:rsidRPr="00616A3B">
        <w:t>data lock point (</w:t>
      </w:r>
      <w:r w:rsidR="00F21E53" w:rsidRPr="00616A3B">
        <w:t>DLP</w:t>
      </w:r>
      <w:r w:rsidR="00C908A0" w:rsidRPr="00616A3B">
        <w:t>)</w:t>
      </w:r>
      <w:r w:rsidR="00F21E53" w:rsidRPr="00616A3B">
        <w:t xml:space="preserve"> 11 December 2019) in support of this application. At </w:t>
      </w:r>
      <w:r w:rsidRPr="00616A3B">
        <w:t>the second r</w:t>
      </w:r>
      <w:r w:rsidR="00F21E53" w:rsidRPr="00616A3B">
        <w:t>ound, an updated version was submitted (version 0.2, dated 18</w:t>
      </w:r>
      <w:r w:rsidR="006C442A">
        <w:t> </w:t>
      </w:r>
      <w:r w:rsidR="00F21E53" w:rsidRPr="00616A3B">
        <w:t xml:space="preserve">December 2019; DLP 11 December 2019). At </w:t>
      </w:r>
      <w:r w:rsidRPr="00616A3B">
        <w:t>the third r</w:t>
      </w:r>
      <w:r w:rsidR="00F21E53" w:rsidRPr="00616A3B">
        <w:t>ound, an updated version was submitted (version 0.3; DLP 11 December 2019).</w:t>
      </w:r>
    </w:p>
    <w:p w14:paraId="0B7D47FE" w14:textId="34BABB66" w:rsidR="007D53B6" w:rsidRPr="00616A3B" w:rsidRDefault="007D53B6" w:rsidP="00F21E53">
      <w:r w:rsidRPr="00616A3B">
        <w:t xml:space="preserve">The summary of safety concerns and their associated risk monitoring and mitigation strategies are summarised in </w:t>
      </w:r>
      <w:r w:rsidR="00093209" w:rsidRPr="00616A3B">
        <w:fldChar w:fldCharType="begin"/>
      </w:r>
      <w:r w:rsidR="00093209" w:rsidRPr="00616A3B">
        <w:instrText xml:space="preserve"> REF _Ref65499477 \h </w:instrText>
      </w:r>
      <w:r w:rsidR="00616A3B">
        <w:instrText xml:space="preserve"> \* MERGEFORMAT </w:instrText>
      </w:r>
      <w:r w:rsidR="00093209" w:rsidRPr="00616A3B">
        <w:fldChar w:fldCharType="separate"/>
      </w:r>
      <w:r w:rsidR="005815A1" w:rsidRPr="00616A3B">
        <w:t xml:space="preserve">Table </w:t>
      </w:r>
      <w:r w:rsidR="005815A1">
        <w:rPr>
          <w:noProof/>
        </w:rPr>
        <w:t>13</w:t>
      </w:r>
      <w:r w:rsidR="00093209" w:rsidRPr="00616A3B">
        <w:fldChar w:fldCharType="end"/>
      </w:r>
      <w:r w:rsidRPr="00616A3B">
        <w:t>.</w:t>
      </w:r>
      <w:r w:rsidRPr="00616A3B">
        <w:rPr>
          <w:rStyle w:val="FootnoteReference"/>
        </w:rPr>
        <w:footnoteReference w:id="19"/>
      </w:r>
    </w:p>
    <w:p w14:paraId="603F8036" w14:textId="44F89526" w:rsidR="00093209" w:rsidRPr="00616A3B" w:rsidRDefault="00093209" w:rsidP="00093209">
      <w:pPr>
        <w:pStyle w:val="TableTitle"/>
      </w:pPr>
      <w:bookmarkStart w:id="66" w:name="_Ref65499477"/>
      <w:r w:rsidRPr="00616A3B">
        <w:t xml:space="preserve">Table </w:t>
      </w:r>
      <w:fldSimple w:instr=" SEQ Table \* ARABIC ">
        <w:r w:rsidR="005815A1">
          <w:rPr>
            <w:noProof/>
          </w:rPr>
          <w:t>13</w:t>
        </w:r>
      </w:fldSimple>
      <w:bookmarkEnd w:id="66"/>
      <w:r w:rsidRPr="00616A3B">
        <w:t>: Summary of safety concerns</w:t>
      </w:r>
    </w:p>
    <w:tbl>
      <w:tblPr>
        <w:tblStyle w:val="TableTGAblue"/>
        <w:tblW w:w="5000" w:type="pct"/>
        <w:tblLayout w:type="fixed"/>
        <w:tblLook w:val="04A0" w:firstRow="1" w:lastRow="0" w:firstColumn="1" w:lastColumn="0" w:noHBand="0" w:noVBand="1"/>
      </w:tblPr>
      <w:tblGrid>
        <w:gridCol w:w="1442"/>
        <w:gridCol w:w="2010"/>
        <w:gridCol w:w="1206"/>
        <w:gridCol w:w="1339"/>
        <w:gridCol w:w="1206"/>
        <w:gridCol w:w="1291"/>
      </w:tblGrid>
      <w:tr w:rsidR="00F21E53" w:rsidRPr="00616A3B" w14:paraId="78C6C3BB" w14:textId="77777777" w:rsidTr="006C7E21">
        <w:trPr>
          <w:cnfStyle w:val="100000000000" w:firstRow="1" w:lastRow="0" w:firstColumn="0" w:lastColumn="0" w:oddVBand="0" w:evenVBand="0" w:oddHBand="0" w:evenHBand="0" w:firstRowFirstColumn="0" w:firstRowLastColumn="0" w:lastRowFirstColumn="0" w:lastRowLastColumn="0"/>
          <w:trHeight w:val="131"/>
        </w:trPr>
        <w:tc>
          <w:tcPr>
            <w:tcW w:w="2032" w:type="pct"/>
            <w:gridSpan w:val="2"/>
            <w:vMerge w:val="restart"/>
            <w:tcBorders>
              <w:top w:val="single" w:sz="4" w:space="0" w:color="auto"/>
              <w:left w:val="single" w:sz="4" w:space="0" w:color="auto"/>
              <w:bottom w:val="single" w:sz="4" w:space="0" w:color="auto"/>
              <w:right w:val="single" w:sz="4" w:space="0" w:color="auto"/>
            </w:tcBorders>
          </w:tcPr>
          <w:p w14:paraId="7F268682" w14:textId="77777777" w:rsidR="00F21E53" w:rsidRPr="00616A3B" w:rsidRDefault="00F21E53" w:rsidP="00CA4DFA">
            <w:pPr>
              <w:pStyle w:val="Tabletext"/>
              <w:rPr>
                <w:b w:val="0"/>
              </w:rPr>
            </w:pPr>
            <w:r w:rsidRPr="00616A3B">
              <w:t>Summary of safety concerns</w:t>
            </w:r>
          </w:p>
        </w:tc>
        <w:tc>
          <w:tcPr>
            <w:tcW w:w="1498" w:type="pct"/>
            <w:gridSpan w:val="2"/>
            <w:tcBorders>
              <w:top w:val="single" w:sz="4" w:space="0" w:color="auto"/>
              <w:left w:val="single" w:sz="4" w:space="0" w:color="auto"/>
              <w:bottom w:val="single" w:sz="4" w:space="0" w:color="auto"/>
              <w:right w:val="single" w:sz="4" w:space="0" w:color="auto"/>
            </w:tcBorders>
          </w:tcPr>
          <w:p w14:paraId="040322D7" w14:textId="77777777" w:rsidR="00F21E53" w:rsidRPr="00616A3B" w:rsidRDefault="00F21E53" w:rsidP="00CA4DFA">
            <w:pPr>
              <w:pStyle w:val="Tabletext"/>
              <w:rPr>
                <w:b w:val="0"/>
                <w:sz w:val="18"/>
              </w:rPr>
            </w:pPr>
            <w:r w:rsidRPr="00616A3B">
              <w:rPr>
                <w:sz w:val="18"/>
              </w:rPr>
              <w:t>Pharmacovigilance</w:t>
            </w:r>
          </w:p>
        </w:tc>
        <w:tc>
          <w:tcPr>
            <w:tcW w:w="1470" w:type="pct"/>
            <w:gridSpan w:val="2"/>
            <w:tcBorders>
              <w:top w:val="single" w:sz="4" w:space="0" w:color="auto"/>
              <w:left w:val="single" w:sz="4" w:space="0" w:color="auto"/>
              <w:bottom w:val="single" w:sz="4" w:space="0" w:color="auto"/>
              <w:right w:val="single" w:sz="4" w:space="0" w:color="auto"/>
            </w:tcBorders>
          </w:tcPr>
          <w:p w14:paraId="075C3E18" w14:textId="77777777" w:rsidR="00F21E53" w:rsidRPr="00616A3B" w:rsidRDefault="00F21E53" w:rsidP="00CA4DFA">
            <w:pPr>
              <w:pStyle w:val="Tabletext"/>
              <w:rPr>
                <w:b w:val="0"/>
                <w:sz w:val="18"/>
              </w:rPr>
            </w:pPr>
            <w:r w:rsidRPr="00616A3B">
              <w:rPr>
                <w:sz w:val="18"/>
              </w:rPr>
              <w:t>Risk Minimisation</w:t>
            </w:r>
          </w:p>
        </w:tc>
      </w:tr>
      <w:tr w:rsidR="00F21E53" w:rsidRPr="00616A3B" w14:paraId="4D4878E4" w14:textId="77777777" w:rsidTr="006C7E21">
        <w:trPr>
          <w:trHeight w:val="150"/>
        </w:trPr>
        <w:tc>
          <w:tcPr>
            <w:tcW w:w="2032" w:type="pct"/>
            <w:gridSpan w:val="2"/>
            <w:vMerge/>
            <w:tcBorders>
              <w:top w:val="single" w:sz="4" w:space="0" w:color="auto"/>
              <w:left w:val="single" w:sz="4" w:space="0" w:color="auto"/>
              <w:bottom w:val="single" w:sz="4" w:space="0" w:color="auto"/>
              <w:right w:val="single" w:sz="4" w:space="0" w:color="auto"/>
            </w:tcBorders>
          </w:tcPr>
          <w:p w14:paraId="7C4FD2CB" w14:textId="77777777" w:rsidR="00F21E53" w:rsidRPr="00616A3B" w:rsidRDefault="00F21E53" w:rsidP="00CA4DFA">
            <w:pPr>
              <w:pStyle w:val="Tabletext"/>
              <w:rPr>
                <w:b/>
              </w:rPr>
            </w:pPr>
          </w:p>
        </w:tc>
        <w:tc>
          <w:tcPr>
            <w:tcW w:w="710" w:type="pct"/>
            <w:tcBorders>
              <w:top w:val="single" w:sz="4" w:space="0" w:color="auto"/>
              <w:left w:val="single" w:sz="4" w:space="0" w:color="auto"/>
              <w:bottom w:val="single" w:sz="4" w:space="0" w:color="auto"/>
              <w:right w:val="single" w:sz="4" w:space="0" w:color="auto"/>
            </w:tcBorders>
            <w:shd w:val="clear" w:color="auto" w:fill="006DA7"/>
            <w:vAlign w:val="center"/>
          </w:tcPr>
          <w:p w14:paraId="1D56AB50" w14:textId="77777777" w:rsidR="00F21E53" w:rsidRPr="00B45D7D" w:rsidRDefault="00F21E53" w:rsidP="00F21E53">
            <w:pPr>
              <w:pStyle w:val="Standard"/>
              <w:spacing w:after="0"/>
              <w:rPr>
                <w:rFonts w:asciiTheme="majorHAnsi" w:hAnsiTheme="majorHAnsi"/>
                <w:b/>
                <w:color w:val="FFFFFF" w:themeColor="background1"/>
                <w:kern w:val="0"/>
                <w:sz w:val="20"/>
                <w:szCs w:val="20"/>
              </w:rPr>
            </w:pPr>
            <w:r w:rsidRPr="00B45D7D">
              <w:rPr>
                <w:b/>
                <w:color w:val="FFFFFF" w:themeColor="background1"/>
                <w:kern w:val="0"/>
                <w:sz w:val="18"/>
              </w:rPr>
              <w:t>Routine</w:t>
            </w:r>
            <w:r w:rsidRPr="00B45D7D">
              <w:rPr>
                <w:b/>
                <w:color w:val="FFFFFF" w:themeColor="background1"/>
                <w:sz w:val="20"/>
                <w:szCs w:val="20"/>
              </w:rPr>
              <w:t>†</w:t>
            </w:r>
          </w:p>
        </w:tc>
        <w:tc>
          <w:tcPr>
            <w:tcW w:w="788" w:type="pct"/>
            <w:tcBorders>
              <w:top w:val="single" w:sz="4" w:space="0" w:color="auto"/>
              <w:left w:val="single" w:sz="4" w:space="0" w:color="auto"/>
              <w:bottom w:val="single" w:sz="4" w:space="0" w:color="auto"/>
              <w:right w:val="single" w:sz="4" w:space="0" w:color="auto"/>
            </w:tcBorders>
            <w:shd w:val="clear" w:color="auto" w:fill="006DA7"/>
          </w:tcPr>
          <w:p w14:paraId="20F6CF64" w14:textId="77777777" w:rsidR="00F21E53" w:rsidRPr="00B45D7D" w:rsidRDefault="00F21E53" w:rsidP="00CA4DFA">
            <w:pPr>
              <w:pStyle w:val="Tabletext"/>
              <w:rPr>
                <w:b/>
                <w:color w:val="FFFFFF" w:themeColor="background1"/>
                <w:sz w:val="18"/>
              </w:rPr>
            </w:pPr>
            <w:r w:rsidRPr="00B45D7D">
              <w:rPr>
                <w:b/>
                <w:color w:val="FFFFFF" w:themeColor="background1"/>
                <w:sz w:val="18"/>
              </w:rPr>
              <w:t>Additional</w:t>
            </w:r>
          </w:p>
        </w:tc>
        <w:tc>
          <w:tcPr>
            <w:tcW w:w="710" w:type="pct"/>
            <w:tcBorders>
              <w:top w:val="single" w:sz="4" w:space="0" w:color="auto"/>
              <w:left w:val="single" w:sz="4" w:space="0" w:color="auto"/>
              <w:bottom w:val="single" w:sz="4" w:space="0" w:color="auto"/>
              <w:right w:val="single" w:sz="4" w:space="0" w:color="auto"/>
            </w:tcBorders>
            <w:shd w:val="clear" w:color="auto" w:fill="006DA7"/>
          </w:tcPr>
          <w:p w14:paraId="377EF310" w14:textId="77777777" w:rsidR="00F21E53" w:rsidRPr="00B45D7D" w:rsidRDefault="00F21E53" w:rsidP="00CA4DFA">
            <w:pPr>
              <w:pStyle w:val="Tabletext"/>
              <w:rPr>
                <w:b/>
                <w:color w:val="FFFFFF" w:themeColor="background1"/>
                <w:sz w:val="18"/>
              </w:rPr>
            </w:pPr>
            <w:r w:rsidRPr="00B45D7D">
              <w:rPr>
                <w:b/>
                <w:color w:val="FFFFFF" w:themeColor="background1"/>
                <w:sz w:val="18"/>
              </w:rPr>
              <w:t>Routine</w:t>
            </w:r>
          </w:p>
        </w:tc>
        <w:tc>
          <w:tcPr>
            <w:tcW w:w="760" w:type="pct"/>
            <w:tcBorders>
              <w:top w:val="single" w:sz="4" w:space="0" w:color="auto"/>
              <w:left w:val="single" w:sz="4" w:space="0" w:color="auto"/>
              <w:bottom w:val="single" w:sz="4" w:space="0" w:color="auto"/>
              <w:right w:val="single" w:sz="4" w:space="0" w:color="auto"/>
            </w:tcBorders>
            <w:shd w:val="clear" w:color="auto" w:fill="006DA7"/>
          </w:tcPr>
          <w:p w14:paraId="1C3F8E72" w14:textId="77777777" w:rsidR="00F21E53" w:rsidRPr="00B45D7D" w:rsidRDefault="00F21E53" w:rsidP="00CA4DFA">
            <w:pPr>
              <w:pStyle w:val="Tabletext"/>
              <w:rPr>
                <w:b/>
                <w:color w:val="FFFFFF" w:themeColor="background1"/>
                <w:sz w:val="18"/>
              </w:rPr>
            </w:pPr>
            <w:r w:rsidRPr="00B45D7D">
              <w:rPr>
                <w:b/>
                <w:color w:val="FFFFFF" w:themeColor="background1"/>
                <w:sz w:val="18"/>
              </w:rPr>
              <w:t>Additional</w:t>
            </w:r>
          </w:p>
        </w:tc>
      </w:tr>
      <w:tr w:rsidR="00F21E53" w:rsidRPr="00616A3B" w14:paraId="3A67C1EE" w14:textId="77777777" w:rsidTr="006C7E21">
        <w:trPr>
          <w:trHeight w:val="137"/>
        </w:trPr>
        <w:tc>
          <w:tcPr>
            <w:tcW w:w="849" w:type="pct"/>
            <w:tcBorders>
              <w:top w:val="single" w:sz="4" w:space="0" w:color="auto"/>
            </w:tcBorders>
          </w:tcPr>
          <w:p w14:paraId="7052959F" w14:textId="77777777" w:rsidR="00F21E53" w:rsidRPr="00616A3B" w:rsidRDefault="00F21E53" w:rsidP="00F21E53">
            <w:pPr>
              <w:pStyle w:val="Tabletext"/>
              <w:ind w:left="0"/>
              <w:rPr>
                <w:b/>
              </w:rPr>
            </w:pPr>
            <w:r w:rsidRPr="00616A3B">
              <w:rPr>
                <w:b/>
              </w:rPr>
              <w:t>Important identified risks</w:t>
            </w:r>
          </w:p>
        </w:tc>
        <w:tc>
          <w:tcPr>
            <w:tcW w:w="1183" w:type="pct"/>
            <w:tcBorders>
              <w:top w:val="single" w:sz="4" w:space="0" w:color="auto"/>
            </w:tcBorders>
          </w:tcPr>
          <w:p w14:paraId="2B42E9F3" w14:textId="77777777" w:rsidR="00F21E53" w:rsidRPr="00616A3B" w:rsidRDefault="00F21E53" w:rsidP="00F21E53">
            <w:pPr>
              <w:pStyle w:val="Tabletext"/>
              <w:ind w:left="0"/>
            </w:pPr>
            <w:r w:rsidRPr="00616A3B">
              <w:t>Risk of neurological deterioration during early stages of treatment</w:t>
            </w:r>
          </w:p>
        </w:tc>
        <w:tc>
          <w:tcPr>
            <w:tcW w:w="710" w:type="pct"/>
            <w:tcBorders>
              <w:top w:val="single" w:sz="4" w:space="0" w:color="auto"/>
            </w:tcBorders>
          </w:tcPr>
          <w:p w14:paraId="4115EC6A" w14:textId="77777777" w:rsidR="00F21E53" w:rsidRPr="00616A3B" w:rsidRDefault="00F21E53" w:rsidP="00CA4DFA">
            <w:pPr>
              <w:pStyle w:val="Tabletext"/>
              <w:jc w:val="center"/>
            </w:pPr>
            <w:r w:rsidRPr="00616A3B">
              <w:sym w:font="Wingdings" w:char="F0FC"/>
            </w:r>
          </w:p>
        </w:tc>
        <w:tc>
          <w:tcPr>
            <w:tcW w:w="788" w:type="pct"/>
            <w:tcBorders>
              <w:top w:val="single" w:sz="4" w:space="0" w:color="auto"/>
            </w:tcBorders>
          </w:tcPr>
          <w:p w14:paraId="011B6FE2" w14:textId="77777777" w:rsidR="00F21E53" w:rsidRPr="00616A3B" w:rsidRDefault="00F21E53" w:rsidP="00CA4DFA">
            <w:pPr>
              <w:pStyle w:val="Tabletext"/>
              <w:jc w:val="center"/>
            </w:pPr>
            <w:r w:rsidRPr="00616A3B">
              <w:t>–</w:t>
            </w:r>
          </w:p>
        </w:tc>
        <w:tc>
          <w:tcPr>
            <w:tcW w:w="710" w:type="pct"/>
            <w:tcBorders>
              <w:top w:val="single" w:sz="4" w:space="0" w:color="auto"/>
            </w:tcBorders>
          </w:tcPr>
          <w:p w14:paraId="149FEE9F" w14:textId="77777777" w:rsidR="00F21E53" w:rsidRPr="00616A3B" w:rsidRDefault="00F21E53" w:rsidP="00CA4DFA">
            <w:pPr>
              <w:pStyle w:val="Tabletext"/>
              <w:jc w:val="center"/>
            </w:pPr>
            <w:r w:rsidRPr="00616A3B">
              <w:sym w:font="Wingdings" w:char="F0FC"/>
            </w:r>
          </w:p>
        </w:tc>
        <w:tc>
          <w:tcPr>
            <w:tcW w:w="760" w:type="pct"/>
            <w:tcBorders>
              <w:top w:val="single" w:sz="4" w:space="0" w:color="auto"/>
            </w:tcBorders>
          </w:tcPr>
          <w:p w14:paraId="5692021C" w14:textId="77777777" w:rsidR="00F21E53" w:rsidRPr="00616A3B" w:rsidRDefault="00F21E53" w:rsidP="00CA4DFA">
            <w:pPr>
              <w:pStyle w:val="Tabletext"/>
              <w:jc w:val="center"/>
            </w:pPr>
            <w:r w:rsidRPr="00616A3B">
              <w:t>–</w:t>
            </w:r>
          </w:p>
        </w:tc>
      </w:tr>
      <w:tr w:rsidR="00F21E53" w:rsidRPr="00616A3B" w14:paraId="29C8282A" w14:textId="77777777" w:rsidTr="006C7E21">
        <w:trPr>
          <w:trHeight w:val="159"/>
        </w:trPr>
        <w:tc>
          <w:tcPr>
            <w:tcW w:w="849" w:type="pct"/>
            <w:vMerge w:val="restart"/>
          </w:tcPr>
          <w:p w14:paraId="398789D9" w14:textId="77777777" w:rsidR="00F21E53" w:rsidRPr="00616A3B" w:rsidRDefault="00F21E53" w:rsidP="00F21E53">
            <w:pPr>
              <w:pStyle w:val="Tabletext"/>
              <w:ind w:left="0"/>
              <w:rPr>
                <w:b/>
              </w:rPr>
            </w:pPr>
            <w:r w:rsidRPr="00616A3B">
              <w:rPr>
                <w:b/>
              </w:rPr>
              <w:t>Important potential risks</w:t>
            </w:r>
          </w:p>
        </w:tc>
        <w:tc>
          <w:tcPr>
            <w:tcW w:w="1183" w:type="pct"/>
          </w:tcPr>
          <w:p w14:paraId="1FC02120" w14:textId="77777777" w:rsidR="00F21E53" w:rsidRPr="00616A3B" w:rsidRDefault="00F21E53" w:rsidP="00F21E53">
            <w:pPr>
              <w:pStyle w:val="Tabletext"/>
              <w:ind w:left="0"/>
            </w:pPr>
            <w:r w:rsidRPr="00616A3B">
              <w:t>Gastrointestinal disturbances</w:t>
            </w:r>
          </w:p>
        </w:tc>
        <w:tc>
          <w:tcPr>
            <w:tcW w:w="710" w:type="pct"/>
          </w:tcPr>
          <w:p w14:paraId="28C3938E" w14:textId="77777777" w:rsidR="00F21E53" w:rsidRPr="00616A3B" w:rsidRDefault="00F21E53" w:rsidP="00CA4DFA">
            <w:pPr>
              <w:pStyle w:val="Tabletext"/>
              <w:jc w:val="center"/>
            </w:pPr>
            <w:r w:rsidRPr="00616A3B">
              <w:sym w:font="Wingdings" w:char="F0FC"/>
            </w:r>
          </w:p>
        </w:tc>
        <w:tc>
          <w:tcPr>
            <w:tcW w:w="788" w:type="pct"/>
          </w:tcPr>
          <w:p w14:paraId="72007AA3" w14:textId="77777777" w:rsidR="00F21E53" w:rsidRPr="00616A3B" w:rsidRDefault="00F21E53" w:rsidP="00CA4DFA">
            <w:pPr>
              <w:pStyle w:val="Tabletext"/>
              <w:jc w:val="center"/>
            </w:pPr>
            <w:r w:rsidRPr="00616A3B">
              <w:t>–</w:t>
            </w:r>
          </w:p>
        </w:tc>
        <w:tc>
          <w:tcPr>
            <w:tcW w:w="710" w:type="pct"/>
          </w:tcPr>
          <w:p w14:paraId="176DA711" w14:textId="77777777" w:rsidR="00F21E53" w:rsidRPr="00616A3B" w:rsidRDefault="00F21E53" w:rsidP="00CA4DFA">
            <w:pPr>
              <w:pStyle w:val="Tabletext"/>
              <w:jc w:val="center"/>
            </w:pPr>
            <w:r w:rsidRPr="00616A3B">
              <w:sym w:font="Wingdings" w:char="F0FC"/>
            </w:r>
          </w:p>
        </w:tc>
        <w:tc>
          <w:tcPr>
            <w:tcW w:w="760" w:type="pct"/>
          </w:tcPr>
          <w:p w14:paraId="64AF07B9" w14:textId="77777777" w:rsidR="00F21E53" w:rsidRPr="00616A3B" w:rsidRDefault="00F21E53" w:rsidP="00CA4DFA">
            <w:pPr>
              <w:pStyle w:val="Tabletext"/>
              <w:jc w:val="center"/>
            </w:pPr>
            <w:r w:rsidRPr="00616A3B">
              <w:t>–</w:t>
            </w:r>
          </w:p>
        </w:tc>
      </w:tr>
      <w:tr w:rsidR="00F21E53" w:rsidRPr="00616A3B" w14:paraId="0FE48903" w14:textId="77777777" w:rsidTr="006C7E21">
        <w:trPr>
          <w:trHeight w:val="159"/>
        </w:trPr>
        <w:tc>
          <w:tcPr>
            <w:tcW w:w="849" w:type="pct"/>
            <w:vMerge/>
          </w:tcPr>
          <w:p w14:paraId="7EB99292" w14:textId="77777777" w:rsidR="00F21E53" w:rsidRPr="00616A3B" w:rsidRDefault="00F21E53" w:rsidP="00CA4DFA">
            <w:pPr>
              <w:pStyle w:val="Tabletext"/>
              <w:rPr>
                <w:b/>
              </w:rPr>
            </w:pPr>
          </w:p>
        </w:tc>
        <w:tc>
          <w:tcPr>
            <w:tcW w:w="1183" w:type="pct"/>
          </w:tcPr>
          <w:p w14:paraId="3038D789" w14:textId="77777777" w:rsidR="00F21E53" w:rsidRPr="00616A3B" w:rsidRDefault="00F21E53" w:rsidP="00F21E53">
            <w:pPr>
              <w:pStyle w:val="Tabletext"/>
              <w:ind w:left="0"/>
            </w:pPr>
            <w:r w:rsidRPr="00616A3B">
              <w:t>Iron-deficiency including anaemia</w:t>
            </w:r>
          </w:p>
        </w:tc>
        <w:tc>
          <w:tcPr>
            <w:tcW w:w="710" w:type="pct"/>
          </w:tcPr>
          <w:p w14:paraId="0FB17D36" w14:textId="77777777" w:rsidR="00F21E53" w:rsidRPr="00616A3B" w:rsidRDefault="00F21E53" w:rsidP="00CA4DFA">
            <w:pPr>
              <w:pStyle w:val="Tabletext"/>
              <w:jc w:val="center"/>
            </w:pPr>
            <w:r w:rsidRPr="00616A3B">
              <w:sym w:font="Wingdings" w:char="F0FC"/>
            </w:r>
          </w:p>
        </w:tc>
        <w:tc>
          <w:tcPr>
            <w:tcW w:w="788" w:type="pct"/>
          </w:tcPr>
          <w:p w14:paraId="271D3D50" w14:textId="77777777" w:rsidR="00F21E53" w:rsidRPr="00616A3B" w:rsidRDefault="00F21E53" w:rsidP="00CA4DFA">
            <w:pPr>
              <w:pStyle w:val="Tabletext"/>
              <w:jc w:val="center"/>
            </w:pPr>
            <w:r w:rsidRPr="00616A3B">
              <w:t>–</w:t>
            </w:r>
          </w:p>
        </w:tc>
        <w:tc>
          <w:tcPr>
            <w:tcW w:w="710" w:type="pct"/>
          </w:tcPr>
          <w:p w14:paraId="27C5DE7C" w14:textId="77777777" w:rsidR="00F21E53" w:rsidRPr="00616A3B" w:rsidRDefault="00F21E53" w:rsidP="00CA4DFA">
            <w:pPr>
              <w:pStyle w:val="Tabletext"/>
              <w:jc w:val="center"/>
            </w:pPr>
            <w:r w:rsidRPr="00616A3B">
              <w:sym w:font="Wingdings" w:char="F0FC"/>
            </w:r>
          </w:p>
        </w:tc>
        <w:tc>
          <w:tcPr>
            <w:tcW w:w="760" w:type="pct"/>
          </w:tcPr>
          <w:p w14:paraId="6CF50C44" w14:textId="77777777" w:rsidR="00F21E53" w:rsidRPr="00616A3B" w:rsidRDefault="00F21E53" w:rsidP="00CA4DFA">
            <w:pPr>
              <w:pStyle w:val="Tabletext"/>
              <w:jc w:val="center"/>
            </w:pPr>
            <w:r w:rsidRPr="00616A3B">
              <w:t>–</w:t>
            </w:r>
          </w:p>
        </w:tc>
      </w:tr>
      <w:tr w:rsidR="00F21E53" w:rsidRPr="00616A3B" w14:paraId="0710F4BE" w14:textId="77777777" w:rsidTr="006C7E21">
        <w:trPr>
          <w:trHeight w:val="159"/>
        </w:trPr>
        <w:tc>
          <w:tcPr>
            <w:tcW w:w="849" w:type="pct"/>
            <w:vMerge/>
          </w:tcPr>
          <w:p w14:paraId="4D68F8C1" w14:textId="77777777" w:rsidR="00F21E53" w:rsidRPr="00616A3B" w:rsidRDefault="00F21E53" w:rsidP="00CA4DFA">
            <w:pPr>
              <w:pStyle w:val="Tabletext"/>
              <w:rPr>
                <w:b/>
              </w:rPr>
            </w:pPr>
          </w:p>
        </w:tc>
        <w:tc>
          <w:tcPr>
            <w:tcW w:w="1183" w:type="pct"/>
          </w:tcPr>
          <w:p w14:paraId="4F1BD496" w14:textId="77777777" w:rsidR="00F21E53" w:rsidRPr="00616A3B" w:rsidRDefault="00F21E53" w:rsidP="00F21E53">
            <w:pPr>
              <w:pStyle w:val="Tabletext"/>
              <w:ind w:left="0"/>
            </w:pPr>
            <w:r w:rsidRPr="00616A3B">
              <w:t>Zinc-deficiency</w:t>
            </w:r>
          </w:p>
        </w:tc>
        <w:tc>
          <w:tcPr>
            <w:tcW w:w="710" w:type="pct"/>
          </w:tcPr>
          <w:p w14:paraId="79B75B7A" w14:textId="77777777" w:rsidR="00F21E53" w:rsidRPr="00616A3B" w:rsidRDefault="00F21E53" w:rsidP="00CA4DFA">
            <w:pPr>
              <w:pStyle w:val="Tabletext"/>
              <w:jc w:val="center"/>
            </w:pPr>
            <w:r w:rsidRPr="00616A3B">
              <w:sym w:font="Wingdings" w:char="F0FC"/>
            </w:r>
          </w:p>
        </w:tc>
        <w:tc>
          <w:tcPr>
            <w:tcW w:w="788" w:type="pct"/>
          </w:tcPr>
          <w:p w14:paraId="0A3D411F" w14:textId="77777777" w:rsidR="00F21E53" w:rsidRPr="00616A3B" w:rsidRDefault="00F21E53" w:rsidP="00CA4DFA">
            <w:pPr>
              <w:pStyle w:val="Tabletext"/>
              <w:jc w:val="center"/>
            </w:pPr>
            <w:r w:rsidRPr="00616A3B">
              <w:t>–</w:t>
            </w:r>
          </w:p>
        </w:tc>
        <w:tc>
          <w:tcPr>
            <w:tcW w:w="710" w:type="pct"/>
          </w:tcPr>
          <w:p w14:paraId="6AF80805" w14:textId="77777777" w:rsidR="00F21E53" w:rsidRPr="00616A3B" w:rsidRDefault="00F21E53" w:rsidP="00CA4DFA">
            <w:pPr>
              <w:pStyle w:val="Tabletext"/>
              <w:jc w:val="center"/>
            </w:pPr>
            <w:r w:rsidRPr="00616A3B">
              <w:sym w:font="Wingdings" w:char="F0FC"/>
            </w:r>
          </w:p>
        </w:tc>
        <w:tc>
          <w:tcPr>
            <w:tcW w:w="760" w:type="pct"/>
          </w:tcPr>
          <w:p w14:paraId="485885C7" w14:textId="77777777" w:rsidR="00F21E53" w:rsidRPr="00616A3B" w:rsidRDefault="00F21E53" w:rsidP="00CA4DFA">
            <w:pPr>
              <w:pStyle w:val="Tabletext"/>
              <w:jc w:val="center"/>
            </w:pPr>
            <w:r w:rsidRPr="00616A3B">
              <w:t>–</w:t>
            </w:r>
          </w:p>
        </w:tc>
      </w:tr>
      <w:tr w:rsidR="00F21E53" w:rsidRPr="00616A3B" w14:paraId="5896C7CE" w14:textId="77777777" w:rsidTr="006C7E21">
        <w:trPr>
          <w:trHeight w:val="159"/>
        </w:trPr>
        <w:tc>
          <w:tcPr>
            <w:tcW w:w="849" w:type="pct"/>
            <w:vMerge/>
          </w:tcPr>
          <w:p w14:paraId="3089E182" w14:textId="77777777" w:rsidR="00F21E53" w:rsidRPr="00616A3B" w:rsidRDefault="00F21E53" w:rsidP="00CA4DFA">
            <w:pPr>
              <w:pStyle w:val="Tabletext"/>
              <w:rPr>
                <w:b/>
              </w:rPr>
            </w:pPr>
          </w:p>
        </w:tc>
        <w:tc>
          <w:tcPr>
            <w:tcW w:w="1183" w:type="pct"/>
          </w:tcPr>
          <w:p w14:paraId="349D12D1" w14:textId="77777777" w:rsidR="00F21E53" w:rsidRPr="00616A3B" w:rsidRDefault="00F21E53" w:rsidP="00F21E53">
            <w:pPr>
              <w:pStyle w:val="Tabletext"/>
              <w:ind w:left="0"/>
            </w:pPr>
            <w:r w:rsidRPr="00616A3B">
              <w:t>Isolated elevation of liver enzymes</w:t>
            </w:r>
          </w:p>
        </w:tc>
        <w:tc>
          <w:tcPr>
            <w:tcW w:w="710" w:type="pct"/>
          </w:tcPr>
          <w:p w14:paraId="08E7A68F" w14:textId="77777777" w:rsidR="00F21E53" w:rsidRPr="00616A3B" w:rsidRDefault="00F21E53" w:rsidP="00CA4DFA">
            <w:pPr>
              <w:pStyle w:val="Tabletext"/>
              <w:jc w:val="center"/>
            </w:pPr>
            <w:r w:rsidRPr="00616A3B">
              <w:sym w:font="Wingdings" w:char="F0FC"/>
            </w:r>
          </w:p>
        </w:tc>
        <w:tc>
          <w:tcPr>
            <w:tcW w:w="788" w:type="pct"/>
          </w:tcPr>
          <w:p w14:paraId="39ED6C21" w14:textId="77777777" w:rsidR="00F21E53" w:rsidRPr="00616A3B" w:rsidRDefault="00F21E53" w:rsidP="00CA4DFA">
            <w:pPr>
              <w:pStyle w:val="Tabletext"/>
              <w:jc w:val="center"/>
            </w:pPr>
            <w:r w:rsidRPr="00616A3B">
              <w:t>–</w:t>
            </w:r>
          </w:p>
        </w:tc>
        <w:tc>
          <w:tcPr>
            <w:tcW w:w="710" w:type="pct"/>
          </w:tcPr>
          <w:p w14:paraId="6459FFF5" w14:textId="77777777" w:rsidR="00F21E53" w:rsidRPr="00616A3B" w:rsidRDefault="00F21E53" w:rsidP="00CA4DFA">
            <w:pPr>
              <w:pStyle w:val="Tabletext"/>
              <w:jc w:val="center"/>
            </w:pPr>
            <w:r w:rsidRPr="00616A3B">
              <w:sym w:font="Wingdings" w:char="F0FC"/>
            </w:r>
          </w:p>
        </w:tc>
        <w:tc>
          <w:tcPr>
            <w:tcW w:w="760" w:type="pct"/>
          </w:tcPr>
          <w:p w14:paraId="6BBD4F44" w14:textId="77777777" w:rsidR="00F21E53" w:rsidRPr="00616A3B" w:rsidRDefault="00F21E53" w:rsidP="00CA4DFA">
            <w:pPr>
              <w:pStyle w:val="Tabletext"/>
              <w:jc w:val="center"/>
            </w:pPr>
            <w:r w:rsidRPr="00616A3B">
              <w:t>–</w:t>
            </w:r>
          </w:p>
        </w:tc>
      </w:tr>
      <w:tr w:rsidR="00F21E53" w:rsidRPr="00616A3B" w14:paraId="56AF296C" w14:textId="77777777" w:rsidTr="006C7E21">
        <w:trPr>
          <w:trHeight w:val="159"/>
        </w:trPr>
        <w:tc>
          <w:tcPr>
            <w:tcW w:w="849" w:type="pct"/>
            <w:vMerge/>
          </w:tcPr>
          <w:p w14:paraId="2B7C1D74" w14:textId="77777777" w:rsidR="00F21E53" w:rsidRPr="00616A3B" w:rsidRDefault="00F21E53" w:rsidP="00CA4DFA">
            <w:pPr>
              <w:pStyle w:val="Tabletext"/>
              <w:rPr>
                <w:b/>
              </w:rPr>
            </w:pPr>
          </w:p>
        </w:tc>
        <w:tc>
          <w:tcPr>
            <w:tcW w:w="1183" w:type="pct"/>
          </w:tcPr>
          <w:p w14:paraId="5382A908" w14:textId="77777777" w:rsidR="00F21E53" w:rsidRPr="00616A3B" w:rsidRDefault="00F21E53" w:rsidP="00F21E53">
            <w:pPr>
              <w:pStyle w:val="Tabletext"/>
              <w:ind w:left="0"/>
            </w:pPr>
            <w:r w:rsidRPr="00616A3B">
              <w:t>Increased pregnancy loss</w:t>
            </w:r>
          </w:p>
        </w:tc>
        <w:tc>
          <w:tcPr>
            <w:tcW w:w="710" w:type="pct"/>
          </w:tcPr>
          <w:p w14:paraId="569B7318" w14:textId="77777777" w:rsidR="00F21E53" w:rsidRPr="00616A3B" w:rsidRDefault="00F21E53" w:rsidP="00CA4DFA">
            <w:pPr>
              <w:pStyle w:val="Tabletext"/>
              <w:jc w:val="center"/>
            </w:pPr>
            <w:r w:rsidRPr="00616A3B">
              <w:sym w:font="Wingdings" w:char="F0FC"/>
            </w:r>
            <w:r w:rsidRPr="00616A3B">
              <w:t>*</w:t>
            </w:r>
          </w:p>
        </w:tc>
        <w:tc>
          <w:tcPr>
            <w:tcW w:w="788" w:type="pct"/>
          </w:tcPr>
          <w:p w14:paraId="249B3BBC" w14:textId="77777777" w:rsidR="00F21E53" w:rsidRPr="00616A3B" w:rsidRDefault="00F21E53" w:rsidP="00CA4DFA">
            <w:pPr>
              <w:pStyle w:val="Tabletext"/>
              <w:jc w:val="center"/>
            </w:pPr>
            <w:r w:rsidRPr="00616A3B">
              <w:t>–</w:t>
            </w:r>
          </w:p>
        </w:tc>
        <w:tc>
          <w:tcPr>
            <w:tcW w:w="710" w:type="pct"/>
          </w:tcPr>
          <w:p w14:paraId="724F50DE" w14:textId="77777777" w:rsidR="00F21E53" w:rsidRPr="00616A3B" w:rsidRDefault="00F21E53" w:rsidP="00CA4DFA">
            <w:pPr>
              <w:pStyle w:val="Tabletext"/>
              <w:jc w:val="center"/>
            </w:pPr>
            <w:r w:rsidRPr="00616A3B">
              <w:sym w:font="Wingdings" w:char="F0FC"/>
            </w:r>
          </w:p>
        </w:tc>
        <w:tc>
          <w:tcPr>
            <w:tcW w:w="760" w:type="pct"/>
          </w:tcPr>
          <w:p w14:paraId="67DE4FFA" w14:textId="77777777" w:rsidR="00F21E53" w:rsidRPr="00616A3B" w:rsidRDefault="00F21E53" w:rsidP="00CA4DFA">
            <w:pPr>
              <w:pStyle w:val="Tabletext"/>
              <w:jc w:val="center"/>
            </w:pPr>
            <w:r w:rsidRPr="00616A3B">
              <w:t>–</w:t>
            </w:r>
          </w:p>
        </w:tc>
      </w:tr>
      <w:tr w:rsidR="00F21E53" w:rsidRPr="00616A3B" w14:paraId="24CED242" w14:textId="77777777" w:rsidTr="006C7E21">
        <w:trPr>
          <w:trHeight w:val="178"/>
        </w:trPr>
        <w:tc>
          <w:tcPr>
            <w:tcW w:w="849" w:type="pct"/>
            <w:vMerge w:val="restart"/>
          </w:tcPr>
          <w:p w14:paraId="18D4FAE4" w14:textId="77777777" w:rsidR="00F21E53" w:rsidRPr="00616A3B" w:rsidRDefault="00F21E53" w:rsidP="00F21E53">
            <w:pPr>
              <w:pStyle w:val="Tabletext"/>
              <w:ind w:left="0"/>
              <w:rPr>
                <w:b/>
              </w:rPr>
            </w:pPr>
            <w:r w:rsidRPr="00616A3B">
              <w:rPr>
                <w:b/>
              </w:rPr>
              <w:t>Missing information</w:t>
            </w:r>
          </w:p>
        </w:tc>
        <w:tc>
          <w:tcPr>
            <w:tcW w:w="1183" w:type="pct"/>
          </w:tcPr>
          <w:p w14:paraId="3DA9AA76" w14:textId="77777777" w:rsidR="00F21E53" w:rsidRPr="00616A3B" w:rsidRDefault="00F21E53" w:rsidP="00F21E53">
            <w:pPr>
              <w:pStyle w:val="Tabletext"/>
              <w:ind w:left="0"/>
            </w:pPr>
            <w:r w:rsidRPr="00616A3B">
              <w:t>Drug exposure during pregnancy</w:t>
            </w:r>
          </w:p>
        </w:tc>
        <w:tc>
          <w:tcPr>
            <w:tcW w:w="710" w:type="pct"/>
          </w:tcPr>
          <w:p w14:paraId="30FD3C19" w14:textId="77777777" w:rsidR="00F21E53" w:rsidRPr="00616A3B" w:rsidRDefault="00F21E53" w:rsidP="00CA4DFA">
            <w:pPr>
              <w:pStyle w:val="Tabletext"/>
              <w:jc w:val="center"/>
            </w:pPr>
            <w:r w:rsidRPr="00616A3B">
              <w:sym w:font="Wingdings" w:char="F0FC"/>
            </w:r>
            <w:r w:rsidRPr="00616A3B">
              <w:t>*</w:t>
            </w:r>
          </w:p>
        </w:tc>
        <w:tc>
          <w:tcPr>
            <w:tcW w:w="788" w:type="pct"/>
          </w:tcPr>
          <w:p w14:paraId="7DF74CA4" w14:textId="77777777" w:rsidR="00F21E53" w:rsidRPr="00616A3B" w:rsidRDefault="00F21E53" w:rsidP="00CA4DFA">
            <w:pPr>
              <w:pStyle w:val="Tabletext"/>
              <w:jc w:val="center"/>
            </w:pPr>
            <w:r w:rsidRPr="00616A3B">
              <w:t>–</w:t>
            </w:r>
          </w:p>
        </w:tc>
        <w:tc>
          <w:tcPr>
            <w:tcW w:w="710" w:type="pct"/>
          </w:tcPr>
          <w:p w14:paraId="13442D50" w14:textId="77777777" w:rsidR="00F21E53" w:rsidRPr="00616A3B" w:rsidRDefault="00F21E53" w:rsidP="00CA4DFA">
            <w:pPr>
              <w:pStyle w:val="Tabletext"/>
              <w:jc w:val="center"/>
            </w:pPr>
            <w:r w:rsidRPr="00616A3B">
              <w:sym w:font="Wingdings" w:char="F0FC"/>
            </w:r>
          </w:p>
        </w:tc>
        <w:tc>
          <w:tcPr>
            <w:tcW w:w="760" w:type="pct"/>
          </w:tcPr>
          <w:p w14:paraId="398B01BF" w14:textId="77777777" w:rsidR="00F21E53" w:rsidRPr="00616A3B" w:rsidRDefault="00F21E53" w:rsidP="00CA4DFA">
            <w:pPr>
              <w:pStyle w:val="Tabletext"/>
              <w:jc w:val="center"/>
            </w:pPr>
            <w:r w:rsidRPr="00616A3B">
              <w:t>–</w:t>
            </w:r>
          </w:p>
        </w:tc>
      </w:tr>
      <w:tr w:rsidR="00F21E53" w:rsidRPr="00616A3B" w14:paraId="0FC4D93E" w14:textId="77777777" w:rsidTr="006C7E21">
        <w:trPr>
          <w:trHeight w:val="140"/>
        </w:trPr>
        <w:tc>
          <w:tcPr>
            <w:tcW w:w="849" w:type="pct"/>
            <w:vMerge/>
          </w:tcPr>
          <w:p w14:paraId="2D64E799" w14:textId="77777777" w:rsidR="00F21E53" w:rsidRPr="00616A3B" w:rsidRDefault="00F21E53" w:rsidP="00CA4DFA">
            <w:pPr>
              <w:pStyle w:val="Tabletext"/>
            </w:pPr>
          </w:p>
        </w:tc>
        <w:tc>
          <w:tcPr>
            <w:tcW w:w="1183" w:type="pct"/>
          </w:tcPr>
          <w:p w14:paraId="1315A636" w14:textId="77777777" w:rsidR="00F21E53" w:rsidRPr="00616A3B" w:rsidRDefault="00F21E53" w:rsidP="00F21E53">
            <w:pPr>
              <w:pStyle w:val="Tabletext"/>
              <w:ind w:left="0"/>
            </w:pPr>
            <w:r w:rsidRPr="00616A3B">
              <w:t>Use of drugs in lactation and in neonates</w:t>
            </w:r>
          </w:p>
        </w:tc>
        <w:tc>
          <w:tcPr>
            <w:tcW w:w="710" w:type="pct"/>
          </w:tcPr>
          <w:p w14:paraId="40961FFD" w14:textId="77777777" w:rsidR="00F21E53" w:rsidRPr="00616A3B" w:rsidRDefault="00F21E53" w:rsidP="00CA4DFA">
            <w:pPr>
              <w:pStyle w:val="Tabletext"/>
              <w:jc w:val="center"/>
            </w:pPr>
            <w:r w:rsidRPr="00616A3B">
              <w:sym w:font="Wingdings" w:char="F0FC"/>
            </w:r>
          </w:p>
        </w:tc>
        <w:tc>
          <w:tcPr>
            <w:tcW w:w="788" w:type="pct"/>
          </w:tcPr>
          <w:p w14:paraId="5A55F37E" w14:textId="77777777" w:rsidR="00F21E53" w:rsidRPr="00616A3B" w:rsidRDefault="00F21E53" w:rsidP="00CA4DFA">
            <w:pPr>
              <w:pStyle w:val="Tabletext"/>
              <w:jc w:val="center"/>
            </w:pPr>
            <w:r w:rsidRPr="00616A3B">
              <w:t>–</w:t>
            </w:r>
          </w:p>
        </w:tc>
        <w:tc>
          <w:tcPr>
            <w:tcW w:w="710" w:type="pct"/>
          </w:tcPr>
          <w:p w14:paraId="2E6B06A9" w14:textId="77777777" w:rsidR="00F21E53" w:rsidRPr="00616A3B" w:rsidRDefault="00F21E53" w:rsidP="00CA4DFA">
            <w:pPr>
              <w:pStyle w:val="Tabletext"/>
              <w:jc w:val="center"/>
            </w:pPr>
            <w:r w:rsidRPr="00616A3B">
              <w:sym w:font="Wingdings" w:char="F0FC"/>
            </w:r>
          </w:p>
        </w:tc>
        <w:tc>
          <w:tcPr>
            <w:tcW w:w="760" w:type="pct"/>
          </w:tcPr>
          <w:p w14:paraId="5AEB4BB9" w14:textId="77777777" w:rsidR="00F21E53" w:rsidRPr="00616A3B" w:rsidRDefault="00F21E53" w:rsidP="00CA4DFA">
            <w:pPr>
              <w:pStyle w:val="Tabletext"/>
              <w:jc w:val="center"/>
            </w:pPr>
            <w:r w:rsidRPr="00616A3B">
              <w:t>–</w:t>
            </w:r>
          </w:p>
        </w:tc>
      </w:tr>
    </w:tbl>
    <w:p w14:paraId="0DCEDB9F" w14:textId="77777777" w:rsidR="00F21E53" w:rsidRPr="00616A3B" w:rsidRDefault="00F21E53" w:rsidP="00F21E53">
      <w:pPr>
        <w:pStyle w:val="Tabletext"/>
      </w:pPr>
      <w:r w:rsidRPr="00616A3B">
        <w:t>*Specific adverse reaction follow-up questionnaire</w:t>
      </w:r>
    </w:p>
    <w:p w14:paraId="53CC09CC" w14:textId="77777777" w:rsidR="00F21E53" w:rsidRPr="00616A3B" w:rsidRDefault="00F21E53" w:rsidP="00F21E53">
      <w:pPr>
        <w:pStyle w:val="Tabletext"/>
      </w:pPr>
      <w:r w:rsidRPr="00616A3B">
        <w:t>† Routine activities beyond adverse reactions reporting and signal detection, such as periodic safety update reports</w:t>
      </w:r>
    </w:p>
    <w:p w14:paraId="55A0C94D" w14:textId="77777777" w:rsidR="00F21E53" w:rsidRPr="00616A3B" w:rsidRDefault="00F21E53" w:rsidP="00F21E53">
      <w:r w:rsidRPr="00616A3B">
        <w:t>The summary of safety concerns is acceptable and addresses recommendations made by the clinical evaluator.</w:t>
      </w:r>
    </w:p>
    <w:p w14:paraId="145761EC" w14:textId="77777777" w:rsidR="00F21E53" w:rsidRPr="00616A3B" w:rsidRDefault="00F21E53" w:rsidP="00F21E53">
      <w:r w:rsidRPr="00616A3B">
        <w:t>The sponsor has proposed routine pharmacovigilance activities for all safety concerns. A follow-up form will address drug exposure during pregnancy, including pregnancy loss. The proposed pharmacovigilance plan is acceptable.</w:t>
      </w:r>
    </w:p>
    <w:p w14:paraId="77545121" w14:textId="77777777" w:rsidR="00F21E53" w:rsidRPr="00616A3B" w:rsidRDefault="00F21E53" w:rsidP="00F21E53">
      <w:r w:rsidRPr="00616A3B">
        <w:t>The sponsor has proposed routine risk minimisation activities for all safety concerns. This is acceptable.</w:t>
      </w:r>
    </w:p>
    <w:p w14:paraId="78B95A3E" w14:textId="77777777" w:rsidR="00F21E53" w:rsidRPr="00616A3B" w:rsidRDefault="00F21E53" w:rsidP="00F21E53">
      <w:r w:rsidRPr="00616A3B">
        <w:t>Recommended amendments to the PI are referred to the Delegate.</w:t>
      </w:r>
    </w:p>
    <w:p w14:paraId="79C7F514" w14:textId="77777777" w:rsidR="008E7846" w:rsidRPr="00616A3B" w:rsidRDefault="00AA0ED0" w:rsidP="008E7846">
      <w:pPr>
        <w:pStyle w:val="Heading3"/>
      </w:pPr>
      <w:bookmarkStart w:id="67" w:name="_Toc247691531"/>
      <w:bookmarkStart w:id="68" w:name="_Toc314842515"/>
      <w:bookmarkStart w:id="69" w:name="_Toc70931354"/>
      <w:bookmarkStart w:id="70" w:name="_Toc196046505"/>
      <w:bookmarkStart w:id="71" w:name="_Toc196046949"/>
      <w:r w:rsidRPr="00616A3B">
        <w:t>Risk-benefit a</w:t>
      </w:r>
      <w:r w:rsidR="008E7846" w:rsidRPr="00616A3B">
        <w:t>nalysis</w:t>
      </w:r>
      <w:bookmarkEnd w:id="67"/>
      <w:bookmarkEnd w:id="68"/>
      <w:bookmarkEnd w:id="69"/>
    </w:p>
    <w:p w14:paraId="07120A83" w14:textId="77777777" w:rsidR="00D23139" w:rsidRPr="00616A3B" w:rsidRDefault="007D53B6" w:rsidP="00D23139">
      <w:pPr>
        <w:pStyle w:val="Heading4"/>
      </w:pPr>
      <w:r w:rsidRPr="00616A3B">
        <w:t>Delegate’s considerations</w:t>
      </w:r>
    </w:p>
    <w:p w14:paraId="5A29FC02" w14:textId="77777777" w:rsidR="00ED6879" w:rsidRPr="00616A3B" w:rsidRDefault="00ED6879" w:rsidP="00ED6879">
      <w:pPr>
        <w:pStyle w:val="Heading5"/>
      </w:pPr>
      <w:r w:rsidRPr="00616A3B">
        <w:t>Efficacy</w:t>
      </w:r>
    </w:p>
    <w:p w14:paraId="17B5D051" w14:textId="69B7A902" w:rsidR="00ED6879" w:rsidRPr="00616A3B" w:rsidRDefault="00ED6879" w:rsidP="00ED6879">
      <w:r w:rsidRPr="00616A3B">
        <w:t>Efficacy data in this submission were derived from a systematic review of published literature. Weiss</w:t>
      </w:r>
      <w:r w:rsidR="006C442A">
        <w:t xml:space="preserve"> et al.</w:t>
      </w:r>
      <w:r w:rsidRPr="00616A3B">
        <w:t xml:space="preserve"> </w:t>
      </w:r>
      <w:r w:rsidR="006C442A">
        <w:t>(</w:t>
      </w:r>
      <w:r w:rsidRPr="00616A3B">
        <w:t>2013</w:t>
      </w:r>
      <w:r w:rsidR="006C442A">
        <w:t>)</w:t>
      </w:r>
      <w:r w:rsidR="0041310B" w:rsidRPr="0041310B">
        <w:rPr>
          <w:vertAlign w:val="superscript"/>
        </w:rPr>
        <w:fldChar w:fldCharType="begin"/>
      </w:r>
      <w:r w:rsidR="0041310B" w:rsidRPr="0041310B">
        <w:rPr>
          <w:vertAlign w:val="superscript"/>
        </w:rPr>
        <w:instrText xml:space="preserve"> NOTEREF _Ref65681113 \h </w:instrText>
      </w:r>
      <w:r w:rsidR="0041310B">
        <w:rPr>
          <w:vertAlign w:val="superscript"/>
        </w:rPr>
        <w:instrText xml:space="preserve"> \* MERGEFORMAT </w:instrText>
      </w:r>
      <w:r w:rsidR="0041310B" w:rsidRPr="0041310B">
        <w:rPr>
          <w:vertAlign w:val="superscript"/>
        </w:rPr>
      </w:r>
      <w:r w:rsidR="0041310B" w:rsidRPr="0041310B">
        <w:rPr>
          <w:vertAlign w:val="superscript"/>
        </w:rPr>
        <w:fldChar w:fldCharType="separate"/>
      </w:r>
      <w:r w:rsidR="005815A1">
        <w:rPr>
          <w:vertAlign w:val="superscript"/>
        </w:rPr>
        <w:t>9</w:t>
      </w:r>
      <w:r w:rsidR="0041310B" w:rsidRPr="0041310B">
        <w:rPr>
          <w:vertAlign w:val="superscript"/>
        </w:rPr>
        <w:fldChar w:fldCharType="end"/>
      </w:r>
      <w:r w:rsidRPr="00616A3B">
        <w:t xml:space="preserve"> was identified as the main efficacy study in this submission. It was a retrospective cohort study of 380 patients with WD treated at six tertiary care centres in Germany and Austria, and 25 additional patients from the </w:t>
      </w:r>
      <w:proofErr w:type="spellStart"/>
      <w:r w:rsidR="00C908A0" w:rsidRPr="00616A3B">
        <w:t>Eurowilson</w:t>
      </w:r>
      <w:proofErr w:type="spellEnd"/>
      <w:r w:rsidRPr="00616A3B">
        <w:t xml:space="preserve"> registry. For trientine in the second</w:t>
      </w:r>
      <w:r w:rsidR="00C908A0" w:rsidRPr="00616A3B">
        <w:t xml:space="preserve"> </w:t>
      </w:r>
      <w:r w:rsidRPr="00616A3B">
        <w:t>line setting (proposed for registration), 31 of 45 (68.9%) patients with hepatic symptoms showed hepatic improvement, and 26 of 51 (51%) patients with neurologic symptoms showed neurologic improvement. 4 of 45 (8.9%) patients with hepatic symptoms showed hepatic worsening, and 8 of 51 (15.7%) patients with neurologic symptoms showed neurologic worsening. Asymptomatic patients treated with trientine did not show hepatic worsening or neurologic worsening.</w:t>
      </w:r>
    </w:p>
    <w:p w14:paraId="35056302" w14:textId="0252DC42" w:rsidR="00ED6879" w:rsidRPr="00616A3B" w:rsidRDefault="00ED6879" w:rsidP="00ED6879">
      <w:r w:rsidRPr="00616A3B">
        <w:t>There are limitations in the strength of the evidence provided by retrospective studies, because the study design is subject to biases and uncertainties due to missing information. Weiss</w:t>
      </w:r>
      <w:r w:rsidR="006C442A">
        <w:t xml:space="preserve"> et al.</w:t>
      </w:r>
      <w:r w:rsidRPr="00616A3B">
        <w:t xml:space="preserve"> </w:t>
      </w:r>
      <w:r w:rsidR="006C442A">
        <w:t>(</w:t>
      </w:r>
      <w:r w:rsidRPr="00616A3B">
        <w:t>2013</w:t>
      </w:r>
      <w:r w:rsidR="006C442A">
        <w:t>)</w:t>
      </w:r>
      <w:r w:rsidR="002774B3" w:rsidRPr="002774B3">
        <w:rPr>
          <w:vertAlign w:val="superscript"/>
        </w:rPr>
        <w:fldChar w:fldCharType="begin"/>
      </w:r>
      <w:r w:rsidR="002774B3" w:rsidRPr="002774B3">
        <w:rPr>
          <w:vertAlign w:val="superscript"/>
        </w:rPr>
        <w:instrText xml:space="preserve"> NOTEREF _Ref65681113 \h </w:instrText>
      </w:r>
      <w:r w:rsidR="002774B3">
        <w:rPr>
          <w:vertAlign w:val="superscript"/>
        </w:rPr>
        <w:instrText xml:space="preserve"> \* MERGEFORMAT </w:instrText>
      </w:r>
      <w:r w:rsidR="002774B3" w:rsidRPr="002774B3">
        <w:rPr>
          <w:vertAlign w:val="superscript"/>
        </w:rPr>
      </w:r>
      <w:r w:rsidR="002774B3" w:rsidRPr="002774B3">
        <w:rPr>
          <w:vertAlign w:val="superscript"/>
        </w:rPr>
        <w:fldChar w:fldCharType="separate"/>
      </w:r>
      <w:r w:rsidR="005815A1">
        <w:rPr>
          <w:vertAlign w:val="superscript"/>
        </w:rPr>
        <w:t>9</w:t>
      </w:r>
      <w:r w:rsidR="002774B3" w:rsidRPr="002774B3">
        <w:rPr>
          <w:vertAlign w:val="superscript"/>
        </w:rPr>
        <w:fldChar w:fldCharType="end"/>
      </w:r>
      <w:r w:rsidRPr="00616A3B">
        <w:t xml:space="preserve"> did not report dosages, dose titration, and the formulation of trientine used by patients, and neurologic outcomes were not assessed by a standardised or quantitative neurologic scale. No systematic criteria were applied in the initial choice of chelating agent. Treatment decisions were made according to accepted standards at the time and may have been influenced by confounders. Despite the recognised limitations of a retrospective cohort study, Weiss</w:t>
      </w:r>
      <w:r w:rsidR="006C442A">
        <w:t xml:space="preserve"> et al.</w:t>
      </w:r>
      <w:r w:rsidRPr="00616A3B">
        <w:t xml:space="preserve"> </w:t>
      </w:r>
      <w:r w:rsidR="006C442A">
        <w:t>(</w:t>
      </w:r>
      <w:r w:rsidRPr="00616A3B">
        <w:t>2013</w:t>
      </w:r>
      <w:r w:rsidR="006C442A">
        <w:t>)</w:t>
      </w:r>
      <w:r w:rsidR="002774B3" w:rsidRPr="002774B3">
        <w:rPr>
          <w:vertAlign w:val="superscript"/>
        </w:rPr>
        <w:fldChar w:fldCharType="begin"/>
      </w:r>
      <w:r w:rsidR="002774B3" w:rsidRPr="002774B3">
        <w:rPr>
          <w:vertAlign w:val="superscript"/>
        </w:rPr>
        <w:instrText xml:space="preserve"> NOTEREF _Ref65681113 \h </w:instrText>
      </w:r>
      <w:r w:rsidR="002774B3">
        <w:rPr>
          <w:vertAlign w:val="superscript"/>
        </w:rPr>
        <w:instrText xml:space="preserve"> \* MERGEFORMAT </w:instrText>
      </w:r>
      <w:r w:rsidR="002774B3" w:rsidRPr="002774B3">
        <w:rPr>
          <w:vertAlign w:val="superscript"/>
        </w:rPr>
      </w:r>
      <w:r w:rsidR="002774B3" w:rsidRPr="002774B3">
        <w:rPr>
          <w:vertAlign w:val="superscript"/>
        </w:rPr>
        <w:fldChar w:fldCharType="separate"/>
      </w:r>
      <w:r w:rsidR="005815A1">
        <w:rPr>
          <w:vertAlign w:val="superscript"/>
        </w:rPr>
        <w:t>9</w:t>
      </w:r>
      <w:r w:rsidR="002774B3" w:rsidRPr="002774B3">
        <w:rPr>
          <w:vertAlign w:val="superscript"/>
        </w:rPr>
        <w:fldChar w:fldCharType="end"/>
      </w:r>
      <w:r w:rsidRPr="00616A3B">
        <w:t xml:space="preserve"> reported outcomes for 405 patients treated for this rare disease over a mean duration of 13.3 years. The reported outcomes support a clinical benefit with trientine in patients who a</w:t>
      </w:r>
      <w:r w:rsidR="00926C26" w:rsidRPr="00616A3B">
        <w:t>re intolerant of penicillamine.</w:t>
      </w:r>
    </w:p>
    <w:p w14:paraId="2AB40451" w14:textId="0EAFCEF6" w:rsidR="00ED6879" w:rsidRPr="00616A3B" w:rsidRDefault="00ED6879" w:rsidP="00ED6879">
      <w:r w:rsidRPr="00616A3B">
        <w:t>Other published studies provide data informing dosage and use in paediatric patients, supporting the efficacy of trientine in the prop</w:t>
      </w:r>
      <w:r w:rsidR="00926C26" w:rsidRPr="00616A3B">
        <w:t>osed indication.</w:t>
      </w:r>
    </w:p>
    <w:p w14:paraId="571660EE" w14:textId="77777777" w:rsidR="00ED6879" w:rsidRPr="00616A3B" w:rsidRDefault="00ED6879" w:rsidP="00ED6879">
      <w:pPr>
        <w:pStyle w:val="Heading5"/>
      </w:pPr>
      <w:r w:rsidRPr="00616A3B">
        <w:t>Safety</w:t>
      </w:r>
    </w:p>
    <w:p w14:paraId="10916B92" w14:textId="6E606006" w:rsidR="00ED6879" w:rsidRPr="00616A3B" w:rsidRDefault="00ED6879" w:rsidP="00ED6879">
      <w:r w:rsidRPr="00616A3B">
        <w:t>The safety dataset based on published literature is limited, as most of the studies were retrospective reviews reliant on safety information recorded in clinical notes. Many of the studies were small, and safety reporting varied across the studies. Overall, trientine was generally well tolerated. In Weiss</w:t>
      </w:r>
      <w:r w:rsidR="006C442A">
        <w:t xml:space="preserve"> et al.</w:t>
      </w:r>
      <w:r w:rsidRPr="00616A3B">
        <w:t xml:space="preserve"> </w:t>
      </w:r>
      <w:r w:rsidR="006C442A">
        <w:t>(</w:t>
      </w:r>
      <w:r w:rsidRPr="00616A3B">
        <w:t>2013</w:t>
      </w:r>
      <w:r w:rsidR="006C442A">
        <w:t>)</w:t>
      </w:r>
      <w:r w:rsidR="002774B3" w:rsidRPr="002774B3">
        <w:rPr>
          <w:vertAlign w:val="superscript"/>
        </w:rPr>
        <w:fldChar w:fldCharType="begin"/>
      </w:r>
      <w:r w:rsidR="002774B3" w:rsidRPr="002774B3">
        <w:rPr>
          <w:vertAlign w:val="superscript"/>
        </w:rPr>
        <w:instrText xml:space="preserve"> NOTEREF _Ref65681113 \h </w:instrText>
      </w:r>
      <w:r w:rsidR="002774B3">
        <w:rPr>
          <w:vertAlign w:val="superscript"/>
        </w:rPr>
        <w:instrText xml:space="preserve"> \* MERGEFORMAT </w:instrText>
      </w:r>
      <w:r w:rsidR="002774B3" w:rsidRPr="002774B3">
        <w:rPr>
          <w:vertAlign w:val="superscript"/>
        </w:rPr>
      </w:r>
      <w:r w:rsidR="002774B3" w:rsidRPr="002774B3">
        <w:rPr>
          <w:vertAlign w:val="superscript"/>
        </w:rPr>
        <w:fldChar w:fldCharType="separate"/>
      </w:r>
      <w:r w:rsidR="005815A1">
        <w:rPr>
          <w:vertAlign w:val="superscript"/>
        </w:rPr>
        <w:t>9</w:t>
      </w:r>
      <w:r w:rsidR="002774B3" w:rsidRPr="002774B3">
        <w:rPr>
          <w:vertAlign w:val="superscript"/>
        </w:rPr>
        <w:fldChar w:fldCharType="end"/>
      </w:r>
      <w:r w:rsidRPr="00616A3B">
        <w:t>, discontinuations due to AE were lower with trientine than penicillamine. The safety profile of trientine in paediatric patients is similar to adults.</w:t>
      </w:r>
    </w:p>
    <w:p w14:paraId="35D8831A" w14:textId="0EE4C9B6" w:rsidR="00ED6879" w:rsidRPr="00616A3B" w:rsidRDefault="00ED6879" w:rsidP="00ED6879">
      <w:r w:rsidRPr="00616A3B">
        <w:t>There are limitations in the safety dataset derived from published literature, but there is a long history of clinical experience with trientine, including 35 years of marketing authorisation in USA and UK. The clinical consequences of untreated or inadequately treated disease are severe, and include hepatic failure, ne</w:t>
      </w:r>
      <w:r w:rsidR="00247DC8" w:rsidRPr="00616A3B">
        <w:t>urologic impairment and death.</w:t>
      </w:r>
    </w:p>
    <w:p w14:paraId="4E2A45BA" w14:textId="77777777" w:rsidR="00ED6879" w:rsidRPr="00616A3B" w:rsidRDefault="00ED6879" w:rsidP="00ED6879">
      <w:r w:rsidRPr="00616A3B">
        <w:t>Overall, the published literature and the long history of clinical experience support the safety of trientine in the treatment of patients with WD who are intolerant of penicillamine.</w:t>
      </w:r>
    </w:p>
    <w:p w14:paraId="46C1BCC6" w14:textId="77777777" w:rsidR="00ED6879" w:rsidRPr="00616A3B" w:rsidRDefault="00ED6879" w:rsidP="00ED6879">
      <w:pPr>
        <w:pStyle w:val="Heading5"/>
      </w:pPr>
      <w:r w:rsidRPr="00616A3B">
        <w:t>Labelling</w:t>
      </w:r>
    </w:p>
    <w:p w14:paraId="1173C75B" w14:textId="4A1D29D9" w:rsidR="00ED6879" w:rsidRPr="00616A3B" w:rsidRDefault="00ED6879" w:rsidP="00ED6879">
      <w:r w:rsidRPr="00616A3B">
        <w:t>Trientine Waymade is labelled in terms of the quantity of the</w:t>
      </w:r>
      <w:r w:rsidR="00C908A0" w:rsidRPr="00616A3B">
        <w:t xml:space="preserve"> dihydrochloride salt (250 </w:t>
      </w:r>
      <w:r w:rsidRPr="00616A3B">
        <w:t xml:space="preserve">mg) rather than the free base. This product was developed as a generic of </w:t>
      </w:r>
      <w:proofErr w:type="spellStart"/>
      <w:r w:rsidRPr="00616A3B">
        <w:t>Syprine</w:t>
      </w:r>
      <w:proofErr w:type="spellEnd"/>
      <w:r w:rsidRPr="00616A3B">
        <w:t xml:space="preserve"> which has been registered in the USA since 1985. There is a long history of clinical use of </w:t>
      </w:r>
      <w:proofErr w:type="spellStart"/>
      <w:r w:rsidRPr="00616A3B">
        <w:t>Syprine</w:t>
      </w:r>
      <w:proofErr w:type="spellEnd"/>
      <w:r w:rsidRPr="00616A3B">
        <w:t xml:space="preserve"> 250</w:t>
      </w:r>
      <w:r w:rsidR="00C908A0" w:rsidRPr="00616A3B">
        <w:t> </w:t>
      </w:r>
      <w:r w:rsidRPr="00616A3B">
        <w:t>mg capsules internationally, including Aust</w:t>
      </w:r>
      <w:r w:rsidR="00C908A0" w:rsidRPr="00616A3B">
        <w:t>ralian patients accessing 250 </w:t>
      </w:r>
      <w:r w:rsidRPr="00616A3B">
        <w:t xml:space="preserve">mg capsules through the </w:t>
      </w:r>
      <w:r w:rsidR="006C442A" w:rsidRPr="00616A3B">
        <w:t xml:space="preserve">Special Access Scheme </w:t>
      </w:r>
      <w:r w:rsidR="00C908A0" w:rsidRPr="00616A3B">
        <w:t>(SAS)</w:t>
      </w:r>
      <w:r w:rsidR="002774B3">
        <w:rPr>
          <w:rStyle w:val="FootnoteReference"/>
        </w:rPr>
        <w:footnoteReference w:id="20"/>
      </w:r>
      <w:r w:rsidRPr="00616A3B">
        <w:t xml:space="preserve">. Given the familiarity of this product to patients and prescribers, </w:t>
      </w:r>
      <w:r w:rsidR="006C442A">
        <w:t>the Delegate is</w:t>
      </w:r>
      <w:r w:rsidRPr="00616A3B">
        <w:t xml:space="preserve"> satisfied with the proposed labelling of Trientine Waymade.</w:t>
      </w:r>
    </w:p>
    <w:p w14:paraId="21B3B637" w14:textId="521FE160" w:rsidR="00ED6879" w:rsidRPr="00616A3B" w:rsidRDefault="00ED6879" w:rsidP="00ED6879">
      <w:r w:rsidRPr="00616A3B">
        <w:t>Switching between different trientine products may present a risk for patients, as different formulations may have a different trientine content and different bioavailability. This has been addressed in the PI, which contains a precaution regarding switching between different formulations of trientine. The strength of the product is described in terms of the dihydrochlo</w:t>
      </w:r>
      <w:r w:rsidR="00C908A0" w:rsidRPr="00616A3B">
        <w:t>ride salt and the free base in S</w:t>
      </w:r>
      <w:r w:rsidRPr="00616A3B">
        <w:t xml:space="preserve">ection 2 </w:t>
      </w:r>
      <w:r w:rsidR="00C908A0" w:rsidRPr="00616A3B">
        <w:t>Qualitative and quantitative composition and S</w:t>
      </w:r>
      <w:r w:rsidRPr="00616A3B">
        <w:t xml:space="preserve">ection 4.2 </w:t>
      </w:r>
      <w:r w:rsidR="00C908A0" w:rsidRPr="00616A3B">
        <w:t>Dose and method of administration</w:t>
      </w:r>
      <w:r w:rsidR="00247DC8" w:rsidRPr="00616A3B">
        <w:t>.</w:t>
      </w:r>
    </w:p>
    <w:p w14:paraId="066232C0" w14:textId="77777777" w:rsidR="00ED6879" w:rsidRPr="00616A3B" w:rsidRDefault="00ED6879" w:rsidP="00ED6879">
      <w:pPr>
        <w:pStyle w:val="Heading5"/>
      </w:pPr>
      <w:r w:rsidRPr="00616A3B">
        <w:t>Deficiencies and limitations of the data</w:t>
      </w:r>
    </w:p>
    <w:p w14:paraId="0041B044" w14:textId="23D0F154" w:rsidR="00ED6879" w:rsidRPr="00616A3B" w:rsidRDefault="00ED6879" w:rsidP="00ED6879">
      <w:r w:rsidRPr="00616A3B">
        <w:t>Efficacy and safety data are mainly from retrospective studies, which can be subject to</w:t>
      </w:r>
      <w:r w:rsidR="00247DC8" w:rsidRPr="00616A3B">
        <w:t xml:space="preserve"> bias and missing information.</w:t>
      </w:r>
    </w:p>
    <w:p w14:paraId="7313E33D" w14:textId="0D69B7D1" w:rsidR="00ED6879" w:rsidRPr="00616A3B" w:rsidRDefault="00ED6879" w:rsidP="00ED6879">
      <w:r w:rsidRPr="00616A3B">
        <w:t xml:space="preserve">The clinical dossier lacks direct linkage between the proposed product and the published literature. Many of the literature references did not specify the trientine product or formulation used in the study. In response to potential differences in efficacy and safety across different </w:t>
      </w:r>
      <w:r w:rsidR="00C908A0" w:rsidRPr="00616A3B">
        <w:t>formulations of trientine, the s</w:t>
      </w:r>
      <w:r w:rsidRPr="00616A3B">
        <w:t>ponsor advised:</w:t>
      </w:r>
    </w:p>
    <w:p w14:paraId="5D018063" w14:textId="77777777" w:rsidR="00ED6879" w:rsidRPr="00616A3B" w:rsidRDefault="00ED6879" w:rsidP="00ED6879">
      <w:pPr>
        <w:pStyle w:val="ListBullet"/>
      </w:pPr>
      <w:r w:rsidRPr="00616A3B">
        <w:t>trientine dihydrochloride is freely soluble in water, independent of pH changes.</w:t>
      </w:r>
    </w:p>
    <w:p w14:paraId="1DA74D7A" w14:textId="77777777" w:rsidR="00ED6879" w:rsidRPr="00616A3B" w:rsidRDefault="00ED6879" w:rsidP="00ED6879">
      <w:pPr>
        <w:pStyle w:val="ListBullet"/>
      </w:pPr>
      <w:r w:rsidRPr="00616A3B">
        <w:t>capsule formulations of trientine dihydrochloride are simple formulations containing the drug substance and lubricants to assist with the flow characteristics of the powder during the encapsulation process.</w:t>
      </w:r>
    </w:p>
    <w:p w14:paraId="3654104C" w14:textId="77777777" w:rsidR="00ED6879" w:rsidRPr="00616A3B" w:rsidRDefault="00ED6879" w:rsidP="00ED6879">
      <w:pPr>
        <w:pStyle w:val="ListBullet"/>
      </w:pPr>
      <w:r w:rsidRPr="00616A3B">
        <w:t>Trientine Waymade contains a single lubricant, stearic acid.</w:t>
      </w:r>
    </w:p>
    <w:p w14:paraId="5201F851" w14:textId="4C0F5E99" w:rsidR="00ED6879" w:rsidRPr="00616A3B" w:rsidRDefault="00ED6879" w:rsidP="00ED6879">
      <w:pPr>
        <w:pStyle w:val="ListBullet"/>
      </w:pPr>
      <w:r w:rsidRPr="00616A3B">
        <w:t>Trientine Waymade is bioequivalent to the US</w:t>
      </w:r>
      <w:r w:rsidR="00C908A0" w:rsidRPr="00616A3B">
        <w:t>A</w:t>
      </w:r>
      <w:r w:rsidRPr="00616A3B">
        <w:t xml:space="preserve"> reference product, </w:t>
      </w:r>
      <w:proofErr w:type="spellStart"/>
      <w:r w:rsidRPr="00616A3B">
        <w:t>Syprine</w:t>
      </w:r>
      <w:proofErr w:type="spellEnd"/>
      <w:r w:rsidRPr="00616A3B">
        <w:t xml:space="preserve">, which has been marketed in USA since 1985 and has a </w:t>
      </w:r>
      <w:proofErr w:type="spellStart"/>
      <w:r w:rsidRPr="00616A3B">
        <w:t>well</w:t>
      </w:r>
      <w:r w:rsidR="00C908A0" w:rsidRPr="00616A3B">
        <w:t xml:space="preserve"> </w:t>
      </w:r>
      <w:r w:rsidRPr="00616A3B">
        <w:t>established</w:t>
      </w:r>
      <w:proofErr w:type="spellEnd"/>
      <w:r w:rsidRPr="00616A3B">
        <w:t xml:space="preserve"> efficacy and safety profile in a comparable population to Australia.</w:t>
      </w:r>
    </w:p>
    <w:p w14:paraId="30A02AEC" w14:textId="75386E37" w:rsidR="00ED6879" w:rsidRPr="00616A3B" w:rsidRDefault="00ED6879" w:rsidP="00ED6879">
      <w:pPr>
        <w:pStyle w:val="ListBullet"/>
      </w:pPr>
      <w:r w:rsidRPr="00616A3B">
        <w:t>there is substantial inter-individual variabil</w:t>
      </w:r>
      <w:r w:rsidR="00C908A0" w:rsidRPr="00616A3B">
        <w:t>ity in absorption and exposure.</w:t>
      </w:r>
    </w:p>
    <w:p w14:paraId="0B9B5E01" w14:textId="77777777" w:rsidR="00ED6879" w:rsidRPr="00616A3B" w:rsidRDefault="00ED6879" w:rsidP="00ED6879">
      <w:pPr>
        <w:pStyle w:val="ListBullet"/>
      </w:pPr>
      <w:r w:rsidRPr="00616A3B">
        <w:t>patients are monitored for response to treatment, and the dose of trientine is adjusted accordingly.</w:t>
      </w:r>
    </w:p>
    <w:p w14:paraId="6271FDAA" w14:textId="77777777" w:rsidR="00ED6879" w:rsidRPr="00616A3B" w:rsidRDefault="00ED6879" w:rsidP="00ED6879">
      <w:pPr>
        <w:pStyle w:val="ListBullet"/>
      </w:pPr>
      <w:r w:rsidRPr="00616A3B">
        <w:t>trientine is well tolerated and has a wide therapeutic margin.</w:t>
      </w:r>
    </w:p>
    <w:p w14:paraId="4A1D5087" w14:textId="70317CDC" w:rsidR="00456765" w:rsidRPr="00616A3B" w:rsidRDefault="00C908A0" w:rsidP="00ED6879">
      <w:r w:rsidRPr="00616A3B">
        <w:t>The s</w:t>
      </w:r>
      <w:r w:rsidR="00ED6879" w:rsidRPr="00616A3B">
        <w:t>ponsor has included a warning in the PI advising caution when switching between different formulations of trientine, as they may have a different trientine content (</w:t>
      </w:r>
      <w:r w:rsidR="006C442A">
        <w:t>free</w:t>
      </w:r>
      <w:r w:rsidR="00ED6879" w:rsidRPr="00616A3B">
        <w:t>base) and different bioavailability, and dose adjustment may be required.</w:t>
      </w:r>
    </w:p>
    <w:p w14:paraId="61A728DA" w14:textId="6637478F" w:rsidR="00D23139" w:rsidRPr="00616A3B" w:rsidRDefault="00067336" w:rsidP="006C7E21">
      <w:pPr>
        <w:pStyle w:val="Heading5"/>
      </w:pPr>
      <w:r>
        <w:t>Conclusion</w:t>
      </w:r>
    </w:p>
    <w:p w14:paraId="64D71CEB" w14:textId="04724D5D" w:rsidR="00ED6879" w:rsidRPr="00616A3B" w:rsidRDefault="00ED6879" w:rsidP="00ED6879">
      <w:r w:rsidRPr="00616A3B">
        <w:t>There are limitations in the efficacy and safety data provided from published literature, but there is a long history of clinical experience with trientine, including 35 years of marketing authorisation internationally. The use of trientine as a chelating agent in patients with WD is recommended in clinical practice guidelines internationally, including the Aust</w:t>
      </w:r>
      <w:r w:rsidR="00926C26" w:rsidRPr="00616A3B">
        <w:t>ralian Therapeutic Guidelines.</w:t>
      </w:r>
    </w:p>
    <w:p w14:paraId="2B7D4887" w14:textId="64671339" w:rsidR="00ED6879" w:rsidRPr="00616A3B" w:rsidRDefault="004766FA" w:rsidP="00ED6879">
      <w:r w:rsidRPr="00616A3B">
        <w:t>WD</w:t>
      </w:r>
      <w:r w:rsidR="00ED6879" w:rsidRPr="00616A3B">
        <w:t xml:space="preserve"> is a rare disease which is managed by specialists with expertise in treating this condition. Treatment options are limited in patients who ar</w:t>
      </w:r>
      <w:r w:rsidR="00247DC8" w:rsidRPr="00616A3B">
        <w:t xml:space="preserve">e intolerant of penicillamine. </w:t>
      </w:r>
      <w:r w:rsidR="00ED6879" w:rsidRPr="00616A3B">
        <w:t>The clinical consequences of untreated or inadequately treated disease are severe, and include hepatic failure, neurologic</w:t>
      </w:r>
      <w:r w:rsidR="00247DC8" w:rsidRPr="00616A3B">
        <w:t xml:space="preserve"> impairment and death.</w:t>
      </w:r>
    </w:p>
    <w:p w14:paraId="00541EC4" w14:textId="1A890708" w:rsidR="007D53B6" w:rsidRDefault="00ED6879" w:rsidP="00ED6879">
      <w:r w:rsidRPr="00616A3B">
        <w:t>In this context, the clinical studies presented in this literature</w:t>
      </w:r>
      <w:r w:rsidR="00C908A0" w:rsidRPr="00616A3B">
        <w:t xml:space="preserve"> </w:t>
      </w:r>
      <w:r w:rsidRPr="00616A3B">
        <w:t>based submission support the efficacy and safety of Trientine Waymade for the treatment of patients with WD who are intolerant of penicillamine.</w:t>
      </w:r>
    </w:p>
    <w:p w14:paraId="15DF6F49" w14:textId="4500EFB9" w:rsidR="00067336" w:rsidRDefault="00067336" w:rsidP="006C7E21">
      <w:pPr>
        <w:pStyle w:val="Heading4"/>
      </w:pPr>
      <w:r>
        <w:t>Proposed action</w:t>
      </w:r>
    </w:p>
    <w:p w14:paraId="4FF96658" w14:textId="081C0A48" w:rsidR="00067336" w:rsidRPr="006C7E21" w:rsidRDefault="00067336" w:rsidP="00067336">
      <w:pPr>
        <w:rPr>
          <w:i/>
          <w:color w:val="0070C0"/>
        </w:rPr>
      </w:pPr>
      <w:r>
        <w:t>The Delegate had no reason to say, at the time, that the application for Trientine Waymade</w:t>
      </w:r>
      <w:r w:rsidRPr="00961042">
        <w:rPr>
          <w:color w:val="0070C0"/>
        </w:rPr>
        <w:t xml:space="preserve"> </w:t>
      </w:r>
      <w:r>
        <w:t>should not be approved for registration.</w:t>
      </w:r>
    </w:p>
    <w:p w14:paraId="362CEFC3" w14:textId="33325CF2" w:rsidR="008E7846" w:rsidRPr="00616A3B" w:rsidRDefault="008E7846" w:rsidP="007D53B6">
      <w:pPr>
        <w:pStyle w:val="Heading4"/>
      </w:pPr>
      <w:r w:rsidRPr="00616A3B">
        <w:t xml:space="preserve">Advisory </w:t>
      </w:r>
      <w:r w:rsidR="005F080C">
        <w:t>c</w:t>
      </w:r>
      <w:r w:rsidRPr="00616A3B">
        <w:t xml:space="preserve">ommittee </w:t>
      </w:r>
      <w:r w:rsidR="007D53B6" w:rsidRPr="00616A3B">
        <w:t>c</w:t>
      </w:r>
      <w:r w:rsidRPr="00616A3B">
        <w:t>onsiderations</w:t>
      </w:r>
      <w:r w:rsidR="00456765" w:rsidRPr="00616A3B">
        <w:rPr>
          <w:rStyle w:val="FootnoteReference"/>
        </w:rPr>
        <w:footnoteReference w:id="21"/>
      </w:r>
    </w:p>
    <w:p w14:paraId="74F6EC45" w14:textId="77777777" w:rsidR="00744121" w:rsidRPr="00616A3B" w:rsidRDefault="00744121" w:rsidP="00744121">
      <w:pPr>
        <w:rPr>
          <w:bCs/>
        </w:rPr>
      </w:pPr>
      <w:bookmarkStart w:id="72" w:name="_Toc247691532"/>
      <w:bookmarkStart w:id="73" w:name="_Toc314842516"/>
      <w:bookmarkEnd w:id="31"/>
      <w:bookmarkEnd w:id="70"/>
      <w:bookmarkEnd w:id="71"/>
      <w:r w:rsidRPr="00616A3B">
        <w:rPr>
          <w:bCs/>
        </w:rPr>
        <w:t>The Advisory Committee on Medicines (ACM), having considered the evaluations and the Delegate’s overview, as well as the sponsor’s response to these documents, advised the following.</w:t>
      </w:r>
    </w:p>
    <w:p w14:paraId="3FD318E4" w14:textId="01484423" w:rsidR="00744121" w:rsidRPr="00616A3B" w:rsidRDefault="00744121" w:rsidP="00744121">
      <w:pPr>
        <w:pStyle w:val="Heading5"/>
      </w:pPr>
      <w:r w:rsidRPr="00616A3B">
        <w:t xml:space="preserve">Specific advice to the </w:t>
      </w:r>
      <w:r w:rsidR="005F080C">
        <w:t>d</w:t>
      </w:r>
      <w:r w:rsidRPr="00616A3B">
        <w:t>elegate</w:t>
      </w:r>
    </w:p>
    <w:p w14:paraId="206EA631" w14:textId="77777777" w:rsidR="00366945" w:rsidRPr="00616A3B" w:rsidRDefault="00366945" w:rsidP="00366945">
      <w:pPr>
        <w:pStyle w:val="Numberbullet0"/>
        <w:rPr>
          <w:b/>
          <w:i/>
        </w:rPr>
      </w:pPr>
      <w:r w:rsidRPr="00616A3B">
        <w:rPr>
          <w:b/>
          <w:i/>
        </w:rPr>
        <w:t>What is the committee’s clinical perspective on trientine dihydrochloride in the proposed indication?</w:t>
      </w:r>
    </w:p>
    <w:p w14:paraId="4FEA6497" w14:textId="07AEC76B" w:rsidR="00366945" w:rsidRPr="00616A3B" w:rsidRDefault="00366945" w:rsidP="00366945">
      <w:r w:rsidRPr="00616A3B">
        <w:t>The ACM agreed that there are limitations in the safety dataset derived from published literature, but there is a long history of clinical experience with trientine, including 35</w:t>
      </w:r>
      <w:r w:rsidR="00E32800">
        <w:t> </w:t>
      </w:r>
      <w:r w:rsidRPr="00616A3B">
        <w:t>years of marketing authorisation in USA and UK. The ACM advised that the clinical consequences of untreated or inadequately treated disease are severe, and include hepatic failure, neurologic impairment and death.</w:t>
      </w:r>
    </w:p>
    <w:p w14:paraId="6E21D6EF" w14:textId="77777777" w:rsidR="00366945" w:rsidRPr="00616A3B" w:rsidRDefault="00366945" w:rsidP="00366945">
      <w:pPr>
        <w:pStyle w:val="Numberbullet0"/>
        <w:rPr>
          <w:b/>
          <w:i/>
        </w:rPr>
      </w:pPr>
      <w:r w:rsidRPr="00616A3B">
        <w:rPr>
          <w:b/>
          <w:i/>
        </w:rPr>
        <w:t>What is the committee’s clinical perspective on the labelling and dosing guidance for Trientine Waymade?</w:t>
      </w:r>
    </w:p>
    <w:p w14:paraId="233F861D" w14:textId="19CE78DF" w:rsidR="00366945" w:rsidRPr="00616A3B" w:rsidRDefault="00366945" w:rsidP="00366945">
      <w:r w:rsidRPr="00616A3B">
        <w:t xml:space="preserve">The ACM advised that </w:t>
      </w:r>
      <w:r w:rsidR="00BB42D0">
        <w:t>T</w:t>
      </w:r>
      <w:r w:rsidR="00BB42D0" w:rsidRPr="00616A3B">
        <w:t xml:space="preserve">rientine </w:t>
      </w:r>
      <w:r w:rsidR="00BB42D0">
        <w:t>W</w:t>
      </w:r>
      <w:r w:rsidR="00BB42D0" w:rsidRPr="00616A3B">
        <w:t xml:space="preserve">aymade </w:t>
      </w:r>
      <w:r w:rsidRPr="00616A3B">
        <w:t>is labelled in terms of the quantity o</w:t>
      </w:r>
      <w:r w:rsidR="00C908A0" w:rsidRPr="00616A3B">
        <w:t>f the dihydrochloride salt (250 </w:t>
      </w:r>
      <w:r w:rsidRPr="00616A3B">
        <w:t xml:space="preserve">mg) rather than the free base. The ACM was of the opinion that this product was developed as a generic of </w:t>
      </w:r>
      <w:proofErr w:type="spellStart"/>
      <w:r w:rsidRPr="00616A3B">
        <w:t>Syprine</w:t>
      </w:r>
      <w:proofErr w:type="spellEnd"/>
      <w:r w:rsidRPr="00616A3B">
        <w:t>, registered in the USA since 1985 with a long history of clinical use internationally and locally via SAS. The ACM agreed that given the familiarity of this product to patients and prescribers the proposed labelling and dosing guidance is satisfactory. The ACM did note that switching between different trientine products may present a risk for patients, as different formulations may have a different trientine content and different bioavailability, however the ACM noted this has been addressed in the PI.</w:t>
      </w:r>
    </w:p>
    <w:p w14:paraId="5708C09A" w14:textId="77777777" w:rsidR="00744121" w:rsidRPr="00616A3B" w:rsidRDefault="00744121" w:rsidP="00744121">
      <w:pPr>
        <w:pStyle w:val="Heading5"/>
      </w:pPr>
      <w:r w:rsidRPr="00616A3B">
        <w:t>Conclusion</w:t>
      </w:r>
    </w:p>
    <w:p w14:paraId="05D1CB63" w14:textId="77777777" w:rsidR="00666AAD" w:rsidRPr="00616A3B" w:rsidRDefault="00666AAD" w:rsidP="00666AAD">
      <w:r w:rsidRPr="00616A3B">
        <w:t>The ACM considered this product to have an overall positive benefit-risk profile for the indication:</w:t>
      </w:r>
    </w:p>
    <w:p w14:paraId="5C74369B" w14:textId="77777777" w:rsidR="00744121" w:rsidRPr="00616A3B" w:rsidRDefault="00666AAD" w:rsidP="00666AAD">
      <w:pPr>
        <w:ind w:left="720"/>
        <w:rPr>
          <w:i/>
        </w:rPr>
      </w:pPr>
      <w:r w:rsidRPr="00616A3B">
        <w:rPr>
          <w:i/>
        </w:rPr>
        <w:t>Trientine Waymade is indicated for the treatment of patients with Wilson's disease who are intolerant of penicillamine.</w:t>
      </w:r>
    </w:p>
    <w:p w14:paraId="715FC780" w14:textId="77777777" w:rsidR="008E7846" w:rsidRPr="00616A3B" w:rsidRDefault="008E7846" w:rsidP="008E7846">
      <w:pPr>
        <w:pStyle w:val="Heading3"/>
      </w:pPr>
      <w:bookmarkStart w:id="74" w:name="_Toc70931355"/>
      <w:r w:rsidRPr="00616A3B">
        <w:t>Outcome</w:t>
      </w:r>
      <w:bookmarkEnd w:id="72"/>
      <w:bookmarkEnd w:id="73"/>
      <w:bookmarkEnd w:id="74"/>
    </w:p>
    <w:p w14:paraId="0275689F" w14:textId="72306085" w:rsidR="00744121" w:rsidRPr="00616A3B" w:rsidRDefault="00744121" w:rsidP="00744121">
      <w:bookmarkStart w:id="75" w:name="_Toc247691533"/>
      <w:bookmarkStart w:id="76" w:name="_Toc314842517"/>
      <w:r w:rsidRPr="00616A3B">
        <w:t xml:space="preserve">Based on a review of quality, safety and efficacy, the TGA approved the registration of </w:t>
      </w:r>
      <w:r w:rsidR="00D76EDD" w:rsidRPr="00616A3B">
        <w:t xml:space="preserve">Trientine Waymade </w:t>
      </w:r>
      <w:r w:rsidRPr="00616A3B">
        <w:t>(</w:t>
      </w:r>
      <w:r w:rsidR="00D76EDD" w:rsidRPr="00616A3B">
        <w:t>trientine dihydrochloride</w:t>
      </w:r>
      <w:r w:rsidRPr="00616A3B">
        <w:t xml:space="preserve">) </w:t>
      </w:r>
      <w:r w:rsidR="00E90966" w:rsidRPr="00616A3B">
        <w:t>250 </w:t>
      </w:r>
      <w:r w:rsidR="00D76EDD" w:rsidRPr="00616A3B">
        <w:t>mg</w:t>
      </w:r>
      <w:r w:rsidRPr="00616A3B">
        <w:t xml:space="preserve">, </w:t>
      </w:r>
      <w:r w:rsidR="00D76EDD" w:rsidRPr="00616A3B">
        <w:t>capsule</w:t>
      </w:r>
      <w:r w:rsidRPr="00616A3B">
        <w:t xml:space="preserve">, </w:t>
      </w:r>
      <w:r w:rsidR="00D76EDD" w:rsidRPr="00616A3B">
        <w:t>bottle</w:t>
      </w:r>
      <w:r w:rsidR="003F08D5" w:rsidRPr="00616A3B">
        <w:t>, indicated for</w:t>
      </w:r>
      <w:r w:rsidRPr="00616A3B">
        <w:t>:</w:t>
      </w:r>
    </w:p>
    <w:p w14:paraId="6D3B5D9F" w14:textId="77777777" w:rsidR="007D53B6" w:rsidRPr="00616A3B" w:rsidRDefault="00D76EDD" w:rsidP="00D76EDD">
      <w:pPr>
        <w:ind w:left="720"/>
        <w:rPr>
          <w:i/>
        </w:rPr>
      </w:pPr>
      <w:r w:rsidRPr="00616A3B">
        <w:rPr>
          <w:i/>
        </w:rPr>
        <w:t>Trientine Waymade is indicated in the treatment of patients with Wilson’s disease who are intolerant of penicillamine.</w:t>
      </w:r>
    </w:p>
    <w:p w14:paraId="19839002" w14:textId="77777777" w:rsidR="00D23139" w:rsidRPr="00616A3B" w:rsidRDefault="00D23139" w:rsidP="00D23139">
      <w:pPr>
        <w:pStyle w:val="Heading4"/>
      </w:pPr>
      <w:r w:rsidRPr="00616A3B">
        <w:t>Specific conditions of registration applying to these goods</w:t>
      </w:r>
    </w:p>
    <w:p w14:paraId="67384EDA" w14:textId="1595D055" w:rsidR="00A9762A" w:rsidRPr="00616A3B" w:rsidRDefault="00A9762A" w:rsidP="005F080C">
      <w:pPr>
        <w:pStyle w:val="ListBullet"/>
      </w:pPr>
      <w:r w:rsidRPr="00616A3B">
        <w:t>Trientine Waymade (trientine dihydrochloride) is to be included in the Black Triangle Scheme.</w:t>
      </w:r>
      <w:r w:rsidR="00E32800" w:rsidRPr="00732FF2">
        <w:rPr>
          <w:vertAlign w:val="superscript"/>
        </w:rPr>
        <w:fldChar w:fldCharType="begin"/>
      </w:r>
      <w:r w:rsidR="00E32800" w:rsidRPr="00732FF2">
        <w:rPr>
          <w:vertAlign w:val="superscript"/>
        </w:rPr>
        <w:instrText xml:space="preserve"> NOTEREF _Ref67362093 \h </w:instrText>
      </w:r>
      <w:r w:rsidR="00E32800">
        <w:rPr>
          <w:vertAlign w:val="superscript"/>
        </w:rPr>
        <w:instrText xml:space="preserve"> \* MERGEFORMAT </w:instrText>
      </w:r>
      <w:r w:rsidR="00E32800" w:rsidRPr="00732FF2">
        <w:rPr>
          <w:vertAlign w:val="superscript"/>
        </w:rPr>
      </w:r>
      <w:r w:rsidR="00E32800" w:rsidRPr="00732FF2">
        <w:rPr>
          <w:vertAlign w:val="superscript"/>
        </w:rPr>
        <w:fldChar w:fldCharType="separate"/>
      </w:r>
      <w:r w:rsidR="005815A1">
        <w:rPr>
          <w:vertAlign w:val="superscript"/>
        </w:rPr>
        <w:t>1</w:t>
      </w:r>
      <w:r w:rsidR="00E32800" w:rsidRPr="00732FF2">
        <w:rPr>
          <w:vertAlign w:val="superscript"/>
        </w:rPr>
        <w:fldChar w:fldCharType="end"/>
      </w:r>
      <w:r w:rsidRPr="00616A3B">
        <w:t xml:space="preserve"> The PI and Consumer Medicines Information (CMI) for Trientine Waymade must include the black triangle symbol and mandatory accompanying text for five years, which starts from the date that the sponsor notifies the TGA of supply of the product.</w:t>
      </w:r>
    </w:p>
    <w:p w14:paraId="7635EEE3" w14:textId="73207921" w:rsidR="00A9762A" w:rsidRPr="00616A3B" w:rsidRDefault="00A9762A" w:rsidP="005F080C">
      <w:pPr>
        <w:pStyle w:val="ListBullet"/>
      </w:pPr>
      <w:r w:rsidRPr="00616A3B">
        <w:t xml:space="preserve">The trientine dihydrochloride Australian RMP (version 0.3, </w:t>
      </w:r>
      <w:r w:rsidR="00C908A0" w:rsidRPr="00616A3B">
        <w:t>DLP</w:t>
      </w:r>
      <w:r w:rsidRPr="00616A3B">
        <w:t xml:space="preserve"> 11 December 2019) included with submission PM-2019-05976-1-3, and any subsequent revisions, as agreed with the TGA will be implemented in Australia.</w:t>
      </w:r>
    </w:p>
    <w:p w14:paraId="0E1A77AC" w14:textId="2A3F29D8" w:rsidR="00A9762A" w:rsidRPr="00616A3B" w:rsidRDefault="00A9762A" w:rsidP="005F080C">
      <w:pPr>
        <w:pStyle w:val="ListBullet"/>
      </w:pPr>
      <w:r w:rsidRPr="00616A3B">
        <w:t>An obligatory component of risk management plans is routine pharmacovigilance. Routine pharmacovigilance includes the submission of periodic safety update reports (PSURs).</w:t>
      </w:r>
    </w:p>
    <w:p w14:paraId="286DC90B" w14:textId="77777777" w:rsidR="00A9762A" w:rsidRPr="00616A3B" w:rsidRDefault="00A9762A" w:rsidP="00A9762A">
      <w:r w:rsidRPr="00616A3B">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six monthly reports may be submitted separately as they become available.</w:t>
      </w:r>
    </w:p>
    <w:p w14:paraId="16C67062" w14:textId="77777777" w:rsidR="00A9762A" w:rsidRPr="00616A3B" w:rsidRDefault="00A9762A" w:rsidP="00A9762A">
      <w:r w:rsidRPr="00616A3B">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this approval letter.</w:t>
      </w:r>
    </w:p>
    <w:p w14:paraId="55D21AB8" w14:textId="72717875" w:rsidR="00744121" w:rsidRPr="00616A3B" w:rsidRDefault="00A9762A" w:rsidP="00A9762A">
      <w:r w:rsidRPr="00616A3B">
        <w:t xml:space="preserve">The reports are to at least meet the requirements for PSURs as described in the European Medicines Agency’s Guideline on GVP Module VII-periodic safety update report (Rev 1), Part VII.B Structures and processes. Note that submission of a PSUR does not constitute an application to vary the registration. Each report must have been prepared within ninety calendar days of the </w:t>
      </w:r>
      <w:r w:rsidR="00C908A0" w:rsidRPr="00616A3B">
        <w:t>DLP</w:t>
      </w:r>
      <w:r w:rsidRPr="00616A3B">
        <w:t xml:space="preserve"> for that report.</w:t>
      </w:r>
    </w:p>
    <w:p w14:paraId="7857EABE" w14:textId="77777777" w:rsidR="008E7846" w:rsidRPr="00616A3B" w:rsidRDefault="00A80B5B" w:rsidP="00D23139">
      <w:pPr>
        <w:pStyle w:val="Heading2"/>
      </w:pPr>
      <w:bookmarkStart w:id="77" w:name="_Toc70931356"/>
      <w:r w:rsidRPr="00616A3B">
        <w:t xml:space="preserve">Attachment 1. </w:t>
      </w:r>
      <w:r w:rsidR="008E7846" w:rsidRPr="00616A3B">
        <w:t xml:space="preserve">Product </w:t>
      </w:r>
      <w:r w:rsidR="00AA0ED0" w:rsidRPr="00616A3B">
        <w:t>I</w:t>
      </w:r>
      <w:r w:rsidR="008E7846" w:rsidRPr="00616A3B">
        <w:t>nformation</w:t>
      </w:r>
      <w:bookmarkEnd w:id="75"/>
      <w:bookmarkEnd w:id="76"/>
      <w:bookmarkEnd w:id="77"/>
    </w:p>
    <w:p w14:paraId="5FD57C6C" w14:textId="73B0009D" w:rsidR="00744121" w:rsidRPr="00616A3B" w:rsidRDefault="006136D7" w:rsidP="009E39F1">
      <w:pPr>
        <w:rPr>
          <w:color w:val="000000"/>
          <w:lang w:eastAsia="en-AU"/>
        </w:rPr>
      </w:pPr>
      <w:r w:rsidRPr="00616A3B">
        <w:t xml:space="preserve">The PI for </w:t>
      </w:r>
      <w:r w:rsidR="000F5079" w:rsidRPr="00616A3B">
        <w:t>Trientine Waymade</w:t>
      </w:r>
      <w:r w:rsidRPr="00616A3B">
        <w:t xml:space="preserve"> approved with the submission which is described in this AusPAR is at Attachment 1. For the most recent PI, please refer to the TGA website at </w:t>
      </w:r>
      <w:r w:rsidR="007C6B9B" w:rsidRPr="00616A3B">
        <w:t>&lt;</w:t>
      </w:r>
      <w:hyperlink r:id="rId31" w:history="1">
        <w:r w:rsidR="007C6B9B" w:rsidRPr="00616A3B">
          <w:rPr>
            <w:rStyle w:val="Hyperlink"/>
          </w:rPr>
          <w:t>https://www.tga.gov.au/product-information-pi</w:t>
        </w:r>
      </w:hyperlink>
      <w:r w:rsidR="007C6B9B" w:rsidRPr="00616A3B">
        <w:t>&gt;.</w:t>
      </w:r>
    </w:p>
    <w:p w14:paraId="1C132FC0" w14:textId="77777777" w:rsidR="00C80137" w:rsidRPr="00616A3B" w:rsidRDefault="00C80137" w:rsidP="003A7F6C">
      <w:pPr>
        <w:pStyle w:val="TableTitle"/>
        <w:sectPr w:rsidR="00C80137" w:rsidRPr="00616A3B" w:rsidSect="00B452CE">
          <w:headerReference w:type="even" r:id="rId32"/>
          <w:headerReference w:type="default" r:id="rId33"/>
          <w:headerReference w:type="first" r:id="rId34"/>
          <w:footerReference w:type="first" r:id="rId3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616A3B" w14:paraId="697760DE" w14:textId="77777777" w:rsidTr="00A05FA4">
        <w:trPr>
          <w:trHeight w:hRule="exact" w:val="704"/>
        </w:trPr>
        <w:tc>
          <w:tcPr>
            <w:tcW w:w="9175" w:type="dxa"/>
          </w:tcPr>
          <w:p w14:paraId="271B9D89" w14:textId="77777777" w:rsidR="001C32CD" w:rsidRPr="00616A3B" w:rsidRDefault="001C32CD" w:rsidP="00A05FA4">
            <w:pPr>
              <w:pStyle w:val="TGASignoff"/>
            </w:pPr>
            <w:r w:rsidRPr="00616A3B">
              <w:t>Therapeutic Goods Administration</w:t>
            </w:r>
          </w:p>
        </w:tc>
      </w:tr>
      <w:tr w:rsidR="001C32CD" w:rsidRPr="004C239D" w14:paraId="2A89BE17" w14:textId="77777777" w:rsidTr="00A05FA4">
        <w:trPr>
          <w:trHeight w:val="1221"/>
        </w:trPr>
        <w:tc>
          <w:tcPr>
            <w:tcW w:w="9175" w:type="dxa"/>
            <w:tcMar>
              <w:top w:w="28" w:type="dxa"/>
            </w:tcMar>
          </w:tcPr>
          <w:p w14:paraId="23CC0528" w14:textId="77777777" w:rsidR="001C32CD" w:rsidRPr="00616A3B" w:rsidRDefault="001C32CD" w:rsidP="00A05FA4">
            <w:pPr>
              <w:pStyle w:val="Address"/>
            </w:pPr>
            <w:r w:rsidRPr="00616A3B">
              <w:t>PO Box 100 Woden ACT 2606 Australia</w:t>
            </w:r>
          </w:p>
          <w:p w14:paraId="64EEA792" w14:textId="421488D0" w:rsidR="001C32CD" w:rsidRPr="00616A3B" w:rsidRDefault="001C32CD" w:rsidP="00A05FA4">
            <w:pPr>
              <w:pStyle w:val="Address"/>
            </w:pPr>
            <w:r w:rsidRPr="00616A3B">
              <w:t xml:space="preserve">Email: </w:t>
            </w:r>
            <w:hyperlink r:id="rId36" w:history="1">
              <w:r w:rsidRPr="00616A3B">
                <w:rPr>
                  <w:rStyle w:val="Hyperlink"/>
                </w:rPr>
                <w:t>info@tga.gov.au</w:t>
              </w:r>
            </w:hyperlink>
            <w:r w:rsidRPr="00616A3B">
              <w:t xml:space="preserve">  Phone: 1800 020 653  Fax: 02 6232 8605</w:t>
            </w:r>
          </w:p>
          <w:p w14:paraId="329F764A" w14:textId="28D15E1E" w:rsidR="001C32CD" w:rsidRPr="004C239D" w:rsidRDefault="004C6897" w:rsidP="00A05FA4">
            <w:pPr>
              <w:pStyle w:val="Address"/>
              <w:spacing w:line="260" w:lineRule="atLeast"/>
              <w:rPr>
                <w:b/>
                <w:color w:val="0000FF"/>
                <w:u w:val="single"/>
              </w:rPr>
            </w:pPr>
            <w:hyperlink r:id="rId37" w:history="1">
              <w:r w:rsidR="007C6B9B" w:rsidRPr="00616A3B">
                <w:rPr>
                  <w:rStyle w:val="Hyperlink"/>
                  <w:b/>
                </w:rPr>
                <w:t>https://www.tga.gov.au</w:t>
              </w:r>
            </w:hyperlink>
          </w:p>
        </w:tc>
      </w:tr>
    </w:tbl>
    <w:p w14:paraId="014E3D98" w14:textId="77777777" w:rsidR="00774E1D" w:rsidRPr="008A5E0B" w:rsidRDefault="00774E1D" w:rsidP="004C239D"/>
    <w:sectPr w:rsidR="00774E1D" w:rsidRPr="008A5E0B" w:rsidSect="001C32CD">
      <w:headerReference w:type="even" r:id="rId38"/>
      <w:headerReference w:type="default" r:id="rId39"/>
      <w:footerReference w:type="default" r:id="rId40"/>
      <w:headerReference w:type="first" r:id="rId41"/>
      <w:footerReference w:type="first" r:id="rId42"/>
      <w:pgSz w:w="11906" w:h="16838" w:code="9"/>
      <w:pgMar w:top="13467" w:right="1701" w:bottom="426" w:left="1701" w:header="907" w:footer="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AEDEA" w16cex:dateUtc="2021-03-15T21:42:00Z"/>
  <w16cex:commentExtensible w16cex:durableId="23FAEDE2" w16cex:dateUtc="2021-03-15T21:42:00Z"/>
  <w16cex:commentExtensible w16cex:durableId="23FAEDFA" w16cex:dateUtc="2021-03-15T21:42:00Z"/>
  <w16cex:commentExtensible w16cex:durableId="23F1FC33" w16cex:dateUtc="2021-03-09T02:52:00Z"/>
  <w16cex:commentExtensible w16cex:durableId="23F5B1D9" w16cex:dateUtc="2021-03-11T22:24:00Z"/>
  <w16cex:commentExtensible w16cex:durableId="23F1FDC4" w16cex:dateUtc="2021-03-09T02: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F768187" w16cid:durableId="23F1F7A0"/>
  <w16cid:commentId w16cid:paraId="33CB693F" w16cid:durableId="23FAEDEA"/>
  <w16cid:commentId w16cid:paraId="1053EDFD" w16cid:durableId="23F1F7A1"/>
  <w16cid:commentId w16cid:paraId="0F2C6360" w16cid:durableId="23FAEDE2"/>
  <w16cid:commentId w16cid:paraId="7EDDC37F" w16cid:durableId="23F1F7A2"/>
  <w16cid:commentId w16cid:paraId="6756A785" w16cid:durableId="23FAEDFA"/>
  <w16cid:commentId w16cid:paraId="1A585539" w16cid:durableId="23F1FC33"/>
  <w16cid:commentId w16cid:paraId="28E1C842" w16cid:durableId="23F5B1D9"/>
  <w16cid:commentId w16cid:paraId="7917A726" w16cid:durableId="23F1F7A3"/>
  <w16cid:commentId w16cid:paraId="56E7B025" w16cid:durableId="23F1FDC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5B8FEE" w14:textId="77777777" w:rsidR="00733A96" w:rsidRDefault="00733A96" w:rsidP="00C40A36">
      <w:pPr>
        <w:spacing w:after="0"/>
      </w:pPr>
      <w:r>
        <w:separator/>
      </w:r>
    </w:p>
  </w:endnote>
  <w:endnote w:type="continuationSeparator" w:id="0">
    <w:p w14:paraId="274BD5C2" w14:textId="77777777" w:rsidR="00733A96" w:rsidRDefault="00733A9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LegacySerif-Book">
    <w:panose1 w:val="00000000000000000000"/>
    <w:charset w:val="00"/>
    <w:family w:val="roman"/>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1B03D" w14:textId="77777777" w:rsidR="006661A8" w:rsidRDefault="006661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8080"/>
      <w:gridCol w:w="1559"/>
    </w:tblGrid>
    <w:tr w:rsidR="00733A96" w:rsidRPr="00487162" w14:paraId="33F71E29" w14:textId="77777777" w:rsidTr="004C6897">
      <w:trPr>
        <w:trHeight w:val="269"/>
      </w:trPr>
      <w:tc>
        <w:tcPr>
          <w:tcW w:w="8080" w:type="dxa"/>
          <w:tcMar>
            <w:top w:w="142" w:type="dxa"/>
            <w:bottom w:w="0" w:type="dxa"/>
          </w:tcMar>
        </w:tcPr>
        <w:p w14:paraId="3CE957C2" w14:textId="10942E35" w:rsidR="00733A96" w:rsidRPr="00487162" w:rsidRDefault="00733A96" w:rsidP="00035D48">
          <w:pPr>
            <w:pStyle w:val="Footer"/>
          </w:pPr>
          <w:r w:rsidRPr="00487162">
            <w:t>AusPA</w:t>
          </w:r>
          <w:r>
            <w:t xml:space="preserve">R - </w:t>
          </w:r>
          <w:r w:rsidRPr="001D0731">
            <w:t xml:space="preserve">Trientine Waymade </w:t>
          </w:r>
          <w:r w:rsidRPr="00460036">
            <w:t xml:space="preserve">– </w:t>
          </w:r>
          <w:r w:rsidRPr="001D0731">
            <w:t xml:space="preserve">trientine dihydrochloride </w:t>
          </w:r>
          <w:r>
            <w:t xml:space="preserve">- </w:t>
          </w:r>
          <w:r w:rsidRPr="001D0731">
            <w:t xml:space="preserve">Waymade Australia Pty Ltd </w:t>
          </w:r>
          <w:r>
            <w:t xml:space="preserve">- </w:t>
          </w:r>
          <w:r w:rsidRPr="001D0731">
            <w:t>PM-2019-05976-1-3</w:t>
          </w:r>
          <w:r>
            <w:br/>
            <w:t>FINAL 6 April 2021</w:t>
          </w:r>
        </w:p>
      </w:tc>
      <w:tc>
        <w:tcPr>
          <w:tcW w:w="1559" w:type="dxa"/>
          <w:tcMar>
            <w:top w:w="142" w:type="dxa"/>
            <w:bottom w:w="0" w:type="dxa"/>
          </w:tcMar>
        </w:tcPr>
        <w:p w14:paraId="5ED88870" w14:textId="01016431" w:rsidR="00733A96" w:rsidRPr="00487162" w:rsidRDefault="00733A96" w:rsidP="00DB750B">
          <w:pPr>
            <w:pStyle w:val="Footer"/>
            <w:jc w:val="right"/>
          </w:pPr>
          <w:r w:rsidRPr="00487162">
            <w:t xml:space="preserve">Page </w:t>
          </w:r>
          <w:r>
            <w:fldChar w:fldCharType="begin"/>
          </w:r>
          <w:r>
            <w:instrText xml:space="preserve"> PAGE  \* Arabic </w:instrText>
          </w:r>
          <w:r>
            <w:fldChar w:fldCharType="separate"/>
          </w:r>
          <w:r w:rsidR="004C6897">
            <w:rPr>
              <w:noProof/>
            </w:rPr>
            <w:t>27</w:t>
          </w:r>
          <w:r>
            <w:fldChar w:fldCharType="end"/>
          </w:r>
          <w:r w:rsidRPr="00487162">
            <w:t xml:space="preserve"> of </w:t>
          </w:r>
          <w:fldSimple w:instr=" NUMPAGES  \* Arabic ">
            <w:r w:rsidR="004C6897">
              <w:rPr>
                <w:noProof/>
              </w:rPr>
              <w:t>31</w:t>
            </w:r>
          </w:fldSimple>
        </w:p>
      </w:tc>
    </w:tr>
  </w:tbl>
  <w:p w14:paraId="2A4CCCD5" w14:textId="77777777" w:rsidR="00733A96" w:rsidRDefault="00733A96"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0FCF4" w14:textId="77777777" w:rsidR="006661A8" w:rsidRDefault="006661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33A96" w:rsidRPr="00487162" w14:paraId="3E32C385" w14:textId="77777777" w:rsidTr="00E45619">
      <w:trPr>
        <w:trHeight w:val="269"/>
      </w:trPr>
      <w:tc>
        <w:tcPr>
          <w:tcW w:w="4519" w:type="dxa"/>
          <w:tcBorders>
            <w:top w:val="single" w:sz="4" w:space="0" w:color="auto"/>
          </w:tcBorders>
          <w:tcMar>
            <w:top w:w="142" w:type="dxa"/>
            <w:bottom w:w="0" w:type="dxa"/>
          </w:tcMar>
        </w:tcPr>
        <w:p w14:paraId="6979F085" w14:textId="77777777" w:rsidR="00733A96" w:rsidRPr="00487162" w:rsidRDefault="00733A96" w:rsidP="00FE1DEE">
          <w:pPr>
            <w:pStyle w:val="Footer"/>
          </w:pPr>
          <w:r w:rsidRPr="00487162">
            <w:t>Document title, Part #, Section # - Section title</w:t>
          </w:r>
        </w:p>
        <w:p w14:paraId="060D0246" w14:textId="77777777" w:rsidR="00733A96" w:rsidRPr="00487162" w:rsidRDefault="00733A96" w:rsidP="00FE1DEE">
          <w:pPr>
            <w:pStyle w:val="Footer"/>
          </w:pPr>
          <w:r w:rsidRPr="00487162">
            <w:t>V1.0 October 2010</w:t>
          </w:r>
        </w:p>
      </w:tc>
      <w:tc>
        <w:tcPr>
          <w:tcW w:w="4342" w:type="dxa"/>
          <w:tcBorders>
            <w:top w:val="single" w:sz="4" w:space="0" w:color="auto"/>
          </w:tcBorders>
          <w:tcMar>
            <w:top w:w="142" w:type="dxa"/>
            <w:bottom w:w="0" w:type="dxa"/>
          </w:tcMar>
        </w:tcPr>
        <w:p w14:paraId="3C1CF6BF" w14:textId="77777777" w:rsidR="00733A96" w:rsidRPr="00487162" w:rsidRDefault="00733A9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w:t>
            </w:r>
          </w:fldSimple>
        </w:p>
      </w:tc>
    </w:tr>
  </w:tbl>
  <w:p w14:paraId="3C839FC1" w14:textId="77777777" w:rsidR="00733A96" w:rsidRDefault="00733A9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C1FED" w14:textId="77777777" w:rsidR="00733A96" w:rsidRPr="001C32CD" w:rsidRDefault="00733A96"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33A96" w14:paraId="4D98E07E" w14:textId="77777777" w:rsidTr="0010601F">
      <w:trPr>
        <w:trHeight w:val="108"/>
      </w:trPr>
      <w:tc>
        <w:tcPr>
          <w:tcW w:w="8875" w:type="dxa"/>
          <w:gridSpan w:val="2"/>
          <w:tcBorders>
            <w:bottom w:val="single" w:sz="4" w:space="0" w:color="auto"/>
          </w:tcBorders>
          <w:tcMar>
            <w:right w:w="284" w:type="dxa"/>
          </w:tcMar>
        </w:tcPr>
        <w:p w14:paraId="5E37B6AA" w14:textId="77777777" w:rsidR="00733A96" w:rsidRDefault="00733A96" w:rsidP="006E08B3">
          <w:pPr>
            <w:pStyle w:val="Heading3"/>
          </w:pPr>
          <w:r>
            <w:t>Copyright</w:t>
          </w:r>
        </w:p>
        <w:p w14:paraId="1A67932B" w14:textId="77777777" w:rsidR="00733A96" w:rsidRDefault="00733A96" w:rsidP="006E08B3">
          <w:r>
            <w:rPr>
              <w:rFonts w:cs="Arial"/>
            </w:rPr>
            <w:t>©</w:t>
          </w:r>
          <w:r>
            <w:t xml:space="preserve"> Commonwealth of Australia [add year]</w:t>
          </w:r>
        </w:p>
        <w:p w14:paraId="12859252" w14:textId="77777777" w:rsidR="00733A96" w:rsidRDefault="00733A96" w:rsidP="006E08B3"/>
        <w:p w14:paraId="294B0206" w14:textId="77777777" w:rsidR="00733A96" w:rsidRDefault="00733A9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3D99566E" w14:textId="77777777" w:rsidR="00733A96" w:rsidRDefault="00733A96" w:rsidP="006E08B3"/>
        <w:p w14:paraId="3E9580EB" w14:textId="77777777" w:rsidR="00733A96" w:rsidRDefault="00733A96" w:rsidP="006E08B3">
          <w:pPr>
            <w:pStyle w:val="Heading3"/>
          </w:pPr>
          <w:r>
            <w:t>Confidentiality</w:t>
          </w:r>
        </w:p>
        <w:p w14:paraId="087F91BD" w14:textId="77777777" w:rsidR="00733A96" w:rsidRDefault="00733A9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106B563" w14:textId="77777777" w:rsidR="00733A96" w:rsidRDefault="00733A96" w:rsidP="006E08B3"/>
        <w:p w14:paraId="19695382" w14:textId="77777777" w:rsidR="00733A96" w:rsidRDefault="00733A96" w:rsidP="006E08B3">
          <w:r>
            <w:t>For submission made by individuals, all personal details, other than your name, will be removed from your submission before it is published on the TGA’s Internet site.</w:t>
          </w:r>
        </w:p>
        <w:p w14:paraId="78B57312" w14:textId="77777777" w:rsidR="00733A96" w:rsidRDefault="00733A96" w:rsidP="006E08B3"/>
        <w:p w14:paraId="640C795D" w14:textId="77777777" w:rsidR="00733A96" w:rsidRDefault="00733A96"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733A96" w14:paraId="46B971FB" w14:textId="77777777" w:rsidTr="0010601F">
      <w:trPr>
        <w:trHeight w:val="417"/>
      </w:trPr>
      <w:tc>
        <w:tcPr>
          <w:tcW w:w="4519" w:type="dxa"/>
          <w:tcBorders>
            <w:top w:val="single" w:sz="4" w:space="0" w:color="auto"/>
          </w:tcBorders>
          <w:tcMar>
            <w:top w:w="142" w:type="dxa"/>
            <w:bottom w:w="0" w:type="dxa"/>
          </w:tcMar>
        </w:tcPr>
        <w:p w14:paraId="7CE91757" w14:textId="77777777" w:rsidR="00733A96" w:rsidRDefault="00733A96" w:rsidP="006E08B3">
          <w:r>
            <w:t>Document title, Part #, Section # - Section title</w:t>
          </w:r>
        </w:p>
        <w:p w14:paraId="15314F15" w14:textId="77777777" w:rsidR="00733A96" w:rsidRDefault="00733A96" w:rsidP="006E08B3">
          <w:r>
            <w:t>V1.0 October 2010</w:t>
          </w:r>
        </w:p>
      </w:tc>
      <w:tc>
        <w:tcPr>
          <w:tcW w:w="4356" w:type="dxa"/>
          <w:tcBorders>
            <w:top w:val="single" w:sz="4" w:space="0" w:color="auto"/>
          </w:tcBorders>
          <w:tcMar>
            <w:top w:w="142" w:type="dxa"/>
            <w:bottom w:w="0" w:type="dxa"/>
          </w:tcMar>
        </w:tcPr>
        <w:p w14:paraId="1FB39074" w14:textId="77777777" w:rsidR="00733A96" w:rsidRDefault="00733A9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w:t>
            </w:r>
          </w:fldSimple>
          <w:r>
            <w:t xml:space="preserve">  </w:t>
          </w:r>
        </w:p>
      </w:tc>
    </w:tr>
  </w:tbl>
  <w:p w14:paraId="53567ABB" w14:textId="77777777" w:rsidR="00733A96" w:rsidRDefault="00733A9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9EB0BF" w14:textId="77777777" w:rsidR="00733A96" w:rsidRDefault="00733A96" w:rsidP="00C40A36">
      <w:pPr>
        <w:spacing w:after="0"/>
      </w:pPr>
      <w:r>
        <w:separator/>
      </w:r>
    </w:p>
  </w:footnote>
  <w:footnote w:type="continuationSeparator" w:id="0">
    <w:p w14:paraId="348E56D1" w14:textId="77777777" w:rsidR="00733A96" w:rsidRDefault="00733A96" w:rsidP="00C40A36">
      <w:pPr>
        <w:spacing w:after="0"/>
      </w:pPr>
      <w:r>
        <w:continuationSeparator/>
      </w:r>
    </w:p>
  </w:footnote>
  <w:footnote w:id="1">
    <w:p w14:paraId="002F1970" w14:textId="77777777" w:rsidR="00733A96" w:rsidRDefault="00733A96">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3CA54E89" w14:textId="3053D9B8" w:rsidR="00733A96" w:rsidRPr="004F74B1" w:rsidRDefault="00733A96">
      <w:pPr>
        <w:pStyle w:val="FootnoteText"/>
        <w:rPr>
          <w:lang w:val="en-US"/>
        </w:rPr>
      </w:pPr>
      <w:r>
        <w:rPr>
          <w:rStyle w:val="FootnoteReference"/>
        </w:rPr>
        <w:footnoteRef/>
      </w:r>
      <w:r>
        <w:t xml:space="preserve"> </w:t>
      </w:r>
      <w:r w:rsidRPr="004F74B1">
        <w:rPr>
          <w:b/>
        </w:rPr>
        <w:t>Orphan drugs</w:t>
      </w:r>
      <w:r w:rsidRPr="00406747">
        <w:t xml:space="preserve"> are often developed to treat small and very specific patient populations who suffer from rare diseases and conditions. In order to facilitate orphan drug access to the Australian marketplace and help offset orphan drug development costs the TGA waives application and evaluation fees for prescription medicine registration applications if a related orphan designation is in force. A medicine may be eligible for orphan drug designation if all orphan criteria set by the TGA are met. The orphan designation application precedes the registration application and the designation is specific to the sponsor, orphan indication for which designation was granted and dosage form of the medicine.</w:t>
      </w:r>
    </w:p>
  </w:footnote>
  <w:footnote w:id="3">
    <w:p w14:paraId="53C49D2D" w14:textId="513F275A" w:rsidR="00733A96" w:rsidRPr="006C7E21" w:rsidRDefault="00733A96">
      <w:pPr>
        <w:pStyle w:val="FootnoteText"/>
        <w:rPr>
          <w:lang w:val="en-US"/>
        </w:rPr>
      </w:pPr>
      <w:r>
        <w:rPr>
          <w:rStyle w:val="FootnoteReference"/>
        </w:rPr>
        <w:footnoteRef/>
      </w:r>
      <w:r>
        <w:t xml:space="preserve"> </w:t>
      </w:r>
      <w:r>
        <w:rPr>
          <w:lang w:val="en-US"/>
        </w:rPr>
        <w:t>USP = United States Pharmacopeia</w:t>
      </w:r>
    </w:p>
  </w:footnote>
  <w:footnote w:id="4">
    <w:p w14:paraId="40BF6C33" w14:textId="6287028B" w:rsidR="00733A96" w:rsidRDefault="00733A96" w:rsidP="00F968CF">
      <w:pPr>
        <w:pStyle w:val="FootnoteText"/>
      </w:pPr>
      <w:r>
        <w:rPr>
          <w:rStyle w:val="FootnoteReference"/>
        </w:rPr>
        <w:footnoteRef/>
      </w:r>
      <w:r>
        <w:t xml:space="preserve"> </w:t>
      </w:r>
      <w:r w:rsidRPr="00F968CF">
        <w:rPr>
          <w:b/>
        </w:rPr>
        <w:t>Pregnancy Category D</w:t>
      </w:r>
      <w:r>
        <w:t>: 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5">
    <w:p w14:paraId="642AC903" w14:textId="77777777" w:rsidR="00733A96" w:rsidRDefault="00733A96" w:rsidP="00333267">
      <w:pPr>
        <w:pStyle w:val="FootnoteText"/>
      </w:pPr>
      <w:r>
        <w:rPr>
          <w:rStyle w:val="FootnoteReference"/>
        </w:rPr>
        <w:footnoteRef/>
      </w:r>
      <w:r>
        <w:t xml:space="preserve"> </w:t>
      </w:r>
      <w:r w:rsidRPr="006C294B">
        <w:t>Cho</w:t>
      </w:r>
      <w:r>
        <w:t>,</w:t>
      </w:r>
      <w:r w:rsidRPr="006C294B">
        <w:t xml:space="preserve"> H</w:t>
      </w:r>
      <w:r>
        <w:t xml:space="preserve">. </w:t>
      </w:r>
      <w:r w:rsidRPr="006C294B">
        <w:t>Y</w:t>
      </w:r>
      <w:r>
        <w:t>. et al.</w:t>
      </w:r>
      <w:r w:rsidRPr="006C294B">
        <w:t xml:space="preserve"> Pharmacokinetic and Pharmacodynamic </w:t>
      </w:r>
      <w:proofErr w:type="spellStart"/>
      <w:r w:rsidRPr="006C294B">
        <w:t>Modeling</w:t>
      </w:r>
      <w:proofErr w:type="spellEnd"/>
      <w:r w:rsidRPr="006C294B">
        <w:t xml:space="preserve"> of a Copper-selective </w:t>
      </w:r>
      <w:proofErr w:type="spellStart"/>
      <w:r w:rsidRPr="006C294B">
        <w:t>Chelator</w:t>
      </w:r>
      <w:proofErr w:type="spellEnd"/>
      <w:r w:rsidRPr="006C294B">
        <w:t xml:space="preserve"> (TETA) in Healthy Adults</w:t>
      </w:r>
      <w:r>
        <w:t>,</w:t>
      </w:r>
      <w:r w:rsidRPr="006C294B">
        <w:t xml:space="preserve"> </w:t>
      </w:r>
      <w:r w:rsidRPr="003F433A">
        <w:rPr>
          <w:i/>
        </w:rPr>
        <w:t xml:space="preserve">J </w:t>
      </w:r>
      <w:proofErr w:type="spellStart"/>
      <w:r w:rsidRPr="003F433A">
        <w:rPr>
          <w:i/>
        </w:rPr>
        <w:t>Clin</w:t>
      </w:r>
      <w:proofErr w:type="spellEnd"/>
      <w:r w:rsidRPr="003F433A">
        <w:rPr>
          <w:i/>
        </w:rPr>
        <w:t xml:space="preserve"> </w:t>
      </w:r>
      <w:proofErr w:type="spellStart"/>
      <w:r w:rsidRPr="003F433A">
        <w:rPr>
          <w:i/>
        </w:rPr>
        <w:t>Pharmacol</w:t>
      </w:r>
      <w:proofErr w:type="spellEnd"/>
      <w:r>
        <w:t>,</w:t>
      </w:r>
      <w:r w:rsidRPr="006C294B">
        <w:t xml:space="preserve"> 2009;</w:t>
      </w:r>
      <w:r>
        <w:t xml:space="preserve"> </w:t>
      </w:r>
      <w:r w:rsidRPr="006C294B">
        <w:t>49(8):</w:t>
      </w:r>
      <w:r>
        <w:t xml:space="preserve"> </w:t>
      </w:r>
      <w:r w:rsidRPr="006C294B">
        <w:t>916-928.</w:t>
      </w:r>
    </w:p>
  </w:footnote>
  <w:footnote w:id="6">
    <w:p w14:paraId="001A55F7" w14:textId="5494BD44" w:rsidR="00733A96" w:rsidRPr="00E92AAF" w:rsidRDefault="00733A96">
      <w:pPr>
        <w:pStyle w:val="FootnoteText"/>
        <w:rPr>
          <w:lang w:val="en-US"/>
        </w:rPr>
      </w:pPr>
      <w:r>
        <w:rPr>
          <w:rStyle w:val="FootnoteReference"/>
        </w:rPr>
        <w:footnoteRef/>
      </w:r>
      <w:r>
        <w:t xml:space="preserve"> Roberts E and </w:t>
      </w:r>
      <w:proofErr w:type="spellStart"/>
      <w:r>
        <w:t>Schilsky</w:t>
      </w:r>
      <w:proofErr w:type="spellEnd"/>
      <w:r>
        <w:t xml:space="preserve"> M</w:t>
      </w:r>
      <w:r w:rsidRPr="00B20166">
        <w:t>. American Association for the Study of Liver Diseases (AASLD) Practice Guidelines. Diagnosis and Treatment of Wilson Disease: an Update. A Practice Guideline on Wilson Disease</w:t>
      </w:r>
      <w:r>
        <w:t>,</w:t>
      </w:r>
      <w:r w:rsidRPr="00B20166">
        <w:t xml:space="preserve"> </w:t>
      </w:r>
      <w:proofErr w:type="spellStart"/>
      <w:r w:rsidRPr="00E92AAF">
        <w:rPr>
          <w:i/>
        </w:rPr>
        <w:t>Hepatology</w:t>
      </w:r>
      <w:proofErr w:type="spellEnd"/>
      <w:r w:rsidRPr="00B20166">
        <w:t>. 2008; 47(6):</w:t>
      </w:r>
      <w:r>
        <w:t xml:space="preserve"> </w:t>
      </w:r>
      <w:r w:rsidRPr="00B20166">
        <w:t>2089-2111.</w:t>
      </w:r>
    </w:p>
  </w:footnote>
  <w:footnote w:id="7">
    <w:p w14:paraId="613751D1" w14:textId="3A669088" w:rsidR="00733A96" w:rsidRPr="00E92AAF" w:rsidRDefault="00733A96">
      <w:pPr>
        <w:pStyle w:val="FootnoteText"/>
        <w:rPr>
          <w:lang w:val="en-US"/>
        </w:rPr>
      </w:pPr>
      <w:r>
        <w:rPr>
          <w:rStyle w:val="FootnoteReference"/>
        </w:rPr>
        <w:footnoteRef/>
      </w:r>
      <w:r>
        <w:t xml:space="preserve"> </w:t>
      </w:r>
      <w:r w:rsidRPr="00B20166">
        <w:t>European Association for the Study of the Liver (EASL) Clinical Practice Guidelines: Wilson's Disease</w:t>
      </w:r>
      <w:r>
        <w:t>,</w:t>
      </w:r>
      <w:r w:rsidRPr="00B20166">
        <w:t xml:space="preserve"> </w:t>
      </w:r>
      <w:r w:rsidRPr="00E92AAF">
        <w:rPr>
          <w:i/>
        </w:rPr>
        <w:t xml:space="preserve">J </w:t>
      </w:r>
      <w:proofErr w:type="spellStart"/>
      <w:r w:rsidRPr="00E92AAF">
        <w:rPr>
          <w:i/>
        </w:rPr>
        <w:t>Hepatology</w:t>
      </w:r>
      <w:proofErr w:type="spellEnd"/>
      <w:r>
        <w:t>,</w:t>
      </w:r>
      <w:r w:rsidRPr="00B20166">
        <w:t xml:space="preserve"> 2012; 56:</w:t>
      </w:r>
      <w:r>
        <w:t xml:space="preserve"> </w:t>
      </w:r>
      <w:r w:rsidRPr="00B20166">
        <w:t>671-685.</w:t>
      </w:r>
    </w:p>
  </w:footnote>
  <w:footnote w:id="8">
    <w:p w14:paraId="4C9DF177" w14:textId="595B9A8A" w:rsidR="00733A96" w:rsidRDefault="00733A96">
      <w:pPr>
        <w:pStyle w:val="FootnoteText"/>
      </w:pPr>
      <w:r>
        <w:rPr>
          <w:rStyle w:val="FootnoteReference"/>
        </w:rPr>
        <w:footnoteRef/>
      </w:r>
      <w:r>
        <w:t xml:space="preserve"> </w:t>
      </w:r>
      <w:proofErr w:type="spellStart"/>
      <w:r w:rsidRPr="003F433A">
        <w:t>Socha</w:t>
      </w:r>
      <w:proofErr w:type="spellEnd"/>
      <w:r w:rsidRPr="003F433A">
        <w:t xml:space="preserve">. P. et al. Wilson's Disease in Children: a Position Paper by the </w:t>
      </w:r>
      <w:proofErr w:type="spellStart"/>
      <w:r w:rsidRPr="003F433A">
        <w:t>Hepatology</w:t>
      </w:r>
      <w:proofErr w:type="spellEnd"/>
      <w:r w:rsidRPr="003F433A">
        <w:t xml:space="preserve"> Committee of the European Society for Paediatric Gastroenterology, </w:t>
      </w:r>
      <w:proofErr w:type="spellStart"/>
      <w:r w:rsidRPr="003F433A">
        <w:t>Hepatology</w:t>
      </w:r>
      <w:proofErr w:type="spellEnd"/>
      <w:r w:rsidRPr="003F433A">
        <w:t xml:space="preserve"> and Nutrition (ESPGHN), </w:t>
      </w:r>
      <w:r w:rsidRPr="005779AF">
        <w:rPr>
          <w:i/>
        </w:rPr>
        <w:t xml:space="preserve">J of </w:t>
      </w:r>
      <w:proofErr w:type="spellStart"/>
      <w:r w:rsidRPr="005779AF">
        <w:rPr>
          <w:i/>
        </w:rPr>
        <w:t>Pediatr</w:t>
      </w:r>
      <w:proofErr w:type="spellEnd"/>
      <w:r w:rsidRPr="005779AF">
        <w:rPr>
          <w:i/>
        </w:rPr>
        <w:t xml:space="preserve"> </w:t>
      </w:r>
      <w:proofErr w:type="spellStart"/>
      <w:r w:rsidRPr="005779AF">
        <w:rPr>
          <w:i/>
        </w:rPr>
        <w:t>Gastr</w:t>
      </w:r>
      <w:proofErr w:type="spellEnd"/>
      <w:r w:rsidRPr="005779AF">
        <w:rPr>
          <w:i/>
        </w:rPr>
        <w:t xml:space="preserve"> and </w:t>
      </w:r>
      <w:proofErr w:type="spellStart"/>
      <w:r w:rsidRPr="005779AF">
        <w:rPr>
          <w:i/>
        </w:rPr>
        <w:t>Nutr</w:t>
      </w:r>
      <w:proofErr w:type="spellEnd"/>
      <w:r w:rsidRPr="003F433A">
        <w:t>, 2018; 66(2): 334-344.</w:t>
      </w:r>
    </w:p>
  </w:footnote>
  <w:footnote w:id="9">
    <w:p w14:paraId="589FA0FC" w14:textId="7C65F7FD" w:rsidR="00733A96" w:rsidRPr="00F876B2" w:rsidRDefault="00733A96" w:rsidP="00885993">
      <w:pPr>
        <w:rPr>
          <w:sz w:val="18"/>
          <w:szCs w:val="18"/>
        </w:rPr>
      </w:pPr>
      <w:r>
        <w:rPr>
          <w:rStyle w:val="FootnoteReference"/>
        </w:rPr>
        <w:footnoteRef/>
      </w:r>
      <w:r w:rsidRPr="004102DD">
        <w:rPr>
          <w:sz w:val="18"/>
          <w:szCs w:val="18"/>
        </w:rPr>
        <w:t xml:space="preserve"> </w:t>
      </w:r>
      <w:r w:rsidRPr="003F433A">
        <w:rPr>
          <w:rStyle w:val="FootnoteTextChar"/>
        </w:rPr>
        <w:t xml:space="preserve">Weiss, K. H. et al. Efficacy and Safety of oral </w:t>
      </w:r>
      <w:proofErr w:type="spellStart"/>
      <w:r w:rsidRPr="003F433A">
        <w:rPr>
          <w:rStyle w:val="FootnoteTextChar"/>
        </w:rPr>
        <w:t>Chelators</w:t>
      </w:r>
      <w:proofErr w:type="spellEnd"/>
      <w:r w:rsidRPr="003F433A">
        <w:rPr>
          <w:rStyle w:val="FootnoteTextChar"/>
        </w:rPr>
        <w:t xml:space="preserve"> in Treatment of Patients with Wilson Disease, </w:t>
      </w:r>
      <w:proofErr w:type="spellStart"/>
      <w:r w:rsidRPr="005779AF">
        <w:rPr>
          <w:rStyle w:val="FootnoteTextChar"/>
          <w:i/>
        </w:rPr>
        <w:t>Clin</w:t>
      </w:r>
      <w:proofErr w:type="spellEnd"/>
      <w:r w:rsidRPr="005779AF">
        <w:rPr>
          <w:rStyle w:val="FootnoteTextChar"/>
          <w:i/>
        </w:rPr>
        <w:t xml:space="preserve"> </w:t>
      </w:r>
      <w:proofErr w:type="spellStart"/>
      <w:r w:rsidRPr="005779AF">
        <w:rPr>
          <w:rStyle w:val="FootnoteTextChar"/>
          <w:i/>
        </w:rPr>
        <w:t>Gastroenterol</w:t>
      </w:r>
      <w:proofErr w:type="spellEnd"/>
      <w:r w:rsidRPr="005779AF">
        <w:rPr>
          <w:rStyle w:val="FootnoteTextChar"/>
          <w:i/>
        </w:rPr>
        <w:t xml:space="preserve"> </w:t>
      </w:r>
      <w:proofErr w:type="spellStart"/>
      <w:r w:rsidRPr="005779AF">
        <w:rPr>
          <w:rStyle w:val="FootnoteTextChar"/>
          <w:i/>
        </w:rPr>
        <w:t>Hepatol</w:t>
      </w:r>
      <w:proofErr w:type="spellEnd"/>
      <w:r w:rsidRPr="003F433A">
        <w:rPr>
          <w:rStyle w:val="FootnoteTextChar"/>
        </w:rPr>
        <w:t>, 2013; 11: 1028-1035.</w:t>
      </w:r>
    </w:p>
  </w:footnote>
  <w:footnote w:id="10">
    <w:p w14:paraId="330B4160" w14:textId="647FD86E" w:rsidR="00733A96" w:rsidRDefault="00733A96">
      <w:pPr>
        <w:pStyle w:val="FootnoteText"/>
      </w:pPr>
      <w:r>
        <w:rPr>
          <w:rStyle w:val="FootnoteReference"/>
        </w:rPr>
        <w:footnoteRef/>
      </w:r>
      <w:r>
        <w:t xml:space="preserve"> </w:t>
      </w:r>
      <w:r w:rsidRPr="003F433A">
        <w:t xml:space="preserve">Weiss, K. H. et al. Long Term Outcomes of Treatment with Trientine in Wilson Disease: Final Results from a Multicentre Study in patients Withdrawn from D-penicillamine Therapy, </w:t>
      </w:r>
      <w:r w:rsidRPr="008546C4">
        <w:rPr>
          <w:i/>
        </w:rPr>
        <w:t xml:space="preserve">J </w:t>
      </w:r>
      <w:proofErr w:type="spellStart"/>
      <w:r w:rsidRPr="008546C4">
        <w:rPr>
          <w:i/>
        </w:rPr>
        <w:t>Hepato</w:t>
      </w:r>
      <w:proofErr w:type="spellEnd"/>
      <w:r w:rsidRPr="003F433A">
        <w:t>, 2018; 68: S106-S107.</w:t>
      </w:r>
    </w:p>
  </w:footnote>
  <w:footnote w:id="11">
    <w:p w14:paraId="416F666F" w14:textId="48D3C22E" w:rsidR="00733A96" w:rsidRDefault="00733A96">
      <w:pPr>
        <w:pStyle w:val="FootnoteText"/>
      </w:pPr>
      <w:r>
        <w:rPr>
          <w:rStyle w:val="FootnoteReference"/>
        </w:rPr>
        <w:footnoteRef/>
      </w:r>
      <w:r>
        <w:t xml:space="preserve"> </w:t>
      </w:r>
      <w:r w:rsidRPr="003F433A">
        <w:t>Weiss</w:t>
      </w:r>
      <w:r>
        <w:t>,</w:t>
      </w:r>
      <w:r w:rsidRPr="003F433A">
        <w:t xml:space="preserve"> K</w:t>
      </w:r>
      <w:r>
        <w:t xml:space="preserve">. </w:t>
      </w:r>
      <w:r w:rsidRPr="003F433A">
        <w:t>H</w:t>
      </w:r>
      <w:r>
        <w:t>.e</w:t>
      </w:r>
      <w:r w:rsidRPr="003F433A">
        <w:t xml:space="preserve">t al. Safety and Efficacy of Trientine Treatment in Wilson Disease in Patients Withdrawn from </w:t>
      </w:r>
      <w:r>
        <w:t>D</w:t>
      </w:r>
      <w:r w:rsidRPr="003F433A">
        <w:t>-Penicillamine: Final Results from a Prospective Study</w:t>
      </w:r>
      <w:r>
        <w:t>,</w:t>
      </w:r>
      <w:r w:rsidRPr="003F433A">
        <w:t xml:space="preserve"> </w:t>
      </w:r>
      <w:r w:rsidRPr="003F433A">
        <w:rPr>
          <w:i/>
        </w:rPr>
        <w:t xml:space="preserve">J </w:t>
      </w:r>
      <w:proofErr w:type="spellStart"/>
      <w:r w:rsidRPr="003F433A">
        <w:rPr>
          <w:i/>
        </w:rPr>
        <w:t>Hepatol</w:t>
      </w:r>
      <w:proofErr w:type="spellEnd"/>
      <w:r>
        <w:t>,</w:t>
      </w:r>
      <w:r w:rsidRPr="003F433A">
        <w:t xml:space="preserve"> 2019;</w:t>
      </w:r>
      <w:r>
        <w:t xml:space="preserve"> </w:t>
      </w:r>
      <w:r w:rsidRPr="003F433A">
        <w:t>70:</w:t>
      </w:r>
      <w:r>
        <w:t xml:space="preserve"> </w:t>
      </w:r>
      <w:r w:rsidRPr="003F433A">
        <w:t>e383-e624.</w:t>
      </w:r>
    </w:p>
  </w:footnote>
  <w:footnote w:id="12">
    <w:p w14:paraId="3EEA8448" w14:textId="77777777" w:rsidR="00B45D7D" w:rsidRDefault="00B45D7D" w:rsidP="00B45D7D">
      <w:pPr>
        <w:pStyle w:val="FootnoteText"/>
      </w:pPr>
      <w:r>
        <w:rPr>
          <w:rStyle w:val="FootnoteReference"/>
        </w:rPr>
        <w:footnoteRef/>
      </w:r>
      <w:r>
        <w:t xml:space="preserve"> </w:t>
      </w:r>
      <w:proofErr w:type="spellStart"/>
      <w:r w:rsidRPr="002774B3">
        <w:t>Walshe</w:t>
      </w:r>
      <w:proofErr w:type="spellEnd"/>
      <w:r>
        <w:t>,</w:t>
      </w:r>
      <w:r w:rsidRPr="002774B3">
        <w:t xml:space="preserve"> J</w:t>
      </w:r>
      <w:r>
        <w:t xml:space="preserve">. </w:t>
      </w:r>
      <w:r w:rsidRPr="002774B3">
        <w:t>M</w:t>
      </w:r>
      <w:r>
        <w:t xml:space="preserve">. </w:t>
      </w:r>
      <w:r w:rsidRPr="002774B3">
        <w:t xml:space="preserve">Treatment </w:t>
      </w:r>
      <w:r>
        <w:t>o</w:t>
      </w:r>
      <w:r w:rsidRPr="002774B3">
        <w:t xml:space="preserve">f Wilson’s </w:t>
      </w:r>
      <w:r>
        <w:t>Disease w</w:t>
      </w:r>
      <w:r w:rsidRPr="002774B3">
        <w:t>ith Trientine (</w:t>
      </w:r>
      <w:proofErr w:type="spellStart"/>
      <w:r w:rsidRPr="002774B3">
        <w:t>Triethylene</w:t>
      </w:r>
      <w:proofErr w:type="spellEnd"/>
      <w:r w:rsidRPr="002774B3">
        <w:t xml:space="preserve"> </w:t>
      </w:r>
      <w:proofErr w:type="spellStart"/>
      <w:r w:rsidRPr="002774B3">
        <w:t>Tetramine</w:t>
      </w:r>
      <w:proofErr w:type="spellEnd"/>
      <w:r w:rsidRPr="002774B3">
        <w:t>) Dihydrochloride</w:t>
      </w:r>
      <w:r>
        <w:t>,</w:t>
      </w:r>
      <w:r w:rsidRPr="002774B3">
        <w:t xml:space="preserve"> </w:t>
      </w:r>
      <w:r w:rsidRPr="002774B3">
        <w:rPr>
          <w:i/>
        </w:rPr>
        <w:t>Lancet</w:t>
      </w:r>
      <w:r>
        <w:t>,</w:t>
      </w:r>
      <w:r w:rsidRPr="002774B3">
        <w:t xml:space="preserve"> 1982</w:t>
      </w:r>
      <w:r>
        <w:t xml:space="preserve">; </w:t>
      </w:r>
      <w:r w:rsidRPr="002774B3">
        <w:t>March 20, 643-</w:t>
      </w:r>
      <w:r>
        <w:t>64</w:t>
      </w:r>
      <w:r w:rsidRPr="002774B3">
        <w:t>7.</w:t>
      </w:r>
    </w:p>
  </w:footnote>
  <w:footnote w:id="13">
    <w:p w14:paraId="617E0F15" w14:textId="77777777" w:rsidR="00B45D7D" w:rsidRDefault="00B45D7D" w:rsidP="00B45D7D">
      <w:pPr>
        <w:pStyle w:val="FootnoteText"/>
      </w:pPr>
      <w:r>
        <w:rPr>
          <w:rStyle w:val="FootnoteReference"/>
        </w:rPr>
        <w:footnoteRef/>
      </w:r>
      <w:r>
        <w:t xml:space="preserve"> </w:t>
      </w:r>
      <w:proofErr w:type="spellStart"/>
      <w:r w:rsidRPr="00333267">
        <w:t>Arnon</w:t>
      </w:r>
      <w:proofErr w:type="spellEnd"/>
      <w:r>
        <w:t>,</w:t>
      </w:r>
      <w:r w:rsidRPr="00333267">
        <w:t xml:space="preserve"> R</w:t>
      </w:r>
      <w:r>
        <w:t>.</w:t>
      </w:r>
      <w:r w:rsidRPr="00333267">
        <w:t xml:space="preserve"> et al</w:t>
      </w:r>
      <w:r>
        <w:t>.</w:t>
      </w:r>
      <w:r w:rsidRPr="00333267">
        <w:t xml:space="preserve"> Wilson </w:t>
      </w:r>
      <w:r>
        <w:t>Disease in</w:t>
      </w:r>
      <w:r w:rsidRPr="00333267">
        <w:t xml:space="preserve"> Chi</w:t>
      </w:r>
      <w:r>
        <w:t>ldren: Serum Aminotransferases and Urinary Copper o</w:t>
      </w:r>
      <w:r w:rsidRPr="00333267">
        <w:t xml:space="preserve">n </w:t>
      </w:r>
      <w:proofErr w:type="spellStart"/>
      <w:r w:rsidRPr="00333267">
        <w:t>Triethylene</w:t>
      </w:r>
      <w:proofErr w:type="spellEnd"/>
      <w:r w:rsidRPr="00333267">
        <w:t xml:space="preserve"> </w:t>
      </w:r>
      <w:proofErr w:type="spellStart"/>
      <w:r w:rsidRPr="00333267">
        <w:t>Tetramine</w:t>
      </w:r>
      <w:proofErr w:type="spellEnd"/>
      <w:r w:rsidRPr="00333267">
        <w:t xml:space="preserve"> Dihydrochloride (Trientine) Treatment</w:t>
      </w:r>
      <w:r>
        <w:t>,</w:t>
      </w:r>
      <w:r w:rsidRPr="00333267">
        <w:t xml:space="preserve"> </w:t>
      </w:r>
      <w:r w:rsidRPr="00333267">
        <w:rPr>
          <w:i/>
        </w:rPr>
        <w:t xml:space="preserve">J </w:t>
      </w:r>
      <w:proofErr w:type="spellStart"/>
      <w:r w:rsidRPr="00333267">
        <w:rPr>
          <w:i/>
        </w:rPr>
        <w:t>Ped</w:t>
      </w:r>
      <w:proofErr w:type="spellEnd"/>
      <w:r w:rsidRPr="00333267">
        <w:rPr>
          <w:i/>
        </w:rPr>
        <w:t xml:space="preserve"> </w:t>
      </w:r>
      <w:proofErr w:type="spellStart"/>
      <w:r w:rsidRPr="00333267">
        <w:rPr>
          <w:i/>
        </w:rPr>
        <w:t>Gastroent</w:t>
      </w:r>
      <w:proofErr w:type="spellEnd"/>
      <w:r w:rsidRPr="00333267">
        <w:rPr>
          <w:i/>
        </w:rPr>
        <w:t xml:space="preserve"> </w:t>
      </w:r>
      <w:proofErr w:type="spellStart"/>
      <w:r w:rsidRPr="00333267">
        <w:rPr>
          <w:i/>
        </w:rPr>
        <w:t>Nutr</w:t>
      </w:r>
      <w:proofErr w:type="spellEnd"/>
      <w:r>
        <w:t>, 2007;</w:t>
      </w:r>
      <w:r w:rsidRPr="00333267">
        <w:t xml:space="preserve"> 44:</w:t>
      </w:r>
      <w:r>
        <w:t xml:space="preserve"> </w:t>
      </w:r>
      <w:r w:rsidRPr="00333267">
        <w:t>596-602.</w:t>
      </w:r>
    </w:p>
  </w:footnote>
  <w:footnote w:id="14">
    <w:p w14:paraId="76978E62" w14:textId="77777777" w:rsidR="00B45D7D" w:rsidRDefault="00B45D7D" w:rsidP="00B45D7D">
      <w:pPr>
        <w:pStyle w:val="FootnoteText"/>
      </w:pPr>
      <w:r>
        <w:rPr>
          <w:rStyle w:val="FootnoteReference"/>
        </w:rPr>
        <w:footnoteRef/>
      </w:r>
      <w:r>
        <w:t xml:space="preserve"> </w:t>
      </w:r>
      <w:proofErr w:type="spellStart"/>
      <w:r w:rsidRPr="00333267">
        <w:t>Dahlman</w:t>
      </w:r>
      <w:proofErr w:type="spellEnd"/>
      <w:r>
        <w:t>,</w:t>
      </w:r>
      <w:r w:rsidRPr="00333267">
        <w:t xml:space="preserve"> T</w:t>
      </w:r>
      <w:r>
        <w:t>.</w:t>
      </w:r>
      <w:r w:rsidRPr="00333267">
        <w:t xml:space="preserve"> et al</w:t>
      </w:r>
      <w:r>
        <w:t>.</w:t>
      </w:r>
      <w:r w:rsidRPr="00333267">
        <w:t xml:space="preserve"> Long-term </w:t>
      </w:r>
      <w:r>
        <w:t>Treatment o</w:t>
      </w:r>
      <w:r w:rsidRPr="00333267">
        <w:t xml:space="preserve">f Wilson’s </w:t>
      </w:r>
      <w:r>
        <w:t>Disease w</w:t>
      </w:r>
      <w:r w:rsidRPr="00333267">
        <w:t xml:space="preserve">ith </w:t>
      </w:r>
      <w:proofErr w:type="spellStart"/>
      <w:r w:rsidRPr="00333267">
        <w:t>Triethylene</w:t>
      </w:r>
      <w:proofErr w:type="spellEnd"/>
      <w:r w:rsidRPr="00333267">
        <w:t xml:space="preserve"> </w:t>
      </w:r>
      <w:proofErr w:type="spellStart"/>
      <w:r w:rsidRPr="00333267">
        <w:t>Tetramine</w:t>
      </w:r>
      <w:proofErr w:type="spellEnd"/>
      <w:r w:rsidRPr="00333267">
        <w:t xml:space="preserve"> Dihydrochloride (Trientine)</w:t>
      </w:r>
      <w:r>
        <w:t>,</w:t>
      </w:r>
      <w:r w:rsidRPr="00333267">
        <w:t xml:space="preserve"> </w:t>
      </w:r>
      <w:r w:rsidRPr="005779AF">
        <w:rPr>
          <w:i/>
        </w:rPr>
        <w:t>Q J Med</w:t>
      </w:r>
      <w:r>
        <w:t>, 1995;</w:t>
      </w:r>
      <w:r w:rsidRPr="00333267">
        <w:t xml:space="preserve"> 88:</w:t>
      </w:r>
      <w:r>
        <w:t xml:space="preserve"> </w:t>
      </w:r>
      <w:r w:rsidRPr="00333267">
        <w:t>609-</w:t>
      </w:r>
      <w:r>
        <w:t>6</w:t>
      </w:r>
      <w:r w:rsidRPr="00333267">
        <w:t>16.</w:t>
      </w:r>
    </w:p>
  </w:footnote>
  <w:footnote w:id="15">
    <w:p w14:paraId="5E7B0C43" w14:textId="77777777" w:rsidR="00B45D7D" w:rsidRDefault="00B45D7D" w:rsidP="00B45D7D">
      <w:pPr>
        <w:pStyle w:val="FootnoteText"/>
      </w:pPr>
      <w:r>
        <w:rPr>
          <w:rStyle w:val="FootnoteReference"/>
        </w:rPr>
        <w:footnoteRef/>
      </w:r>
      <w:r>
        <w:t xml:space="preserve"> </w:t>
      </w:r>
      <w:r w:rsidRPr="00333267">
        <w:t xml:space="preserve">EMA, CHMP, European Assessment Report, </w:t>
      </w:r>
      <w:proofErr w:type="spellStart"/>
      <w:r w:rsidRPr="00333267">
        <w:t>Cufence</w:t>
      </w:r>
      <w:proofErr w:type="spellEnd"/>
      <w:r w:rsidRPr="00333267">
        <w:t xml:space="preserve"> (trientine dihydrochloride), EMA/330602/2019, 29 May 2019. Available from the EMA website.</w:t>
      </w:r>
    </w:p>
  </w:footnote>
  <w:footnote w:id="16">
    <w:p w14:paraId="325A6236" w14:textId="77777777" w:rsidR="00B45D7D" w:rsidRDefault="00B45D7D" w:rsidP="00B45D7D">
      <w:pPr>
        <w:pStyle w:val="FootnoteText"/>
      </w:pPr>
      <w:r>
        <w:rPr>
          <w:rStyle w:val="FootnoteReference"/>
        </w:rPr>
        <w:footnoteRef/>
      </w:r>
      <w:r>
        <w:t xml:space="preserve"> </w:t>
      </w:r>
      <w:r w:rsidRPr="00333267">
        <w:t>Ala</w:t>
      </w:r>
      <w:r>
        <w:t>,</w:t>
      </w:r>
      <w:r w:rsidRPr="00333267">
        <w:t xml:space="preserve"> A</w:t>
      </w:r>
      <w:r>
        <w:t>.</w:t>
      </w:r>
      <w:r w:rsidRPr="00333267">
        <w:t xml:space="preserve"> et al</w:t>
      </w:r>
      <w:r>
        <w:t>.</w:t>
      </w:r>
      <w:r w:rsidRPr="00333267">
        <w:t xml:space="preserve"> Prospective </w:t>
      </w:r>
      <w:r>
        <w:t>Pilot Study of a Single Daily Dosage of Trientine for the Treatment o</w:t>
      </w:r>
      <w:r w:rsidRPr="00333267">
        <w:t>f Wilson Disease</w:t>
      </w:r>
      <w:r>
        <w:t>,</w:t>
      </w:r>
      <w:r w:rsidRPr="00333267">
        <w:t xml:space="preserve"> </w:t>
      </w:r>
      <w:r w:rsidRPr="00333267">
        <w:rPr>
          <w:i/>
        </w:rPr>
        <w:t xml:space="preserve">Dig Dis </w:t>
      </w:r>
      <w:proofErr w:type="spellStart"/>
      <w:r w:rsidRPr="00333267">
        <w:rPr>
          <w:i/>
        </w:rPr>
        <w:t>Sci</w:t>
      </w:r>
      <w:proofErr w:type="spellEnd"/>
      <w:r>
        <w:t>, 2015;</w:t>
      </w:r>
      <w:r w:rsidRPr="00333267">
        <w:t xml:space="preserve"> 60:1433-</w:t>
      </w:r>
      <w:r>
        <w:t>143</w:t>
      </w:r>
      <w:r w:rsidRPr="00333267">
        <w:t>9.</w:t>
      </w:r>
    </w:p>
  </w:footnote>
  <w:footnote w:id="17">
    <w:p w14:paraId="7C926CDE" w14:textId="77777777" w:rsidR="00733A96" w:rsidRDefault="00733A96" w:rsidP="005779AF">
      <w:pPr>
        <w:pStyle w:val="FootnoteText"/>
      </w:pPr>
      <w:r>
        <w:rPr>
          <w:rStyle w:val="FootnoteReference"/>
        </w:rPr>
        <w:footnoteRef/>
      </w:r>
      <w:r>
        <w:t xml:space="preserve"> </w:t>
      </w:r>
      <w:proofErr w:type="spellStart"/>
      <w:r w:rsidRPr="00DB44F5">
        <w:t>Pfeiffenberger</w:t>
      </w:r>
      <w:proofErr w:type="spellEnd"/>
      <w:r w:rsidRPr="00DB44F5">
        <w:t>, J.</w:t>
      </w:r>
      <w:r>
        <w:t xml:space="preserve">et al. </w:t>
      </w:r>
      <w:r w:rsidRPr="00DB44F5">
        <w:t>Pregnancy in Wilson's Disease: Management and Outco</w:t>
      </w:r>
      <w:r>
        <w:t xml:space="preserve">me, </w:t>
      </w:r>
      <w:proofErr w:type="spellStart"/>
      <w:r w:rsidRPr="003F433A">
        <w:rPr>
          <w:i/>
        </w:rPr>
        <w:t>Hepatology</w:t>
      </w:r>
      <w:proofErr w:type="spellEnd"/>
      <w:r>
        <w:t xml:space="preserve">, 2018; </w:t>
      </w:r>
      <w:r w:rsidRPr="00DB44F5">
        <w:t>67(4): 1261-1269.</w:t>
      </w:r>
    </w:p>
  </w:footnote>
  <w:footnote w:id="18">
    <w:p w14:paraId="1DBDD817" w14:textId="1AF1AA48" w:rsidR="005E40FA" w:rsidRDefault="005E40FA">
      <w:pPr>
        <w:pStyle w:val="FootnoteText"/>
      </w:pPr>
      <w:r>
        <w:rPr>
          <w:rStyle w:val="FootnoteReference"/>
        </w:rPr>
        <w:footnoteRef/>
      </w:r>
      <w:r>
        <w:t xml:space="preserve"> </w:t>
      </w:r>
      <w:r w:rsidRPr="005E40FA">
        <w:t>Weiss</w:t>
      </w:r>
      <w:r>
        <w:t>,</w:t>
      </w:r>
      <w:r w:rsidRPr="005E40FA">
        <w:t xml:space="preserve"> K</w:t>
      </w:r>
      <w:r>
        <w:t xml:space="preserve">. </w:t>
      </w:r>
      <w:r w:rsidRPr="005E40FA">
        <w:t>H</w:t>
      </w:r>
      <w:r>
        <w:t>.</w:t>
      </w:r>
      <w:r w:rsidRPr="005E40FA">
        <w:t xml:space="preserve"> et al</w:t>
      </w:r>
      <w:r>
        <w:t>.</w:t>
      </w:r>
      <w:r w:rsidRPr="005E40FA">
        <w:t xml:space="preserve"> Zinc </w:t>
      </w:r>
      <w:r>
        <w:t>Monotherapy i</w:t>
      </w:r>
      <w:r w:rsidRPr="005E40FA">
        <w:t xml:space="preserve">s Not </w:t>
      </w:r>
      <w:r>
        <w:t>as Effective a</w:t>
      </w:r>
      <w:r w:rsidRPr="005E40FA">
        <w:t xml:space="preserve">s Chelating Agents </w:t>
      </w:r>
      <w:r>
        <w:t>i</w:t>
      </w:r>
      <w:r w:rsidRPr="005E40FA">
        <w:t xml:space="preserve">n Treatment </w:t>
      </w:r>
      <w:r>
        <w:t xml:space="preserve">of Wilson Disease, </w:t>
      </w:r>
      <w:proofErr w:type="spellStart"/>
      <w:r w:rsidRPr="005E40FA">
        <w:rPr>
          <w:i/>
        </w:rPr>
        <w:t>Gastroenterol</w:t>
      </w:r>
      <w:proofErr w:type="spellEnd"/>
      <w:r>
        <w:t xml:space="preserve">, 2011; </w:t>
      </w:r>
      <w:r w:rsidRPr="005E40FA">
        <w:t>140:</w:t>
      </w:r>
      <w:r>
        <w:t xml:space="preserve"> </w:t>
      </w:r>
      <w:r w:rsidRPr="005E40FA">
        <w:t>1189-</w:t>
      </w:r>
      <w:r>
        <w:t>11</w:t>
      </w:r>
      <w:r w:rsidRPr="005E40FA">
        <w:t>98</w:t>
      </w:r>
      <w:r>
        <w:t>.</w:t>
      </w:r>
    </w:p>
  </w:footnote>
  <w:footnote w:id="19">
    <w:p w14:paraId="660B50A7" w14:textId="77777777" w:rsidR="00733A96" w:rsidRDefault="00733A96"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5B2214EC" w14:textId="77777777" w:rsidR="00733A96" w:rsidRDefault="00733A96" w:rsidP="007D53B6">
      <w:pPr>
        <w:pStyle w:val="FootnoteText"/>
      </w:pPr>
      <w:r w:rsidRPr="007D53B6">
        <w:rPr>
          <w:i/>
        </w:rPr>
        <w:t>Routine pharmacovigilance</w:t>
      </w:r>
      <w:r>
        <w:t xml:space="preserve"> practices involve the following activities:</w:t>
      </w:r>
    </w:p>
    <w:p w14:paraId="45897E0C" w14:textId="77777777" w:rsidR="00733A96" w:rsidRDefault="00733A96" w:rsidP="007D53B6">
      <w:pPr>
        <w:pStyle w:val="FootnoteText"/>
        <w:numPr>
          <w:ilvl w:val="0"/>
          <w:numId w:val="32"/>
        </w:numPr>
        <w:ind w:left="284" w:hanging="284"/>
      </w:pPr>
      <w:r>
        <w:t>All suspected adverse reactions that are reported to the personnel of the company are collected and collated in an accessible manner;</w:t>
      </w:r>
    </w:p>
    <w:p w14:paraId="46B563CE" w14:textId="77777777" w:rsidR="00733A96" w:rsidRDefault="00733A96" w:rsidP="007D53B6">
      <w:pPr>
        <w:pStyle w:val="FootnoteText"/>
        <w:numPr>
          <w:ilvl w:val="0"/>
          <w:numId w:val="32"/>
        </w:numPr>
        <w:ind w:left="284" w:hanging="284"/>
      </w:pPr>
      <w:r>
        <w:t>Reporting to regulatory authorities;</w:t>
      </w:r>
    </w:p>
    <w:p w14:paraId="37C2C0AF" w14:textId="77777777" w:rsidR="00733A96" w:rsidRDefault="00733A96" w:rsidP="007D53B6">
      <w:pPr>
        <w:pStyle w:val="FootnoteText"/>
        <w:numPr>
          <w:ilvl w:val="0"/>
          <w:numId w:val="32"/>
        </w:numPr>
        <w:ind w:left="284" w:hanging="284"/>
      </w:pPr>
      <w:r>
        <w:t>Continuous monitoring of the safety profiles of approved products including signal detection and updating of labelling;</w:t>
      </w:r>
    </w:p>
    <w:p w14:paraId="4566D42A" w14:textId="77777777" w:rsidR="00733A96" w:rsidRDefault="00733A96" w:rsidP="007D53B6">
      <w:pPr>
        <w:pStyle w:val="FootnoteText"/>
        <w:numPr>
          <w:ilvl w:val="0"/>
          <w:numId w:val="32"/>
        </w:numPr>
        <w:ind w:left="284" w:hanging="284"/>
      </w:pPr>
      <w:r>
        <w:t>Submission of PSURs;</w:t>
      </w:r>
    </w:p>
    <w:p w14:paraId="14E619E4" w14:textId="77777777" w:rsidR="00733A96" w:rsidRDefault="00733A96" w:rsidP="007D53B6">
      <w:pPr>
        <w:pStyle w:val="FootnoteText"/>
        <w:numPr>
          <w:ilvl w:val="0"/>
          <w:numId w:val="32"/>
        </w:numPr>
        <w:ind w:left="284" w:hanging="284"/>
      </w:pPr>
      <w:r>
        <w:t>Meeting other local regulatory agency requirements.</w:t>
      </w:r>
    </w:p>
  </w:footnote>
  <w:footnote w:id="20">
    <w:p w14:paraId="5BDB43AB" w14:textId="1B8F80A5" w:rsidR="00733A96" w:rsidRDefault="00733A96">
      <w:pPr>
        <w:pStyle w:val="FootnoteText"/>
      </w:pPr>
      <w:r>
        <w:rPr>
          <w:rStyle w:val="FootnoteReference"/>
        </w:rPr>
        <w:footnoteRef/>
      </w:r>
      <w:r>
        <w:t xml:space="preserve"> </w:t>
      </w:r>
      <w:r w:rsidRPr="002774B3">
        <w:t>Special Access Scheme</w:t>
      </w:r>
      <w:r>
        <w:t xml:space="preserve"> </w:t>
      </w:r>
      <w:r w:rsidRPr="002774B3">
        <w:t>TGA 28 November 2018; FOI 846-1819, SAS Trientine dihydrochloride. Available at: https://www.tga.gov.au/documents-released-under-section-11c-freedom-information-act-1982-jul-2018-jun-2019</w:t>
      </w:r>
    </w:p>
  </w:footnote>
  <w:footnote w:id="21">
    <w:p w14:paraId="5A7BF001" w14:textId="77777777" w:rsidR="00733A96" w:rsidRDefault="00733A96"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5FB34EB2" w14:textId="77777777" w:rsidR="00733A96" w:rsidRPr="00456765" w:rsidRDefault="00733A96"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06F42" w14:textId="77777777" w:rsidR="006661A8" w:rsidRDefault="006661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C2D56" w14:textId="77777777" w:rsidR="00733A96" w:rsidRDefault="00733A96"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8FD5D" w14:textId="77777777" w:rsidR="00733A96" w:rsidRDefault="00733A96">
    <w:pPr>
      <w:rPr>
        <w:noProof/>
        <w:lang w:eastAsia="en-AU"/>
      </w:rPr>
    </w:pPr>
    <w:r w:rsidRPr="00347824">
      <w:rPr>
        <w:noProof/>
        <w:lang w:eastAsia="en-AU"/>
      </w:rPr>
      <w:drawing>
        <wp:anchor distT="0" distB="0" distL="114300" distR="114300" simplePos="0" relativeHeight="251659264" behindDoc="1" locked="0" layoutInCell="1" allowOverlap="1" wp14:anchorId="0DFDA694" wp14:editId="56EC2FD7">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773CA296" w14:textId="0DA4400B" w:rsidR="00733A96" w:rsidRDefault="00733A96"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067E5" w14:textId="77777777" w:rsidR="00733A96" w:rsidRDefault="00733A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F5A4D" w14:textId="77777777" w:rsidR="00733A96" w:rsidRDefault="00733A96">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C930E" w14:textId="77777777" w:rsidR="00733A96" w:rsidRDefault="00733A96">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85A67" w14:textId="77777777" w:rsidR="00733A96" w:rsidRDefault="00733A9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9114E" w14:textId="77777777" w:rsidR="00733A96" w:rsidRDefault="00733A96"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67E46" w14:textId="77777777" w:rsidR="00733A96" w:rsidRDefault="00733A96" w:rsidP="006E08B3">
    <w:r>
      <w:t>Therapeutic Goods Administration</w:t>
    </w:r>
  </w:p>
  <w:p w14:paraId="18672DFB" w14:textId="77777777" w:rsidR="00733A96" w:rsidRDefault="00733A96"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DAB867C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651E88"/>
    <w:multiLevelType w:val="hybridMultilevel"/>
    <w:tmpl w:val="D540B058"/>
    <w:lvl w:ilvl="0" w:tplc="8E0C04BA">
      <w:start w:val="9"/>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F13E9"/>
    <w:multiLevelType w:val="multilevel"/>
    <w:tmpl w:val="F76CAE38"/>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C71AB9"/>
    <w:multiLevelType w:val="hybridMultilevel"/>
    <w:tmpl w:val="F4422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C2497B"/>
    <w:multiLevelType w:val="hybridMultilevel"/>
    <w:tmpl w:val="91B07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4225A46"/>
    <w:multiLevelType w:val="hybridMultilevel"/>
    <w:tmpl w:val="237EE7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C2621A1"/>
    <w:multiLevelType w:val="hybridMultilevel"/>
    <w:tmpl w:val="ACD058C8"/>
    <w:lvl w:ilvl="0" w:tplc="6C4C0C6E">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6"/>
  </w:num>
  <w:num w:numId="17">
    <w:abstractNumId w:val="6"/>
  </w:num>
  <w:num w:numId="18">
    <w:abstractNumId w:val="6"/>
  </w:num>
  <w:num w:numId="19">
    <w:abstractNumId w:val="8"/>
  </w:num>
  <w:num w:numId="20">
    <w:abstractNumId w:val="8"/>
  </w:num>
  <w:num w:numId="21">
    <w:abstractNumId w:val="8"/>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2"/>
  </w:num>
  <w:num w:numId="28">
    <w:abstractNumId w:val="15"/>
  </w:num>
  <w:num w:numId="29">
    <w:abstractNumId w:val="7"/>
  </w:num>
  <w:num w:numId="30">
    <w:abstractNumId w:val="9"/>
  </w:num>
  <w:num w:numId="31">
    <w:abstractNumId w:val="4"/>
  </w:num>
  <w:num w:numId="32">
    <w:abstractNumId w:val="13"/>
  </w:num>
  <w:num w:numId="33">
    <w:abstractNumId w:val="10"/>
  </w:num>
  <w:num w:numId="34">
    <w:abstractNumId w:val="16"/>
  </w:num>
  <w:num w:numId="35">
    <w:abstractNumId w:val="14"/>
  </w:num>
  <w:num w:numId="36">
    <w:abstractNumId w:val="5"/>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DFA"/>
    <w:rsid w:val="00001BAC"/>
    <w:rsid w:val="00002031"/>
    <w:rsid w:val="00004734"/>
    <w:rsid w:val="00006B22"/>
    <w:rsid w:val="00006FAB"/>
    <w:rsid w:val="0001276A"/>
    <w:rsid w:val="000235E0"/>
    <w:rsid w:val="000246AE"/>
    <w:rsid w:val="00025C67"/>
    <w:rsid w:val="00025DD5"/>
    <w:rsid w:val="00035D48"/>
    <w:rsid w:val="00044772"/>
    <w:rsid w:val="0004541C"/>
    <w:rsid w:val="00052E1C"/>
    <w:rsid w:val="0005559E"/>
    <w:rsid w:val="000604D6"/>
    <w:rsid w:val="00063232"/>
    <w:rsid w:val="00065F5F"/>
    <w:rsid w:val="00067336"/>
    <w:rsid w:val="000734D8"/>
    <w:rsid w:val="00075958"/>
    <w:rsid w:val="00077775"/>
    <w:rsid w:val="00087EB9"/>
    <w:rsid w:val="00090471"/>
    <w:rsid w:val="00093209"/>
    <w:rsid w:val="00096AA7"/>
    <w:rsid w:val="000A3AED"/>
    <w:rsid w:val="000A5A76"/>
    <w:rsid w:val="000B1E47"/>
    <w:rsid w:val="000B3532"/>
    <w:rsid w:val="000B3A75"/>
    <w:rsid w:val="000C00C2"/>
    <w:rsid w:val="000C690F"/>
    <w:rsid w:val="000D1295"/>
    <w:rsid w:val="000D391B"/>
    <w:rsid w:val="000D3D6D"/>
    <w:rsid w:val="000D4CA1"/>
    <w:rsid w:val="000D4FC7"/>
    <w:rsid w:val="000E35EA"/>
    <w:rsid w:val="000E6196"/>
    <w:rsid w:val="000F3923"/>
    <w:rsid w:val="000F4869"/>
    <w:rsid w:val="000F5079"/>
    <w:rsid w:val="000F5B42"/>
    <w:rsid w:val="000F6E6F"/>
    <w:rsid w:val="0010601F"/>
    <w:rsid w:val="0010788A"/>
    <w:rsid w:val="00107A31"/>
    <w:rsid w:val="00110EA5"/>
    <w:rsid w:val="00112F56"/>
    <w:rsid w:val="00122C2E"/>
    <w:rsid w:val="001234F9"/>
    <w:rsid w:val="00124ACD"/>
    <w:rsid w:val="00124FDD"/>
    <w:rsid w:val="00125318"/>
    <w:rsid w:val="001305A2"/>
    <w:rsid w:val="00133238"/>
    <w:rsid w:val="00133A1B"/>
    <w:rsid w:val="001408CF"/>
    <w:rsid w:val="0014197B"/>
    <w:rsid w:val="001447CD"/>
    <w:rsid w:val="00146F8F"/>
    <w:rsid w:val="001516B1"/>
    <w:rsid w:val="00154EBB"/>
    <w:rsid w:val="001558AA"/>
    <w:rsid w:val="00156316"/>
    <w:rsid w:val="00157D01"/>
    <w:rsid w:val="00161181"/>
    <w:rsid w:val="00162D14"/>
    <w:rsid w:val="00163780"/>
    <w:rsid w:val="00165389"/>
    <w:rsid w:val="00173F21"/>
    <w:rsid w:val="0017693F"/>
    <w:rsid w:val="0018110E"/>
    <w:rsid w:val="00181684"/>
    <w:rsid w:val="001843C6"/>
    <w:rsid w:val="001850E0"/>
    <w:rsid w:val="00195101"/>
    <w:rsid w:val="0019716E"/>
    <w:rsid w:val="00197AFD"/>
    <w:rsid w:val="001A03AF"/>
    <w:rsid w:val="001A2158"/>
    <w:rsid w:val="001A525F"/>
    <w:rsid w:val="001B09F3"/>
    <w:rsid w:val="001B09F9"/>
    <w:rsid w:val="001B5C90"/>
    <w:rsid w:val="001B6448"/>
    <w:rsid w:val="001C32CD"/>
    <w:rsid w:val="001D0731"/>
    <w:rsid w:val="001D2984"/>
    <w:rsid w:val="001E07CF"/>
    <w:rsid w:val="001E59F1"/>
    <w:rsid w:val="001F2CEE"/>
    <w:rsid w:val="001F49EB"/>
    <w:rsid w:val="001F6CBA"/>
    <w:rsid w:val="00201D4E"/>
    <w:rsid w:val="002076C9"/>
    <w:rsid w:val="00220B8A"/>
    <w:rsid w:val="002257F3"/>
    <w:rsid w:val="00227FC2"/>
    <w:rsid w:val="00233456"/>
    <w:rsid w:val="002339A5"/>
    <w:rsid w:val="00243E67"/>
    <w:rsid w:val="00247DC8"/>
    <w:rsid w:val="00250271"/>
    <w:rsid w:val="00250E7C"/>
    <w:rsid w:val="00257848"/>
    <w:rsid w:val="002578E8"/>
    <w:rsid w:val="0027084A"/>
    <w:rsid w:val="002774B3"/>
    <w:rsid w:val="00280265"/>
    <w:rsid w:val="00281088"/>
    <w:rsid w:val="002825F6"/>
    <w:rsid w:val="00286434"/>
    <w:rsid w:val="00286C59"/>
    <w:rsid w:val="00290FF2"/>
    <w:rsid w:val="00291957"/>
    <w:rsid w:val="002942D1"/>
    <w:rsid w:val="0029501A"/>
    <w:rsid w:val="002954B9"/>
    <w:rsid w:val="00296182"/>
    <w:rsid w:val="00296CF1"/>
    <w:rsid w:val="002A085F"/>
    <w:rsid w:val="002A3721"/>
    <w:rsid w:val="002A458E"/>
    <w:rsid w:val="002B1638"/>
    <w:rsid w:val="002B1CA2"/>
    <w:rsid w:val="002B3624"/>
    <w:rsid w:val="002C0F64"/>
    <w:rsid w:val="002C1222"/>
    <w:rsid w:val="002D0952"/>
    <w:rsid w:val="002E07DD"/>
    <w:rsid w:val="002E40B3"/>
    <w:rsid w:val="002E4C9A"/>
    <w:rsid w:val="002F11F8"/>
    <w:rsid w:val="002F24E5"/>
    <w:rsid w:val="002F3F56"/>
    <w:rsid w:val="002F44AC"/>
    <w:rsid w:val="002F44B5"/>
    <w:rsid w:val="002F5122"/>
    <w:rsid w:val="0030147B"/>
    <w:rsid w:val="00304502"/>
    <w:rsid w:val="00305017"/>
    <w:rsid w:val="0031178D"/>
    <w:rsid w:val="00311AC0"/>
    <w:rsid w:val="003176FC"/>
    <w:rsid w:val="00324E45"/>
    <w:rsid w:val="0032583B"/>
    <w:rsid w:val="00327883"/>
    <w:rsid w:val="0033028F"/>
    <w:rsid w:val="00333267"/>
    <w:rsid w:val="00335504"/>
    <w:rsid w:val="00340C18"/>
    <w:rsid w:val="003442FD"/>
    <w:rsid w:val="00347824"/>
    <w:rsid w:val="003479F6"/>
    <w:rsid w:val="00350567"/>
    <w:rsid w:val="003521E8"/>
    <w:rsid w:val="0036279E"/>
    <w:rsid w:val="00366945"/>
    <w:rsid w:val="00366AB9"/>
    <w:rsid w:val="00370CE3"/>
    <w:rsid w:val="003728F3"/>
    <w:rsid w:val="003735BC"/>
    <w:rsid w:val="003743BA"/>
    <w:rsid w:val="0037496E"/>
    <w:rsid w:val="00383221"/>
    <w:rsid w:val="00386150"/>
    <w:rsid w:val="003874CE"/>
    <w:rsid w:val="00390900"/>
    <w:rsid w:val="003A460D"/>
    <w:rsid w:val="003A7F6C"/>
    <w:rsid w:val="003B0D8D"/>
    <w:rsid w:val="003B25E6"/>
    <w:rsid w:val="003B4D60"/>
    <w:rsid w:val="003B7E39"/>
    <w:rsid w:val="003C2321"/>
    <w:rsid w:val="003C58DC"/>
    <w:rsid w:val="003D1E62"/>
    <w:rsid w:val="003E0B99"/>
    <w:rsid w:val="003E2486"/>
    <w:rsid w:val="003E3208"/>
    <w:rsid w:val="003F08D5"/>
    <w:rsid w:val="003F0A44"/>
    <w:rsid w:val="003F0B04"/>
    <w:rsid w:val="003F3A8A"/>
    <w:rsid w:val="003F433A"/>
    <w:rsid w:val="00400CB4"/>
    <w:rsid w:val="0040134E"/>
    <w:rsid w:val="0040258E"/>
    <w:rsid w:val="00406747"/>
    <w:rsid w:val="00406820"/>
    <w:rsid w:val="0041310B"/>
    <w:rsid w:val="00427707"/>
    <w:rsid w:val="004334C7"/>
    <w:rsid w:val="004353AD"/>
    <w:rsid w:val="00440A2D"/>
    <w:rsid w:val="00441934"/>
    <w:rsid w:val="00441C3F"/>
    <w:rsid w:val="00444D1A"/>
    <w:rsid w:val="00445659"/>
    <w:rsid w:val="0045186A"/>
    <w:rsid w:val="004564A7"/>
    <w:rsid w:val="00456765"/>
    <w:rsid w:val="00460036"/>
    <w:rsid w:val="004617BF"/>
    <w:rsid w:val="00463658"/>
    <w:rsid w:val="004637A0"/>
    <w:rsid w:val="004710A0"/>
    <w:rsid w:val="004722CC"/>
    <w:rsid w:val="004766FA"/>
    <w:rsid w:val="00490483"/>
    <w:rsid w:val="004936E4"/>
    <w:rsid w:val="00494E60"/>
    <w:rsid w:val="00497487"/>
    <w:rsid w:val="004A2771"/>
    <w:rsid w:val="004A301E"/>
    <w:rsid w:val="004A6189"/>
    <w:rsid w:val="004A7390"/>
    <w:rsid w:val="004B08A9"/>
    <w:rsid w:val="004B4562"/>
    <w:rsid w:val="004B7B76"/>
    <w:rsid w:val="004C239D"/>
    <w:rsid w:val="004C2DCA"/>
    <w:rsid w:val="004C4FBE"/>
    <w:rsid w:val="004C61D2"/>
    <w:rsid w:val="004C6897"/>
    <w:rsid w:val="004E6E1D"/>
    <w:rsid w:val="004F0C4A"/>
    <w:rsid w:val="004F0F38"/>
    <w:rsid w:val="004F47D6"/>
    <w:rsid w:val="004F74B1"/>
    <w:rsid w:val="00500337"/>
    <w:rsid w:val="00501921"/>
    <w:rsid w:val="005167BD"/>
    <w:rsid w:val="005241A0"/>
    <w:rsid w:val="00530354"/>
    <w:rsid w:val="0053625B"/>
    <w:rsid w:val="00541B0D"/>
    <w:rsid w:val="005434C6"/>
    <w:rsid w:val="00543B39"/>
    <w:rsid w:val="00546154"/>
    <w:rsid w:val="00550096"/>
    <w:rsid w:val="00552D9F"/>
    <w:rsid w:val="00555280"/>
    <w:rsid w:val="00557FF9"/>
    <w:rsid w:val="00562327"/>
    <w:rsid w:val="00563D55"/>
    <w:rsid w:val="00566D51"/>
    <w:rsid w:val="005711D5"/>
    <w:rsid w:val="00574BF9"/>
    <w:rsid w:val="00576378"/>
    <w:rsid w:val="00577130"/>
    <w:rsid w:val="00577945"/>
    <w:rsid w:val="005779AF"/>
    <w:rsid w:val="00577E38"/>
    <w:rsid w:val="005815A1"/>
    <w:rsid w:val="005819AB"/>
    <w:rsid w:val="00585322"/>
    <w:rsid w:val="005857C6"/>
    <w:rsid w:val="00592F6E"/>
    <w:rsid w:val="00593AD1"/>
    <w:rsid w:val="005A68B6"/>
    <w:rsid w:val="005C5570"/>
    <w:rsid w:val="005C5B66"/>
    <w:rsid w:val="005C79A4"/>
    <w:rsid w:val="005D5442"/>
    <w:rsid w:val="005E40FA"/>
    <w:rsid w:val="005F06DB"/>
    <w:rsid w:val="005F080C"/>
    <w:rsid w:val="005F4F4E"/>
    <w:rsid w:val="005F6355"/>
    <w:rsid w:val="00603F32"/>
    <w:rsid w:val="00605AD4"/>
    <w:rsid w:val="00612CE2"/>
    <w:rsid w:val="006136D7"/>
    <w:rsid w:val="00613E8F"/>
    <w:rsid w:val="00613FE7"/>
    <w:rsid w:val="00615C10"/>
    <w:rsid w:val="00616A3B"/>
    <w:rsid w:val="00625A6E"/>
    <w:rsid w:val="00627358"/>
    <w:rsid w:val="00627C4F"/>
    <w:rsid w:val="00632398"/>
    <w:rsid w:val="00640B91"/>
    <w:rsid w:val="00640FC3"/>
    <w:rsid w:val="00642020"/>
    <w:rsid w:val="006430EE"/>
    <w:rsid w:val="00644026"/>
    <w:rsid w:val="00644288"/>
    <w:rsid w:val="00650DA7"/>
    <w:rsid w:val="0065337B"/>
    <w:rsid w:val="0065419D"/>
    <w:rsid w:val="006603BC"/>
    <w:rsid w:val="006604D8"/>
    <w:rsid w:val="00664A5B"/>
    <w:rsid w:val="006661A8"/>
    <w:rsid w:val="00666AAD"/>
    <w:rsid w:val="0066735C"/>
    <w:rsid w:val="006763D2"/>
    <w:rsid w:val="00680C08"/>
    <w:rsid w:val="00686065"/>
    <w:rsid w:val="006916A0"/>
    <w:rsid w:val="006931B1"/>
    <w:rsid w:val="006A15C0"/>
    <w:rsid w:val="006A58A8"/>
    <w:rsid w:val="006A716A"/>
    <w:rsid w:val="006B30A8"/>
    <w:rsid w:val="006B6EBD"/>
    <w:rsid w:val="006C25AB"/>
    <w:rsid w:val="006C294B"/>
    <w:rsid w:val="006C3E2A"/>
    <w:rsid w:val="006C442A"/>
    <w:rsid w:val="006C642F"/>
    <w:rsid w:val="006C7E21"/>
    <w:rsid w:val="006D03E5"/>
    <w:rsid w:val="006D5D3E"/>
    <w:rsid w:val="006E08B3"/>
    <w:rsid w:val="006F01E8"/>
    <w:rsid w:val="006F17AC"/>
    <w:rsid w:val="006F25B8"/>
    <w:rsid w:val="006F4914"/>
    <w:rsid w:val="006F572E"/>
    <w:rsid w:val="007046D6"/>
    <w:rsid w:val="00705DB0"/>
    <w:rsid w:val="007226E3"/>
    <w:rsid w:val="00722B57"/>
    <w:rsid w:val="00727930"/>
    <w:rsid w:val="00730F8A"/>
    <w:rsid w:val="00732FF2"/>
    <w:rsid w:val="00733A96"/>
    <w:rsid w:val="00735A8C"/>
    <w:rsid w:val="00736F30"/>
    <w:rsid w:val="0074253D"/>
    <w:rsid w:val="00744121"/>
    <w:rsid w:val="0074429B"/>
    <w:rsid w:val="00746068"/>
    <w:rsid w:val="007615BC"/>
    <w:rsid w:val="00762F05"/>
    <w:rsid w:val="007652FF"/>
    <w:rsid w:val="007677EA"/>
    <w:rsid w:val="00770CAC"/>
    <w:rsid w:val="00770EF1"/>
    <w:rsid w:val="00773D63"/>
    <w:rsid w:val="00773EF7"/>
    <w:rsid w:val="00774E1D"/>
    <w:rsid w:val="007765D8"/>
    <w:rsid w:val="0077675A"/>
    <w:rsid w:val="00780355"/>
    <w:rsid w:val="007819FD"/>
    <w:rsid w:val="00785717"/>
    <w:rsid w:val="00785721"/>
    <w:rsid w:val="00793A59"/>
    <w:rsid w:val="00794FBF"/>
    <w:rsid w:val="007A321D"/>
    <w:rsid w:val="007A46F5"/>
    <w:rsid w:val="007A6505"/>
    <w:rsid w:val="007A7AE5"/>
    <w:rsid w:val="007B6132"/>
    <w:rsid w:val="007B6E9F"/>
    <w:rsid w:val="007C1216"/>
    <w:rsid w:val="007C1AF7"/>
    <w:rsid w:val="007C6B9B"/>
    <w:rsid w:val="007D161E"/>
    <w:rsid w:val="007D53B6"/>
    <w:rsid w:val="007E4E48"/>
    <w:rsid w:val="007E5505"/>
    <w:rsid w:val="007E7099"/>
    <w:rsid w:val="007E7EEF"/>
    <w:rsid w:val="00805D27"/>
    <w:rsid w:val="00806626"/>
    <w:rsid w:val="00806DCB"/>
    <w:rsid w:val="008111EC"/>
    <w:rsid w:val="00821776"/>
    <w:rsid w:val="00822781"/>
    <w:rsid w:val="00822E83"/>
    <w:rsid w:val="00826B57"/>
    <w:rsid w:val="008321F5"/>
    <w:rsid w:val="00832369"/>
    <w:rsid w:val="00834660"/>
    <w:rsid w:val="0083673A"/>
    <w:rsid w:val="00836BC2"/>
    <w:rsid w:val="0085156D"/>
    <w:rsid w:val="00852B28"/>
    <w:rsid w:val="008546C4"/>
    <w:rsid w:val="0085641B"/>
    <w:rsid w:val="00857136"/>
    <w:rsid w:val="00865CCD"/>
    <w:rsid w:val="00875A6B"/>
    <w:rsid w:val="008858D1"/>
    <w:rsid w:val="00885993"/>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51A9"/>
    <w:rsid w:val="008D122D"/>
    <w:rsid w:val="008E7846"/>
    <w:rsid w:val="008F02E5"/>
    <w:rsid w:val="008F1CCC"/>
    <w:rsid w:val="008F2967"/>
    <w:rsid w:val="008F3BB2"/>
    <w:rsid w:val="008F57E2"/>
    <w:rsid w:val="008F6943"/>
    <w:rsid w:val="00902A21"/>
    <w:rsid w:val="0091523F"/>
    <w:rsid w:val="00915506"/>
    <w:rsid w:val="00915BF0"/>
    <w:rsid w:val="00920330"/>
    <w:rsid w:val="009219D7"/>
    <w:rsid w:val="00922D53"/>
    <w:rsid w:val="00923B70"/>
    <w:rsid w:val="00924482"/>
    <w:rsid w:val="00926C26"/>
    <w:rsid w:val="00930237"/>
    <w:rsid w:val="00937C17"/>
    <w:rsid w:val="00940A89"/>
    <w:rsid w:val="00941F77"/>
    <w:rsid w:val="00946EA5"/>
    <w:rsid w:val="00947F29"/>
    <w:rsid w:val="00960520"/>
    <w:rsid w:val="00963C08"/>
    <w:rsid w:val="009723BD"/>
    <w:rsid w:val="009752A5"/>
    <w:rsid w:val="009855EA"/>
    <w:rsid w:val="0098585A"/>
    <w:rsid w:val="009A2889"/>
    <w:rsid w:val="009A4CED"/>
    <w:rsid w:val="009A690D"/>
    <w:rsid w:val="009B1D12"/>
    <w:rsid w:val="009B416B"/>
    <w:rsid w:val="009B6B81"/>
    <w:rsid w:val="009C4BD5"/>
    <w:rsid w:val="009C4E54"/>
    <w:rsid w:val="009D7B77"/>
    <w:rsid w:val="009E0BB0"/>
    <w:rsid w:val="009E39F1"/>
    <w:rsid w:val="009E3FBB"/>
    <w:rsid w:val="009F205C"/>
    <w:rsid w:val="009F4E05"/>
    <w:rsid w:val="009F7353"/>
    <w:rsid w:val="00A04F85"/>
    <w:rsid w:val="00A05FA4"/>
    <w:rsid w:val="00A06009"/>
    <w:rsid w:val="00A102E4"/>
    <w:rsid w:val="00A1219C"/>
    <w:rsid w:val="00A12C42"/>
    <w:rsid w:val="00A14DF7"/>
    <w:rsid w:val="00A22D57"/>
    <w:rsid w:val="00A3246D"/>
    <w:rsid w:val="00A36FA7"/>
    <w:rsid w:val="00A379E9"/>
    <w:rsid w:val="00A44DDB"/>
    <w:rsid w:val="00A475B7"/>
    <w:rsid w:val="00A47AF7"/>
    <w:rsid w:val="00A47C3E"/>
    <w:rsid w:val="00A50226"/>
    <w:rsid w:val="00A60BAD"/>
    <w:rsid w:val="00A659C3"/>
    <w:rsid w:val="00A70E0C"/>
    <w:rsid w:val="00A77F87"/>
    <w:rsid w:val="00A8061B"/>
    <w:rsid w:val="00A80B5B"/>
    <w:rsid w:val="00A84E36"/>
    <w:rsid w:val="00A868A3"/>
    <w:rsid w:val="00A909DE"/>
    <w:rsid w:val="00A920AB"/>
    <w:rsid w:val="00A964D1"/>
    <w:rsid w:val="00A9762A"/>
    <w:rsid w:val="00AA0ED0"/>
    <w:rsid w:val="00AC2B40"/>
    <w:rsid w:val="00AC2BB2"/>
    <w:rsid w:val="00AC2C3C"/>
    <w:rsid w:val="00AC512D"/>
    <w:rsid w:val="00AC5B0F"/>
    <w:rsid w:val="00AD0083"/>
    <w:rsid w:val="00AD3935"/>
    <w:rsid w:val="00AE57CC"/>
    <w:rsid w:val="00AE65EB"/>
    <w:rsid w:val="00AE67A7"/>
    <w:rsid w:val="00AF1D94"/>
    <w:rsid w:val="00AF60C5"/>
    <w:rsid w:val="00AF7046"/>
    <w:rsid w:val="00B009C6"/>
    <w:rsid w:val="00B01548"/>
    <w:rsid w:val="00B130C5"/>
    <w:rsid w:val="00B13EBD"/>
    <w:rsid w:val="00B1514E"/>
    <w:rsid w:val="00B20166"/>
    <w:rsid w:val="00B21D29"/>
    <w:rsid w:val="00B25034"/>
    <w:rsid w:val="00B27805"/>
    <w:rsid w:val="00B33588"/>
    <w:rsid w:val="00B33863"/>
    <w:rsid w:val="00B36BE3"/>
    <w:rsid w:val="00B37D17"/>
    <w:rsid w:val="00B4175E"/>
    <w:rsid w:val="00B41C85"/>
    <w:rsid w:val="00B452CE"/>
    <w:rsid w:val="00B45D7D"/>
    <w:rsid w:val="00B54C25"/>
    <w:rsid w:val="00B55FC8"/>
    <w:rsid w:val="00B76B91"/>
    <w:rsid w:val="00B77EB1"/>
    <w:rsid w:val="00B811C6"/>
    <w:rsid w:val="00B855B0"/>
    <w:rsid w:val="00B87D02"/>
    <w:rsid w:val="00B9038B"/>
    <w:rsid w:val="00B92E08"/>
    <w:rsid w:val="00B95FD0"/>
    <w:rsid w:val="00BA2B1A"/>
    <w:rsid w:val="00BA59DB"/>
    <w:rsid w:val="00BB3C89"/>
    <w:rsid w:val="00BB42D0"/>
    <w:rsid w:val="00BC2A9B"/>
    <w:rsid w:val="00BC2C8D"/>
    <w:rsid w:val="00BC380C"/>
    <w:rsid w:val="00BC622A"/>
    <w:rsid w:val="00BC7DC5"/>
    <w:rsid w:val="00BE0A78"/>
    <w:rsid w:val="00BE79F0"/>
    <w:rsid w:val="00BF046D"/>
    <w:rsid w:val="00BF1190"/>
    <w:rsid w:val="00BF14A9"/>
    <w:rsid w:val="00BF3774"/>
    <w:rsid w:val="00BF5D04"/>
    <w:rsid w:val="00C009AA"/>
    <w:rsid w:val="00C00DEC"/>
    <w:rsid w:val="00C07EF7"/>
    <w:rsid w:val="00C1164D"/>
    <w:rsid w:val="00C16861"/>
    <w:rsid w:val="00C24B72"/>
    <w:rsid w:val="00C27EA4"/>
    <w:rsid w:val="00C346AB"/>
    <w:rsid w:val="00C361F3"/>
    <w:rsid w:val="00C404A6"/>
    <w:rsid w:val="00C40A36"/>
    <w:rsid w:val="00C44419"/>
    <w:rsid w:val="00C45E7B"/>
    <w:rsid w:val="00C471B1"/>
    <w:rsid w:val="00C525A2"/>
    <w:rsid w:val="00C52E24"/>
    <w:rsid w:val="00C53103"/>
    <w:rsid w:val="00C620B1"/>
    <w:rsid w:val="00C6316B"/>
    <w:rsid w:val="00C634A9"/>
    <w:rsid w:val="00C64586"/>
    <w:rsid w:val="00C6720C"/>
    <w:rsid w:val="00C70A36"/>
    <w:rsid w:val="00C70D53"/>
    <w:rsid w:val="00C711FF"/>
    <w:rsid w:val="00C73D0B"/>
    <w:rsid w:val="00C74F5C"/>
    <w:rsid w:val="00C772FF"/>
    <w:rsid w:val="00C80137"/>
    <w:rsid w:val="00C801AF"/>
    <w:rsid w:val="00C80256"/>
    <w:rsid w:val="00C80E1E"/>
    <w:rsid w:val="00C8171A"/>
    <w:rsid w:val="00C84766"/>
    <w:rsid w:val="00C85D01"/>
    <w:rsid w:val="00C908A0"/>
    <w:rsid w:val="00C94CD4"/>
    <w:rsid w:val="00C9747E"/>
    <w:rsid w:val="00CA4DFA"/>
    <w:rsid w:val="00CA7160"/>
    <w:rsid w:val="00CA733A"/>
    <w:rsid w:val="00CB6BC0"/>
    <w:rsid w:val="00CC1B7C"/>
    <w:rsid w:val="00CC727F"/>
    <w:rsid w:val="00CE4810"/>
    <w:rsid w:val="00CF15C3"/>
    <w:rsid w:val="00CF2B6F"/>
    <w:rsid w:val="00CF2F3E"/>
    <w:rsid w:val="00CF58B6"/>
    <w:rsid w:val="00CF5DAD"/>
    <w:rsid w:val="00D0062D"/>
    <w:rsid w:val="00D017ED"/>
    <w:rsid w:val="00D03795"/>
    <w:rsid w:val="00D040D3"/>
    <w:rsid w:val="00D04C65"/>
    <w:rsid w:val="00D153D8"/>
    <w:rsid w:val="00D201D2"/>
    <w:rsid w:val="00D224FE"/>
    <w:rsid w:val="00D23139"/>
    <w:rsid w:val="00D25765"/>
    <w:rsid w:val="00D27933"/>
    <w:rsid w:val="00D425BB"/>
    <w:rsid w:val="00D453FA"/>
    <w:rsid w:val="00D6493E"/>
    <w:rsid w:val="00D70F8D"/>
    <w:rsid w:val="00D7125C"/>
    <w:rsid w:val="00D7195D"/>
    <w:rsid w:val="00D7301E"/>
    <w:rsid w:val="00D7461E"/>
    <w:rsid w:val="00D767E7"/>
    <w:rsid w:val="00D76EDD"/>
    <w:rsid w:val="00D83AE1"/>
    <w:rsid w:val="00D855D4"/>
    <w:rsid w:val="00D902C9"/>
    <w:rsid w:val="00D93466"/>
    <w:rsid w:val="00D96AB5"/>
    <w:rsid w:val="00DA1124"/>
    <w:rsid w:val="00DA64CB"/>
    <w:rsid w:val="00DB06B8"/>
    <w:rsid w:val="00DB44F5"/>
    <w:rsid w:val="00DB6124"/>
    <w:rsid w:val="00DB750B"/>
    <w:rsid w:val="00DB75B7"/>
    <w:rsid w:val="00DB7F6A"/>
    <w:rsid w:val="00DC0A2F"/>
    <w:rsid w:val="00DC1948"/>
    <w:rsid w:val="00DC3688"/>
    <w:rsid w:val="00DC5AFF"/>
    <w:rsid w:val="00DC6E02"/>
    <w:rsid w:val="00DD016E"/>
    <w:rsid w:val="00DD28CD"/>
    <w:rsid w:val="00DE02AE"/>
    <w:rsid w:val="00DE1969"/>
    <w:rsid w:val="00DE39D1"/>
    <w:rsid w:val="00DE4CCD"/>
    <w:rsid w:val="00DF1D7F"/>
    <w:rsid w:val="00DF4BE4"/>
    <w:rsid w:val="00DF6F08"/>
    <w:rsid w:val="00E02382"/>
    <w:rsid w:val="00E02FB4"/>
    <w:rsid w:val="00E13FC7"/>
    <w:rsid w:val="00E20571"/>
    <w:rsid w:val="00E22503"/>
    <w:rsid w:val="00E233E8"/>
    <w:rsid w:val="00E235F7"/>
    <w:rsid w:val="00E23659"/>
    <w:rsid w:val="00E239D4"/>
    <w:rsid w:val="00E2544A"/>
    <w:rsid w:val="00E26130"/>
    <w:rsid w:val="00E26526"/>
    <w:rsid w:val="00E32800"/>
    <w:rsid w:val="00E336CF"/>
    <w:rsid w:val="00E33D42"/>
    <w:rsid w:val="00E40B22"/>
    <w:rsid w:val="00E44C57"/>
    <w:rsid w:val="00E44ED1"/>
    <w:rsid w:val="00E45619"/>
    <w:rsid w:val="00E4588F"/>
    <w:rsid w:val="00E46DA3"/>
    <w:rsid w:val="00E478B4"/>
    <w:rsid w:val="00E47A15"/>
    <w:rsid w:val="00E51BB1"/>
    <w:rsid w:val="00E55CB0"/>
    <w:rsid w:val="00E57430"/>
    <w:rsid w:val="00E624A5"/>
    <w:rsid w:val="00E64BA4"/>
    <w:rsid w:val="00E7344E"/>
    <w:rsid w:val="00E76E64"/>
    <w:rsid w:val="00E81D86"/>
    <w:rsid w:val="00E82665"/>
    <w:rsid w:val="00E90966"/>
    <w:rsid w:val="00E92AAF"/>
    <w:rsid w:val="00EB0798"/>
    <w:rsid w:val="00EB40AD"/>
    <w:rsid w:val="00EB5165"/>
    <w:rsid w:val="00EB586E"/>
    <w:rsid w:val="00EB5FC8"/>
    <w:rsid w:val="00EC0612"/>
    <w:rsid w:val="00EC463D"/>
    <w:rsid w:val="00EC7A85"/>
    <w:rsid w:val="00ED211D"/>
    <w:rsid w:val="00ED2922"/>
    <w:rsid w:val="00ED3CAD"/>
    <w:rsid w:val="00ED5A41"/>
    <w:rsid w:val="00ED6879"/>
    <w:rsid w:val="00EE1DE8"/>
    <w:rsid w:val="00EE27C2"/>
    <w:rsid w:val="00EE58C6"/>
    <w:rsid w:val="00EF4BAD"/>
    <w:rsid w:val="00EF4DB5"/>
    <w:rsid w:val="00EF59DC"/>
    <w:rsid w:val="00F033EC"/>
    <w:rsid w:val="00F04AE2"/>
    <w:rsid w:val="00F04F68"/>
    <w:rsid w:val="00F11A2A"/>
    <w:rsid w:val="00F12670"/>
    <w:rsid w:val="00F13900"/>
    <w:rsid w:val="00F14B27"/>
    <w:rsid w:val="00F21E53"/>
    <w:rsid w:val="00F3148D"/>
    <w:rsid w:val="00F32067"/>
    <w:rsid w:val="00F325C5"/>
    <w:rsid w:val="00F32FE0"/>
    <w:rsid w:val="00F35298"/>
    <w:rsid w:val="00F47333"/>
    <w:rsid w:val="00F47E37"/>
    <w:rsid w:val="00F53C07"/>
    <w:rsid w:val="00F54B65"/>
    <w:rsid w:val="00F63DBF"/>
    <w:rsid w:val="00F640B6"/>
    <w:rsid w:val="00F66DF2"/>
    <w:rsid w:val="00F80E40"/>
    <w:rsid w:val="00F848D9"/>
    <w:rsid w:val="00F84F4B"/>
    <w:rsid w:val="00F876B2"/>
    <w:rsid w:val="00F90E37"/>
    <w:rsid w:val="00F947D1"/>
    <w:rsid w:val="00F968CF"/>
    <w:rsid w:val="00FA002F"/>
    <w:rsid w:val="00FA2E51"/>
    <w:rsid w:val="00FA5069"/>
    <w:rsid w:val="00FA5B82"/>
    <w:rsid w:val="00FA639E"/>
    <w:rsid w:val="00FA7F4B"/>
    <w:rsid w:val="00FB3539"/>
    <w:rsid w:val="00FC034F"/>
    <w:rsid w:val="00FC1FCA"/>
    <w:rsid w:val="00FC25E4"/>
    <w:rsid w:val="00FC4EF7"/>
    <w:rsid w:val="00FC60E6"/>
    <w:rsid w:val="00FD0824"/>
    <w:rsid w:val="00FD119B"/>
    <w:rsid w:val="00FD1EDC"/>
    <w:rsid w:val="00FE1DEE"/>
    <w:rsid w:val="00FE2C05"/>
    <w:rsid w:val="00FE4A19"/>
    <w:rsid w:val="00FF0F88"/>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F1D8366"/>
  <w15:docId w15:val="{921DD5E1-D017-4E42-8E9A-5D0E92176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541B0D"/>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link w:val="ListParagraphChar"/>
    <w:uiPriority w:val="99"/>
    <w:qFormat/>
    <w:rsid w:val="00885993"/>
    <w:pPr>
      <w:adjustRightInd w:val="0"/>
      <w:snapToGrid w:val="0"/>
      <w:spacing w:before="180" w:after="180"/>
      <w:ind w:left="720"/>
      <w:contextualSpacing/>
    </w:pPr>
    <w:rPr>
      <w:rFonts w:eastAsia="MS Mincho"/>
      <w:szCs w:val="20"/>
      <w:lang w:eastAsia="ja-JP"/>
    </w:rPr>
  </w:style>
  <w:style w:type="paragraph" w:customStyle="1" w:styleId="Default">
    <w:name w:val="Default"/>
    <w:rsid w:val="0088599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basedOn w:val="DefaultParagraphFont"/>
    <w:link w:val="ListParagraph"/>
    <w:uiPriority w:val="99"/>
    <w:locked/>
    <w:rsid w:val="00885993"/>
    <w:rPr>
      <w:rFonts w:ascii="Cambria" w:eastAsia="MS Mincho" w:hAnsi="Cambria" w:cs="Times New Roman"/>
      <w:szCs w:val="20"/>
      <w:lang w:eastAsia="ja-JP"/>
    </w:rPr>
  </w:style>
  <w:style w:type="paragraph" w:customStyle="1" w:styleId="Standard">
    <w:name w:val="Standard"/>
    <w:basedOn w:val="Normal"/>
    <w:link w:val="StandardChar"/>
    <w:qFormat/>
    <w:rsid w:val="00F21E53"/>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F21E53"/>
    <w:rPr>
      <w:rFonts w:ascii="Cambria" w:eastAsia="Times New Roman" w:hAnsi="Cambria" w:cs="Times New Roman"/>
      <w:snapToGrid w:val="0"/>
      <w:kern w:val="16"/>
      <w:sz w:val="23"/>
      <w:szCs w:val="24"/>
    </w:rPr>
  </w:style>
  <w:style w:type="character" w:customStyle="1" w:styleId="TabletextChar">
    <w:name w:val="Table text Char"/>
    <w:basedOn w:val="StandardChar"/>
    <w:link w:val="Tabletext"/>
    <w:rsid w:val="00F21E53"/>
    <w:rPr>
      <w:rFonts w:ascii="Cambria" w:eastAsia="Cambria" w:hAnsi="Cambria" w:cs="Times New Roman"/>
      <w:snapToGrid/>
      <w:kern w:val="16"/>
      <w:sz w:val="19"/>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eader" Target="header6.xml"/><Relationship Id="rId42"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yperlink" Target="mailto:tga.copyright@tga.gov.au" TargetMode="Externa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header" Target="header5.xml"/><Relationship Id="rId3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emf"/><Relationship Id="rId29" Type="http://schemas.microsoft.com/office/2007/relationships/hdphoto" Target="media/hdphoto1.wdp"/><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image" Target="media/image6.png"/><Relationship Id="rId32" Type="http://schemas.openxmlformats.org/officeDocument/2006/relationships/header" Target="header4.xml"/><Relationship Id="rId37" Type="http://schemas.openxmlformats.org/officeDocument/2006/relationships/hyperlink" Target="https://www.tga.gov.au" TargetMode="External"/><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hyperlink" Target="mailto:info@tga.gov.au" TargetMode="External"/><Relationship Id="rId49"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https://www.tga.gov.au/product-information-pi" TargetMode="External"/><Relationship Id="rId31" Type="http://schemas.openxmlformats.org/officeDocument/2006/relationships/hyperlink" Target="https://www.tga.gov.au/product-information-pi"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footer" Target="footer4.xml"/><Relationship Id="rId43" Type="http://schemas.openxmlformats.org/officeDocument/2006/relationships/fontTable" Target="fontTable.xml"/><Relationship Id="rId48" Type="http://schemas.microsoft.com/office/2016/09/relationships/commentsIds" Target="commentsIds.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C76CB418EF6734481EFA6A363D1942E" ma:contentTypeVersion="12" ma:contentTypeDescription="Create a new document." ma:contentTypeScope="" ma:versionID="fac8ce3dee3f8d6d60cc7548f6fc0332">
  <xsd:schema xmlns:xsd="http://www.w3.org/2001/XMLSchema" xmlns:xs="http://www.w3.org/2001/XMLSchema" xmlns:p="http://schemas.microsoft.com/office/2006/metadata/properties" xmlns:ns2="7f2d5c16-d413-40e9-b6e1-334cd54d7d08" xmlns:ns3="0d0741a3-cdbf-46b1-b834-5444149e6230" targetNamespace="http://schemas.microsoft.com/office/2006/metadata/properties" ma:root="true" ma:fieldsID="2bddd7733811e26f337d08c66e75c157" ns2:_="" ns3:_="">
    <xsd:import namespace="7f2d5c16-d413-40e9-b6e1-334cd54d7d08"/>
    <xsd:import namespace="0d0741a3-cdbf-46b1-b834-5444149e623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2d5c16-d413-40e9-b6e1-334cd54d7d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0741a3-cdbf-46b1-b834-5444149e623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76F3C-D502-4C26-B82E-47AC94898DB6}">
  <ds:schemaRefs>
    <ds:schemaRef ds:uri="http://schemas.microsoft.com/sharepoint/v3/contenttype/forms"/>
  </ds:schemaRefs>
</ds:datastoreItem>
</file>

<file path=customXml/itemProps2.xml><?xml version="1.0" encoding="utf-8"?>
<ds:datastoreItem xmlns:ds="http://schemas.openxmlformats.org/officeDocument/2006/customXml" ds:itemID="{5259FFED-C31B-434A-9FF8-DD7D0CAAE8F7}">
  <ds:schemaRefs>
    <ds:schemaRef ds:uri="http://schemas.microsoft.com/office/infopath/2007/PartnerControls"/>
    <ds:schemaRef ds:uri="7f2d5c16-d413-40e9-b6e1-334cd54d7d08"/>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0d0741a3-cdbf-46b1-b834-5444149e6230"/>
    <ds:schemaRef ds:uri="http://www.w3.org/XML/1998/namespace"/>
    <ds:schemaRef ds:uri="http://purl.org/dc/dcmitype/"/>
  </ds:schemaRefs>
</ds:datastoreItem>
</file>

<file path=customXml/itemProps3.xml><?xml version="1.0" encoding="utf-8"?>
<ds:datastoreItem xmlns:ds="http://schemas.openxmlformats.org/officeDocument/2006/customXml" ds:itemID="{A06E14C9-E73B-45D1-9DE2-1401F96BD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2d5c16-d413-40e9-b6e1-334cd54d7d08"/>
    <ds:schemaRef ds:uri="0d0741a3-cdbf-46b1-b834-5444149e6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D562FC-C1FE-45AE-B642-41B0E9CCC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31</Pages>
  <Words>9283</Words>
  <Characters>52544</Characters>
  <Application>Microsoft Office Word</Application>
  <DocSecurity>0</DocSecurity>
  <Lines>1347</Lines>
  <Paragraphs>657</Paragraphs>
  <ScaleCrop>false</ScaleCrop>
  <HeadingPairs>
    <vt:vector size="2" baseType="variant">
      <vt:variant>
        <vt:lpstr>Title</vt:lpstr>
      </vt:variant>
      <vt:variant>
        <vt:i4>1</vt:i4>
      </vt:variant>
    </vt:vector>
  </HeadingPairs>
  <TitlesOfParts>
    <vt:vector size="1" baseType="lpstr">
      <vt:lpstr>Australian public assessment report for Trientine dihydrochloride</vt:lpstr>
    </vt:vector>
  </TitlesOfParts>
  <Company>Department of Health Therapeutic Goods Administration</Company>
  <LinksUpToDate>false</LinksUpToDate>
  <CharactersWithSpaces>61170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Trientine dihydrochloride</dc:title>
  <dc:subject>prescription medicines</dc:subject>
  <dc:creator>Therapeutic Goods Administration</dc:creator>
  <cp:keywords/>
  <cp:lastPrinted>2019-08-14T04:30:00Z</cp:lastPrinted>
  <dcterms:created xsi:type="dcterms:W3CDTF">2021-05-03T00:31:00Z</dcterms:created>
  <dcterms:modified xsi:type="dcterms:W3CDTF">2021-05-03T02:03:00Z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0x010100CC76CB418EF6734481EFA6A363D1942E</vt:lpwstr>
  </property>
</Properties>
</file>