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12468F" w14:textId="77777777" w:rsidR="00D844B2" w:rsidRPr="00E42D56" w:rsidRDefault="00D844B2" w:rsidP="00E42D56">
      <w:pPr>
        <w:pStyle w:val="Heading1"/>
        <w:spacing w:before="360"/>
        <w:rPr>
          <w:rFonts w:ascii="Times New Roman" w:hAnsi="Times New Roman"/>
        </w:rPr>
      </w:pPr>
      <w:bookmarkStart w:id="0" w:name="_GoBack"/>
      <w:bookmarkEnd w:id="0"/>
      <w:r w:rsidRPr="00E42D56">
        <w:rPr>
          <w:rFonts w:ascii="Times New Roman" w:hAnsi="Times New Roman"/>
        </w:rPr>
        <w:t>Name of the medicine</w:t>
      </w:r>
    </w:p>
    <w:p w14:paraId="07124690" w14:textId="77777777" w:rsidR="00D844B2" w:rsidRPr="00E42D56" w:rsidRDefault="007C3F9E" w:rsidP="007E03C2">
      <w:pPr>
        <w:spacing w:before="240" w:after="60"/>
        <w:rPr>
          <w:b/>
          <w:sz w:val="34"/>
          <w:szCs w:val="34"/>
        </w:rPr>
      </w:pPr>
      <w:r w:rsidRPr="00E42D56">
        <w:rPr>
          <w:b/>
          <w:sz w:val="34"/>
          <w:szCs w:val="34"/>
        </w:rPr>
        <w:t>KADCYLA</w:t>
      </w:r>
      <w:r w:rsidR="00D844B2" w:rsidRPr="00E42D56">
        <w:rPr>
          <w:b/>
          <w:sz w:val="34"/>
          <w:szCs w:val="34"/>
        </w:rPr>
        <w:t>®</w:t>
      </w:r>
    </w:p>
    <w:p w14:paraId="07124691" w14:textId="77777777" w:rsidR="00D844B2" w:rsidRPr="00BB461C" w:rsidRDefault="00BB461C" w:rsidP="007E03C2">
      <w:pPr>
        <w:pStyle w:val="Heading9"/>
      </w:pPr>
      <w:r w:rsidRPr="00BB461C">
        <w:t>trastuzumab emtansine</w:t>
      </w:r>
      <w:r w:rsidR="006C5771">
        <w:t xml:space="preserve"> (rch)</w:t>
      </w:r>
    </w:p>
    <w:p w14:paraId="07124692" w14:textId="77777777" w:rsidR="00CF3480" w:rsidRDefault="00CF3480" w:rsidP="007E03C2">
      <w:pPr>
        <w:rPr>
          <w:lang w:val="en-GB"/>
        </w:rPr>
      </w:pPr>
      <w:r w:rsidRPr="003F13F9">
        <w:rPr>
          <w:lang w:val="en-GB"/>
        </w:rPr>
        <w:t xml:space="preserve">CAS: </w:t>
      </w:r>
      <w:r w:rsidR="003F13F9">
        <w:rPr>
          <w:lang w:val="en-GB"/>
        </w:rPr>
        <w:t>1018448</w:t>
      </w:r>
      <w:r w:rsidRPr="003F13F9">
        <w:rPr>
          <w:lang w:val="en-GB"/>
        </w:rPr>
        <w:t>-</w:t>
      </w:r>
      <w:r w:rsidR="003F13F9">
        <w:rPr>
          <w:lang w:val="en-GB"/>
        </w:rPr>
        <w:t>65</w:t>
      </w:r>
      <w:r w:rsidRPr="003F13F9">
        <w:rPr>
          <w:lang w:val="en-GB"/>
        </w:rPr>
        <w:t>-</w:t>
      </w:r>
      <w:r w:rsidR="003F13F9">
        <w:rPr>
          <w:lang w:val="en-GB"/>
        </w:rPr>
        <w:t>1</w:t>
      </w:r>
      <w:r w:rsidRPr="003F13F9">
        <w:rPr>
          <w:lang w:val="en-GB"/>
        </w:rPr>
        <w:t xml:space="preserve"> </w:t>
      </w:r>
    </w:p>
    <w:p w14:paraId="07124693" w14:textId="77777777" w:rsidR="00D54282" w:rsidRPr="003F13F9" w:rsidRDefault="00D54282" w:rsidP="007E03C2">
      <w:pPr>
        <w:rPr>
          <w:lang w:val="en-GB"/>
        </w:rPr>
      </w:pPr>
    </w:p>
    <w:p w14:paraId="609489A1" w14:textId="130F2D58" w:rsidR="003F4FAC" w:rsidRDefault="003F4FAC" w:rsidP="002C49DA">
      <w:pPr>
        <w:pStyle w:val="Heading1"/>
        <w:pBdr>
          <w:top w:val="single" w:sz="12" w:space="1" w:color="auto"/>
          <w:left w:val="single" w:sz="12" w:space="1" w:color="auto"/>
          <w:bottom w:val="single" w:sz="12" w:space="1" w:color="auto"/>
          <w:right w:val="single" w:sz="12" w:space="0" w:color="auto"/>
        </w:pBdr>
        <w:spacing w:before="0"/>
        <w:ind w:right="-143"/>
        <w:rPr>
          <w:rFonts w:ascii="Times New Roman" w:hAnsi="Times New Roman"/>
        </w:rPr>
      </w:pPr>
      <w:r>
        <w:rPr>
          <w:rFonts w:ascii="Times New Roman" w:hAnsi="Times New Roman"/>
        </w:rPr>
        <w:t xml:space="preserve">WARNING: </w:t>
      </w:r>
      <w:r>
        <w:rPr>
          <w:caps w:val="0"/>
        </w:rPr>
        <w:t>Do not substitute</w:t>
      </w:r>
      <w:r>
        <w:rPr>
          <w:rFonts w:ascii="Times New Roman" w:hAnsi="Times New Roman"/>
        </w:rPr>
        <w:t xml:space="preserve"> KADCYLA </w:t>
      </w:r>
      <w:r>
        <w:rPr>
          <w:caps w:val="0"/>
        </w:rPr>
        <w:t>for or with trastuzumab</w:t>
      </w:r>
      <w:r>
        <w:rPr>
          <w:rFonts w:ascii="Times New Roman" w:hAnsi="Times New Roman"/>
        </w:rPr>
        <w:t>.</w:t>
      </w:r>
    </w:p>
    <w:p w14:paraId="3D70BDFB" w14:textId="48ED58C3" w:rsidR="003F4FAC" w:rsidRDefault="003F4FAC" w:rsidP="002C49DA">
      <w:pPr>
        <w:pStyle w:val="Heading1"/>
        <w:pBdr>
          <w:top w:val="single" w:sz="12" w:space="1" w:color="auto"/>
          <w:left w:val="single" w:sz="12" w:space="1" w:color="auto"/>
          <w:bottom w:val="single" w:sz="12" w:space="1" w:color="auto"/>
          <w:right w:val="single" w:sz="12" w:space="0" w:color="auto"/>
        </w:pBdr>
        <w:spacing w:before="0" w:after="0"/>
        <w:ind w:right="-143"/>
        <w:rPr>
          <w:rFonts w:hint="eastAsia"/>
          <w:caps w:val="0"/>
        </w:rPr>
      </w:pPr>
      <w:r>
        <w:rPr>
          <w:caps w:val="0"/>
        </w:rPr>
        <w:t>In order to prevent medication errors, check the vial labels to ensure the medicine being prepared and administered is KADCYLA (trastuzumab emtansine) and not trastuzumab (HERCEPTIN</w:t>
      </w:r>
      <w:r w:rsidR="00B469D4" w:rsidRPr="00DF5487">
        <w:rPr>
          <w:caps w:val="0"/>
          <w:vertAlign w:val="superscript"/>
        </w:rPr>
        <w:t>®</w:t>
      </w:r>
      <w:r>
        <w:rPr>
          <w:caps w:val="0"/>
        </w:rPr>
        <w:t>).</w:t>
      </w:r>
    </w:p>
    <w:p w14:paraId="2A493678" w14:textId="77777777" w:rsidR="003F4FAC" w:rsidRPr="003F4FAC" w:rsidRDefault="003F4FAC" w:rsidP="002C49DA">
      <w:pPr>
        <w:pBdr>
          <w:top w:val="single" w:sz="12" w:space="1" w:color="auto"/>
          <w:left w:val="single" w:sz="12" w:space="1" w:color="auto"/>
          <w:bottom w:val="single" w:sz="12" w:space="1" w:color="auto"/>
          <w:right w:val="single" w:sz="12" w:space="0" w:color="auto"/>
        </w:pBdr>
        <w:ind w:right="-143"/>
        <w:rPr>
          <w:lang w:val="en-GB"/>
        </w:rPr>
      </w:pPr>
    </w:p>
    <w:p w14:paraId="07124694" w14:textId="77777777" w:rsidR="003365C6" w:rsidRPr="00225C83" w:rsidRDefault="003365C6" w:rsidP="007E03C2">
      <w:pPr>
        <w:rPr>
          <w:lang w:val="en-GB"/>
        </w:rPr>
      </w:pPr>
    </w:p>
    <w:p w14:paraId="07124695" w14:textId="77777777" w:rsidR="008A6AFA" w:rsidRDefault="007C3F9E" w:rsidP="005F23EC">
      <w:pPr>
        <w:pStyle w:val="TextTi12"/>
        <w:spacing w:line="240" w:lineRule="auto"/>
        <w:rPr>
          <w:szCs w:val="16"/>
        </w:rPr>
      </w:pPr>
      <w:r>
        <w:t>KADCYLA</w:t>
      </w:r>
      <w:r w:rsidR="008A6AFA" w:rsidRPr="003A182B">
        <w:t xml:space="preserve"> (trastuzumab </w:t>
      </w:r>
      <w:r w:rsidR="008A6AFA" w:rsidRPr="008906B8">
        <w:t xml:space="preserve">emtansine) is a HER2-targeted antibody-drug conjugate </w:t>
      </w:r>
      <w:r w:rsidR="00317458">
        <w:t>that</w:t>
      </w:r>
      <w:r w:rsidR="00317458" w:rsidRPr="008906B8">
        <w:t xml:space="preserve"> </w:t>
      </w:r>
      <w:r w:rsidR="008A6AFA" w:rsidRPr="008906B8">
        <w:t xml:space="preserve">contains the humanized anti-HER2 IgG1, trastuzumab, covalently linked to the microtubule inhibitory drug DM1 (a maytansine derivative) </w:t>
      </w:r>
      <w:r w:rsidR="00867E0A">
        <w:t>with</w:t>
      </w:r>
      <w:r w:rsidR="00867E0A" w:rsidRPr="008906B8">
        <w:t xml:space="preserve"> </w:t>
      </w:r>
      <w:r w:rsidR="008A6AFA" w:rsidRPr="008906B8">
        <w:t>the stable thioether linker MCC (</w:t>
      </w:r>
      <w:r w:rsidR="008A6AFA" w:rsidRPr="008906B8">
        <w:rPr>
          <w:szCs w:val="16"/>
        </w:rPr>
        <w:t>4-[N-maleimidomethyl] cyclohexane-1-carboxylate)</w:t>
      </w:r>
      <w:r w:rsidR="008A6AFA" w:rsidRPr="008906B8">
        <w:t>.</w:t>
      </w:r>
      <w:r w:rsidR="008A6AFA" w:rsidRPr="008906B8">
        <w:rPr>
          <w:szCs w:val="16"/>
        </w:rPr>
        <w:t xml:space="preserve"> Emtansine refers to the MCC-DM1 complex.</w:t>
      </w:r>
      <w:r w:rsidR="008A6AFA" w:rsidRPr="008906B8">
        <w:t xml:space="preserve"> </w:t>
      </w:r>
      <w:r w:rsidR="00932148">
        <w:rPr>
          <w:szCs w:val="16"/>
        </w:rPr>
        <w:t xml:space="preserve">The antibody trastuzumab, </w:t>
      </w:r>
      <w:r w:rsidR="00932148" w:rsidRPr="00BB65F2">
        <w:rPr>
          <w:szCs w:val="16"/>
        </w:rPr>
        <w:t>is a well characterized recombinant monoclona</w:t>
      </w:r>
      <w:r w:rsidR="00932148">
        <w:rPr>
          <w:szCs w:val="16"/>
        </w:rPr>
        <w:t>l antibody product produced by mammalian (</w:t>
      </w:r>
      <w:r w:rsidR="00932148" w:rsidRPr="00BB65F2">
        <w:rPr>
          <w:szCs w:val="16"/>
        </w:rPr>
        <w:t>Chinese hamster ovary</w:t>
      </w:r>
      <w:r w:rsidR="00932148">
        <w:rPr>
          <w:szCs w:val="16"/>
        </w:rPr>
        <w:t xml:space="preserve">) cells, and the small molecule </w:t>
      </w:r>
      <w:r w:rsidR="00932148" w:rsidRPr="00E6738F">
        <w:rPr>
          <w:szCs w:val="16"/>
        </w:rPr>
        <w:t>components</w:t>
      </w:r>
      <w:r w:rsidR="005F23EC">
        <w:rPr>
          <w:szCs w:val="16"/>
        </w:rPr>
        <w:t xml:space="preserve"> (DM1 an</w:t>
      </w:r>
      <w:r w:rsidR="00932148">
        <w:rPr>
          <w:szCs w:val="16"/>
        </w:rPr>
        <w:t>d MCC</w:t>
      </w:r>
      <w:r w:rsidR="00932148" w:rsidRPr="00A26192">
        <w:rPr>
          <w:szCs w:val="16"/>
        </w:rPr>
        <w:t>) are produced by chemical synthesis.</w:t>
      </w:r>
      <w:r w:rsidR="00932148" w:rsidRPr="00BB65F2">
        <w:rPr>
          <w:szCs w:val="16"/>
        </w:rPr>
        <w:t xml:space="preserve"> </w:t>
      </w:r>
      <w:r w:rsidR="008A6AFA" w:rsidRPr="008906B8">
        <w:rPr>
          <w:szCs w:val="16"/>
        </w:rPr>
        <w:t xml:space="preserve">An average of 3.5 DM1 molecules are conjugated to each molecule of trastuzumab.  </w:t>
      </w:r>
    </w:p>
    <w:p w14:paraId="07124696" w14:textId="77777777" w:rsidR="005F23EC" w:rsidRDefault="005F23EC" w:rsidP="005F23EC">
      <w:pPr>
        <w:pStyle w:val="TextTi12"/>
        <w:spacing w:line="240" w:lineRule="auto"/>
        <w:rPr>
          <w:szCs w:val="16"/>
        </w:rPr>
      </w:pPr>
      <w:r>
        <w:rPr>
          <w:szCs w:val="16"/>
        </w:rPr>
        <w:t>Trastuzumab emtansine has the following chemical structure:</w:t>
      </w:r>
    </w:p>
    <w:p w14:paraId="07124698" w14:textId="77777777" w:rsidR="005F23EC" w:rsidRDefault="005F23EC" w:rsidP="00225C83">
      <w:pPr>
        <w:pStyle w:val="FigureHolder"/>
        <w:keepNext w:val="0"/>
        <w:keepLines w:val="0"/>
        <w:jc w:val="left"/>
      </w:pPr>
      <w:r w:rsidRPr="00DC7FC9">
        <w:rPr>
          <w:noProof/>
          <w:lang w:val="en-AU" w:eastAsia="en-AU"/>
        </w:rPr>
        <w:drawing>
          <wp:inline distT="0" distB="0" distL="0" distR="0" wp14:anchorId="07124985" wp14:editId="57911888">
            <wp:extent cx="4829175" cy="2705100"/>
            <wp:effectExtent l="0" t="0" r="9525" b="0"/>
            <wp:docPr id="3" name="Picture 3" descr="Chemical structure of trastuzumab emtans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3-3-S-1-2 structure.t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29175" cy="2705100"/>
                    </a:xfrm>
                    <a:prstGeom prst="rect">
                      <a:avLst/>
                    </a:prstGeom>
                    <a:noFill/>
                    <a:ln>
                      <a:noFill/>
                    </a:ln>
                  </pic:spPr>
                </pic:pic>
              </a:graphicData>
            </a:graphic>
          </wp:inline>
        </w:drawing>
      </w:r>
    </w:p>
    <w:p w14:paraId="07124699" w14:textId="77777777" w:rsidR="001D35E2" w:rsidRDefault="005F23EC" w:rsidP="00225C83">
      <w:pPr>
        <w:pStyle w:val="FigureNote"/>
        <w:keepNext w:val="0"/>
        <w:keepLines w:val="0"/>
        <w:widowControl w:val="0"/>
        <w:spacing w:before="0" w:after="170" w:line="240" w:lineRule="auto"/>
        <w:rPr>
          <w:rFonts w:ascii="Times New Roman" w:hAnsi="Times New Roman"/>
        </w:rPr>
      </w:pPr>
      <w:r w:rsidRPr="005F23EC">
        <w:rPr>
          <w:rFonts w:ascii="Times New Roman" w:hAnsi="Times New Roman"/>
        </w:rPr>
        <w:t>Note:  The bracketed structure is DM1 plus MCC which represents the emtansine component.  The</w:t>
      </w:r>
      <w:r w:rsidR="002C4F9B">
        <w:rPr>
          <w:rFonts w:ascii="Times New Roman" w:hAnsi="Times New Roman"/>
        </w:rPr>
        <w:t xml:space="preserve"> </w:t>
      </w:r>
      <w:r w:rsidRPr="005F23EC">
        <w:rPr>
          <w:rFonts w:ascii="Times New Roman" w:hAnsi="Times New Roman"/>
        </w:rPr>
        <w:t xml:space="preserve"> n is, on average, 3.5 DM1 molecules per trastuzumab (Mab) molecule.</w:t>
      </w:r>
    </w:p>
    <w:p w14:paraId="0712469B" w14:textId="77777777" w:rsidR="00D844B2" w:rsidRPr="00334DA6" w:rsidRDefault="00D844B2" w:rsidP="00E42D56">
      <w:pPr>
        <w:pStyle w:val="Heading1"/>
        <w:spacing w:before="360"/>
        <w:rPr>
          <w:rFonts w:hint="eastAsia"/>
        </w:rPr>
      </w:pPr>
      <w:r w:rsidRPr="00334DA6">
        <w:lastRenderedPageBreak/>
        <w:t>Description</w:t>
      </w:r>
    </w:p>
    <w:p w14:paraId="0712469C" w14:textId="0829A9DD" w:rsidR="00B07A59" w:rsidRPr="00C717CC" w:rsidRDefault="007C3F9E" w:rsidP="00B07A59">
      <w:pPr>
        <w:spacing w:after="120"/>
      </w:pPr>
      <w:r>
        <w:t>KADCYLA</w:t>
      </w:r>
      <w:r w:rsidR="001E62BB" w:rsidRPr="00334DA6">
        <w:t xml:space="preserve"> is </w:t>
      </w:r>
      <w:r w:rsidR="00CB1920" w:rsidRPr="00CB1920">
        <w:t xml:space="preserve">available as a </w:t>
      </w:r>
      <w:r w:rsidR="001E62BB" w:rsidRPr="00CB1920">
        <w:t>single-</w:t>
      </w:r>
      <w:r w:rsidR="00145536">
        <w:t>u</w:t>
      </w:r>
      <w:r w:rsidR="001E62BB" w:rsidRPr="00CB1920">
        <w:t xml:space="preserve">se vial containing </w:t>
      </w:r>
      <w:r w:rsidR="00CB1920">
        <w:t xml:space="preserve">100 mg or 160 mg of </w:t>
      </w:r>
      <w:r w:rsidR="00CB1920" w:rsidRPr="003A182B">
        <w:t>trastuzumab emtansine</w:t>
      </w:r>
      <w:r w:rsidR="0029716D">
        <w:t>,</w:t>
      </w:r>
      <w:r w:rsidR="00CB1920">
        <w:t xml:space="preserve"> with the </w:t>
      </w:r>
      <w:r w:rsidR="00CB1920" w:rsidRPr="00C717CC">
        <w:t>following excipients: succinic acid, sodium hydroxi</w:t>
      </w:r>
      <w:r w:rsidR="00225C83">
        <w:t xml:space="preserve">de, sucrose and </w:t>
      </w:r>
      <w:proofErr w:type="spellStart"/>
      <w:r w:rsidR="00225C83">
        <w:t>polysorbate</w:t>
      </w:r>
      <w:proofErr w:type="spellEnd"/>
      <w:r w:rsidR="00225C83">
        <w:t xml:space="preserve"> 20.</w:t>
      </w:r>
    </w:p>
    <w:p w14:paraId="0712469D" w14:textId="77777777" w:rsidR="00D844B2" w:rsidRPr="00C717CC" w:rsidRDefault="00D844B2" w:rsidP="00E42D56">
      <w:pPr>
        <w:pStyle w:val="Heading1"/>
        <w:spacing w:before="360"/>
        <w:rPr>
          <w:rFonts w:hint="eastAsia"/>
        </w:rPr>
      </w:pPr>
      <w:r w:rsidRPr="00C717CC">
        <w:t>Pharmacology</w:t>
      </w:r>
    </w:p>
    <w:p w14:paraId="0712469E" w14:textId="77777777" w:rsidR="00D252EC" w:rsidRPr="00C717CC" w:rsidRDefault="00D252EC" w:rsidP="00451567">
      <w:pPr>
        <w:pStyle w:val="Heading2"/>
      </w:pPr>
      <w:r w:rsidRPr="00C717CC">
        <w:t>Pharmacodynamics</w:t>
      </w:r>
    </w:p>
    <w:p w14:paraId="0712469F" w14:textId="31F163D8" w:rsidR="0046133D" w:rsidRPr="00C717CC" w:rsidRDefault="00506599" w:rsidP="0046133D">
      <w:pPr>
        <w:pStyle w:val="TextTi12"/>
        <w:spacing w:line="240" w:lineRule="auto"/>
        <w:rPr>
          <w:lang w:val="en-GB"/>
        </w:rPr>
      </w:pPr>
      <w:r w:rsidRPr="00C717CC">
        <w:rPr>
          <w:szCs w:val="16"/>
        </w:rPr>
        <w:t>Trastuzumab emtansine is a HER2-targeted antibody-drug conjugate</w:t>
      </w:r>
      <w:r w:rsidR="005718FE" w:rsidRPr="00C717CC">
        <w:rPr>
          <w:szCs w:val="16"/>
        </w:rPr>
        <w:t>,</w:t>
      </w:r>
      <w:r w:rsidRPr="00C717CC">
        <w:rPr>
          <w:szCs w:val="16"/>
        </w:rPr>
        <w:t xml:space="preserve"> containing the hu</w:t>
      </w:r>
      <w:r w:rsidR="005718FE" w:rsidRPr="00C717CC">
        <w:rPr>
          <w:szCs w:val="16"/>
        </w:rPr>
        <w:t>manized anti-HER2 IgG1 antibody</w:t>
      </w:r>
      <w:r w:rsidRPr="00C717CC">
        <w:rPr>
          <w:szCs w:val="16"/>
        </w:rPr>
        <w:t xml:space="preserve"> trastuzumab</w:t>
      </w:r>
      <w:r w:rsidR="005718FE" w:rsidRPr="00C717CC">
        <w:rPr>
          <w:szCs w:val="16"/>
        </w:rPr>
        <w:t>,</w:t>
      </w:r>
      <w:r w:rsidRPr="00C717CC">
        <w:rPr>
          <w:szCs w:val="16"/>
        </w:rPr>
        <w:t xml:space="preserve"> covalently linked to the small molecule cytotoxin, DM1.</w:t>
      </w:r>
      <w:r w:rsidR="0046133D" w:rsidRPr="00C717CC">
        <w:rPr>
          <w:szCs w:val="16"/>
        </w:rPr>
        <w:t xml:space="preserve"> Upon binding to HER2, </w:t>
      </w:r>
      <w:r w:rsidRPr="00C717CC">
        <w:t xml:space="preserve">trastuzumab emtansine </w:t>
      </w:r>
      <w:r w:rsidR="0046133D" w:rsidRPr="00C717CC">
        <w:rPr>
          <w:szCs w:val="16"/>
        </w:rPr>
        <w:t>undergoes receptor-mediated internalization and subsequent lysosomal degradation, resulting in release of DM1-co</w:t>
      </w:r>
      <w:r w:rsidR="00225C83">
        <w:rPr>
          <w:szCs w:val="16"/>
        </w:rPr>
        <w:t xml:space="preserve">ntaining cytotoxic </w:t>
      </w:r>
      <w:proofErr w:type="spellStart"/>
      <w:r w:rsidR="00225C83">
        <w:rPr>
          <w:szCs w:val="16"/>
        </w:rPr>
        <w:t>catabolites</w:t>
      </w:r>
      <w:proofErr w:type="spellEnd"/>
      <w:r w:rsidR="00225C83">
        <w:rPr>
          <w:szCs w:val="16"/>
        </w:rPr>
        <w:t>.</w:t>
      </w:r>
    </w:p>
    <w:p w14:paraId="071246A0" w14:textId="084BF7DD" w:rsidR="008A6AFA" w:rsidRPr="00C717CC" w:rsidRDefault="00962232" w:rsidP="008A6AFA">
      <w:pPr>
        <w:pStyle w:val="TextTi12"/>
        <w:spacing w:after="120" w:line="240" w:lineRule="auto"/>
      </w:pPr>
      <w:r w:rsidRPr="00C717CC">
        <w:t xml:space="preserve">Trastuzumab emtansine </w:t>
      </w:r>
      <w:r w:rsidR="008A6AFA" w:rsidRPr="00C717CC">
        <w:t>has the mechanisms of action of both trastuzumab and DM1</w:t>
      </w:r>
    </w:p>
    <w:p w14:paraId="071246A1" w14:textId="416647EB" w:rsidR="00973709" w:rsidRPr="00C717CC" w:rsidRDefault="00962232" w:rsidP="008A6AFA">
      <w:pPr>
        <w:pStyle w:val="TextTi12"/>
        <w:numPr>
          <w:ilvl w:val="0"/>
          <w:numId w:val="16"/>
        </w:numPr>
        <w:spacing w:after="120" w:line="240" w:lineRule="auto"/>
        <w:rPr>
          <w:szCs w:val="16"/>
        </w:rPr>
      </w:pPr>
      <w:r w:rsidRPr="00C717CC">
        <w:t>Trastuzumab emtansine</w:t>
      </w:r>
      <w:r w:rsidR="008A6AFA" w:rsidRPr="00C717CC">
        <w:rPr>
          <w:szCs w:val="16"/>
        </w:rPr>
        <w:t xml:space="preserve">, like trastuzumab, binds to domain IV of the HER2 extracellular domain (ECD), as well as to Fcγ receptors and complement C1q. In addition, </w:t>
      </w:r>
      <w:r w:rsidRPr="00C717CC">
        <w:t>trastuzumab emtansine</w:t>
      </w:r>
      <w:r w:rsidR="008A6AFA" w:rsidRPr="00C717CC">
        <w:t>, like trastuzumab,</w:t>
      </w:r>
      <w:r w:rsidR="008A6AFA" w:rsidRPr="00C717CC">
        <w:rPr>
          <w:szCs w:val="16"/>
        </w:rPr>
        <w:t xml:space="preserve"> inhibits</w:t>
      </w:r>
      <w:r w:rsidR="0046133D" w:rsidRPr="00C717CC">
        <w:rPr>
          <w:szCs w:val="16"/>
        </w:rPr>
        <w:t xml:space="preserve"> shedding of the HER2 ECD, inhibits</w:t>
      </w:r>
      <w:r w:rsidRPr="00C717CC">
        <w:rPr>
          <w:szCs w:val="16"/>
        </w:rPr>
        <w:t xml:space="preserve"> HER2 receptor</w:t>
      </w:r>
      <w:r w:rsidR="0046133D" w:rsidRPr="00C717CC">
        <w:rPr>
          <w:szCs w:val="16"/>
        </w:rPr>
        <w:t xml:space="preserve"> signaling and mediates antibody-dependent cell-mediated cytotoxicity (ADCC) in human breast cancer cells that overexpress HER2.</w:t>
      </w:r>
    </w:p>
    <w:p w14:paraId="071246A2" w14:textId="7A721E8C" w:rsidR="008A6AFA" w:rsidRPr="00C717CC" w:rsidRDefault="008A6AFA" w:rsidP="008A6AFA">
      <w:pPr>
        <w:pStyle w:val="TextTi12"/>
        <w:numPr>
          <w:ilvl w:val="0"/>
          <w:numId w:val="16"/>
        </w:numPr>
        <w:spacing w:after="120" w:line="240" w:lineRule="auto"/>
        <w:rPr>
          <w:szCs w:val="16"/>
        </w:rPr>
      </w:pPr>
      <w:r w:rsidRPr="00C717CC">
        <w:rPr>
          <w:szCs w:val="16"/>
        </w:rPr>
        <w:t xml:space="preserve">DM1, the cytotoxic component of </w:t>
      </w:r>
      <w:r w:rsidR="007C3F9E" w:rsidRPr="00C717CC">
        <w:t>KADCYLA</w:t>
      </w:r>
      <w:r w:rsidRPr="00C717CC">
        <w:rPr>
          <w:szCs w:val="16"/>
        </w:rPr>
        <w:t xml:space="preserve">, binds to tubulin. By inhibiting tubulin polymerization, </w:t>
      </w:r>
      <w:r w:rsidR="0046133D" w:rsidRPr="00C717CC">
        <w:rPr>
          <w:szCs w:val="16"/>
        </w:rPr>
        <w:t xml:space="preserve">both </w:t>
      </w:r>
      <w:r w:rsidRPr="00C717CC">
        <w:rPr>
          <w:szCs w:val="16"/>
        </w:rPr>
        <w:t xml:space="preserve">DM1 </w:t>
      </w:r>
      <w:r w:rsidR="0046133D" w:rsidRPr="00C717CC">
        <w:rPr>
          <w:szCs w:val="16"/>
        </w:rPr>
        <w:t xml:space="preserve">and KADCYLA </w:t>
      </w:r>
      <w:r w:rsidRPr="00C717CC">
        <w:rPr>
          <w:szCs w:val="16"/>
        </w:rPr>
        <w:t>cause cells to arrest in the G2/M phase of the cell cycle, ultimately l</w:t>
      </w:r>
      <w:r w:rsidR="00225C83">
        <w:rPr>
          <w:szCs w:val="16"/>
        </w:rPr>
        <w:t>eading to apoptotic cell death.</w:t>
      </w:r>
    </w:p>
    <w:p w14:paraId="071246A4" w14:textId="77777777" w:rsidR="00D252EC" w:rsidRPr="00C717CC" w:rsidRDefault="00D252EC" w:rsidP="00451567">
      <w:pPr>
        <w:pStyle w:val="Heading2"/>
      </w:pPr>
      <w:r w:rsidRPr="00C717CC">
        <w:t>Pharmacokinetics</w:t>
      </w:r>
    </w:p>
    <w:p w14:paraId="071246A5" w14:textId="1490207A" w:rsidR="00D844B2" w:rsidRPr="00225C83" w:rsidRDefault="00D844B2" w:rsidP="000F735A">
      <w:pPr>
        <w:pStyle w:val="Heading3"/>
        <w:spacing w:after="120"/>
      </w:pPr>
      <w:r w:rsidRPr="00C717CC">
        <w:t>Absorption</w:t>
      </w:r>
    </w:p>
    <w:p w14:paraId="071246A6" w14:textId="77777777" w:rsidR="005E0265" w:rsidRPr="00C717CC" w:rsidRDefault="007C3F9E" w:rsidP="005E0265">
      <w:pPr>
        <w:pStyle w:val="Paragraph"/>
        <w:spacing w:after="120" w:line="240" w:lineRule="auto"/>
        <w:jc w:val="both"/>
        <w:rPr>
          <w:rFonts w:ascii="Times New Roman" w:eastAsia="PMingLiU" w:hAnsi="Times New Roman"/>
          <w:color w:val="000000"/>
          <w:szCs w:val="22"/>
          <w:lang w:val="en-US" w:eastAsia="zh-TW"/>
        </w:rPr>
      </w:pPr>
      <w:r w:rsidRPr="00C717CC">
        <w:rPr>
          <w:rFonts w:ascii="Times New Roman" w:eastAsia="PMingLiU" w:hAnsi="Times New Roman"/>
          <w:color w:val="000000"/>
          <w:szCs w:val="22"/>
          <w:lang w:val="en-US" w:eastAsia="zh-TW"/>
        </w:rPr>
        <w:t>KADCYLA</w:t>
      </w:r>
      <w:r w:rsidR="005E0265" w:rsidRPr="00C717CC">
        <w:rPr>
          <w:rFonts w:ascii="Times New Roman" w:eastAsia="PMingLiU" w:hAnsi="Times New Roman"/>
          <w:color w:val="000000"/>
          <w:szCs w:val="22"/>
          <w:lang w:val="en-US" w:eastAsia="zh-TW"/>
        </w:rPr>
        <w:t xml:space="preserve"> is administered as an intravenous (IV) infusion. There have been no studies performed with other routes of administration.</w:t>
      </w:r>
    </w:p>
    <w:p w14:paraId="071246A7" w14:textId="77777777" w:rsidR="00DB4BD9" w:rsidRPr="00C717CC" w:rsidRDefault="00DB4BD9" w:rsidP="00DB4BD9">
      <w:pPr>
        <w:pStyle w:val="Heading3"/>
        <w:spacing w:after="120"/>
      </w:pPr>
      <w:r w:rsidRPr="00C717CC">
        <w:t>Distribution</w:t>
      </w:r>
    </w:p>
    <w:p w14:paraId="071246A8" w14:textId="77777777" w:rsidR="00DB0CD0" w:rsidRPr="00C717CC" w:rsidRDefault="00DB0CD0" w:rsidP="00ED3F86">
      <w:pPr>
        <w:pStyle w:val="TextTi12"/>
        <w:spacing w:line="240" w:lineRule="auto"/>
      </w:pPr>
      <w:r w:rsidRPr="00C717CC">
        <w:t>KADCYLA when administered IV every 3 weeks exhibited linear pharmacokinetics across doses ranging from 2.4 to 4.8 mg/kg; patients who received doses less than or equal to 1.2 mg/kg had faster clearance.</w:t>
      </w:r>
    </w:p>
    <w:p w14:paraId="071246A9" w14:textId="46100414" w:rsidR="00DB0CD0" w:rsidRPr="00C717CC" w:rsidRDefault="00DB0CD0" w:rsidP="00ED3F86">
      <w:pPr>
        <w:pStyle w:val="TextTi12"/>
        <w:spacing w:line="240" w:lineRule="auto"/>
      </w:pPr>
      <w:r w:rsidRPr="00C717CC">
        <w:t xml:space="preserve">Patients in the randomized </w:t>
      </w:r>
      <w:r w:rsidR="00300FC6" w:rsidRPr="00C717CC">
        <w:t xml:space="preserve">pivotal </w:t>
      </w:r>
      <w:r w:rsidRPr="00C717CC">
        <w:t>trial</w:t>
      </w:r>
      <w:r w:rsidR="00300FC6" w:rsidRPr="00C717CC">
        <w:t>, EMILIA,</w:t>
      </w:r>
      <w:r w:rsidRPr="00C717CC">
        <w:t xml:space="preserve"> who received 3.6 mg/kg of KADCYLA </w:t>
      </w:r>
      <w:r w:rsidR="00E4145B" w:rsidRPr="00C717CC">
        <w:t>IV</w:t>
      </w:r>
      <w:r w:rsidRPr="00C717CC">
        <w:t xml:space="preserve"> every 3 weeks</w:t>
      </w:r>
      <w:r w:rsidR="00E4145B" w:rsidRPr="00C717CC">
        <w:t>,</w:t>
      </w:r>
      <w:r w:rsidRPr="00C717CC">
        <w:t xml:space="preserve"> had a mean maximum serum concentration (Cmax) of trastuzumab emtansine</w:t>
      </w:r>
      <w:r w:rsidRPr="00C717CC" w:rsidDel="00B7477F">
        <w:t xml:space="preserve"> </w:t>
      </w:r>
      <w:r w:rsidRPr="00C717CC">
        <w:t xml:space="preserve">of 83.4 (±16.5) </w:t>
      </w:r>
      <w:r w:rsidRPr="00C717CC">
        <w:sym w:font="Symbol" w:char="F06D"/>
      </w:r>
      <w:r w:rsidRPr="00C717CC">
        <w:t xml:space="preserve">g/mL. Based on population pharmacokinetic analysis, following </w:t>
      </w:r>
      <w:r w:rsidR="00E4145B" w:rsidRPr="00C717CC">
        <w:t>IV</w:t>
      </w:r>
      <w:r w:rsidRPr="00C717CC">
        <w:t xml:space="preserve"> administration</w:t>
      </w:r>
      <w:r w:rsidR="0010320A" w:rsidRPr="00C717CC">
        <w:t xml:space="preserve"> of KADCYLA</w:t>
      </w:r>
      <w:r w:rsidRPr="00C717CC">
        <w:t>, the central volume of distribution of trastuzumab emtansine was</w:t>
      </w:r>
      <w:r w:rsidRPr="00C717CC" w:rsidDel="00B7477F">
        <w:t xml:space="preserve"> </w:t>
      </w:r>
      <w:r w:rsidR="00E4145B" w:rsidRPr="00C717CC">
        <w:t>3.13 L</w:t>
      </w:r>
      <w:r w:rsidRPr="00C717CC">
        <w:t xml:space="preserve"> and appr</w:t>
      </w:r>
      <w:r w:rsidR="00225C83">
        <w:t>oximated that of plasma volume.</w:t>
      </w:r>
    </w:p>
    <w:p w14:paraId="071246AA" w14:textId="77777777" w:rsidR="00BA514A" w:rsidRPr="00C717CC" w:rsidRDefault="00BA514A" w:rsidP="00ED3F86">
      <w:pPr>
        <w:pStyle w:val="TextTi12"/>
        <w:spacing w:line="240" w:lineRule="auto"/>
      </w:pPr>
      <w:r w:rsidRPr="00C717CC">
        <w:t xml:space="preserve">In </w:t>
      </w:r>
      <w:r w:rsidRPr="00C717CC">
        <w:rPr>
          <w:i/>
        </w:rPr>
        <w:t>in vitro</w:t>
      </w:r>
      <w:r w:rsidRPr="00C717CC">
        <w:t xml:space="preserve"> studies, DM1 was 93% bound to human plasma proteins and was shown to be a substrate of P-glycoprotein (P-gp).</w:t>
      </w:r>
    </w:p>
    <w:p w14:paraId="071246AB" w14:textId="77777777" w:rsidR="00D844B2" w:rsidRPr="00C717CC" w:rsidRDefault="00D844B2" w:rsidP="000F735A">
      <w:pPr>
        <w:pStyle w:val="Heading3"/>
        <w:spacing w:after="120"/>
      </w:pPr>
      <w:r w:rsidRPr="00C717CC">
        <w:t>Metabolism</w:t>
      </w:r>
    </w:p>
    <w:p w14:paraId="071246AC" w14:textId="7F4A6B48" w:rsidR="00E71F62" w:rsidRPr="00C717CC" w:rsidRDefault="00E71F62" w:rsidP="00E71F62">
      <w:pPr>
        <w:pStyle w:val="TextTi12"/>
        <w:spacing w:line="240" w:lineRule="auto"/>
      </w:pPr>
      <w:r w:rsidRPr="00C717CC">
        <w:t>KADCYLA is expected to undergo catabolism by means of proteolysis in cellular lysosomes, with no significant involvement of cytochrome P450 isoenzymes. Catabolites including Lys-MCC-DM1, MCC-DM1 and DM1 are detected a</w:t>
      </w:r>
      <w:r w:rsidR="00225C83">
        <w:t xml:space="preserve">t low levels in human plasma. </w:t>
      </w:r>
      <w:r w:rsidRPr="00C717CC">
        <w:t xml:space="preserve">In the </w:t>
      </w:r>
      <w:r w:rsidRPr="00C717CC">
        <w:lastRenderedPageBreak/>
        <w:t xml:space="preserve">randomized trial EMILIA, mean maximum DM1 levels in Cycle 1 following KADCYLA administration were consistently low and averaged 4.61 </w:t>
      </w:r>
      <w:r w:rsidRPr="00C717CC">
        <w:sym w:font="Symbol" w:char="F0B1"/>
      </w:r>
      <w:r w:rsidRPr="00C717CC">
        <w:t xml:space="preserve"> 1.61 ng/mL.</w:t>
      </w:r>
    </w:p>
    <w:p w14:paraId="071246AD" w14:textId="30509561" w:rsidR="0043267A" w:rsidRPr="00C717CC" w:rsidRDefault="00E71F62" w:rsidP="00EF7F89">
      <w:pPr>
        <w:pStyle w:val="TextTi12"/>
        <w:spacing w:line="240" w:lineRule="auto"/>
        <w:jc w:val="left"/>
        <w:rPr>
          <w:i/>
        </w:rPr>
      </w:pPr>
      <w:r w:rsidRPr="00C717CC">
        <w:rPr>
          <w:i/>
        </w:rPr>
        <w:t>In vitro</w:t>
      </w:r>
      <w:r w:rsidRPr="00C717CC">
        <w:t xml:space="preserve"> metabolism studies in human liver microsomes suggest that DM1</w:t>
      </w:r>
      <w:r w:rsidR="0074698E">
        <w:t>,</w:t>
      </w:r>
      <w:r w:rsidRPr="00C717CC">
        <w:t xml:space="preserve"> </w:t>
      </w:r>
      <w:r w:rsidR="0072277A" w:rsidRPr="00C717CC">
        <w:t xml:space="preserve">a </w:t>
      </w:r>
      <w:r w:rsidRPr="00C717CC">
        <w:t xml:space="preserve">component of trastuzumab emtansine, is metabolized mainly by </w:t>
      </w:r>
      <w:proofErr w:type="gramStart"/>
      <w:r w:rsidRPr="00C717CC">
        <w:t>CYP3A4,</w:t>
      </w:r>
      <w:proofErr w:type="gramEnd"/>
      <w:r w:rsidRPr="00C717CC">
        <w:t xml:space="preserve"> an</w:t>
      </w:r>
      <w:r w:rsidR="00225C83">
        <w:t>d to a lesser extent by CYP3A5.</w:t>
      </w:r>
    </w:p>
    <w:p w14:paraId="071246AE" w14:textId="77777777" w:rsidR="00D844B2" w:rsidRPr="00C717CC" w:rsidRDefault="00D844B2" w:rsidP="000F735A">
      <w:pPr>
        <w:pStyle w:val="Heading3"/>
        <w:spacing w:after="120"/>
      </w:pPr>
      <w:r w:rsidRPr="00C717CC">
        <w:t>Excretion</w:t>
      </w:r>
    </w:p>
    <w:p w14:paraId="071246AF" w14:textId="77777777" w:rsidR="0010320A" w:rsidRPr="00C717CC" w:rsidRDefault="0010320A" w:rsidP="00DC0EB8">
      <w:pPr>
        <w:pStyle w:val="TextTi12"/>
        <w:spacing w:line="240" w:lineRule="auto"/>
      </w:pPr>
      <w:r w:rsidRPr="00C717CC">
        <w:t xml:space="preserve">Based on population pharmacokinetic analysis, following IV administration of KADCYLA, the clearance of trastuzumab emtansine </w:t>
      </w:r>
      <w:r w:rsidRPr="00C717CC" w:rsidDel="00954E05">
        <w:t>was</w:t>
      </w:r>
      <w:r w:rsidRPr="00C717CC">
        <w:t xml:space="preserve"> 0.68 L/day and the elimination half-life (t</w:t>
      </w:r>
      <w:r w:rsidRPr="00C717CC">
        <w:rPr>
          <w:vertAlign w:val="subscript"/>
        </w:rPr>
        <w:t>1/2</w:t>
      </w:r>
      <w:r w:rsidRPr="00C717CC">
        <w:t>) was approximately 4 days. No accumulation of trastuzumab emtansine was observed after repeated dosing of KADCYLA IV infusions every 3 weeks.</w:t>
      </w:r>
    </w:p>
    <w:p w14:paraId="071246B0" w14:textId="77777777" w:rsidR="001837FA" w:rsidRPr="00C717CC" w:rsidRDefault="0010320A" w:rsidP="00DC0EB8">
      <w:pPr>
        <w:pStyle w:val="TextTi12"/>
        <w:spacing w:line="240" w:lineRule="auto"/>
      </w:pPr>
      <w:r w:rsidRPr="00C717CC">
        <w:t xml:space="preserve">Based on population pharmacokinetic analysis (n=671), body weight, albumin, sum of longest diameter of target lesions by </w:t>
      </w:r>
      <w:r w:rsidRPr="00C717CC">
        <w:rPr>
          <w:bCs/>
        </w:rPr>
        <w:t>Response Evaluation Criteria in Solid Tumors</w:t>
      </w:r>
      <w:r w:rsidRPr="00C717CC">
        <w:t xml:space="preserve"> (RECIST), HER2 shed ECD, baseline trastuzumab concentrations, and AST were identified as statistically significant covariates for trastuzumab emtansine </w:t>
      </w:r>
      <w:r w:rsidRPr="00C717CC" w:rsidDel="00954E05">
        <w:t>pharmacokinetic</w:t>
      </w:r>
      <w:r w:rsidRPr="00C717CC">
        <w:t xml:space="preserve"> parameters. However, the magnitude of effect of these covariates on trastuzumab emtansine exposure, suggests that</w:t>
      </w:r>
      <w:r w:rsidR="00E21E85" w:rsidRPr="00C717CC">
        <w:t>, with the exception of body weight,</w:t>
      </w:r>
      <w:r w:rsidRPr="00C717CC">
        <w:t xml:space="preserve"> these covariates are unlikely to have any clinically meaningful effect on </w:t>
      </w:r>
      <w:r w:rsidR="00054E04" w:rsidRPr="00C717CC">
        <w:t>KADCYLA</w:t>
      </w:r>
      <w:r w:rsidRPr="00C717CC">
        <w:t xml:space="preserve"> </w:t>
      </w:r>
      <w:r w:rsidRPr="00C717CC" w:rsidDel="00954E05">
        <w:t>exposure</w:t>
      </w:r>
      <w:r w:rsidRPr="00C717CC">
        <w:t xml:space="preserve">. </w:t>
      </w:r>
      <w:r w:rsidR="00E21E85" w:rsidRPr="00C717CC">
        <w:t>Therefore, the body weight based dose of 3.6 mg/kg every 3 weeks without correction for other covariates is considered appropriate.</w:t>
      </w:r>
    </w:p>
    <w:p w14:paraId="071246B1" w14:textId="22F0B1E6" w:rsidR="000F735A" w:rsidRPr="00C717CC" w:rsidRDefault="0010320A" w:rsidP="00DC0EB8">
      <w:pPr>
        <w:pStyle w:val="TextTi12"/>
        <w:spacing w:line="240" w:lineRule="auto"/>
        <w:rPr>
          <w:i/>
        </w:rPr>
      </w:pPr>
      <w:r w:rsidRPr="00C717CC">
        <w:t xml:space="preserve">In </w:t>
      </w:r>
      <w:r w:rsidR="009F1CA9" w:rsidRPr="00C717CC">
        <w:t xml:space="preserve">rats, </w:t>
      </w:r>
      <w:r w:rsidRPr="00C717CC">
        <w:t>trastuzumab emtansine catabolites</w:t>
      </w:r>
      <w:r w:rsidR="000A1128" w:rsidRPr="00C717CC">
        <w:t>,</w:t>
      </w:r>
      <w:r w:rsidRPr="00C717CC">
        <w:t xml:space="preserve"> including DM1, Lys-MCC-DM1, and MCC-DM1 </w:t>
      </w:r>
      <w:r w:rsidR="009F1CA9" w:rsidRPr="00C717CC">
        <w:t xml:space="preserve">were shown to be </w:t>
      </w:r>
      <w:r w:rsidRPr="00C717CC">
        <w:t>mainly excreted in the bile with minimal elimination in urine.</w:t>
      </w:r>
    </w:p>
    <w:p w14:paraId="071246B2" w14:textId="77777777" w:rsidR="00D252EC" w:rsidRPr="00C717CC" w:rsidRDefault="00D252EC" w:rsidP="000F735A">
      <w:pPr>
        <w:pStyle w:val="Heading3"/>
        <w:spacing w:after="120"/>
      </w:pPr>
      <w:r w:rsidRPr="00C717CC">
        <w:t>Pharmacokinetics in special populations</w:t>
      </w:r>
    </w:p>
    <w:p w14:paraId="071246B3" w14:textId="77777777" w:rsidR="008B3F6B" w:rsidRPr="00C717CC" w:rsidRDefault="008B3F6B" w:rsidP="008B3F6B">
      <w:pPr>
        <w:spacing w:after="170"/>
      </w:pPr>
      <w:r w:rsidRPr="00C717CC">
        <w:t xml:space="preserve">The population pharmacokinetic analysis of KADCYLA showed that race did not appear to influence the pharmacokinetics of KADCYLA. </w:t>
      </w:r>
      <w:r w:rsidRPr="00C717CC">
        <w:rPr>
          <w:lang w:val="en-GB"/>
        </w:rPr>
        <w:t xml:space="preserve">Pharmacokinetics of KADCYLA in Asian patients (n=73) were similar to non-Asian patients (n=598). </w:t>
      </w:r>
      <w:r w:rsidRPr="00C717CC">
        <w:t>Because most of the patients in KADCYLA clinical studies were females, effect of gender on the pharmacokinetics of KADCYLA was not formally evaluated.</w:t>
      </w:r>
    </w:p>
    <w:p w14:paraId="071246B4" w14:textId="77777777" w:rsidR="00D252EC" w:rsidRPr="00C717CC" w:rsidRDefault="00D252EC" w:rsidP="008B3F6B">
      <w:pPr>
        <w:pStyle w:val="TextTi12"/>
        <w:spacing w:line="240" w:lineRule="auto"/>
        <w:rPr>
          <w:i/>
        </w:rPr>
      </w:pPr>
      <w:r w:rsidRPr="00C717CC">
        <w:rPr>
          <w:b/>
          <w:i/>
        </w:rPr>
        <w:t>Elderly:</w:t>
      </w:r>
      <w:r w:rsidRPr="00C717CC">
        <w:rPr>
          <w:i/>
        </w:rPr>
        <w:t xml:space="preserve"> </w:t>
      </w:r>
      <w:r w:rsidR="008B3F6B" w:rsidRPr="00C717CC">
        <w:t xml:space="preserve"> The population pharmacokinetic analysis of KADCYLA showed that age did not affect the pharmacokinetics of KADCYLA. No significant difference was observed in the pharmacokinetics of KADCYLA among patients &lt;65 years (n=577), patients between 65-75 years (n=78) and patients &gt;75 years (n=16).</w:t>
      </w:r>
    </w:p>
    <w:p w14:paraId="071246B5" w14:textId="77777777" w:rsidR="00D252EC" w:rsidRPr="00C717CC" w:rsidRDefault="00D252EC" w:rsidP="008B3F6B">
      <w:pPr>
        <w:spacing w:after="170"/>
        <w:rPr>
          <w:i/>
        </w:rPr>
      </w:pPr>
      <w:r w:rsidRPr="00C717CC">
        <w:rPr>
          <w:b/>
          <w:i/>
        </w:rPr>
        <w:t>Renal Impairment:</w:t>
      </w:r>
      <w:r w:rsidRPr="00C717CC">
        <w:rPr>
          <w:i/>
        </w:rPr>
        <w:t xml:space="preserve"> </w:t>
      </w:r>
      <w:r w:rsidR="00DA17FB" w:rsidRPr="00C717CC">
        <w:t xml:space="preserve">The population pharmacokinetic analysis of KADCYLA showed that creatinine clearance (CLcr) does not affect pharmacokinetics of KADCYLA. Pharmacokinetics of KADCYLA in patients with mild (CLcr 60-89 mL/min, n=254) or moderate (CLcr 30 to 59 mL/min, n=53) renal impairment were similar to those in patients with normal renal function (CLcr </w:t>
      </w:r>
      <w:r w:rsidR="00DA17FB" w:rsidRPr="00C717CC">
        <w:sym w:font="Symbol" w:char="F0B3"/>
      </w:r>
      <w:r w:rsidR="00DA17FB" w:rsidRPr="00C717CC">
        <w:t>90 mL/min, n=361). Pharmacokinetic data in patients with severe renal impairment (CLcr 15-29 mL/min) is limited (n=1), therefore no dosage recommendations can be made.</w:t>
      </w:r>
    </w:p>
    <w:p w14:paraId="071246B6" w14:textId="1E7F7BEA" w:rsidR="008C0618" w:rsidRPr="00C717CC" w:rsidRDefault="008C0618" w:rsidP="000F735A">
      <w:pPr>
        <w:spacing w:after="120"/>
      </w:pPr>
      <w:r w:rsidRPr="00C717CC">
        <w:rPr>
          <w:b/>
          <w:i/>
        </w:rPr>
        <w:t>Hepatic Impairment:</w:t>
      </w:r>
      <w:r w:rsidRPr="00C717CC">
        <w:rPr>
          <w:i/>
        </w:rPr>
        <w:t xml:space="preserve"> </w:t>
      </w:r>
      <w:r w:rsidR="003C4D12" w:rsidRPr="00C717CC">
        <w:t>No formal pharmacokinetic study has been conducted in patients with hepatic impairment.</w:t>
      </w:r>
    </w:p>
    <w:p w14:paraId="071246B7" w14:textId="77777777" w:rsidR="00D844B2" w:rsidRPr="00C717CC" w:rsidRDefault="00D844B2" w:rsidP="00E42D56">
      <w:pPr>
        <w:pStyle w:val="Heading1"/>
        <w:spacing w:before="360"/>
        <w:rPr>
          <w:rFonts w:hint="eastAsia"/>
        </w:rPr>
      </w:pPr>
      <w:r w:rsidRPr="00C717CC">
        <w:lastRenderedPageBreak/>
        <w:t>Clinical trials</w:t>
      </w:r>
    </w:p>
    <w:p w14:paraId="071246B8" w14:textId="6766EE7E" w:rsidR="00185EA3" w:rsidRPr="00C717CC" w:rsidRDefault="00225C83" w:rsidP="00451567">
      <w:pPr>
        <w:pStyle w:val="Heading2"/>
      </w:pPr>
      <w:r>
        <w:t>Metastatic Breast Cancer</w:t>
      </w:r>
    </w:p>
    <w:p w14:paraId="071246B9" w14:textId="77777777" w:rsidR="0016627F" w:rsidRPr="00225C83" w:rsidRDefault="00720BAE" w:rsidP="00DE1837">
      <w:pPr>
        <w:pStyle w:val="Heading3"/>
        <w:spacing w:after="120"/>
      </w:pPr>
      <w:r w:rsidRPr="00C717CC">
        <w:t>TDM4370g/BO21977 (EMILIA</w:t>
      </w:r>
      <w:r w:rsidRPr="00225C83">
        <w:t>)</w:t>
      </w:r>
    </w:p>
    <w:p w14:paraId="071246BA" w14:textId="77777777" w:rsidR="000A6CB4" w:rsidRPr="00C717CC" w:rsidRDefault="00AE1FF4" w:rsidP="00E42D56">
      <w:pPr>
        <w:spacing w:after="170"/>
      </w:pPr>
      <w:r w:rsidRPr="00C717CC">
        <w:t xml:space="preserve">EMILIA is a phase III, randomized, multicentre, international, open-label clinical trial conducted in patients with HER2-positive unresectable, locally advanced breast cancer </w:t>
      </w:r>
      <w:r w:rsidR="006E20ED" w:rsidRPr="00C717CC">
        <w:t xml:space="preserve">(LABC) </w:t>
      </w:r>
      <w:r w:rsidRPr="00C717CC">
        <w:t xml:space="preserve">or metastatic breast cancer (MBC) who had received prior taxane and trastuzumab-based therapy, including patients who received prior therapy with trastuzumab and a taxane in the adjuvant setting and who relapsed within six months of completing adjuvant therapy. </w:t>
      </w:r>
      <w:r w:rsidR="000A6CB4" w:rsidRPr="00C717CC">
        <w:t>Prior to enrolment, breast tumour samples were centrally confirmed to be HER2 positive</w:t>
      </w:r>
      <w:r w:rsidR="00300FC6" w:rsidRPr="00C717CC">
        <w:t>,</w:t>
      </w:r>
      <w:r w:rsidR="000A6CB4" w:rsidRPr="00C717CC">
        <w:t xml:space="preserve"> defined as a score of 3+ by IHC or gene amplification by ISH. Baseline patient and tumour characteristics were well balanced between treatment groups. For patients randomized to KADCYLA, the median age was 53 years, most patients were female (99.8%), the majority Caucasian (72%), and 57% had </w:t>
      </w:r>
      <w:r w:rsidR="00153597" w:rsidRPr="00C717CC">
        <w:t>o</w:t>
      </w:r>
      <w:r w:rsidR="000A6CB4" w:rsidRPr="00C717CC">
        <w:t xml:space="preserve">estrogen-receptor and/or progesterone-receptor positive disease.  </w:t>
      </w:r>
      <w:r w:rsidR="000A6CB4" w:rsidRPr="00C717CC">
        <w:rPr>
          <w:szCs w:val="16"/>
        </w:rPr>
        <w:t xml:space="preserve">The study compared the safety and efficacy of </w:t>
      </w:r>
      <w:r w:rsidR="000A6CB4" w:rsidRPr="00C717CC">
        <w:t>KADCYLA</w:t>
      </w:r>
      <w:r w:rsidR="000A6CB4" w:rsidRPr="00C717CC">
        <w:rPr>
          <w:szCs w:val="16"/>
        </w:rPr>
        <w:t xml:space="preserve"> with that of lapatinib </w:t>
      </w:r>
      <w:r w:rsidR="00031E05" w:rsidRPr="00C717CC">
        <w:rPr>
          <w:szCs w:val="16"/>
        </w:rPr>
        <w:t>+</w:t>
      </w:r>
      <w:r w:rsidR="000A6CB4" w:rsidRPr="00C717CC">
        <w:rPr>
          <w:szCs w:val="16"/>
        </w:rPr>
        <w:t xml:space="preserve"> capecitabine. A total of 991 patients were randomized with KADCYLA or lapatinib </w:t>
      </w:r>
      <w:r w:rsidR="00031E05" w:rsidRPr="00C717CC">
        <w:rPr>
          <w:szCs w:val="16"/>
        </w:rPr>
        <w:t>+</w:t>
      </w:r>
      <w:r w:rsidR="000A6CB4" w:rsidRPr="00C717CC">
        <w:rPr>
          <w:szCs w:val="16"/>
        </w:rPr>
        <w:t xml:space="preserve"> capecitabine as follows:</w:t>
      </w:r>
    </w:p>
    <w:p w14:paraId="071246BB" w14:textId="77777777" w:rsidR="000A6CB4" w:rsidRPr="00C717CC" w:rsidRDefault="000A6CB4" w:rsidP="0095370E">
      <w:pPr>
        <w:pStyle w:val="TextTi12"/>
        <w:numPr>
          <w:ilvl w:val="0"/>
          <w:numId w:val="15"/>
        </w:numPr>
        <w:spacing w:after="120" w:line="240" w:lineRule="auto"/>
        <w:ind w:left="426" w:hanging="284"/>
        <w:rPr>
          <w:szCs w:val="16"/>
        </w:rPr>
      </w:pPr>
      <w:r w:rsidRPr="00C717CC">
        <w:t>KADCYLA</w:t>
      </w:r>
      <w:r w:rsidR="0095370E" w:rsidRPr="00C717CC">
        <w:t xml:space="preserve"> </w:t>
      </w:r>
      <w:r w:rsidRPr="00C717CC">
        <w:rPr>
          <w:szCs w:val="16"/>
        </w:rPr>
        <w:t>3.6 mg/kg IV over 30</w:t>
      </w:r>
      <w:r w:rsidR="00300FC6" w:rsidRPr="00C717CC">
        <w:rPr>
          <w:szCs w:val="16"/>
        </w:rPr>
        <w:t xml:space="preserve"> - </w:t>
      </w:r>
      <w:r w:rsidRPr="00C717CC">
        <w:rPr>
          <w:szCs w:val="16"/>
        </w:rPr>
        <w:t>90 min on Day 1 of a 21-day cycle</w:t>
      </w:r>
      <w:r w:rsidR="00041884" w:rsidRPr="00C717CC">
        <w:rPr>
          <w:szCs w:val="16"/>
        </w:rPr>
        <w:t>,</w:t>
      </w:r>
      <w:r w:rsidRPr="00C717CC">
        <w:rPr>
          <w:szCs w:val="16"/>
        </w:rPr>
        <w:t xml:space="preserve"> </w:t>
      </w:r>
      <w:r w:rsidR="0095370E" w:rsidRPr="00C717CC">
        <w:rPr>
          <w:szCs w:val="16"/>
        </w:rPr>
        <w:t>or</w:t>
      </w:r>
    </w:p>
    <w:p w14:paraId="071246BC" w14:textId="77777777" w:rsidR="000A6CB4" w:rsidRPr="00C717CC" w:rsidRDefault="00031E05" w:rsidP="0095370E">
      <w:pPr>
        <w:pStyle w:val="TextTi12"/>
        <w:numPr>
          <w:ilvl w:val="0"/>
          <w:numId w:val="15"/>
        </w:numPr>
        <w:spacing w:after="120" w:line="240" w:lineRule="auto"/>
        <w:ind w:left="426" w:hanging="284"/>
        <w:rPr>
          <w:szCs w:val="16"/>
        </w:rPr>
      </w:pPr>
      <w:r w:rsidRPr="00C717CC">
        <w:rPr>
          <w:szCs w:val="16"/>
        </w:rPr>
        <w:t>L</w:t>
      </w:r>
      <w:r w:rsidR="00041884" w:rsidRPr="00C717CC">
        <w:rPr>
          <w:szCs w:val="16"/>
        </w:rPr>
        <w:t xml:space="preserve">apatinib </w:t>
      </w:r>
      <w:r w:rsidR="000A6CB4" w:rsidRPr="00C717CC">
        <w:rPr>
          <w:szCs w:val="16"/>
        </w:rPr>
        <w:t xml:space="preserve">1250 mg/day orally once per day of a 21-day cycle  </w:t>
      </w:r>
      <w:r w:rsidRPr="00C717CC">
        <w:rPr>
          <w:szCs w:val="16"/>
        </w:rPr>
        <w:t>+</w:t>
      </w:r>
      <w:r w:rsidR="000A6CB4" w:rsidRPr="00C717CC">
        <w:rPr>
          <w:szCs w:val="16"/>
        </w:rPr>
        <w:t xml:space="preserve"> </w:t>
      </w:r>
      <w:r w:rsidR="0095370E" w:rsidRPr="00C717CC">
        <w:rPr>
          <w:szCs w:val="16"/>
        </w:rPr>
        <w:t>c</w:t>
      </w:r>
      <w:r w:rsidR="000A6CB4" w:rsidRPr="00C717CC">
        <w:rPr>
          <w:szCs w:val="16"/>
        </w:rPr>
        <w:t>apecitabine 1000 mg/m</w:t>
      </w:r>
      <w:r w:rsidR="000A6CB4" w:rsidRPr="00C717CC">
        <w:rPr>
          <w:szCs w:val="16"/>
          <w:vertAlign w:val="superscript"/>
        </w:rPr>
        <w:t>2</w:t>
      </w:r>
      <w:r w:rsidR="000A6CB4" w:rsidRPr="00C717CC">
        <w:rPr>
          <w:szCs w:val="16"/>
        </w:rPr>
        <w:t xml:space="preserve"> orally twice daily on Days 1</w:t>
      </w:r>
      <w:r w:rsidR="00300FC6" w:rsidRPr="00C717CC">
        <w:rPr>
          <w:szCs w:val="16"/>
        </w:rPr>
        <w:t xml:space="preserve"> - </w:t>
      </w:r>
      <w:r w:rsidR="000A6CB4" w:rsidRPr="00C717CC">
        <w:rPr>
          <w:szCs w:val="16"/>
        </w:rPr>
        <w:t>14 of a 21-day cycle</w:t>
      </w:r>
    </w:p>
    <w:p w14:paraId="071246BD" w14:textId="6E977BCE" w:rsidR="000A6CB4" w:rsidRPr="00C717CC" w:rsidRDefault="000A6CB4" w:rsidP="000A6CB4">
      <w:pPr>
        <w:pStyle w:val="TextTi12"/>
      </w:pPr>
      <w:r w:rsidRPr="00C717CC">
        <w:t>The co-primary efficacy endpoints of the study were progression-free survival (PFS) as assessed by an independent review commi</w:t>
      </w:r>
      <w:r w:rsidR="00522217" w:rsidRPr="00C717CC">
        <w:t>ttee (IRC),</w:t>
      </w:r>
      <w:r w:rsidRPr="00C717CC">
        <w:t xml:space="preserve"> overall survival (OS) and landmark (1-y</w:t>
      </w:r>
      <w:r w:rsidR="00225C83">
        <w:t>ear and 2-year) survival rates.</w:t>
      </w:r>
    </w:p>
    <w:p w14:paraId="071246BE" w14:textId="77777777" w:rsidR="000A6CB4" w:rsidRPr="00C717CC" w:rsidRDefault="000A6CB4" w:rsidP="00FF4209">
      <w:pPr>
        <w:pStyle w:val="TextTi12"/>
        <w:spacing w:after="120" w:line="240" w:lineRule="auto"/>
      </w:pPr>
      <w:r w:rsidRPr="00C717CC">
        <w:t>Time to symptom</w:t>
      </w:r>
      <w:bookmarkStart w:id="1" w:name="1382efec4bf90068__msoanchor_1"/>
      <w:bookmarkEnd w:id="1"/>
      <w:r w:rsidRPr="00C717CC">
        <w:t xml:space="preserve"> progression, as defined by a 5-point decrease in </w:t>
      </w:r>
      <w:r w:rsidR="00FF4209" w:rsidRPr="00C717CC">
        <w:t xml:space="preserve">score derived from the trial </w:t>
      </w:r>
      <w:r w:rsidRPr="00C717CC">
        <w:t>outcome index-breast (TOI-B) subscale of the Functional Assessment of Cancer Therapy-Breast Quality of Life (FACT-B QoL) questionnaire was also assessed during the clinical trial. A change of 5 points in the TOI-B is considered clinically significant.</w:t>
      </w:r>
    </w:p>
    <w:p w14:paraId="68255D70" w14:textId="77777777" w:rsidR="00225C83" w:rsidRDefault="00225C83">
      <w:pPr>
        <w:jc w:val="left"/>
        <w:rPr>
          <w:rFonts w:eastAsia="SimSun"/>
          <w:b/>
          <w:szCs w:val="24"/>
          <w:lang w:val="en-US" w:eastAsia="zh-CN"/>
        </w:rPr>
      </w:pPr>
      <w:r>
        <w:br w:type="page"/>
      </w:r>
    </w:p>
    <w:p w14:paraId="071246C0" w14:textId="195A46EF" w:rsidR="00FF4209" w:rsidRPr="00C717CC" w:rsidRDefault="00FF4209" w:rsidP="00E42D56">
      <w:pPr>
        <w:pStyle w:val="TableTitle"/>
        <w:spacing w:before="0" w:after="120" w:line="240" w:lineRule="auto"/>
        <w:ind w:left="1077" w:hanging="1077"/>
        <w:rPr>
          <w:rFonts w:ascii="Times New Roman" w:hAnsi="Times New Roman"/>
          <w:bCs/>
        </w:rPr>
      </w:pPr>
      <w:r w:rsidRPr="00C717CC">
        <w:rPr>
          <w:rFonts w:ascii="Times New Roman" w:hAnsi="Times New Roman"/>
        </w:rPr>
        <w:lastRenderedPageBreak/>
        <w:t>Table </w:t>
      </w:r>
      <w:r w:rsidR="00847528" w:rsidRPr="00C717CC">
        <w:rPr>
          <w:rFonts w:ascii="Times New Roman" w:hAnsi="Times New Roman"/>
        </w:rPr>
        <w:fldChar w:fldCharType="begin"/>
      </w:r>
      <w:r w:rsidR="00847528" w:rsidRPr="00C717CC">
        <w:rPr>
          <w:rFonts w:ascii="Times New Roman" w:hAnsi="Times New Roman"/>
        </w:rPr>
        <w:instrText xml:space="preserve"> SEQ Table \* ARABIC </w:instrText>
      </w:r>
      <w:r w:rsidR="00847528" w:rsidRPr="00C717CC">
        <w:rPr>
          <w:rFonts w:ascii="Times New Roman" w:hAnsi="Times New Roman"/>
        </w:rPr>
        <w:fldChar w:fldCharType="separate"/>
      </w:r>
      <w:r w:rsidR="00560709">
        <w:rPr>
          <w:rFonts w:ascii="Times New Roman" w:hAnsi="Times New Roman"/>
          <w:noProof/>
        </w:rPr>
        <w:t>1</w:t>
      </w:r>
      <w:r w:rsidR="00847528" w:rsidRPr="00C717CC">
        <w:rPr>
          <w:rFonts w:ascii="Times New Roman" w:hAnsi="Times New Roman"/>
        </w:rPr>
        <w:fldChar w:fldCharType="end"/>
      </w:r>
      <w:r w:rsidRPr="00C717CC">
        <w:rPr>
          <w:rFonts w:ascii="Times New Roman" w:hAnsi="Times New Roman"/>
        </w:rPr>
        <w:tab/>
      </w:r>
      <w:r w:rsidRPr="00C717CC">
        <w:rPr>
          <w:rFonts w:ascii="Times New Roman" w:hAnsi="Times New Roman"/>
          <w:bCs/>
        </w:rPr>
        <w:t xml:space="preserve">Summary of efficacy from </w:t>
      </w:r>
      <w:r w:rsidRPr="00C717CC">
        <w:rPr>
          <w:rFonts w:ascii="Times New Roman" w:hAnsi="Times New Roman"/>
        </w:rPr>
        <w:t>TDM4370g/BO21977 (EMILIA)</w:t>
      </w:r>
      <w:r w:rsidRPr="00C717CC" w:rsidDel="008348CC">
        <w:rPr>
          <w:rFonts w:ascii="Times New Roman" w:hAnsi="Times New Roman"/>
        </w:rPr>
        <w:t xml:space="preserve"> </w:t>
      </w:r>
      <w:r w:rsidR="00225C83">
        <w:rPr>
          <w:rFonts w:ascii="Times New Roman" w:hAnsi="Times New Roman"/>
          <w:bCs/>
        </w:rPr>
        <w:t>study</w:t>
      </w:r>
    </w:p>
    <w:tbl>
      <w:tblPr>
        <w:tblW w:w="8730" w:type="dxa"/>
        <w:tblInd w:w="57" w:type="dxa"/>
        <w:tblLayout w:type="fixed"/>
        <w:tblCellMar>
          <w:left w:w="57" w:type="dxa"/>
          <w:right w:w="57" w:type="dxa"/>
        </w:tblCellMar>
        <w:tblLook w:val="00A0" w:firstRow="1" w:lastRow="0" w:firstColumn="1" w:lastColumn="0" w:noHBand="0" w:noVBand="0"/>
      </w:tblPr>
      <w:tblGrid>
        <w:gridCol w:w="4111"/>
        <w:gridCol w:w="2410"/>
        <w:gridCol w:w="2209"/>
      </w:tblGrid>
      <w:tr w:rsidR="00FF4209" w:rsidRPr="00C717CC" w14:paraId="071246C6" w14:textId="77777777" w:rsidTr="00BF2BF0">
        <w:trPr>
          <w:cantSplit/>
          <w:tblHeader/>
        </w:trPr>
        <w:tc>
          <w:tcPr>
            <w:tcW w:w="4111" w:type="dxa"/>
            <w:tcBorders>
              <w:top w:val="single" w:sz="4" w:space="0" w:color="auto"/>
              <w:left w:val="single" w:sz="4" w:space="0" w:color="auto"/>
              <w:bottom w:val="single" w:sz="4" w:space="0" w:color="auto"/>
              <w:right w:val="single" w:sz="4" w:space="0" w:color="auto"/>
            </w:tcBorders>
            <w:vAlign w:val="bottom"/>
          </w:tcPr>
          <w:p w14:paraId="071246C1" w14:textId="77777777" w:rsidR="00FF4209" w:rsidRPr="00C717CC" w:rsidRDefault="00FF4209" w:rsidP="004B46F6">
            <w:pPr>
              <w:keepLines/>
              <w:rPr>
                <w:sz w:val="20"/>
                <w:szCs w:val="20"/>
              </w:rPr>
            </w:pPr>
          </w:p>
        </w:tc>
        <w:tc>
          <w:tcPr>
            <w:tcW w:w="2410" w:type="dxa"/>
            <w:tcBorders>
              <w:top w:val="single" w:sz="4" w:space="0" w:color="auto"/>
              <w:left w:val="single" w:sz="4" w:space="0" w:color="auto"/>
              <w:bottom w:val="single" w:sz="4" w:space="0" w:color="auto"/>
              <w:right w:val="nil"/>
            </w:tcBorders>
            <w:vAlign w:val="bottom"/>
          </w:tcPr>
          <w:p w14:paraId="071246C2" w14:textId="77777777" w:rsidR="00FF4209" w:rsidRPr="00C717CC" w:rsidRDefault="00FF4209" w:rsidP="004B46F6">
            <w:pPr>
              <w:keepNext/>
              <w:keepLines/>
              <w:jc w:val="center"/>
              <w:rPr>
                <w:b/>
                <w:sz w:val="20"/>
                <w:szCs w:val="20"/>
              </w:rPr>
            </w:pPr>
            <w:r w:rsidRPr="00C717CC">
              <w:rPr>
                <w:b/>
                <w:sz w:val="20"/>
                <w:szCs w:val="20"/>
              </w:rPr>
              <w:t>Lapatinib</w:t>
            </w:r>
            <w:r w:rsidR="004B46F6" w:rsidRPr="00C717CC">
              <w:rPr>
                <w:b/>
                <w:sz w:val="20"/>
                <w:szCs w:val="20"/>
              </w:rPr>
              <w:t xml:space="preserve"> </w:t>
            </w:r>
            <w:r w:rsidRPr="00C717CC">
              <w:rPr>
                <w:b/>
                <w:sz w:val="20"/>
                <w:szCs w:val="20"/>
              </w:rPr>
              <w:t>+</w:t>
            </w:r>
            <w:r w:rsidR="004B46F6" w:rsidRPr="00C717CC">
              <w:rPr>
                <w:b/>
                <w:sz w:val="20"/>
                <w:szCs w:val="20"/>
              </w:rPr>
              <w:t xml:space="preserve"> </w:t>
            </w:r>
            <w:r w:rsidRPr="00C717CC">
              <w:rPr>
                <w:b/>
                <w:sz w:val="20"/>
                <w:szCs w:val="20"/>
              </w:rPr>
              <w:t>Capecitabine</w:t>
            </w:r>
          </w:p>
          <w:p w14:paraId="071246C3" w14:textId="77777777" w:rsidR="00FF4209" w:rsidRPr="00C717CC" w:rsidRDefault="00F0140D" w:rsidP="004B46F6">
            <w:pPr>
              <w:keepNext/>
              <w:keepLines/>
              <w:jc w:val="center"/>
              <w:rPr>
                <w:b/>
                <w:sz w:val="20"/>
                <w:szCs w:val="20"/>
              </w:rPr>
            </w:pPr>
            <w:r w:rsidRPr="00C717CC">
              <w:rPr>
                <w:b/>
                <w:sz w:val="20"/>
                <w:szCs w:val="20"/>
              </w:rPr>
              <w:t xml:space="preserve">n </w:t>
            </w:r>
            <w:r w:rsidR="00FF4209" w:rsidRPr="00C717CC">
              <w:rPr>
                <w:b/>
                <w:sz w:val="20"/>
                <w:szCs w:val="20"/>
              </w:rPr>
              <w:t>=</w:t>
            </w:r>
            <w:r w:rsidRPr="00C717CC">
              <w:rPr>
                <w:b/>
                <w:sz w:val="20"/>
                <w:szCs w:val="20"/>
              </w:rPr>
              <w:t xml:space="preserve"> </w:t>
            </w:r>
            <w:r w:rsidR="00FF4209" w:rsidRPr="00C717CC">
              <w:rPr>
                <w:b/>
                <w:sz w:val="20"/>
                <w:szCs w:val="20"/>
              </w:rPr>
              <w:t>496</w:t>
            </w:r>
          </w:p>
        </w:tc>
        <w:tc>
          <w:tcPr>
            <w:tcW w:w="2209" w:type="dxa"/>
            <w:tcBorders>
              <w:top w:val="single" w:sz="4" w:space="0" w:color="auto"/>
              <w:left w:val="nil"/>
              <w:bottom w:val="single" w:sz="4" w:space="0" w:color="auto"/>
              <w:right w:val="single" w:sz="4" w:space="0" w:color="auto"/>
            </w:tcBorders>
            <w:vAlign w:val="bottom"/>
          </w:tcPr>
          <w:p w14:paraId="071246C4" w14:textId="77777777" w:rsidR="00FF4209" w:rsidRPr="00C717CC" w:rsidRDefault="004B46F6" w:rsidP="004B46F6">
            <w:pPr>
              <w:keepNext/>
              <w:keepLines/>
              <w:jc w:val="center"/>
              <w:rPr>
                <w:b/>
                <w:sz w:val="20"/>
                <w:szCs w:val="20"/>
              </w:rPr>
            </w:pPr>
            <w:r w:rsidRPr="00C717CC">
              <w:rPr>
                <w:b/>
                <w:sz w:val="20"/>
                <w:szCs w:val="20"/>
              </w:rPr>
              <w:t>KADCYLA</w:t>
            </w:r>
          </w:p>
          <w:p w14:paraId="071246C5" w14:textId="77777777" w:rsidR="00FF4209" w:rsidRPr="00C717CC" w:rsidRDefault="00F0140D" w:rsidP="004B46F6">
            <w:pPr>
              <w:keepNext/>
              <w:keepLines/>
              <w:jc w:val="center"/>
              <w:rPr>
                <w:b/>
                <w:sz w:val="20"/>
                <w:szCs w:val="20"/>
              </w:rPr>
            </w:pPr>
            <w:r w:rsidRPr="00C717CC">
              <w:rPr>
                <w:b/>
                <w:sz w:val="20"/>
                <w:szCs w:val="20"/>
              </w:rPr>
              <w:t xml:space="preserve">n </w:t>
            </w:r>
            <w:r w:rsidR="00FF4209" w:rsidRPr="00C717CC">
              <w:rPr>
                <w:b/>
                <w:sz w:val="20"/>
                <w:szCs w:val="20"/>
              </w:rPr>
              <w:t>= 495</w:t>
            </w:r>
          </w:p>
        </w:tc>
      </w:tr>
      <w:tr w:rsidR="00FF4209" w:rsidRPr="00C717CC" w14:paraId="071246C8" w14:textId="77777777" w:rsidTr="00916258">
        <w:tblPrEx>
          <w:tblLook w:val="0000" w:firstRow="0" w:lastRow="0" w:firstColumn="0" w:lastColumn="0" w:noHBand="0" w:noVBand="0"/>
        </w:tblPrEx>
        <w:trPr>
          <w:cantSplit/>
        </w:trPr>
        <w:tc>
          <w:tcPr>
            <w:tcW w:w="8730" w:type="dxa"/>
            <w:gridSpan w:val="3"/>
            <w:tcBorders>
              <w:top w:val="single" w:sz="4" w:space="0" w:color="auto"/>
              <w:left w:val="single" w:sz="4" w:space="0" w:color="auto"/>
              <w:bottom w:val="single" w:sz="4" w:space="0" w:color="auto"/>
              <w:right w:val="single" w:sz="4" w:space="0" w:color="auto"/>
            </w:tcBorders>
            <w:vAlign w:val="center"/>
          </w:tcPr>
          <w:p w14:paraId="071246C7" w14:textId="77777777" w:rsidR="00FF4209" w:rsidRPr="00C717CC" w:rsidRDefault="00FF4209" w:rsidP="004B46F6">
            <w:pPr>
              <w:keepLines/>
              <w:spacing w:before="60" w:after="60"/>
              <w:rPr>
                <w:b/>
                <w:sz w:val="20"/>
                <w:szCs w:val="20"/>
              </w:rPr>
            </w:pPr>
            <w:r w:rsidRPr="00C717CC">
              <w:rPr>
                <w:b/>
                <w:sz w:val="20"/>
                <w:szCs w:val="20"/>
              </w:rPr>
              <w:t>Primary Endpoints</w:t>
            </w:r>
          </w:p>
        </w:tc>
      </w:tr>
      <w:tr w:rsidR="00FF4209" w:rsidRPr="00C717CC" w14:paraId="071246CC" w14:textId="77777777" w:rsidTr="00BF2BF0">
        <w:tblPrEx>
          <w:tblLook w:val="0000" w:firstRow="0" w:lastRow="0" w:firstColumn="0" w:lastColumn="0" w:noHBand="0" w:noVBand="0"/>
        </w:tblPrEx>
        <w:trPr>
          <w:cantSplit/>
        </w:trPr>
        <w:tc>
          <w:tcPr>
            <w:tcW w:w="4111" w:type="dxa"/>
            <w:tcBorders>
              <w:top w:val="single" w:sz="4" w:space="0" w:color="auto"/>
              <w:left w:val="single" w:sz="4" w:space="0" w:color="auto"/>
              <w:right w:val="single" w:sz="4" w:space="0" w:color="auto"/>
            </w:tcBorders>
            <w:vAlign w:val="bottom"/>
          </w:tcPr>
          <w:p w14:paraId="071246C9" w14:textId="77777777" w:rsidR="00FF4209" w:rsidRPr="00C717CC" w:rsidRDefault="00FF4209" w:rsidP="0070047E">
            <w:pPr>
              <w:keepLines/>
              <w:spacing w:before="60"/>
              <w:rPr>
                <w:b/>
                <w:i/>
                <w:sz w:val="20"/>
                <w:szCs w:val="20"/>
              </w:rPr>
            </w:pPr>
            <w:r w:rsidRPr="00C717CC">
              <w:rPr>
                <w:b/>
                <w:i/>
                <w:sz w:val="20"/>
                <w:szCs w:val="20"/>
              </w:rPr>
              <w:t>IRC-assessed PFS</w:t>
            </w:r>
          </w:p>
        </w:tc>
        <w:tc>
          <w:tcPr>
            <w:tcW w:w="2410" w:type="dxa"/>
            <w:tcBorders>
              <w:top w:val="single" w:sz="4" w:space="0" w:color="auto"/>
              <w:left w:val="single" w:sz="4" w:space="0" w:color="auto"/>
            </w:tcBorders>
            <w:vAlign w:val="bottom"/>
          </w:tcPr>
          <w:p w14:paraId="071246CA" w14:textId="77777777" w:rsidR="00FF4209" w:rsidRPr="00C717CC" w:rsidRDefault="00FF4209" w:rsidP="004B46F6">
            <w:pPr>
              <w:keepNext/>
              <w:keepLines/>
              <w:jc w:val="center"/>
              <w:rPr>
                <w:b/>
                <w:sz w:val="20"/>
                <w:szCs w:val="20"/>
              </w:rPr>
            </w:pPr>
          </w:p>
        </w:tc>
        <w:tc>
          <w:tcPr>
            <w:tcW w:w="2209" w:type="dxa"/>
            <w:tcBorders>
              <w:top w:val="single" w:sz="4" w:space="0" w:color="auto"/>
              <w:right w:val="single" w:sz="4" w:space="0" w:color="auto"/>
            </w:tcBorders>
            <w:vAlign w:val="bottom"/>
          </w:tcPr>
          <w:p w14:paraId="071246CB" w14:textId="77777777" w:rsidR="00FF4209" w:rsidRPr="00C717CC" w:rsidRDefault="00FF4209" w:rsidP="004B46F6">
            <w:pPr>
              <w:keepNext/>
              <w:keepLines/>
              <w:jc w:val="center"/>
              <w:rPr>
                <w:b/>
                <w:sz w:val="20"/>
                <w:szCs w:val="20"/>
              </w:rPr>
            </w:pPr>
          </w:p>
        </w:tc>
      </w:tr>
      <w:tr w:rsidR="00FF4209" w:rsidRPr="00C717CC" w14:paraId="071246D0" w14:textId="77777777" w:rsidTr="00BF2BF0">
        <w:tblPrEx>
          <w:tblLook w:val="0000" w:firstRow="0" w:lastRow="0" w:firstColumn="0" w:lastColumn="0" w:noHBand="0" w:noVBand="0"/>
        </w:tblPrEx>
        <w:trPr>
          <w:cantSplit/>
        </w:trPr>
        <w:tc>
          <w:tcPr>
            <w:tcW w:w="4111" w:type="dxa"/>
            <w:tcBorders>
              <w:left w:val="single" w:sz="4" w:space="0" w:color="auto"/>
              <w:right w:val="single" w:sz="4" w:space="0" w:color="auto"/>
            </w:tcBorders>
            <w:vAlign w:val="bottom"/>
          </w:tcPr>
          <w:p w14:paraId="071246CD" w14:textId="77777777" w:rsidR="00FF4209" w:rsidRPr="00C717CC" w:rsidRDefault="00FF4209" w:rsidP="004B46F6">
            <w:pPr>
              <w:keepLines/>
              <w:ind w:left="226"/>
              <w:rPr>
                <w:sz w:val="20"/>
                <w:szCs w:val="20"/>
                <w:lang w:eastAsia="en-US"/>
              </w:rPr>
            </w:pPr>
            <w:r w:rsidRPr="00C717CC">
              <w:rPr>
                <w:sz w:val="20"/>
                <w:szCs w:val="20"/>
                <w:lang w:eastAsia="en-US"/>
              </w:rPr>
              <w:t xml:space="preserve">Number (%) of patients with event </w:t>
            </w:r>
          </w:p>
        </w:tc>
        <w:tc>
          <w:tcPr>
            <w:tcW w:w="2410" w:type="dxa"/>
            <w:tcBorders>
              <w:left w:val="single" w:sz="4" w:space="0" w:color="auto"/>
            </w:tcBorders>
            <w:vAlign w:val="bottom"/>
          </w:tcPr>
          <w:p w14:paraId="071246CE" w14:textId="77777777" w:rsidR="00FF4209" w:rsidRPr="00C717CC" w:rsidRDefault="00FF4209" w:rsidP="004B46F6">
            <w:pPr>
              <w:keepNext/>
              <w:keepLines/>
              <w:jc w:val="center"/>
              <w:rPr>
                <w:sz w:val="20"/>
                <w:szCs w:val="20"/>
              </w:rPr>
            </w:pPr>
            <w:r w:rsidRPr="00C717CC">
              <w:rPr>
                <w:sz w:val="20"/>
                <w:szCs w:val="20"/>
              </w:rPr>
              <w:t>304 (61.3%)</w:t>
            </w:r>
          </w:p>
        </w:tc>
        <w:tc>
          <w:tcPr>
            <w:tcW w:w="2209" w:type="dxa"/>
            <w:tcBorders>
              <w:right w:val="single" w:sz="4" w:space="0" w:color="auto"/>
            </w:tcBorders>
            <w:vAlign w:val="bottom"/>
          </w:tcPr>
          <w:p w14:paraId="071246CF" w14:textId="77777777" w:rsidR="00FF4209" w:rsidRPr="00C717CC" w:rsidRDefault="00FF4209" w:rsidP="004B46F6">
            <w:pPr>
              <w:keepNext/>
              <w:keepLines/>
              <w:jc w:val="center"/>
              <w:rPr>
                <w:sz w:val="20"/>
                <w:szCs w:val="20"/>
              </w:rPr>
            </w:pPr>
            <w:r w:rsidRPr="00C717CC">
              <w:rPr>
                <w:sz w:val="20"/>
                <w:szCs w:val="20"/>
              </w:rPr>
              <w:t>265 (53.5%)</w:t>
            </w:r>
          </w:p>
        </w:tc>
      </w:tr>
      <w:tr w:rsidR="00FF4209" w:rsidRPr="00C717CC" w14:paraId="071246D4" w14:textId="77777777" w:rsidTr="00BF2BF0">
        <w:tblPrEx>
          <w:tblLook w:val="0000" w:firstRow="0" w:lastRow="0" w:firstColumn="0" w:lastColumn="0" w:noHBand="0" w:noVBand="0"/>
        </w:tblPrEx>
        <w:trPr>
          <w:cantSplit/>
        </w:trPr>
        <w:tc>
          <w:tcPr>
            <w:tcW w:w="4111" w:type="dxa"/>
            <w:tcBorders>
              <w:left w:val="single" w:sz="4" w:space="0" w:color="auto"/>
              <w:right w:val="single" w:sz="4" w:space="0" w:color="auto"/>
            </w:tcBorders>
            <w:vAlign w:val="bottom"/>
          </w:tcPr>
          <w:p w14:paraId="071246D1" w14:textId="77777777" w:rsidR="00FF4209" w:rsidRPr="00C717CC" w:rsidRDefault="00FF4209" w:rsidP="004B46F6">
            <w:pPr>
              <w:keepLines/>
              <w:ind w:left="226"/>
              <w:rPr>
                <w:sz w:val="20"/>
                <w:szCs w:val="20"/>
                <w:lang w:eastAsia="en-US"/>
              </w:rPr>
            </w:pPr>
            <w:r w:rsidRPr="00C717CC">
              <w:rPr>
                <w:sz w:val="20"/>
                <w:szCs w:val="20"/>
                <w:lang w:eastAsia="en-US"/>
              </w:rPr>
              <w:t xml:space="preserve">Median duration of PFS (months) </w:t>
            </w:r>
          </w:p>
        </w:tc>
        <w:tc>
          <w:tcPr>
            <w:tcW w:w="2410" w:type="dxa"/>
            <w:tcBorders>
              <w:left w:val="single" w:sz="4" w:space="0" w:color="auto"/>
            </w:tcBorders>
            <w:vAlign w:val="bottom"/>
          </w:tcPr>
          <w:p w14:paraId="071246D2" w14:textId="77777777" w:rsidR="00FF4209" w:rsidRPr="00C717CC" w:rsidRDefault="00FF4209" w:rsidP="004B46F6">
            <w:pPr>
              <w:keepNext/>
              <w:keepLines/>
              <w:jc w:val="center"/>
              <w:rPr>
                <w:sz w:val="20"/>
                <w:szCs w:val="20"/>
              </w:rPr>
            </w:pPr>
            <w:r w:rsidRPr="00C717CC">
              <w:rPr>
                <w:sz w:val="20"/>
                <w:szCs w:val="20"/>
              </w:rPr>
              <w:t>6.4</w:t>
            </w:r>
          </w:p>
        </w:tc>
        <w:tc>
          <w:tcPr>
            <w:tcW w:w="2209" w:type="dxa"/>
            <w:tcBorders>
              <w:right w:val="single" w:sz="4" w:space="0" w:color="auto"/>
            </w:tcBorders>
            <w:vAlign w:val="bottom"/>
          </w:tcPr>
          <w:p w14:paraId="071246D3" w14:textId="77777777" w:rsidR="00FF4209" w:rsidRPr="00C717CC" w:rsidRDefault="00FF4209" w:rsidP="004B46F6">
            <w:pPr>
              <w:keepNext/>
              <w:keepLines/>
              <w:jc w:val="center"/>
              <w:rPr>
                <w:sz w:val="20"/>
                <w:szCs w:val="20"/>
              </w:rPr>
            </w:pPr>
            <w:r w:rsidRPr="00C717CC">
              <w:rPr>
                <w:sz w:val="20"/>
                <w:szCs w:val="20"/>
              </w:rPr>
              <w:t>9.6</w:t>
            </w:r>
          </w:p>
        </w:tc>
      </w:tr>
      <w:tr w:rsidR="00FF4209" w:rsidRPr="00C717CC" w14:paraId="071246D7" w14:textId="77777777" w:rsidTr="00BF2BF0">
        <w:tblPrEx>
          <w:tblLook w:val="0000" w:firstRow="0" w:lastRow="0" w:firstColumn="0" w:lastColumn="0" w:noHBand="0" w:noVBand="0"/>
        </w:tblPrEx>
        <w:trPr>
          <w:cantSplit/>
        </w:trPr>
        <w:tc>
          <w:tcPr>
            <w:tcW w:w="4111" w:type="dxa"/>
            <w:tcBorders>
              <w:left w:val="single" w:sz="4" w:space="0" w:color="auto"/>
              <w:right w:val="single" w:sz="4" w:space="0" w:color="auto"/>
            </w:tcBorders>
            <w:vAlign w:val="bottom"/>
          </w:tcPr>
          <w:p w14:paraId="071246D5" w14:textId="77777777" w:rsidR="00FF4209" w:rsidRPr="00C717CC" w:rsidRDefault="00FF4209" w:rsidP="004249BE">
            <w:pPr>
              <w:keepLines/>
              <w:ind w:left="226"/>
              <w:rPr>
                <w:sz w:val="20"/>
                <w:szCs w:val="20"/>
                <w:lang w:eastAsia="en-US"/>
              </w:rPr>
            </w:pPr>
            <w:r w:rsidRPr="00C717CC">
              <w:rPr>
                <w:sz w:val="20"/>
                <w:szCs w:val="20"/>
                <w:lang w:eastAsia="en-US"/>
              </w:rPr>
              <w:t>Hazard Ratio (stratified</w:t>
            </w:r>
            <w:r w:rsidR="004249BE" w:rsidRPr="00C717CC">
              <w:rPr>
                <w:sz w:val="20"/>
                <w:szCs w:val="20"/>
                <w:vertAlign w:val="superscript"/>
              </w:rPr>
              <w:t xml:space="preserve"> a</w:t>
            </w:r>
            <w:r w:rsidRPr="00C717CC">
              <w:rPr>
                <w:sz w:val="20"/>
                <w:szCs w:val="20"/>
                <w:lang w:eastAsia="en-US"/>
              </w:rPr>
              <w:t>)</w:t>
            </w:r>
          </w:p>
        </w:tc>
        <w:tc>
          <w:tcPr>
            <w:tcW w:w="4619" w:type="dxa"/>
            <w:gridSpan w:val="2"/>
            <w:tcBorders>
              <w:left w:val="single" w:sz="4" w:space="0" w:color="auto"/>
              <w:right w:val="single" w:sz="4" w:space="0" w:color="auto"/>
            </w:tcBorders>
            <w:vAlign w:val="bottom"/>
          </w:tcPr>
          <w:p w14:paraId="071246D6" w14:textId="77777777" w:rsidR="00FF4209" w:rsidRPr="00C717CC" w:rsidRDefault="00FF4209" w:rsidP="004B46F6">
            <w:pPr>
              <w:keepNext/>
              <w:keepLines/>
              <w:jc w:val="center"/>
              <w:rPr>
                <w:sz w:val="20"/>
                <w:szCs w:val="20"/>
              </w:rPr>
            </w:pPr>
            <w:r w:rsidRPr="00C717CC">
              <w:rPr>
                <w:sz w:val="20"/>
                <w:szCs w:val="20"/>
              </w:rPr>
              <w:t>0.650</w:t>
            </w:r>
          </w:p>
        </w:tc>
      </w:tr>
      <w:tr w:rsidR="00FF4209" w:rsidRPr="00C717CC" w14:paraId="071246DA" w14:textId="77777777" w:rsidTr="00BF2BF0">
        <w:tblPrEx>
          <w:tblLook w:val="0000" w:firstRow="0" w:lastRow="0" w:firstColumn="0" w:lastColumn="0" w:noHBand="0" w:noVBand="0"/>
        </w:tblPrEx>
        <w:trPr>
          <w:cantSplit/>
        </w:trPr>
        <w:tc>
          <w:tcPr>
            <w:tcW w:w="4111" w:type="dxa"/>
            <w:tcBorders>
              <w:left w:val="single" w:sz="4" w:space="0" w:color="auto"/>
              <w:right w:val="single" w:sz="4" w:space="0" w:color="auto"/>
            </w:tcBorders>
            <w:vAlign w:val="bottom"/>
          </w:tcPr>
          <w:p w14:paraId="071246D8" w14:textId="77777777" w:rsidR="00FF4209" w:rsidRPr="00C717CC" w:rsidRDefault="00FF4209" w:rsidP="004B46F6">
            <w:pPr>
              <w:keepLines/>
              <w:ind w:left="226"/>
              <w:rPr>
                <w:sz w:val="20"/>
                <w:szCs w:val="20"/>
                <w:lang w:eastAsia="en-US"/>
              </w:rPr>
            </w:pPr>
            <w:r w:rsidRPr="00C717CC">
              <w:rPr>
                <w:sz w:val="20"/>
                <w:szCs w:val="20"/>
                <w:lang w:eastAsia="en-US"/>
              </w:rPr>
              <w:t>95% CI for Hazard Ratio</w:t>
            </w:r>
          </w:p>
        </w:tc>
        <w:tc>
          <w:tcPr>
            <w:tcW w:w="4619" w:type="dxa"/>
            <w:gridSpan w:val="2"/>
            <w:tcBorders>
              <w:left w:val="single" w:sz="4" w:space="0" w:color="auto"/>
              <w:right w:val="single" w:sz="4" w:space="0" w:color="auto"/>
            </w:tcBorders>
            <w:vAlign w:val="bottom"/>
          </w:tcPr>
          <w:p w14:paraId="071246D9" w14:textId="77777777" w:rsidR="00FF4209" w:rsidRPr="00C717CC" w:rsidRDefault="00FF4209" w:rsidP="004B46F6">
            <w:pPr>
              <w:keepNext/>
              <w:keepLines/>
              <w:jc w:val="center"/>
              <w:rPr>
                <w:sz w:val="20"/>
                <w:szCs w:val="20"/>
              </w:rPr>
            </w:pPr>
            <w:r w:rsidRPr="00C717CC">
              <w:rPr>
                <w:sz w:val="20"/>
                <w:szCs w:val="20"/>
              </w:rPr>
              <w:t>(0.549 , 0.771)</w:t>
            </w:r>
          </w:p>
        </w:tc>
      </w:tr>
      <w:tr w:rsidR="00FF4209" w:rsidRPr="00C717CC" w14:paraId="071246DD" w14:textId="77777777" w:rsidTr="00BF2BF0">
        <w:tblPrEx>
          <w:tblLook w:val="0000" w:firstRow="0" w:lastRow="0" w:firstColumn="0" w:lastColumn="0" w:noHBand="0" w:noVBand="0"/>
        </w:tblPrEx>
        <w:trPr>
          <w:cantSplit/>
        </w:trPr>
        <w:tc>
          <w:tcPr>
            <w:tcW w:w="4111" w:type="dxa"/>
            <w:tcBorders>
              <w:left w:val="single" w:sz="4" w:space="0" w:color="auto"/>
              <w:bottom w:val="single" w:sz="4" w:space="0" w:color="auto"/>
              <w:right w:val="single" w:sz="4" w:space="0" w:color="auto"/>
            </w:tcBorders>
            <w:vAlign w:val="bottom"/>
          </w:tcPr>
          <w:p w14:paraId="071246DB" w14:textId="77777777" w:rsidR="00FF4209" w:rsidRPr="00C717CC" w:rsidRDefault="00FF4209" w:rsidP="004B46F6">
            <w:pPr>
              <w:keepLines/>
              <w:ind w:left="226"/>
              <w:rPr>
                <w:sz w:val="20"/>
                <w:szCs w:val="20"/>
                <w:lang w:eastAsia="en-US"/>
              </w:rPr>
            </w:pPr>
            <w:r w:rsidRPr="00C717CC">
              <w:rPr>
                <w:sz w:val="20"/>
                <w:szCs w:val="20"/>
                <w:lang w:eastAsia="en-US"/>
              </w:rPr>
              <w:t>p-value (Log-Rank test, stratified</w:t>
            </w:r>
            <w:r w:rsidR="004249BE" w:rsidRPr="00C717CC">
              <w:rPr>
                <w:sz w:val="20"/>
                <w:szCs w:val="20"/>
                <w:vertAlign w:val="superscript"/>
              </w:rPr>
              <w:t xml:space="preserve"> a</w:t>
            </w:r>
            <w:r w:rsidRPr="00C717CC">
              <w:rPr>
                <w:sz w:val="20"/>
                <w:szCs w:val="20"/>
                <w:lang w:eastAsia="en-US"/>
              </w:rPr>
              <w:t>)</w:t>
            </w:r>
          </w:p>
        </w:tc>
        <w:tc>
          <w:tcPr>
            <w:tcW w:w="4619" w:type="dxa"/>
            <w:gridSpan w:val="2"/>
            <w:tcBorders>
              <w:left w:val="single" w:sz="4" w:space="0" w:color="auto"/>
              <w:bottom w:val="single" w:sz="4" w:space="0" w:color="auto"/>
              <w:right w:val="single" w:sz="4" w:space="0" w:color="auto"/>
            </w:tcBorders>
            <w:vAlign w:val="bottom"/>
          </w:tcPr>
          <w:p w14:paraId="071246DC" w14:textId="77777777" w:rsidR="00FF4209" w:rsidRPr="00C717CC" w:rsidRDefault="00FF4209" w:rsidP="004B46F6">
            <w:pPr>
              <w:keepNext/>
              <w:keepLines/>
              <w:jc w:val="center"/>
              <w:rPr>
                <w:b/>
                <w:sz w:val="20"/>
                <w:szCs w:val="20"/>
              </w:rPr>
            </w:pPr>
            <w:r w:rsidRPr="00C717CC">
              <w:rPr>
                <w:sz w:val="20"/>
                <w:szCs w:val="20"/>
              </w:rPr>
              <w:t>&lt;0.0001</w:t>
            </w:r>
          </w:p>
        </w:tc>
      </w:tr>
      <w:tr w:rsidR="00FF4209" w:rsidRPr="00C717CC" w14:paraId="071246E1" w14:textId="77777777" w:rsidTr="00BF2BF0">
        <w:tblPrEx>
          <w:tblLook w:val="0000" w:firstRow="0" w:lastRow="0" w:firstColumn="0" w:lastColumn="0" w:noHBand="0" w:noVBand="0"/>
        </w:tblPrEx>
        <w:trPr>
          <w:cantSplit/>
        </w:trPr>
        <w:tc>
          <w:tcPr>
            <w:tcW w:w="4111" w:type="dxa"/>
            <w:tcBorders>
              <w:top w:val="single" w:sz="4" w:space="0" w:color="auto"/>
              <w:left w:val="single" w:sz="4" w:space="0" w:color="auto"/>
              <w:right w:val="single" w:sz="4" w:space="0" w:color="auto"/>
            </w:tcBorders>
            <w:vAlign w:val="bottom"/>
          </w:tcPr>
          <w:p w14:paraId="071246DE" w14:textId="77777777" w:rsidR="00FF4209" w:rsidRPr="00C717CC" w:rsidRDefault="00FF4209" w:rsidP="0042026F">
            <w:pPr>
              <w:keepLines/>
              <w:spacing w:before="60"/>
              <w:rPr>
                <w:b/>
                <w:i/>
                <w:sz w:val="20"/>
                <w:szCs w:val="20"/>
              </w:rPr>
            </w:pPr>
            <w:r w:rsidRPr="00C717CC">
              <w:rPr>
                <w:b/>
                <w:i/>
                <w:sz w:val="20"/>
                <w:szCs w:val="20"/>
              </w:rPr>
              <w:t>O</w:t>
            </w:r>
            <w:r w:rsidR="00F13289" w:rsidRPr="00C717CC">
              <w:rPr>
                <w:b/>
                <w:i/>
                <w:sz w:val="20"/>
                <w:szCs w:val="20"/>
              </w:rPr>
              <w:t xml:space="preserve">verall </w:t>
            </w:r>
            <w:r w:rsidRPr="00C717CC">
              <w:rPr>
                <w:b/>
                <w:i/>
                <w:sz w:val="20"/>
                <w:szCs w:val="20"/>
              </w:rPr>
              <w:t>S</w:t>
            </w:r>
            <w:r w:rsidR="00F13289" w:rsidRPr="00C717CC">
              <w:rPr>
                <w:b/>
                <w:i/>
                <w:sz w:val="20"/>
                <w:szCs w:val="20"/>
              </w:rPr>
              <w:t>urvival</w:t>
            </w:r>
            <w:r w:rsidR="00F13289" w:rsidRPr="00C717CC">
              <w:rPr>
                <w:sz w:val="20"/>
                <w:szCs w:val="20"/>
                <w:vertAlign w:val="superscript"/>
              </w:rPr>
              <w:t xml:space="preserve"> </w:t>
            </w:r>
            <w:r w:rsidR="00F13289" w:rsidRPr="00C717CC">
              <w:rPr>
                <w:b/>
                <w:i/>
                <w:sz w:val="20"/>
                <w:szCs w:val="20"/>
                <w:vertAlign w:val="superscript"/>
              </w:rPr>
              <w:t>b</w:t>
            </w:r>
          </w:p>
        </w:tc>
        <w:tc>
          <w:tcPr>
            <w:tcW w:w="2410" w:type="dxa"/>
            <w:tcBorders>
              <w:top w:val="single" w:sz="4" w:space="0" w:color="auto"/>
              <w:left w:val="single" w:sz="4" w:space="0" w:color="auto"/>
            </w:tcBorders>
            <w:vAlign w:val="bottom"/>
          </w:tcPr>
          <w:p w14:paraId="071246DF" w14:textId="77777777" w:rsidR="00FF4209" w:rsidRPr="00C717CC" w:rsidRDefault="00FF4209" w:rsidP="004B46F6">
            <w:pPr>
              <w:keepNext/>
              <w:keepLines/>
              <w:jc w:val="center"/>
              <w:rPr>
                <w:b/>
                <w:sz w:val="20"/>
                <w:szCs w:val="20"/>
              </w:rPr>
            </w:pPr>
          </w:p>
        </w:tc>
        <w:tc>
          <w:tcPr>
            <w:tcW w:w="2209" w:type="dxa"/>
            <w:tcBorders>
              <w:top w:val="single" w:sz="4" w:space="0" w:color="auto"/>
              <w:right w:val="single" w:sz="4" w:space="0" w:color="auto"/>
            </w:tcBorders>
            <w:vAlign w:val="bottom"/>
          </w:tcPr>
          <w:p w14:paraId="071246E0" w14:textId="77777777" w:rsidR="00FF4209" w:rsidRPr="00C717CC" w:rsidRDefault="00FF4209" w:rsidP="004B46F6">
            <w:pPr>
              <w:keepNext/>
              <w:keepLines/>
              <w:jc w:val="center"/>
              <w:rPr>
                <w:b/>
                <w:sz w:val="20"/>
                <w:szCs w:val="20"/>
              </w:rPr>
            </w:pPr>
          </w:p>
        </w:tc>
      </w:tr>
      <w:tr w:rsidR="00FF4209" w:rsidRPr="00C717CC" w14:paraId="071246E5" w14:textId="77777777" w:rsidTr="00BF2BF0">
        <w:tblPrEx>
          <w:tblLook w:val="0000" w:firstRow="0" w:lastRow="0" w:firstColumn="0" w:lastColumn="0" w:noHBand="0" w:noVBand="0"/>
        </w:tblPrEx>
        <w:trPr>
          <w:cantSplit/>
        </w:trPr>
        <w:tc>
          <w:tcPr>
            <w:tcW w:w="4111" w:type="dxa"/>
            <w:tcBorders>
              <w:left w:val="single" w:sz="4" w:space="0" w:color="auto"/>
              <w:right w:val="single" w:sz="4" w:space="0" w:color="auto"/>
            </w:tcBorders>
            <w:vAlign w:val="bottom"/>
          </w:tcPr>
          <w:p w14:paraId="071246E2" w14:textId="77777777" w:rsidR="00FF4209" w:rsidRPr="00C717CC" w:rsidRDefault="00FF4209" w:rsidP="004B46F6">
            <w:pPr>
              <w:keepLines/>
              <w:ind w:left="226"/>
              <w:rPr>
                <w:sz w:val="20"/>
                <w:szCs w:val="20"/>
                <w:lang w:eastAsia="en-US"/>
              </w:rPr>
            </w:pPr>
            <w:r w:rsidRPr="00C717CC">
              <w:rPr>
                <w:sz w:val="20"/>
                <w:szCs w:val="20"/>
                <w:lang w:eastAsia="en-US"/>
              </w:rPr>
              <w:t xml:space="preserve">Number (%) of patients who died </w:t>
            </w:r>
          </w:p>
        </w:tc>
        <w:tc>
          <w:tcPr>
            <w:tcW w:w="2410" w:type="dxa"/>
            <w:tcBorders>
              <w:left w:val="single" w:sz="4" w:space="0" w:color="auto"/>
            </w:tcBorders>
            <w:vAlign w:val="bottom"/>
          </w:tcPr>
          <w:p w14:paraId="071246E3" w14:textId="77777777" w:rsidR="00FF4209" w:rsidRPr="00C717CC" w:rsidRDefault="00C240C6" w:rsidP="00C240C6">
            <w:pPr>
              <w:keepNext/>
              <w:keepLines/>
              <w:jc w:val="center"/>
              <w:rPr>
                <w:sz w:val="20"/>
                <w:szCs w:val="20"/>
              </w:rPr>
            </w:pPr>
            <w:r w:rsidRPr="00C717CC">
              <w:rPr>
                <w:sz w:val="20"/>
                <w:szCs w:val="20"/>
              </w:rPr>
              <w:t>182</w:t>
            </w:r>
            <w:r w:rsidR="00FF4209" w:rsidRPr="00C717CC">
              <w:rPr>
                <w:sz w:val="20"/>
                <w:szCs w:val="20"/>
              </w:rPr>
              <w:t xml:space="preserve"> (</w:t>
            </w:r>
            <w:r w:rsidRPr="00C717CC">
              <w:rPr>
                <w:sz w:val="20"/>
                <w:szCs w:val="20"/>
              </w:rPr>
              <w:t>36.7</w:t>
            </w:r>
            <w:r w:rsidR="00FF4209" w:rsidRPr="00C717CC">
              <w:rPr>
                <w:sz w:val="20"/>
                <w:szCs w:val="20"/>
              </w:rPr>
              <w:t>%)</w:t>
            </w:r>
          </w:p>
        </w:tc>
        <w:tc>
          <w:tcPr>
            <w:tcW w:w="2209" w:type="dxa"/>
            <w:tcBorders>
              <w:right w:val="single" w:sz="4" w:space="0" w:color="auto"/>
            </w:tcBorders>
            <w:vAlign w:val="bottom"/>
          </w:tcPr>
          <w:p w14:paraId="071246E4" w14:textId="77777777" w:rsidR="00FF4209" w:rsidRPr="00C717CC" w:rsidRDefault="00C240C6" w:rsidP="00C240C6">
            <w:pPr>
              <w:keepNext/>
              <w:keepLines/>
              <w:jc w:val="center"/>
              <w:rPr>
                <w:sz w:val="20"/>
                <w:szCs w:val="20"/>
              </w:rPr>
            </w:pPr>
            <w:r w:rsidRPr="00C717CC">
              <w:rPr>
                <w:sz w:val="20"/>
                <w:szCs w:val="20"/>
              </w:rPr>
              <w:t>149</w:t>
            </w:r>
            <w:r w:rsidR="00FF4209" w:rsidRPr="00C717CC">
              <w:rPr>
                <w:sz w:val="20"/>
                <w:szCs w:val="20"/>
              </w:rPr>
              <w:t xml:space="preserve"> (</w:t>
            </w:r>
            <w:r w:rsidRPr="00C717CC">
              <w:rPr>
                <w:sz w:val="20"/>
                <w:szCs w:val="20"/>
              </w:rPr>
              <w:t>30.1</w:t>
            </w:r>
            <w:r w:rsidR="00FF4209" w:rsidRPr="00C717CC">
              <w:rPr>
                <w:sz w:val="20"/>
                <w:szCs w:val="20"/>
              </w:rPr>
              <w:t>%)</w:t>
            </w:r>
          </w:p>
        </w:tc>
      </w:tr>
      <w:tr w:rsidR="00FF4209" w:rsidRPr="00C717CC" w14:paraId="071246E9" w14:textId="77777777" w:rsidTr="00BF2BF0">
        <w:tblPrEx>
          <w:tblLook w:val="0000" w:firstRow="0" w:lastRow="0" w:firstColumn="0" w:lastColumn="0" w:noHBand="0" w:noVBand="0"/>
        </w:tblPrEx>
        <w:trPr>
          <w:cantSplit/>
        </w:trPr>
        <w:tc>
          <w:tcPr>
            <w:tcW w:w="4111" w:type="dxa"/>
            <w:tcBorders>
              <w:left w:val="single" w:sz="4" w:space="0" w:color="auto"/>
              <w:right w:val="single" w:sz="4" w:space="0" w:color="auto"/>
            </w:tcBorders>
            <w:vAlign w:val="bottom"/>
          </w:tcPr>
          <w:p w14:paraId="071246E6" w14:textId="77777777" w:rsidR="00FF4209" w:rsidRPr="00C717CC" w:rsidRDefault="00FF4209" w:rsidP="004B46F6">
            <w:pPr>
              <w:keepLines/>
              <w:ind w:left="226"/>
              <w:rPr>
                <w:sz w:val="20"/>
                <w:szCs w:val="20"/>
                <w:lang w:eastAsia="en-US"/>
              </w:rPr>
            </w:pPr>
            <w:r w:rsidRPr="00C717CC">
              <w:rPr>
                <w:sz w:val="20"/>
                <w:szCs w:val="20"/>
                <w:lang w:eastAsia="en-US"/>
              </w:rPr>
              <w:t>Median duration of survival (months)</w:t>
            </w:r>
          </w:p>
        </w:tc>
        <w:tc>
          <w:tcPr>
            <w:tcW w:w="2410" w:type="dxa"/>
            <w:tcBorders>
              <w:left w:val="single" w:sz="4" w:space="0" w:color="auto"/>
            </w:tcBorders>
            <w:vAlign w:val="bottom"/>
          </w:tcPr>
          <w:p w14:paraId="071246E7" w14:textId="77777777" w:rsidR="00FF4209" w:rsidRPr="00C717CC" w:rsidRDefault="00C240C6" w:rsidP="00C240C6">
            <w:pPr>
              <w:keepNext/>
              <w:keepLines/>
              <w:jc w:val="center"/>
              <w:rPr>
                <w:sz w:val="20"/>
                <w:szCs w:val="20"/>
              </w:rPr>
            </w:pPr>
            <w:r w:rsidRPr="00C717CC">
              <w:rPr>
                <w:sz w:val="20"/>
                <w:szCs w:val="20"/>
              </w:rPr>
              <w:t>25.1</w:t>
            </w:r>
          </w:p>
        </w:tc>
        <w:tc>
          <w:tcPr>
            <w:tcW w:w="2209" w:type="dxa"/>
            <w:tcBorders>
              <w:right w:val="single" w:sz="4" w:space="0" w:color="auto"/>
            </w:tcBorders>
            <w:vAlign w:val="bottom"/>
          </w:tcPr>
          <w:p w14:paraId="071246E8" w14:textId="77777777" w:rsidR="00FF4209" w:rsidRPr="00C717CC" w:rsidRDefault="00C240C6" w:rsidP="00C240C6">
            <w:pPr>
              <w:keepNext/>
              <w:keepLines/>
              <w:jc w:val="center"/>
              <w:rPr>
                <w:sz w:val="20"/>
                <w:szCs w:val="20"/>
              </w:rPr>
            </w:pPr>
            <w:r w:rsidRPr="00C717CC">
              <w:rPr>
                <w:sz w:val="20"/>
                <w:szCs w:val="20"/>
              </w:rPr>
              <w:t>30.9</w:t>
            </w:r>
          </w:p>
        </w:tc>
      </w:tr>
      <w:tr w:rsidR="00FF4209" w:rsidRPr="00C717CC" w14:paraId="071246EC" w14:textId="77777777" w:rsidTr="00BF2BF0">
        <w:tblPrEx>
          <w:tblLook w:val="0000" w:firstRow="0" w:lastRow="0" w:firstColumn="0" w:lastColumn="0" w:noHBand="0" w:noVBand="0"/>
        </w:tblPrEx>
        <w:trPr>
          <w:cantSplit/>
        </w:trPr>
        <w:tc>
          <w:tcPr>
            <w:tcW w:w="4111" w:type="dxa"/>
            <w:tcBorders>
              <w:left w:val="single" w:sz="4" w:space="0" w:color="auto"/>
              <w:right w:val="single" w:sz="4" w:space="0" w:color="auto"/>
            </w:tcBorders>
            <w:vAlign w:val="bottom"/>
          </w:tcPr>
          <w:p w14:paraId="071246EA" w14:textId="77777777" w:rsidR="00FF4209" w:rsidRPr="00C717CC" w:rsidRDefault="00FF4209" w:rsidP="004B46F6">
            <w:pPr>
              <w:keepLines/>
              <w:ind w:left="226"/>
              <w:rPr>
                <w:sz w:val="20"/>
                <w:szCs w:val="20"/>
                <w:lang w:eastAsia="en-US"/>
              </w:rPr>
            </w:pPr>
            <w:r w:rsidRPr="00C717CC">
              <w:rPr>
                <w:sz w:val="20"/>
                <w:szCs w:val="20"/>
                <w:lang w:eastAsia="en-US"/>
              </w:rPr>
              <w:t>Hazard Ratio (stratified</w:t>
            </w:r>
            <w:r w:rsidR="004249BE" w:rsidRPr="00C717CC">
              <w:rPr>
                <w:sz w:val="20"/>
                <w:szCs w:val="20"/>
                <w:vertAlign w:val="superscript"/>
              </w:rPr>
              <w:t xml:space="preserve"> a</w:t>
            </w:r>
            <w:r w:rsidRPr="00C717CC">
              <w:rPr>
                <w:sz w:val="20"/>
                <w:szCs w:val="20"/>
                <w:lang w:eastAsia="en-US"/>
              </w:rPr>
              <w:t>)</w:t>
            </w:r>
          </w:p>
        </w:tc>
        <w:tc>
          <w:tcPr>
            <w:tcW w:w="4619" w:type="dxa"/>
            <w:gridSpan w:val="2"/>
            <w:tcBorders>
              <w:left w:val="single" w:sz="4" w:space="0" w:color="auto"/>
              <w:right w:val="single" w:sz="4" w:space="0" w:color="auto"/>
            </w:tcBorders>
            <w:vAlign w:val="bottom"/>
          </w:tcPr>
          <w:p w14:paraId="071246EB" w14:textId="77777777" w:rsidR="00FF4209" w:rsidRPr="00C717CC" w:rsidRDefault="00FF4209" w:rsidP="00F13289">
            <w:pPr>
              <w:keepNext/>
              <w:keepLines/>
              <w:jc w:val="center"/>
              <w:rPr>
                <w:sz w:val="20"/>
                <w:szCs w:val="20"/>
              </w:rPr>
            </w:pPr>
            <w:r w:rsidRPr="00C717CC">
              <w:rPr>
                <w:sz w:val="20"/>
                <w:szCs w:val="20"/>
              </w:rPr>
              <w:t>0.</w:t>
            </w:r>
            <w:r w:rsidR="00C240C6" w:rsidRPr="00C717CC">
              <w:rPr>
                <w:sz w:val="20"/>
                <w:szCs w:val="20"/>
              </w:rPr>
              <w:t>682</w:t>
            </w:r>
          </w:p>
        </w:tc>
      </w:tr>
      <w:tr w:rsidR="00FF4209" w:rsidRPr="00C717CC" w14:paraId="071246EF" w14:textId="77777777" w:rsidTr="00BF2BF0">
        <w:tblPrEx>
          <w:tblLook w:val="0000" w:firstRow="0" w:lastRow="0" w:firstColumn="0" w:lastColumn="0" w:noHBand="0" w:noVBand="0"/>
        </w:tblPrEx>
        <w:trPr>
          <w:cantSplit/>
        </w:trPr>
        <w:tc>
          <w:tcPr>
            <w:tcW w:w="4111" w:type="dxa"/>
            <w:tcBorders>
              <w:left w:val="single" w:sz="4" w:space="0" w:color="auto"/>
              <w:right w:val="single" w:sz="4" w:space="0" w:color="auto"/>
            </w:tcBorders>
            <w:vAlign w:val="bottom"/>
          </w:tcPr>
          <w:p w14:paraId="071246ED" w14:textId="77777777" w:rsidR="00FF4209" w:rsidRPr="00C717CC" w:rsidRDefault="00FF4209" w:rsidP="004B46F6">
            <w:pPr>
              <w:keepLines/>
              <w:ind w:left="226"/>
              <w:rPr>
                <w:sz w:val="20"/>
                <w:szCs w:val="20"/>
                <w:lang w:eastAsia="en-US"/>
              </w:rPr>
            </w:pPr>
            <w:r w:rsidRPr="00C717CC">
              <w:rPr>
                <w:sz w:val="20"/>
                <w:szCs w:val="20"/>
                <w:lang w:eastAsia="en-US"/>
              </w:rPr>
              <w:t>95% CI for Hazard Ratio</w:t>
            </w:r>
          </w:p>
        </w:tc>
        <w:tc>
          <w:tcPr>
            <w:tcW w:w="4619" w:type="dxa"/>
            <w:gridSpan w:val="2"/>
            <w:tcBorders>
              <w:left w:val="single" w:sz="4" w:space="0" w:color="auto"/>
              <w:right w:val="single" w:sz="4" w:space="0" w:color="auto"/>
            </w:tcBorders>
            <w:vAlign w:val="bottom"/>
          </w:tcPr>
          <w:p w14:paraId="071246EE" w14:textId="77777777" w:rsidR="00FF4209" w:rsidRPr="00C717CC" w:rsidRDefault="00FF4209" w:rsidP="00C240C6">
            <w:pPr>
              <w:keepNext/>
              <w:keepLines/>
              <w:jc w:val="center"/>
              <w:rPr>
                <w:sz w:val="20"/>
                <w:szCs w:val="20"/>
              </w:rPr>
            </w:pPr>
            <w:r w:rsidRPr="00C717CC">
              <w:rPr>
                <w:sz w:val="20"/>
                <w:szCs w:val="20"/>
              </w:rPr>
              <w:t>(</w:t>
            </w:r>
            <w:r w:rsidR="00C240C6" w:rsidRPr="00C717CC">
              <w:rPr>
                <w:sz w:val="20"/>
                <w:szCs w:val="20"/>
              </w:rPr>
              <w:t>0.548, 0.849</w:t>
            </w:r>
            <w:r w:rsidRPr="00C717CC">
              <w:rPr>
                <w:sz w:val="20"/>
                <w:szCs w:val="20"/>
              </w:rPr>
              <w:t>)</w:t>
            </w:r>
          </w:p>
        </w:tc>
      </w:tr>
      <w:tr w:rsidR="00FF4209" w:rsidRPr="00C717CC" w14:paraId="071246F2" w14:textId="77777777" w:rsidTr="00BF2BF0">
        <w:tblPrEx>
          <w:tblLook w:val="0000" w:firstRow="0" w:lastRow="0" w:firstColumn="0" w:lastColumn="0" w:noHBand="0" w:noVBand="0"/>
        </w:tblPrEx>
        <w:trPr>
          <w:cantSplit/>
          <w:trHeight w:val="80"/>
        </w:trPr>
        <w:tc>
          <w:tcPr>
            <w:tcW w:w="4111" w:type="dxa"/>
            <w:tcBorders>
              <w:left w:val="single" w:sz="4" w:space="0" w:color="auto"/>
              <w:right w:val="single" w:sz="4" w:space="0" w:color="auto"/>
            </w:tcBorders>
            <w:vAlign w:val="bottom"/>
          </w:tcPr>
          <w:p w14:paraId="071246F0" w14:textId="77777777" w:rsidR="00FF4209" w:rsidRPr="00C717CC" w:rsidRDefault="00FF4209" w:rsidP="004B46F6">
            <w:pPr>
              <w:keepLines/>
              <w:ind w:left="226"/>
              <w:rPr>
                <w:sz w:val="20"/>
                <w:szCs w:val="20"/>
                <w:lang w:eastAsia="en-US"/>
              </w:rPr>
            </w:pPr>
            <w:r w:rsidRPr="00C717CC">
              <w:rPr>
                <w:sz w:val="20"/>
                <w:szCs w:val="20"/>
                <w:lang w:eastAsia="en-US"/>
              </w:rPr>
              <w:t>p-value (Log-Rank test</w:t>
            </w:r>
            <w:r w:rsidR="004249BE" w:rsidRPr="00C717CC">
              <w:rPr>
                <w:sz w:val="20"/>
                <w:szCs w:val="20"/>
                <w:vertAlign w:val="superscript"/>
              </w:rPr>
              <w:t xml:space="preserve"> a</w:t>
            </w:r>
            <w:r w:rsidRPr="00C717CC">
              <w:rPr>
                <w:sz w:val="20"/>
                <w:szCs w:val="20"/>
                <w:lang w:eastAsia="en-US"/>
              </w:rPr>
              <w:t>)</w:t>
            </w:r>
          </w:p>
        </w:tc>
        <w:tc>
          <w:tcPr>
            <w:tcW w:w="4619" w:type="dxa"/>
            <w:gridSpan w:val="2"/>
            <w:tcBorders>
              <w:left w:val="single" w:sz="4" w:space="0" w:color="auto"/>
              <w:right w:val="single" w:sz="4" w:space="0" w:color="auto"/>
            </w:tcBorders>
            <w:vAlign w:val="bottom"/>
          </w:tcPr>
          <w:p w14:paraId="071246F1" w14:textId="77777777" w:rsidR="00FF4209" w:rsidRPr="00C717CC" w:rsidRDefault="00FF4209" w:rsidP="00F13289">
            <w:pPr>
              <w:keepNext/>
              <w:keepLines/>
              <w:jc w:val="center"/>
              <w:rPr>
                <w:sz w:val="20"/>
                <w:szCs w:val="20"/>
              </w:rPr>
            </w:pPr>
            <w:r w:rsidRPr="00C717CC">
              <w:rPr>
                <w:sz w:val="20"/>
                <w:szCs w:val="20"/>
              </w:rPr>
              <w:t>0.000</w:t>
            </w:r>
            <w:r w:rsidR="00C240C6" w:rsidRPr="00C717CC">
              <w:rPr>
                <w:sz w:val="20"/>
                <w:szCs w:val="20"/>
              </w:rPr>
              <w:t>6</w:t>
            </w:r>
          </w:p>
        </w:tc>
      </w:tr>
      <w:tr w:rsidR="00FF4209" w:rsidRPr="00C717CC" w14:paraId="071246F9" w14:textId="77777777" w:rsidTr="00BF2BF0">
        <w:tblPrEx>
          <w:tblLook w:val="0000" w:firstRow="0" w:lastRow="0" w:firstColumn="0" w:lastColumn="0" w:noHBand="0" w:noVBand="0"/>
        </w:tblPrEx>
        <w:trPr>
          <w:cantSplit/>
          <w:trHeight w:val="80"/>
        </w:trPr>
        <w:tc>
          <w:tcPr>
            <w:tcW w:w="4111" w:type="dxa"/>
            <w:tcBorders>
              <w:left w:val="single" w:sz="4" w:space="0" w:color="auto"/>
              <w:right w:val="single" w:sz="4" w:space="0" w:color="auto"/>
            </w:tcBorders>
            <w:vAlign w:val="bottom"/>
          </w:tcPr>
          <w:p w14:paraId="071246F3" w14:textId="77777777" w:rsidR="00FF4209" w:rsidRPr="00C717CC" w:rsidRDefault="00FF4209" w:rsidP="004B46F6">
            <w:pPr>
              <w:keepLines/>
              <w:ind w:left="226"/>
              <w:rPr>
                <w:sz w:val="20"/>
                <w:szCs w:val="20"/>
                <w:lang w:eastAsia="en-US"/>
              </w:rPr>
            </w:pPr>
            <w:r w:rsidRPr="00C717CC">
              <w:rPr>
                <w:sz w:val="20"/>
                <w:szCs w:val="20"/>
                <w:lang w:eastAsia="en-US"/>
              </w:rPr>
              <w:t xml:space="preserve">Landmark 1 year survival rate </w:t>
            </w:r>
          </w:p>
          <w:p w14:paraId="071246F4" w14:textId="77777777" w:rsidR="00FF4209" w:rsidRPr="00C717CC" w:rsidRDefault="00FF4209" w:rsidP="004B46F6">
            <w:pPr>
              <w:keepLines/>
              <w:ind w:left="226"/>
              <w:rPr>
                <w:sz w:val="20"/>
                <w:szCs w:val="20"/>
                <w:lang w:eastAsia="en-US"/>
              </w:rPr>
            </w:pPr>
            <w:r w:rsidRPr="00C717CC">
              <w:rPr>
                <w:sz w:val="20"/>
                <w:szCs w:val="20"/>
                <w:lang w:eastAsia="en-US"/>
              </w:rPr>
              <w:t xml:space="preserve">    (95% CI)</w:t>
            </w:r>
          </w:p>
        </w:tc>
        <w:tc>
          <w:tcPr>
            <w:tcW w:w="2410" w:type="dxa"/>
            <w:tcBorders>
              <w:left w:val="single" w:sz="4" w:space="0" w:color="auto"/>
            </w:tcBorders>
            <w:vAlign w:val="bottom"/>
          </w:tcPr>
          <w:p w14:paraId="071246F5" w14:textId="77777777" w:rsidR="00FF4209" w:rsidRPr="00C717CC" w:rsidRDefault="00C240C6" w:rsidP="004B46F6">
            <w:pPr>
              <w:keepNext/>
              <w:keepLines/>
              <w:jc w:val="center"/>
              <w:rPr>
                <w:sz w:val="20"/>
                <w:szCs w:val="20"/>
              </w:rPr>
            </w:pPr>
            <w:r w:rsidRPr="00C717CC">
              <w:rPr>
                <w:sz w:val="20"/>
                <w:szCs w:val="20"/>
              </w:rPr>
              <w:t>78.4</w:t>
            </w:r>
            <w:r w:rsidR="00FF4209" w:rsidRPr="00C717CC">
              <w:rPr>
                <w:sz w:val="20"/>
                <w:szCs w:val="20"/>
              </w:rPr>
              <w:t xml:space="preserve">% </w:t>
            </w:r>
          </w:p>
          <w:p w14:paraId="071246F6" w14:textId="77777777" w:rsidR="00FF4209" w:rsidRPr="00C717CC" w:rsidRDefault="00FF4209" w:rsidP="00C240C6">
            <w:pPr>
              <w:keepNext/>
              <w:keepLines/>
              <w:jc w:val="center"/>
              <w:rPr>
                <w:sz w:val="20"/>
                <w:szCs w:val="20"/>
              </w:rPr>
            </w:pPr>
            <w:r w:rsidRPr="00C717CC">
              <w:rPr>
                <w:sz w:val="20"/>
                <w:szCs w:val="20"/>
              </w:rPr>
              <w:t>(</w:t>
            </w:r>
            <w:r w:rsidR="00C240C6" w:rsidRPr="00C717CC">
              <w:rPr>
                <w:sz w:val="20"/>
                <w:szCs w:val="20"/>
              </w:rPr>
              <w:t>74.62, 82.26</w:t>
            </w:r>
            <w:r w:rsidRPr="00C717CC">
              <w:rPr>
                <w:sz w:val="20"/>
                <w:szCs w:val="20"/>
              </w:rPr>
              <w:t>)</w:t>
            </w:r>
          </w:p>
        </w:tc>
        <w:tc>
          <w:tcPr>
            <w:tcW w:w="2209" w:type="dxa"/>
            <w:tcBorders>
              <w:right w:val="single" w:sz="4" w:space="0" w:color="auto"/>
            </w:tcBorders>
            <w:vAlign w:val="bottom"/>
          </w:tcPr>
          <w:p w14:paraId="071246F7" w14:textId="77777777" w:rsidR="00FF4209" w:rsidRPr="00C717CC" w:rsidRDefault="00C240C6" w:rsidP="004B46F6">
            <w:pPr>
              <w:keepNext/>
              <w:keepLines/>
              <w:jc w:val="center"/>
              <w:rPr>
                <w:sz w:val="20"/>
                <w:szCs w:val="20"/>
              </w:rPr>
            </w:pPr>
            <w:r w:rsidRPr="00C717CC">
              <w:rPr>
                <w:sz w:val="20"/>
                <w:szCs w:val="20"/>
              </w:rPr>
              <w:t>85.2</w:t>
            </w:r>
            <w:r w:rsidR="00FF4209" w:rsidRPr="00C717CC">
              <w:rPr>
                <w:sz w:val="20"/>
                <w:szCs w:val="20"/>
              </w:rPr>
              <w:t>%</w:t>
            </w:r>
          </w:p>
          <w:p w14:paraId="071246F8" w14:textId="77777777" w:rsidR="00FF4209" w:rsidRPr="00C717CC" w:rsidRDefault="00FF4209" w:rsidP="00C240C6">
            <w:pPr>
              <w:keepNext/>
              <w:keepLines/>
              <w:jc w:val="center"/>
              <w:rPr>
                <w:sz w:val="20"/>
                <w:szCs w:val="20"/>
              </w:rPr>
            </w:pPr>
            <w:r w:rsidRPr="00C717CC">
              <w:rPr>
                <w:sz w:val="20"/>
                <w:szCs w:val="20"/>
              </w:rPr>
              <w:t>(</w:t>
            </w:r>
            <w:r w:rsidR="00C240C6" w:rsidRPr="00C717CC">
              <w:rPr>
                <w:sz w:val="20"/>
                <w:szCs w:val="20"/>
              </w:rPr>
              <w:t>81.99, 88.49</w:t>
            </w:r>
            <w:r w:rsidRPr="00C717CC">
              <w:rPr>
                <w:sz w:val="20"/>
                <w:szCs w:val="20"/>
              </w:rPr>
              <w:t>)</w:t>
            </w:r>
          </w:p>
        </w:tc>
      </w:tr>
      <w:tr w:rsidR="00FF4209" w:rsidRPr="00C717CC" w14:paraId="07124700" w14:textId="77777777" w:rsidTr="00BF2BF0">
        <w:tblPrEx>
          <w:tblLook w:val="0000" w:firstRow="0" w:lastRow="0" w:firstColumn="0" w:lastColumn="0" w:noHBand="0" w:noVBand="0"/>
        </w:tblPrEx>
        <w:trPr>
          <w:cantSplit/>
          <w:trHeight w:val="80"/>
        </w:trPr>
        <w:tc>
          <w:tcPr>
            <w:tcW w:w="4111" w:type="dxa"/>
            <w:tcBorders>
              <w:left w:val="single" w:sz="4" w:space="0" w:color="auto"/>
              <w:right w:val="single" w:sz="4" w:space="0" w:color="auto"/>
            </w:tcBorders>
            <w:vAlign w:val="bottom"/>
          </w:tcPr>
          <w:p w14:paraId="071246FA" w14:textId="77777777" w:rsidR="00FF4209" w:rsidRPr="00C717CC" w:rsidRDefault="00FF4209" w:rsidP="004B46F6">
            <w:pPr>
              <w:keepLines/>
              <w:ind w:left="226"/>
              <w:rPr>
                <w:sz w:val="20"/>
                <w:szCs w:val="20"/>
                <w:lang w:eastAsia="en-US"/>
              </w:rPr>
            </w:pPr>
            <w:r w:rsidRPr="00C717CC">
              <w:rPr>
                <w:sz w:val="20"/>
                <w:szCs w:val="20"/>
                <w:lang w:eastAsia="en-US"/>
              </w:rPr>
              <w:t xml:space="preserve">Landmark 2 year survival rate </w:t>
            </w:r>
          </w:p>
          <w:p w14:paraId="071246FB" w14:textId="77777777" w:rsidR="00FF4209" w:rsidRPr="00C717CC" w:rsidRDefault="00FF4209" w:rsidP="004B46F6">
            <w:pPr>
              <w:keepLines/>
              <w:ind w:left="226"/>
              <w:rPr>
                <w:sz w:val="20"/>
                <w:szCs w:val="20"/>
                <w:lang w:eastAsia="en-US"/>
              </w:rPr>
            </w:pPr>
            <w:r w:rsidRPr="00C717CC">
              <w:rPr>
                <w:sz w:val="20"/>
                <w:szCs w:val="20"/>
                <w:lang w:eastAsia="en-US"/>
              </w:rPr>
              <w:t xml:space="preserve">   (95% CI)</w:t>
            </w:r>
          </w:p>
        </w:tc>
        <w:tc>
          <w:tcPr>
            <w:tcW w:w="2410" w:type="dxa"/>
            <w:tcBorders>
              <w:left w:val="single" w:sz="4" w:space="0" w:color="auto"/>
            </w:tcBorders>
            <w:vAlign w:val="bottom"/>
          </w:tcPr>
          <w:p w14:paraId="071246FC" w14:textId="77777777" w:rsidR="00FF4209" w:rsidRPr="00C717CC" w:rsidRDefault="00C240C6" w:rsidP="004B46F6">
            <w:pPr>
              <w:keepNext/>
              <w:keepLines/>
              <w:jc w:val="center"/>
              <w:rPr>
                <w:sz w:val="20"/>
                <w:szCs w:val="20"/>
              </w:rPr>
            </w:pPr>
            <w:r w:rsidRPr="00C717CC">
              <w:rPr>
                <w:sz w:val="20"/>
                <w:szCs w:val="20"/>
              </w:rPr>
              <w:t>51.8</w:t>
            </w:r>
            <w:r w:rsidR="00FF4209" w:rsidRPr="00C717CC">
              <w:rPr>
                <w:sz w:val="20"/>
                <w:szCs w:val="20"/>
              </w:rPr>
              <w:t>%</w:t>
            </w:r>
          </w:p>
          <w:p w14:paraId="071246FD" w14:textId="77777777" w:rsidR="00FF4209" w:rsidRPr="00C717CC" w:rsidRDefault="00FF4209" w:rsidP="00C240C6">
            <w:pPr>
              <w:keepNext/>
              <w:keepLines/>
              <w:jc w:val="center"/>
              <w:rPr>
                <w:sz w:val="20"/>
                <w:szCs w:val="20"/>
              </w:rPr>
            </w:pPr>
            <w:r w:rsidRPr="00C717CC">
              <w:rPr>
                <w:sz w:val="20"/>
                <w:szCs w:val="20"/>
              </w:rPr>
              <w:t>(</w:t>
            </w:r>
            <w:r w:rsidR="00C240C6" w:rsidRPr="00C717CC">
              <w:rPr>
                <w:sz w:val="20"/>
                <w:szCs w:val="20"/>
              </w:rPr>
              <w:t>45.92, 57.73</w:t>
            </w:r>
            <w:r w:rsidRPr="00C717CC">
              <w:rPr>
                <w:sz w:val="20"/>
                <w:szCs w:val="20"/>
              </w:rPr>
              <w:t>)</w:t>
            </w:r>
          </w:p>
        </w:tc>
        <w:tc>
          <w:tcPr>
            <w:tcW w:w="2209" w:type="dxa"/>
            <w:tcBorders>
              <w:right w:val="single" w:sz="4" w:space="0" w:color="auto"/>
            </w:tcBorders>
            <w:vAlign w:val="bottom"/>
          </w:tcPr>
          <w:p w14:paraId="071246FE" w14:textId="77777777" w:rsidR="00FF4209" w:rsidRPr="00C717CC" w:rsidRDefault="00C240C6" w:rsidP="004B46F6">
            <w:pPr>
              <w:keepNext/>
              <w:keepLines/>
              <w:jc w:val="center"/>
              <w:rPr>
                <w:sz w:val="20"/>
                <w:szCs w:val="20"/>
              </w:rPr>
            </w:pPr>
            <w:r w:rsidRPr="00C717CC">
              <w:rPr>
                <w:sz w:val="20"/>
                <w:szCs w:val="20"/>
              </w:rPr>
              <w:t>64.7</w:t>
            </w:r>
            <w:r w:rsidR="00FF4209" w:rsidRPr="00C717CC">
              <w:rPr>
                <w:sz w:val="20"/>
                <w:szCs w:val="20"/>
              </w:rPr>
              <w:t>%</w:t>
            </w:r>
          </w:p>
          <w:p w14:paraId="071246FF" w14:textId="77777777" w:rsidR="00FF4209" w:rsidRPr="00C717CC" w:rsidRDefault="00FF4209" w:rsidP="00C240C6">
            <w:pPr>
              <w:keepNext/>
              <w:keepLines/>
              <w:jc w:val="center"/>
              <w:rPr>
                <w:sz w:val="20"/>
                <w:szCs w:val="20"/>
              </w:rPr>
            </w:pPr>
            <w:r w:rsidRPr="00C717CC">
              <w:rPr>
                <w:sz w:val="20"/>
                <w:szCs w:val="20"/>
              </w:rPr>
              <w:t>(</w:t>
            </w:r>
            <w:r w:rsidR="00C240C6" w:rsidRPr="00C717CC">
              <w:rPr>
                <w:sz w:val="20"/>
                <w:szCs w:val="20"/>
              </w:rPr>
              <w:t>59.31, 70.19</w:t>
            </w:r>
            <w:r w:rsidRPr="00C717CC">
              <w:rPr>
                <w:sz w:val="20"/>
                <w:szCs w:val="20"/>
              </w:rPr>
              <w:t>)</w:t>
            </w:r>
          </w:p>
        </w:tc>
      </w:tr>
      <w:tr w:rsidR="00FF4209" w:rsidRPr="00C717CC" w14:paraId="07124702" w14:textId="77777777" w:rsidTr="00916258">
        <w:tblPrEx>
          <w:tblLook w:val="0000" w:firstRow="0" w:lastRow="0" w:firstColumn="0" w:lastColumn="0" w:noHBand="0" w:noVBand="0"/>
        </w:tblPrEx>
        <w:trPr>
          <w:cantSplit/>
        </w:trPr>
        <w:tc>
          <w:tcPr>
            <w:tcW w:w="8730" w:type="dxa"/>
            <w:gridSpan w:val="3"/>
            <w:tcBorders>
              <w:top w:val="single" w:sz="4" w:space="0" w:color="auto"/>
              <w:left w:val="single" w:sz="4" w:space="0" w:color="auto"/>
              <w:bottom w:val="single" w:sz="4" w:space="0" w:color="auto"/>
              <w:right w:val="single" w:sz="4" w:space="0" w:color="auto"/>
            </w:tcBorders>
            <w:vAlign w:val="center"/>
          </w:tcPr>
          <w:p w14:paraId="07124701" w14:textId="77777777" w:rsidR="00FF4209" w:rsidRPr="00C717CC" w:rsidRDefault="00FF4209" w:rsidP="004B46F6">
            <w:pPr>
              <w:keepLines/>
              <w:spacing w:before="60" w:after="60"/>
              <w:rPr>
                <w:b/>
                <w:sz w:val="20"/>
                <w:szCs w:val="20"/>
              </w:rPr>
            </w:pPr>
            <w:r w:rsidRPr="00C717CC">
              <w:rPr>
                <w:b/>
                <w:sz w:val="20"/>
                <w:szCs w:val="20"/>
              </w:rPr>
              <w:t>Key Secondary Endpoints</w:t>
            </w:r>
          </w:p>
        </w:tc>
      </w:tr>
      <w:tr w:rsidR="00FF4209" w:rsidRPr="00C717CC" w14:paraId="07124706" w14:textId="77777777" w:rsidTr="00BF2BF0">
        <w:tblPrEx>
          <w:tblLook w:val="0000" w:firstRow="0" w:lastRow="0" w:firstColumn="0" w:lastColumn="0" w:noHBand="0" w:noVBand="0"/>
        </w:tblPrEx>
        <w:trPr>
          <w:cantSplit/>
        </w:trPr>
        <w:tc>
          <w:tcPr>
            <w:tcW w:w="4111" w:type="dxa"/>
            <w:tcBorders>
              <w:top w:val="single" w:sz="4" w:space="0" w:color="auto"/>
              <w:left w:val="single" w:sz="4" w:space="0" w:color="auto"/>
              <w:right w:val="single" w:sz="4" w:space="0" w:color="auto"/>
            </w:tcBorders>
            <w:vAlign w:val="bottom"/>
          </w:tcPr>
          <w:p w14:paraId="07124703" w14:textId="77777777" w:rsidR="00FF4209" w:rsidRPr="00C717CC" w:rsidRDefault="00FF4209" w:rsidP="0070047E">
            <w:pPr>
              <w:keepLines/>
              <w:spacing w:before="60"/>
              <w:rPr>
                <w:b/>
                <w:i/>
                <w:sz w:val="20"/>
                <w:szCs w:val="20"/>
              </w:rPr>
            </w:pPr>
            <w:r w:rsidRPr="00C717CC">
              <w:rPr>
                <w:b/>
                <w:i/>
                <w:sz w:val="20"/>
                <w:szCs w:val="20"/>
              </w:rPr>
              <w:t>Investigator-assessed PFS</w:t>
            </w:r>
          </w:p>
        </w:tc>
        <w:tc>
          <w:tcPr>
            <w:tcW w:w="2410" w:type="dxa"/>
            <w:tcBorders>
              <w:top w:val="single" w:sz="4" w:space="0" w:color="auto"/>
              <w:left w:val="single" w:sz="4" w:space="0" w:color="auto"/>
            </w:tcBorders>
            <w:vAlign w:val="bottom"/>
          </w:tcPr>
          <w:p w14:paraId="07124704" w14:textId="77777777" w:rsidR="00FF4209" w:rsidRPr="00C717CC" w:rsidRDefault="00FF4209" w:rsidP="004B46F6">
            <w:pPr>
              <w:keepNext/>
              <w:keepLines/>
              <w:jc w:val="center"/>
              <w:rPr>
                <w:b/>
                <w:sz w:val="20"/>
                <w:szCs w:val="20"/>
              </w:rPr>
            </w:pPr>
          </w:p>
        </w:tc>
        <w:tc>
          <w:tcPr>
            <w:tcW w:w="2209" w:type="dxa"/>
            <w:tcBorders>
              <w:top w:val="single" w:sz="4" w:space="0" w:color="auto"/>
              <w:right w:val="single" w:sz="4" w:space="0" w:color="auto"/>
            </w:tcBorders>
            <w:vAlign w:val="bottom"/>
          </w:tcPr>
          <w:p w14:paraId="07124705" w14:textId="77777777" w:rsidR="00FF4209" w:rsidRPr="00C717CC" w:rsidRDefault="00FF4209" w:rsidP="004B46F6">
            <w:pPr>
              <w:keepNext/>
              <w:keepLines/>
              <w:jc w:val="center"/>
              <w:rPr>
                <w:b/>
                <w:sz w:val="20"/>
                <w:szCs w:val="20"/>
              </w:rPr>
            </w:pPr>
          </w:p>
        </w:tc>
      </w:tr>
      <w:tr w:rsidR="00FF4209" w:rsidRPr="00C717CC" w14:paraId="0712470A" w14:textId="77777777" w:rsidTr="00BF2BF0">
        <w:tblPrEx>
          <w:tblLook w:val="0000" w:firstRow="0" w:lastRow="0" w:firstColumn="0" w:lastColumn="0" w:noHBand="0" w:noVBand="0"/>
        </w:tblPrEx>
        <w:trPr>
          <w:cantSplit/>
        </w:trPr>
        <w:tc>
          <w:tcPr>
            <w:tcW w:w="4111" w:type="dxa"/>
            <w:tcBorders>
              <w:left w:val="single" w:sz="4" w:space="0" w:color="auto"/>
              <w:right w:val="single" w:sz="4" w:space="0" w:color="auto"/>
            </w:tcBorders>
            <w:vAlign w:val="bottom"/>
          </w:tcPr>
          <w:p w14:paraId="07124707" w14:textId="77777777" w:rsidR="00FF4209" w:rsidRPr="00C717CC" w:rsidRDefault="00FF4209" w:rsidP="004B46F6">
            <w:pPr>
              <w:keepLines/>
              <w:ind w:left="226"/>
              <w:rPr>
                <w:sz w:val="20"/>
                <w:szCs w:val="20"/>
                <w:lang w:eastAsia="en-US"/>
              </w:rPr>
            </w:pPr>
            <w:r w:rsidRPr="00C717CC">
              <w:rPr>
                <w:sz w:val="20"/>
                <w:szCs w:val="20"/>
                <w:lang w:eastAsia="en-US"/>
              </w:rPr>
              <w:t xml:space="preserve">Number (%) of patients with event </w:t>
            </w:r>
          </w:p>
        </w:tc>
        <w:tc>
          <w:tcPr>
            <w:tcW w:w="2410" w:type="dxa"/>
            <w:tcBorders>
              <w:left w:val="single" w:sz="4" w:space="0" w:color="auto"/>
            </w:tcBorders>
            <w:vAlign w:val="bottom"/>
          </w:tcPr>
          <w:p w14:paraId="07124708" w14:textId="77777777" w:rsidR="00FF4209" w:rsidRPr="00C717CC" w:rsidRDefault="00FF4209" w:rsidP="004B46F6">
            <w:pPr>
              <w:keepNext/>
              <w:keepLines/>
              <w:jc w:val="center"/>
              <w:rPr>
                <w:sz w:val="20"/>
                <w:szCs w:val="20"/>
              </w:rPr>
            </w:pPr>
            <w:r w:rsidRPr="00C717CC">
              <w:rPr>
                <w:sz w:val="20"/>
                <w:szCs w:val="20"/>
              </w:rPr>
              <w:t>335 (67.5%)</w:t>
            </w:r>
          </w:p>
        </w:tc>
        <w:tc>
          <w:tcPr>
            <w:tcW w:w="2209" w:type="dxa"/>
            <w:tcBorders>
              <w:right w:val="single" w:sz="4" w:space="0" w:color="auto"/>
            </w:tcBorders>
            <w:vAlign w:val="bottom"/>
          </w:tcPr>
          <w:p w14:paraId="07124709" w14:textId="77777777" w:rsidR="00FF4209" w:rsidRPr="00C717CC" w:rsidRDefault="00FF4209" w:rsidP="004B46F6">
            <w:pPr>
              <w:keepNext/>
              <w:keepLines/>
              <w:jc w:val="center"/>
              <w:rPr>
                <w:sz w:val="20"/>
                <w:szCs w:val="20"/>
              </w:rPr>
            </w:pPr>
            <w:r w:rsidRPr="00C717CC">
              <w:rPr>
                <w:sz w:val="20"/>
                <w:szCs w:val="20"/>
              </w:rPr>
              <w:t>287 (58.0%)</w:t>
            </w:r>
          </w:p>
        </w:tc>
      </w:tr>
      <w:tr w:rsidR="00FF4209" w:rsidRPr="00C717CC" w14:paraId="0712470E" w14:textId="77777777" w:rsidTr="00BF2BF0">
        <w:tblPrEx>
          <w:tblLook w:val="0000" w:firstRow="0" w:lastRow="0" w:firstColumn="0" w:lastColumn="0" w:noHBand="0" w:noVBand="0"/>
        </w:tblPrEx>
        <w:trPr>
          <w:cantSplit/>
        </w:trPr>
        <w:tc>
          <w:tcPr>
            <w:tcW w:w="4111" w:type="dxa"/>
            <w:tcBorders>
              <w:left w:val="single" w:sz="4" w:space="0" w:color="auto"/>
              <w:right w:val="single" w:sz="4" w:space="0" w:color="auto"/>
            </w:tcBorders>
            <w:vAlign w:val="bottom"/>
          </w:tcPr>
          <w:p w14:paraId="0712470B" w14:textId="77777777" w:rsidR="00FF4209" w:rsidRPr="00C717CC" w:rsidRDefault="00FF4209" w:rsidP="004B46F6">
            <w:pPr>
              <w:keepLines/>
              <w:ind w:left="226"/>
              <w:rPr>
                <w:sz w:val="20"/>
                <w:szCs w:val="20"/>
                <w:lang w:eastAsia="en-US"/>
              </w:rPr>
            </w:pPr>
            <w:r w:rsidRPr="00C717CC">
              <w:rPr>
                <w:sz w:val="20"/>
                <w:szCs w:val="20"/>
                <w:lang w:eastAsia="en-US"/>
              </w:rPr>
              <w:t xml:space="preserve">Median duration of PFS (months) </w:t>
            </w:r>
          </w:p>
        </w:tc>
        <w:tc>
          <w:tcPr>
            <w:tcW w:w="2410" w:type="dxa"/>
            <w:tcBorders>
              <w:left w:val="single" w:sz="4" w:space="0" w:color="auto"/>
            </w:tcBorders>
            <w:vAlign w:val="bottom"/>
          </w:tcPr>
          <w:p w14:paraId="0712470C" w14:textId="77777777" w:rsidR="00FF4209" w:rsidRPr="00C717CC" w:rsidRDefault="00FF4209" w:rsidP="004B46F6">
            <w:pPr>
              <w:keepNext/>
              <w:keepLines/>
              <w:jc w:val="center"/>
              <w:rPr>
                <w:sz w:val="20"/>
                <w:szCs w:val="20"/>
              </w:rPr>
            </w:pPr>
            <w:r w:rsidRPr="00C717CC">
              <w:rPr>
                <w:sz w:val="20"/>
                <w:szCs w:val="20"/>
              </w:rPr>
              <w:t>5.8</w:t>
            </w:r>
          </w:p>
        </w:tc>
        <w:tc>
          <w:tcPr>
            <w:tcW w:w="2209" w:type="dxa"/>
            <w:tcBorders>
              <w:right w:val="single" w:sz="4" w:space="0" w:color="auto"/>
            </w:tcBorders>
            <w:vAlign w:val="bottom"/>
          </w:tcPr>
          <w:p w14:paraId="0712470D" w14:textId="77777777" w:rsidR="00FF4209" w:rsidRPr="00C717CC" w:rsidRDefault="00FF4209" w:rsidP="004B46F6">
            <w:pPr>
              <w:keepNext/>
              <w:keepLines/>
              <w:jc w:val="center"/>
              <w:rPr>
                <w:sz w:val="20"/>
                <w:szCs w:val="20"/>
              </w:rPr>
            </w:pPr>
            <w:r w:rsidRPr="00C717CC">
              <w:rPr>
                <w:sz w:val="20"/>
                <w:szCs w:val="20"/>
              </w:rPr>
              <w:t>9.4</w:t>
            </w:r>
          </w:p>
        </w:tc>
      </w:tr>
      <w:tr w:rsidR="00FF4209" w:rsidRPr="00C717CC" w14:paraId="07124713" w14:textId="77777777" w:rsidTr="00BF2BF0">
        <w:tblPrEx>
          <w:tblLook w:val="0000" w:firstRow="0" w:lastRow="0" w:firstColumn="0" w:lastColumn="0" w:noHBand="0" w:noVBand="0"/>
        </w:tblPrEx>
        <w:trPr>
          <w:cantSplit/>
        </w:trPr>
        <w:tc>
          <w:tcPr>
            <w:tcW w:w="4111" w:type="dxa"/>
            <w:tcBorders>
              <w:left w:val="single" w:sz="4" w:space="0" w:color="auto"/>
              <w:bottom w:val="single" w:sz="4" w:space="0" w:color="auto"/>
              <w:right w:val="single" w:sz="4" w:space="0" w:color="auto"/>
            </w:tcBorders>
            <w:vAlign w:val="bottom"/>
          </w:tcPr>
          <w:p w14:paraId="0712470F" w14:textId="77777777" w:rsidR="00FF4209" w:rsidRPr="00C717CC" w:rsidRDefault="00FF4209" w:rsidP="004B46F6">
            <w:pPr>
              <w:keepLines/>
              <w:ind w:left="226"/>
              <w:rPr>
                <w:sz w:val="20"/>
                <w:szCs w:val="20"/>
                <w:lang w:eastAsia="en-US"/>
              </w:rPr>
            </w:pPr>
            <w:r w:rsidRPr="00C717CC">
              <w:rPr>
                <w:sz w:val="20"/>
                <w:szCs w:val="20"/>
                <w:lang w:eastAsia="en-US"/>
              </w:rPr>
              <w:t>HR (95% CI)</w:t>
            </w:r>
          </w:p>
          <w:p w14:paraId="07124710" w14:textId="77777777" w:rsidR="0042026F" w:rsidRPr="00C717CC" w:rsidRDefault="0042026F" w:rsidP="004B46F6">
            <w:pPr>
              <w:keepLines/>
              <w:ind w:left="226"/>
              <w:rPr>
                <w:sz w:val="20"/>
                <w:szCs w:val="20"/>
                <w:lang w:eastAsia="en-US"/>
              </w:rPr>
            </w:pPr>
            <w:r w:rsidRPr="00C717CC">
              <w:rPr>
                <w:sz w:val="20"/>
                <w:szCs w:val="20"/>
                <w:lang w:eastAsia="en-US"/>
              </w:rPr>
              <w:t>p-value (Log-Rank test</w:t>
            </w:r>
            <w:r w:rsidR="002269FF" w:rsidRPr="00C717CC">
              <w:rPr>
                <w:sz w:val="20"/>
                <w:szCs w:val="20"/>
                <w:vertAlign w:val="superscript"/>
              </w:rPr>
              <w:t xml:space="preserve"> a</w:t>
            </w:r>
            <w:r w:rsidRPr="00C717CC">
              <w:rPr>
                <w:sz w:val="20"/>
                <w:szCs w:val="20"/>
                <w:lang w:eastAsia="en-US"/>
              </w:rPr>
              <w:t>)</w:t>
            </w:r>
          </w:p>
        </w:tc>
        <w:tc>
          <w:tcPr>
            <w:tcW w:w="4619" w:type="dxa"/>
            <w:gridSpan w:val="2"/>
            <w:tcBorders>
              <w:left w:val="single" w:sz="4" w:space="0" w:color="auto"/>
              <w:bottom w:val="single" w:sz="4" w:space="0" w:color="auto"/>
              <w:right w:val="single" w:sz="4" w:space="0" w:color="auto"/>
            </w:tcBorders>
            <w:vAlign w:val="bottom"/>
          </w:tcPr>
          <w:p w14:paraId="07124711" w14:textId="77777777" w:rsidR="00FF4209" w:rsidRPr="00C717CC" w:rsidRDefault="00FF4209" w:rsidP="004B46F6">
            <w:pPr>
              <w:keepNext/>
              <w:keepLines/>
              <w:jc w:val="center"/>
              <w:rPr>
                <w:sz w:val="20"/>
                <w:szCs w:val="20"/>
                <w:lang w:eastAsia="en-US"/>
              </w:rPr>
            </w:pPr>
            <w:r w:rsidRPr="00C717CC">
              <w:rPr>
                <w:sz w:val="20"/>
                <w:szCs w:val="20"/>
                <w:lang w:eastAsia="en-US"/>
              </w:rPr>
              <w:t>0.658 (0.560, 0.774)</w:t>
            </w:r>
          </w:p>
          <w:p w14:paraId="07124712" w14:textId="77777777" w:rsidR="0042026F" w:rsidRPr="00C717CC" w:rsidRDefault="0042026F" w:rsidP="004B46F6">
            <w:pPr>
              <w:keepNext/>
              <w:keepLines/>
              <w:jc w:val="center"/>
              <w:rPr>
                <w:sz w:val="20"/>
                <w:szCs w:val="20"/>
              </w:rPr>
            </w:pPr>
            <w:r w:rsidRPr="00C717CC">
              <w:rPr>
                <w:sz w:val="20"/>
                <w:szCs w:val="20"/>
                <w:lang w:eastAsia="en-US"/>
              </w:rPr>
              <w:t>&lt;0.0001</w:t>
            </w:r>
          </w:p>
        </w:tc>
      </w:tr>
      <w:tr w:rsidR="00FF4209" w:rsidRPr="00C717CC" w14:paraId="07124717" w14:textId="77777777" w:rsidTr="00BF2BF0">
        <w:tblPrEx>
          <w:tblLook w:val="0000" w:firstRow="0" w:lastRow="0" w:firstColumn="0" w:lastColumn="0" w:noHBand="0" w:noVBand="0"/>
        </w:tblPrEx>
        <w:trPr>
          <w:cantSplit/>
        </w:trPr>
        <w:tc>
          <w:tcPr>
            <w:tcW w:w="4111" w:type="dxa"/>
            <w:tcBorders>
              <w:top w:val="single" w:sz="4" w:space="0" w:color="auto"/>
              <w:left w:val="single" w:sz="4" w:space="0" w:color="auto"/>
              <w:right w:val="single" w:sz="4" w:space="0" w:color="auto"/>
            </w:tcBorders>
            <w:vAlign w:val="bottom"/>
          </w:tcPr>
          <w:p w14:paraId="07124714" w14:textId="77777777" w:rsidR="00FF4209" w:rsidRPr="00C717CC" w:rsidRDefault="00FF4209" w:rsidP="0070047E">
            <w:pPr>
              <w:keepLines/>
              <w:spacing w:before="60"/>
              <w:rPr>
                <w:b/>
                <w:i/>
                <w:sz w:val="20"/>
                <w:szCs w:val="20"/>
                <w:lang w:eastAsia="en-US"/>
              </w:rPr>
            </w:pPr>
            <w:r w:rsidRPr="00C717CC">
              <w:rPr>
                <w:b/>
                <w:i/>
                <w:sz w:val="20"/>
                <w:szCs w:val="20"/>
                <w:lang w:eastAsia="en-US"/>
              </w:rPr>
              <w:t>Objective Response Rate</w:t>
            </w:r>
          </w:p>
        </w:tc>
        <w:tc>
          <w:tcPr>
            <w:tcW w:w="2410" w:type="dxa"/>
            <w:tcBorders>
              <w:top w:val="single" w:sz="4" w:space="0" w:color="auto"/>
              <w:left w:val="single" w:sz="4" w:space="0" w:color="auto"/>
            </w:tcBorders>
            <w:vAlign w:val="bottom"/>
          </w:tcPr>
          <w:p w14:paraId="07124715" w14:textId="77777777" w:rsidR="00FF4209" w:rsidRPr="00C717CC" w:rsidRDefault="00FF4209" w:rsidP="004B46F6">
            <w:pPr>
              <w:keepNext/>
              <w:keepLines/>
              <w:jc w:val="center"/>
              <w:rPr>
                <w:b/>
                <w:sz w:val="20"/>
                <w:szCs w:val="20"/>
              </w:rPr>
            </w:pPr>
          </w:p>
        </w:tc>
        <w:tc>
          <w:tcPr>
            <w:tcW w:w="2209" w:type="dxa"/>
            <w:tcBorders>
              <w:top w:val="single" w:sz="4" w:space="0" w:color="auto"/>
              <w:right w:val="single" w:sz="4" w:space="0" w:color="auto"/>
            </w:tcBorders>
            <w:vAlign w:val="bottom"/>
          </w:tcPr>
          <w:p w14:paraId="07124716" w14:textId="77777777" w:rsidR="00FF4209" w:rsidRPr="00C717CC" w:rsidRDefault="00FF4209" w:rsidP="004B46F6">
            <w:pPr>
              <w:keepNext/>
              <w:keepLines/>
              <w:jc w:val="center"/>
              <w:rPr>
                <w:b/>
                <w:sz w:val="20"/>
                <w:szCs w:val="20"/>
              </w:rPr>
            </w:pPr>
          </w:p>
        </w:tc>
      </w:tr>
      <w:tr w:rsidR="00FF4209" w:rsidRPr="00C717CC" w14:paraId="0712471B" w14:textId="77777777" w:rsidTr="00BF2BF0">
        <w:tblPrEx>
          <w:tblLook w:val="0000" w:firstRow="0" w:lastRow="0" w:firstColumn="0" w:lastColumn="0" w:noHBand="0" w:noVBand="0"/>
        </w:tblPrEx>
        <w:trPr>
          <w:cantSplit/>
        </w:trPr>
        <w:tc>
          <w:tcPr>
            <w:tcW w:w="4111" w:type="dxa"/>
            <w:tcBorders>
              <w:left w:val="single" w:sz="4" w:space="0" w:color="auto"/>
              <w:right w:val="single" w:sz="4" w:space="0" w:color="auto"/>
            </w:tcBorders>
            <w:vAlign w:val="bottom"/>
          </w:tcPr>
          <w:p w14:paraId="07124718" w14:textId="77777777" w:rsidR="00FF4209" w:rsidRPr="00C717CC" w:rsidRDefault="00FF4209" w:rsidP="004B46F6">
            <w:pPr>
              <w:keepLines/>
              <w:rPr>
                <w:sz w:val="20"/>
                <w:szCs w:val="20"/>
                <w:lang w:eastAsia="en-US"/>
              </w:rPr>
            </w:pPr>
            <w:r w:rsidRPr="00C717CC">
              <w:rPr>
                <w:sz w:val="20"/>
                <w:szCs w:val="20"/>
                <w:lang w:eastAsia="en-US"/>
              </w:rPr>
              <w:t xml:space="preserve">    Patients with measurable disease</w:t>
            </w:r>
          </w:p>
        </w:tc>
        <w:tc>
          <w:tcPr>
            <w:tcW w:w="2410" w:type="dxa"/>
            <w:tcBorders>
              <w:left w:val="single" w:sz="4" w:space="0" w:color="auto"/>
            </w:tcBorders>
            <w:vAlign w:val="bottom"/>
          </w:tcPr>
          <w:p w14:paraId="07124719" w14:textId="77777777" w:rsidR="00FF4209" w:rsidRPr="00C717CC" w:rsidRDefault="00FF4209" w:rsidP="004B46F6">
            <w:pPr>
              <w:keepNext/>
              <w:keepLines/>
              <w:jc w:val="center"/>
              <w:rPr>
                <w:sz w:val="20"/>
                <w:szCs w:val="20"/>
              </w:rPr>
            </w:pPr>
            <w:r w:rsidRPr="00C717CC">
              <w:rPr>
                <w:sz w:val="20"/>
                <w:szCs w:val="20"/>
              </w:rPr>
              <w:t>389</w:t>
            </w:r>
          </w:p>
        </w:tc>
        <w:tc>
          <w:tcPr>
            <w:tcW w:w="2209" w:type="dxa"/>
            <w:tcBorders>
              <w:right w:val="single" w:sz="4" w:space="0" w:color="auto"/>
            </w:tcBorders>
            <w:vAlign w:val="bottom"/>
          </w:tcPr>
          <w:p w14:paraId="0712471A" w14:textId="77777777" w:rsidR="00FF4209" w:rsidRPr="00C717CC" w:rsidRDefault="00FF4209" w:rsidP="004B46F6">
            <w:pPr>
              <w:keepNext/>
              <w:keepLines/>
              <w:jc w:val="center"/>
              <w:rPr>
                <w:sz w:val="20"/>
                <w:szCs w:val="20"/>
              </w:rPr>
            </w:pPr>
            <w:r w:rsidRPr="00C717CC">
              <w:rPr>
                <w:sz w:val="20"/>
                <w:szCs w:val="20"/>
              </w:rPr>
              <w:t>397</w:t>
            </w:r>
          </w:p>
        </w:tc>
      </w:tr>
      <w:tr w:rsidR="00FF4209" w:rsidRPr="00C717CC" w14:paraId="0712471F" w14:textId="77777777" w:rsidTr="00BF2BF0">
        <w:tblPrEx>
          <w:tblLook w:val="0000" w:firstRow="0" w:lastRow="0" w:firstColumn="0" w:lastColumn="0" w:noHBand="0" w:noVBand="0"/>
        </w:tblPrEx>
        <w:trPr>
          <w:cantSplit/>
        </w:trPr>
        <w:tc>
          <w:tcPr>
            <w:tcW w:w="4111" w:type="dxa"/>
            <w:tcBorders>
              <w:left w:val="single" w:sz="4" w:space="0" w:color="auto"/>
              <w:right w:val="single" w:sz="4" w:space="0" w:color="auto"/>
            </w:tcBorders>
            <w:vAlign w:val="bottom"/>
          </w:tcPr>
          <w:p w14:paraId="0712471C" w14:textId="77777777" w:rsidR="00FF4209" w:rsidRPr="00C717CC" w:rsidRDefault="00FF4209" w:rsidP="004B46F6">
            <w:pPr>
              <w:keepLines/>
              <w:ind w:left="226"/>
              <w:rPr>
                <w:sz w:val="20"/>
                <w:szCs w:val="20"/>
                <w:lang w:eastAsia="en-US"/>
              </w:rPr>
            </w:pPr>
            <w:r w:rsidRPr="00C717CC">
              <w:rPr>
                <w:sz w:val="20"/>
                <w:szCs w:val="20"/>
                <w:lang w:eastAsia="en-US"/>
              </w:rPr>
              <w:t>Number of patients with OR (%)</w:t>
            </w:r>
          </w:p>
        </w:tc>
        <w:tc>
          <w:tcPr>
            <w:tcW w:w="2410" w:type="dxa"/>
            <w:tcBorders>
              <w:left w:val="single" w:sz="4" w:space="0" w:color="auto"/>
            </w:tcBorders>
            <w:vAlign w:val="bottom"/>
          </w:tcPr>
          <w:p w14:paraId="0712471D" w14:textId="77777777" w:rsidR="00FF4209" w:rsidRPr="00C717CC" w:rsidRDefault="00FF4209" w:rsidP="004B46F6">
            <w:pPr>
              <w:keepNext/>
              <w:keepLines/>
              <w:jc w:val="center"/>
              <w:rPr>
                <w:sz w:val="20"/>
                <w:szCs w:val="20"/>
              </w:rPr>
            </w:pPr>
            <w:r w:rsidRPr="00C717CC">
              <w:rPr>
                <w:sz w:val="20"/>
                <w:szCs w:val="20"/>
              </w:rPr>
              <w:t>120 (30.8%)</w:t>
            </w:r>
          </w:p>
        </w:tc>
        <w:tc>
          <w:tcPr>
            <w:tcW w:w="2209" w:type="dxa"/>
            <w:tcBorders>
              <w:right w:val="single" w:sz="4" w:space="0" w:color="auto"/>
            </w:tcBorders>
            <w:vAlign w:val="bottom"/>
          </w:tcPr>
          <w:p w14:paraId="0712471E" w14:textId="77777777" w:rsidR="00FF4209" w:rsidRPr="00C717CC" w:rsidRDefault="00FF4209" w:rsidP="004B46F6">
            <w:pPr>
              <w:keepNext/>
              <w:keepLines/>
              <w:jc w:val="center"/>
              <w:rPr>
                <w:sz w:val="20"/>
                <w:szCs w:val="20"/>
              </w:rPr>
            </w:pPr>
            <w:r w:rsidRPr="00C717CC">
              <w:rPr>
                <w:sz w:val="20"/>
                <w:szCs w:val="20"/>
              </w:rPr>
              <w:t>173 (43.6%)</w:t>
            </w:r>
          </w:p>
        </w:tc>
      </w:tr>
      <w:tr w:rsidR="00FF4209" w:rsidRPr="00C717CC" w14:paraId="07124724" w14:textId="77777777" w:rsidTr="00BF2BF0">
        <w:tblPrEx>
          <w:tblCellMar>
            <w:left w:w="108" w:type="dxa"/>
            <w:right w:w="108" w:type="dxa"/>
          </w:tblCellMar>
          <w:tblLook w:val="0000" w:firstRow="0" w:lastRow="0" w:firstColumn="0" w:lastColumn="0" w:noHBand="0" w:noVBand="0"/>
        </w:tblPrEx>
        <w:tc>
          <w:tcPr>
            <w:tcW w:w="4111" w:type="dxa"/>
            <w:tcBorders>
              <w:left w:val="single" w:sz="4" w:space="0" w:color="auto"/>
              <w:bottom w:val="single" w:sz="4" w:space="0" w:color="auto"/>
              <w:right w:val="single" w:sz="4" w:space="0" w:color="auto"/>
            </w:tcBorders>
          </w:tcPr>
          <w:p w14:paraId="07124720" w14:textId="77777777" w:rsidR="00FF4209" w:rsidRPr="00C717CC" w:rsidRDefault="00FF4209" w:rsidP="004B46F6">
            <w:pPr>
              <w:keepLines/>
              <w:ind w:left="226"/>
              <w:rPr>
                <w:sz w:val="20"/>
                <w:szCs w:val="20"/>
                <w:lang w:eastAsia="en-US"/>
              </w:rPr>
            </w:pPr>
            <w:r w:rsidRPr="00C717CC">
              <w:rPr>
                <w:sz w:val="20"/>
                <w:szCs w:val="20"/>
                <w:lang w:eastAsia="en-US"/>
              </w:rPr>
              <w:t>Diff, (95% CI);</w:t>
            </w:r>
          </w:p>
          <w:p w14:paraId="07124721" w14:textId="77777777" w:rsidR="0042026F" w:rsidRPr="00C717CC" w:rsidRDefault="0042026F" w:rsidP="004B46F6">
            <w:pPr>
              <w:keepLines/>
              <w:ind w:left="226"/>
              <w:rPr>
                <w:sz w:val="20"/>
                <w:szCs w:val="20"/>
                <w:lang w:eastAsia="en-US"/>
              </w:rPr>
            </w:pPr>
            <w:r w:rsidRPr="00C717CC">
              <w:rPr>
                <w:sz w:val="20"/>
                <w:szCs w:val="20"/>
                <w:lang w:eastAsia="en-US"/>
              </w:rPr>
              <w:t>p-value (Mantel-Haenszel chi-squared test</w:t>
            </w:r>
            <w:r w:rsidR="002269FF" w:rsidRPr="00C717CC">
              <w:rPr>
                <w:sz w:val="20"/>
                <w:szCs w:val="20"/>
                <w:vertAlign w:val="superscript"/>
              </w:rPr>
              <w:t xml:space="preserve"> a</w:t>
            </w:r>
            <w:r w:rsidRPr="00C717CC">
              <w:rPr>
                <w:sz w:val="20"/>
                <w:szCs w:val="20"/>
                <w:lang w:eastAsia="en-US"/>
              </w:rPr>
              <w:t>)</w:t>
            </w:r>
          </w:p>
        </w:tc>
        <w:tc>
          <w:tcPr>
            <w:tcW w:w="4619" w:type="dxa"/>
            <w:gridSpan w:val="2"/>
            <w:tcBorders>
              <w:left w:val="single" w:sz="4" w:space="0" w:color="auto"/>
              <w:bottom w:val="single" w:sz="4" w:space="0" w:color="auto"/>
              <w:right w:val="single" w:sz="4" w:space="0" w:color="auto"/>
            </w:tcBorders>
          </w:tcPr>
          <w:p w14:paraId="07124722" w14:textId="77777777" w:rsidR="00FF4209" w:rsidRPr="00C717CC" w:rsidRDefault="00FF4209" w:rsidP="004B46F6">
            <w:pPr>
              <w:keepNext/>
              <w:keepLines/>
              <w:jc w:val="center"/>
              <w:rPr>
                <w:sz w:val="20"/>
                <w:szCs w:val="20"/>
                <w:lang w:eastAsia="en-US"/>
              </w:rPr>
            </w:pPr>
            <w:r w:rsidRPr="00C717CC">
              <w:rPr>
                <w:sz w:val="20"/>
                <w:szCs w:val="20"/>
                <w:lang w:eastAsia="en-US"/>
              </w:rPr>
              <w:t>12.7% (6.0, 19.4)</w:t>
            </w:r>
          </w:p>
          <w:p w14:paraId="07124723" w14:textId="77777777" w:rsidR="0042026F" w:rsidRPr="00C717CC" w:rsidRDefault="0042026F" w:rsidP="004B46F6">
            <w:pPr>
              <w:keepNext/>
              <w:keepLines/>
              <w:jc w:val="center"/>
              <w:rPr>
                <w:b/>
                <w:sz w:val="20"/>
                <w:szCs w:val="20"/>
              </w:rPr>
            </w:pPr>
            <w:r w:rsidRPr="00C717CC">
              <w:rPr>
                <w:sz w:val="20"/>
                <w:szCs w:val="20"/>
                <w:lang w:eastAsia="en-US"/>
              </w:rPr>
              <w:t>0.0002</w:t>
            </w:r>
          </w:p>
        </w:tc>
      </w:tr>
      <w:tr w:rsidR="00FF4209" w:rsidRPr="00C717CC" w14:paraId="07124728" w14:textId="77777777" w:rsidTr="00BF2BF0">
        <w:tblPrEx>
          <w:tblCellMar>
            <w:left w:w="108" w:type="dxa"/>
            <w:right w:w="108" w:type="dxa"/>
          </w:tblCellMar>
          <w:tblLook w:val="0000" w:firstRow="0" w:lastRow="0" w:firstColumn="0" w:lastColumn="0" w:noHBand="0" w:noVBand="0"/>
        </w:tblPrEx>
        <w:tc>
          <w:tcPr>
            <w:tcW w:w="4111" w:type="dxa"/>
            <w:tcBorders>
              <w:top w:val="single" w:sz="4" w:space="0" w:color="auto"/>
              <w:left w:val="single" w:sz="4" w:space="0" w:color="auto"/>
              <w:right w:val="single" w:sz="4" w:space="0" w:color="auto"/>
            </w:tcBorders>
          </w:tcPr>
          <w:p w14:paraId="07124725" w14:textId="77777777" w:rsidR="00FF4209" w:rsidRPr="00C717CC" w:rsidRDefault="00FF4209" w:rsidP="0070047E">
            <w:pPr>
              <w:keepLines/>
              <w:spacing w:before="60"/>
              <w:rPr>
                <w:b/>
                <w:i/>
                <w:sz w:val="20"/>
                <w:szCs w:val="20"/>
              </w:rPr>
            </w:pPr>
            <w:r w:rsidRPr="00C717CC">
              <w:rPr>
                <w:b/>
                <w:i/>
                <w:sz w:val="20"/>
                <w:szCs w:val="20"/>
              </w:rPr>
              <w:t>Duration of Objective Response (months)</w:t>
            </w:r>
          </w:p>
        </w:tc>
        <w:tc>
          <w:tcPr>
            <w:tcW w:w="2410" w:type="dxa"/>
            <w:tcBorders>
              <w:top w:val="single" w:sz="4" w:space="0" w:color="auto"/>
              <w:left w:val="single" w:sz="4" w:space="0" w:color="auto"/>
            </w:tcBorders>
          </w:tcPr>
          <w:p w14:paraId="07124726" w14:textId="77777777" w:rsidR="00FF4209" w:rsidRPr="00C717CC" w:rsidRDefault="00FF4209" w:rsidP="004B46F6">
            <w:pPr>
              <w:keepNext/>
              <w:keepLines/>
              <w:jc w:val="center"/>
              <w:rPr>
                <w:b/>
                <w:sz w:val="20"/>
                <w:szCs w:val="20"/>
              </w:rPr>
            </w:pPr>
          </w:p>
        </w:tc>
        <w:tc>
          <w:tcPr>
            <w:tcW w:w="2209" w:type="dxa"/>
            <w:tcBorders>
              <w:top w:val="single" w:sz="4" w:space="0" w:color="auto"/>
              <w:right w:val="single" w:sz="4" w:space="0" w:color="auto"/>
            </w:tcBorders>
          </w:tcPr>
          <w:p w14:paraId="07124727" w14:textId="77777777" w:rsidR="00FF4209" w:rsidRPr="00C717CC" w:rsidRDefault="00FF4209" w:rsidP="004B46F6">
            <w:pPr>
              <w:keepNext/>
              <w:keepLines/>
              <w:jc w:val="center"/>
              <w:rPr>
                <w:b/>
                <w:sz w:val="20"/>
                <w:szCs w:val="20"/>
              </w:rPr>
            </w:pPr>
          </w:p>
        </w:tc>
      </w:tr>
      <w:tr w:rsidR="00FF4209" w:rsidRPr="00C717CC" w14:paraId="0712472C" w14:textId="77777777" w:rsidTr="00BF2BF0">
        <w:tblPrEx>
          <w:tblCellMar>
            <w:left w:w="108" w:type="dxa"/>
            <w:right w:w="108" w:type="dxa"/>
          </w:tblCellMar>
          <w:tblLook w:val="0000" w:firstRow="0" w:lastRow="0" w:firstColumn="0" w:lastColumn="0" w:noHBand="0" w:noVBand="0"/>
        </w:tblPrEx>
        <w:tc>
          <w:tcPr>
            <w:tcW w:w="4111" w:type="dxa"/>
            <w:tcBorders>
              <w:left w:val="single" w:sz="4" w:space="0" w:color="auto"/>
              <w:right w:val="single" w:sz="4" w:space="0" w:color="auto"/>
            </w:tcBorders>
          </w:tcPr>
          <w:p w14:paraId="07124729" w14:textId="77777777" w:rsidR="00FF4209" w:rsidRPr="00C717CC" w:rsidRDefault="00FF4209" w:rsidP="004B46F6">
            <w:pPr>
              <w:keepLines/>
              <w:rPr>
                <w:sz w:val="20"/>
                <w:szCs w:val="20"/>
              </w:rPr>
            </w:pPr>
            <w:r w:rsidRPr="00C717CC">
              <w:rPr>
                <w:sz w:val="20"/>
                <w:szCs w:val="20"/>
              </w:rPr>
              <w:t xml:space="preserve">     Number of patients with OR</w:t>
            </w:r>
          </w:p>
        </w:tc>
        <w:tc>
          <w:tcPr>
            <w:tcW w:w="2410" w:type="dxa"/>
            <w:tcBorders>
              <w:left w:val="single" w:sz="4" w:space="0" w:color="auto"/>
            </w:tcBorders>
          </w:tcPr>
          <w:p w14:paraId="0712472A" w14:textId="77777777" w:rsidR="00FF4209" w:rsidRPr="00C717CC" w:rsidRDefault="00FF4209" w:rsidP="004B46F6">
            <w:pPr>
              <w:keepNext/>
              <w:keepLines/>
              <w:jc w:val="center"/>
              <w:rPr>
                <w:sz w:val="20"/>
                <w:szCs w:val="20"/>
              </w:rPr>
            </w:pPr>
            <w:r w:rsidRPr="00C717CC">
              <w:rPr>
                <w:sz w:val="20"/>
                <w:szCs w:val="20"/>
              </w:rPr>
              <w:t>120</w:t>
            </w:r>
          </w:p>
        </w:tc>
        <w:tc>
          <w:tcPr>
            <w:tcW w:w="2209" w:type="dxa"/>
            <w:tcBorders>
              <w:right w:val="single" w:sz="4" w:space="0" w:color="auto"/>
            </w:tcBorders>
          </w:tcPr>
          <w:p w14:paraId="0712472B" w14:textId="77777777" w:rsidR="00FF4209" w:rsidRPr="00C717CC" w:rsidRDefault="00FF4209" w:rsidP="004B46F6">
            <w:pPr>
              <w:keepNext/>
              <w:keepLines/>
              <w:jc w:val="center"/>
              <w:rPr>
                <w:sz w:val="20"/>
                <w:szCs w:val="20"/>
              </w:rPr>
            </w:pPr>
            <w:r w:rsidRPr="00C717CC">
              <w:rPr>
                <w:sz w:val="20"/>
                <w:szCs w:val="20"/>
              </w:rPr>
              <w:t>173</w:t>
            </w:r>
          </w:p>
        </w:tc>
      </w:tr>
      <w:tr w:rsidR="00FF4209" w:rsidRPr="00C717CC" w14:paraId="07124730" w14:textId="77777777" w:rsidTr="00BF2BF0">
        <w:tblPrEx>
          <w:tblCellMar>
            <w:left w:w="108" w:type="dxa"/>
            <w:right w:w="108" w:type="dxa"/>
          </w:tblCellMar>
          <w:tblLook w:val="0000" w:firstRow="0" w:lastRow="0" w:firstColumn="0" w:lastColumn="0" w:noHBand="0" w:noVBand="0"/>
        </w:tblPrEx>
        <w:tc>
          <w:tcPr>
            <w:tcW w:w="4111" w:type="dxa"/>
            <w:tcBorders>
              <w:left w:val="single" w:sz="4" w:space="0" w:color="auto"/>
              <w:bottom w:val="single" w:sz="4" w:space="0" w:color="auto"/>
              <w:right w:val="single" w:sz="4" w:space="0" w:color="auto"/>
            </w:tcBorders>
          </w:tcPr>
          <w:p w14:paraId="0712472D" w14:textId="77777777" w:rsidR="00FF4209" w:rsidRPr="00C717CC" w:rsidRDefault="00FF4209" w:rsidP="004B46F6">
            <w:pPr>
              <w:keepNext/>
              <w:keepLines/>
              <w:rPr>
                <w:sz w:val="20"/>
                <w:szCs w:val="20"/>
              </w:rPr>
            </w:pPr>
            <w:r w:rsidRPr="00C717CC">
              <w:rPr>
                <w:sz w:val="20"/>
                <w:szCs w:val="20"/>
              </w:rPr>
              <w:t xml:space="preserve">     Median 95% CI</w:t>
            </w:r>
          </w:p>
        </w:tc>
        <w:tc>
          <w:tcPr>
            <w:tcW w:w="2410" w:type="dxa"/>
            <w:tcBorders>
              <w:left w:val="single" w:sz="4" w:space="0" w:color="auto"/>
              <w:bottom w:val="single" w:sz="4" w:space="0" w:color="auto"/>
            </w:tcBorders>
          </w:tcPr>
          <w:p w14:paraId="0712472E" w14:textId="77777777" w:rsidR="00FF4209" w:rsidRPr="00C717CC" w:rsidRDefault="00FF4209" w:rsidP="004B46F6">
            <w:pPr>
              <w:keepNext/>
              <w:keepLines/>
              <w:jc w:val="center"/>
              <w:rPr>
                <w:sz w:val="20"/>
                <w:szCs w:val="20"/>
                <w:lang w:eastAsia="en-US"/>
              </w:rPr>
            </w:pPr>
            <w:r w:rsidRPr="00C717CC">
              <w:rPr>
                <w:sz w:val="20"/>
                <w:szCs w:val="20"/>
                <w:lang w:eastAsia="en-US"/>
              </w:rPr>
              <w:t>6.5 (5.5, 7.2)</w:t>
            </w:r>
          </w:p>
        </w:tc>
        <w:tc>
          <w:tcPr>
            <w:tcW w:w="2209" w:type="dxa"/>
            <w:tcBorders>
              <w:bottom w:val="single" w:sz="4" w:space="0" w:color="auto"/>
              <w:right w:val="single" w:sz="4" w:space="0" w:color="auto"/>
            </w:tcBorders>
          </w:tcPr>
          <w:p w14:paraId="0712472F" w14:textId="77777777" w:rsidR="00FF4209" w:rsidRPr="00C717CC" w:rsidRDefault="00FF4209" w:rsidP="004B46F6">
            <w:pPr>
              <w:keepNext/>
              <w:keepLines/>
              <w:jc w:val="center"/>
              <w:rPr>
                <w:sz w:val="20"/>
                <w:szCs w:val="20"/>
                <w:lang w:eastAsia="en-US"/>
              </w:rPr>
            </w:pPr>
            <w:r w:rsidRPr="00C717CC">
              <w:rPr>
                <w:sz w:val="20"/>
                <w:szCs w:val="20"/>
                <w:lang w:eastAsia="en-US"/>
              </w:rPr>
              <w:t>12.6</w:t>
            </w:r>
            <w:r w:rsidR="000D6853" w:rsidRPr="00C717CC">
              <w:rPr>
                <w:sz w:val="20"/>
                <w:szCs w:val="20"/>
                <w:lang w:eastAsia="en-US"/>
              </w:rPr>
              <w:t xml:space="preserve"> </w:t>
            </w:r>
            <w:r w:rsidRPr="00C717CC">
              <w:rPr>
                <w:sz w:val="20"/>
                <w:szCs w:val="20"/>
                <w:lang w:eastAsia="en-US"/>
              </w:rPr>
              <w:t>(8.4, 20.8)</w:t>
            </w:r>
          </w:p>
        </w:tc>
      </w:tr>
      <w:tr w:rsidR="00FF4209" w:rsidRPr="00C717CC" w14:paraId="07124734" w14:textId="77777777" w:rsidTr="00BF2BF0">
        <w:tblPrEx>
          <w:tblCellMar>
            <w:left w:w="108" w:type="dxa"/>
            <w:right w:w="108" w:type="dxa"/>
          </w:tblCellMar>
          <w:tblLook w:val="0000" w:firstRow="0" w:lastRow="0" w:firstColumn="0" w:lastColumn="0" w:noHBand="0" w:noVBand="0"/>
        </w:tblPrEx>
        <w:tc>
          <w:tcPr>
            <w:tcW w:w="4111" w:type="dxa"/>
            <w:tcBorders>
              <w:top w:val="single" w:sz="4" w:space="0" w:color="auto"/>
              <w:left w:val="single" w:sz="4" w:space="0" w:color="auto"/>
              <w:right w:val="single" w:sz="4" w:space="0" w:color="auto"/>
            </w:tcBorders>
          </w:tcPr>
          <w:p w14:paraId="07124731" w14:textId="77777777" w:rsidR="00FF4209" w:rsidRPr="00C717CC" w:rsidRDefault="00FF4209" w:rsidP="0070047E">
            <w:pPr>
              <w:keepLines/>
              <w:spacing w:before="60"/>
              <w:rPr>
                <w:b/>
                <w:i/>
                <w:sz w:val="20"/>
                <w:szCs w:val="20"/>
                <w:lang w:eastAsia="en-US"/>
              </w:rPr>
            </w:pPr>
            <w:r w:rsidRPr="00C717CC">
              <w:rPr>
                <w:b/>
                <w:i/>
                <w:sz w:val="20"/>
                <w:szCs w:val="20"/>
                <w:lang w:eastAsia="en-US"/>
              </w:rPr>
              <w:t>Time to Symptom Progression</w:t>
            </w:r>
          </w:p>
        </w:tc>
        <w:tc>
          <w:tcPr>
            <w:tcW w:w="2410" w:type="dxa"/>
            <w:tcBorders>
              <w:top w:val="single" w:sz="4" w:space="0" w:color="auto"/>
              <w:left w:val="single" w:sz="4" w:space="0" w:color="auto"/>
            </w:tcBorders>
          </w:tcPr>
          <w:p w14:paraId="07124732" w14:textId="77777777" w:rsidR="00FF4209" w:rsidRPr="00C717CC" w:rsidRDefault="00FF4209" w:rsidP="004B46F6">
            <w:pPr>
              <w:keepNext/>
              <w:keepLines/>
              <w:jc w:val="center"/>
              <w:rPr>
                <w:sz w:val="20"/>
                <w:szCs w:val="20"/>
              </w:rPr>
            </w:pPr>
          </w:p>
        </w:tc>
        <w:tc>
          <w:tcPr>
            <w:tcW w:w="2209" w:type="dxa"/>
            <w:tcBorders>
              <w:top w:val="single" w:sz="4" w:space="0" w:color="auto"/>
              <w:right w:val="single" w:sz="4" w:space="0" w:color="auto"/>
            </w:tcBorders>
          </w:tcPr>
          <w:p w14:paraId="07124733" w14:textId="77777777" w:rsidR="00FF4209" w:rsidRPr="00C717CC" w:rsidRDefault="00FF4209" w:rsidP="004B46F6">
            <w:pPr>
              <w:keepNext/>
              <w:keepLines/>
              <w:jc w:val="center"/>
              <w:rPr>
                <w:sz w:val="20"/>
                <w:szCs w:val="20"/>
              </w:rPr>
            </w:pPr>
          </w:p>
        </w:tc>
      </w:tr>
      <w:tr w:rsidR="00FF4209" w:rsidRPr="00C717CC" w14:paraId="07124738" w14:textId="77777777" w:rsidTr="00BF2BF0">
        <w:tblPrEx>
          <w:tblLook w:val="0000" w:firstRow="0" w:lastRow="0" w:firstColumn="0" w:lastColumn="0" w:noHBand="0" w:noVBand="0"/>
        </w:tblPrEx>
        <w:trPr>
          <w:cantSplit/>
        </w:trPr>
        <w:tc>
          <w:tcPr>
            <w:tcW w:w="4111" w:type="dxa"/>
            <w:tcBorders>
              <w:left w:val="single" w:sz="4" w:space="0" w:color="auto"/>
              <w:right w:val="single" w:sz="4" w:space="0" w:color="auto"/>
            </w:tcBorders>
            <w:vAlign w:val="bottom"/>
          </w:tcPr>
          <w:p w14:paraId="07124735" w14:textId="77777777" w:rsidR="00FF4209" w:rsidRPr="00C717CC" w:rsidRDefault="00FF4209" w:rsidP="004B46F6">
            <w:pPr>
              <w:keepLines/>
              <w:ind w:left="226"/>
              <w:rPr>
                <w:sz w:val="20"/>
                <w:szCs w:val="20"/>
                <w:lang w:eastAsia="en-US"/>
              </w:rPr>
            </w:pPr>
            <w:r w:rsidRPr="00C717CC">
              <w:rPr>
                <w:sz w:val="20"/>
                <w:szCs w:val="20"/>
                <w:lang w:eastAsia="en-US"/>
              </w:rPr>
              <w:t>Number of evaluable patients</w:t>
            </w:r>
          </w:p>
        </w:tc>
        <w:tc>
          <w:tcPr>
            <w:tcW w:w="2410" w:type="dxa"/>
            <w:tcBorders>
              <w:left w:val="single" w:sz="4" w:space="0" w:color="auto"/>
            </w:tcBorders>
            <w:vAlign w:val="bottom"/>
          </w:tcPr>
          <w:p w14:paraId="07124736" w14:textId="77777777" w:rsidR="00FF4209" w:rsidRPr="00C717CC" w:rsidRDefault="00FF4209" w:rsidP="004B46F6">
            <w:pPr>
              <w:keepNext/>
              <w:keepLines/>
              <w:jc w:val="center"/>
              <w:rPr>
                <w:sz w:val="20"/>
                <w:szCs w:val="20"/>
              </w:rPr>
            </w:pPr>
            <w:r w:rsidRPr="00C717CC">
              <w:rPr>
                <w:sz w:val="20"/>
                <w:szCs w:val="20"/>
              </w:rPr>
              <w:t>445</w:t>
            </w:r>
          </w:p>
        </w:tc>
        <w:tc>
          <w:tcPr>
            <w:tcW w:w="2209" w:type="dxa"/>
            <w:tcBorders>
              <w:right w:val="single" w:sz="4" w:space="0" w:color="auto"/>
            </w:tcBorders>
            <w:vAlign w:val="bottom"/>
          </w:tcPr>
          <w:p w14:paraId="07124737" w14:textId="77777777" w:rsidR="00FF4209" w:rsidRPr="00C717CC" w:rsidRDefault="00FF4209" w:rsidP="004B46F6">
            <w:pPr>
              <w:keepNext/>
              <w:keepLines/>
              <w:jc w:val="center"/>
              <w:rPr>
                <w:sz w:val="20"/>
                <w:szCs w:val="20"/>
              </w:rPr>
            </w:pPr>
            <w:r w:rsidRPr="00C717CC">
              <w:rPr>
                <w:sz w:val="20"/>
                <w:szCs w:val="20"/>
              </w:rPr>
              <w:t>450</w:t>
            </w:r>
          </w:p>
        </w:tc>
      </w:tr>
      <w:tr w:rsidR="00FF4209" w:rsidRPr="00C717CC" w14:paraId="0712473C" w14:textId="77777777" w:rsidTr="00BF2BF0">
        <w:tblPrEx>
          <w:tblLook w:val="0000" w:firstRow="0" w:lastRow="0" w:firstColumn="0" w:lastColumn="0" w:noHBand="0" w:noVBand="0"/>
        </w:tblPrEx>
        <w:trPr>
          <w:cantSplit/>
        </w:trPr>
        <w:tc>
          <w:tcPr>
            <w:tcW w:w="4111" w:type="dxa"/>
            <w:tcBorders>
              <w:left w:val="single" w:sz="4" w:space="0" w:color="auto"/>
              <w:right w:val="single" w:sz="4" w:space="0" w:color="auto"/>
            </w:tcBorders>
            <w:vAlign w:val="bottom"/>
          </w:tcPr>
          <w:p w14:paraId="07124739" w14:textId="77777777" w:rsidR="00FF4209" w:rsidRPr="00C717CC" w:rsidRDefault="00FF4209" w:rsidP="004B46F6">
            <w:pPr>
              <w:keepLines/>
              <w:ind w:left="226"/>
              <w:rPr>
                <w:sz w:val="20"/>
                <w:szCs w:val="20"/>
                <w:lang w:eastAsia="en-US"/>
              </w:rPr>
            </w:pPr>
            <w:r w:rsidRPr="00C717CC">
              <w:rPr>
                <w:sz w:val="20"/>
                <w:szCs w:val="20"/>
                <w:lang w:eastAsia="en-US"/>
              </w:rPr>
              <w:t xml:space="preserve">Number (%) of patients with event </w:t>
            </w:r>
          </w:p>
        </w:tc>
        <w:tc>
          <w:tcPr>
            <w:tcW w:w="2410" w:type="dxa"/>
            <w:tcBorders>
              <w:left w:val="single" w:sz="4" w:space="0" w:color="auto"/>
            </w:tcBorders>
            <w:vAlign w:val="bottom"/>
          </w:tcPr>
          <w:p w14:paraId="0712473A" w14:textId="77777777" w:rsidR="00FF4209" w:rsidRPr="00C717CC" w:rsidRDefault="00FF4209" w:rsidP="004B46F6">
            <w:pPr>
              <w:keepNext/>
              <w:keepLines/>
              <w:jc w:val="center"/>
              <w:rPr>
                <w:sz w:val="20"/>
                <w:szCs w:val="20"/>
              </w:rPr>
            </w:pPr>
            <w:r w:rsidRPr="00C717CC">
              <w:rPr>
                <w:sz w:val="20"/>
                <w:szCs w:val="20"/>
              </w:rPr>
              <w:t>257 (57.8%)</w:t>
            </w:r>
          </w:p>
        </w:tc>
        <w:tc>
          <w:tcPr>
            <w:tcW w:w="2209" w:type="dxa"/>
            <w:tcBorders>
              <w:right w:val="single" w:sz="4" w:space="0" w:color="auto"/>
            </w:tcBorders>
            <w:vAlign w:val="bottom"/>
          </w:tcPr>
          <w:p w14:paraId="0712473B" w14:textId="77777777" w:rsidR="00FF4209" w:rsidRPr="00C717CC" w:rsidRDefault="00FF4209" w:rsidP="004B46F6">
            <w:pPr>
              <w:keepNext/>
              <w:keepLines/>
              <w:jc w:val="center"/>
              <w:rPr>
                <w:sz w:val="20"/>
                <w:szCs w:val="20"/>
              </w:rPr>
            </w:pPr>
            <w:r w:rsidRPr="00C717CC">
              <w:rPr>
                <w:sz w:val="20"/>
                <w:szCs w:val="20"/>
              </w:rPr>
              <w:t>246 (54.7%)</w:t>
            </w:r>
          </w:p>
        </w:tc>
      </w:tr>
      <w:tr w:rsidR="00FF4209" w:rsidRPr="00C717CC" w14:paraId="07124740" w14:textId="77777777" w:rsidTr="00BF2BF0">
        <w:tblPrEx>
          <w:tblLook w:val="0000" w:firstRow="0" w:lastRow="0" w:firstColumn="0" w:lastColumn="0" w:noHBand="0" w:noVBand="0"/>
        </w:tblPrEx>
        <w:trPr>
          <w:cantSplit/>
        </w:trPr>
        <w:tc>
          <w:tcPr>
            <w:tcW w:w="4111" w:type="dxa"/>
            <w:tcBorders>
              <w:left w:val="single" w:sz="4" w:space="0" w:color="auto"/>
              <w:right w:val="single" w:sz="4" w:space="0" w:color="auto"/>
            </w:tcBorders>
            <w:vAlign w:val="bottom"/>
          </w:tcPr>
          <w:p w14:paraId="0712473D" w14:textId="77777777" w:rsidR="00FF4209" w:rsidRPr="00C717CC" w:rsidRDefault="00FF4209" w:rsidP="004B46F6">
            <w:pPr>
              <w:keepLines/>
              <w:ind w:left="226"/>
              <w:rPr>
                <w:sz w:val="20"/>
                <w:szCs w:val="20"/>
                <w:lang w:eastAsia="en-US"/>
              </w:rPr>
            </w:pPr>
            <w:r w:rsidRPr="00C717CC">
              <w:rPr>
                <w:sz w:val="20"/>
                <w:szCs w:val="20"/>
                <w:lang w:eastAsia="en-US"/>
              </w:rPr>
              <w:t xml:space="preserve">Median time to event (months) </w:t>
            </w:r>
          </w:p>
        </w:tc>
        <w:tc>
          <w:tcPr>
            <w:tcW w:w="2410" w:type="dxa"/>
            <w:tcBorders>
              <w:left w:val="single" w:sz="4" w:space="0" w:color="auto"/>
            </w:tcBorders>
            <w:vAlign w:val="bottom"/>
          </w:tcPr>
          <w:p w14:paraId="0712473E" w14:textId="77777777" w:rsidR="00FF4209" w:rsidRPr="00C717CC" w:rsidRDefault="00FF4209" w:rsidP="004B46F6">
            <w:pPr>
              <w:keepNext/>
              <w:keepLines/>
              <w:jc w:val="center"/>
              <w:rPr>
                <w:sz w:val="20"/>
                <w:szCs w:val="20"/>
              </w:rPr>
            </w:pPr>
            <w:r w:rsidRPr="00C717CC">
              <w:rPr>
                <w:sz w:val="20"/>
                <w:szCs w:val="20"/>
              </w:rPr>
              <w:t>4.6</w:t>
            </w:r>
          </w:p>
        </w:tc>
        <w:tc>
          <w:tcPr>
            <w:tcW w:w="2209" w:type="dxa"/>
            <w:tcBorders>
              <w:right w:val="single" w:sz="4" w:space="0" w:color="auto"/>
            </w:tcBorders>
            <w:vAlign w:val="bottom"/>
          </w:tcPr>
          <w:p w14:paraId="0712473F" w14:textId="77777777" w:rsidR="00FF4209" w:rsidRPr="00C717CC" w:rsidRDefault="00FF4209" w:rsidP="004B46F6">
            <w:pPr>
              <w:keepNext/>
              <w:keepLines/>
              <w:jc w:val="center"/>
              <w:rPr>
                <w:sz w:val="20"/>
                <w:szCs w:val="20"/>
              </w:rPr>
            </w:pPr>
            <w:r w:rsidRPr="00C717CC">
              <w:rPr>
                <w:sz w:val="20"/>
                <w:szCs w:val="20"/>
              </w:rPr>
              <w:t>7.1</w:t>
            </w:r>
          </w:p>
        </w:tc>
      </w:tr>
      <w:tr w:rsidR="00FF4209" w:rsidRPr="00C717CC" w14:paraId="07124745" w14:textId="77777777" w:rsidTr="00BF2BF0">
        <w:tblPrEx>
          <w:tblLook w:val="0000" w:firstRow="0" w:lastRow="0" w:firstColumn="0" w:lastColumn="0" w:noHBand="0" w:noVBand="0"/>
        </w:tblPrEx>
        <w:trPr>
          <w:cantSplit/>
        </w:trPr>
        <w:tc>
          <w:tcPr>
            <w:tcW w:w="4111" w:type="dxa"/>
            <w:tcBorders>
              <w:left w:val="single" w:sz="4" w:space="0" w:color="auto"/>
              <w:right w:val="single" w:sz="4" w:space="0" w:color="auto"/>
            </w:tcBorders>
            <w:vAlign w:val="bottom"/>
          </w:tcPr>
          <w:p w14:paraId="07124741" w14:textId="77777777" w:rsidR="00FF4209" w:rsidRPr="00C717CC" w:rsidRDefault="00FF4209" w:rsidP="004B46F6">
            <w:pPr>
              <w:keepLines/>
              <w:ind w:left="226"/>
              <w:rPr>
                <w:sz w:val="20"/>
                <w:szCs w:val="20"/>
                <w:lang w:eastAsia="en-US"/>
              </w:rPr>
            </w:pPr>
            <w:r w:rsidRPr="00C717CC">
              <w:rPr>
                <w:sz w:val="20"/>
                <w:szCs w:val="20"/>
                <w:lang w:eastAsia="en-US"/>
              </w:rPr>
              <w:t>HR, 95% CI</w:t>
            </w:r>
          </w:p>
          <w:p w14:paraId="07124742" w14:textId="77777777" w:rsidR="0042026F" w:rsidRPr="00C717CC" w:rsidRDefault="0042026F" w:rsidP="004B46F6">
            <w:pPr>
              <w:keepLines/>
              <w:ind w:left="226"/>
              <w:rPr>
                <w:sz w:val="20"/>
                <w:szCs w:val="20"/>
                <w:lang w:eastAsia="en-US"/>
              </w:rPr>
            </w:pPr>
            <w:r w:rsidRPr="00C717CC">
              <w:rPr>
                <w:sz w:val="20"/>
                <w:szCs w:val="20"/>
                <w:lang w:eastAsia="en-US"/>
              </w:rPr>
              <w:t>p-value (Log-Rank test</w:t>
            </w:r>
            <w:r w:rsidR="002269FF" w:rsidRPr="00C717CC">
              <w:rPr>
                <w:sz w:val="20"/>
                <w:szCs w:val="20"/>
                <w:vertAlign w:val="superscript"/>
              </w:rPr>
              <w:t xml:space="preserve"> a</w:t>
            </w:r>
            <w:r w:rsidRPr="00C717CC">
              <w:rPr>
                <w:sz w:val="20"/>
                <w:szCs w:val="20"/>
                <w:lang w:eastAsia="en-US"/>
              </w:rPr>
              <w:t>)</w:t>
            </w:r>
          </w:p>
        </w:tc>
        <w:tc>
          <w:tcPr>
            <w:tcW w:w="4619" w:type="dxa"/>
            <w:gridSpan w:val="2"/>
            <w:tcBorders>
              <w:left w:val="single" w:sz="4" w:space="0" w:color="auto"/>
              <w:right w:val="single" w:sz="4" w:space="0" w:color="auto"/>
            </w:tcBorders>
            <w:vAlign w:val="bottom"/>
          </w:tcPr>
          <w:p w14:paraId="07124743" w14:textId="77777777" w:rsidR="00FF4209" w:rsidRPr="00C717CC" w:rsidRDefault="00FF4209" w:rsidP="004B46F6">
            <w:pPr>
              <w:keepNext/>
              <w:keepLines/>
              <w:jc w:val="center"/>
              <w:rPr>
                <w:sz w:val="20"/>
                <w:szCs w:val="20"/>
              </w:rPr>
            </w:pPr>
            <w:r w:rsidRPr="00C717CC">
              <w:rPr>
                <w:sz w:val="20"/>
                <w:szCs w:val="20"/>
              </w:rPr>
              <w:t>0.796 (0.667, 0.951)</w:t>
            </w:r>
          </w:p>
          <w:p w14:paraId="07124744" w14:textId="77777777" w:rsidR="0042026F" w:rsidRPr="00C717CC" w:rsidRDefault="0042026F" w:rsidP="004B46F6">
            <w:pPr>
              <w:keepNext/>
              <w:keepLines/>
              <w:jc w:val="center"/>
              <w:rPr>
                <w:sz w:val="20"/>
                <w:szCs w:val="20"/>
              </w:rPr>
            </w:pPr>
            <w:r w:rsidRPr="00C717CC">
              <w:rPr>
                <w:sz w:val="20"/>
                <w:szCs w:val="20"/>
              </w:rPr>
              <w:t>0.0121</w:t>
            </w:r>
          </w:p>
        </w:tc>
      </w:tr>
      <w:tr w:rsidR="00FF4209" w:rsidRPr="00C717CC" w14:paraId="0712474B" w14:textId="77777777" w:rsidTr="00916258">
        <w:tblPrEx>
          <w:tblLook w:val="0000" w:firstRow="0" w:lastRow="0" w:firstColumn="0" w:lastColumn="0" w:noHBand="0" w:noVBand="0"/>
        </w:tblPrEx>
        <w:trPr>
          <w:cantSplit/>
        </w:trPr>
        <w:tc>
          <w:tcPr>
            <w:tcW w:w="8730" w:type="dxa"/>
            <w:gridSpan w:val="3"/>
            <w:tcBorders>
              <w:top w:val="single" w:sz="4" w:space="0" w:color="auto"/>
            </w:tcBorders>
          </w:tcPr>
          <w:p w14:paraId="07124746" w14:textId="77777777" w:rsidR="002051AA" w:rsidRPr="00C717CC" w:rsidRDefault="00FF4209" w:rsidP="004B46F6">
            <w:pPr>
              <w:keepLines/>
              <w:ind w:left="245" w:hanging="216"/>
              <w:rPr>
                <w:sz w:val="20"/>
                <w:szCs w:val="20"/>
              </w:rPr>
            </w:pPr>
            <w:r w:rsidRPr="00C717CC">
              <w:rPr>
                <w:sz w:val="20"/>
                <w:szCs w:val="20"/>
              </w:rPr>
              <w:tab/>
            </w:r>
          </w:p>
          <w:p w14:paraId="07124747" w14:textId="77777777" w:rsidR="00FF4209" w:rsidRPr="00C717CC" w:rsidRDefault="00FF4209" w:rsidP="004B46F6">
            <w:pPr>
              <w:keepLines/>
              <w:ind w:left="245" w:hanging="216"/>
              <w:rPr>
                <w:sz w:val="18"/>
                <w:szCs w:val="18"/>
              </w:rPr>
            </w:pPr>
            <w:r w:rsidRPr="00C717CC">
              <w:rPr>
                <w:sz w:val="18"/>
                <w:szCs w:val="18"/>
              </w:rPr>
              <w:t>PFS: progression-free survival; OR: objective response</w:t>
            </w:r>
          </w:p>
          <w:p w14:paraId="07124748" w14:textId="77777777" w:rsidR="00FF4209" w:rsidRPr="00C717CC" w:rsidRDefault="004249BE" w:rsidP="004B46F6">
            <w:pPr>
              <w:keepLines/>
              <w:ind w:left="245" w:hanging="216"/>
              <w:rPr>
                <w:sz w:val="18"/>
                <w:szCs w:val="18"/>
              </w:rPr>
            </w:pPr>
            <w:r w:rsidRPr="00C717CC">
              <w:rPr>
                <w:sz w:val="20"/>
                <w:szCs w:val="20"/>
                <w:vertAlign w:val="superscript"/>
              </w:rPr>
              <w:t xml:space="preserve">a </w:t>
            </w:r>
            <w:r w:rsidR="00FF4209" w:rsidRPr="00C717CC">
              <w:rPr>
                <w:sz w:val="18"/>
                <w:szCs w:val="18"/>
              </w:rPr>
              <w:t xml:space="preserve"> Stratified by: world region (United States, Western Europe, Other), number of prior chemotherapeutic regimens for locally advanced or metastatic disease (0-1 vs. &gt; 1), and visceral vs. non-visceral disease.</w:t>
            </w:r>
          </w:p>
          <w:p w14:paraId="07124749" w14:textId="77777777" w:rsidR="00FF4209" w:rsidRPr="00C717CC" w:rsidRDefault="004249BE" w:rsidP="004B46F6">
            <w:pPr>
              <w:keepNext/>
              <w:keepLines/>
              <w:ind w:left="245" w:hanging="216"/>
              <w:rPr>
                <w:sz w:val="18"/>
                <w:szCs w:val="18"/>
              </w:rPr>
            </w:pPr>
            <w:r w:rsidRPr="00C717CC">
              <w:rPr>
                <w:sz w:val="20"/>
                <w:szCs w:val="20"/>
                <w:vertAlign w:val="superscript"/>
              </w:rPr>
              <w:t xml:space="preserve">b </w:t>
            </w:r>
            <w:r w:rsidR="00FF4209" w:rsidRPr="00C717CC">
              <w:rPr>
                <w:sz w:val="18"/>
                <w:szCs w:val="18"/>
              </w:rPr>
              <w:t xml:space="preserve"> </w:t>
            </w:r>
            <w:r w:rsidR="00D04CB4" w:rsidRPr="00C717CC">
              <w:rPr>
                <w:sz w:val="18"/>
                <w:szCs w:val="18"/>
              </w:rPr>
              <w:t>The first interim analysis of overall survival (OS) was performed at the time of primary PFS analysis. Strong treatment effect was observed, but pre-specified efficacy boundary was not crossed. A second interim analysis for OS was conducted when 331 OS events were observed and the results are presented in this table.</w:t>
            </w:r>
          </w:p>
          <w:p w14:paraId="0712474A" w14:textId="77777777" w:rsidR="00FF4209" w:rsidRPr="00C717CC" w:rsidRDefault="00FF4209" w:rsidP="004B46F6">
            <w:pPr>
              <w:pStyle w:val="TextTi12"/>
              <w:spacing w:after="0" w:line="240" w:lineRule="auto"/>
              <w:rPr>
                <w:sz w:val="20"/>
              </w:rPr>
            </w:pPr>
          </w:p>
        </w:tc>
      </w:tr>
    </w:tbl>
    <w:p w14:paraId="1F20B24C" w14:textId="77777777" w:rsidR="00F91510" w:rsidRPr="00C717CC" w:rsidRDefault="00D85288" w:rsidP="004B46F6">
      <w:pPr>
        <w:pStyle w:val="TextTi12"/>
        <w:spacing w:after="0" w:line="240" w:lineRule="auto"/>
      </w:pPr>
      <w:r w:rsidRPr="00C717CC">
        <w:t>A treatment benefit was seen i</w:t>
      </w:r>
      <w:r w:rsidR="004B46F6" w:rsidRPr="00C717CC">
        <w:t xml:space="preserve">n the subgroup of patients who did not receive any </w:t>
      </w:r>
      <w:r w:rsidR="009C19C6" w:rsidRPr="00C717CC">
        <w:t xml:space="preserve">prior </w:t>
      </w:r>
      <w:r w:rsidR="004B46F6" w:rsidRPr="00C717CC">
        <w:t xml:space="preserve">systemic </w:t>
      </w:r>
      <w:r w:rsidRPr="00C717CC">
        <w:t xml:space="preserve">anti-cancer </w:t>
      </w:r>
      <w:r w:rsidR="004B46F6" w:rsidRPr="00C717CC">
        <w:t>therapy in the metastatic setting (n=118)</w:t>
      </w:r>
      <w:r w:rsidRPr="00C717CC">
        <w:t>;</w:t>
      </w:r>
      <w:r w:rsidR="004B46F6" w:rsidRPr="00C717CC">
        <w:t xml:space="preserve"> </w:t>
      </w:r>
      <w:r w:rsidRPr="00C717CC">
        <w:t>hazard ratio for PFS and OS were 0.51 (95% CI: 0.30, 0.85) and 0.61 (95% CI: 0.32, 1.16), respectively. The median PFS and OS for the KADCYLA group were 10.8 months and not reached, respectively, compared with 5.7 months and 27.9 months, respectively, for the lapatinib plus capecitabine group.</w:t>
      </w:r>
    </w:p>
    <w:p w14:paraId="0712474D" w14:textId="4D4FB562" w:rsidR="00853FEB" w:rsidRDefault="00F91510" w:rsidP="004B46F6">
      <w:pPr>
        <w:pStyle w:val="TextTi12"/>
        <w:spacing w:after="0" w:line="240" w:lineRule="auto"/>
        <w:rPr>
          <w:lang w:val="en-GB"/>
        </w:rPr>
      </w:pPr>
      <w:r w:rsidRPr="00C717CC">
        <w:rPr>
          <w:lang w:val="en-AU"/>
        </w:rPr>
        <w:lastRenderedPageBreak/>
        <w:t xml:space="preserve">Of 495 patients who received KADCYLA in EMILIA, 65 patients (13%) were ≥ 65 years of age and 11 patients (2%) were ≥ 75 years of age.  A trend for treatment benefit with KADCYLA compared to the control arm in terms of PFS for the subgroup of patients who were 65 to 74 years old was observed (total n=113; HR = 0.88, 95% CI: 0.53, 1.45). </w:t>
      </w:r>
      <w:r w:rsidRPr="00C717CC">
        <w:rPr>
          <w:lang w:val="en-GB"/>
        </w:rPr>
        <w:t xml:space="preserve">For patients </w:t>
      </w:r>
      <w:r w:rsidRPr="00C717CC">
        <w:rPr>
          <w:lang w:val="en-AU"/>
        </w:rPr>
        <w:t>≥ 75 years of age</w:t>
      </w:r>
      <w:r w:rsidRPr="00C717CC">
        <w:rPr>
          <w:lang w:val="en-GB"/>
        </w:rPr>
        <w:t xml:space="preserve">, </w:t>
      </w:r>
      <w:r w:rsidRPr="00C717CC">
        <w:rPr>
          <w:lang w:val="en-AU"/>
        </w:rPr>
        <w:t xml:space="preserve">based on IRC assessments, the hazard ratios for PFS and OS were 3.51 (95% CI: 1.22, 10.13) and 3.45 (95% CI: 0.94, 12.65), respectively. </w:t>
      </w:r>
      <w:r w:rsidRPr="00C717CC">
        <w:rPr>
          <w:lang w:val="en-GB"/>
        </w:rPr>
        <w:t>The subgroup of patients 75 years or above did not demonstrate a benefit for PFS or OS, but was too small (n=25) to dr</w:t>
      </w:r>
      <w:r w:rsidR="00225C83">
        <w:rPr>
          <w:lang w:val="en-GB"/>
        </w:rPr>
        <w:t>aw any definitive conclusions.</w:t>
      </w:r>
    </w:p>
    <w:p w14:paraId="5B330F7A" w14:textId="77777777" w:rsidR="00225C83" w:rsidRPr="00C717CC" w:rsidRDefault="00225C83" w:rsidP="004B46F6">
      <w:pPr>
        <w:pStyle w:val="TextTi12"/>
        <w:spacing w:after="0" w:line="240" w:lineRule="auto"/>
      </w:pPr>
    </w:p>
    <w:p w14:paraId="0712474F" w14:textId="1308A182" w:rsidR="00FF4209" w:rsidRPr="00C717CC" w:rsidRDefault="00FF4209" w:rsidP="00E42D56">
      <w:pPr>
        <w:pStyle w:val="FigureTitle"/>
        <w:keepNext w:val="0"/>
        <w:keepLines w:val="0"/>
        <w:jc w:val="center"/>
      </w:pPr>
      <w:r w:rsidRPr="00C717CC">
        <w:t>Figure </w:t>
      </w:r>
      <w:r w:rsidR="0070047E" w:rsidRPr="00C717CC">
        <w:fldChar w:fldCharType="begin"/>
      </w:r>
      <w:r w:rsidR="0070047E" w:rsidRPr="00C717CC">
        <w:instrText xml:space="preserve"> SEQ Figure \* ARABIC \r1 </w:instrText>
      </w:r>
      <w:r w:rsidR="0070047E" w:rsidRPr="00C717CC">
        <w:fldChar w:fldCharType="separate"/>
      </w:r>
      <w:r w:rsidR="00560709">
        <w:rPr>
          <w:noProof/>
        </w:rPr>
        <w:t>1</w:t>
      </w:r>
      <w:r w:rsidR="0070047E" w:rsidRPr="00C717CC">
        <w:fldChar w:fldCharType="end"/>
      </w:r>
      <w:r w:rsidRPr="00C717CC">
        <w:tab/>
        <w:t>Kaplan-Meier curve of IRC-assessed progression-free survival</w:t>
      </w:r>
    </w:p>
    <w:p w14:paraId="07124751" w14:textId="77777777" w:rsidR="00FF4209" w:rsidRPr="00C717CC" w:rsidRDefault="00FF4209" w:rsidP="00E42D56">
      <w:pPr>
        <w:pStyle w:val="FigureHolder"/>
        <w:keepNext w:val="0"/>
        <w:keepLines w:val="0"/>
        <w:jc w:val="both"/>
      </w:pPr>
      <w:r w:rsidRPr="00C717CC">
        <w:rPr>
          <w:noProof/>
          <w:lang w:val="en-AU" w:eastAsia="en-AU"/>
        </w:rPr>
        <w:drawing>
          <wp:inline distT="0" distB="0" distL="0" distR="0" wp14:anchorId="07124987" wp14:editId="07124988">
            <wp:extent cx="5800725" cy="3843109"/>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00725" cy="3843109"/>
                    </a:xfrm>
                    <a:prstGeom prst="rect">
                      <a:avLst/>
                    </a:prstGeom>
                    <a:noFill/>
                    <a:ln>
                      <a:noFill/>
                    </a:ln>
                  </pic:spPr>
                </pic:pic>
              </a:graphicData>
            </a:graphic>
          </wp:inline>
        </w:drawing>
      </w:r>
    </w:p>
    <w:p w14:paraId="07124752" w14:textId="77777777" w:rsidR="00FF4209" w:rsidRPr="00C717CC" w:rsidRDefault="00FF4209" w:rsidP="00E42D56">
      <w:pPr>
        <w:pStyle w:val="TabFigNote"/>
        <w:keepNext w:val="0"/>
        <w:keepLines w:val="0"/>
      </w:pPr>
    </w:p>
    <w:p w14:paraId="07124753" w14:textId="77777777" w:rsidR="00FF4209" w:rsidRPr="00C717CC" w:rsidRDefault="00FF4209" w:rsidP="00BF2BF0">
      <w:pPr>
        <w:pStyle w:val="FigureTitle"/>
      </w:pPr>
      <w:r w:rsidRPr="00C717CC">
        <w:lastRenderedPageBreak/>
        <w:t>Figure </w:t>
      </w:r>
      <w:r w:rsidR="0070047E" w:rsidRPr="00C717CC">
        <w:fldChar w:fldCharType="begin"/>
      </w:r>
      <w:r w:rsidR="0070047E" w:rsidRPr="00C717CC">
        <w:instrText xml:space="preserve"> SEQ Figure \* ARABIC </w:instrText>
      </w:r>
      <w:r w:rsidR="0070047E" w:rsidRPr="00C717CC">
        <w:fldChar w:fldCharType="separate"/>
      </w:r>
      <w:r w:rsidR="00560709">
        <w:rPr>
          <w:noProof/>
        </w:rPr>
        <w:t>2</w:t>
      </w:r>
      <w:r w:rsidR="0070047E" w:rsidRPr="00C717CC">
        <w:fldChar w:fldCharType="end"/>
      </w:r>
      <w:r w:rsidRPr="00C717CC">
        <w:tab/>
        <w:t>Kaplan-Meier curve of overall survival</w:t>
      </w:r>
    </w:p>
    <w:p w14:paraId="07124754" w14:textId="77777777" w:rsidR="00D85288" w:rsidRPr="00C717CC" w:rsidRDefault="00D85288" w:rsidP="00C16CED">
      <w:pPr>
        <w:pStyle w:val="FigureHolder"/>
      </w:pPr>
      <w:r w:rsidRPr="00C717CC">
        <w:rPr>
          <w:noProof/>
          <w:lang w:val="en-AU" w:eastAsia="en-AU"/>
        </w:rPr>
        <w:drawing>
          <wp:inline distT="0" distB="0" distL="0" distR="0" wp14:anchorId="07124989" wp14:editId="0712498A">
            <wp:extent cx="5476875" cy="3619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76875" cy="3619500"/>
                    </a:xfrm>
                    <a:prstGeom prst="rect">
                      <a:avLst/>
                    </a:prstGeom>
                    <a:noFill/>
                    <a:ln>
                      <a:noFill/>
                    </a:ln>
                  </pic:spPr>
                </pic:pic>
              </a:graphicData>
            </a:graphic>
          </wp:inline>
        </w:drawing>
      </w:r>
    </w:p>
    <w:p w14:paraId="07124755" w14:textId="77777777" w:rsidR="000A6CB4" w:rsidRPr="00C717CC" w:rsidRDefault="000A6CB4" w:rsidP="00FF4209">
      <w:pPr>
        <w:spacing w:after="120"/>
      </w:pPr>
    </w:p>
    <w:p w14:paraId="07124756" w14:textId="5984A80F" w:rsidR="005629E6" w:rsidRPr="00C717CC" w:rsidRDefault="005629E6" w:rsidP="00853733">
      <w:pPr>
        <w:pStyle w:val="Heading3"/>
        <w:spacing w:after="120"/>
      </w:pPr>
      <w:r w:rsidRPr="00C717CC">
        <w:t>TDM4450g/BO21976</w:t>
      </w:r>
    </w:p>
    <w:p w14:paraId="07124757" w14:textId="77777777" w:rsidR="00E91CB9" w:rsidRPr="00C717CC" w:rsidRDefault="00B759BB" w:rsidP="00E91CB9">
      <w:pPr>
        <w:spacing w:after="120"/>
        <w:rPr>
          <w:szCs w:val="16"/>
        </w:rPr>
      </w:pPr>
      <w:r w:rsidRPr="00C717CC">
        <w:t>TDM4450g was a</w:t>
      </w:r>
      <w:r w:rsidR="00853733" w:rsidRPr="00C717CC">
        <w:t xml:space="preserve"> randomized, multicentre, open-label phase II study </w:t>
      </w:r>
      <w:r w:rsidRPr="00C717CC">
        <w:t xml:space="preserve">to </w:t>
      </w:r>
      <w:r w:rsidR="002B3711" w:rsidRPr="00C717CC">
        <w:t xml:space="preserve">evaluate </w:t>
      </w:r>
      <w:r w:rsidR="00853733" w:rsidRPr="00C717CC">
        <w:t xml:space="preserve">the effects of </w:t>
      </w:r>
      <w:r w:rsidR="007C3F9E" w:rsidRPr="00C717CC">
        <w:t>KADCYLA</w:t>
      </w:r>
      <w:r w:rsidR="00853733" w:rsidRPr="00C717CC">
        <w:t xml:space="preserve"> versus trastuzumab plus docetaxel in patients with HER2-positive MBC who had not received prior chemotherapy for metastatic disease.</w:t>
      </w:r>
      <w:r w:rsidR="00E91CB9" w:rsidRPr="00C717CC">
        <w:t xml:space="preserve"> Patients were randomized to receive KADCYLA, </w:t>
      </w:r>
      <w:r w:rsidR="00E91CB9" w:rsidRPr="00C717CC">
        <w:rPr>
          <w:szCs w:val="16"/>
        </w:rPr>
        <w:t>3.6 mg/kg IV every 3 weeks (n=67), or trastuzumab, 8 mg/kg IV loading dose, followed by 6 mg/kg IV, every 3 weeks + docetaxel 75-100 mg/m</w:t>
      </w:r>
      <w:r w:rsidR="00E91CB9" w:rsidRPr="00C717CC">
        <w:rPr>
          <w:szCs w:val="16"/>
          <w:vertAlign w:val="superscript"/>
        </w:rPr>
        <w:t>2</w:t>
      </w:r>
      <w:r w:rsidR="00E91CB9" w:rsidRPr="00C717CC">
        <w:rPr>
          <w:szCs w:val="16"/>
        </w:rPr>
        <w:t xml:space="preserve"> IV every 3 weeks (n=70).</w:t>
      </w:r>
    </w:p>
    <w:p w14:paraId="07124758" w14:textId="77777777" w:rsidR="00E91CB9" w:rsidRPr="00C717CC" w:rsidRDefault="00E91CB9" w:rsidP="00E91CB9">
      <w:pPr>
        <w:spacing w:after="120"/>
      </w:pPr>
      <w:r w:rsidRPr="00C717CC">
        <w:t>The primary endpoint was PFS assessed by the investigator. The median PFS was 9.2 months in the trastuzumab + docetaxel arm and 14.2 months in the KADCYLA arm (HR: 0.59; p=0.035), with a median follow-up of approximately 14 months in both arms. The ORR was 58.0% with trastuzumab + docetaxel and 64.2% with KADCYLA. The median duration of response was not reached with KADCYLA vs. median duration 9.5 months in the control arm.</w:t>
      </w:r>
    </w:p>
    <w:p w14:paraId="07124759" w14:textId="77777777" w:rsidR="003378A9" w:rsidRPr="00C717CC" w:rsidRDefault="00E91CB9" w:rsidP="00ED2F00">
      <w:pPr>
        <w:spacing w:after="120"/>
      </w:pPr>
      <w:r w:rsidRPr="00C717CC">
        <w:t xml:space="preserve">The worsening of the FACT-B TOI scores was delayed in the </w:t>
      </w:r>
      <w:r w:rsidR="00ED2F00" w:rsidRPr="00C717CC">
        <w:t>KADCYLA</w:t>
      </w:r>
      <w:r w:rsidRPr="00C717CC">
        <w:t xml:space="preserve"> arm compared with the control arm (median time to symptom progression was 7.5 months in the </w:t>
      </w:r>
      <w:r w:rsidR="00ED2F00" w:rsidRPr="00C717CC">
        <w:t>KADCYLA</w:t>
      </w:r>
      <w:r w:rsidRPr="00C717CC">
        <w:t xml:space="preserve">  arm vs. 3.5 months in the control arm; </w:t>
      </w:r>
      <w:r w:rsidR="00ED2F00" w:rsidRPr="00C717CC">
        <w:t>HR:</w:t>
      </w:r>
      <w:r w:rsidRPr="00C717CC">
        <w:t xml:space="preserve"> 0.58; p=0.022).</w:t>
      </w:r>
    </w:p>
    <w:p w14:paraId="0712475B" w14:textId="11D7803C" w:rsidR="005629E6" w:rsidRPr="00C717CC" w:rsidRDefault="00225C83" w:rsidP="00853733">
      <w:pPr>
        <w:pStyle w:val="Heading3"/>
        <w:spacing w:after="120"/>
      </w:pPr>
      <w:r>
        <w:t>TDM4374g</w:t>
      </w:r>
    </w:p>
    <w:p w14:paraId="0712475C" w14:textId="135F3865" w:rsidR="00530C53" w:rsidRPr="00C717CC" w:rsidRDefault="00B759BB" w:rsidP="00496BA0">
      <w:pPr>
        <w:pStyle w:val="TextTi12"/>
        <w:spacing w:after="120" w:line="240" w:lineRule="auto"/>
      </w:pPr>
      <w:r w:rsidRPr="00C717CC">
        <w:t>TDM4374g was a p</w:t>
      </w:r>
      <w:r w:rsidR="00853733" w:rsidRPr="00C717CC">
        <w:t xml:space="preserve">hase II single-arm, open-label study </w:t>
      </w:r>
      <w:r w:rsidRPr="00C717CC">
        <w:t xml:space="preserve">to </w:t>
      </w:r>
      <w:r w:rsidR="002B3711" w:rsidRPr="00C717CC">
        <w:t xml:space="preserve">evaluate </w:t>
      </w:r>
      <w:r w:rsidR="00853733" w:rsidRPr="00C717CC">
        <w:t xml:space="preserve">the effects of </w:t>
      </w:r>
      <w:r w:rsidR="007C3F9E" w:rsidRPr="00C717CC">
        <w:t>KADCYLA</w:t>
      </w:r>
      <w:r w:rsidRPr="00C717CC">
        <w:t xml:space="preserve"> </w:t>
      </w:r>
      <w:r w:rsidR="00853733" w:rsidRPr="00C717CC">
        <w:t>in patients with HER2</w:t>
      </w:r>
      <w:r w:rsidR="00530C53" w:rsidRPr="00C717CC">
        <w:t xml:space="preserve"> </w:t>
      </w:r>
      <w:r w:rsidR="00853733" w:rsidRPr="00C717CC">
        <w:t>positive incurable, locally advanced, or MBC. All patients were previously treated with HER2-directed therapies (trastuzumab and lapatinib) and chemotherapy (anthracycline, taxane, and capecitabine) in the neoadjuvant, adjuvant, locally advanced, or metastatic setting.</w:t>
      </w:r>
      <w:r w:rsidR="00530C53" w:rsidRPr="00C717CC">
        <w:rPr>
          <w:rFonts w:eastAsia="MS Mincho"/>
          <w:color w:val="000000"/>
          <w:lang w:eastAsia="en-US"/>
        </w:rPr>
        <w:t xml:space="preserve"> The median number of anti-cancer agents that patients </w:t>
      </w:r>
      <w:r w:rsidR="00530C53" w:rsidRPr="00C717CC">
        <w:rPr>
          <w:rFonts w:eastAsia="MS Mincho"/>
          <w:color w:val="000000"/>
          <w:lang w:eastAsia="en-US"/>
        </w:rPr>
        <w:lastRenderedPageBreak/>
        <w:t>received in any setting was 8.5 (range, 5–19) and in the metastatic setting was 7.0 (range, 3–17) including all agents intended for the treatment of breast cancer.</w:t>
      </w:r>
    </w:p>
    <w:p w14:paraId="0712475D" w14:textId="604E3672" w:rsidR="00530C53" w:rsidRPr="00C717CC" w:rsidRDefault="00530C53" w:rsidP="00530C53">
      <w:pPr>
        <w:pStyle w:val="TextTi12"/>
        <w:rPr>
          <w:rFonts w:eastAsia="MS Mincho"/>
          <w:lang w:eastAsia="de-DE"/>
        </w:rPr>
      </w:pPr>
      <w:r w:rsidRPr="00C717CC">
        <w:rPr>
          <w:rFonts w:eastAsia="MS Mincho"/>
          <w:lang w:eastAsia="de-DE"/>
        </w:rPr>
        <w:t xml:space="preserve">Patients (n=110) received 3.6 mg/kg of </w:t>
      </w:r>
      <w:r w:rsidRPr="00C717CC">
        <w:t>KADCYLA</w:t>
      </w:r>
      <w:r w:rsidRPr="00C717CC">
        <w:rPr>
          <w:rFonts w:eastAsia="MS Mincho"/>
          <w:lang w:eastAsia="de-DE"/>
        </w:rPr>
        <w:t xml:space="preserve"> IV every 3 weeks until disease progre</w:t>
      </w:r>
      <w:r w:rsidR="00225C83">
        <w:rPr>
          <w:rFonts w:eastAsia="MS Mincho"/>
          <w:lang w:eastAsia="de-DE"/>
        </w:rPr>
        <w:t>ssion or unacceptable toxicity.</w:t>
      </w:r>
    </w:p>
    <w:p w14:paraId="0712475E" w14:textId="0F4E9EE7" w:rsidR="00F01F12" w:rsidRPr="00C717CC" w:rsidRDefault="00530C53" w:rsidP="007E03C2">
      <w:pPr>
        <w:rPr>
          <w:iCs/>
          <w:lang w:eastAsia="de-DE"/>
        </w:rPr>
      </w:pPr>
      <w:r w:rsidRPr="00C717CC">
        <w:rPr>
          <w:lang w:eastAsia="de-DE"/>
        </w:rPr>
        <w:t xml:space="preserve">The key efficacy analyses were ORR based on independent radiologic review and duration of objective response. </w:t>
      </w:r>
      <w:r w:rsidRPr="00C717CC">
        <w:rPr>
          <w:iCs/>
          <w:lang w:eastAsia="de-DE"/>
        </w:rPr>
        <w:t xml:space="preserve">The ORR was 32.7% (95% CI: 24.1, 42.1), n=36 responders, by both IRC and investigator review.  The median duration of response by </w:t>
      </w:r>
      <w:r w:rsidR="00496BA0" w:rsidRPr="00C717CC">
        <w:rPr>
          <w:iCs/>
          <w:lang w:eastAsia="de-DE"/>
        </w:rPr>
        <w:t>Independent Review Committee</w:t>
      </w:r>
      <w:r w:rsidRPr="00C717CC">
        <w:rPr>
          <w:iCs/>
          <w:lang w:eastAsia="de-DE"/>
        </w:rPr>
        <w:t xml:space="preserve"> was not reached (95% CI</w:t>
      </w:r>
      <w:r w:rsidR="00225C83">
        <w:rPr>
          <w:iCs/>
          <w:lang w:eastAsia="de-DE"/>
        </w:rPr>
        <w:t>, 4.6 months to not estimable).</w:t>
      </w:r>
    </w:p>
    <w:p w14:paraId="0712475F" w14:textId="77777777" w:rsidR="00D844B2" w:rsidRPr="00C717CC" w:rsidRDefault="00D844B2" w:rsidP="00E42D56">
      <w:pPr>
        <w:pStyle w:val="Heading1"/>
        <w:spacing w:before="360"/>
        <w:rPr>
          <w:rFonts w:hint="eastAsia"/>
        </w:rPr>
      </w:pPr>
      <w:r w:rsidRPr="00C717CC">
        <w:t>Indications</w:t>
      </w:r>
    </w:p>
    <w:p w14:paraId="07124760" w14:textId="104E46AF" w:rsidR="009C4D56" w:rsidRPr="00C717CC" w:rsidRDefault="007C3F9E" w:rsidP="00E5358E">
      <w:pPr>
        <w:pStyle w:val="TextTi12"/>
        <w:tabs>
          <w:tab w:val="left" w:pos="1418"/>
        </w:tabs>
        <w:spacing w:after="120" w:line="240" w:lineRule="auto"/>
      </w:pPr>
      <w:r w:rsidRPr="00C717CC">
        <w:t>KADCYLA</w:t>
      </w:r>
      <w:r w:rsidR="009C4D56" w:rsidRPr="00C717CC">
        <w:t xml:space="preserve">, as a single agent, is indicated for </w:t>
      </w:r>
      <w:r w:rsidR="00B5183E" w:rsidRPr="00C717CC">
        <w:t>the treatment</w:t>
      </w:r>
      <w:r w:rsidR="009C4D56" w:rsidRPr="00C717CC">
        <w:t xml:space="preserve"> of </w:t>
      </w:r>
      <w:r w:rsidR="00E16B81" w:rsidRPr="00C717CC">
        <w:t xml:space="preserve">patients with </w:t>
      </w:r>
      <w:r w:rsidR="009C4D56" w:rsidRPr="00C717CC">
        <w:t>HER2</w:t>
      </w:r>
      <w:r w:rsidR="00463520" w:rsidRPr="00C717CC">
        <w:t>-</w:t>
      </w:r>
      <w:r w:rsidR="009C4D56" w:rsidRPr="00C717CC">
        <w:t xml:space="preserve">positive metastatic (Stage IV) </w:t>
      </w:r>
      <w:r w:rsidR="00E16B81" w:rsidRPr="00C717CC">
        <w:t xml:space="preserve">breast cancer who </w:t>
      </w:r>
      <w:r w:rsidR="006F1311" w:rsidRPr="00C717CC">
        <w:t xml:space="preserve">previously </w:t>
      </w:r>
      <w:r w:rsidR="00E16B81" w:rsidRPr="00C717CC">
        <w:t xml:space="preserve">received </w:t>
      </w:r>
      <w:r w:rsidR="009C4D56" w:rsidRPr="00C717CC">
        <w:t>trastuzumab and a taxane</w:t>
      </w:r>
      <w:r w:rsidR="006F1311" w:rsidRPr="00C717CC">
        <w:t>, separately or in combination</w:t>
      </w:r>
      <w:r w:rsidR="009C4D56" w:rsidRPr="00C717CC">
        <w:t>.</w:t>
      </w:r>
      <w:r w:rsidR="006F1311" w:rsidRPr="00C717CC">
        <w:t xml:space="preserve"> Patients should have either</w:t>
      </w:r>
      <w:r w:rsidR="00463520" w:rsidRPr="00C717CC">
        <w:t>:</w:t>
      </w:r>
    </w:p>
    <w:p w14:paraId="07124761" w14:textId="725571E0" w:rsidR="006F1311" w:rsidRPr="00C717CC" w:rsidRDefault="00463520" w:rsidP="00E5358E">
      <w:pPr>
        <w:pStyle w:val="TextTi12"/>
        <w:numPr>
          <w:ilvl w:val="0"/>
          <w:numId w:val="24"/>
        </w:numPr>
        <w:tabs>
          <w:tab w:val="left" w:pos="1418"/>
        </w:tabs>
        <w:spacing w:after="0" w:line="240" w:lineRule="auto"/>
        <w:ind w:left="714" w:hanging="357"/>
      </w:pPr>
      <w:r w:rsidRPr="00C717CC">
        <w:t>R</w:t>
      </w:r>
      <w:r w:rsidR="006F1311" w:rsidRPr="00C717CC">
        <w:t>eceived prior therapy for metastatic disease, or</w:t>
      </w:r>
    </w:p>
    <w:p w14:paraId="07124762" w14:textId="718D1519" w:rsidR="006F1311" w:rsidRPr="00C717CC" w:rsidRDefault="00463520" w:rsidP="00E5358E">
      <w:pPr>
        <w:pStyle w:val="TextTi12"/>
        <w:numPr>
          <w:ilvl w:val="0"/>
          <w:numId w:val="24"/>
        </w:numPr>
        <w:tabs>
          <w:tab w:val="left" w:pos="1418"/>
        </w:tabs>
        <w:spacing w:after="0" w:line="240" w:lineRule="auto"/>
        <w:ind w:left="714" w:hanging="357"/>
      </w:pPr>
      <w:r w:rsidRPr="00C717CC">
        <w:t>D</w:t>
      </w:r>
      <w:r w:rsidR="006F1311" w:rsidRPr="00C717CC">
        <w:t>eveloped disease recurrence during or within six months of completing adjuvant therapy</w:t>
      </w:r>
      <w:r w:rsidR="000E5DDF" w:rsidRPr="00C717CC">
        <w:t>.</w:t>
      </w:r>
    </w:p>
    <w:p w14:paraId="07124763" w14:textId="77777777" w:rsidR="00D844B2" w:rsidRPr="00C717CC" w:rsidRDefault="00D844B2" w:rsidP="00E42D56">
      <w:pPr>
        <w:pStyle w:val="Heading1"/>
        <w:spacing w:before="360"/>
        <w:rPr>
          <w:rFonts w:hint="eastAsia"/>
        </w:rPr>
      </w:pPr>
      <w:r w:rsidRPr="00C717CC">
        <w:t>Contraindications</w:t>
      </w:r>
    </w:p>
    <w:p w14:paraId="49A8887C" w14:textId="40EAF6AD" w:rsidR="003B7922" w:rsidRPr="00C717CC" w:rsidRDefault="00C664A2" w:rsidP="003B7922">
      <w:pPr>
        <w:spacing w:after="120"/>
        <w:rPr>
          <w:lang w:val="en-US"/>
        </w:rPr>
      </w:pPr>
      <w:r w:rsidRPr="00C717CC">
        <w:t>KADCYLA is contraindicated in patients with a known hypersensitivity to KADCYLA or any of its excipients</w:t>
      </w:r>
      <w:r w:rsidR="003B7922" w:rsidRPr="00C717CC">
        <w:t xml:space="preserve"> </w:t>
      </w:r>
      <w:r w:rsidR="003B7922" w:rsidRPr="00C717CC">
        <w:rPr>
          <w:lang w:val="en-US"/>
        </w:rPr>
        <w:t>(</w:t>
      </w:r>
      <w:r w:rsidR="003B7922" w:rsidRPr="00C717CC">
        <w:rPr>
          <w:i/>
          <w:lang w:val="en-US"/>
        </w:rPr>
        <w:t xml:space="preserve">see </w:t>
      </w:r>
      <w:r w:rsidR="00BB1383" w:rsidRPr="00C717CC">
        <w:rPr>
          <w:i/>
          <w:lang w:val="en-US"/>
        </w:rPr>
        <w:t xml:space="preserve">also </w:t>
      </w:r>
      <w:r w:rsidR="003B7922" w:rsidRPr="00C717CC">
        <w:rPr>
          <w:i/>
          <w:lang w:val="en-US"/>
        </w:rPr>
        <w:t>Precautions</w:t>
      </w:r>
      <w:r w:rsidR="00F91510" w:rsidRPr="00C717CC">
        <w:rPr>
          <w:i/>
          <w:lang w:val="en-US"/>
        </w:rPr>
        <w:t>;</w:t>
      </w:r>
      <w:r w:rsidR="003B7922" w:rsidRPr="00C717CC">
        <w:rPr>
          <w:i/>
          <w:lang w:val="en-US"/>
        </w:rPr>
        <w:t xml:space="preserve"> Infusion-Related Reactions and Hypersensitivity</w:t>
      </w:r>
      <w:r w:rsidR="00BB1383" w:rsidRPr="00C717CC">
        <w:rPr>
          <w:i/>
          <w:lang w:val="en-US"/>
        </w:rPr>
        <w:t xml:space="preserve"> Reactions</w:t>
      </w:r>
      <w:r w:rsidR="003B7922" w:rsidRPr="00C717CC">
        <w:rPr>
          <w:i/>
          <w:lang w:val="en-US"/>
        </w:rPr>
        <w:t>)</w:t>
      </w:r>
      <w:r w:rsidR="003B7922" w:rsidRPr="00C717CC">
        <w:rPr>
          <w:lang w:val="en-US"/>
        </w:rPr>
        <w:t>.</w:t>
      </w:r>
    </w:p>
    <w:p w14:paraId="07124765" w14:textId="77777777" w:rsidR="00D844B2" w:rsidRPr="00C717CC" w:rsidRDefault="00D844B2" w:rsidP="00E42D56">
      <w:pPr>
        <w:pStyle w:val="Heading1"/>
        <w:spacing w:before="360"/>
        <w:rPr>
          <w:rFonts w:hint="eastAsia"/>
        </w:rPr>
      </w:pPr>
      <w:r w:rsidRPr="00C717CC">
        <w:t>Precautions</w:t>
      </w:r>
    </w:p>
    <w:p w14:paraId="07124766" w14:textId="77777777" w:rsidR="00EC4D80" w:rsidRPr="00C717CC" w:rsidRDefault="00EC4D80" w:rsidP="00451567">
      <w:pPr>
        <w:pStyle w:val="Heading2"/>
      </w:pPr>
      <w:r w:rsidRPr="00C717CC">
        <w:t>Pulmonary Toxicity</w:t>
      </w:r>
    </w:p>
    <w:p w14:paraId="07124767" w14:textId="5632CEEC" w:rsidR="007C4A93" w:rsidRPr="00C717CC" w:rsidRDefault="007C4A93" w:rsidP="007C71D2">
      <w:pPr>
        <w:spacing w:after="170"/>
        <w:rPr>
          <w:szCs w:val="16"/>
        </w:rPr>
      </w:pPr>
      <w:r w:rsidRPr="00C717CC">
        <w:rPr>
          <w:szCs w:val="16"/>
        </w:rPr>
        <w:t xml:space="preserve">Cases of interstitial lung disease (ILD), including pneumonitis, some leading to acute respiratory distress syndrome or a fatal outcome, have been reported in clinical trials with </w:t>
      </w:r>
      <w:r w:rsidRPr="00C717CC">
        <w:t>KADCYLA</w:t>
      </w:r>
      <w:r w:rsidRPr="00C717CC">
        <w:rPr>
          <w:i/>
          <w:szCs w:val="16"/>
        </w:rPr>
        <w:t xml:space="preserve"> (see Adverse Effects)</w:t>
      </w:r>
      <w:r w:rsidRPr="00C717CC">
        <w:rPr>
          <w:szCs w:val="16"/>
        </w:rPr>
        <w:t>. Signs and symptoms include dyspnoea, cough, fatigue, and pulmonary infiltrates</w:t>
      </w:r>
      <w:r w:rsidRPr="00C717CC">
        <w:rPr>
          <w:i/>
          <w:szCs w:val="16"/>
        </w:rPr>
        <w:t>.</w:t>
      </w:r>
    </w:p>
    <w:p w14:paraId="07124768" w14:textId="763906C0" w:rsidR="007C4A93" w:rsidRPr="00C717CC" w:rsidRDefault="007C4A93" w:rsidP="007C71D2">
      <w:pPr>
        <w:spacing w:after="170"/>
      </w:pPr>
      <w:r w:rsidRPr="00C717CC">
        <w:rPr>
          <w:szCs w:val="16"/>
        </w:rPr>
        <w:t>It is recommended that treatment with KADCYLA be permanently discontinued in patients who are diagnosed with ILD or pneumonitis.</w:t>
      </w:r>
    </w:p>
    <w:p w14:paraId="07124769" w14:textId="77777777" w:rsidR="007C4A93" w:rsidRPr="00C717CC" w:rsidRDefault="007C4A93" w:rsidP="007C71D2">
      <w:pPr>
        <w:spacing w:after="170"/>
      </w:pPr>
      <w:r w:rsidRPr="00C717CC">
        <w:t>Patients with dyspnoea at rest due to complications of advanced malignancy and co-morbidities may be at increased risk of pulmonary events.</w:t>
      </w:r>
    </w:p>
    <w:p w14:paraId="0712476A" w14:textId="77777777" w:rsidR="00EC4D80" w:rsidRPr="00C717CC" w:rsidRDefault="00EC4D80" w:rsidP="00451567">
      <w:pPr>
        <w:pStyle w:val="Heading2"/>
      </w:pPr>
      <w:r w:rsidRPr="00C717CC">
        <w:t>Hepatotoxicity</w:t>
      </w:r>
    </w:p>
    <w:p w14:paraId="2CF46C84" w14:textId="144B1852" w:rsidR="00916BC0" w:rsidRPr="00C717CC" w:rsidRDefault="00F71BDA" w:rsidP="00BE5C02">
      <w:pPr>
        <w:pStyle w:val="TextTi12"/>
      </w:pPr>
      <w:r w:rsidRPr="00C717CC">
        <w:rPr>
          <w:szCs w:val="16"/>
        </w:rPr>
        <w:t xml:space="preserve">Serious hepatotoxicity has been reported, including liver failure and death, in patients treated with KADCYLA. </w:t>
      </w:r>
      <w:r w:rsidR="004A56BB" w:rsidRPr="00C717CC">
        <w:rPr>
          <w:szCs w:val="16"/>
        </w:rPr>
        <w:t>Hepatotoxicity</w:t>
      </w:r>
      <w:r w:rsidR="00DA4478" w:rsidRPr="00C717CC">
        <w:rPr>
          <w:szCs w:val="16"/>
        </w:rPr>
        <w:t xml:space="preserve"> has been observed</w:t>
      </w:r>
      <w:r w:rsidR="004A56BB" w:rsidRPr="00C717CC">
        <w:rPr>
          <w:szCs w:val="16"/>
        </w:rPr>
        <w:t xml:space="preserve"> predominantly in the form of asymptomatic increases in the concentrations of serum transaminases (Grade 1-4 transaminitis)</w:t>
      </w:r>
      <w:r w:rsidR="005D421C">
        <w:rPr>
          <w:szCs w:val="16"/>
        </w:rPr>
        <w:t xml:space="preserve"> </w:t>
      </w:r>
      <w:r w:rsidR="00DA4478" w:rsidRPr="00C717CC">
        <w:rPr>
          <w:szCs w:val="16"/>
        </w:rPr>
        <w:t xml:space="preserve">in clinical </w:t>
      </w:r>
      <w:r w:rsidR="00DA4478" w:rsidRPr="00C717CC">
        <w:t>trials</w:t>
      </w:r>
      <w:r w:rsidR="005D421C">
        <w:t xml:space="preserve"> </w:t>
      </w:r>
      <w:r w:rsidR="004A56BB" w:rsidRPr="00C717CC">
        <w:rPr>
          <w:i/>
        </w:rPr>
        <w:t>(see Adverse Effects)</w:t>
      </w:r>
      <w:r w:rsidR="004A56BB" w:rsidRPr="00C717CC">
        <w:rPr>
          <w:szCs w:val="16"/>
        </w:rPr>
        <w:t xml:space="preserve">. Transaminase elevations </w:t>
      </w:r>
      <w:r w:rsidR="004A56BB" w:rsidRPr="00C717CC">
        <w:t>were generally transient</w:t>
      </w:r>
      <w:r w:rsidR="00DD6B4A" w:rsidRPr="00C717CC">
        <w:t xml:space="preserve"> with peak elevation at day 8 after therapy and subsequent recovery to Grade 1 or less prior to the next cycle</w:t>
      </w:r>
      <w:r w:rsidR="004A56BB" w:rsidRPr="00C717CC">
        <w:t xml:space="preserve">. </w:t>
      </w:r>
      <w:r w:rsidR="00DD6B4A" w:rsidRPr="00C717CC">
        <w:t xml:space="preserve">A cumulative effect of KADCYLA on transaminases has also been observed. </w:t>
      </w:r>
      <w:r w:rsidR="00755218" w:rsidRPr="00C717CC">
        <w:t xml:space="preserve">Patients with elevated transaminases improved to Grade 1 or normal within 30 days of the last dose of </w:t>
      </w:r>
      <w:r w:rsidR="000A4E40" w:rsidRPr="00C717CC">
        <w:t>KADCYLA</w:t>
      </w:r>
      <w:r w:rsidR="00755218" w:rsidRPr="00C717CC">
        <w:t xml:space="preserve"> in the majority of the cases. </w:t>
      </w:r>
      <w:r w:rsidR="004A56BB" w:rsidRPr="00C717CC">
        <w:t>Serious hepatobiliary disorders</w:t>
      </w:r>
      <w:r w:rsidR="00755218" w:rsidRPr="00C717CC">
        <w:t>,</w:t>
      </w:r>
      <w:r w:rsidR="004A56BB" w:rsidRPr="00C717CC">
        <w:t xml:space="preserve"> </w:t>
      </w:r>
      <w:r w:rsidR="00755218" w:rsidRPr="00C717CC">
        <w:lastRenderedPageBreak/>
        <w:t xml:space="preserve">including nodular regenerative hyperplasia (NRH) of the liver and some with a fatal outcome due to drug-induced liver injury </w:t>
      </w:r>
      <w:r w:rsidR="004A56BB" w:rsidRPr="00C717CC">
        <w:t xml:space="preserve">have been observed in patients treated with KADCYLA in clinical trials. </w:t>
      </w:r>
      <w:r w:rsidR="00755218" w:rsidRPr="00C717CC">
        <w:t>Observed cases may have been confounded by comorbidities and/or concomitant medications wi</w:t>
      </w:r>
      <w:r w:rsidR="00225C83">
        <w:t>th known hepatotoxic potential.</w:t>
      </w:r>
    </w:p>
    <w:p w14:paraId="1D660CD7" w14:textId="70586405" w:rsidR="00916BC0" w:rsidRPr="00C717CC" w:rsidRDefault="00E25020" w:rsidP="007C71D2">
      <w:pPr>
        <w:pStyle w:val="TextTi12"/>
        <w:spacing w:line="240" w:lineRule="auto"/>
        <w:rPr>
          <w:szCs w:val="16"/>
        </w:rPr>
      </w:pPr>
      <w:r w:rsidRPr="00C717CC">
        <w:t xml:space="preserve">Monitor serum transaminases and bilirubin prior to initiation of KADCYLA treatment and prior to each KADCYLA dose. Reduce the dose or discontinue KADCYLA as appropriate in cases of increased serum transaminases and/or total bilirubin </w:t>
      </w:r>
      <w:r w:rsidRPr="00C717CC">
        <w:rPr>
          <w:i/>
        </w:rPr>
        <w:t>(see Dosage and Administration; Dose Modifications</w:t>
      </w:r>
      <w:r w:rsidRPr="00C717CC">
        <w:rPr>
          <w:szCs w:val="16"/>
        </w:rPr>
        <w:t xml:space="preserve">). </w:t>
      </w:r>
      <w:r w:rsidR="004A56BB" w:rsidRPr="00C717CC">
        <w:rPr>
          <w:szCs w:val="16"/>
        </w:rPr>
        <w:t>KADCYLA has not been studied in patients with serum transaminases &gt;</w:t>
      </w:r>
      <w:r w:rsidR="004A56BB" w:rsidRPr="00C717CC">
        <w:rPr>
          <w:rFonts w:eastAsia="MS Mincho"/>
          <w:b/>
          <w:lang w:eastAsia="en-US"/>
        </w:rPr>
        <w:t> </w:t>
      </w:r>
      <w:r w:rsidR="004A56BB" w:rsidRPr="00C717CC">
        <w:rPr>
          <w:szCs w:val="16"/>
        </w:rPr>
        <w:t>2.5 x ULN (upper limit of normal) or total bilirubin &gt;</w:t>
      </w:r>
      <w:r w:rsidR="004A56BB" w:rsidRPr="00C717CC">
        <w:rPr>
          <w:rFonts w:eastAsia="MS Mincho"/>
          <w:b/>
          <w:lang w:eastAsia="en-US"/>
        </w:rPr>
        <w:t> </w:t>
      </w:r>
      <w:r w:rsidR="004A56BB" w:rsidRPr="00C717CC">
        <w:rPr>
          <w:szCs w:val="16"/>
        </w:rPr>
        <w:t xml:space="preserve">1.5 x ULN prior to initiation of treatment. </w:t>
      </w:r>
      <w:r w:rsidR="00535786" w:rsidRPr="00C717CC">
        <w:rPr>
          <w:szCs w:val="16"/>
        </w:rPr>
        <w:t xml:space="preserve">Permanently discontinue </w:t>
      </w:r>
      <w:r w:rsidR="004A56BB" w:rsidRPr="00C717CC">
        <w:rPr>
          <w:szCs w:val="16"/>
        </w:rPr>
        <w:t>KADCYLA treatment in patients with serum transaminases &gt;</w:t>
      </w:r>
      <w:r w:rsidR="004A56BB" w:rsidRPr="00C717CC">
        <w:rPr>
          <w:rFonts w:eastAsia="MS Mincho"/>
          <w:b/>
          <w:lang w:eastAsia="en-US"/>
        </w:rPr>
        <w:t> </w:t>
      </w:r>
      <w:r w:rsidR="004A56BB" w:rsidRPr="00C717CC">
        <w:rPr>
          <w:szCs w:val="16"/>
        </w:rPr>
        <w:t>3 x ULN and concomitant total bilirubin &gt;</w:t>
      </w:r>
      <w:r w:rsidR="004A56BB" w:rsidRPr="00C717CC">
        <w:rPr>
          <w:rFonts w:eastAsia="MS Mincho"/>
          <w:b/>
          <w:lang w:eastAsia="en-US"/>
        </w:rPr>
        <w:t> </w:t>
      </w:r>
      <w:r w:rsidR="00225C83">
        <w:rPr>
          <w:szCs w:val="16"/>
        </w:rPr>
        <w:t>2 x ULN.</w:t>
      </w:r>
    </w:p>
    <w:p w14:paraId="15EB06F0" w14:textId="499275BB" w:rsidR="00916BC0" w:rsidRPr="0051151F" w:rsidRDefault="004A56BB" w:rsidP="006643D4">
      <w:pPr>
        <w:rPr>
          <w:lang w:val="en-US" w:eastAsia="ja-JP"/>
        </w:rPr>
      </w:pPr>
      <w:r w:rsidRPr="00C717CC">
        <w:rPr>
          <w:rFonts w:eastAsia="Times New Roman"/>
          <w:szCs w:val="16"/>
          <w:lang w:val="en-US" w:eastAsia="ja-JP"/>
        </w:rPr>
        <w:t>Cases of NRH of the liver have been identified from liver biopsies</w:t>
      </w:r>
      <w:r w:rsidR="00623351" w:rsidRPr="00C717CC">
        <w:rPr>
          <w:rFonts w:eastAsia="Times New Roman"/>
          <w:szCs w:val="16"/>
          <w:lang w:val="en-US" w:eastAsia="ja-JP"/>
        </w:rPr>
        <w:t xml:space="preserve"> in patients treated with </w:t>
      </w:r>
      <w:r w:rsidR="000E1580" w:rsidRPr="00C717CC">
        <w:rPr>
          <w:rFonts w:eastAsia="Times New Roman"/>
          <w:szCs w:val="16"/>
          <w:lang w:val="en-US" w:eastAsia="ja-JP"/>
        </w:rPr>
        <w:t>KADCYLA</w:t>
      </w:r>
      <w:r w:rsidRPr="00C717CC">
        <w:rPr>
          <w:rFonts w:eastAsia="Times New Roman"/>
          <w:szCs w:val="16"/>
          <w:lang w:val="en-US" w:eastAsia="ja-JP"/>
        </w:rPr>
        <w:t>. NRH is a rare liver condition characterized by widespread benign transformation of hepatic parenchyma into small regenerative nodules</w:t>
      </w:r>
      <w:r w:rsidR="00623351" w:rsidRPr="00C717CC">
        <w:rPr>
          <w:rFonts w:eastAsia="Times New Roman"/>
          <w:szCs w:val="16"/>
          <w:lang w:val="en-US" w:eastAsia="ja-JP"/>
        </w:rPr>
        <w:t>;</w:t>
      </w:r>
      <w:r w:rsidRPr="00C717CC">
        <w:rPr>
          <w:rFonts w:eastAsia="Times New Roman"/>
          <w:szCs w:val="16"/>
          <w:lang w:val="en-US" w:eastAsia="ja-JP"/>
        </w:rPr>
        <w:t xml:space="preserve"> NRH may lead to non-cirrhotic portal hypertension. Diagnosis of NRH can be confirmed only by histopathology. NRH should be considered in all patients with clinical symptoms of portal hypertension </w:t>
      </w:r>
      <w:r w:rsidR="00623351" w:rsidRPr="00C717CC">
        <w:rPr>
          <w:rFonts w:eastAsia="Times New Roman"/>
          <w:szCs w:val="16"/>
          <w:lang w:val="en-US" w:eastAsia="ja-JP"/>
        </w:rPr>
        <w:t xml:space="preserve">and/or cirrhosis-like pattern seen on the computed tomography (CT) scan of the liver </w:t>
      </w:r>
      <w:r w:rsidRPr="00C717CC">
        <w:rPr>
          <w:rFonts w:eastAsia="Times New Roman"/>
          <w:szCs w:val="16"/>
          <w:lang w:val="en-US" w:eastAsia="ja-JP"/>
        </w:rPr>
        <w:t xml:space="preserve">but with normal transaminases and no </w:t>
      </w:r>
      <w:r w:rsidR="0075601D" w:rsidRPr="00C717CC">
        <w:rPr>
          <w:rFonts w:eastAsia="Times New Roman"/>
          <w:szCs w:val="16"/>
          <w:lang w:val="en-US" w:eastAsia="ja-JP"/>
        </w:rPr>
        <w:t xml:space="preserve">other </w:t>
      </w:r>
      <w:r w:rsidRPr="00C717CC">
        <w:rPr>
          <w:rFonts w:eastAsia="Times New Roman"/>
          <w:szCs w:val="16"/>
          <w:lang w:val="en-US" w:eastAsia="ja-JP"/>
        </w:rPr>
        <w:t xml:space="preserve">manifestations of cirrhosis. Upon diagnosis of NRH, </w:t>
      </w:r>
      <w:r w:rsidR="003A4946" w:rsidRPr="00C717CC">
        <w:rPr>
          <w:rFonts w:eastAsia="Times New Roman"/>
          <w:szCs w:val="16"/>
          <w:lang w:val="en-US" w:eastAsia="ja-JP"/>
        </w:rPr>
        <w:t>KADCYLA</w:t>
      </w:r>
      <w:r w:rsidRPr="00C717CC">
        <w:rPr>
          <w:rFonts w:eastAsia="Times New Roman"/>
          <w:szCs w:val="16"/>
          <w:lang w:val="en-US" w:eastAsia="ja-JP"/>
        </w:rPr>
        <w:t xml:space="preserve"> treatment must be permanently discontinued.</w:t>
      </w:r>
    </w:p>
    <w:p w14:paraId="07124770" w14:textId="77777777" w:rsidR="00EC4D80" w:rsidRPr="00C717CC" w:rsidRDefault="00EC4D80" w:rsidP="00451567">
      <w:pPr>
        <w:pStyle w:val="Heading2"/>
      </w:pPr>
      <w:r w:rsidRPr="00C717CC">
        <w:t>Left Ventricular Dysfunction</w:t>
      </w:r>
    </w:p>
    <w:p w14:paraId="2A777F88" w14:textId="6DB21344" w:rsidR="005F14BC" w:rsidRPr="00C717CC" w:rsidRDefault="00E25020" w:rsidP="005F14BC">
      <w:pPr>
        <w:pStyle w:val="TextTi12"/>
        <w:rPr>
          <w:i/>
          <w:szCs w:val="16"/>
          <w:lang w:val="en-GB"/>
        </w:rPr>
      </w:pPr>
      <w:r w:rsidRPr="00C717CC">
        <w:rPr>
          <w:szCs w:val="16"/>
          <w:lang w:val="en-AU"/>
        </w:rPr>
        <w:t xml:space="preserve">KADCYLA may lead to reductions in left ventricular ejection fraction (LVEF). </w:t>
      </w:r>
      <w:r w:rsidR="007C71D2" w:rsidRPr="00C717CC">
        <w:rPr>
          <w:szCs w:val="16"/>
        </w:rPr>
        <w:t>LVEF &lt; 40% has been observed in patients treated with KADCYLA</w:t>
      </w:r>
      <w:r w:rsidR="00536961" w:rsidRPr="00C717CC">
        <w:rPr>
          <w:szCs w:val="16"/>
        </w:rPr>
        <w:t>. S</w:t>
      </w:r>
      <w:r w:rsidR="007C71D2" w:rsidRPr="00C717CC">
        <w:rPr>
          <w:szCs w:val="16"/>
        </w:rPr>
        <w:t>ymptomatic congestive heart failure (CHF) is a potential risk.</w:t>
      </w:r>
      <w:r w:rsidR="005F14BC" w:rsidRPr="00C717CC">
        <w:t xml:space="preserve"> </w:t>
      </w:r>
      <w:r w:rsidR="005F14BC" w:rsidRPr="00C717CC">
        <w:rPr>
          <w:szCs w:val="16"/>
          <w:lang w:val="en-GB"/>
        </w:rPr>
        <w:t xml:space="preserve">In the </w:t>
      </w:r>
      <w:r w:rsidR="005F14BC" w:rsidRPr="00C717CC">
        <w:rPr>
          <w:szCs w:val="16"/>
          <w:lang w:val="en-AU"/>
        </w:rPr>
        <w:t>phase III study TDM4370g/BO21977 (EMILIA)</w:t>
      </w:r>
      <w:r w:rsidR="005F14BC" w:rsidRPr="00C717CC">
        <w:rPr>
          <w:szCs w:val="16"/>
          <w:lang w:val="en-GB"/>
        </w:rPr>
        <w:t xml:space="preserve">, left ventricular dysfunction occurred in 1.8% of patients in the KADCYLA-treated group and 3.3% of patients in the lapatinib plus capecitabine-treated group </w:t>
      </w:r>
      <w:r w:rsidR="005F14BC" w:rsidRPr="00C717CC">
        <w:rPr>
          <w:i/>
          <w:szCs w:val="16"/>
          <w:lang w:val="en-GB"/>
        </w:rPr>
        <w:t>(see Adverse Effects).</w:t>
      </w:r>
    </w:p>
    <w:p w14:paraId="07124771" w14:textId="26CDF0E6" w:rsidR="00255E4C" w:rsidRPr="000828D3" w:rsidRDefault="005F14BC" w:rsidP="007C71D2">
      <w:pPr>
        <w:pStyle w:val="TextTi12"/>
        <w:spacing w:line="240" w:lineRule="auto"/>
        <w:rPr>
          <w:szCs w:val="16"/>
        </w:rPr>
      </w:pPr>
      <w:r w:rsidRPr="00C717CC">
        <w:rPr>
          <w:szCs w:val="16"/>
        </w:rPr>
        <w:t>Assess LVEF</w:t>
      </w:r>
      <w:r w:rsidR="007C71D2" w:rsidRPr="00C717CC">
        <w:rPr>
          <w:szCs w:val="16"/>
        </w:rPr>
        <w:t xml:space="preserve"> (echocardiogram or multigated acquisition (MUGA) scanning) prior to initiation and at regular intervals (e.g. every three months) during treatment with </w:t>
      </w:r>
      <w:r w:rsidR="007C71D2" w:rsidRPr="00C717CC">
        <w:t>KADCYLA</w:t>
      </w:r>
      <w:r w:rsidRPr="00C717CC">
        <w:t xml:space="preserve"> to ensure LVEF is within the institution’s normal limits</w:t>
      </w:r>
      <w:r w:rsidR="007C71D2" w:rsidRPr="00C717CC">
        <w:rPr>
          <w:szCs w:val="16"/>
        </w:rPr>
        <w:t>. Treatment with KADCYLA has not been studied in patients with LVEF &lt;</w:t>
      </w:r>
      <w:r w:rsidR="00AB7736" w:rsidRPr="00C717CC">
        <w:rPr>
          <w:rFonts w:eastAsia="MS Mincho"/>
          <w:b/>
          <w:lang w:eastAsia="en-US"/>
        </w:rPr>
        <w:t> </w:t>
      </w:r>
      <w:r w:rsidR="007C71D2" w:rsidRPr="00C717CC">
        <w:rPr>
          <w:szCs w:val="16"/>
        </w:rPr>
        <w:t>50%</w:t>
      </w:r>
      <w:r w:rsidR="009C7E30" w:rsidRPr="00C717CC">
        <w:rPr>
          <w:szCs w:val="16"/>
        </w:rPr>
        <w:t xml:space="preserve"> prior to initiation of treatment</w:t>
      </w:r>
      <w:r w:rsidR="007C71D2" w:rsidRPr="00C717CC">
        <w:rPr>
          <w:szCs w:val="16"/>
        </w:rPr>
        <w:t xml:space="preserve">. Specific guidelines regarding dose modifications and discontinuation are provided in </w:t>
      </w:r>
      <w:r w:rsidR="007C71D2" w:rsidRPr="00C717CC">
        <w:rPr>
          <w:i/>
          <w:szCs w:val="16"/>
        </w:rPr>
        <w:t>Dosage and Administration</w:t>
      </w:r>
      <w:r w:rsidR="007D30D6" w:rsidRPr="00C717CC">
        <w:rPr>
          <w:i/>
          <w:szCs w:val="16"/>
        </w:rPr>
        <w:t>;</w:t>
      </w:r>
      <w:r w:rsidR="007C71D2" w:rsidRPr="00C717CC">
        <w:rPr>
          <w:i/>
          <w:szCs w:val="16"/>
        </w:rPr>
        <w:t xml:space="preserve"> Dose Modifications</w:t>
      </w:r>
      <w:r w:rsidR="007C71D2" w:rsidRPr="00C717CC">
        <w:rPr>
          <w:szCs w:val="16"/>
        </w:rPr>
        <w:t>.</w:t>
      </w:r>
    </w:p>
    <w:p w14:paraId="07124772" w14:textId="0A0C54EB" w:rsidR="00EC4D80" w:rsidRPr="00C717CC" w:rsidRDefault="00EC4D80" w:rsidP="00451567">
      <w:pPr>
        <w:pStyle w:val="Heading2"/>
      </w:pPr>
      <w:r w:rsidRPr="00C717CC">
        <w:t>Infusion</w:t>
      </w:r>
      <w:r w:rsidR="00C664A2" w:rsidRPr="00C717CC">
        <w:t>-Related</w:t>
      </w:r>
      <w:r w:rsidR="00225C83">
        <w:t xml:space="preserve"> Reactions</w:t>
      </w:r>
    </w:p>
    <w:p w14:paraId="07124773" w14:textId="77777777" w:rsidR="00BC7039" w:rsidRPr="00C717CC" w:rsidRDefault="00BC7039" w:rsidP="00BC7039">
      <w:pPr>
        <w:pStyle w:val="TextTi12"/>
        <w:spacing w:line="240" w:lineRule="auto"/>
        <w:rPr>
          <w:szCs w:val="16"/>
        </w:rPr>
      </w:pPr>
      <w:r w:rsidRPr="00C717CC">
        <w:rPr>
          <w:szCs w:val="16"/>
        </w:rPr>
        <w:t xml:space="preserve">Treatment with </w:t>
      </w:r>
      <w:r w:rsidR="003B0CD5" w:rsidRPr="00C717CC">
        <w:rPr>
          <w:szCs w:val="16"/>
        </w:rPr>
        <w:t>KADCYLA</w:t>
      </w:r>
      <w:r w:rsidRPr="00C717CC">
        <w:rPr>
          <w:szCs w:val="16"/>
        </w:rPr>
        <w:t xml:space="preserve"> has not been studied in patients who had trastuzumab permanently discontinued due to infusion-related reactions (IRR); treatment with </w:t>
      </w:r>
      <w:r w:rsidR="003B0CD5" w:rsidRPr="00C717CC">
        <w:rPr>
          <w:szCs w:val="16"/>
        </w:rPr>
        <w:t>KADCYLA</w:t>
      </w:r>
      <w:r w:rsidRPr="00C717CC">
        <w:rPr>
          <w:szCs w:val="16"/>
        </w:rPr>
        <w:t xml:space="preserve"> is not recommended for these patients.</w:t>
      </w:r>
    </w:p>
    <w:p w14:paraId="07124774" w14:textId="77777777" w:rsidR="00BC7039" w:rsidRPr="00C717CC" w:rsidRDefault="00BC7039" w:rsidP="00BC7039">
      <w:pPr>
        <w:pStyle w:val="TextTi12"/>
        <w:spacing w:line="240" w:lineRule="auto"/>
        <w:rPr>
          <w:szCs w:val="16"/>
        </w:rPr>
      </w:pPr>
      <w:r w:rsidRPr="00C717CC">
        <w:rPr>
          <w:szCs w:val="16"/>
        </w:rPr>
        <w:t xml:space="preserve">Infusion-related reactions, characterized by one or more of the following symptoms - flushing, chills, pyrexia, dyspnea, hypotension, wheezing, bronchospasm, and tachycardia-have been reported in clinical trials of </w:t>
      </w:r>
      <w:r w:rsidR="003B0CD5" w:rsidRPr="00C717CC">
        <w:t>KADCYLA</w:t>
      </w:r>
      <w:r w:rsidRPr="00C717CC">
        <w:rPr>
          <w:szCs w:val="16"/>
        </w:rPr>
        <w:t>. In general, these symptoms were not severe</w:t>
      </w:r>
      <w:r w:rsidRPr="00C717CC" w:rsidDel="00E700D6">
        <w:rPr>
          <w:szCs w:val="16"/>
        </w:rPr>
        <w:t xml:space="preserve"> </w:t>
      </w:r>
      <w:r w:rsidRPr="00C717CC">
        <w:rPr>
          <w:i/>
          <w:szCs w:val="16"/>
        </w:rPr>
        <w:t xml:space="preserve">(see </w:t>
      </w:r>
      <w:r w:rsidR="003B0CD5" w:rsidRPr="00C717CC">
        <w:rPr>
          <w:i/>
          <w:szCs w:val="16"/>
        </w:rPr>
        <w:t>Adverse</w:t>
      </w:r>
      <w:r w:rsidRPr="00C717CC">
        <w:rPr>
          <w:i/>
          <w:szCs w:val="16"/>
        </w:rPr>
        <w:t xml:space="preserve"> effects).</w:t>
      </w:r>
      <w:r w:rsidRPr="00C717CC">
        <w:rPr>
          <w:szCs w:val="16"/>
        </w:rPr>
        <w:t xml:space="preserve"> In most patients, these reactions resolved over the course of several hours to a day after the infusion was terminated. </w:t>
      </w:r>
      <w:r w:rsidR="003B0CD5" w:rsidRPr="00C717CC">
        <w:t>KADCYLA</w:t>
      </w:r>
      <w:r w:rsidRPr="00C717CC" w:rsidDel="00E700D6">
        <w:rPr>
          <w:szCs w:val="16"/>
        </w:rPr>
        <w:t xml:space="preserve"> </w:t>
      </w:r>
      <w:r w:rsidRPr="00C717CC">
        <w:rPr>
          <w:szCs w:val="16"/>
        </w:rPr>
        <w:t xml:space="preserve">treatment should be interrupted in patients with severe IRR. </w:t>
      </w:r>
      <w:r w:rsidR="003B0CD5" w:rsidRPr="00C717CC">
        <w:t>KADCYLA</w:t>
      </w:r>
      <w:r w:rsidRPr="00C717CC" w:rsidDel="00E700D6">
        <w:rPr>
          <w:szCs w:val="16"/>
        </w:rPr>
        <w:t xml:space="preserve"> </w:t>
      </w:r>
      <w:r w:rsidRPr="00C717CC">
        <w:rPr>
          <w:szCs w:val="16"/>
        </w:rPr>
        <w:t>treatment should be permanently discontinued in the event of a life threatening infusion-related reaction (</w:t>
      </w:r>
      <w:r w:rsidRPr="00C717CC">
        <w:rPr>
          <w:i/>
        </w:rPr>
        <w:t>see Dosage and Administration, Dose Modifications</w:t>
      </w:r>
      <w:r w:rsidRPr="00C717CC">
        <w:rPr>
          <w:szCs w:val="16"/>
        </w:rPr>
        <w:t>).</w:t>
      </w:r>
    </w:p>
    <w:p w14:paraId="07124775" w14:textId="77777777" w:rsidR="00C664A2" w:rsidRPr="00C717CC" w:rsidRDefault="00C664A2" w:rsidP="00A014DF">
      <w:pPr>
        <w:pStyle w:val="Heading2"/>
      </w:pPr>
      <w:r w:rsidRPr="00C717CC">
        <w:lastRenderedPageBreak/>
        <w:t>Hypersensitivity Reactions</w:t>
      </w:r>
    </w:p>
    <w:p w14:paraId="07124776" w14:textId="77777777" w:rsidR="00BC7039" w:rsidRPr="00C717CC" w:rsidRDefault="00BC7039" w:rsidP="00BC7039">
      <w:pPr>
        <w:pStyle w:val="TextTi12"/>
        <w:spacing w:line="240" w:lineRule="auto"/>
        <w:rPr>
          <w:szCs w:val="16"/>
        </w:rPr>
      </w:pPr>
      <w:r w:rsidRPr="00C717CC">
        <w:rPr>
          <w:szCs w:val="16"/>
        </w:rPr>
        <w:t xml:space="preserve">Patients should be observed closely for hypersensitivity reactions, especially during the first infusion. </w:t>
      </w:r>
      <w:r w:rsidR="00C664A2" w:rsidRPr="00C717CC">
        <w:rPr>
          <w:szCs w:val="16"/>
        </w:rPr>
        <w:t>Hypersensitivity, including s</w:t>
      </w:r>
      <w:r w:rsidRPr="00C717CC">
        <w:rPr>
          <w:szCs w:val="16"/>
        </w:rPr>
        <w:t>erious, anaphylact</w:t>
      </w:r>
      <w:r w:rsidR="00BC61B6" w:rsidRPr="00C717CC">
        <w:rPr>
          <w:szCs w:val="16"/>
        </w:rPr>
        <w:t xml:space="preserve">ic </w:t>
      </w:r>
      <w:r w:rsidRPr="00C717CC">
        <w:rPr>
          <w:szCs w:val="16"/>
        </w:rPr>
        <w:t>like reactions</w:t>
      </w:r>
      <w:r w:rsidR="00BC61B6" w:rsidRPr="00C717CC">
        <w:rPr>
          <w:szCs w:val="16"/>
        </w:rPr>
        <w:t>,</w:t>
      </w:r>
      <w:r w:rsidRPr="00C717CC">
        <w:rPr>
          <w:szCs w:val="16"/>
        </w:rPr>
        <w:t xml:space="preserve"> ha</w:t>
      </w:r>
      <w:r w:rsidR="00BC61B6" w:rsidRPr="00C717CC">
        <w:rPr>
          <w:szCs w:val="16"/>
        </w:rPr>
        <w:t>s</w:t>
      </w:r>
      <w:r w:rsidRPr="00C717CC">
        <w:rPr>
          <w:szCs w:val="16"/>
        </w:rPr>
        <w:t xml:space="preserve"> been observed in clinical trials with treatment of</w:t>
      </w:r>
      <w:r w:rsidR="006F7E35" w:rsidRPr="00C717CC">
        <w:rPr>
          <w:szCs w:val="16"/>
        </w:rPr>
        <w:t xml:space="preserve"> KADCYLA</w:t>
      </w:r>
      <w:r w:rsidR="00094817" w:rsidRPr="00C717CC">
        <w:rPr>
          <w:szCs w:val="16"/>
        </w:rPr>
        <w:t xml:space="preserve">. </w:t>
      </w:r>
      <w:r w:rsidRPr="00C717CC">
        <w:rPr>
          <w:szCs w:val="16"/>
        </w:rPr>
        <w:t>Medications to treat such reactions, as well as emergency equipment, should be available for immediate use.</w:t>
      </w:r>
    </w:p>
    <w:p w14:paraId="07124777" w14:textId="428A666D" w:rsidR="00EC4D80" w:rsidRPr="00C717CC" w:rsidRDefault="00225C83" w:rsidP="00A014DF">
      <w:pPr>
        <w:pStyle w:val="Heading2"/>
      </w:pPr>
      <w:r>
        <w:t>Thrombocytopenia</w:t>
      </w:r>
    </w:p>
    <w:p w14:paraId="07124778" w14:textId="4F50A75E" w:rsidR="002040E7" w:rsidRDefault="002040E7" w:rsidP="002040E7">
      <w:pPr>
        <w:pStyle w:val="TextTi12"/>
        <w:spacing w:line="240" w:lineRule="auto"/>
        <w:rPr>
          <w:sz w:val="22"/>
          <w:lang w:val="en-GB"/>
        </w:rPr>
      </w:pPr>
      <w:r w:rsidRPr="00C717CC">
        <w:rPr>
          <w:szCs w:val="16"/>
        </w:rPr>
        <w:t xml:space="preserve">Thrombocytopenia, or decreased platelet counts, was reported in patients in clinical trials of </w:t>
      </w:r>
      <w:r w:rsidR="00AB7736" w:rsidRPr="00C717CC">
        <w:t>KADCYLA</w:t>
      </w:r>
      <w:r w:rsidRPr="00C717CC">
        <w:rPr>
          <w:szCs w:val="16"/>
        </w:rPr>
        <w:t>. The majority of these patients had Grade 1 or 2 events (≥</w:t>
      </w:r>
      <w:r w:rsidR="00AB7736" w:rsidRPr="00C717CC">
        <w:rPr>
          <w:rFonts w:eastAsia="MS Mincho"/>
          <w:b/>
          <w:lang w:eastAsia="en-US"/>
        </w:rPr>
        <w:t> </w:t>
      </w:r>
      <w:r w:rsidRPr="00C717CC">
        <w:rPr>
          <w:szCs w:val="16"/>
        </w:rPr>
        <w:t>50,000/mm</w:t>
      </w:r>
      <w:r w:rsidRPr="00C717CC">
        <w:rPr>
          <w:szCs w:val="16"/>
          <w:vertAlign w:val="superscript"/>
        </w:rPr>
        <w:t>3</w:t>
      </w:r>
      <w:r w:rsidRPr="00C717CC">
        <w:rPr>
          <w:szCs w:val="16"/>
        </w:rPr>
        <w:t>), with the nadir occurring by day 8 and generally improving to grade 0 or 1 (≥</w:t>
      </w:r>
      <w:r w:rsidR="00AB7736" w:rsidRPr="00C717CC">
        <w:rPr>
          <w:rFonts w:eastAsia="MS Mincho"/>
          <w:b/>
          <w:lang w:eastAsia="en-US"/>
        </w:rPr>
        <w:t> </w:t>
      </w:r>
      <w:r w:rsidRPr="00C717CC">
        <w:rPr>
          <w:szCs w:val="16"/>
        </w:rPr>
        <w:t>75,000/mm</w:t>
      </w:r>
      <w:r w:rsidRPr="00C717CC">
        <w:rPr>
          <w:szCs w:val="16"/>
          <w:vertAlign w:val="superscript"/>
        </w:rPr>
        <w:t>3</w:t>
      </w:r>
      <w:r w:rsidRPr="00C717CC">
        <w:rPr>
          <w:szCs w:val="16"/>
        </w:rPr>
        <w:t>) by the next scheduled dose. In clinical trials, the incidence and severity of thrombocytopenia</w:t>
      </w:r>
      <w:r w:rsidR="00225C83">
        <w:rPr>
          <w:szCs w:val="16"/>
        </w:rPr>
        <w:t xml:space="preserve"> were higher in Asian patients.</w:t>
      </w:r>
    </w:p>
    <w:p w14:paraId="07124779" w14:textId="0C71F60E" w:rsidR="00F86933" w:rsidRDefault="00F86933" w:rsidP="00BE5C02">
      <w:pPr>
        <w:spacing w:after="170" w:line="280" w:lineRule="exact"/>
        <w:rPr>
          <w:rFonts w:eastAsia="SimSun"/>
          <w:szCs w:val="24"/>
          <w:lang w:val="en-US" w:eastAsia="zh-CN"/>
        </w:rPr>
      </w:pPr>
      <w:r w:rsidRPr="00C717CC">
        <w:rPr>
          <w:rFonts w:eastAsia="SimSun"/>
          <w:szCs w:val="24"/>
          <w:lang w:val="en-US" w:eastAsia="zh-CN"/>
        </w:rPr>
        <w:t xml:space="preserve">In the </w:t>
      </w:r>
      <w:r w:rsidRPr="00C717CC">
        <w:rPr>
          <w:rFonts w:eastAsia="SimSun"/>
          <w:szCs w:val="24"/>
          <w:lang w:eastAsia="zh-CN"/>
        </w:rPr>
        <w:t xml:space="preserve">phase III study </w:t>
      </w:r>
      <w:r w:rsidRPr="00C717CC">
        <w:rPr>
          <w:rFonts w:eastAsia="SimSun"/>
          <w:lang w:eastAsia="zh-CN"/>
        </w:rPr>
        <w:t>TDM4370g/BO21977 (EMILIA),</w:t>
      </w:r>
      <w:r w:rsidRPr="00C717CC">
        <w:rPr>
          <w:rFonts w:eastAsia="SimSun"/>
          <w:szCs w:val="24"/>
          <w:lang w:val="en-US" w:eastAsia="zh-CN"/>
        </w:rPr>
        <w:t xml:space="preserve"> the overall frequency of thrombocytopenia was 31.2% in the KADCYLA-treated group and 3.3% in the lapatinib plus capecitabine-treated group </w:t>
      </w:r>
      <w:r w:rsidR="003B7922" w:rsidRPr="00C717CC">
        <w:rPr>
          <w:rFonts w:eastAsia="SimSun"/>
          <w:szCs w:val="24"/>
          <w:lang w:val="en-US" w:eastAsia="zh-CN"/>
        </w:rPr>
        <w:t>(</w:t>
      </w:r>
      <w:r w:rsidRPr="00C717CC">
        <w:rPr>
          <w:rFonts w:eastAsia="SimSun"/>
          <w:szCs w:val="24"/>
          <w:lang w:val="en-US" w:eastAsia="zh-CN"/>
        </w:rPr>
        <w:t>see</w:t>
      </w:r>
      <w:r w:rsidRPr="00C717CC">
        <w:rPr>
          <w:rFonts w:eastAsia="SimSun"/>
          <w:i/>
          <w:szCs w:val="24"/>
          <w:lang w:val="en-US" w:eastAsia="zh-CN"/>
        </w:rPr>
        <w:t xml:space="preserve"> Adverse</w:t>
      </w:r>
      <w:r w:rsidR="003B7922" w:rsidRPr="00C717CC">
        <w:rPr>
          <w:rFonts w:eastAsia="SimSun"/>
          <w:i/>
          <w:szCs w:val="24"/>
          <w:lang w:val="en-US" w:eastAsia="zh-CN"/>
        </w:rPr>
        <w:t xml:space="preserve"> </w:t>
      </w:r>
      <w:r w:rsidR="008A18AB" w:rsidRPr="00C717CC">
        <w:rPr>
          <w:rFonts w:eastAsia="SimSun"/>
          <w:i/>
          <w:szCs w:val="24"/>
          <w:lang w:val="en-US" w:eastAsia="zh-CN"/>
        </w:rPr>
        <w:t>Effects</w:t>
      </w:r>
      <w:r w:rsidR="003B7922" w:rsidRPr="00C717CC">
        <w:rPr>
          <w:rFonts w:eastAsia="SimSun"/>
          <w:i/>
          <w:szCs w:val="24"/>
          <w:lang w:val="en-US" w:eastAsia="zh-CN"/>
        </w:rPr>
        <w:t>)</w:t>
      </w:r>
      <w:r w:rsidRPr="00C717CC">
        <w:rPr>
          <w:rFonts w:eastAsia="SimSun"/>
          <w:szCs w:val="24"/>
          <w:lang w:val="en-US" w:eastAsia="zh-CN"/>
        </w:rPr>
        <w:t xml:space="preserve">.  The incidence of ≥ Grade 3 thrombocytopenia was 14.5% </w:t>
      </w:r>
      <w:bookmarkStart w:id="2" w:name="OLE_LINK2"/>
      <w:bookmarkStart w:id="3" w:name="OLE_LINK3"/>
      <w:r w:rsidRPr="00C717CC">
        <w:rPr>
          <w:rFonts w:eastAsia="SimSun"/>
          <w:szCs w:val="24"/>
          <w:lang w:val="en-US" w:eastAsia="zh-CN"/>
        </w:rPr>
        <w:t>in the KADCYLA-treated group and 0.4% in the lapatinib plus capecitabine-treated group</w:t>
      </w:r>
      <w:bookmarkEnd w:id="2"/>
      <w:bookmarkEnd w:id="3"/>
      <w:r w:rsidRPr="00C717CC">
        <w:rPr>
          <w:rFonts w:eastAsia="SimSun"/>
          <w:szCs w:val="24"/>
          <w:lang w:val="en-US" w:eastAsia="zh-CN"/>
        </w:rPr>
        <w:t xml:space="preserve">.  In Asian patients, the incidence of </w:t>
      </w:r>
      <w:r w:rsidRPr="00C717CC">
        <w:rPr>
          <w:rFonts w:eastAsia="SimSun"/>
          <w:szCs w:val="24"/>
          <w:u w:val="single"/>
          <w:lang w:val="en-US" w:eastAsia="zh-CN"/>
        </w:rPr>
        <w:t>&gt;</w:t>
      </w:r>
      <w:r w:rsidRPr="00C717CC">
        <w:rPr>
          <w:rFonts w:eastAsia="SimSun"/>
          <w:szCs w:val="24"/>
          <w:lang w:val="en-US" w:eastAsia="zh-CN"/>
        </w:rPr>
        <w:t xml:space="preserve"> Grade 3 thrombocytopenia was 45.1% in the KADCYLA-treated group and 1.3% in the lapatinib plus capecitabine-treated group.</w:t>
      </w:r>
    </w:p>
    <w:p w14:paraId="0356C3E6" w14:textId="77777777" w:rsidR="006E696A" w:rsidRPr="00C717CC" w:rsidRDefault="006E696A" w:rsidP="006E696A">
      <w:pPr>
        <w:pStyle w:val="TextTi12"/>
        <w:spacing w:line="240" w:lineRule="auto"/>
        <w:rPr>
          <w:szCs w:val="16"/>
        </w:rPr>
      </w:pPr>
      <w:r>
        <w:rPr>
          <w:szCs w:val="16"/>
        </w:rPr>
        <w:t>C</w:t>
      </w:r>
      <w:r w:rsidRPr="005C792C">
        <w:rPr>
          <w:szCs w:val="16"/>
        </w:rPr>
        <w:t>ases of bleeding events with a fatal outcome have been observed.</w:t>
      </w:r>
      <w:r>
        <w:rPr>
          <w:szCs w:val="16"/>
        </w:rPr>
        <w:t xml:space="preserve"> Severe c</w:t>
      </w:r>
      <w:r w:rsidRPr="005C792C">
        <w:rPr>
          <w:szCs w:val="16"/>
        </w:rPr>
        <w:t>ases of h</w:t>
      </w:r>
      <w:r>
        <w:rPr>
          <w:szCs w:val="16"/>
        </w:rPr>
        <w:t>a</w:t>
      </w:r>
      <w:r w:rsidRPr="005C792C">
        <w:rPr>
          <w:szCs w:val="16"/>
        </w:rPr>
        <w:t>emorrhagic events, including central nervous system h</w:t>
      </w:r>
      <w:r>
        <w:rPr>
          <w:szCs w:val="16"/>
        </w:rPr>
        <w:t>a</w:t>
      </w:r>
      <w:r w:rsidRPr="005C792C">
        <w:rPr>
          <w:szCs w:val="16"/>
        </w:rPr>
        <w:t xml:space="preserve">emorrhage, have been reported </w:t>
      </w:r>
      <w:r>
        <w:rPr>
          <w:szCs w:val="16"/>
        </w:rPr>
        <w:t>in clinical trials with KADCYLA; these events were independent of ethnicity.</w:t>
      </w:r>
      <w:r w:rsidRPr="005C792C">
        <w:rPr>
          <w:szCs w:val="16"/>
        </w:rPr>
        <w:t xml:space="preserve"> In some of the observed cases the patients were also receiving anti-coagulation therapy</w:t>
      </w:r>
      <w:r>
        <w:rPr>
          <w:szCs w:val="16"/>
        </w:rPr>
        <w:t>.</w:t>
      </w:r>
    </w:p>
    <w:p w14:paraId="0712477B" w14:textId="77777777" w:rsidR="002040E7" w:rsidRPr="00C717CC" w:rsidRDefault="002040E7" w:rsidP="002040E7">
      <w:pPr>
        <w:pStyle w:val="TextTi12"/>
        <w:spacing w:line="240" w:lineRule="auto"/>
        <w:rPr>
          <w:szCs w:val="16"/>
        </w:rPr>
      </w:pPr>
      <w:r w:rsidRPr="00C717CC">
        <w:rPr>
          <w:szCs w:val="16"/>
        </w:rPr>
        <w:t>Patients with thrombocytopenia (</w:t>
      </w:r>
      <w:r w:rsidR="00BC61B6" w:rsidRPr="00C717CC">
        <w:rPr>
          <w:szCs w:val="16"/>
        </w:rPr>
        <w:t>&lt;</w:t>
      </w:r>
      <w:r w:rsidR="00AB7736" w:rsidRPr="00C717CC">
        <w:rPr>
          <w:rFonts w:eastAsia="MS Mincho"/>
          <w:b/>
          <w:lang w:eastAsia="en-US"/>
        </w:rPr>
        <w:t> </w:t>
      </w:r>
      <w:r w:rsidRPr="00C717CC">
        <w:rPr>
          <w:szCs w:val="16"/>
        </w:rPr>
        <w:t>100,000/mm</w:t>
      </w:r>
      <w:r w:rsidRPr="00C717CC">
        <w:rPr>
          <w:szCs w:val="16"/>
          <w:vertAlign w:val="superscript"/>
        </w:rPr>
        <w:t>3</w:t>
      </w:r>
      <w:r w:rsidRPr="00C717CC">
        <w:rPr>
          <w:szCs w:val="16"/>
        </w:rPr>
        <w:t xml:space="preserve">) and patients on anti-coagulant treatment should be monitored closely while on </w:t>
      </w:r>
      <w:r w:rsidR="00AB7736" w:rsidRPr="00C717CC">
        <w:rPr>
          <w:szCs w:val="16"/>
        </w:rPr>
        <w:t>KADCYLA</w:t>
      </w:r>
      <w:r w:rsidRPr="00C717CC">
        <w:rPr>
          <w:szCs w:val="16"/>
        </w:rPr>
        <w:t xml:space="preserve"> treatment. It is recommended that platelet counts are monitored prior to each </w:t>
      </w:r>
      <w:r w:rsidR="00AB7736" w:rsidRPr="00C717CC">
        <w:t>KADCYLA</w:t>
      </w:r>
      <w:r w:rsidRPr="00C717CC">
        <w:rPr>
          <w:szCs w:val="16"/>
        </w:rPr>
        <w:t xml:space="preserve"> dose. </w:t>
      </w:r>
      <w:r w:rsidR="00AB7736" w:rsidRPr="00C717CC">
        <w:rPr>
          <w:szCs w:val="16"/>
        </w:rPr>
        <w:t>KADCYLA</w:t>
      </w:r>
      <w:r w:rsidRPr="00C717CC">
        <w:rPr>
          <w:szCs w:val="16"/>
        </w:rPr>
        <w:t xml:space="preserve"> has not been studied in patients with platelet counts ≤</w:t>
      </w:r>
      <w:r w:rsidR="00AB7736" w:rsidRPr="00C717CC">
        <w:rPr>
          <w:rFonts w:eastAsia="MS Mincho"/>
          <w:b/>
          <w:lang w:eastAsia="en-US"/>
        </w:rPr>
        <w:t> </w:t>
      </w:r>
      <w:r w:rsidRPr="00C717CC">
        <w:rPr>
          <w:szCs w:val="16"/>
        </w:rPr>
        <w:t>100,000/mm</w:t>
      </w:r>
      <w:r w:rsidRPr="00C717CC">
        <w:rPr>
          <w:szCs w:val="16"/>
          <w:vertAlign w:val="superscript"/>
        </w:rPr>
        <w:t>3</w:t>
      </w:r>
      <w:r w:rsidRPr="00C717CC">
        <w:rPr>
          <w:szCs w:val="16"/>
        </w:rPr>
        <w:t xml:space="preserve"> prior to initiation of treatment. In the event of decreased platelet count to Grade 3 or greater (&lt;</w:t>
      </w:r>
      <w:r w:rsidR="00AB7736" w:rsidRPr="00C717CC">
        <w:rPr>
          <w:rFonts w:eastAsia="MS Mincho"/>
          <w:b/>
          <w:lang w:eastAsia="en-US"/>
        </w:rPr>
        <w:t> </w:t>
      </w:r>
      <w:r w:rsidRPr="00C717CC">
        <w:rPr>
          <w:szCs w:val="16"/>
        </w:rPr>
        <w:t>50,000/mm</w:t>
      </w:r>
      <w:r w:rsidRPr="00C717CC">
        <w:rPr>
          <w:szCs w:val="16"/>
          <w:vertAlign w:val="superscript"/>
        </w:rPr>
        <w:t>3</w:t>
      </w:r>
      <w:r w:rsidRPr="00C717CC">
        <w:rPr>
          <w:szCs w:val="16"/>
        </w:rPr>
        <w:t xml:space="preserve">), do not administer </w:t>
      </w:r>
      <w:r w:rsidR="00AB7736" w:rsidRPr="00C717CC">
        <w:rPr>
          <w:szCs w:val="16"/>
        </w:rPr>
        <w:t>KADCYLA</w:t>
      </w:r>
      <w:r w:rsidRPr="00C717CC">
        <w:rPr>
          <w:szCs w:val="16"/>
        </w:rPr>
        <w:t xml:space="preserve"> until platelet counts recover to Grade 1 (≥</w:t>
      </w:r>
      <w:r w:rsidR="00AB7736" w:rsidRPr="00C717CC">
        <w:rPr>
          <w:rFonts w:eastAsia="MS Mincho"/>
          <w:b/>
          <w:lang w:eastAsia="en-US"/>
        </w:rPr>
        <w:t> </w:t>
      </w:r>
      <w:r w:rsidRPr="00C717CC">
        <w:rPr>
          <w:szCs w:val="16"/>
        </w:rPr>
        <w:t>75,000/mm</w:t>
      </w:r>
      <w:r w:rsidRPr="00C717CC">
        <w:rPr>
          <w:szCs w:val="16"/>
          <w:vertAlign w:val="superscript"/>
        </w:rPr>
        <w:t>3</w:t>
      </w:r>
      <w:r w:rsidRPr="00C717CC">
        <w:rPr>
          <w:szCs w:val="16"/>
        </w:rPr>
        <w:t xml:space="preserve">). Please see </w:t>
      </w:r>
      <w:r w:rsidRPr="00C717CC">
        <w:rPr>
          <w:i/>
        </w:rPr>
        <w:t>Dosage and Administration</w:t>
      </w:r>
      <w:r w:rsidR="00AB7736" w:rsidRPr="00C717CC">
        <w:rPr>
          <w:i/>
        </w:rPr>
        <w:t>;</w:t>
      </w:r>
      <w:r w:rsidRPr="00C717CC">
        <w:rPr>
          <w:i/>
        </w:rPr>
        <w:t xml:space="preserve"> Dose Modifications</w:t>
      </w:r>
      <w:r w:rsidRPr="00C717CC">
        <w:rPr>
          <w:szCs w:val="16"/>
        </w:rPr>
        <w:t>.</w:t>
      </w:r>
    </w:p>
    <w:p w14:paraId="0712477C" w14:textId="77777777" w:rsidR="00EC4D80" w:rsidRPr="00C717CC" w:rsidRDefault="00EC4D80" w:rsidP="00451567">
      <w:pPr>
        <w:pStyle w:val="Heading2"/>
      </w:pPr>
      <w:r w:rsidRPr="00C717CC">
        <w:t>Neurotoxicity</w:t>
      </w:r>
    </w:p>
    <w:p w14:paraId="0712477D" w14:textId="4058FB98" w:rsidR="008978AB" w:rsidRPr="00C717CC" w:rsidRDefault="008978AB" w:rsidP="00E42D56">
      <w:pPr>
        <w:spacing w:after="170"/>
      </w:pPr>
      <w:r w:rsidRPr="00C717CC">
        <w:t>Peripheral neuropathy, mainly Grade 1 and predominantly sensory, has been reported in clinical trials of KADCYLA</w:t>
      </w:r>
      <w:r w:rsidRPr="00C717CC">
        <w:rPr>
          <w:color w:val="0000CC"/>
        </w:rPr>
        <w:t xml:space="preserve">. </w:t>
      </w:r>
      <w:r w:rsidRPr="00C717CC">
        <w:t>Treatment with</w:t>
      </w:r>
      <w:r w:rsidRPr="00C717CC">
        <w:rPr>
          <w:color w:val="0000CC"/>
        </w:rPr>
        <w:t xml:space="preserve"> </w:t>
      </w:r>
      <w:r w:rsidRPr="00C717CC">
        <w:t>KADCYLA</w:t>
      </w:r>
      <w:r w:rsidRPr="00C717CC">
        <w:rPr>
          <w:color w:val="0000CC"/>
        </w:rPr>
        <w:t xml:space="preserve"> </w:t>
      </w:r>
      <w:r w:rsidRPr="00C717CC">
        <w:t>should be temporarily discontinued</w:t>
      </w:r>
      <w:r w:rsidRPr="00C717CC">
        <w:rPr>
          <w:rFonts w:eastAsia="MS Mincho"/>
        </w:rPr>
        <w:t xml:space="preserve"> in patients experiencing Grade 3 or 4 peripheral neuropathy until symptoms resolve or improve to ≤Grade 2.</w:t>
      </w:r>
      <w:r w:rsidRPr="00C717CC">
        <w:t xml:space="preserve"> Patients should be clinically monitored on an ongoing basis for si</w:t>
      </w:r>
      <w:r w:rsidR="00225C83">
        <w:t>gns/symptoms of neurotoxicity.</w:t>
      </w:r>
    </w:p>
    <w:p w14:paraId="0712477E" w14:textId="3B2FB6D9" w:rsidR="00EC4D80" w:rsidRPr="00C717CC" w:rsidRDefault="00225C83" w:rsidP="00451567">
      <w:pPr>
        <w:pStyle w:val="Heading2"/>
      </w:pPr>
      <w:r>
        <w:t>Extravasation</w:t>
      </w:r>
    </w:p>
    <w:p w14:paraId="0712477F" w14:textId="77777777" w:rsidR="00DB79EC" w:rsidRPr="00C717CC" w:rsidRDefault="00C05353" w:rsidP="00E42D56">
      <w:pPr>
        <w:spacing w:after="170"/>
        <w:rPr>
          <w:szCs w:val="16"/>
        </w:rPr>
      </w:pPr>
      <w:r w:rsidRPr="00C717CC">
        <w:rPr>
          <w:szCs w:val="16"/>
        </w:rPr>
        <w:t xml:space="preserve">In </w:t>
      </w:r>
      <w:r w:rsidRPr="00C717CC">
        <w:t>KADCYLA</w:t>
      </w:r>
      <w:r w:rsidRPr="00C717CC">
        <w:rPr>
          <w:szCs w:val="16"/>
        </w:rPr>
        <w:t xml:space="preserve"> clinical studies, reactions secondary to extravasation have been observed. These reactions were usually mild and comprised erythema, tenderness, skin irritation, pain, or swelling at the infusion site. These reactions have been observed more frequently within 24 hours of infusion. Specific treatment for </w:t>
      </w:r>
      <w:r w:rsidRPr="00C717CC">
        <w:t>KADCYLA</w:t>
      </w:r>
      <w:r w:rsidRPr="00C717CC">
        <w:rPr>
          <w:szCs w:val="16"/>
        </w:rPr>
        <w:t xml:space="preserve"> extravasation is unknown at this time. The infusion site should be closely monitored for possible subcutaneous infiltration during drug administration.</w:t>
      </w:r>
    </w:p>
    <w:p w14:paraId="07124780" w14:textId="77777777" w:rsidR="00094817" w:rsidRPr="00C717CC" w:rsidRDefault="00094817" w:rsidP="00094817">
      <w:pPr>
        <w:pStyle w:val="Heading2"/>
      </w:pPr>
      <w:r w:rsidRPr="00C717CC">
        <w:lastRenderedPageBreak/>
        <w:t>Effects on the ability to drive and use machines</w:t>
      </w:r>
    </w:p>
    <w:p w14:paraId="07124781" w14:textId="77777777" w:rsidR="00094817" w:rsidRPr="00C717CC" w:rsidRDefault="00094817" w:rsidP="00094817">
      <w:pPr>
        <w:autoSpaceDE w:val="0"/>
        <w:autoSpaceDN w:val="0"/>
        <w:adjustRightInd w:val="0"/>
        <w:jc w:val="left"/>
        <w:rPr>
          <w:rFonts w:eastAsia="Times New Roman"/>
          <w:szCs w:val="16"/>
          <w:lang w:val="en-US" w:eastAsia="ja-JP"/>
        </w:rPr>
      </w:pPr>
      <w:r w:rsidRPr="00C717CC">
        <w:rPr>
          <w:rFonts w:eastAsia="Times New Roman"/>
          <w:szCs w:val="16"/>
          <w:lang w:val="en-US" w:eastAsia="ja-JP"/>
        </w:rPr>
        <w:t>Studies on the effects on the ability to drive and use machines have not been performed.</w:t>
      </w:r>
    </w:p>
    <w:p w14:paraId="07124782" w14:textId="329D61D4" w:rsidR="00094817" w:rsidRPr="00C717CC" w:rsidRDefault="00094817" w:rsidP="005F2286">
      <w:pPr>
        <w:autoSpaceDE w:val="0"/>
        <w:autoSpaceDN w:val="0"/>
        <w:adjustRightInd w:val="0"/>
        <w:jc w:val="left"/>
        <w:rPr>
          <w:rFonts w:eastAsia="Times New Roman"/>
          <w:szCs w:val="16"/>
          <w:lang w:val="en-US" w:eastAsia="ja-JP"/>
        </w:rPr>
      </w:pPr>
      <w:r w:rsidRPr="00C717CC">
        <w:rPr>
          <w:rFonts w:eastAsia="Times New Roman"/>
          <w:szCs w:val="16"/>
          <w:lang w:val="en-US" w:eastAsia="ja-JP"/>
        </w:rPr>
        <w:t>On the basis of reported adverse reactions, KADCYLA is not expected to influence the ability to drive or use machines. Patients experiencing infusion-related reactions should be advised not to drive and use</w:t>
      </w:r>
      <w:r w:rsidR="00225C83">
        <w:rPr>
          <w:rFonts w:eastAsia="Times New Roman"/>
          <w:szCs w:val="16"/>
          <w:lang w:val="en-US" w:eastAsia="ja-JP"/>
        </w:rPr>
        <w:t xml:space="preserve"> machines until symptoms abate.</w:t>
      </w:r>
    </w:p>
    <w:p w14:paraId="07124783" w14:textId="77777777" w:rsidR="00D844B2" w:rsidRPr="00C717CC" w:rsidRDefault="00070B9A" w:rsidP="00451567">
      <w:pPr>
        <w:pStyle w:val="Heading2"/>
      </w:pPr>
      <w:r w:rsidRPr="00C717CC">
        <w:t>Effects on fertility</w:t>
      </w:r>
    </w:p>
    <w:p w14:paraId="07124784" w14:textId="6755AE9B" w:rsidR="00E2544D" w:rsidRPr="00C717CC" w:rsidRDefault="005902A4" w:rsidP="005902A4">
      <w:pPr>
        <w:spacing w:after="170"/>
      </w:pPr>
      <w:r w:rsidRPr="00C717CC">
        <w:t xml:space="preserve">The effects of </w:t>
      </w:r>
      <w:r w:rsidR="00E2544D" w:rsidRPr="00C717CC">
        <w:t xml:space="preserve">trastuzumab emtansine </w:t>
      </w:r>
      <w:r w:rsidRPr="00C717CC">
        <w:t>on human fertility are unknown.  No d</w:t>
      </w:r>
      <w:r w:rsidR="00906448" w:rsidRPr="00C717CC">
        <w:t xml:space="preserve">edicated fertility studies have been conducted with trastuzumab emtansine. However, based on results from </w:t>
      </w:r>
      <w:r w:rsidR="00E2544D" w:rsidRPr="00C717CC">
        <w:t>rat</w:t>
      </w:r>
      <w:r w:rsidR="00906448" w:rsidRPr="00C717CC">
        <w:t xml:space="preserve"> toxicity studies, adverse effects on fertility </w:t>
      </w:r>
      <w:r w:rsidR="00E2544D" w:rsidRPr="00C717CC">
        <w:t>may occur</w:t>
      </w:r>
      <w:r w:rsidR="00225C83">
        <w:t>.</w:t>
      </w:r>
    </w:p>
    <w:p w14:paraId="07124785" w14:textId="1EC02B36" w:rsidR="00E2544D" w:rsidRPr="00C717CC" w:rsidRDefault="00E2544D" w:rsidP="005902A4">
      <w:pPr>
        <w:spacing w:after="170"/>
      </w:pPr>
      <w:r w:rsidRPr="00C717CC">
        <w:t>S</w:t>
      </w:r>
      <w:r w:rsidR="005902A4" w:rsidRPr="00C717CC">
        <w:t>ingle-dose toxicity stud</w:t>
      </w:r>
      <w:r w:rsidRPr="00C717CC">
        <w:t>ies</w:t>
      </w:r>
      <w:r w:rsidR="005902A4" w:rsidRPr="00C717CC">
        <w:t xml:space="preserve"> of trastuzumab emtansine in rats</w:t>
      </w:r>
      <w:r w:rsidRPr="00C717CC">
        <w:t xml:space="preserve"> demonstrated adverse effects on reproductive organs.</w:t>
      </w:r>
      <w:r w:rsidR="00084849" w:rsidRPr="00C717CC">
        <w:t xml:space="preserve"> </w:t>
      </w:r>
      <w:r w:rsidRPr="00C717CC">
        <w:t>M</w:t>
      </w:r>
      <w:r w:rsidR="005902A4" w:rsidRPr="00C717CC">
        <w:t xml:space="preserve">ale rats exhibited degeneration of seminiferous tubules in </w:t>
      </w:r>
      <w:r w:rsidR="002537FB" w:rsidRPr="00C717CC">
        <w:t xml:space="preserve">the </w:t>
      </w:r>
      <w:r w:rsidR="005902A4" w:rsidRPr="00C717CC">
        <w:t>testes</w:t>
      </w:r>
      <w:r w:rsidRPr="00C717CC">
        <w:t xml:space="preserve"> and luminal debris in the </w:t>
      </w:r>
      <w:r w:rsidR="005902A4" w:rsidRPr="00C717CC">
        <w:t>epididymides at 60 mg/kg</w:t>
      </w:r>
      <w:r w:rsidRPr="00C717CC">
        <w:t xml:space="preserve"> (approximately</w:t>
      </w:r>
      <w:r w:rsidR="00084849" w:rsidRPr="00C717CC">
        <w:t xml:space="preserve"> </w:t>
      </w:r>
      <w:r w:rsidRPr="00C717CC">
        <w:t xml:space="preserve">9-times the anticipated clinical trastuzumab emtansine exposure, based on AUC). </w:t>
      </w:r>
      <w:r w:rsidR="005902A4" w:rsidRPr="00C717CC">
        <w:t xml:space="preserve"> At the same dose in female rats, haemorrhage and necrosis of the corpus luteum in </w:t>
      </w:r>
      <w:r w:rsidR="00084849" w:rsidRPr="00C717CC">
        <w:t xml:space="preserve">the </w:t>
      </w:r>
      <w:r w:rsidR="005902A4" w:rsidRPr="00C717CC">
        <w:t>ovaries</w:t>
      </w:r>
      <w:r w:rsidR="00084849" w:rsidRPr="00C717CC">
        <w:t xml:space="preserve"> and mammary gland degeneration and necrosis</w:t>
      </w:r>
      <w:r w:rsidR="005902A4" w:rsidRPr="00C717CC">
        <w:t xml:space="preserve"> was </w:t>
      </w:r>
      <w:r w:rsidR="00084849" w:rsidRPr="00C717CC">
        <w:t>observed</w:t>
      </w:r>
      <w:r w:rsidR="005902A4" w:rsidRPr="00C717CC">
        <w:t xml:space="preserve">. </w:t>
      </w:r>
      <w:r w:rsidR="00084849" w:rsidRPr="00C717CC">
        <w:t>Mammary gland degeneration and necrosis was also observed in males at doses from 20 mg/kg (3-fold the anticipated clinical trastuzumab emtansine exposure, based on AUC).</w:t>
      </w:r>
    </w:p>
    <w:p w14:paraId="07124786" w14:textId="77777777" w:rsidR="00BB25EF" w:rsidRPr="00C717CC" w:rsidRDefault="00CB1612" w:rsidP="00451567">
      <w:pPr>
        <w:pStyle w:val="Heading2"/>
      </w:pPr>
      <w:r w:rsidRPr="00C717CC">
        <w:t>Use in p</w:t>
      </w:r>
      <w:r w:rsidR="00D844B2" w:rsidRPr="00C717CC">
        <w:t>regnancy</w:t>
      </w:r>
      <w:r w:rsidR="001B3631" w:rsidRPr="00C717CC">
        <w:t xml:space="preserve"> </w:t>
      </w:r>
      <w:r w:rsidR="00DB79EC" w:rsidRPr="00C717CC">
        <w:t xml:space="preserve">- Category </w:t>
      </w:r>
      <w:r w:rsidR="00466C12" w:rsidRPr="00C717CC">
        <w:t>D</w:t>
      </w:r>
    </w:p>
    <w:p w14:paraId="07124788" w14:textId="0D84648F" w:rsidR="0083603A" w:rsidRPr="00C717CC" w:rsidRDefault="00571149" w:rsidP="00906448">
      <w:pPr>
        <w:pStyle w:val="TextTi12"/>
        <w:spacing w:line="240" w:lineRule="auto"/>
      </w:pPr>
      <w:r w:rsidRPr="00C717CC">
        <w:t xml:space="preserve">Trastuzumab emtansine can </w:t>
      </w:r>
      <w:r w:rsidR="00741D8C" w:rsidRPr="00C717CC">
        <w:t>result in embryo-f</w:t>
      </w:r>
      <w:r w:rsidR="00D575AD">
        <w:t>o</w:t>
      </w:r>
      <w:r w:rsidR="00741D8C" w:rsidRPr="00C717CC">
        <w:t xml:space="preserve">etal death or birth defects </w:t>
      </w:r>
      <w:r w:rsidRPr="00C717CC">
        <w:t xml:space="preserve">when administered to a pregnant woman. </w:t>
      </w:r>
      <w:r w:rsidR="00707E47" w:rsidRPr="00C717CC">
        <w:t xml:space="preserve">There are no clinical studies of </w:t>
      </w:r>
      <w:r w:rsidR="00042E12" w:rsidRPr="00C717CC">
        <w:t xml:space="preserve">trastuzumab emtansine </w:t>
      </w:r>
      <w:r w:rsidR="00707E47" w:rsidRPr="00C717CC">
        <w:t xml:space="preserve">in pregnant women. No reproductive and developmental toxicology studies have been conducted with </w:t>
      </w:r>
      <w:r w:rsidR="00042E12" w:rsidRPr="00C717CC">
        <w:t>trastuzumab emtansine</w:t>
      </w:r>
      <w:r w:rsidR="00707E47" w:rsidRPr="00C717CC">
        <w:t xml:space="preserve">. Trastuzumab, a component of </w:t>
      </w:r>
      <w:r w:rsidR="00042E12" w:rsidRPr="00C717CC">
        <w:t>trastuzumab emtansine</w:t>
      </w:r>
      <w:r w:rsidR="00707E47" w:rsidRPr="00C717CC">
        <w:t xml:space="preserve">, can cause foetal harm or death when administered to pregnant women. In the post-marketing setting, cases of oligohydramnios, some associated with fatal pulmonary hypoplasia, have been reported in pregnant women receiving trastuzumab. DM1, the cytotoxic component of </w:t>
      </w:r>
      <w:r w:rsidR="00042E12" w:rsidRPr="00C717CC">
        <w:t>trastuzumab emtansine</w:t>
      </w:r>
      <w:r w:rsidR="00707E47" w:rsidRPr="00C717CC">
        <w:t>, is a microtubule inhibitory drug derived from maytansine. Based on animal studies of maytansine, DM1, is expected to be teratogen</w:t>
      </w:r>
      <w:r w:rsidR="00225C83">
        <w:t xml:space="preserve">ic and potentially </w:t>
      </w:r>
      <w:proofErr w:type="spellStart"/>
      <w:r w:rsidR="00225C83">
        <w:t>embryotoxic</w:t>
      </w:r>
      <w:proofErr w:type="spellEnd"/>
      <w:r w:rsidR="00225C83">
        <w:t>.</w:t>
      </w:r>
    </w:p>
    <w:p w14:paraId="07124789" w14:textId="1F16EC76" w:rsidR="00707E47" w:rsidRPr="00C717CC" w:rsidRDefault="00707E47" w:rsidP="00906448">
      <w:pPr>
        <w:pStyle w:val="TextTi12"/>
        <w:spacing w:line="240" w:lineRule="auto"/>
      </w:pPr>
      <w:r w:rsidRPr="00C717CC">
        <w:rPr>
          <w:color w:val="000000"/>
        </w:rPr>
        <w:t>Administration of</w:t>
      </w:r>
      <w:r w:rsidRPr="00C717CC">
        <w:rPr>
          <w:i/>
          <w:color w:val="0000FF"/>
        </w:rPr>
        <w:t xml:space="preserve"> </w:t>
      </w:r>
      <w:r w:rsidR="00042E12" w:rsidRPr="00C717CC">
        <w:t>trastuzumab emtansine</w:t>
      </w:r>
      <w:r w:rsidRPr="00C717CC">
        <w:rPr>
          <w:i/>
          <w:color w:val="0000FF"/>
        </w:rPr>
        <w:t xml:space="preserve"> </w:t>
      </w:r>
      <w:r w:rsidRPr="00C717CC">
        <w:rPr>
          <w:color w:val="000000"/>
        </w:rPr>
        <w:t>to pregnant women</w:t>
      </w:r>
      <w:r w:rsidRPr="00C717CC">
        <w:t xml:space="preserve"> is not recommended. </w:t>
      </w:r>
      <w:r w:rsidR="00727F9F" w:rsidRPr="00C717CC">
        <w:t xml:space="preserve">Patients should be advised to use effective contraception during treatment with </w:t>
      </w:r>
      <w:r w:rsidR="00042E12" w:rsidRPr="00C717CC">
        <w:t>trastuzumab emtansine</w:t>
      </w:r>
      <w:r w:rsidR="00727F9F" w:rsidRPr="00C717CC">
        <w:t xml:space="preserve"> and for at least 6 months after treatment has concluded. </w:t>
      </w:r>
      <w:r w:rsidRPr="00C717CC">
        <w:t>Women who become pregnant must contact their doctor and should be advised of the possibility of harm to the f</w:t>
      </w:r>
      <w:r w:rsidR="0083603A" w:rsidRPr="00C717CC">
        <w:t>o</w:t>
      </w:r>
      <w:r w:rsidRPr="00C717CC">
        <w:t xml:space="preserve">etus. If a pregnant woman is treated with </w:t>
      </w:r>
      <w:r w:rsidR="00042E12" w:rsidRPr="00C717CC">
        <w:t>trastuzumab emtansine</w:t>
      </w:r>
      <w:r w:rsidRPr="00C717CC">
        <w:t>, close monitoring by a multidisciplinary team is recommended.</w:t>
      </w:r>
    </w:p>
    <w:p w14:paraId="0712478A" w14:textId="77777777" w:rsidR="00D844B2" w:rsidRPr="00C717CC" w:rsidRDefault="00D844B2" w:rsidP="00451567">
      <w:pPr>
        <w:pStyle w:val="Heading2"/>
      </w:pPr>
      <w:r w:rsidRPr="00C717CC">
        <w:t>Use in lactation</w:t>
      </w:r>
    </w:p>
    <w:p w14:paraId="0712478B" w14:textId="7E8BA421" w:rsidR="00A44972" w:rsidRPr="00C717CC" w:rsidRDefault="00FA45EE" w:rsidP="00FA45EE">
      <w:pPr>
        <w:pStyle w:val="TextTi12"/>
        <w:spacing w:line="240" w:lineRule="auto"/>
      </w:pPr>
      <w:r w:rsidRPr="00C717CC">
        <w:t xml:space="preserve">It is not known whether </w:t>
      </w:r>
      <w:r w:rsidR="00A44972" w:rsidRPr="00C717CC">
        <w:t>trastuzumab emtansine</w:t>
      </w:r>
      <w:r w:rsidR="00225C83">
        <w:t xml:space="preserve"> is excreted in human milk.</w:t>
      </w:r>
    </w:p>
    <w:p w14:paraId="0712478C" w14:textId="77777777" w:rsidR="00A44972" w:rsidRPr="00C717CC" w:rsidRDefault="00A44972" w:rsidP="00FA45EE">
      <w:pPr>
        <w:pStyle w:val="TextTi12"/>
        <w:spacing w:line="240" w:lineRule="auto"/>
      </w:pPr>
      <w:r w:rsidRPr="00C717CC">
        <w:t>However, trastuzumab was shown to be readily transferred through the placenta (foetal amniotic fluid and sera samples around 20-30% of maternal plasma concentrations), with a small amount (2% of maternal plasma concentrations) excreted in the milk of monkeys after IV doses of 25 mg/kg for 4 consecutive days from gestation day 120 followed by twice weekly until post-partum day 28.</w:t>
      </w:r>
    </w:p>
    <w:p w14:paraId="0712478D" w14:textId="67A7B54A" w:rsidR="00A44972" w:rsidRPr="00C717CC" w:rsidRDefault="00FA45EE" w:rsidP="00FA45EE">
      <w:pPr>
        <w:pStyle w:val="TextTi12"/>
        <w:spacing w:line="240" w:lineRule="auto"/>
      </w:pPr>
      <w:r w:rsidRPr="00C717CC">
        <w:t xml:space="preserve">Since many drugs are excreted in human milk, and because of the potential for serious adverse reactions in nursing infants from </w:t>
      </w:r>
      <w:r w:rsidR="00A44972" w:rsidRPr="00C717CC">
        <w:t>trastuzumab emtansine</w:t>
      </w:r>
      <w:r w:rsidRPr="00C717CC">
        <w:rPr>
          <w:i/>
          <w:color w:val="0000FF"/>
        </w:rPr>
        <w:t>,</w:t>
      </w:r>
      <w:r w:rsidRPr="00C717CC">
        <w:rPr>
          <w:color w:val="0000CC"/>
        </w:rPr>
        <w:t xml:space="preserve"> </w:t>
      </w:r>
      <w:r w:rsidRPr="00C717CC">
        <w:t xml:space="preserve">women should discontinue </w:t>
      </w:r>
      <w:r w:rsidRPr="00C717CC">
        <w:lastRenderedPageBreak/>
        <w:t>nursing prior to initiating treatment with</w:t>
      </w:r>
      <w:r w:rsidRPr="00C717CC">
        <w:rPr>
          <w:color w:val="0000CC"/>
        </w:rPr>
        <w:t xml:space="preserve"> </w:t>
      </w:r>
      <w:r w:rsidR="00A44972" w:rsidRPr="00C717CC">
        <w:t>trastuzumab emtansine</w:t>
      </w:r>
      <w:r w:rsidRPr="00C717CC">
        <w:rPr>
          <w:i/>
          <w:color w:val="0000FF"/>
        </w:rPr>
        <w:t>.</w:t>
      </w:r>
      <w:r w:rsidRPr="00C717CC">
        <w:rPr>
          <w:color w:val="0000CC"/>
        </w:rPr>
        <w:t xml:space="preserve"> </w:t>
      </w:r>
      <w:r w:rsidRPr="00C717CC">
        <w:t>Women may begin nursing 6 mon</w:t>
      </w:r>
      <w:r w:rsidR="00225C83">
        <w:t>ths after concluding treatment.</w:t>
      </w:r>
    </w:p>
    <w:p w14:paraId="0712478E" w14:textId="77777777" w:rsidR="00D844B2" w:rsidRPr="00C717CC" w:rsidRDefault="00D844B2" w:rsidP="00451567">
      <w:pPr>
        <w:pStyle w:val="Heading2"/>
      </w:pPr>
      <w:r w:rsidRPr="00C717CC">
        <w:t>Paediatric use</w:t>
      </w:r>
    </w:p>
    <w:p w14:paraId="0712478F" w14:textId="77777777" w:rsidR="000F43F8" w:rsidRPr="00225C83" w:rsidRDefault="007C3C02" w:rsidP="00E42D56">
      <w:pPr>
        <w:pStyle w:val="Paragraph"/>
        <w:spacing w:line="240" w:lineRule="auto"/>
        <w:jc w:val="both"/>
        <w:rPr>
          <w:rFonts w:ascii="Times New Roman" w:eastAsia="PMingLiU" w:hAnsi="Times New Roman"/>
          <w:szCs w:val="22"/>
          <w:lang w:val="en-AU" w:eastAsia="zh-TW"/>
        </w:rPr>
      </w:pPr>
      <w:r w:rsidRPr="00C717CC">
        <w:rPr>
          <w:rFonts w:ascii="Times New Roman" w:hAnsi="Times New Roman"/>
          <w:szCs w:val="16"/>
        </w:rPr>
        <w:t>The safety and efficacy of KADCYLA in children below 18 years of age have not been established.</w:t>
      </w:r>
    </w:p>
    <w:p w14:paraId="07124790" w14:textId="77777777" w:rsidR="00D844B2" w:rsidRPr="00C717CC" w:rsidRDefault="00D844B2" w:rsidP="00451567">
      <w:pPr>
        <w:pStyle w:val="Heading2"/>
      </w:pPr>
      <w:r w:rsidRPr="00C717CC">
        <w:t>Use in the elderly</w:t>
      </w:r>
    </w:p>
    <w:p w14:paraId="07124791" w14:textId="27E2D35E" w:rsidR="00A50898" w:rsidRPr="00BE5C02" w:rsidRDefault="007C3C02" w:rsidP="00AF66C4">
      <w:pPr>
        <w:pStyle w:val="TextTi12"/>
        <w:rPr>
          <w:b/>
          <w:i/>
          <w:szCs w:val="16"/>
          <w:u w:val="single"/>
        </w:rPr>
      </w:pPr>
      <w:r w:rsidRPr="00BE5C02">
        <w:rPr>
          <w:szCs w:val="16"/>
        </w:rPr>
        <w:t xml:space="preserve">There are insufficient data to establish the safety and efficacy of </w:t>
      </w:r>
      <w:r w:rsidR="00A50898" w:rsidRPr="00BE5C02">
        <w:rPr>
          <w:szCs w:val="16"/>
        </w:rPr>
        <w:t>KADCYLA</w:t>
      </w:r>
      <w:r w:rsidRPr="00BE5C02">
        <w:rPr>
          <w:szCs w:val="16"/>
        </w:rPr>
        <w:t xml:space="preserve"> in patients 75 years of age or older</w:t>
      </w:r>
      <w:r w:rsidR="00F91510" w:rsidRPr="00C717CC">
        <w:rPr>
          <w:szCs w:val="16"/>
        </w:rPr>
        <w:t xml:space="preserve"> </w:t>
      </w:r>
      <w:r w:rsidR="00F91510" w:rsidRPr="00C717CC">
        <w:rPr>
          <w:szCs w:val="16"/>
          <w:lang w:val="en-AU"/>
        </w:rPr>
        <w:t>(</w:t>
      </w:r>
      <w:r w:rsidR="00F91510" w:rsidRPr="00C717CC">
        <w:rPr>
          <w:i/>
          <w:szCs w:val="16"/>
          <w:lang w:val="en-AU"/>
        </w:rPr>
        <w:t>see Clinical Trials</w:t>
      </w:r>
      <w:r w:rsidR="00305E1D" w:rsidRPr="00C717CC">
        <w:rPr>
          <w:i/>
          <w:szCs w:val="16"/>
          <w:lang w:val="en-AU"/>
        </w:rPr>
        <w:t>,</w:t>
      </w:r>
      <w:r w:rsidR="00AF66C4" w:rsidRPr="00C717CC">
        <w:t xml:space="preserve"> </w:t>
      </w:r>
      <w:r w:rsidR="00AF66C4" w:rsidRPr="00BE5C02">
        <w:rPr>
          <w:i/>
          <w:szCs w:val="16"/>
        </w:rPr>
        <w:t>TDM4370g/BO21977 (EMILIA)</w:t>
      </w:r>
      <w:r w:rsidR="00F91510" w:rsidRPr="00C717CC">
        <w:rPr>
          <w:szCs w:val="16"/>
          <w:lang w:val="en-AU"/>
        </w:rPr>
        <w:t>)</w:t>
      </w:r>
      <w:r w:rsidRPr="00BE5C02">
        <w:rPr>
          <w:szCs w:val="16"/>
        </w:rPr>
        <w:t>.</w:t>
      </w:r>
    </w:p>
    <w:p w14:paraId="07124792" w14:textId="77777777" w:rsidR="00A50898" w:rsidRPr="00C717CC" w:rsidRDefault="00A50898" w:rsidP="00A50898">
      <w:pPr>
        <w:pStyle w:val="TextTi12"/>
        <w:spacing w:after="120" w:line="280" w:lineRule="exact"/>
        <w:rPr>
          <w:szCs w:val="16"/>
        </w:rPr>
      </w:pPr>
      <w:r w:rsidRPr="00C717CC">
        <w:rPr>
          <w:szCs w:val="16"/>
        </w:rPr>
        <w:t>Based on a population</w:t>
      </w:r>
      <w:r w:rsidRPr="00C717CC">
        <w:rPr>
          <w:lang w:val="en-GB"/>
        </w:rPr>
        <w:t xml:space="preserve"> pharmacokinetic analysis, age does not affect the pharmacokinetics of KADCYLA.</w:t>
      </w:r>
    </w:p>
    <w:p w14:paraId="07124793" w14:textId="77777777" w:rsidR="00D844B2" w:rsidRPr="00C717CC" w:rsidRDefault="00D844B2" w:rsidP="00451567">
      <w:pPr>
        <w:pStyle w:val="Heading2"/>
      </w:pPr>
      <w:r w:rsidRPr="00C717CC">
        <w:t>Genotoxicity</w:t>
      </w:r>
    </w:p>
    <w:p w14:paraId="07124794" w14:textId="238E650A" w:rsidR="0082364B" w:rsidRPr="00C717CC" w:rsidRDefault="0082364B" w:rsidP="008D448C">
      <w:pPr>
        <w:spacing w:after="170"/>
      </w:pPr>
      <w:r w:rsidRPr="00C717CC">
        <w:t xml:space="preserve">A limited monkey </w:t>
      </w:r>
      <w:r w:rsidR="008D448C" w:rsidRPr="00C717CC">
        <w:t xml:space="preserve">micronucleus assay </w:t>
      </w:r>
      <w:r w:rsidRPr="00C717CC">
        <w:t xml:space="preserve">did not identify any clastogenic potential for </w:t>
      </w:r>
      <w:r w:rsidR="008D448C" w:rsidRPr="00C717CC">
        <w:t xml:space="preserve">trastuzumab emtansine. </w:t>
      </w:r>
      <w:r w:rsidRPr="00C717CC">
        <w:t>While</w:t>
      </w:r>
      <w:r w:rsidR="008D448C" w:rsidRPr="00C717CC">
        <w:t xml:space="preserve"> DM1</w:t>
      </w:r>
      <w:r w:rsidRPr="00C717CC">
        <w:t xml:space="preserve"> did not demonstrate any mutagenic potential in the bacterial reverse mutation (Ames test) </w:t>
      </w:r>
      <w:r w:rsidRPr="00C717CC">
        <w:rPr>
          <w:i/>
        </w:rPr>
        <w:t>in vitro</w:t>
      </w:r>
      <w:r w:rsidRPr="00C717CC">
        <w:t xml:space="preserve">, it was shown to be dose-dependently clastogenic in the rat micronucleus assay </w:t>
      </w:r>
      <w:r w:rsidRPr="00C717CC">
        <w:rPr>
          <w:i/>
        </w:rPr>
        <w:t>in vivo</w:t>
      </w:r>
      <w:r w:rsidRPr="00C717CC">
        <w:t xml:space="preserve"> at anticipated therapeutic DM1 exposure levels</w:t>
      </w:r>
      <w:r w:rsidR="00225C83">
        <w:t>.</w:t>
      </w:r>
    </w:p>
    <w:p w14:paraId="07124795" w14:textId="77777777" w:rsidR="00D844B2" w:rsidRPr="00C717CC" w:rsidRDefault="00D844B2" w:rsidP="00451567">
      <w:pPr>
        <w:pStyle w:val="Heading2"/>
      </w:pPr>
      <w:r w:rsidRPr="00C717CC">
        <w:t>Carcinogenicity</w:t>
      </w:r>
    </w:p>
    <w:p w14:paraId="07124796" w14:textId="4AD563B1" w:rsidR="00E973A4" w:rsidRPr="00C717CC" w:rsidRDefault="00465C0E" w:rsidP="00451567">
      <w:pPr>
        <w:pStyle w:val="Paragraph"/>
        <w:spacing w:after="120" w:line="240" w:lineRule="auto"/>
        <w:jc w:val="both"/>
        <w:rPr>
          <w:rFonts w:ascii="Times New Roman" w:eastAsia="PMingLiU" w:hAnsi="Times New Roman"/>
          <w:szCs w:val="22"/>
          <w:lang w:val="en-AU" w:eastAsia="zh-TW"/>
        </w:rPr>
      </w:pPr>
      <w:r w:rsidRPr="00C717CC">
        <w:rPr>
          <w:rFonts w:ascii="Times New Roman" w:eastAsia="PMingLiU" w:hAnsi="Times New Roman"/>
          <w:szCs w:val="22"/>
          <w:lang w:val="en-AU" w:eastAsia="zh-TW"/>
        </w:rPr>
        <w:t xml:space="preserve">Trastuzumab emtansine </w:t>
      </w:r>
      <w:r w:rsidR="00E973A4" w:rsidRPr="00C717CC">
        <w:rPr>
          <w:rFonts w:ascii="Times New Roman" w:eastAsia="PMingLiU" w:hAnsi="Times New Roman"/>
          <w:szCs w:val="22"/>
          <w:lang w:val="en-AU" w:eastAsia="zh-TW"/>
        </w:rPr>
        <w:t>has not been tested for carcinogenicity.</w:t>
      </w:r>
    </w:p>
    <w:p w14:paraId="07124797" w14:textId="77777777" w:rsidR="00D844B2" w:rsidRPr="00C717CC" w:rsidRDefault="00D844B2" w:rsidP="00451567">
      <w:pPr>
        <w:pStyle w:val="Heading2"/>
      </w:pPr>
      <w:r w:rsidRPr="00C717CC">
        <w:t>Effect on laboratory tests</w:t>
      </w:r>
    </w:p>
    <w:p w14:paraId="07124798" w14:textId="77777777" w:rsidR="001C60E0" w:rsidRPr="00C717CC" w:rsidRDefault="005B1E6E" w:rsidP="005B1E6E">
      <w:pPr>
        <w:spacing w:after="170"/>
      </w:pPr>
      <w:r w:rsidRPr="00C717CC">
        <w:t>Please see Precautions sections</w:t>
      </w:r>
      <w:r w:rsidRPr="00C717CC">
        <w:rPr>
          <w:i/>
        </w:rPr>
        <w:t>; Hepatotoxicity and Thrombocytopenia.</w:t>
      </w:r>
    </w:p>
    <w:p w14:paraId="07124799" w14:textId="77777777" w:rsidR="00732A9F" w:rsidRPr="00C717CC" w:rsidRDefault="00732A9F" w:rsidP="00451567">
      <w:pPr>
        <w:pStyle w:val="Heading2"/>
      </w:pPr>
      <w:r w:rsidRPr="00C717CC">
        <w:t>Use in renal impairment</w:t>
      </w:r>
    </w:p>
    <w:p w14:paraId="0712479A" w14:textId="28C6E742" w:rsidR="000F43F8" w:rsidRPr="00C717CC" w:rsidRDefault="0073746B" w:rsidP="00250A27">
      <w:pPr>
        <w:spacing w:after="170"/>
        <w:rPr>
          <w:i/>
        </w:rPr>
      </w:pPr>
      <w:r w:rsidRPr="00C717CC">
        <w:rPr>
          <w:szCs w:val="16"/>
        </w:rPr>
        <w:t>No formal studies of KADCYLA in patients with renal impairment have been conducted (</w:t>
      </w:r>
      <w:r w:rsidR="00250A27" w:rsidRPr="00C717CC">
        <w:rPr>
          <w:i/>
        </w:rPr>
        <w:t>see Pharmacology; Pharmacokinetics in Special Populations</w:t>
      </w:r>
      <w:r w:rsidRPr="00C717CC">
        <w:rPr>
          <w:i/>
        </w:rPr>
        <w:t>)</w:t>
      </w:r>
      <w:r w:rsidRPr="00C717CC">
        <w:t>.</w:t>
      </w:r>
    </w:p>
    <w:p w14:paraId="0712479B" w14:textId="77777777" w:rsidR="00732A9F" w:rsidRPr="00C717CC" w:rsidRDefault="00732A9F" w:rsidP="00451567">
      <w:pPr>
        <w:pStyle w:val="Heading2"/>
      </w:pPr>
      <w:r w:rsidRPr="00C717CC">
        <w:t>Use in hepatic impairment</w:t>
      </w:r>
    </w:p>
    <w:p w14:paraId="0712479C" w14:textId="77777777" w:rsidR="000F43F8" w:rsidRPr="00C717CC" w:rsidRDefault="00E36B99" w:rsidP="008230B3">
      <w:pPr>
        <w:spacing w:after="170"/>
        <w:rPr>
          <w:szCs w:val="16"/>
        </w:rPr>
      </w:pPr>
      <w:r w:rsidRPr="00C717CC">
        <w:rPr>
          <w:szCs w:val="16"/>
        </w:rPr>
        <w:t>No formal studies of KADCYLA in patients with hepatic impairment have been conducted.</w:t>
      </w:r>
    </w:p>
    <w:p w14:paraId="0712479D" w14:textId="77777777" w:rsidR="00D844B2" w:rsidRPr="00C717CC" w:rsidRDefault="00D844B2" w:rsidP="00E42D56">
      <w:pPr>
        <w:pStyle w:val="Heading1"/>
        <w:spacing w:before="360"/>
        <w:rPr>
          <w:rFonts w:hint="eastAsia"/>
        </w:rPr>
      </w:pPr>
      <w:r w:rsidRPr="00C717CC">
        <w:t>Interactions with other medicines</w:t>
      </w:r>
    </w:p>
    <w:p w14:paraId="0712479E" w14:textId="71A29269" w:rsidR="005E0DF6" w:rsidRPr="00C717CC" w:rsidRDefault="008230B3" w:rsidP="008230B3">
      <w:pPr>
        <w:spacing w:after="170"/>
        <w:rPr>
          <w:i/>
        </w:rPr>
      </w:pPr>
      <w:r w:rsidRPr="00C717CC">
        <w:rPr>
          <w:szCs w:val="16"/>
        </w:rPr>
        <w:t xml:space="preserve">No formal drug-drug interaction studies with </w:t>
      </w:r>
      <w:r w:rsidRPr="00C717CC">
        <w:t>KADCYLA</w:t>
      </w:r>
      <w:r w:rsidRPr="00C717CC" w:rsidDel="00E700D6">
        <w:rPr>
          <w:szCs w:val="16"/>
        </w:rPr>
        <w:t xml:space="preserve"> </w:t>
      </w:r>
      <w:r w:rsidRPr="00C717CC">
        <w:rPr>
          <w:szCs w:val="16"/>
        </w:rPr>
        <w:t>in humans have been conducted.</w:t>
      </w:r>
    </w:p>
    <w:p w14:paraId="5BB9E78D" w14:textId="44EB312B" w:rsidR="00773027" w:rsidRPr="00C717CC" w:rsidRDefault="008230B3" w:rsidP="00700FD8">
      <w:pPr>
        <w:spacing w:after="170"/>
      </w:pPr>
      <w:r w:rsidRPr="00C717CC">
        <w:rPr>
          <w:i/>
        </w:rPr>
        <w:t>In vitro</w:t>
      </w:r>
      <w:r w:rsidRPr="00C717CC">
        <w:rPr>
          <w:szCs w:val="16"/>
        </w:rPr>
        <w:t xml:space="preserve"> metabolism studies in human liver microsomes suggest that DM1, </w:t>
      </w:r>
      <w:r w:rsidR="000A151B" w:rsidRPr="00C717CC">
        <w:rPr>
          <w:szCs w:val="16"/>
        </w:rPr>
        <w:t>the cytotoxic</w:t>
      </w:r>
      <w:r w:rsidRPr="00C717CC">
        <w:rPr>
          <w:szCs w:val="16"/>
        </w:rPr>
        <w:t xml:space="preserve"> component of </w:t>
      </w:r>
      <w:r w:rsidRPr="00C717CC">
        <w:t>trastuzumab emtansine</w:t>
      </w:r>
      <w:r w:rsidRPr="00C717CC">
        <w:rPr>
          <w:szCs w:val="16"/>
        </w:rPr>
        <w:t xml:space="preserve">, is metabolized mainly by CYP3A4 and, to a lesser extent, by CYP3A5. DM1 does not induce or inhibit P450-mediated metabolism </w:t>
      </w:r>
      <w:r w:rsidRPr="00C717CC">
        <w:rPr>
          <w:i/>
        </w:rPr>
        <w:t>in vitro.</w:t>
      </w:r>
      <w:r w:rsidR="00DD546F" w:rsidRPr="00C717CC">
        <w:t xml:space="preserve"> </w:t>
      </w:r>
      <w:r w:rsidR="00B23E7D" w:rsidRPr="00C717CC">
        <w:t xml:space="preserve">Plasma DM1 concentrations may be affected by CYP3A4/5 inhibitors or inducers. Thus, </w:t>
      </w:r>
      <w:r w:rsidR="00265D8D">
        <w:t>p</w:t>
      </w:r>
      <w:r w:rsidR="00DD546F" w:rsidRPr="00C717CC">
        <w:t>atients who are receiving strong CYP3A4</w:t>
      </w:r>
      <w:r w:rsidR="00B23E7D" w:rsidRPr="00C717CC">
        <w:t>/5</w:t>
      </w:r>
      <w:r w:rsidR="00DD546F" w:rsidRPr="00C717CC">
        <w:t xml:space="preserve"> inhibitors </w:t>
      </w:r>
      <w:r w:rsidR="004B4A44" w:rsidRPr="00532A8C">
        <w:t>(e</w:t>
      </w:r>
      <w:r w:rsidR="004B4A44">
        <w:t>.</w:t>
      </w:r>
      <w:r w:rsidR="004B4A44" w:rsidRPr="00532A8C">
        <w:t xml:space="preserve">g. </w:t>
      </w:r>
      <w:r w:rsidR="004B4A44" w:rsidRPr="001E2997">
        <w:rPr>
          <w:lang w:val="en-US"/>
        </w:rPr>
        <w:t>ketoconazole, itraconazole, voriconazole</w:t>
      </w:r>
      <w:r w:rsidR="004B4A44">
        <w:rPr>
          <w:lang w:val="en-US"/>
        </w:rPr>
        <w:t>,</w:t>
      </w:r>
      <w:r w:rsidR="004B4A44">
        <w:t xml:space="preserve"> </w:t>
      </w:r>
      <w:r w:rsidR="004B4A44" w:rsidRPr="001E2997">
        <w:rPr>
          <w:lang w:val="en-US"/>
        </w:rPr>
        <w:t xml:space="preserve">clarithromycin, </w:t>
      </w:r>
      <w:r w:rsidR="004B4A44">
        <w:rPr>
          <w:lang w:val="en-US"/>
        </w:rPr>
        <w:t>telithromycin</w:t>
      </w:r>
      <w:r w:rsidR="004B4A44">
        <w:t xml:space="preserve">) </w:t>
      </w:r>
      <w:r w:rsidR="00DD546F" w:rsidRPr="00C717CC">
        <w:t xml:space="preserve">concomitantly with </w:t>
      </w:r>
      <w:r w:rsidR="00B23E7D" w:rsidRPr="00C717CC">
        <w:t xml:space="preserve">trastuzumab emtansine </w:t>
      </w:r>
      <w:r w:rsidR="00DD546F" w:rsidRPr="00C717CC">
        <w:t>should be closely monitored for adverse reactions.</w:t>
      </w:r>
    </w:p>
    <w:p w14:paraId="071247A1" w14:textId="77777777" w:rsidR="00D844B2" w:rsidRPr="00C717CC" w:rsidRDefault="00D844B2" w:rsidP="00E42D56">
      <w:pPr>
        <w:pStyle w:val="Heading1"/>
        <w:spacing w:before="360"/>
        <w:rPr>
          <w:rFonts w:hint="eastAsia"/>
        </w:rPr>
      </w:pPr>
      <w:r w:rsidRPr="00C717CC">
        <w:lastRenderedPageBreak/>
        <w:t>Adverse effects</w:t>
      </w:r>
    </w:p>
    <w:p w14:paraId="071247A2" w14:textId="231716E4" w:rsidR="00282C00" w:rsidRPr="00C717CC" w:rsidRDefault="00225C83" w:rsidP="00451567">
      <w:pPr>
        <w:pStyle w:val="Heading2"/>
      </w:pPr>
      <w:r>
        <w:t>Clinical Trials</w:t>
      </w:r>
    </w:p>
    <w:p w14:paraId="071247A3" w14:textId="73D8BDD7" w:rsidR="00282C00" w:rsidRPr="00C717CC" w:rsidRDefault="00282C00" w:rsidP="009A748D">
      <w:pPr>
        <w:autoSpaceDE w:val="0"/>
        <w:autoSpaceDN w:val="0"/>
        <w:adjustRightInd w:val="0"/>
        <w:ind w:right="-20"/>
        <w:jc w:val="left"/>
        <w:rPr>
          <w:lang w:val="en-GB"/>
        </w:rPr>
      </w:pPr>
      <w:r w:rsidRPr="00C717CC">
        <w:rPr>
          <w:lang w:val="en-GB"/>
        </w:rPr>
        <w:t>In this section, the following categories of frequency have been used: very common (</w:t>
      </w:r>
      <w:r w:rsidRPr="00C717CC">
        <w:rPr>
          <w:lang w:val="en-GB"/>
        </w:rPr>
        <w:sym w:font="Symbol" w:char="F0B3"/>
      </w:r>
      <w:r w:rsidRPr="00C717CC">
        <w:rPr>
          <w:lang w:val="en-GB"/>
        </w:rPr>
        <w:t> 1/10), common (</w:t>
      </w:r>
      <w:r w:rsidRPr="00C717CC">
        <w:rPr>
          <w:lang w:val="en-GB"/>
        </w:rPr>
        <w:sym w:font="Symbol" w:char="F0B3"/>
      </w:r>
      <w:r w:rsidRPr="00C717CC">
        <w:rPr>
          <w:lang w:val="en-GB"/>
        </w:rPr>
        <w:t> 1/100 to &lt; 1/10), uncommon (≥ 1/1,000 to &lt; 1/100), rare (≥ 1/10,000 to &lt; 1/1,000), very rare (&lt; 1/10,000), not known (cannot be esti</w:t>
      </w:r>
      <w:r w:rsidR="00225C83">
        <w:rPr>
          <w:lang w:val="en-GB"/>
        </w:rPr>
        <w:t>mated from the available data).</w:t>
      </w:r>
    </w:p>
    <w:p w14:paraId="071247A4" w14:textId="77777777" w:rsidR="00282C00" w:rsidRDefault="00282C00" w:rsidP="00282C00">
      <w:pPr>
        <w:pStyle w:val="TextTi12"/>
        <w:spacing w:after="120" w:line="240" w:lineRule="auto"/>
        <w:rPr>
          <w:lang w:val="en-GB"/>
        </w:rPr>
      </w:pPr>
      <w:r w:rsidRPr="00C717CC">
        <w:rPr>
          <w:lang w:val="en-GB"/>
        </w:rPr>
        <w:t xml:space="preserve">Presented in the following table are adverse reactions that have been reported in association with the use of </w:t>
      </w:r>
      <w:r w:rsidR="007C3F9E" w:rsidRPr="00C717CC">
        <w:t>KADCYLA</w:t>
      </w:r>
      <w:r w:rsidRPr="00C717CC">
        <w:rPr>
          <w:lang w:val="en-GB"/>
        </w:rPr>
        <w:t xml:space="preserve"> in clinical trials. The safety of </w:t>
      </w:r>
      <w:r w:rsidR="007C3F9E" w:rsidRPr="00C717CC">
        <w:t>KADCYLA</w:t>
      </w:r>
      <w:r w:rsidRPr="00C717CC">
        <w:rPr>
          <w:lang w:val="en-GB"/>
        </w:rPr>
        <w:t xml:space="preserve"> has been evaluated in more than 880 patients.</w:t>
      </w:r>
    </w:p>
    <w:p w14:paraId="071247A5" w14:textId="77777777" w:rsidR="0049353C" w:rsidRPr="00C717CC" w:rsidRDefault="00282C00" w:rsidP="0049353C">
      <w:pPr>
        <w:pStyle w:val="Caption"/>
      </w:pPr>
      <w:r w:rsidRPr="00C717CC">
        <w:rPr>
          <w:lang w:eastAsia="en-US"/>
        </w:rPr>
        <w:t>Table </w:t>
      </w:r>
      <w:r w:rsidRPr="00C717CC">
        <w:rPr>
          <w:lang w:eastAsia="en-US"/>
        </w:rPr>
        <w:fldChar w:fldCharType="begin"/>
      </w:r>
      <w:r w:rsidRPr="00C717CC">
        <w:rPr>
          <w:lang w:eastAsia="en-US"/>
        </w:rPr>
        <w:instrText xml:space="preserve"> SEQ Table \* ARABIC </w:instrText>
      </w:r>
      <w:r w:rsidRPr="00C717CC">
        <w:rPr>
          <w:lang w:eastAsia="en-US"/>
        </w:rPr>
        <w:fldChar w:fldCharType="separate"/>
      </w:r>
      <w:r w:rsidR="00560709">
        <w:rPr>
          <w:noProof/>
          <w:lang w:eastAsia="en-US"/>
        </w:rPr>
        <w:t>2</w:t>
      </w:r>
      <w:r w:rsidRPr="00C717CC">
        <w:rPr>
          <w:lang w:eastAsia="en-US"/>
        </w:rPr>
        <w:fldChar w:fldCharType="end"/>
      </w:r>
      <w:r w:rsidR="0049353C" w:rsidRPr="00C717CC">
        <w:t xml:space="preserve">: </w:t>
      </w:r>
      <w:r w:rsidRPr="00C717CC">
        <w:t xml:space="preserve">Summary of ADR’s occurring in patients treated with </w:t>
      </w:r>
      <w:r w:rsidR="007C3F9E" w:rsidRPr="00C717CC">
        <w:t>KADCYLA</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94"/>
        <w:gridCol w:w="1714"/>
        <w:gridCol w:w="1710"/>
        <w:gridCol w:w="1530"/>
      </w:tblGrid>
      <w:tr w:rsidR="003F72C9" w:rsidRPr="00C717CC" w14:paraId="071247AC" w14:textId="77777777" w:rsidTr="00A12DFD">
        <w:trPr>
          <w:tblHeader/>
        </w:trPr>
        <w:tc>
          <w:tcPr>
            <w:tcW w:w="3794" w:type="dxa"/>
            <w:shd w:val="clear" w:color="auto" w:fill="F2F2F2"/>
          </w:tcPr>
          <w:p w14:paraId="071247A6" w14:textId="77777777" w:rsidR="003F72C9" w:rsidRPr="00C717CC" w:rsidRDefault="003F72C9" w:rsidP="003F72C9">
            <w:pPr>
              <w:rPr>
                <w:rFonts w:eastAsia="MS Mincho"/>
                <w:b/>
                <w:sz w:val="22"/>
              </w:rPr>
            </w:pPr>
            <w:r w:rsidRPr="00C717CC">
              <w:rPr>
                <w:rFonts w:eastAsia="MS Mincho"/>
                <w:b/>
                <w:sz w:val="22"/>
              </w:rPr>
              <w:t>System Organ Class</w:t>
            </w:r>
          </w:p>
        </w:tc>
        <w:tc>
          <w:tcPr>
            <w:tcW w:w="1714" w:type="dxa"/>
            <w:shd w:val="clear" w:color="auto" w:fill="F2F2F2"/>
          </w:tcPr>
          <w:p w14:paraId="071247A7" w14:textId="77777777" w:rsidR="003F72C9" w:rsidRPr="00C717CC" w:rsidRDefault="003F72C9" w:rsidP="003F72C9">
            <w:pPr>
              <w:jc w:val="center"/>
              <w:rPr>
                <w:rFonts w:eastAsia="MS Mincho"/>
                <w:b/>
                <w:sz w:val="22"/>
              </w:rPr>
            </w:pPr>
            <w:r w:rsidRPr="00C717CC">
              <w:rPr>
                <w:rFonts w:eastAsia="MS Mincho"/>
                <w:b/>
                <w:sz w:val="22"/>
              </w:rPr>
              <w:t>All grades (%)</w:t>
            </w:r>
          </w:p>
          <w:p w14:paraId="071247A8" w14:textId="4BCA7E33" w:rsidR="003F72C9" w:rsidRPr="00C717CC" w:rsidRDefault="003F72C9" w:rsidP="00F30521">
            <w:pPr>
              <w:jc w:val="center"/>
              <w:rPr>
                <w:rFonts w:eastAsia="MS Mincho"/>
                <w:b/>
                <w:sz w:val="22"/>
              </w:rPr>
            </w:pPr>
            <w:r w:rsidRPr="00C717CC">
              <w:rPr>
                <w:rFonts w:eastAsia="MS Mincho"/>
                <w:b/>
                <w:sz w:val="22"/>
              </w:rPr>
              <w:t>n = 88</w:t>
            </w:r>
            <w:r w:rsidR="00F30521" w:rsidRPr="00C717CC">
              <w:rPr>
                <w:rFonts w:eastAsia="MS Mincho"/>
                <w:b/>
                <w:sz w:val="22"/>
              </w:rPr>
              <w:t>4</w:t>
            </w:r>
          </w:p>
        </w:tc>
        <w:tc>
          <w:tcPr>
            <w:tcW w:w="1710" w:type="dxa"/>
            <w:shd w:val="clear" w:color="auto" w:fill="F2F2F2"/>
          </w:tcPr>
          <w:p w14:paraId="071247A9" w14:textId="77777777" w:rsidR="003F72C9" w:rsidRPr="00C717CC" w:rsidRDefault="003F72C9" w:rsidP="003F72C9">
            <w:pPr>
              <w:jc w:val="center"/>
              <w:rPr>
                <w:rFonts w:eastAsia="MS Mincho"/>
                <w:b/>
                <w:sz w:val="22"/>
              </w:rPr>
            </w:pPr>
            <w:r w:rsidRPr="00C717CC">
              <w:rPr>
                <w:rFonts w:eastAsia="MS Mincho"/>
                <w:b/>
                <w:sz w:val="22"/>
              </w:rPr>
              <w:t>Grade 3 - 5 (%)</w:t>
            </w:r>
          </w:p>
          <w:p w14:paraId="071247AA" w14:textId="32583CBA" w:rsidR="003F72C9" w:rsidRPr="00C717CC" w:rsidRDefault="003F72C9" w:rsidP="00F30521">
            <w:pPr>
              <w:jc w:val="center"/>
              <w:rPr>
                <w:rFonts w:eastAsia="MS Mincho"/>
                <w:b/>
                <w:sz w:val="22"/>
              </w:rPr>
            </w:pPr>
            <w:r w:rsidRPr="00C717CC">
              <w:rPr>
                <w:rFonts w:eastAsia="MS Mincho"/>
                <w:b/>
                <w:sz w:val="22"/>
              </w:rPr>
              <w:t>n = 88</w:t>
            </w:r>
            <w:r w:rsidR="00F30521" w:rsidRPr="00C717CC">
              <w:rPr>
                <w:rFonts w:eastAsia="MS Mincho"/>
                <w:b/>
                <w:sz w:val="22"/>
              </w:rPr>
              <w:t>4</w:t>
            </w:r>
          </w:p>
        </w:tc>
        <w:tc>
          <w:tcPr>
            <w:tcW w:w="1530" w:type="dxa"/>
            <w:shd w:val="clear" w:color="auto" w:fill="F2F2F2"/>
          </w:tcPr>
          <w:p w14:paraId="071247AB" w14:textId="77777777" w:rsidR="003F72C9" w:rsidRPr="00C717CC" w:rsidRDefault="003F72C9" w:rsidP="00A12DFD">
            <w:pPr>
              <w:jc w:val="center"/>
              <w:rPr>
                <w:rFonts w:eastAsia="MS Mincho"/>
                <w:b/>
                <w:sz w:val="22"/>
              </w:rPr>
            </w:pPr>
            <w:r w:rsidRPr="00C717CC">
              <w:rPr>
                <w:rFonts w:eastAsia="MS Mincho"/>
                <w:b/>
                <w:sz w:val="22"/>
              </w:rPr>
              <w:t>Frequency Category</w:t>
            </w:r>
          </w:p>
        </w:tc>
      </w:tr>
      <w:tr w:rsidR="003F72C9" w:rsidRPr="00C717CC" w14:paraId="071247AE" w14:textId="77777777" w:rsidTr="00A12DFD">
        <w:tc>
          <w:tcPr>
            <w:tcW w:w="8748" w:type="dxa"/>
            <w:gridSpan w:val="4"/>
          </w:tcPr>
          <w:p w14:paraId="071247AD" w14:textId="77777777" w:rsidR="003F72C9" w:rsidRPr="00C717CC" w:rsidRDefault="003F72C9" w:rsidP="00A12DFD">
            <w:pPr>
              <w:spacing w:after="120"/>
              <w:jc w:val="left"/>
              <w:rPr>
                <w:rFonts w:eastAsia="MS Mincho"/>
                <w:sz w:val="22"/>
              </w:rPr>
            </w:pPr>
            <w:r w:rsidRPr="00C717CC">
              <w:rPr>
                <w:rFonts w:eastAsia="MS Mincho"/>
                <w:b/>
                <w:sz w:val="22"/>
              </w:rPr>
              <w:t>Blood and Lymphatic System Disorders</w:t>
            </w:r>
          </w:p>
        </w:tc>
      </w:tr>
      <w:tr w:rsidR="003F72C9" w:rsidRPr="00C717CC" w14:paraId="071247B3" w14:textId="77777777" w:rsidTr="00A12DFD">
        <w:tc>
          <w:tcPr>
            <w:tcW w:w="3794" w:type="dxa"/>
          </w:tcPr>
          <w:p w14:paraId="071247AF" w14:textId="77777777" w:rsidR="003F72C9" w:rsidRPr="00C717CC" w:rsidRDefault="003F72C9" w:rsidP="003F72C9">
            <w:pPr>
              <w:rPr>
                <w:rFonts w:eastAsia="MS Mincho"/>
                <w:sz w:val="22"/>
              </w:rPr>
            </w:pPr>
            <w:r w:rsidRPr="00C717CC">
              <w:rPr>
                <w:rFonts w:eastAsia="MS Mincho"/>
                <w:sz w:val="22"/>
              </w:rPr>
              <w:t xml:space="preserve">Thrombocytopenia </w:t>
            </w:r>
          </w:p>
        </w:tc>
        <w:tc>
          <w:tcPr>
            <w:tcW w:w="1714" w:type="dxa"/>
          </w:tcPr>
          <w:p w14:paraId="071247B0" w14:textId="7E1E6902" w:rsidR="003F72C9" w:rsidRPr="00C717CC" w:rsidRDefault="00F30521" w:rsidP="003F72C9">
            <w:pPr>
              <w:jc w:val="center"/>
              <w:rPr>
                <w:rFonts w:eastAsia="MS Mincho"/>
                <w:sz w:val="22"/>
              </w:rPr>
            </w:pPr>
            <w:r w:rsidRPr="00C717CC">
              <w:rPr>
                <w:rFonts w:eastAsia="MS Mincho"/>
                <w:sz w:val="22"/>
              </w:rPr>
              <w:t>32.1</w:t>
            </w:r>
          </w:p>
        </w:tc>
        <w:tc>
          <w:tcPr>
            <w:tcW w:w="1710" w:type="dxa"/>
          </w:tcPr>
          <w:p w14:paraId="071247B1" w14:textId="6FAF6FD4" w:rsidR="003F72C9" w:rsidRPr="00C717CC" w:rsidRDefault="00F30521" w:rsidP="003F72C9">
            <w:pPr>
              <w:jc w:val="center"/>
              <w:rPr>
                <w:rFonts w:eastAsia="MS Mincho"/>
                <w:sz w:val="22"/>
              </w:rPr>
            </w:pPr>
            <w:r w:rsidRPr="00C717CC">
              <w:rPr>
                <w:rFonts w:eastAsia="MS Mincho"/>
                <w:sz w:val="22"/>
              </w:rPr>
              <w:t>11.9</w:t>
            </w:r>
          </w:p>
        </w:tc>
        <w:tc>
          <w:tcPr>
            <w:tcW w:w="1530" w:type="dxa"/>
          </w:tcPr>
          <w:p w14:paraId="071247B2" w14:textId="77777777" w:rsidR="003F72C9" w:rsidRPr="00C717CC" w:rsidRDefault="003F72C9" w:rsidP="00A12DFD">
            <w:pPr>
              <w:jc w:val="center"/>
              <w:rPr>
                <w:rFonts w:eastAsia="MS Mincho"/>
                <w:sz w:val="22"/>
              </w:rPr>
            </w:pPr>
            <w:r w:rsidRPr="00C717CC">
              <w:rPr>
                <w:rFonts w:eastAsia="MS Mincho"/>
                <w:sz w:val="22"/>
              </w:rPr>
              <w:t>very common</w:t>
            </w:r>
          </w:p>
        </w:tc>
      </w:tr>
      <w:tr w:rsidR="003F72C9" w:rsidRPr="00C717CC" w14:paraId="071247B8" w14:textId="77777777" w:rsidTr="00A12DFD">
        <w:tc>
          <w:tcPr>
            <w:tcW w:w="3794" w:type="dxa"/>
          </w:tcPr>
          <w:p w14:paraId="071247B4" w14:textId="77777777" w:rsidR="003F72C9" w:rsidRPr="00C717CC" w:rsidRDefault="003F72C9" w:rsidP="003F72C9">
            <w:pPr>
              <w:rPr>
                <w:rFonts w:eastAsia="MS Mincho"/>
                <w:sz w:val="22"/>
              </w:rPr>
            </w:pPr>
            <w:r w:rsidRPr="00C717CC">
              <w:rPr>
                <w:rFonts w:eastAsia="MS Mincho"/>
                <w:sz w:val="22"/>
              </w:rPr>
              <w:t>Anaemia</w:t>
            </w:r>
          </w:p>
        </w:tc>
        <w:tc>
          <w:tcPr>
            <w:tcW w:w="1714" w:type="dxa"/>
          </w:tcPr>
          <w:p w14:paraId="071247B5" w14:textId="38620CD4" w:rsidR="003F72C9" w:rsidRPr="00C717CC" w:rsidRDefault="00F30521" w:rsidP="003F72C9">
            <w:pPr>
              <w:jc w:val="center"/>
              <w:rPr>
                <w:rFonts w:eastAsia="MS Mincho"/>
                <w:sz w:val="22"/>
              </w:rPr>
            </w:pPr>
            <w:r w:rsidRPr="00C717CC">
              <w:rPr>
                <w:rFonts w:eastAsia="MS Mincho"/>
                <w:sz w:val="22"/>
              </w:rPr>
              <w:t>17.3</w:t>
            </w:r>
          </w:p>
        </w:tc>
        <w:tc>
          <w:tcPr>
            <w:tcW w:w="1710" w:type="dxa"/>
          </w:tcPr>
          <w:p w14:paraId="071247B6" w14:textId="249301C0" w:rsidR="003F72C9" w:rsidRPr="00C717CC" w:rsidRDefault="00F30521" w:rsidP="003F72C9">
            <w:pPr>
              <w:jc w:val="center"/>
              <w:rPr>
                <w:rFonts w:eastAsia="MS Mincho"/>
                <w:sz w:val="22"/>
              </w:rPr>
            </w:pPr>
            <w:r w:rsidRPr="00C717CC">
              <w:rPr>
                <w:rFonts w:eastAsia="MS Mincho"/>
                <w:sz w:val="22"/>
              </w:rPr>
              <w:t>3.5</w:t>
            </w:r>
          </w:p>
        </w:tc>
        <w:tc>
          <w:tcPr>
            <w:tcW w:w="1530" w:type="dxa"/>
          </w:tcPr>
          <w:p w14:paraId="071247B7" w14:textId="77777777" w:rsidR="003F72C9" w:rsidRPr="00C717CC" w:rsidRDefault="003F72C9" w:rsidP="00A12DFD">
            <w:pPr>
              <w:jc w:val="center"/>
              <w:rPr>
                <w:rFonts w:eastAsia="MS Mincho"/>
                <w:sz w:val="22"/>
              </w:rPr>
            </w:pPr>
            <w:r w:rsidRPr="00C717CC">
              <w:rPr>
                <w:rFonts w:eastAsia="MS Mincho"/>
                <w:sz w:val="22"/>
              </w:rPr>
              <w:t>very common</w:t>
            </w:r>
          </w:p>
        </w:tc>
      </w:tr>
      <w:tr w:rsidR="003F72C9" w:rsidRPr="00C717CC" w14:paraId="071247BD" w14:textId="77777777" w:rsidTr="00A12DFD">
        <w:tc>
          <w:tcPr>
            <w:tcW w:w="3794" w:type="dxa"/>
          </w:tcPr>
          <w:p w14:paraId="071247B9" w14:textId="77777777" w:rsidR="003F72C9" w:rsidRPr="00C717CC" w:rsidRDefault="003F72C9" w:rsidP="003F72C9">
            <w:pPr>
              <w:rPr>
                <w:rFonts w:eastAsia="MS Mincho"/>
                <w:sz w:val="22"/>
              </w:rPr>
            </w:pPr>
            <w:r w:rsidRPr="00C717CC">
              <w:rPr>
                <w:rFonts w:eastAsia="MS Mincho"/>
                <w:sz w:val="22"/>
              </w:rPr>
              <w:t>Neutropenia</w:t>
            </w:r>
          </w:p>
        </w:tc>
        <w:tc>
          <w:tcPr>
            <w:tcW w:w="1714" w:type="dxa"/>
          </w:tcPr>
          <w:p w14:paraId="071247BA" w14:textId="36B6E955" w:rsidR="003F72C9" w:rsidRPr="00C717CC" w:rsidRDefault="00F30521" w:rsidP="003F72C9">
            <w:pPr>
              <w:jc w:val="center"/>
              <w:rPr>
                <w:rFonts w:eastAsia="MS Mincho"/>
                <w:sz w:val="22"/>
              </w:rPr>
            </w:pPr>
            <w:r w:rsidRPr="00C717CC">
              <w:rPr>
                <w:rFonts w:eastAsia="MS Mincho"/>
                <w:sz w:val="22"/>
              </w:rPr>
              <w:t>7.7</w:t>
            </w:r>
          </w:p>
        </w:tc>
        <w:tc>
          <w:tcPr>
            <w:tcW w:w="1710" w:type="dxa"/>
          </w:tcPr>
          <w:p w14:paraId="071247BB" w14:textId="22223FC4" w:rsidR="003F72C9" w:rsidRPr="00C717CC" w:rsidRDefault="00F30521" w:rsidP="003F72C9">
            <w:pPr>
              <w:jc w:val="center"/>
              <w:rPr>
                <w:rFonts w:eastAsia="MS Mincho"/>
                <w:sz w:val="22"/>
              </w:rPr>
            </w:pPr>
            <w:r w:rsidRPr="00C717CC">
              <w:rPr>
                <w:rFonts w:eastAsia="MS Mincho"/>
                <w:sz w:val="22"/>
              </w:rPr>
              <w:t>2.1</w:t>
            </w:r>
          </w:p>
        </w:tc>
        <w:tc>
          <w:tcPr>
            <w:tcW w:w="1530" w:type="dxa"/>
          </w:tcPr>
          <w:p w14:paraId="071247BC" w14:textId="77777777" w:rsidR="003F72C9" w:rsidRPr="00C717CC" w:rsidRDefault="003F72C9" w:rsidP="00A12DFD">
            <w:pPr>
              <w:jc w:val="center"/>
              <w:rPr>
                <w:rFonts w:eastAsia="MS Mincho"/>
                <w:sz w:val="22"/>
              </w:rPr>
            </w:pPr>
            <w:r w:rsidRPr="00C717CC">
              <w:rPr>
                <w:rFonts w:eastAsia="MS Mincho"/>
                <w:sz w:val="22"/>
              </w:rPr>
              <w:t>common</w:t>
            </w:r>
          </w:p>
        </w:tc>
      </w:tr>
      <w:tr w:rsidR="003F72C9" w:rsidRPr="00C717CC" w14:paraId="071247BF" w14:textId="77777777" w:rsidTr="00A12DFD">
        <w:trPr>
          <w:trHeight w:val="177"/>
        </w:trPr>
        <w:tc>
          <w:tcPr>
            <w:tcW w:w="8748" w:type="dxa"/>
            <w:gridSpan w:val="4"/>
          </w:tcPr>
          <w:p w14:paraId="071247BE" w14:textId="77777777" w:rsidR="003F72C9" w:rsidRPr="00C717CC" w:rsidRDefault="003F72C9" w:rsidP="00A12DFD">
            <w:pPr>
              <w:spacing w:after="120"/>
              <w:jc w:val="left"/>
              <w:rPr>
                <w:rFonts w:eastAsia="MS Mincho"/>
                <w:b/>
                <w:sz w:val="22"/>
              </w:rPr>
            </w:pPr>
            <w:r w:rsidRPr="00C717CC">
              <w:rPr>
                <w:rFonts w:eastAsia="MS Mincho"/>
                <w:b/>
                <w:sz w:val="22"/>
              </w:rPr>
              <w:t>Cardiac Disorders</w:t>
            </w:r>
          </w:p>
        </w:tc>
      </w:tr>
      <w:tr w:rsidR="003F72C9" w:rsidRPr="00C717CC" w14:paraId="071247C4" w14:textId="77777777" w:rsidTr="00A12DFD">
        <w:tc>
          <w:tcPr>
            <w:tcW w:w="3794" w:type="dxa"/>
          </w:tcPr>
          <w:p w14:paraId="071247C0" w14:textId="77777777" w:rsidR="003F72C9" w:rsidRPr="00C717CC" w:rsidRDefault="003F72C9" w:rsidP="003F72C9">
            <w:pPr>
              <w:rPr>
                <w:rFonts w:eastAsia="MS Mincho"/>
                <w:sz w:val="22"/>
              </w:rPr>
            </w:pPr>
            <w:r w:rsidRPr="00C717CC">
              <w:rPr>
                <w:rFonts w:eastAsia="MS Mincho"/>
                <w:sz w:val="22"/>
              </w:rPr>
              <w:t>Left ventricular dysfunction</w:t>
            </w:r>
          </w:p>
        </w:tc>
        <w:tc>
          <w:tcPr>
            <w:tcW w:w="1714" w:type="dxa"/>
          </w:tcPr>
          <w:p w14:paraId="071247C1" w14:textId="16F50C89" w:rsidR="003F72C9" w:rsidRPr="00C717CC" w:rsidRDefault="00F30521" w:rsidP="003F72C9">
            <w:pPr>
              <w:jc w:val="center"/>
              <w:rPr>
                <w:rFonts w:eastAsia="MS Mincho"/>
                <w:sz w:val="22"/>
              </w:rPr>
            </w:pPr>
            <w:r w:rsidRPr="00C717CC">
              <w:rPr>
                <w:rFonts w:eastAsia="MS Mincho"/>
                <w:sz w:val="22"/>
              </w:rPr>
              <w:t>2.1</w:t>
            </w:r>
          </w:p>
        </w:tc>
        <w:tc>
          <w:tcPr>
            <w:tcW w:w="1710" w:type="dxa"/>
          </w:tcPr>
          <w:p w14:paraId="071247C2" w14:textId="77777777" w:rsidR="003F72C9" w:rsidRPr="00C717CC" w:rsidRDefault="003F72C9" w:rsidP="003F72C9">
            <w:pPr>
              <w:jc w:val="center"/>
              <w:rPr>
                <w:rFonts w:eastAsia="MS Mincho"/>
                <w:sz w:val="22"/>
              </w:rPr>
            </w:pPr>
            <w:r w:rsidRPr="00C717CC">
              <w:rPr>
                <w:rFonts w:eastAsia="MS Mincho"/>
                <w:sz w:val="22"/>
              </w:rPr>
              <w:t>0.3</w:t>
            </w:r>
          </w:p>
        </w:tc>
        <w:tc>
          <w:tcPr>
            <w:tcW w:w="1530" w:type="dxa"/>
          </w:tcPr>
          <w:p w14:paraId="071247C3" w14:textId="77777777" w:rsidR="003F72C9" w:rsidRPr="00C717CC" w:rsidRDefault="003F72C9" w:rsidP="00A12DFD">
            <w:pPr>
              <w:jc w:val="center"/>
              <w:rPr>
                <w:rFonts w:eastAsia="MS Mincho"/>
                <w:sz w:val="22"/>
              </w:rPr>
            </w:pPr>
            <w:r w:rsidRPr="00C717CC">
              <w:rPr>
                <w:rFonts w:eastAsia="MS Mincho"/>
                <w:sz w:val="22"/>
              </w:rPr>
              <w:t>common</w:t>
            </w:r>
          </w:p>
        </w:tc>
      </w:tr>
      <w:tr w:rsidR="003F72C9" w:rsidRPr="00C717CC" w14:paraId="071247C6" w14:textId="77777777" w:rsidTr="003E5BBE">
        <w:trPr>
          <w:trHeight w:val="305"/>
        </w:trPr>
        <w:tc>
          <w:tcPr>
            <w:tcW w:w="8748" w:type="dxa"/>
            <w:gridSpan w:val="4"/>
          </w:tcPr>
          <w:p w14:paraId="071247C5" w14:textId="77777777" w:rsidR="003F72C9" w:rsidRPr="00C717CC" w:rsidRDefault="003F72C9" w:rsidP="00A12DFD">
            <w:pPr>
              <w:jc w:val="left"/>
              <w:rPr>
                <w:rFonts w:eastAsia="MS Mincho"/>
                <w:b/>
                <w:sz w:val="22"/>
              </w:rPr>
            </w:pPr>
            <w:r w:rsidRPr="00C717CC">
              <w:rPr>
                <w:rFonts w:eastAsia="MS Mincho"/>
                <w:b/>
                <w:sz w:val="22"/>
              </w:rPr>
              <w:t>Eye Disorders</w:t>
            </w:r>
          </w:p>
        </w:tc>
      </w:tr>
      <w:tr w:rsidR="003F72C9" w:rsidRPr="00C717CC" w14:paraId="071247CB" w14:textId="77777777" w:rsidTr="00A12DFD">
        <w:tc>
          <w:tcPr>
            <w:tcW w:w="3794" w:type="dxa"/>
          </w:tcPr>
          <w:p w14:paraId="071247C7" w14:textId="77777777" w:rsidR="003F72C9" w:rsidRPr="00C717CC" w:rsidRDefault="003F72C9" w:rsidP="003F72C9">
            <w:pPr>
              <w:rPr>
                <w:rFonts w:eastAsia="MS Mincho"/>
                <w:sz w:val="22"/>
              </w:rPr>
            </w:pPr>
            <w:r w:rsidRPr="00C717CC">
              <w:rPr>
                <w:rFonts w:eastAsia="MS Mincho"/>
                <w:sz w:val="22"/>
              </w:rPr>
              <w:t>Dry eye</w:t>
            </w:r>
          </w:p>
        </w:tc>
        <w:tc>
          <w:tcPr>
            <w:tcW w:w="1714" w:type="dxa"/>
          </w:tcPr>
          <w:p w14:paraId="071247C8" w14:textId="51EE9E70" w:rsidR="003F72C9" w:rsidRPr="00C717CC" w:rsidRDefault="00F30521" w:rsidP="003F72C9">
            <w:pPr>
              <w:jc w:val="center"/>
              <w:rPr>
                <w:rFonts w:eastAsia="MS Mincho"/>
                <w:sz w:val="22"/>
              </w:rPr>
            </w:pPr>
            <w:r w:rsidRPr="00C717CC">
              <w:rPr>
                <w:rFonts w:eastAsia="MS Mincho"/>
                <w:sz w:val="22"/>
              </w:rPr>
              <w:t>5.8</w:t>
            </w:r>
          </w:p>
        </w:tc>
        <w:tc>
          <w:tcPr>
            <w:tcW w:w="1710" w:type="dxa"/>
          </w:tcPr>
          <w:p w14:paraId="071247C9" w14:textId="77777777" w:rsidR="003F72C9" w:rsidRPr="00C717CC" w:rsidRDefault="003F72C9" w:rsidP="003F72C9">
            <w:pPr>
              <w:jc w:val="center"/>
              <w:rPr>
                <w:rFonts w:eastAsia="MS Mincho"/>
                <w:sz w:val="22"/>
              </w:rPr>
            </w:pPr>
            <w:r w:rsidRPr="00C717CC">
              <w:rPr>
                <w:rFonts w:eastAsia="MS Mincho"/>
                <w:sz w:val="22"/>
              </w:rPr>
              <w:t>0.0</w:t>
            </w:r>
          </w:p>
        </w:tc>
        <w:tc>
          <w:tcPr>
            <w:tcW w:w="1530" w:type="dxa"/>
          </w:tcPr>
          <w:p w14:paraId="071247CA" w14:textId="77777777" w:rsidR="003F72C9" w:rsidRPr="00C717CC" w:rsidRDefault="003F72C9" w:rsidP="00A12DFD">
            <w:pPr>
              <w:jc w:val="center"/>
              <w:rPr>
                <w:rFonts w:eastAsia="MS Mincho"/>
                <w:sz w:val="22"/>
              </w:rPr>
            </w:pPr>
            <w:r w:rsidRPr="00C717CC">
              <w:rPr>
                <w:rFonts w:eastAsia="MS Mincho"/>
                <w:sz w:val="22"/>
              </w:rPr>
              <w:t>common</w:t>
            </w:r>
          </w:p>
        </w:tc>
      </w:tr>
      <w:tr w:rsidR="003F72C9" w:rsidRPr="00C717CC" w14:paraId="071247D0" w14:textId="77777777" w:rsidTr="00A12DFD">
        <w:tc>
          <w:tcPr>
            <w:tcW w:w="3794" w:type="dxa"/>
          </w:tcPr>
          <w:p w14:paraId="071247CC" w14:textId="77777777" w:rsidR="003F72C9" w:rsidRPr="00C717CC" w:rsidRDefault="003F72C9" w:rsidP="003F72C9">
            <w:pPr>
              <w:rPr>
                <w:rFonts w:eastAsia="MS Mincho"/>
                <w:sz w:val="22"/>
              </w:rPr>
            </w:pPr>
            <w:r w:rsidRPr="00C717CC">
              <w:rPr>
                <w:rFonts w:eastAsia="MS Mincho"/>
                <w:sz w:val="22"/>
              </w:rPr>
              <w:t>Lacrimation increased</w:t>
            </w:r>
          </w:p>
        </w:tc>
        <w:tc>
          <w:tcPr>
            <w:tcW w:w="1714" w:type="dxa"/>
          </w:tcPr>
          <w:p w14:paraId="071247CD" w14:textId="77777777" w:rsidR="003F72C9" w:rsidRPr="00C717CC" w:rsidRDefault="003F72C9" w:rsidP="003F72C9">
            <w:pPr>
              <w:jc w:val="center"/>
              <w:rPr>
                <w:rFonts w:eastAsia="MS Mincho"/>
                <w:sz w:val="22"/>
              </w:rPr>
            </w:pPr>
            <w:r w:rsidRPr="00C717CC">
              <w:rPr>
                <w:rFonts w:eastAsia="MS Mincho"/>
                <w:sz w:val="22"/>
              </w:rPr>
              <w:t>4.8</w:t>
            </w:r>
          </w:p>
        </w:tc>
        <w:tc>
          <w:tcPr>
            <w:tcW w:w="1710" w:type="dxa"/>
          </w:tcPr>
          <w:p w14:paraId="071247CE" w14:textId="77777777" w:rsidR="003F72C9" w:rsidRPr="00C717CC" w:rsidRDefault="003F72C9" w:rsidP="003F72C9">
            <w:pPr>
              <w:jc w:val="center"/>
              <w:rPr>
                <w:rFonts w:eastAsia="MS Mincho"/>
                <w:sz w:val="22"/>
              </w:rPr>
            </w:pPr>
            <w:r w:rsidRPr="00C717CC">
              <w:rPr>
                <w:rFonts w:eastAsia="MS Mincho"/>
                <w:sz w:val="22"/>
              </w:rPr>
              <w:t>0.0</w:t>
            </w:r>
          </w:p>
        </w:tc>
        <w:tc>
          <w:tcPr>
            <w:tcW w:w="1530" w:type="dxa"/>
          </w:tcPr>
          <w:p w14:paraId="071247CF" w14:textId="77777777" w:rsidR="003F72C9" w:rsidRPr="00C717CC" w:rsidRDefault="003F72C9" w:rsidP="00A12DFD">
            <w:pPr>
              <w:jc w:val="center"/>
              <w:rPr>
                <w:rFonts w:eastAsia="MS Mincho"/>
                <w:sz w:val="22"/>
              </w:rPr>
            </w:pPr>
            <w:r w:rsidRPr="00C717CC">
              <w:rPr>
                <w:rFonts w:eastAsia="MS Mincho"/>
                <w:sz w:val="22"/>
              </w:rPr>
              <w:t>common</w:t>
            </w:r>
          </w:p>
        </w:tc>
      </w:tr>
      <w:tr w:rsidR="003F72C9" w:rsidRPr="00C717CC" w14:paraId="071247D5" w14:textId="77777777" w:rsidTr="00A12DFD">
        <w:tc>
          <w:tcPr>
            <w:tcW w:w="3794" w:type="dxa"/>
          </w:tcPr>
          <w:p w14:paraId="071247D1" w14:textId="77777777" w:rsidR="003F72C9" w:rsidRPr="00C717CC" w:rsidRDefault="003F72C9" w:rsidP="003F72C9">
            <w:pPr>
              <w:rPr>
                <w:rFonts w:eastAsia="MS Mincho"/>
                <w:sz w:val="22"/>
              </w:rPr>
            </w:pPr>
            <w:r w:rsidRPr="00C717CC">
              <w:rPr>
                <w:rFonts w:eastAsia="MS Mincho"/>
                <w:sz w:val="22"/>
              </w:rPr>
              <w:t>Vision blurred</w:t>
            </w:r>
          </w:p>
        </w:tc>
        <w:tc>
          <w:tcPr>
            <w:tcW w:w="1714" w:type="dxa"/>
          </w:tcPr>
          <w:p w14:paraId="071247D2" w14:textId="4A411125" w:rsidR="003F72C9" w:rsidRPr="00C717CC" w:rsidRDefault="00F30521" w:rsidP="003F72C9">
            <w:pPr>
              <w:jc w:val="center"/>
              <w:rPr>
                <w:rFonts w:eastAsia="MS Mincho"/>
                <w:sz w:val="22"/>
              </w:rPr>
            </w:pPr>
            <w:r w:rsidRPr="00C717CC">
              <w:rPr>
                <w:rFonts w:eastAsia="MS Mincho"/>
                <w:sz w:val="22"/>
              </w:rPr>
              <w:t>5.1</w:t>
            </w:r>
          </w:p>
        </w:tc>
        <w:tc>
          <w:tcPr>
            <w:tcW w:w="1710" w:type="dxa"/>
          </w:tcPr>
          <w:p w14:paraId="071247D3" w14:textId="77777777" w:rsidR="003F72C9" w:rsidRPr="00C717CC" w:rsidRDefault="003F72C9" w:rsidP="003F72C9">
            <w:pPr>
              <w:jc w:val="center"/>
              <w:rPr>
                <w:rFonts w:eastAsia="MS Mincho"/>
                <w:sz w:val="22"/>
              </w:rPr>
            </w:pPr>
            <w:r w:rsidRPr="00C717CC">
              <w:rPr>
                <w:rFonts w:eastAsia="MS Mincho"/>
                <w:sz w:val="22"/>
              </w:rPr>
              <w:t>0.0</w:t>
            </w:r>
          </w:p>
        </w:tc>
        <w:tc>
          <w:tcPr>
            <w:tcW w:w="1530" w:type="dxa"/>
          </w:tcPr>
          <w:p w14:paraId="071247D4" w14:textId="77777777" w:rsidR="003F72C9" w:rsidRPr="00C717CC" w:rsidRDefault="003F72C9" w:rsidP="00A12DFD">
            <w:pPr>
              <w:jc w:val="center"/>
              <w:rPr>
                <w:rFonts w:eastAsia="MS Mincho"/>
                <w:sz w:val="22"/>
              </w:rPr>
            </w:pPr>
            <w:r w:rsidRPr="00C717CC">
              <w:rPr>
                <w:rFonts w:eastAsia="MS Mincho"/>
                <w:sz w:val="22"/>
              </w:rPr>
              <w:t>common</w:t>
            </w:r>
          </w:p>
        </w:tc>
      </w:tr>
      <w:tr w:rsidR="003F72C9" w:rsidRPr="00C717CC" w14:paraId="071247DA" w14:textId="77777777" w:rsidTr="00A12DFD">
        <w:tc>
          <w:tcPr>
            <w:tcW w:w="3794" w:type="dxa"/>
          </w:tcPr>
          <w:p w14:paraId="071247D6" w14:textId="77777777" w:rsidR="003F72C9" w:rsidRPr="00C717CC" w:rsidRDefault="003F72C9" w:rsidP="003F72C9">
            <w:pPr>
              <w:rPr>
                <w:rFonts w:eastAsia="MS Mincho"/>
                <w:sz w:val="22"/>
              </w:rPr>
            </w:pPr>
            <w:r w:rsidRPr="00C717CC">
              <w:rPr>
                <w:rFonts w:eastAsia="MS Mincho"/>
                <w:sz w:val="22"/>
              </w:rPr>
              <w:t>Conjunctivitis</w:t>
            </w:r>
          </w:p>
        </w:tc>
        <w:tc>
          <w:tcPr>
            <w:tcW w:w="1714" w:type="dxa"/>
          </w:tcPr>
          <w:p w14:paraId="071247D7" w14:textId="3D3B85D8" w:rsidR="003F72C9" w:rsidRPr="00C717CC" w:rsidRDefault="00F30521" w:rsidP="003F72C9">
            <w:pPr>
              <w:jc w:val="center"/>
              <w:rPr>
                <w:rFonts w:eastAsia="MS Mincho"/>
                <w:sz w:val="22"/>
              </w:rPr>
            </w:pPr>
            <w:r w:rsidRPr="00C717CC">
              <w:rPr>
                <w:rFonts w:eastAsia="MS Mincho"/>
                <w:sz w:val="22"/>
              </w:rPr>
              <w:t>4.2</w:t>
            </w:r>
          </w:p>
        </w:tc>
        <w:tc>
          <w:tcPr>
            <w:tcW w:w="1710" w:type="dxa"/>
          </w:tcPr>
          <w:p w14:paraId="071247D8" w14:textId="77777777" w:rsidR="003F72C9" w:rsidRPr="00C717CC" w:rsidRDefault="003F72C9" w:rsidP="003F72C9">
            <w:pPr>
              <w:jc w:val="center"/>
              <w:rPr>
                <w:rFonts w:eastAsia="MS Mincho"/>
                <w:sz w:val="22"/>
              </w:rPr>
            </w:pPr>
            <w:r w:rsidRPr="00C717CC">
              <w:rPr>
                <w:rFonts w:eastAsia="MS Mincho"/>
                <w:sz w:val="22"/>
              </w:rPr>
              <w:t>0.0</w:t>
            </w:r>
          </w:p>
        </w:tc>
        <w:tc>
          <w:tcPr>
            <w:tcW w:w="1530" w:type="dxa"/>
          </w:tcPr>
          <w:p w14:paraId="071247D9" w14:textId="77777777" w:rsidR="003F72C9" w:rsidRPr="00C717CC" w:rsidRDefault="003F72C9" w:rsidP="00A12DFD">
            <w:pPr>
              <w:jc w:val="center"/>
              <w:rPr>
                <w:rFonts w:eastAsia="MS Mincho"/>
                <w:sz w:val="22"/>
              </w:rPr>
            </w:pPr>
            <w:r w:rsidRPr="00C717CC">
              <w:rPr>
                <w:rFonts w:eastAsia="MS Mincho"/>
                <w:sz w:val="22"/>
              </w:rPr>
              <w:t>common</w:t>
            </w:r>
          </w:p>
        </w:tc>
      </w:tr>
      <w:tr w:rsidR="003F72C9" w:rsidRPr="00C717CC" w14:paraId="071247DC" w14:textId="77777777" w:rsidTr="00A12DFD">
        <w:tc>
          <w:tcPr>
            <w:tcW w:w="8748" w:type="dxa"/>
            <w:gridSpan w:val="4"/>
          </w:tcPr>
          <w:p w14:paraId="071247DB" w14:textId="77777777" w:rsidR="003F72C9" w:rsidRPr="00C717CC" w:rsidRDefault="003F72C9" w:rsidP="00A12DFD">
            <w:pPr>
              <w:spacing w:after="120"/>
              <w:jc w:val="left"/>
              <w:rPr>
                <w:rFonts w:eastAsia="MS Mincho"/>
                <w:b/>
                <w:sz w:val="22"/>
              </w:rPr>
            </w:pPr>
            <w:r w:rsidRPr="00C717CC">
              <w:rPr>
                <w:rFonts w:eastAsia="MS Mincho"/>
                <w:b/>
                <w:sz w:val="22"/>
              </w:rPr>
              <w:t>Gastrointestinal Disorders</w:t>
            </w:r>
          </w:p>
        </w:tc>
      </w:tr>
      <w:tr w:rsidR="003F72C9" w:rsidRPr="00C717CC" w14:paraId="071247E1" w14:textId="77777777" w:rsidTr="00A12DFD">
        <w:tc>
          <w:tcPr>
            <w:tcW w:w="3794" w:type="dxa"/>
          </w:tcPr>
          <w:p w14:paraId="071247DD" w14:textId="77777777" w:rsidR="003F72C9" w:rsidRPr="00C717CC" w:rsidRDefault="003F72C9" w:rsidP="003F72C9">
            <w:pPr>
              <w:rPr>
                <w:rFonts w:eastAsia="MS Mincho"/>
                <w:sz w:val="22"/>
              </w:rPr>
            </w:pPr>
            <w:r w:rsidRPr="00C717CC">
              <w:rPr>
                <w:rFonts w:eastAsia="MS Mincho"/>
                <w:sz w:val="22"/>
              </w:rPr>
              <w:t>Nausea</w:t>
            </w:r>
          </w:p>
        </w:tc>
        <w:tc>
          <w:tcPr>
            <w:tcW w:w="1714" w:type="dxa"/>
          </w:tcPr>
          <w:p w14:paraId="071247DE" w14:textId="2F8A7B4C" w:rsidR="003F72C9" w:rsidRPr="00C717CC" w:rsidRDefault="00F30521" w:rsidP="003F72C9">
            <w:pPr>
              <w:jc w:val="center"/>
              <w:rPr>
                <w:rFonts w:eastAsia="MS Mincho"/>
                <w:sz w:val="22"/>
              </w:rPr>
            </w:pPr>
            <w:r w:rsidRPr="00C717CC">
              <w:rPr>
                <w:rFonts w:eastAsia="MS Mincho"/>
                <w:sz w:val="22"/>
              </w:rPr>
              <w:t>43.0</w:t>
            </w:r>
          </w:p>
        </w:tc>
        <w:tc>
          <w:tcPr>
            <w:tcW w:w="1710" w:type="dxa"/>
          </w:tcPr>
          <w:p w14:paraId="071247DF" w14:textId="6EA8E58D" w:rsidR="003F72C9" w:rsidRPr="00C717CC" w:rsidRDefault="00F30521" w:rsidP="003F72C9">
            <w:pPr>
              <w:jc w:val="center"/>
              <w:rPr>
                <w:rFonts w:eastAsia="MS Mincho"/>
                <w:sz w:val="22"/>
              </w:rPr>
            </w:pPr>
            <w:r w:rsidRPr="00C717CC">
              <w:rPr>
                <w:rFonts w:eastAsia="MS Mincho"/>
                <w:sz w:val="22"/>
              </w:rPr>
              <w:t>1.1</w:t>
            </w:r>
          </w:p>
        </w:tc>
        <w:tc>
          <w:tcPr>
            <w:tcW w:w="1530" w:type="dxa"/>
          </w:tcPr>
          <w:p w14:paraId="071247E0" w14:textId="77777777" w:rsidR="003F72C9" w:rsidRPr="00C717CC" w:rsidRDefault="003F72C9" w:rsidP="00A12DFD">
            <w:pPr>
              <w:jc w:val="center"/>
              <w:rPr>
                <w:rFonts w:eastAsia="MS Mincho"/>
                <w:sz w:val="22"/>
              </w:rPr>
            </w:pPr>
            <w:r w:rsidRPr="00C717CC">
              <w:rPr>
                <w:rFonts w:eastAsia="MS Mincho"/>
                <w:sz w:val="22"/>
              </w:rPr>
              <w:t>very common</w:t>
            </w:r>
          </w:p>
        </w:tc>
      </w:tr>
      <w:tr w:rsidR="003F72C9" w:rsidRPr="00C717CC" w14:paraId="071247E6" w14:textId="77777777" w:rsidTr="00A12DFD">
        <w:tc>
          <w:tcPr>
            <w:tcW w:w="3794" w:type="dxa"/>
          </w:tcPr>
          <w:p w14:paraId="071247E2" w14:textId="77777777" w:rsidR="003F72C9" w:rsidRPr="00C717CC" w:rsidRDefault="003F72C9" w:rsidP="003F72C9">
            <w:pPr>
              <w:rPr>
                <w:rFonts w:eastAsia="MS Mincho"/>
                <w:sz w:val="22"/>
              </w:rPr>
            </w:pPr>
            <w:r w:rsidRPr="00C717CC">
              <w:rPr>
                <w:rFonts w:eastAsia="MS Mincho"/>
                <w:sz w:val="22"/>
              </w:rPr>
              <w:t>Constipation</w:t>
            </w:r>
          </w:p>
        </w:tc>
        <w:tc>
          <w:tcPr>
            <w:tcW w:w="1714" w:type="dxa"/>
          </w:tcPr>
          <w:p w14:paraId="071247E3" w14:textId="607B5558" w:rsidR="003F72C9" w:rsidRPr="00C717CC" w:rsidRDefault="00F30521" w:rsidP="003F72C9">
            <w:pPr>
              <w:jc w:val="center"/>
              <w:rPr>
                <w:rFonts w:eastAsia="MS Mincho"/>
                <w:sz w:val="22"/>
              </w:rPr>
            </w:pPr>
            <w:r w:rsidRPr="00C717CC">
              <w:rPr>
                <w:rFonts w:eastAsia="MS Mincho"/>
                <w:sz w:val="22"/>
              </w:rPr>
              <w:t>26.5</w:t>
            </w:r>
          </w:p>
        </w:tc>
        <w:tc>
          <w:tcPr>
            <w:tcW w:w="1710" w:type="dxa"/>
          </w:tcPr>
          <w:p w14:paraId="071247E4" w14:textId="77777777" w:rsidR="003F72C9" w:rsidRPr="00C717CC" w:rsidRDefault="003F72C9" w:rsidP="003F72C9">
            <w:pPr>
              <w:jc w:val="center"/>
              <w:rPr>
                <w:rFonts w:eastAsia="MS Mincho"/>
                <w:sz w:val="22"/>
              </w:rPr>
            </w:pPr>
            <w:r w:rsidRPr="00C717CC">
              <w:rPr>
                <w:rFonts w:eastAsia="MS Mincho"/>
                <w:sz w:val="22"/>
              </w:rPr>
              <w:t>0.6</w:t>
            </w:r>
          </w:p>
        </w:tc>
        <w:tc>
          <w:tcPr>
            <w:tcW w:w="1530" w:type="dxa"/>
          </w:tcPr>
          <w:p w14:paraId="071247E5" w14:textId="77777777" w:rsidR="003F72C9" w:rsidRPr="00C717CC" w:rsidRDefault="003F72C9" w:rsidP="00A12DFD">
            <w:pPr>
              <w:jc w:val="center"/>
              <w:rPr>
                <w:rFonts w:eastAsia="MS Mincho"/>
                <w:sz w:val="22"/>
              </w:rPr>
            </w:pPr>
            <w:r w:rsidRPr="00C717CC">
              <w:rPr>
                <w:rFonts w:eastAsia="MS Mincho"/>
                <w:sz w:val="22"/>
              </w:rPr>
              <w:t>very common</w:t>
            </w:r>
          </w:p>
        </w:tc>
      </w:tr>
      <w:tr w:rsidR="003F72C9" w:rsidRPr="00C717CC" w14:paraId="071247EB" w14:textId="77777777" w:rsidTr="00A12DFD">
        <w:tc>
          <w:tcPr>
            <w:tcW w:w="3794" w:type="dxa"/>
          </w:tcPr>
          <w:p w14:paraId="071247E7" w14:textId="77777777" w:rsidR="003F72C9" w:rsidRPr="00C717CC" w:rsidRDefault="003F72C9" w:rsidP="003F72C9">
            <w:pPr>
              <w:rPr>
                <w:rFonts w:eastAsia="MS Mincho"/>
                <w:sz w:val="22"/>
              </w:rPr>
            </w:pPr>
            <w:r w:rsidRPr="00C717CC">
              <w:rPr>
                <w:rFonts w:eastAsia="MS Mincho"/>
                <w:sz w:val="22"/>
              </w:rPr>
              <w:t>Vomiting</w:t>
            </w:r>
          </w:p>
        </w:tc>
        <w:tc>
          <w:tcPr>
            <w:tcW w:w="1714" w:type="dxa"/>
          </w:tcPr>
          <w:p w14:paraId="071247E8" w14:textId="76860C39" w:rsidR="003F72C9" w:rsidRPr="00C717CC" w:rsidRDefault="00F30521" w:rsidP="003F72C9">
            <w:pPr>
              <w:jc w:val="center"/>
              <w:rPr>
                <w:rFonts w:eastAsia="MS Mincho"/>
                <w:sz w:val="22"/>
              </w:rPr>
            </w:pPr>
            <w:r w:rsidRPr="00C717CC">
              <w:rPr>
                <w:rFonts w:eastAsia="MS Mincho"/>
                <w:sz w:val="22"/>
              </w:rPr>
              <w:t>20.9</w:t>
            </w:r>
          </w:p>
        </w:tc>
        <w:tc>
          <w:tcPr>
            <w:tcW w:w="1710" w:type="dxa"/>
          </w:tcPr>
          <w:p w14:paraId="071247E9" w14:textId="77777777" w:rsidR="003F72C9" w:rsidRPr="00C717CC" w:rsidRDefault="003F72C9" w:rsidP="003F72C9">
            <w:pPr>
              <w:jc w:val="center"/>
              <w:rPr>
                <w:rFonts w:eastAsia="MS Mincho"/>
                <w:sz w:val="22"/>
              </w:rPr>
            </w:pPr>
            <w:r w:rsidRPr="00C717CC">
              <w:rPr>
                <w:rFonts w:eastAsia="MS Mincho"/>
                <w:sz w:val="22"/>
              </w:rPr>
              <w:t>0.8</w:t>
            </w:r>
          </w:p>
        </w:tc>
        <w:tc>
          <w:tcPr>
            <w:tcW w:w="1530" w:type="dxa"/>
          </w:tcPr>
          <w:p w14:paraId="071247EA" w14:textId="77777777" w:rsidR="003F72C9" w:rsidRPr="00C717CC" w:rsidRDefault="003F72C9" w:rsidP="00A12DFD">
            <w:pPr>
              <w:jc w:val="center"/>
              <w:rPr>
                <w:rFonts w:eastAsia="MS Mincho"/>
                <w:sz w:val="22"/>
              </w:rPr>
            </w:pPr>
            <w:r w:rsidRPr="00C717CC">
              <w:rPr>
                <w:rFonts w:eastAsia="MS Mincho"/>
                <w:sz w:val="22"/>
              </w:rPr>
              <w:t>very common</w:t>
            </w:r>
          </w:p>
        </w:tc>
      </w:tr>
      <w:tr w:rsidR="003F72C9" w:rsidRPr="00C717CC" w14:paraId="071247F0" w14:textId="77777777" w:rsidTr="00A12DFD">
        <w:tc>
          <w:tcPr>
            <w:tcW w:w="3794" w:type="dxa"/>
          </w:tcPr>
          <w:p w14:paraId="071247EC" w14:textId="77777777" w:rsidR="003F72C9" w:rsidRPr="00C717CC" w:rsidRDefault="003F72C9" w:rsidP="003F72C9">
            <w:pPr>
              <w:rPr>
                <w:rFonts w:eastAsia="MS Mincho"/>
                <w:sz w:val="22"/>
              </w:rPr>
            </w:pPr>
            <w:r w:rsidRPr="00C717CC">
              <w:rPr>
                <w:rFonts w:eastAsia="MS Mincho"/>
                <w:sz w:val="22"/>
              </w:rPr>
              <w:t>Diarrh</w:t>
            </w:r>
            <w:r w:rsidR="00DB7D45" w:rsidRPr="00C717CC">
              <w:rPr>
                <w:rFonts w:eastAsia="MS Mincho"/>
                <w:sz w:val="22"/>
              </w:rPr>
              <w:t>o</w:t>
            </w:r>
            <w:r w:rsidRPr="00C717CC">
              <w:rPr>
                <w:rFonts w:eastAsia="MS Mincho"/>
                <w:sz w:val="22"/>
              </w:rPr>
              <w:t>ea</w:t>
            </w:r>
          </w:p>
        </w:tc>
        <w:tc>
          <w:tcPr>
            <w:tcW w:w="1714" w:type="dxa"/>
          </w:tcPr>
          <w:p w14:paraId="071247ED" w14:textId="0F8FDF32" w:rsidR="003F72C9" w:rsidRPr="00C717CC" w:rsidRDefault="00F30521" w:rsidP="003F72C9">
            <w:pPr>
              <w:jc w:val="center"/>
              <w:rPr>
                <w:rFonts w:eastAsia="MS Mincho"/>
                <w:sz w:val="22"/>
              </w:rPr>
            </w:pPr>
            <w:r w:rsidRPr="00C717CC">
              <w:rPr>
                <w:rFonts w:eastAsia="MS Mincho"/>
                <w:sz w:val="22"/>
              </w:rPr>
              <w:t>21.3</w:t>
            </w:r>
          </w:p>
        </w:tc>
        <w:tc>
          <w:tcPr>
            <w:tcW w:w="1710" w:type="dxa"/>
          </w:tcPr>
          <w:p w14:paraId="071247EE" w14:textId="1D7237A4" w:rsidR="003F72C9" w:rsidRPr="00C717CC" w:rsidRDefault="00F30521" w:rsidP="003F72C9">
            <w:pPr>
              <w:jc w:val="center"/>
              <w:rPr>
                <w:rFonts w:eastAsia="MS Mincho"/>
                <w:sz w:val="22"/>
              </w:rPr>
            </w:pPr>
            <w:r w:rsidRPr="00C717CC">
              <w:rPr>
                <w:rFonts w:eastAsia="MS Mincho"/>
                <w:sz w:val="22"/>
              </w:rPr>
              <w:t>1.0</w:t>
            </w:r>
          </w:p>
        </w:tc>
        <w:tc>
          <w:tcPr>
            <w:tcW w:w="1530" w:type="dxa"/>
          </w:tcPr>
          <w:p w14:paraId="071247EF" w14:textId="77777777" w:rsidR="003F72C9" w:rsidRPr="00C717CC" w:rsidRDefault="003F72C9" w:rsidP="00A12DFD">
            <w:pPr>
              <w:jc w:val="center"/>
              <w:rPr>
                <w:rFonts w:eastAsia="MS Mincho"/>
                <w:sz w:val="22"/>
              </w:rPr>
            </w:pPr>
            <w:r w:rsidRPr="00C717CC">
              <w:rPr>
                <w:rFonts w:eastAsia="MS Mincho"/>
                <w:sz w:val="22"/>
              </w:rPr>
              <w:t>very common</w:t>
            </w:r>
          </w:p>
        </w:tc>
      </w:tr>
      <w:tr w:rsidR="003F72C9" w:rsidRPr="00C717CC" w14:paraId="071247F5" w14:textId="77777777" w:rsidTr="00A12DFD">
        <w:tc>
          <w:tcPr>
            <w:tcW w:w="3794" w:type="dxa"/>
          </w:tcPr>
          <w:p w14:paraId="071247F1" w14:textId="77777777" w:rsidR="003F72C9" w:rsidRPr="00C717CC" w:rsidRDefault="003F72C9" w:rsidP="003F72C9">
            <w:pPr>
              <w:rPr>
                <w:rFonts w:eastAsia="MS Mincho"/>
                <w:sz w:val="22"/>
              </w:rPr>
            </w:pPr>
            <w:r w:rsidRPr="00C717CC">
              <w:rPr>
                <w:rFonts w:eastAsia="MS Mincho"/>
                <w:sz w:val="22"/>
              </w:rPr>
              <w:t>Dry Mouth</w:t>
            </w:r>
          </w:p>
        </w:tc>
        <w:tc>
          <w:tcPr>
            <w:tcW w:w="1714" w:type="dxa"/>
          </w:tcPr>
          <w:p w14:paraId="071247F2" w14:textId="41CD4414" w:rsidR="003F72C9" w:rsidRPr="00C717CC" w:rsidRDefault="00F30521" w:rsidP="003F72C9">
            <w:pPr>
              <w:jc w:val="center"/>
              <w:rPr>
                <w:rFonts w:eastAsia="MS Mincho"/>
                <w:sz w:val="22"/>
              </w:rPr>
            </w:pPr>
            <w:r w:rsidRPr="00C717CC">
              <w:rPr>
                <w:rFonts w:eastAsia="MS Mincho"/>
                <w:sz w:val="22"/>
              </w:rPr>
              <w:t>18.7</w:t>
            </w:r>
          </w:p>
        </w:tc>
        <w:tc>
          <w:tcPr>
            <w:tcW w:w="1710" w:type="dxa"/>
          </w:tcPr>
          <w:p w14:paraId="071247F3" w14:textId="77777777" w:rsidR="003F72C9" w:rsidRPr="00C717CC" w:rsidRDefault="003F72C9" w:rsidP="003F72C9">
            <w:pPr>
              <w:jc w:val="center"/>
              <w:rPr>
                <w:rFonts w:eastAsia="MS Mincho"/>
                <w:sz w:val="22"/>
              </w:rPr>
            </w:pPr>
            <w:r w:rsidRPr="00C717CC">
              <w:rPr>
                <w:rFonts w:eastAsia="MS Mincho"/>
                <w:sz w:val="22"/>
              </w:rPr>
              <w:t>0.0</w:t>
            </w:r>
          </w:p>
        </w:tc>
        <w:tc>
          <w:tcPr>
            <w:tcW w:w="1530" w:type="dxa"/>
          </w:tcPr>
          <w:p w14:paraId="071247F4" w14:textId="77777777" w:rsidR="003F72C9" w:rsidRPr="00C717CC" w:rsidRDefault="003F72C9" w:rsidP="00A12DFD">
            <w:pPr>
              <w:jc w:val="center"/>
              <w:rPr>
                <w:rFonts w:eastAsia="MS Mincho"/>
                <w:sz w:val="22"/>
              </w:rPr>
            </w:pPr>
            <w:r w:rsidRPr="00C717CC">
              <w:rPr>
                <w:rFonts w:eastAsia="MS Mincho"/>
                <w:sz w:val="22"/>
              </w:rPr>
              <w:t>very common</w:t>
            </w:r>
          </w:p>
        </w:tc>
      </w:tr>
      <w:tr w:rsidR="003F72C9" w:rsidRPr="00C717CC" w14:paraId="071247FA" w14:textId="77777777" w:rsidTr="00A12DFD">
        <w:tc>
          <w:tcPr>
            <w:tcW w:w="3794" w:type="dxa"/>
          </w:tcPr>
          <w:p w14:paraId="071247F6" w14:textId="77777777" w:rsidR="003F72C9" w:rsidRPr="00C717CC" w:rsidRDefault="003F72C9" w:rsidP="003F72C9">
            <w:pPr>
              <w:rPr>
                <w:rFonts w:eastAsia="MS Mincho"/>
                <w:sz w:val="22"/>
              </w:rPr>
            </w:pPr>
            <w:r w:rsidRPr="00C717CC">
              <w:rPr>
                <w:rFonts w:eastAsia="MS Mincho"/>
                <w:sz w:val="22"/>
              </w:rPr>
              <w:t>Abdominal pain</w:t>
            </w:r>
          </w:p>
        </w:tc>
        <w:tc>
          <w:tcPr>
            <w:tcW w:w="1714" w:type="dxa"/>
          </w:tcPr>
          <w:p w14:paraId="071247F7" w14:textId="7AB98143" w:rsidR="003F72C9" w:rsidRPr="00C717CC" w:rsidRDefault="00F30521" w:rsidP="003F72C9">
            <w:pPr>
              <w:jc w:val="center"/>
              <w:rPr>
                <w:rFonts w:eastAsia="MS Mincho"/>
                <w:sz w:val="22"/>
              </w:rPr>
            </w:pPr>
            <w:r w:rsidRPr="00C717CC">
              <w:rPr>
                <w:rFonts w:eastAsia="MS Mincho"/>
                <w:sz w:val="22"/>
              </w:rPr>
              <w:t>18.8</w:t>
            </w:r>
          </w:p>
        </w:tc>
        <w:tc>
          <w:tcPr>
            <w:tcW w:w="1710" w:type="dxa"/>
          </w:tcPr>
          <w:p w14:paraId="071247F8" w14:textId="77777777" w:rsidR="003F72C9" w:rsidRPr="00C717CC" w:rsidRDefault="003F72C9" w:rsidP="003F72C9">
            <w:pPr>
              <w:jc w:val="center"/>
              <w:rPr>
                <w:rFonts w:eastAsia="MS Mincho"/>
                <w:sz w:val="22"/>
              </w:rPr>
            </w:pPr>
            <w:r w:rsidRPr="00C717CC">
              <w:rPr>
                <w:rFonts w:eastAsia="MS Mincho"/>
                <w:sz w:val="22"/>
              </w:rPr>
              <w:t>0.9</w:t>
            </w:r>
          </w:p>
        </w:tc>
        <w:tc>
          <w:tcPr>
            <w:tcW w:w="1530" w:type="dxa"/>
          </w:tcPr>
          <w:p w14:paraId="071247F9" w14:textId="77777777" w:rsidR="003F72C9" w:rsidRPr="00C717CC" w:rsidRDefault="003F72C9" w:rsidP="00A12DFD">
            <w:pPr>
              <w:jc w:val="center"/>
              <w:rPr>
                <w:rFonts w:eastAsia="MS Mincho"/>
                <w:sz w:val="22"/>
              </w:rPr>
            </w:pPr>
            <w:r w:rsidRPr="00C717CC">
              <w:rPr>
                <w:rFonts w:eastAsia="MS Mincho"/>
                <w:sz w:val="22"/>
              </w:rPr>
              <w:t>very common</w:t>
            </w:r>
          </w:p>
        </w:tc>
      </w:tr>
      <w:tr w:rsidR="003F72C9" w:rsidRPr="00C717CC" w14:paraId="071247FF" w14:textId="77777777" w:rsidTr="00A12DFD">
        <w:tc>
          <w:tcPr>
            <w:tcW w:w="3794" w:type="dxa"/>
          </w:tcPr>
          <w:p w14:paraId="071247FB" w14:textId="77777777" w:rsidR="003F72C9" w:rsidRPr="00C717CC" w:rsidRDefault="003F72C9" w:rsidP="003F72C9">
            <w:pPr>
              <w:rPr>
                <w:rFonts w:eastAsia="MS Mincho"/>
                <w:sz w:val="22"/>
              </w:rPr>
            </w:pPr>
            <w:r w:rsidRPr="00C717CC">
              <w:rPr>
                <w:rFonts w:eastAsia="MS Mincho"/>
                <w:sz w:val="22"/>
              </w:rPr>
              <w:t>Stomatitis</w:t>
            </w:r>
          </w:p>
        </w:tc>
        <w:tc>
          <w:tcPr>
            <w:tcW w:w="1714" w:type="dxa"/>
          </w:tcPr>
          <w:p w14:paraId="071247FC" w14:textId="39A0EAEA" w:rsidR="003F72C9" w:rsidRPr="00C717CC" w:rsidRDefault="00F30521" w:rsidP="003F72C9">
            <w:pPr>
              <w:jc w:val="center"/>
              <w:rPr>
                <w:rFonts w:eastAsia="MS Mincho"/>
                <w:sz w:val="22"/>
              </w:rPr>
            </w:pPr>
            <w:r w:rsidRPr="00C717CC">
              <w:rPr>
                <w:rFonts w:eastAsia="MS Mincho"/>
                <w:sz w:val="22"/>
              </w:rPr>
              <w:t>15.0</w:t>
            </w:r>
          </w:p>
        </w:tc>
        <w:tc>
          <w:tcPr>
            <w:tcW w:w="1710" w:type="dxa"/>
          </w:tcPr>
          <w:p w14:paraId="071247FD" w14:textId="77777777" w:rsidR="003F72C9" w:rsidRPr="00C717CC" w:rsidRDefault="003F72C9" w:rsidP="003F72C9">
            <w:pPr>
              <w:jc w:val="center"/>
              <w:rPr>
                <w:rFonts w:eastAsia="MS Mincho"/>
                <w:sz w:val="22"/>
              </w:rPr>
            </w:pPr>
            <w:r w:rsidRPr="00C717CC">
              <w:rPr>
                <w:rFonts w:eastAsia="MS Mincho"/>
                <w:sz w:val="22"/>
              </w:rPr>
              <w:t>0.1</w:t>
            </w:r>
          </w:p>
        </w:tc>
        <w:tc>
          <w:tcPr>
            <w:tcW w:w="1530" w:type="dxa"/>
          </w:tcPr>
          <w:p w14:paraId="071247FE" w14:textId="77777777" w:rsidR="003F72C9" w:rsidRPr="00C717CC" w:rsidRDefault="003F72C9" w:rsidP="00A12DFD">
            <w:pPr>
              <w:jc w:val="center"/>
              <w:rPr>
                <w:rFonts w:eastAsia="MS Mincho"/>
                <w:sz w:val="22"/>
              </w:rPr>
            </w:pPr>
            <w:r w:rsidRPr="00C717CC">
              <w:rPr>
                <w:rFonts w:eastAsia="MS Mincho"/>
                <w:sz w:val="22"/>
              </w:rPr>
              <w:t>very common</w:t>
            </w:r>
          </w:p>
        </w:tc>
      </w:tr>
      <w:tr w:rsidR="003F72C9" w:rsidRPr="00C717CC" w14:paraId="07124804" w14:textId="77777777" w:rsidTr="00A12DFD">
        <w:tc>
          <w:tcPr>
            <w:tcW w:w="3794" w:type="dxa"/>
          </w:tcPr>
          <w:p w14:paraId="07124800" w14:textId="77777777" w:rsidR="003F72C9" w:rsidRPr="00C717CC" w:rsidRDefault="003F72C9" w:rsidP="003F72C9">
            <w:pPr>
              <w:rPr>
                <w:rFonts w:eastAsia="MS Mincho"/>
                <w:sz w:val="22"/>
              </w:rPr>
            </w:pPr>
            <w:r w:rsidRPr="00C717CC">
              <w:rPr>
                <w:rFonts w:eastAsia="MS Mincho"/>
                <w:sz w:val="22"/>
              </w:rPr>
              <w:t>Dyspepsia</w:t>
            </w:r>
          </w:p>
        </w:tc>
        <w:tc>
          <w:tcPr>
            <w:tcW w:w="1714" w:type="dxa"/>
          </w:tcPr>
          <w:p w14:paraId="07124801" w14:textId="6D60EB59" w:rsidR="003F72C9" w:rsidRPr="00C717CC" w:rsidRDefault="00F30521" w:rsidP="003F72C9">
            <w:pPr>
              <w:jc w:val="center"/>
              <w:rPr>
                <w:rFonts w:eastAsia="MS Mincho"/>
                <w:sz w:val="22"/>
              </w:rPr>
            </w:pPr>
            <w:r w:rsidRPr="00C717CC">
              <w:rPr>
                <w:rFonts w:eastAsia="MS Mincho"/>
                <w:sz w:val="22"/>
              </w:rPr>
              <w:t>9.3</w:t>
            </w:r>
          </w:p>
        </w:tc>
        <w:tc>
          <w:tcPr>
            <w:tcW w:w="1710" w:type="dxa"/>
          </w:tcPr>
          <w:p w14:paraId="07124802" w14:textId="77777777" w:rsidR="003F72C9" w:rsidRPr="00C717CC" w:rsidRDefault="003F72C9" w:rsidP="003F72C9">
            <w:pPr>
              <w:jc w:val="center"/>
              <w:rPr>
                <w:rFonts w:eastAsia="MS Mincho"/>
                <w:sz w:val="22"/>
              </w:rPr>
            </w:pPr>
            <w:r w:rsidRPr="00C717CC">
              <w:rPr>
                <w:rFonts w:eastAsia="MS Mincho"/>
                <w:sz w:val="22"/>
              </w:rPr>
              <w:t>0.1</w:t>
            </w:r>
          </w:p>
        </w:tc>
        <w:tc>
          <w:tcPr>
            <w:tcW w:w="1530" w:type="dxa"/>
          </w:tcPr>
          <w:p w14:paraId="07124803" w14:textId="77777777" w:rsidR="003F72C9" w:rsidRPr="00C717CC" w:rsidRDefault="003F72C9" w:rsidP="00A12DFD">
            <w:pPr>
              <w:jc w:val="center"/>
              <w:rPr>
                <w:rFonts w:eastAsia="MS Mincho"/>
                <w:sz w:val="22"/>
              </w:rPr>
            </w:pPr>
            <w:r w:rsidRPr="00C717CC">
              <w:rPr>
                <w:rFonts w:eastAsia="MS Mincho"/>
                <w:sz w:val="22"/>
              </w:rPr>
              <w:t>common</w:t>
            </w:r>
          </w:p>
        </w:tc>
      </w:tr>
      <w:tr w:rsidR="003F72C9" w:rsidRPr="00C717CC" w14:paraId="07124806" w14:textId="77777777" w:rsidTr="00A12DFD">
        <w:tc>
          <w:tcPr>
            <w:tcW w:w="8748" w:type="dxa"/>
            <w:gridSpan w:val="4"/>
          </w:tcPr>
          <w:p w14:paraId="07124805" w14:textId="77777777" w:rsidR="003F72C9" w:rsidRPr="00C717CC" w:rsidRDefault="003F72C9" w:rsidP="00A12DFD">
            <w:pPr>
              <w:spacing w:after="120"/>
              <w:jc w:val="left"/>
              <w:rPr>
                <w:rFonts w:eastAsia="MS Mincho"/>
                <w:b/>
                <w:sz w:val="22"/>
              </w:rPr>
            </w:pPr>
            <w:r w:rsidRPr="00C717CC">
              <w:rPr>
                <w:rFonts w:eastAsia="MS Mincho"/>
                <w:b/>
                <w:sz w:val="22"/>
              </w:rPr>
              <w:t>General Disorders and Administration</w:t>
            </w:r>
          </w:p>
        </w:tc>
      </w:tr>
      <w:tr w:rsidR="003F72C9" w:rsidRPr="00C717CC" w14:paraId="0712480B" w14:textId="77777777" w:rsidTr="00A12DFD">
        <w:tc>
          <w:tcPr>
            <w:tcW w:w="3794" w:type="dxa"/>
          </w:tcPr>
          <w:p w14:paraId="07124807" w14:textId="77777777" w:rsidR="003F72C9" w:rsidRPr="00C717CC" w:rsidRDefault="003F72C9" w:rsidP="003F72C9">
            <w:pPr>
              <w:rPr>
                <w:rFonts w:eastAsia="MS Mincho"/>
                <w:sz w:val="22"/>
              </w:rPr>
            </w:pPr>
            <w:r w:rsidRPr="00C717CC">
              <w:rPr>
                <w:rFonts w:eastAsia="MS Mincho"/>
                <w:sz w:val="22"/>
              </w:rPr>
              <w:t>Fatigue</w:t>
            </w:r>
          </w:p>
        </w:tc>
        <w:tc>
          <w:tcPr>
            <w:tcW w:w="1714" w:type="dxa"/>
          </w:tcPr>
          <w:p w14:paraId="07124808" w14:textId="3A319517" w:rsidR="003F72C9" w:rsidRPr="00C717CC" w:rsidRDefault="00400413" w:rsidP="003F72C9">
            <w:pPr>
              <w:jc w:val="center"/>
              <w:rPr>
                <w:rFonts w:eastAsia="MS Mincho"/>
                <w:sz w:val="22"/>
              </w:rPr>
            </w:pPr>
            <w:r w:rsidRPr="00C717CC">
              <w:rPr>
                <w:rFonts w:eastAsia="MS Mincho"/>
                <w:sz w:val="22"/>
              </w:rPr>
              <w:t>46.4</w:t>
            </w:r>
          </w:p>
        </w:tc>
        <w:tc>
          <w:tcPr>
            <w:tcW w:w="1710" w:type="dxa"/>
          </w:tcPr>
          <w:p w14:paraId="07124809" w14:textId="77777777" w:rsidR="003F72C9" w:rsidRPr="00C717CC" w:rsidRDefault="003F72C9" w:rsidP="003F72C9">
            <w:pPr>
              <w:jc w:val="center"/>
              <w:rPr>
                <w:rFonts w:eastAsia="MS Mincho"/>
                <w:sz w:val="22"/>
              </w:rPr>
            </w:pPr>
            <w:r w:rsidRPr="00C717CC">
              <w:rPr>
                <w:rFonts w:eastAsia="MS Mincho"/>
                <w:sz w:val="22"/>
              </w:rPr>
              <w:t>3.2</w:t>
            </w:r>
          </w:p>
        </w:tc>
        <w:tc>
          <w:tcPr>
            <w:tcW w:w="1530" w:type="dxa"/>
          </w:tcPr>
          <w:p w14:paraId="0712480A" w14:textId="77777777" w:rsidR="003F72C9" w:rsidRPr="00C717CC" w:rsidRDefault="003F72C9" w:rsidP="00A12DFD">
            <w:pPr>
              <w:jc w:val="center"/>
              <w:rPr>
                <w:rFonts w:eastAsia="MS Mincho"/>
                <w:sz w:val="22"/>
              </w:rPr>
            </w:pPr>
            <w:r w:rsidRPr="00C717CC">
              <w:rPr>
                <w:rFonts w:eastAsia="MS Mincho"/>
                <w:sz w:val="22"/>
              </w:rPr>
              <w:t>very common</w:t>
            </w:r>
          </w:p>
        </w:tc>
      </w:tr>
      <w:tr w:rsidR="003F72C9" w:rsidRPr="00C717CC" w14:paraId="07124810" w14:textId="77777777" w:rsidTr="00A12DFD">
        <w:tc>
          <w:tcPr>
            <w:tcW w:w="3794" w:type="dxa"/>
          </w:tcPr>
          <w:p w14:paraId="0712480C" w14:textId="77777777" w:rsidR="003F72C9" w:rsidRPr="00C717CC" w:rsidRDefault="003F72C9" w:rsidP="003F72C9">
            <w:pPr>
              <w:rPr>
                <w:rFonts w:eastAsia="MS Mincho"/>
                <w:sz w:val="22"/>
              </w:rPr>
            </w:pPr>
            <w:r w:rsidRPr="00C717CC">
              <w:rPr>
                <w:rFonts w:eastAsia="MS Mincho"/>
                <w:sz w:val="22"/>
              </w:rPr>
              <w:t>Pyrexia</w:t>
            </w:r>
          </w:p>
        </w:tc>
        <w:tc>
          <w:tcPr>
            <w:tcW w:w="1714" w:type="dxa"/>
          </w:tcPr>
          <w:p w14:paraId="0712480D" w14:textId="1B317271" w:rsidR="003F72C9" w:rsidRPr="00C717CC" w:rsidRDefault="00400413" w:rsidP="003F72C9">
            <w:pPr>
              <w:jc w:val="center"/>
              <w:rPr>
                <w:rFonts w:eastAsia="MS Mincho"/>
                <w:sz w:val="22"/>
              </w:rPr>
            </w:pPr>
            <w:r w:rsidRPr="00C717CC">
              <w:rPr>
                <w:rFonts w:eastAsia="MS Mincho"/>
                <w:sz w:val="22"/>
              </w:rPr>
              <w:t>23.6</w:t>
            </w:r>
          </w:p>
        </w:tc>
        <w:tc>
          <w:tcPr>
            <w:tcW w:w="1710" w:type="dxa"/>
          </w:tcPr>
          <w:p w14:paraId="0712480E" w14:textId="53001FC8" w:rsidR="003F72C9" w:rsidRPr="00C717CC" w:rsidRDefault="00400413" w:rsidP="003F72C9">
            <w:pPr>
              <w:jc w:val="center"/>
              <w:rPr>
                <w:rFonts w:eastAsia="MS Mincho"/>
                <w:sz w:val="22"/>
              </w:rPr>
            </w:pPr>
            <w:r w:rsidRPr="00C717CC">
              <w:rPr>
                <w:rFonts w:eastAsia="MS Mincho"/>
                <w:sz w:val="22"/>
              </w:rPr>
              <w:t>0.3</w:t>
            </w:r>
          </w:p>
        </w:tc>
        <w:tc>
          <w:tcPr>
            <w:tcW w:w="1530" w:type="dxa"/>
          </w:tcPr>
          <w:p w14:paraId="0712480F" w14:textId="77777777" w:rsidR="003F72C9" w:rsidRPr="00C717CC" w:rsidRDefault="003F72C9" w:rsidP="00A12DFD">
            <w:pPr>
              <w:jc w:val="center"/>
              <w:rPr>
                <w:rFonts w:eastAsia="MS Mincho"/>
                <w:sz w:val="22"/>
              </w:rPr>
            </w:pPr>
            <w:r w:rsidRPr="00C717CC">
              <w:rPr>
                <w:rFonts w:eastAsia="MS Mincho"/>
                <w:sz w:val="22"/>
              </w:rPr>
              <w:t>very common</w:t>
            </w:r>
          </w:p>
        </w:tc>
      </w:tr>
      <w:tr w:rsidR="003F72C9" w:rsidRPr="00C717CC" w14:paraId="07124815" w14:textId="77777777" w:rsidTr="00A12DFD">
        <w:tc>
          <w:tcPr>
            <w:tcW w:w="3794" w:type="dxa"/>
          </w:tcPr>
          <w:p w14:paraId="07124811" w14:textId="77777777" w:rsidR="003F72C9" w:rsidRPr="00C717CC" w:rsidRDefault="003F72C9" w:rsidP="003F72C9">
            <w:pPr>
              <w:rPr>
                <w:rFonts w:eastAsia="MS Mincho"/>
                <w:sz w:val="22"/>
              </w:rPr>
            </w:pPr>
            <w:r w:rsidRPr="00C717CC">
              <w:rPr>
                <w:rFonts w:eastAsia="MS Mincho"/>
                <w:sz w:val="22"/>
              </w:rPr>
              <w:t>Asthenia</w:t>
            </w:r>
          </w:p>
        </w:tc>
        <w:tc>
          <w:tcPr>
            <w:tcW w:w="1714" w:type="dxa"/>
          </w:tcPr>
          <w:p w14:paraId="07124812" w14:textId="46D0277A" w:rsidR="003F72C9" w:rsidRPr="00C717CC" w:rsidRDefault="00400413" w:rsidP="003F72C9">
            <w:pPr>
              <w:jc w:val="center"/>
              <w:rPr>
                <w:rFonts w:eastAsia="MS Mincho"/>
                <w:sz w:val="22"/>
              </w:rPr>
            </w:pPr>
            <w:r w:rsidRPr="00C717CC">
              <w:rPr>
                <w:rFonts w:eastAsia="MS Mincho"/>
                <w:sz w:val="22"/>
              </w:rPr>
              <w:t>14.1</w:t>
            </w:r>
          </w:p>
        </w:tc>
        <w:tc>
          <w:tcPr>
            <w:tcW w:w="1710" w:type="dxa"/>
          </w:tcPr>
          <w:p w14:paraId="07124813" w14:textId="3A875BC5" w:rsidR="003F72C9" w:rsidRPr="00C717CC" w:rsidRDefault="00400413" w:rsidP="003F72C9">
            <w:pPr>
              <w:jc w:val="center"/>
              <w:rPr>
                <w:rFonts w:eastAsia="MS Mincho"/>
                <w:sz w:val="22"/>
              </w:rPr>
            </w:pPr>
            <w:r w:rsidRPr="00C717CC">
              <w:rPr>
                <w:rFonts w:eastAsia="MS Mincho"/>
                <w:sz w:val="22"/>
              </w:rPr>
              <w:t>0.9</w:t>
            </w:r>
          </w:p>
        </w:tc>
        <w:tc>
          <w:tcPr>
            <w:tcW w:w="1530" w:type="dxa"/>
          </w:tcPr>
          <w:p w14:paraId="07124814" w14:textId="77777777" w:rsidR="003F72C9" w:rsidRPr="00C717CC" w:rsidRDefault="003F72C9" w:rsidP="00A12DFD">
            <w:pPr>
              <w:jc w:val="center"/>
              <w:rPr>
                <w:rFonts w:eastAsia="MS Mincho"/>
                <w:sz w:val="22"/>
              </w:rPr>
            </w:pPr>
            <w:r w:rsidRPr="00C717CC">
              <w:rPr>
                <w:rFonts w:eastAsia="MS Mincho"/>
                <w:sz w:val="22"/>
              </w:rPr>
              <w:t>very common</w:t>
            </w:r>
          </w:p>
        </w:tc>
      </w:tr>
      <w:tr w:rsidR="003F72C9" w:rsidRPr="00C717CC" w14:paraId="0712481A" w14:textId="77777777" w:rsidTr="00A12DFD">
        <w:tc>
          <w:tcPr>
            <w:tcW w:w="3794" w:type="dxa"/>
          </w:tcPr>
          <w:p w14:paraId="07124816" w14:textId="77777777" w:rsidR="003F72C9" w:rsidRPr="00C717CC" w:rsidRDefault="003F72C9" w:rsidP="003F72C9">
            <w:pPr>
              <w:rPr>
                <w:rFonts w:eastAsia="MS Mincho"/>
                <w:sz w:val="22"/>
              </w:rPr>
            </w:pPr>
            <w:r w:rsidRPr="00C717CC">
              <w:rPr>
                <w:rFonts w:eastAsia="MS Mincho"/>
                <w:sz w:val="22"/>
              </w:rPr>
              <w:t>Chills</w:t>
            </w:r>
          </w:p>
        </w:tc>
        <w:tc>
          <w:tcPr>
            <w:tcW w:w="1714" w:type="dxa"/>
          </w:tcPr>
          <w:p w14:paraId="07124817" w14:textId="75D87658" w:rsidR="003F72C9" w:rsidRPr="00C717CC" w:rsidRDefault="00400413" w:rsidP="003F72C9">
            <w:pPr>
              <w:jc w:val="center"/>
              <w:rPr>
                <w:rFonts w:eastAsia="MS Mincho"/>
                <w:sz w:val="22"/>
              </w:rPr>
            </w:pPr>
            <w:r w:rsidRPr="00C717CC">
              <w:rPr>
                <w:rFonts w:eastAsia="MS Mincho"/>
                <w:sz w:val="22"/>
              </w:rPr>
              <w:t>10.7</w:t>
            </w:r>
          </w:p>
        </w:tc>
        <w:tc>
          <w:tcPr>
            <w:tcW w:w="1710" w:type="dxa"/>
          </w:tcPr>
          <w:p w14:paraId="07124818" w14:textId="77777777" w:rsidR="003F72C9" w:rsidRPr="00C717CC" w:rsidRDefault="003F72C9" w:rsidP="003F72C9">
            <w:pPr>
              <w:jc w:val="center"/>
              <w:rPr>
                <w:rFonts w:eastAsia="MS Mincho"/>
                <w:sz w:val="22"/>
              </w:rPr>
            </w:pPr>
            <w:r w:rsidRPr="00C717CC">
              <w:rPr>
                <w:rFonts w:eastAsia="MS Mincho"/>
                <w:sz w:val="22"/>
              </w:rPr>
              <w:t>0.0</w:t>
            </w:r>
          </w:p>
        </w:tc>
        <w:tc>
          <w:tcPr>
            <w:tcW w:w="1530" w:type="dxa"/>
          </w:tcPr>
          <w:p w14:paraId="07124819" w14:textId="77777777" w:rsidR="003F72C9" w:rsidRPr="00C717CC" w:rsidRDefault="003F72C9" w:rsidP="00A12DFD">
            <w:pPr>
              <w:jc w:val="center"/>
              <w:rPr>
                <w:rFonts w:eastAsia="MS Mincho"/>
                <w:sz w:val="22"/>
              </w:rPr>
            </w:pPr>
            <w:r w:rsidRPr="00C717CC">
              <w:rPr>
                <w:rFonts w:eastAsia="MS Mincho"/>
                <w:sz w:val="22"/>
              </w:rPr>
              <w:t>very common</w:t>
            </w:r>
          </w:p>
        </w:tc>
      </w:tr>
      <w:tr w:rsidR="003F72C9" w:rsidRPr="00C717CC" w14:paraId="0712481F" w14:textId="77777777" w:rsidTr="00A12DFD">
        <w:tc>
          <w:tcPr>
            <w:tcW w:w="3794" w:type="dxa"/>
          </w:tcPr>
          <w:p w14:paraId="0712481B" w14:textId="77777777" w:rsidR="003F72C9" w:rsidRPr="00C717CC" w:rsidRDefault="00DB7D45" w:rsidP="003F72C9">
            <w:pPr>
              <w:rPr>
                <w:rFonts w:eastAsia="MS Mincho"/>
                <w:sz w:val="22"/>
              </w:rPr>
            </w:pPr>
            <w:r w:rsidRPr="00C717CC">
              <w:rPr>
                <w:rFonts w:eastAsia="MS Mincho"/>
                <w:sz w:val="22"/>
              </w:rPr>
              <w:t>Oe</w:t>
            </w:r>
            <w:r w:rsidR="003F72C9" w:rsidRPr="00C717CC">
              <w:rPr>
                <w:rFonts w:eastAsia="MS Mincho"/>
                <w:sz w:val="22"/>
              </w:rPr>
              <w:t>dema peripheral</w:t>
            </w:r>
          </w:p>
        </w:tc>
        <w:tc>
          <w:tcPr>
            <w:tcW w:w="1714" w:type="dxa"/>
          </w:tcPr>
          <w:p w14:paraId="0712481C" w14:textId="0C410FBF" w:rsidR="003F72C9" w:rsidRPr="00C717CC" w:rsidRDefault="00400413" w:rsidP="003F72C9">
            <w:pPr>
              <w:jc w:val="center"/>
              <w:rPr>
                <w:rFonts w:eastAsia="MS Mincho"/>
                <w:sz w:val="22"/>
              </w:rPr>
            </w:pPr>
            <w:r w:rsidRPr="00C717CC">
              <w:rPr>
                <w:rFonts w:eastAsia="MS Mincho"/>
                <w:sz w:val="22"/>
              </w:rPr>
              <w:t>9.2</w:t>
            </w:r>
          </w:p>
        </w:tc>
        <w:tc>
          <w:tcPr>
            <w:tcW w:w="1710" w:type="dxa"/>
          </w:tcPr>
          <w:p w14:paraId="0712481D" w14:textId="77777777" w:rsidR="003F72C9" w:rsidRPr="00C717CC" w:rsidRDefault="003F72C9" w:rsidP="003F72C9">
            <w:pPr>
              <w:jc w:val="center"/>
              <w:rPr>
                <w:rFonts w:eastAsia="MS Mincho"/>
                <w:sz w:val="22"/>
              </w:rPr>
            </w:pPr>
            <w:r w:rsidRPr="00C717CC">
              <w:rPr>
                <w:rFonts w:eastAsia="MS Mincho"/>
                <w:sz w:val="22"/>
              </w:rPr>
              <w:t>0.1</w:t>
            </w:r>
          </w:p>
        </w:tc>
        <w:tc>
          <w:tcPr>
            <w:tcW w:w="1530" w:type="dxa"/>
          </w:tcPr>
          <w:p w14:paraId="0712481E" w14:textId="77777777" w:rsidR="003F72C9" w:rsidRPr="00C717CC" w:rsidRDefault="003F72C9" w:rsidP="00A12DFD">
            <w:pPr>
              <w:jc w:val="center"/>
              <w:rPr>
                <w:rFonts w:eastAsia="MS Mincho"/>
                <w:sz w:val="22"/>
              </w:rPr>
            </w:pPr>
            <w:r w:rsidRPr="00C717CC">
              <w:rPr>
                <w:rFonts w:eastAsia="MS Mincho"/>
                <w:sz w:val="22"/>
              </w:rPr>
              <w:t>common</w:t>
            </w:r>
          </w:p>
        </w:tc>
      </w:tr>
      <w:tr w:rsidR="003F72C9" w:rsidRPr="00C717CC" w14:paraId="07124821" w14:textId="77777777" w:rsidTr="00A12DFD">
        <w:tc>
          <w:tcPr>
            <w:tcW w:w="8748" w:type="dxa"/>
            <w:gridSpan w:val="4"/>
          </w:tcPr>
          <w:p w14:paraId="07124820" w14:textId="77777777" w:rsidR="003F72C9" w:rsidRPr="00C717CC" w:rsidRDefault="003F72C9" w:rsidP="00A12DFD">
            <w:pPr>
              <w:spacing w:after="120"/>
              <w:jc w:val="left"/>
              <w:rPr>
                <w:rFonts w:eastAsia="MS Mincho"/>
                <w:sz w:val="22"/>
              </w:rPr>
            </w:pPr>
            <w:r w:rsidRPr="00C717CC">
              <w:rPr>
                <w:rFonts w:eastAsia="MS Mincho"/>
                <w:b/>
                <w:sz w:val="22"/>
              </w:rPr>
              <w:t>Hepatobiliary Disorders</w:t>
            </w:r>
          </w:p>
        </w:tc>
      </w:tr>
      <w:tr w:rsidR="00400413" w:rsidRPr="00C717CC" w14:paraId="72520F9E" w14:textId="77777777" w:rsidTr="00A12DFD">
        <w:tc>
          <w:tcPr>
            <w:tcW w:w="3794" w:type="dxa"/>
          </w:tcPr>
          <w:p w14:paraId="39EF25A7" w14:textId="512E01F4" w:rsidR="00400413" w:rsidRPr="00C717CC" w:rsidRDefault="00400413" w:rsidP="003F72C9">
            <w:pPr>
              <w:rPr>
                <w:rFonts w:eastAsia="MS Mincho"/>
                <w:sz w:val="22"/>
              </w:rPr>
            </w:pPr>
            <w:r w:rsidRPr="00C717CC">
              <w:rPr>
                <w:rFonts w:eastAsia="MS Mincho"/>
                <w:sz w:val="22"/>
              </w:rPr>
              <w:t>Hepatic failure</w:t>
            </w:r>
          </w:p>
        </w:tc>
        <w:tc>
          <w:tcPr>
            <w:tcW w:w="1714" w:type="dxa"/>
          </w:tcPr>
          <w:p w14:paraId="2684388F" w14:textId="4784AA82" w:rsidR="00400413" w:rsidRPr="00C717CC" w:rsidRDefault="00400413" w:rsidP="003F72C9">
            <w:pPr>
              <w:jc w:val="center"/>
              <w:rPr>
                <w:rFonts w:eastAsia="MS Mincho"/>
                <w:sz w:val="22"/>
              </w:rPr>
            </w:pPr>
            <w:r w:rsidRPr="00C717CC">
              <w:rPr>
                <w:rFonts w:eastAsia="MS Mincho"/>
                <w:sz w:val="22"/>
              </w:rPr>
              <w:t>0.5</w:t>
            </w:r>
          </w:p>
        </w:tc>
        <w:tc>
          <w:tcPr>
            <w:tcW w:w="1710" w:type="dxa"/>
          </w:tcPr>
          <w:p w14:paraId="397A84F7" w14:textId="2F62CC82" w:rsidR="00400413" w:rsidRPr="00C717CC" w:rsidRDefault="00400413" w:rsidP="003F72C9">
            <w:pPr>
              <w:jc w:val="center"/>
              <w:rPr>
                <w:rFonts w:eastAsia="MS Mincho"/>
                <w:sz w:val="22"/>
              </w:rPr>
            </w:pPr>
            <w:r w:rsidRPr="00C717CC">
              <w:rPr>
                <w:rFonts w:eastAsia="MS Mincho"/>
                <w:sz w:val="22"/>
              </w:rPr>
              <w:t>0.5</w:t>
            </w:r>
          </w:p>
        </w:tc>
        <w:tc>
          <w:tcPr>
            <w:tcW w:w="1530" w:type="dxa"/>
          </w:tcPr>
          <w:p w14:paraId="2C4BC85B" w14:textId="7C4C56D6" w:rsidR="00400413" w:rsidRPr="00C717CC" w:rsidRDefault="00400413" w:rsidP="00A12DFD">
            <w:pPr>
              <w:jc w:val="center"/>
              <w:rPr>
                <w:rFonts w:eastAsia="MS Mincho"/>
                <w:sz w:val="22"/>
              </w:rPr>
            </w:pPr>
            <w:r w:rsidRPr="00C717CC">
              <w:rPr>
                <w:rFonts w:eastAsia="MS Mincho"/>
                <w:sz w:val="22"/>
              </w:rPr>
              <w:t>uncommon</w:t>
            </w:r>
          </w:p>
        </w:tc>
      </w:tr>
      <w:tr w:rsidR="003F72C9" w:rsidRPr="00C717CC" w14:paraId="07124826" w14:textId="77777777" w:rsidTr="00A12DFD">
        <w:tc>
          <w:tcPr>
            <w:tcW w:w="3794" w:type="dxa"/>
          </w:tcPr>
          <w:p w14:paraId="07124822" w14:textId="77777777" w:rsidR="003F72C9" w:rsidRPr="00C717CC" w:rsidRDefault="003F72C9" w:rsidP="003F72C9">
            <w:pPr>
              <w:rPr>
                <w:rFonts w:eastAsia="MS Mincho"/>
                <w:sz w:val="22"/>
              </w:rPr>
            </w:pPr>
            <w:r w:rsidRPr="00C717CC">
              <w:rPr>
                <w:rFonts w:eastAsia="MS Mincho"/>
                <w:sz w:val="22"/>
              </w:rPr>
              <w:t>Nodular regenerative hyperplasia</w:t>
            </w:r>
          </w:p>
        </w:tc>
        <w:tc>
          <w:tcPr>
            <w:tcW w:w="1714" w:type="dxa"/>
          </w:tcPr>
          <w:p w14:paraId="07124823" w14:textId="77777777" w:rsidR="003F72C9" w:rsidRPr="00C717CC" w:rsidRDefault="003F72C9" w:rsidP="003F72C9">
            <w:pPr>
              <w:jc w:val="center"/>
              <w:rPr>
                <w:rFonts w:eastAsia="MS Mincho"/>
                <w:sz w:val="22"/>
              </w:rPr>
            </w:pPr>
            <w:r w:rsidRPr="00C717CC">
              <w:rPr>
                <w:rFonts w:eastAsia="MS Mincho"/>
                <w:sz w:val="22"/>
              </w:rPr>
              <w:t>0.1</w:t>
            </w:r>
          </w:p>
        </w:tc>
        <w:tc>
          <w:tcPr>
            <w:tcW w:w="1710" w:type="dxa"/>
          </w:tcPr>
          <w:p w14:paraId="07124824" w14:textId="77777777" w:rsidR="003F72C9" w:rsidRPr="00C717CC" w:rsidRDefault="003F72C9" w:rsidP="003F72C9">
            <w:pPr>
              <w:jc w:val="center"/>
              <w:rPr>
                <w:rFonts w:eastAsia="MS Mincho"/>
                <w:sz w:val="22"/>
              </w:rPr>
            </w:pPr>
            <w:r w:rsidRPr="00C717CC">
              <w:rPr>
                <w:rFonts w:eastAsia="MS Mincho"/>
                <w:sz w:val="22"/>
              </w:rPr>
              <w:t>0.0</w:t>
            </w:r>
          </w:p>
        </w:tc>
        <w:tc>
          <w:tcPr>
            <w:tcW w:w="1530" w:type="dxa"/>
          </w:tcPr>
          <w:p w14:paraId="07124825" w14:textId="77777777" w:rsidR="003F72C9" w:rsidRPr="00C717CC" w:rsidRDefault="003F72C9" w:rsidP="00A12DFD">
            <w:pPr>
              <w:jc w:val="center"/>
              <w:rPr>
                <w:rFonts w:eastAsia="MS Mincho"/>
                <w:sz w:val="22"/>
              </w:rPr>
            </w:pPr>
            <w:r w:rsidRPr="00C717CC">
              <w:rPr>
                <w:rFonts w:eastAsia="MS Mincho"/>
                <w:sz w:val="22"/>
              </w:rPr>
              <w:t>uncommon</w:t>
            </w:r>
          </w:p>
        </w:tc>
      </w:tr>
      <w:tr w:rsidR="003F72C9" w:rsidRPr="00C717CC" w14:paraId="0712482B" w14:textId="77777777" w:rsidTr="00A12DFD">
        <w:tc>
          <w:tcPr>
            <w:tcW w:w="3794" w:type="dxa"/>
          </w:tcPr>
          <w:p w14:paraId="07124827" w14:textId="77777777" w:rsidR="003F72C9" w:rsidRPr="00C717CC" w:rsidRDefault="003F72C9" w:rsidP="003F72C9">
            <w:pPr>
              <w:rPr>
                <w:rFonts w:eastAsia="MS Mincho"/>
                <w:sz w:val="22"/>
              </w:rPr>
            </w:pPr>
            <w:r w:rsidRPr="00C717CC">
              <w:rPr>
                <w:rFonts w:eastAsia="MS Mincho"/>
                <w:sz w:val="22"/>
              </w:rPr>
              <w:t>Portal hypertension</w:t>
            </w:r>
          </w:p>
        </w:tc>
        <w:tc>
          <w:tcPr>
            <w:tcW w:w="1714" w:type="dxa"/>
          </w:tcPr>
          <w:p w14:paraId="07124828" w14:textId="3705DCF1" w:rsidR="003F72C9" w:rsidRPr="00C717CC" w:rsidRDefault="00400413" w:rsidP="003F72C9">
            <w:pPr>
              <w:jc w:val="center"/>
              <w:rPr>
                <w:rFonts w:eastAsia="MS Mincho"/>
                <w:sz w:val="22"/>
              </w:rPr>
            </w:pPr>
            <w:r w:rsidRPr="00C717CC">
              <w:rPr>
                <w:rFonts w:eastAsia="MS Mincho"/>
                <w:sz w:val="22"/>
              </w:rPr>
              <w:t>0.2</w:t>
            </w:r>
          </w:p>
        </w:tc>
        <w:tc>
          <w:tcPr>
            <w:tcW w:w="1710" w:type="dxa"/>
          </w:tcPr>
          <w:p w14:paraId="07124829" w14:textId="76F9D91F" w:rsidR="003F72C9" w:rsidRPr="00C717CC" w:rsidRDefault="00400413" w:rsidP="003F72C9">
            <w:pPr>
              <w:jc w:val="center"/>
              <w:rPr>
                <w:rFonts w:eastAsia="MS Mincho"/>
                <w:sz w:val="22"/>
              </w:rPr>
            </w:pPr>
            <w:r w:rsidRPr="00C717CC">
              <w:rPr>
                <w:rFonts w:eastAsia="MS Mincho"/>
                <w:sz w:val="22"/>
              </w:rPr>
              <w:t>0.1</w:t>
            </w:r>
          </w:p>
        </w:tc>
        <w:tc>
          <w:tcPr>
            <w:tcW w:w="1530" w:type="dxa"/>
          </w:tcPr>
          <w:p w14:paraId="0712482A" w14:textId="77777777" w:rsidR="003F72C9" w:rsidRPr="00C717CC" w:rsidRDefault="003F72C9" w:rsidP="00A12DFD">
            <w:pPr>
              <w:jc w:val="center"/>
              <w:rPr>
                <w:rFonts w:eastAsia="MS Mincho"/>
                <w:sz w:val="22"/>
              </w:rPr>
            </w:pPr>
            <w:r w:rsidRPr="00C717CC">
              <w:rPr>
                <w:rFonts w:eastAsia="MS Mincho"/>
                <w:sz w:val="22"/>
              </w:rPr>
              <w:t>uncommon</w:t>
            </w:r>
          </w:p>
        </w:tc>
      </w:tr>
      <w:tr w:rsidR="003F72C9" w:rsidRPr="00C717CC" w14:paraId="0712482D" w14:textId="77777777" w:rsidTr="00A12DFD">
        <w:tc>
          <w:tcPr>
            <w:tcW w:w="8748" w:type="dxa"/>
            <w:gridSpan w:val="4"/>
          </w:tcPr>
          <w:p w14:paraId="0712482C" w14:textId="77777777" w:rsidR="003F72C9" w:rsidRPr="00C717CC" w:rsidRDefault="003F72C9" w:rsidP="00A12DFD">
            <w:pPr>
              <w:spacing w:after="120"/>
              <w:jc w:val="left"/>
              <w:rPr>
                <w:rFonts w:eastAsia="MS Mincho"/>
                <w:sz w:val="22"/>
              </w:rPr>
            </w:pPr>
            <w:r w:rsidRPr="00C717CC">
              <w:rPr>
                <w:rFonts w:eastAsia="MS Mincho"/>
                <w:b/>
                <w:sz w:val="22"/>
              </w:rPr>
              <w:t>Immune System Disorders</w:t>
            </w:r>
          </w:p>
        </w:tc>
      </w:tr>
      <w:tr w:rsidR="003F72C9" w:rsidRPr="00C717CC" w14:paraId="07124832" w14:textId="77777777" w:rsidTr="00A12DFD">
        <w:tc>
          <w:tcPr>
            <w:tcW w:w="3794" w:type="dxa"/>
          </w:tcPr>
          <w:p w14:paraId="0712482E" w14:textId="77777777" w:rsidR="003F72C9" w:rsidRPr="00C717CC" w:rsidRDefault="003F72C9" w:rsidP="003F72C9">
            <w:pPr>
              <w:rPr>
                <w:rFonts w:eastAsia="MS Mincho"/>
                <w:sz w:val="22"/>
              </w:rPr>
            </w:pPr>
            <w:r w:rsidRPr="00C717CC">
              <w:rPr>
                <w:rFonts w:eastAsia="MS Mincho"/>
                <w:sz w:val="22"/>
              </w:rPr>
              <w:t>Drug hypersensitivity</w:t>
            </w:r>
          </w:p>
        </w:tc>
        <w:tc>
          <w:tcPr>
            <w:tcW w:w="1714" w:type="dxa"/>
          </w:tcPr>
          <w:p w14:paraId="0712482F" w14:textId="6A0B76B7" w:rsidR="003F72C9" w:rsidRPr="00C717CC" w:rsidRDefault="0075601D" w:rsidP="003F72C9">
            <w:pPr>
              <w:jc w:val="center"/>
              <w:rPr>
                <w:rFonts w:eastAsia="MS Mincho"/>
                <w:sz w:val="22"/>
              </w:rPr>
            </w:pPr>
            <w:r w:rsidRPr="00C717CC">
              <w:rPr>
                <w:rFonts w:eastAsia="MS Mincho"/>
                <w:sz w:val="22"/>
              </w:rPr>
              <w:t>2.8</w:t>
            </w:r>
          </w:p>
        </w:tc>
        <w:tc>
          <w:tcPr>
            <w:tcW w:w="1710" w:type="dxa"/>
          </w:tcPr>
          <w:p w14:paraId="07124830" w14:textId="77777777" w:rsidR="003F72C9" w:rsidRPr="00C717CC" w:rsidRDefault="003F72C9" w:rsidP="003F72C9">
            <w:pPr>
              <w:jc w:val="center"/>
              <w:rPr>
                <w:rFonts w:eastAsia="MS Mincho"/>
                <w:sz w:val="22"/>
              </w:rPr>
            </w:pPr>
            <w:r w:rsidRPr="00C717CC">
              <w:rPr>
                <w:rFonts w:eastAsia="MS Mincho"/>
                <w:sz w:val="22"/>
              </w:rPr>
              <w:t>0.0</w:t>
            </w:r>
          </w:p>
        </w:tc>
        <w:tc>
          <w:tcPr>
            <w:tcW w:w="1530" w:type="dxa"/>
          </w:tcPr>
          <w:p w14:paraId="07124831" w14:textId="77777777" w:rsidR="003F72C9" w:rsidRPr="00C717CC" w:rsidRDefault="003F72C9" w:rsidP="00A12DFD">
            <w:pPr>
              <w:jc w:val="center"/>
              <w:rPr>
                <w:rFonts w:eastAsia="MS Mincho"/>
                <w:sz w:val="22"/>
              </w:rPr>
            </w:pPr>
            <w:r w:rsidRPr="00C717CC">
              <w:rPr>
                <w:rFonts w:eastAsia="MS Mincho"/>
                <w:sz w:val="22"/>
              </w:rPr>
              <w:t>common</w:t>
            </w:r>
          </w:p>
        </w:tc>
      </w:tr>
      <w:tr w:rsidR="00400413" w:rsidRPr="00C717CC" w14:paraId="3B0FD5AD" w14:textId="77777777" w:rsidTr="00400413">
        <w:tc>
          <w:tcPr>
            <w:tcW w:w="8748" w:type="dxa"/>
            <w:gridSpan w:val="4"/>
          </w:tcPr>
          <w:p w14:paraId="39EC589A" w14:textId="470743DF" w:rsidR="00400413" w:rsidRPr="00C717CC" w:rsidRDefault="00400413" w:rsidP="00400413">
            <w:pPr>
              <w:jc w:val="left"/>
              <w:rPr>
                <w:rFonts w:eastAsia="MS Mincho"/>
                <w:b/>
                <w:sz w:val="22"/>
              </w:rPr>
            </w:pPr>
            <w:r w:rsidRPr="00C717CC">
              <w:rPr>
                <w:rFonts w:eastAsia="MS Mincho"/>
                <w:b/>
                <w:sz w:val="22"/>
              </w:rPr>
              <w:t>Infections and Infestations</w:t>
            </w:r>
          </w:p>
        </w:tc>
      </w:tr>
      <w:tr w:rsidR="00400413" w:rsidRPr="00C717CC" w14:paraId="4F1B259B" w14:textId="77777777" w:rsidTr="00A12DFD">
        <w:tc>
          <w:tcPr>
            <w:tcW w:w="3794" w:type="dxa"/>
          </w:tcPr>
          <w:p w14:paraId="218F1B34" w14:textId="7CC395DA" w:rsidR="00400413" w:rsidRPr="00C717CC" w:rsidRDefault="00400413" w:rsidP="003F72C9">
            <w:pPr>
              <w:rPr>
                <w:rFonts w:eastAsia="MS Mincho"/>
                <w:sz w:val="22"/>
              </w:rPr>
            </w:pPr>
            <w:r w:rsidRPr="00C717CC">
              <w:rPr>
                <w:rFonts w:eastAsia="MS Mincho"/>
                <w:sz w:val="22"/>
              </w:rPr>
              <w:lastRenderedPageBreak/>
              <w:t>Urinary Tract Infection</w:t>
            </w:r>
          </w:p>
        </w:tc>
        <w:tc>
          <w:tcPr>
            <w:tcW w:w="1714" w:type="dxa"/>
          </w:tcPr>
          <w:p w14:paraId="0A1367AB" w14:textId="491EC5C9" w:rsidR="00400413" w:rsidRPr="00C717CC" w:rsidRDefault="00400413" w:rsidP="003F72C9">
            <w:pPr>
              <w:jc w:val="center"/>
              <w:rPr>
                <w:rFonts w:eastAsia="MS Mincho"/>
                <w:sz w:val="22"/>
              </w:rPr>
            </w:pPr>
            <w:r w:rsidRPr="00C717CC">
              <w:rPr>
                <w:rFonts w:eastAsia="MS Mincho"/>
                <w:sz w:val="22"/>
              </w:rPr>
              <w:t>13.8</w:t>
            </w:r>
          </w:p>
        </w:tc>
        <w:tc>
          <w:tcPr>
            <w:tcW w:w="1710" w:type="dxa"/>
          </w:tcPr>
          <w:p w14:paraId="257CD36E" w14:textId="75BAD406" w:rsidR="00400413" w:rsidRPr="00C717CC" w:rsidRDefault="00400413" w:rsidP="003F72C9">
            <w:pPr>
              <w:jc w:val="center"/>
              <w:rPr>
                <w:rFonts w:eastAsia="MS Mincho"/>
                <w:sz w:val="22"/>
              </w:rPr>
            </w:pPr>
            <w:r w:rsidRPr="00C717CC">
              <w:rPr>
                <w:rFonts w:eastAsia="MS Mincho"/>
                <w:sz w:val="22"/>
              </w:rPr>
              <w:t>0.3</w:t>
            </w:r>
          </w:p>
        </w:tc>
        <w:tc>
          <w:tcPr>
            <w:tcW w:w="1530" w:type="dxa"/>
          </w:tcPr>
          <w:p w14:paraId="40C7E14D" w14:textId="06A0A476" w:rsidR="00400413" w:rsidRPr="00C717CC" w:rsidRDefault="00400413" w:rsidP="00A12DFD">
            <w:pPr>
              <w:jc w:val="center"/>
              <w:rPr>
                <w:rFonts w:eastAsia="MS Mincho"/>
                <w:sz w:val="22"/>
              </w:rPr>
            </w:pPr>
            <w:r w:rsidRPr="00C717CC">
              <w:rPr>
                <w:rFonts w:eastAsia="MS Mincho"/>
                <w:sz w:val="22"/>
              </w:rPr>
              <w:t>very common</w:t>
            </w:r>
          </w:p>
        </w:tc>
      </w:tr>
      <w:tr w:rsidR="003F72C9" w:rsidRPr="00C717CC" w14:paraId="07124834" w14:textId="77777777" w:rsidTr="00A12DFD">
        <w:tc>
          <w:tcPr>
            <w:tcW w:w="8748" w:type="dxa"/>
            <w:gridSpan w:val="4"/>
          </w:tcPr>
          <w:p w14:paraId="07124833" w14:textId="77777777" w:rsidR="003F72C9" w:rsidRPr="00C717CC" w:rsidRDefault="003F72C9" w:rsidP="00A12DFD">
            <w:pPr>
              <w:spacing w:after="120"/>
              <w:jc w:val="left"/>
              <w:rPr>
                <w:rFonts w:eastAsia="MS Mincho"/>
                <w:b/>
                <w:sz w:val="22"/>
              </w:rPr>
            </w:pPr>
            <w:r w:rsidRPr="00C717CC">
              <w:rPr>
                <w:rFonts w:eastAsia="MS Mincho"/>
                <w:b/>
                <w:sz w:val="22"/>
              </w:rPr>
              <w:t>Injury, Poisoning, and Procedural</w:t>
            </w:r>
          </w:p>
        </w:tc>
      </w:tr>
      <w:tr w:rsidR="003F72C9" w:rsidRPr="00C717CC" w14:paraId="07124839" w14:textId="77777777" w:rsidTr="00A12DFD">
        <w:tc>
          <w:tcPr>
            <w:tcW w:w="3794" w:type="dxa"/>
          </w:tcPr>
          <w:p w14:paraId="07124835" w14:textId="77777777" w:rsidR="003F72C9" w:rsidRPr="00C717CC" w:rsidRDefault="003F72C9" w:rsidP="003F72C9">
            <w:pPr>
              <w:rPr>
                <w:rFonts w:eastAsia="MS Mincho"/>
                <w:sz w:val="22"/>
              </w:rPr>
            </w:pPr>
            <w:r w:rsidRPr="00C717CC">
              <w:rPr>
                <w:rFonts w:eastAsia="MS Mincho"/>
                <w:sz w:val="22"/>
              </w:rPr>
              <w:t>Infusion related reaction</w:t>
            </w:r>
          </w:p>
        </w:tc>
        <w:tc>
          <w:tcPr>
            <w:tcW w:w="1714" w:type="dxa"/>
          </w:tcPr>
          <w:p w14:paraId="07124836" w14:textId="77777777" w:rsidR="003F72C9" w:rsidRPr="00C717CC" w:rsidRDefault="003F72C9" w:rsidP="003F72C9">
            <w:pPr>
              <w:jc w:val="center"/>
              <w:rPr>
                <w:rFonts w:eastAsia="MS Mincho"/>
                <w:sz w:val="22"/>
              </w:rPr>
            </w:pPr>
            <w:r w:rsidRPr="00C717CC">
              <w:rPr>
                <w:rFonts w:eastAsia="MS Mincho"/>
                <w:sz w:val="22"/>
              </w:rPr>
              <w:t>4.5</w:t>
            </w:r>
          </w:p>
        </w:tc>
        <w:tc>
          <w:tcPr>
            <w:tcW w:w="1710" w:type="dxa"/>
          </w:tcPr>
          <w:p w14:paraId="07124837" w14:textId="77777777" w:rsidR="003F72C9" w:rsidRPr="00C717CC" w:rsidRDefault="003F72C9" w:rsidP="003F72C9">
            <w:pPr>
              <w:jc w:val="center"/>
              <w:rPr>
                <w:rFonts w:eastAsia="MS Mincho"/>
                <w:sz w:val="22"/>
              </w:rPr>
            </w:pPr>
            <w:r w:rsidRPr="00C717CC">
              <w:rPr>
                <w:rFonts w:eastAsia="MS Mincho"/>
                <w:sz w:val="22"/>
              </w:rPr>
              <w:t>0.1</w:t>
            </w:r>
          </w:p>
        </w:tc>
        <w:tc>
          <w:tcPr>
            <w:tcW w:w="1530" w:type="dxa"/>
          </w:tcPr>
          <w:p w14:paraId="07124838" w14:textId="77777777" w:rsidR="003F72C9" w:rsidRPr="00C717CC" w:rsidRDefault="003F72C9" w:rsidP="00A12DFD">
            <w:pPr>
              <w:jc w:val="center"/>
              <w:rPr>
                <w:rFonts w:eastAsia="MS Mincho"/>
                <w:sz w:val="22"/>
              </w:rPr>
            </w:pPr>
            <w:r w:rsidRPr="00C717CC">
              <w:rPr>
                <w:rFonts w:eastAsia="MS Mincho"/>
                <w:sz w:val="22"/>
              </w:rPr>
              <w:t>common</w:t>
            </w:r>
          </w:p>
        </w:tc>
      </w:tr>
      <w:tr w:rsidR="003F72C9" w:rsidRPr="00C717CC" w14:paraId="0712483B" w14:textId="77777777" w:rsidTr="00A12DFD">
        <w:tc>
          <w:tcPr>
            <w:tcW w:w="8748" w:type="dxa"/>
            <w:gridSpan w:val="4"/>
          </w:tcPr>
          <w:p w14:paraId="0712483A" w14:textId="77777777" w:rsidR="003F72C9" w:rsidRPr="00C717CC" w:rsidRDefault="003F72C9" w:rsidP="00A12DFD">
            <w:pPr>
              <w:spacing w:after="120"/>
              <w:jc w:val="left"/>
              <w:rPr>
                <w:rFonts w:eastAsia="MS Mincho"/>
                <w:sz w:val="22"/>
              </w:rPr>
            </w:pPr>
            <w:r w:rsidRPr="00C717CC">
              <w:rPr>
                <w:rFonts w:eastAsia="MS Mincho"/>
                <w:b/>
                <w:sz w:val="22"/>
              </w:rPr>
              <w:t>Investigations</w:t>
            </w:r>
          </w:p>
        </w:tc>
      </w:tr>
      <w:tr w:rsidR="003F72C9" w:rsidRPr="00C717CC" w14:paraId="07124840" w14:textId="77777777" w:rsidTr="00A12DFD">
        <w:tc>
          <w:tcPr>
            <w:tcW w:w="3794" w:type="dxa"/>
          </w:tcPr>
          <w:p w14:paraId="0712483C" w14:textId="77777777" w:rsidR="003F72C9" w:rsidRPr="00C717CC" w:rsidRDefault="003F72C9" w:rsidP="003F72C9">
            <w:pPr>
              <w:rPr>
                <w:rFonts w:eastAsia="MS Mincho"/>
                <w:sz w:val="22"/>
              </w:rPr>
            </w:pPr>
            <w:r w:rsidRPr="00C717CC">
              <w:rPr>
                <w:rFonts w:eastAsia="MS Mincho"/>
                <w:sz w:val="22"/>
              </w:rPr>
              <w:t>Transaminases increased</w:t>
            </w:r>
          </w:p>
        </w:tc>
        <w:tc>
          <w:tcPr>
            <w:tcW w:w="1714" w:type="dxa"/>
          </w:tcPr>
          <w:p w14:paraId="0712483D" w14:textId="54D63F71" w:rsidR="003F72C9" w:rsidRPr="00C717CC" w:rsidRDefault="00B926E2" w:rsidP="00BC61B6">
            <w:pPr>
              <w:jc w:val="center"/>
              <w:rPr>
                <w:rFonts w:eastAsia="MS Mincho"/>
                <w:sz w:val="22"/>
              </w:rPr>
            </w:pPr>
            <w:r w:rsidRPr="00C717CC">
              <w:rPr>
                <w:rFonts w:eastAsia="MS Mincho"/>
                <w:sz w:val="22"/>
              </w:rPr>
              <w:t>28.6</w:t>
            </w:r>
          </w:p>
        </w:tc>
        <w:tc>
          <w:tcPr>
            <w:tcW w:w="1710" w:type="dxa"/>
          </w:tcPr>
          <w:p w14:paraId="0712483E" w14:textId="3A4CC0A5" w:rsidR="003F72C9" w:rsidRPr="00C717CC" w:rsidRDefault="00B926E2" w:rsidP="00BC61B6">
            <w:pPr>
              <w:jc w:val="center"/>
              <w:rPr>
                <w:rFonts w:eastAsia="MS Mincho"/>
                <w:sz w:val="22"/>
              </w:rPr>
            </w:pPr>
            <w:r w:rsidRPr="00C717CC">
              <w:rPr>
                <w:rFonts w:eastAsia="MS Mincho"/>
                <w:sz w:val="22"/>
              </w:rPr>
              <w:t>7.2</w:t>
            </w:r>
          </w:p>
        </w:tc>
        <w:tc>
          <w:tcPr>
            <w:tcW w:w="1530" w:type="dxa"/>
          </w:tcPr>
          <w:p w14:paraId="0712483F" w14:textId="77777777" w:rsidR="003F72C9" w:rsidRPr="00C717CC" w:rsidRDefault="003F72C9" w:rsidP="00A12DFD">
            <w:pPr>
              <w:jc w:val="center"/>
              <w:rPr>
                <w:rFonts w:eastAsia="MS Mincho"/>
                <w:sz w:val="22"/>
              </w:rPr>
            </w:pPr>
            <w:r w:rsidRPr="00C717CC">
              <w:rPr>
                <w:rFonts w:eastAsia="MS Mincho"/>
                <w:sz w:val="22"/>
              </w:rPr>
              <w:t>very common</w:t>
            </w:r>
          </w:p>
        </w:tc>
      </w:tr>
      <w:tr w:rsidR="003F72C9" w:rsidRPr="00C717CC" w14:paraId="07124845" w14:textId="77777777" w:rsidTr="00A12DFD">
        <w:tc>
          <w:tcPr>
            <w:tcW w:w="3794" w:type="dxa"/>
          </w:tcPr>
          <w:p w14:paraId="07124841" w14:textId="77777777" w:rsidR="003F72C9" w:rsidRPr="00C717CC" w:rsidRDefault="003F72C9" w:rsidP="003F72C9">
            <w:pPr>
              <w:rPr>
                <w:rFonts w:eastAsia="MS Mincho"/>
                <w:sz w:val="22"/>
              </w:rPr>
            </w:pPr>
            <w:r w:rsidRPr="00C717CC">
              <w:rPr>
                <w:rFonts w:eastAsia="MS Mincho"/>
                <w:sz w:val="22"/>
              </w:rPr>
              <w:t>Blood alkaline phosphatase increased</w:t>
            </w:r>
          </w:p>
        </w:tc>
        <w:tc>
          <w:tcPr>
            <w:tcW w:w="1714" w:type="dxa"/>
          </w:tcPr>
          <w:p w14:paraId="07124842" w14:textId="2D8757AE" w:rsidR="003F72C9" w:rsidRPr="00C717CC" w:rsidRDefault="00B926E2" w:rsidP="003F72C9">
            <w:pPr>
              <w:jc w:val="center"/>
              <w:rPr>
                <w:rFonts w:eastAsia="MS Mincho"/>
                <w:sz w:val="22"/>
              </w:rPr>
            </w:pPr>
            <w:r w:rsidRPr="00C717CC">
              <w:rPr>
                <w:rFonts w:eastAsia="MS Mincho"/>
                <w:sz w:val="22"/>
              </w:rPr>
              <w:t>6.4</w:t>
            </w:r>
          </w:p>
        </w:tc>
        <w:tc>
          <w:tcPr>
            <w:tcW w:w="1710" w:type="dxa"/>
          </w:tcPr>
          <w:p w14:paraId="07124843" w14:textId="3C3B6A9B" w:rsidR="003F72C9" w:rsidRPr="00C717CC" w:rsidRDefault="00B926E2" w:rsidP="003F72C9">
            <w:pPr>
              <w:jc w:val="center"/>
              <w:rPr>
                <w:rFonts w:eastAsia="MS Mincho"/>
                <w:sz w:val="22"/>
              </w:rPr>
            </w:pPr>
            <w:r w:rsidRPr="00C717CC">
              <w:rPr>
                <w:rFonts w:eastAsia="MS Mincho"/>
                <w:sz w:val="22"/>
              </w:rPr>
              <w:t>0.5</w:t>
            </w:r>
          </w:p>
        </w:tc>
        <w:tc>
          <w:tcPr>
            <w:tcW w:w="1530" w:type="dxa"/>
          </w:tcPr>
          <w:p w14:paraId="07124844" w14:textId="77777777" w:rsidR="003F72C9" w:rsidRPr="00C717CC" w:rsidRDefault="003F72C9" w:rsidP="00A12DFD">
            <w:pPr>
              <w:jc w:val="center"/>
              <w:rPr>
                <w:rFonts w:eastAsia="MS Mincho"/>
                <w:sz w:val="22"/>
              </w:rPr>
            </w:pPr>
            <w:r w:rsidRPr="00C717CC">
              <w:rPr>
                <w:rFonts w:eastAsia="MS Mincho"/>
                <w:sz w:val="22"/>
              </w:rPr>
              <w:t>common</w:t>
            </w:r>
          </w:p>
        </w:tc>
      </w:tr>
      <w:tr w:rsidR="003F72C9" w:rsidRPr="00C717CC" w14:paraId="07124847" w14:textId="77777777" w:rsidTr="00A12DFD">
        <w:tc>
          <w:tcPr>
            <w:tcW w:w="8748" w:type="dxa"/>
            <w:gridSpan w:val="4"/>
          </w:tcPr>
          <w:p w14:paraId="07124846" w14:textId="77777777" w:rsidR="003F72C9" w:rsidRPr="00C717CC" w:rsidRDefault="003F72C9" w:rsidP="00A12DFD">
            <w:pPr>
              <w:spacing w:after="120"/>
              <w:jc w:val="left"/>
              <w:rPr>
                <w:rFonts w:eastAsia="MS Mincho"/>
                <w:b/>
                <w:sz w:val="22"/>
              </w:rPr>
            </w:pPr>
            <w:r w:rsidRPr="00C717CC">
              <w:rPr>
                <w:rFonts w:eastAsia="MS Mincho"/>
                <w:b/>
                <w:sz w:val="22"/>
              </w:rPr>
              <w:t>Metabolism and Nutrition Disorders</w:t>
            </w:r>
          </w:p>
        </w:tc>
      </w:tr>
      <w:tr w:rsidR="003F72C9" w:rsidRPr="00C717CC" w14:paraId="0712484C" w14:textId="77777777" w:rsidTr="00A12DFD">
        <w:tc>
          <w:tcPr>
            <w:tcW w:w="3794" w:type="dxa"/>
          </w:tcPr>
          <w:p w14:paraId="07124848" w14:textId="77777777" w:rsidR="003F72C9" w:rsidRPr="00C717CC" w:rsidRDefault="003F72C9" w:rsidP="003F72C9">
            <w:pPr>
              <w:rPr>
                <w:rFonts w:eastAsia="MS Mincho"/>
                <w:sz w:val="22"/>
              </w:rPr>
            </w:pPr>
            <w:r w:rsidRPr="00C717CC">
              <w:rPr>
                <w:rFonts w:eastAsia="MS Mincho"/>
                <w:sz w:val="22"/>
              </w:rPr>
              <w:t>Hypokal</w:t>
            </w:r>
            <w:r w:rsidR="00DB7D45" w:rsidRPr="00C717CC">
              <w:rPr>
                <w:rFonts w:eastAsia="MS Mincho"/>
                <w:sz w:val="22"/>
              </w:rPr>
              <w:t>a</w:t>
            </w:r>
            <w:r w:rsidRPr="00C717CC">
              <w:rPr>
                <w:rFonts w:eastAsia="MS Mincho"/>
                <w:sz w:val="22"/>
              </w:rPr>
              <w:t>emia</w:t>
            </w:r>
          </w:p>
        </w:tc>
        <w:tc>
          <w:tcPr>
            <w:tcW w:w="1714" w:type="dxa"/>
          </w:tcPr>
          <w:p w14:paraId="07124849" w14:textId="4E757F38" w:rsidR="003F72C9" w:rsidRPr="00C717CC" w:rsidRDefault="00B926E2" w:rsidP="003F72C9">
            <w:pPr>
              <w:jc w:val="center"/>
              <w:rPr>
                <w:rFonts w:eastAsia="MS Mincho"/>
                <w:sz w:val="22"/>
              </w:rPr>
            </w:pPr>
            <w:r w:rsidRPr="00C717CC">
              <w:rPr>
                <w:rFonts w:eastAsia="MS Mincho"/>
                <w:sz w:val="22"/>
              </w:rPr>
              <w:t>16.1</w:t>
            </w:r>
          </w:p>
        </w:tc>
        <w:tc>
          <w:tcPr>
            <w:tcW w:w="1710" w:type="dxa"/>
          </w:tcPr>
          <w:p w14:paraId="0712484A" w14:textId="77777777" w:rsidR="003F72C9" w:rsidRPr="00C717CC" w:rsidRDefault="003F72C9" w:rsidP="003F72C9">
            <w:pPr>
              <w:jc w:val="center"/>
              <w:rPr>
                <w:rFonts w:eastAsia="MS Mincho"/>
                <w:sz w:val="22"/>
              </w:rPr>
            </w:pPr>
            <w:r w:rsidRPr="00C717CC">
              <w:rPr>
                <w:rFonts w:eastAsia="MS Mincho"/>
                <w:sz w:val="22"/>
              </w:rPr>
              <w:t>3.3</w:t>
            </w:r>
          </w:p>
        </w:tc>
        <w:tc>
          <w:tcPr>
            <w:tcW w:w="1530" w:type="dxa"/>
          </w:tcPr>
          <w:p w14:paraId="0712484B" w14:textId="77777777" w:rsidR="003F72C9" w:rsidRPr="00C717CC" w:rsidRDefault="003F72C9" w:rsidP="00A12DFD">
            <w:pPr>
              <w:jc w:val="center"/>
              <w:rPr>
                <w:rFonts w:eastAsia="MS Mincho"/>
                <w:sz w:val="22"/>
              </w:rPr>
            </w:pPr>
            <w:r w:rsidRPr="00C717CC">
              <w:rPr>
                <w:rFonts w:eastAsia="MS Mincho"/>
                <w:sz w:val="22"/>
              </w:rPr>
              <w:t>very common</w:t>
            </w:r>
          </w:p>
        </w:tc>
      </w:tr>
      <w:tr w:rsidR="003F72C9" w:rsidRPr="00C717CC" w14:paraId="0712484E" w14:textId="77777777" w:rsidTr="00A12DFD">
        <w:tc>
          <w:tcPr>
            <w:tcW w:w="8748" w:type="dxa"/>
            <w:gridSpan w:val="4"/>
          </w:tcPr>
          <w:p w14:paraId="0712484D" w14:textId="77777777" w:rsidR="003F72C9" w:rsidRPr="00C717CC" w:rsidRDefault="003F72C9" w:rsidP="00A12DFD">
            <w:pPr>
              <w:spacing w:after="120"/>
              <w:jc w:val="left"/>
              <w:rPr>
                <w:rFonts w:eastAsia="MS Mincho"/>
                <w:b/>
                <w:sz w:val="22"/>
              </w:rPr>
            </w:pPr>
            <w:r w:rsidRPr="00C717CC">
              <w:rPr>
                <w:rFonts w:eastAsia="MS Mincho"/>
                <w:b/>
                <w:sz w:val="22"/>
              </w:rPr>
              <w:t>Musculoskeletal and Connective Tissue Disorders</w:t>
            </w:r>
          </w:p>
        </w:tc>
      </w:tr>
      <w:tr w:rsidR="003F72C9" w:rsidRPr="00C717CC" w14:paraId="07124853" w14:textId="77777777" w:rsidTr="00A12DFD">
        <w:tc>
          <w:tcPr>
            <w:tcW w:w="3794" w:type="dxa"/>
          </w:tcPr>
          <w:p w14:paraId="0712484F" w14:textId="77777777" w:rsidR="003F72C9" w:rsidRPr="00C717CC" w:rsidRDefault="003F72C9" w:rsidP="003F72C9">
            <w:pPr>
              <w:rPr>
                <w:rFonts w:eastAsia="MS Mincho"/>
                <w:sz w:val="22"/>
              </w:rPr>
            </w:pPr>
            <w:r w:rsidRPr="00C717CC">
              <w:rPr>
                <w:rFonts w:eastAsia="MS Mincho"/>
                <w:sz w:val="22"/>
              </w:rPr>
              <w:t>Musculoskeletal pain</w:t>
            </w:r>
          </w:p>
        </w:tc>
        <w:tc>
          <w:tcPr>
            <w:tcW w:w="1714" w:type="dxa"/>
          </w:tcPr>
          <w:p w14:paraId="07124850" w14:textId="0C9E690E" w:rsidR="003F72C9" w:rsidRPr="00C717CC" w:rsidRDefault="00B926E2" w:rsidP="003F72C9">
            <w:pPr>
              <w:jc w:val="center"/>
              <w:rPr>
                <w:rFonts w:eastAsia="MS Mincho"/>
                <w:sz w:val="22"/>
              </w:rPr>
            </w:pPr>
            <w:r w:rsidRPr="00C717CC">
              <w:rPr>
                <w:rFonts w:eastAsia="MS Mincho"/>
                <w:sz w:val="22"/>
              </w:rPr>
              <w:t>40.8</w:t>
            </w:r>
          </w:p>
        </w:tc>
        <w:tc>
          <w:tcPr>
            <w:tcW w:w="1710" w:type="dxa"/>
          </w:tcPr>
          <w:p w14:paraId="07124851" w14:textId="3430EC2B" w:rsidR="003F72C9" w:rsidRPr="00C717CC" w:rsidRDefault="00B926E2" w:rsidP="003F72C9">
            <w:pPr>
              <w:jc w:val="center"/>
              <w:rPr>
                <w:rFonts w:eastAsia="MS Mincho"/>
                <w:sz w:val="22"/>
              </w:rPr>
            </w:pPr>
            <w:r w:rsidRPr="00C717CC">
              <w:rPr>
                <w:rFonts w:eastAsia="MS Mincho"/>
                <w:sz w:val="22"/>
              </w:rPr>
              <w:t>3.2</w:t>
            </w:r>
          </w:p>
        </w:tc>
        <w:tc>
          <w:tcPr>
            <w:tcW w:w="1530" w:type="dxa"/>
          </w:tcPr>
          <w:p w14:paraId="07124852" w14:textId="77777777" w:rsidR="003F72C9" w:rsidRPr="00C717CC" w:rsidRDefault="003F72C9" w:rsidP="00A12DFD">
            <w:pPr>
              <w:jc w:val="center"/>
              <w:rPr>
                <w:rFonts w:eastAsia="MS Mincho"/>
                <w:sz w:val="22"/>
              </w:rPr>
            </w:pPr>
            <w:r w:rsidRPr="00C717CC">
              <w:rPr>
                <w:rFonts w:eastAsia="MS Mincho"/>
                <w:sz w:val="22"/>
              </w:rPr>
              <w:t>very common</w:t>
            </w:r>
          </w:p>
        </w:tc>
      </w:tr>
      <w:tr w:rsidR="003F72C9" w:rsidRPr="00C717CC" w14:paraId="07124858" w14:textId="77777777" w:rsidTr="00A12DFD">
        <w:tc>
          <w:tcPr>
            <w:tcW w:w="3794" w:type="dxa"/>
          </w:tcPr>
          <w:p w14:paraId="07124854" w14:textId="77777777" w:rsidR="003F72C9" w:rsidRPr="00C717CC" w:rsidRDefault="003F72C9" w:rsidP="003F72C9">
            <w:pPr>
              <w:rPr>
                <w:rFonts w:eastAsia="MS Mincho"/>
                <w:sz w:val="22"/>
              </w:rPr>
            </w:pPr>
            <w:r w:rsidRPr="00C717CC">
              <w:rPr>
                <w:rFonts w:eastAsia="MS Mincho"/>
                <w:sz w:val="22"/>
              </w:rPr>
              <w:t>Arthralgia</w:t>
            </w:r>
          </w:p>
        </w:tc>
        <w:tc>
          <w:tcPr>
            <w:tcW w:w="1714" w:type="dxa"/>
          </w:tcPr>
          <w:p w14:paraId="07124855" w14:textId="53E0FC4B" w:rsidR="003F72C9" w:rsidRPr="00C717CC" w:rsidRDefault="00B926E2" w:rsidP="003F72C9">
            <w:pPr>
              <w:jc w:val="center"/>
              <w:rPr>
                <w:rFonts w:eastAsia="MS Mincho"/>
                <w:sz w:val="22"/>
              </w:rPr>
            </w:pPr>
            <w:r w:rsidRPr="00C717CC">
              <w:rPr>
                <w:rFonts w:eastAsia="MS Mincho"/>
                <w:sz w:val="22"/>
              </w:rPr>
              <w:t>20.1</w:t>
            </w:r>
          </w:p>
        </w:tc>
        <w:tc>
          <w:tcPr>
            <w:tcW w:w="1710" w:type="dxa"/>
          </w:tcPr>
          <w:p w14:paraId="07124856" w14:textId="77777777" w:rsidR="003F72C9" w:rsidRPr="00C717CC" w:rsidRDefault="003F72C9" w:rsidP="003F72C9">
            <w:pPr>
              <w:jc w:val="center"/>
              <w:rPr>
                <w:rFonts w:eastAsia="MS Mincho"/>
                <w:sz w:val="22"/>
              </w:rPr>
            </w:pPr>
            <w:r w:rsidRPr="00C717CC">
              <w:rPr>
                <w:rFonts w:eastAsia="MS Mincho"/>
                <w:sz w:val="22"/>
              </w:rPr>
              <w:t>0.9</w:t>
            </w:r>
          </w:p>
        </w:tc>
        <w:tc>
          <w:tcPr>
            <w:tcW w:w="1530" w:type="dxa"/>
          </w:tcPr>
          <w:p w14:paraId="07124857" w14:textId="77777777" w:rsidR="003F72C9" w:rsidRPr="00C717CC" w:rsidRDefault="003F72C9" w:rsidP="00A12DFD">
            <w:pPr>
              <w:jc w:val="center"/>
              <w:rPr>
                <w:rFonts w:eastAsia="MS Mincho"/>
                <w:sz w:val="22"/>
              </w:rPr>
            </w:pPr>
            <w:r w:rsidRPr="00C717CC">
              <w:rPr>
                <w:rFonts w:eastAsia="MS Mincho"/>
                <w:sz w:val="22"/>
              </w:rPr>
              <w:t>very common</w:t>
            </w:r>
          </w:p>
        </w:tc>
      </w:tr>
      <w:tr w:rsidR="003F72C9" w:rsidRPr="00C717CC" w14:paraId="0712485D" w14:textId="77777777" w:rsidTr="00A12DFD">
        <w:tc>
          <w:tcPr>
            <w:tcW w:w="3794" w:type="dxa"/>
          </w:tcPr>
          <w:p w14:paraId="07124859" w14:textId="77777777" w:rsidR="003F72C9" w:rsidRPr="00C717CC" w:rsidRDefault="003F72C9" w:rsidP="003F72C9">
            <w:pPr>
              <w:rPr>
                <w:rFonts w:eastAsia="MS Mincho"/>
                <w:sz w:val="22"/>
              </w:rPr>
            </w:pPr>
            <w:r w:rsidRPr="00C717CC">
              <w:rPr>
                <w:rFonts w:eastAsia="MS Mincho"/>
                <w:sz w:val="22"/>
              </w:rPr>
              <w:t>Myalgia</w:t>
            </w:r>
          </w:p>
        </w:tc>
        <w:tc>
          <w:tcPr>
            <w:tcW w:w="1714" w:type="dxa"/>
          </w:tcPr>
          <w:p w14:paraId="0712485A" w14:textId="793BBECE" w:rsidR="003F72C9" w:rsidRPr="00C717CC" w:rsidRDefault="00B926E2" w:rsidP="003F72C9">
            <w:pPr>
              <w:jc w:val="center"/>
              <w:rPr>
                <w:rFonts w:eastAsia="MS Mincho"/>
                <w:sz w:val="22"/>
              </w:rPr>
            </w:pPr>
            <w:r w:rsidRPr="00C717CC">
              <w:rPr>
                <w:rFonts w:eastAsia="MS Mincho"/>
                <w:sz w:val="22"/>
              </w:rPr>
              <w:t>12.4</w:t>
            </w:r>
          </w:p>
        </w:tc>
        <w:tc>
          <w:tcPr>
            <w:tcW w:w="1710" w:type="dxa"/>
          </w:tcPr>
          <w:p w14:paraId="0712485B" w14:textId="77777777" w:rsidR="003F72C9" w:rsidRPr="00C717CC" w:rsidRDefault="003F72C9" w:rsidP="003F72C9">
            <w:pPr>
              <w:jc w:val="center"/>
              <w:rPr>
                <w:rFonts w:eastAsia="MS Mincho"/>
                <w:sz w:val="22"/>
              </w:rPr>
            </w:pPr>
            <w:r w:rsidRPr="00C717CC">
              <w:rPr>
                <w:rFonts w:eastAsia="MS Mincho"/>
                <w:sz w:val="22"/>
              </w:rPr>
              <w:t>0.3</w:t>
            </w:r>
          </w:p>
        </w:tc>
        <w:tc>
          <w:tcPr>
            <w:tcW w:w="1530" w:type="dxa"/>
          </w:tcPr>
          <w:p w14:paraId="0712485C" w14:textId="77777777" w:rsidR="003F72C9" w:rsidRPr="00C717CC" w:rsidRDefault="003F72C9" w:rsidP="00A12DFD">
            <w:pPr>
              <w:jc w:val="center"/>
              <w:rPr>
                <w:rFonts w:eastAsia="MS Mincho"/>
                <w:sz w:val="22"/>
              </w:rPr>
            </w:pPr>
            <w:r w:rsidRPr="00C717CC">
              <w:rPr>
                <w:rFonts w:eastAsia="MS Mincho"/>
                <w:sz w:val="22"/>
              </w:rPr>
              <w:t>very common</w:t>
            </w:r>
          </w:p>
        </w:tc>
      </w:tr>
      <w:tr w:rsidR="003F72C9" w:rsidRPr="00C717CC" w14:paraId="0712485F" w14:textId="77777777" w:rsidTr="00A12DFD">
        <w:tc>
          <w:tcPr>
            <w:tcW w:w="8748" w:type="dxa"/>
            <w:gridSpan w:val="4"/>
          </w:tcPr>
          <w:p w14:paraId="0712485E" w14:textId="77777777" w:rsidR="003F72C9" w:rsidRPr="00C717CC" w:rsidRDefault="003F72C9" w:rsidP="00A12DFD">
            <w:pPr>
              <w:spacing w:after="120"/>
              <w:jc w:val="left"/>
              <w:rPr>
                <w:rFonts w:eastAsia="MS Mincho"/>
                <w:b/>
                <w:sz w:val="22"/>
              </w:rPr>
            </w:pPr>
            <w:r w:rsidRPr="00C717CC">
              <w:rPr>
                <w:rFonts w:eastAsia="MS Mincho"/>
                <w:b/>
                <w:sz w:val="22"/>
              </w:rPr>
              <w:t>Nervous System Disorders</w:t>
            </w:r>
          </w:p>
        </w:tc>
      </w:tr>
      <w:tr w:rsidR="003F72C9" w:rsidRPr="00C717CC" w14:paraId="07124864" w14:textId="77777777" w:rsidTr="00A12DFD">
        <w:trPr>
          <w:trHeight w:val="219"/>
        </w:trPr>
        <w:tc>
          <w:tcPr>
            <w:tcW w:w="3794" w:type="dxa"/>
          </w:tcPr>
          <w:p w14:paraId="07124860" w14:textId="77777777" w:rsidR="003F72C9" w:rsidRPr="00C717CC" w:rsidRDefault="003F72C9" w:rsidP="003F72C9">
            <w:pPr>
              <w:rPr>
                <w:rFonts w:eastAsia="MS Mincho"/>
                <w:sz w:val="22"/>
              </w:rPr>
            </w:pPr>
            <w:r w:rsidRPr="00C717CC">
              <w:rPr>
                <w:rFonts w:eastAsia="MS Mincho"/>
                <w:sz w:val="22"/>
              </w:rPr>
              <w:t>Headache</w:t>
            </w:r>
          </w:p>
        </w:tc>
        <w:tc>
          <w:tcPr>
            <w:tcW w:w="1714" w:type="dxa"/>
          </w:tcPr>
          <w:p w14:paraId="07124861" w14:textId="0413E4D1" w:rsidR="003F72C9" w:rsidRPr="00C717CC" w:rsidRDefault="00B926E2" w:rsidP="003F72C9">
            <w:pPr>
              <w:jc w:val="center"/>
              <w:rPr>
                <w:rFonts w:eastAsia="MS Mincho"/>
                <w:sz w:val="22"/>
              </w:rPr>
            </w:pPr>
            <w:r w:rsidRPr="00C717CC">
              <w:rPr>
                <w:rFonts w:eastAsia="MS Mincho"/>
                <w:sz w:val="22"/>
              </w:rPr>
              <w:t>29.4</w:t>
            </w:r>
          </w:p>
        </w:tc>
        <w:tc>
          <w:tcPr>
            <w:tcW w:w="1710" w:type="dxa"/>
          </w:tcPr>
          <w:p w14:paraId="07124862" w14:textId="77777777" w:rsidR="003F72C9" w:rsidRPr="00C717CC" w:rsidRDefault="003F72C9" w:rsidP="003F72C9">
            <w:pPr>
              <w:jc w:val="center"/>
              <w:rPr>
                <w:rFonts w:eastAsia="MS Mincho"/>
                <w:sz w:val="22"/>
              </w:rPr>
            </w:pPr>
            <w:r w:rsidRPr="00C717CC">
              <w:rPr>
                <w:rFonts w:eastAsia="MS Mincho"/>
                <w:sz w:val="22"/>
              </w:rPr>
              <w:t>0.6</w:t>
            </w:r>
          </w:p>
        </w:tc>
        <w:tc>
          <w:tcPr>
            <w:tcW w:w="1530" w:type="dxa"/>
          </w:tcPr>
          <w:p w14:paraId="07124863" w14:textId="77777777" w:rsidR="003F72C9" w:rsidRPr="00C717CC" w:rsidRDefault="003F72C9" w:rsidP="00A12DFD">
            <w:pPr>
              <w:jc w:val="center"/>
              <w:rPr>
                <w:rFonts w:eastAsia="MS Mincho"/>
                <w:sz w:val="22"/>
              </w:rPr>
            </w:pPr>
            <w:r w:rsidRPr="00C717CC">
              <w:rPr>
                <w:rFonts w:eastAsia="MS Mincho"/>
                <w:sz w:val="22"/>
              </w:rPr>
              <w:t>very common</w:t>
            </w:r>
          </w:p>
        </w:tc>
      </w:tr>
      <w:tr w:rsidR="003F72C9" w:rsidRPr="00C717CC" w14:paraId="07124869" w14:textId="77777777" w:rsidTr="00A12DFD">
        <w:tc>
          <w:tcPr>
            <w:tcW w:w="3794" w:type="dxa"/>
          </w:tcPr>
          <w:p w14:paraId="07124865" w14:textId="77777777" w:rsidR="003F72C9" w:rsidRPr="00C717CC" w:rsidRDefault="003F72C9" w:rsidP="003F72C9">
            <w:pPr>
              <w:rPr>
                <w:rFonts w:eastAsia="MS Mincho"/>
                <w:sz w:val="22"/>
              </w:rPr>
            </w:pPr>
            <w:r w:rsidRPr="00C717CC">
              <w:rPr>
                <w:rFonts w:eastAsia="MS Mincho"/>
                <w:sz w:val="22"/>
              </w:rPr>
              <w:t>Neuropathy peripheral</w:t>
            </w:r>
          </w:p>
        </w:tc>
        <w:tc>
          <w:tcPr>
            <w:tcW w:w="1714" w:type="dxa"/>
          </w:tcPr>
          <w:p w14:paraId="07124866" w14:textId="0A3DE2B2" w:rsidR="003F72C9" w:rsidRPr="00C717CC" w:rsidRDefault="00B926E2" w:rsidP="003F72C9">
            <w:pPr>
              <w:jc w:val="center"/>
              <w:rPr>
                <w:rFonts w:eastAsia="MS Mincho"/>
                <w:sz w:val="22"/>
              </w:rPr>
            </w:pPr>
            <w:r w:rsidRPr="00C717CC">
              <w:rPr>
                <w:rFonts w:eastAsia="MS Mincho"/>
                <w:sz w:val="22"/>
              </w:rPr>
              <w:t>22.5</w:t>
            </w:r>
          </w:p>
        </w:tc>
        <w:tc>
          <w:tcPr>
            <w:tcW w:w="1710" w:type="dxa"/>
          </w:tcPr>
          <w:p w14:paraId="07124867" w14:textId="032E860F" w:rsidR="003F72C9" w:rsidRPr="00C717CC" w:rsidRDefault="00B926E2" w:rsidP="003F72C9">
            <w:pPr>
              <w:jc w:val="center"/>
              <w:rPr>
                <w:rFonts w:eastAsia="MS Mincho"/>
                <w:sz w:val="22"/>
              </w:rPr>
            </w:pPr>
            <w:r w:rsidRPr="00C717CC">
              <w:rPr>
                <w:rFonts w:eastAsia="MS Mincho"/>
                <w:sz w:val="22"/>
              </w:rPr>
              <w:t>1.7</w:t>
            </w:r>
          </w:p>
        </w:tc>
        <w:tc>
          <w:tcPr>
            <w:tcW w:w="1530" w:type="dxa"/>
          </w:tcPr>
          <w:p w14:paraId="07124868" w14:textId="77777777" w:rsidR="003F72C9" w:rsidRPr="00C717CC" w:rsidRDefault="003F72C9" w:rsidP="00A12DFD">
            <w:pPr>
              <w:jc w:val="center"/>
              <w:rPr>
                <w:rFonts w:eastAsia="MS Mincho"/>
                <w:sz w:val="22"/>
              </w:rPr>
            </w:pPr>
            <w:r w:rsidRPr="00C717CC">
              <w:rPr>
                <w:rFonts w:eastAsia="MS Mincho"/>
                <w:sz w:val="22"/>
              </w:rPr>
              <w:t>very common</w:t>
            </w:r>
          </w:p>
        </w:tc>
      </w:tr>
      <w:tr w:rsidR="003F72C9" w:rsidRPr="00C717CC" w14:paraId="0712486E" w14:textId="77777777" w:rsidTr="00A12DFD">
        <w:tc>
          <w:tcPr>
            <w:tcW w:w="3794" w:type="dxa"/>
          </w:tcPr>
          <w:p w14:paraId="0712486A" w14:textId="77777777" w:rsidR="003F72C9" w:rsidRPr="00C717CC" w:rsidRDefault="003F72C9" w:rsidP="003F72C9">
            <w:pPr>
              <w:rPr>
                <w:rFonts w:eastAsia="MS Mincho"/>
                <w:sz w:val="22"/>
              </w:rPr>
            </w:pPr>
            <w:r w:rsidRPr="00C717CC">
              <w:rPr>
                <w:rFonts w:eastAsia="MS Mincho"/>
                <w:sz w:val="22"/>
              </w:rPr>
              <w:t>Dizziness</w:t>
            </w:r>
          </w:p>
        </w:tc>
        <w:tc>
          <w:tcPr>
            <w:tcW w:w="1714" w:type="dxa"/>
          </w:tcPr>
          <w:p w14:paraId="0712486B" w14:textId="2AD99430" w:rsidR="003F72C9" w:rsidRPr="00C717CC" w:rsidRDefault="00B926E2" w:rsidP="003F72C9">
            <w:pPr>
              <w:jc w:val="center"/>
              <w:rPr>
                <w:rFonts w:eastAsia="MS Mincho"/>
                <w:sz w:val="22"/>
              </w:rPr>
            </w:pPr>
            <w:r w:rsidRPr="00C717CC">
              <w:rPr>
                <w:rFonts w:eastAsia="MS Mincho"/>
                <w:sz w:val="22"/>
              </w:rPr>
              <w:t>10.0</w:t>
            </w:r>
          </w:p>
        </w:tc>
        <w:tc>
          <w:tcPr>
            <w:tcW w:w="1710" w:type="dxa"/>
          </w:tcPr>
          <w:p w14:paraId="0712486C" w14:textId="7816CBC1" w:rsidR="003F72C9" w:rsidRPr="00C717CC" w:rsidRDefault="00B926E2" w:rsidP="003F72C9">
            <w:pPr>
              <w:jc w:val="center"/>
              <w:rPr>
                <w:rFonts w:eastAsia="MS Mincho"/>
                <w:sz w:val="22"/>
              </w:rPr>
            </w:pPr>
            <w:r w:rsidRPr="00C717CC">
              <w:rPr>
                <w:rFonts w:eastAsia="MS Mincho"/>
                <w:sz w:val="22"/>
              </w:rPr>
              <w:t>0.3</w:t>
            </w:r>
          </w:p>
        </w:tc>
        <w:tc>
          <w:tcPr>
            <w:tcW w:w="1530" w:type="dxa"/>
          </w:tcPr>
          <w:p w14:paraId="0712486D" w14:textId="77777777" w:rsidR="003F72C9" w:rsidRPr="00C717CC" w:rsidRDefault="003F72C9" w:rsidP="00A12DFD">
            <w:pPr>
              <w:jc w:val="center"/>
              <w:rPr>
                <w:rFonts w:eastAsia="MS Mincho"/>
                <w:sz w:val="22"/>
              </w:rPr>
            </w:pPr>
            <w:r w:rsidRPr="00C717CC">
              <w:rPr>
                <w:rFonts w:eastAsia="MS Mincho"/>
                <w:sz w:val="22"/>
              </w:rPr>
              <w:t>common</w:t>
            </w:r>
          </w:p>
        </w:tc>
      </w:tr>
      <w:tr w:rsidR="003F72C9" w:rsidRPr="00C717CC" w14:paraId="07124873" w14:textId="77777777" w:rsidTr="00A12DFD">
        <w:tc>
          <w:tcPr>
            <w:tcW w:w="3794" w:type="dxa"/>
          </w:tcPr>
          <w:p w14:paraId="0712486F" w14:textId="77777777" w:rsidR="003F72C9" w:rsidRPr="00C717CC" w:rsidRDefault="003F72C9" w:rsidP="003F72C9">
            <w:pPr>
              <w:rPr>
                <w:rFonts w:eastAsia="MS Mincho"/>
                <w:sz w:val="22"/>
              </w:rPr>
            </w:pPr>
            <w:r w:rsidRPr="00C717CC">
              <w:rPr>
                <w:rFonts w:eastAsia="MS Mincho"/>
                <w:sz w:val="22"/>
              </w:rPr>
              <w:t>Dysgeusia</w:t>
            </w:r>
          </w:p>
        </w:tc>
        <w:tc>
          <w:tcPr>
            <w:tcW w:w="1714" w:type="dxa"/>
          </w:tcPr>
          <w:p w14:paraId="07124870" w14:textId="1D93A58C" w:rsidR="003F72C9" w:rsidRPr="00C717CC" w:rsidRDefault="00B926E2" w:rsidP="003F72C9">
            <w:pPr>
              <w:jc w:val="center"/>
              <w:rPr>
                <w:rFonts w:eastAsia="MS Mincho"/>
                <w:sz w:val="22"/>
              </w:rPr>
            </w:pPr>
            <w:r w:rsidRPr="00C717CC">
              <w:rPr>
                <w:rFonts w:eastAsia="MS Mincho"/>
                <w:sz w:val="22"/>
              </w:rPr>
              <w:t>7.9</w:t>
            </w:r>
          </w:p>
        </w:tc>
        <w:tc>
          <w:tcPr>
            <w:tcW w:w="1710" w:type="dxa"/>
          </w:tcPr>
          <w:p w14:paraId="07124871" w14:textId="77777777" w:rsidR="003F72C9" w:rsidRPr="00C717CC" w:rsidRDefault="003F72C9" w:rsidP="003F72C9">
            <w:pPr>
              <w:jc w:val="center"/>
              <w:rPr>
                <w:rFonts w:eastAsia="MS Mincho"/>
                <w:sz w:val="22"/>
              </w:rPr>
            </w:pPr>
            <w:r w:rsidRPr="00C717CC">
              <w:rPr>
                <w:rFonts w:eastAsia="MS Mincho"/>
                <w:sz w:val="22"/>
              </w:rPr>
              <w:t>0.0</w:t>
            </w:r>
          </w:p>
        </w:tc>
        <w:tc>
          <w:tcPr>
            <w:tcW w:w="1530" w:type="dxa"/>
          </w:tcPr>
          <w:p w14:paraId="07124872" w14:textId="77777777" w:rsidR="003F72C9" w:rsidRPr="00C717CC" w:rsidRDefault="003F72C9" w:rsidP="00A12DFD">
            <w:pPr>
              <w:jc w:val="center"/>
              <w:rPr>
                <w:rFonts w:eastAsia="MS Mincho"/>
                <w:sz w:val="22"/>
              </w:rPr>
            </w:pPr>
            <w:r w:rsidRPr="00C717CC">
              <w:rPr>
                <w:rFonts w:eastAsia="MS Mincho"/>
                <w:sz w:val="22"/>
              </w:rPr>
              <w:t>common</w:t>
            </w:r>
          </w:p>
        </w:tc>
      </w:tr>
      <w:tr w:rsidR="003F72C9" w:rsidRPr="00C717CC" w14:paraId="07124875" w14:textId="77777777" w:rsidTr="00A12DFD">
        <w:tc>
          <w:tcPr>
            <w:tcW w:w="8748" w:type="dxa"/>
            <w:gridSpan w:val="4"/>
          </w:tcPr>
          <w:p w14:paraId="07124874" w14:textId="77777777" w:rsidR="003F72C9" w:rsidRPr="00C717CC" w:rsidRDefault="003F72C9" w:rsidP="00A12DFD">
            <w:pPr>
              <w:spacing w:after="120"/>
              <w:jc w:val="left"/>
              <w:rPr>
                <w:rFonts w:eastAsia="MS Mincho"/>
                <w:b/>
                <w:sz w:val="22"/>
              </w:rPr>
            </w:pPr>
            <w:r w:rsidRPr="00C717CC">
              <w:rPr>
                <w:rFonts w:eastAsia="MS Mincho"/>
                <w:b/>
                <w:sz w:val="22"/>
              </w:rPr>
              <w:t>Psychiatric Disorders</w:t>
            </w:r>
          </w:p>
        </w:tc>
      </w:tr>
      <w:tr w:rsidR="003F72C9" w:rsidRPr="00C717CC" w14:paraId="0712487A" w14:textId="77777777" w:rsidTr="00A12DFD">
        <w:tc>
          <w:tcPr>
            <w:tcW w:w="3794" w:type="dxa"/>
          </w:tcPr>
          <w:p w14:paraId="07124876" w14:textId="77777777" w:rsidR="003F72C9" w:rsidRPr="00C717CC" w:rsidRDefault="003F72C9" w:rsidP="003F72C9">
            <w:pPr>
              <w:rPr>
                <w:rFonts w:eastAsia="MS Mincho"/>
                <w:sz w:val="22"/>
              </w:rPr>
            </w:pPr>
            <w:r w:rsidRPr="00C717CC">
              <w:rPr>
                <w:rFonts w:eastAsia="MS Mincho"/>
                <w:sz w:val="22"/>
              </w:rPr>
              <w:t>Insomnia</w:t>
            </w:r>
          </w:p>
        </w:tc>
        <w:tc>
          <w:tcPr>
            <w:tcW w:w="1714" w:type="dxa"/>
          </w:tcPr>
          <w:p w14:paraId="07124877" w14:textId="4442BE0E" w:rsidR="003F72C9" w:rsidRPr="00C717CC" w:rsidRDefault="00B926E2" w:rsidP="003F72C9">
            <w:pPr>
              <w:jc w:val="center"/>
              <w:rPr>
                <w:rFonts w:eastAsia="MS Mincho"/>
                <w:sz w:val="22"/>
              </w:rPr>
            </w:pPr>
            <w:r w:rsidRPr="00C717CC">
              <w:rPr>
                <w:rFonts w:eastAsia="MS Mincho"/>
                <w:sz w:val="22"/>
              </w:rPr>
              <w:t>11.9</w:t>
            </w:r>
          </w:p>
        </w:tc>
        <w:tc>
          <w:tcPr>
            <w:tcW w:w="1710" w:type="dxa"/>
          </w:tcPr>
          <w:p w14:paraId="07124878" w14:textId="77777777" w:rsidR="003F72C9" w:rsidRPr="00C717CC" w:rsidRDefault="003F72C9" w:rsidP="003F72C9">
            <w:pPr>
              <w:jc w:val="center"/>
              <w:rPr>
                <w:rFonts w:eastAsia="MS Mincho"/>
                <w:sz w:val="22"/>
              </w:rPr>
            </w:pPr>
            <w:r w:rsidRPr="00C717CC">
              <w:rPr>
                <w:rFonts w:eastAsia="MS Mincho"/>
                <w:sz w:val="22"/>
              </w:rPr>
              <w:t>0.2</w:t>
            </w:r>
          </w:p>
        </w:tc>
        <w:tc>
          <w:tcPr>
            <w:tcW w:w="1530" w:type="dxa"/>
          </w:tcPr>
          <w:p w14:paraId="07124879" w14:textId="77777777" w:rsidR="003F72C9" w:rsidRPr="00C717CC" w:rsidRDefault="003F72C9" w:rsidP="00A12DFD">
            <w:pPr>
              <w:jc w:val="center"/>
              <w:rPr>
                <w:rFonts w:eastAsia="MS Mincho"/>
                <w:sz w:val="22"/>
              </w:rPr>
            </w:pPr>
            <w:r w:rsidRPr="00C717CC">
              <w:rPr>
                <w:rFonts w:eastAsia="MS Mincho"/>
                <w:sz w:val="22"/>
              </w:rPr>
              <w:t>very common</w:t>
            </w:r>
          </w:p>
        </w:tc>
      </w:tr>
      <w:tr w:rsidR="003F72C9" w:rsidRPr="00C717CC" w14:paraId="0712487C" w14:textId="77777777" w:rsidTr="00A12DFD">
        <w:tc>
          <w:tcPr>
            <w:tcW w:w="8748" w:type="dxa"/>
            <w:gridSpan w:val="4"/>
          </w:tcPr>
          <w:p w14:paraId="0712487B" w14:textId="77777777" w:rsidR="003F72C9" w:rsidRPr="00C717CC" w:rsidRDefault="003F72C9" w:rsidP="00A12DFD">
            <w:pPr>
              <w:spacing w:after="120"/>
              <w:jc w:val="left"/>
              <w:rPr>
                <w:rFonts w:eastAsia="MS Mincho"/>
                <w:b/>
                <w:sz w:val="22"/>
              </w:rPr>
            </w:pPr>
            <w:r w:rsidRPr="00C717CC">
              <w:rPr>
                <w:rFonts w:eastAsia="MS Mincho"/>
                <w:b/>
                <w:sz w:val="22"/>
              </w:rPr>
              <w:t>Respiratory, Thoracic, and Mediastinal Disorders</w:t>
            </w:r>
          </w:p>
        </w:tc>
      </w:tr>
      <w:tr w:rsidR="003F72C9" w:rsidRPr="00C717CC" w14:paraId="07124881" w14:textId="77777777" w:rsidTr="00A12DFD">
        <w:tc>
          <w:tcPr>
            <w:tcW w:w="3794" w:type="dxa"/>
          </w:tcPr>
          <w:p w14:paraId="0712487D" w14:textId="77777777" w:rsidR="003F72C9" w:rsidRPr="00C717CC" w:rsidRDefault="003F72C9" w:rsidP="003F72C9">
            <w:pPr>
              <w:rPr>
                <w:rFonts w:eastAsia="MS Mincho"/>
                <w:sz w:val="22"/>
              </w:rPr>
            </w:pPr>
            <w:r w:rsidRPr="00C717CC">
              <w:rPr>
                <w:rFonts w:eastAsia="MS Mincho"/>
                <w:sz w:val="22"/>
              </w:rPr>
              <w:t>Epistaxis</w:t>
            </w:r>
          </w:p>
        </w:tc>
        <w:tc>
          <w:tcPr>
            <w:tcW w:w="1714" w:type="dxa"/>
          </w:tcPr>
          <w:p w14:paraId="0712487E" w14:textId="4F8202E4" w:rsidR="003F72C9" w:rsidRPr="00C717CC" w:rsidRDefault="00B926E2" w:rsidP="003F72C9">
            <w:pPr>
              <w:jc w:val="center"/>
              <w:rPr>
                <w:rFonts w:eastAsia="MS Mincho"/>
                <w:sz w:val="22"/>
              </w:rPr>
            </w:pPr>
            <w:r w:rsidRPr="00C717CC">
              <w:rPr>
                <w:rFonts w:eastAsia="MS Mincho"/>
                <w:sz w:val="22"/>
              </w:rPr>
              <w:t>25.2</w:t>
            </w:r>
          </w:p>
        </w:tc>
        <w:tc>
          <w:tcPr>
            <w:tcW w:w="1710" w:type="dxa"/>
          </w:tcPr>
          <w:p w14:paraId="0712487F" w14:textId="77777777" w:rsidR="003F72C9" w:rsidRPr="00C717CC" w:rsidRDefault="003F72C9" w:rsidP="003F72C9">
            <w:pPr>
              <w:jc w:val="center"/>
              <w:rPr>
                <w:rFonts w:eastAsia="MS Mincho"/>
                <w:sz w:val="22"/>
              </w:rPr>
            </w:pPr>
            <w:r w:rsidRPr="00C717CC">
              <w:rPr>
                <w:rFonts w:eastAsia="MS Mincho"/>
                <w:sz w:val="22"/>
              </w:rPr>
              <w:t>0.5</w:t>
            </w:r>
          </w:p>
        </w:tc>
        <w:tc>
          <w:tcPr>
            <w:tcW w:w="1530" w:type="dxa"/>
          </w:tcPr>
          <w:p w14:paraId="07124880" w14:textId="77777777" w:rsidR="003F72C9" w:rsidRPr="00C717CC" w:rsidRDefault="003F72C9" w:rsidP="00A12DFD">
            <w:pPr>
              <w:jc w:val="center"/>
              <w:rPr>
                <w:rFonts w:eastAsia="MS Mincho"/>
                <w:sz w:val="22"/>
              </w:rPr>
            </w:pPr>
            <w:r w:rsidRPr="00C717CC">
              <w:rPr>
                <w:rFonts w:eastAsia="MS Mincho"/>
                <w:sz w:val="22"/>
              </w:rPr>
              <w:t>very common</w:t>
            </w:r>
          </w:p>
        </w:tc>
      </w:tr>
      <w:tr w:rsidR="003F72C9" w:rsidRPr="00C717CC" w14:paraId="07124886" w14:textId="77777777" w:rsidTr="00A12DFD">
        <w:tc>
          <w:tcPr>
            <w:tcW w:w="3794" w:type="dxa"/>
          </w:tcPr>
          <w:p w14:paraId="07124882" w14:textId="77777777" w:rsidR="003F72C9" w:rsidRPr="00C717CC" w:rsidRDefault="003F72C9" w:rsidP="003F72C9">
            <w:pPr>
              <w:rPr>
                <w:rFonts w:eastAsia="MS Mincho"/>
                <w:sz w:val="22"/>
              </w:rPr>
            </w:pPr>
            <w:r w:rsidRPr="00C717CC">
              <w:rPr>
                <w:rFonts w:eastAsia="MS Mincho"/>
                <w:sz w:val="22"/>
              </w:rPr>
              <w:t>Cough</w:t>
            </w:r>
          </w:p>
        </w:tc>
        <w:tc>
          <w:tcPr>
            <w:tcW w:w="1714" w:type="dxa"/>
          </w:tcPr>
          <w:p w14:paraId="07124883" w14:textId="49B5BC92" w:rsidR="003F72C9" w:rsidRPr="00C717CC" w:rsidRDefault="00B926E2" w:rsidP="003F72C9">
            <w:pPr>
              <w:jc w:val="center"/>
              <w:rPr>
                <w:rFonts w:eastAsia="MS Mincho"/>
                <w:sz w:val="22"/>
              </w:rPr>
            </w:pPr>
            <w:r w:rsidRPr="00C717CC">
              <w:rPr>
                <w:rFonts w:eastAsia="MS Mincho"/>
                <w:sz w:val="22"/>
              </w:rPr>
              <w:t>20.5</w:t>
            </w:r>
          </w:p>
        </w:tc>
        <w:tc>
          <w:tcPr>
            <w:tcW w:w="1710" w:type="dxa"/>
          </w:tcPr>
          <w:p w14:paraId="07124884" w14:textId="77777777" w:rsidR="003F72C9" w:rsidRPr="00C717CC" w:rsidRDefault="003F72C9" w:rsidP="003F72C9">
            <w:pPr>
              <w:jc w:val="center"/>
              <w:rPr>
                <w:rFonts w:eastAsia="MS Mincho"/>
                <w:sz w:val="22"/>
              </w:rPr>
            </w:pPr>
            <w:r w:rsidRPr="00C717CC">
              <w:rPr>
                <w:rFonts w:eastAsia="MS Mincho"/>
                <w:sz w:val="22"/>
              </w:rPr>
              <w:t>0.1</w:t>
            </w:r>
          </w:p>
        </w:tc>
        <w:tc>
          <w:tcPr>
            <w:tcW w:w="1530" w:type="dxa"/>
          </w:tcPr>
          <w:p w14:paraId="07124885" w14:textId="77777777" w:rsidR="003F72C9" w:rsidRPr="00C717CC" w:rsidRDefault="003F72C9" w:rsidP="00A12DFD">
            <w:pPr>
              <w:jc w:val="center"/>
              <w:rPr>
                <w:rFonts w:eastAsia="MS Mincho"/>
                <w:sz w:val="22"/>
              </w:rPr>
            </w:pPr>
            <w:r w:rsidRPr="00C717CC">
              <w:rPr>
                <w:rFonts w:eastAsia="MS Mincho"/>
                <w:sz w:val="22"/>
              </w:rPr>
              <w:t>very common</w:t>
            </w:r>
          </w:p>
        </w:tc>
      </w:tr>
      <w:tr w:rsidR="003F72C9" w:rsidRPr="00C717CC" w14:paraId="0712488B" w14:textId="77777777" w:rsidTr="00A12DFD">
        <w:tc>
          <w:tcPr>
            <w:tcW w:w="3794" w:type="dxa"/>
          </w:tcPr>
          <w:p w14:paraId="07124887" w14:textId="77777777" w:rsidR="003F72C9" w:rsidRPr="00C717CC" w:rsidRDefault="003F72C9" w:rsidP="003F72C9">
            <w:pPr>
              <w:rPr>
                <w:rFonts w:eastAsia="MS Mincho"/>
                <w:sz w:val="22"/>
              </w:rPr>
            </w:pPr>
            <w:r w:rsidRPr="00C717CC">
              <w:rPr>
                <w:rFonts w:eastAsia="MS Mincho"/>
                <w:sz w:val="22"/>
              </w:rPr>
              <w:t>Dyspn</w:t>
            </w:r>
            <w:r w:rsidR="00DB7D45" w:rsidRPr="00C717CC">
              <w:rPr>
                <w:rFonts w:eastAsia="MS Mincho"/>
                <w:sz w:val="22"/>
              </w:rPr>
              <w:t>o</w:t>
            </w:r>
            <w:r w:rsidRPr="00C717CC">
              <w:rPr>
                <w:rFonts w:eastAsia="MS Mincho"/>
                <w:sz w:val="22"/>
              </w:rPr>
              <w:t>ea</w:t>
            </w:r>
          </w:p>
        </w:tc>
        <w:tc>
          <w:tcPr>
            <w:tcW w:w="1714" w:type="dxa"/>
          </w:tcPr>
          <w:p w14:paraId="07124888" w14:textId="5C0FFB6A" w:rsidR="003F72C9" w:rsidRPr="00C717CC" w:rsidRDefault="00B926E2" w:rsidP="003F72C9">
            <w:pPr>
              <w:jc w:val="center"/>
              <w:rPr>
                <w:rFonts w:eastAsia="MS Mincho"/>
                <w:sz w:val="22"/>
              </w:rPr>
            </w:pPr>
            <w:r w:rsidRPr="00C717CC">
              <w:rPr>
                <w:rFonts w:eastAsia="MS Mincho"/>
                <w:sz w:val="22"/>
              </w:rPr>
              <w:t>14.8</w:t>
            </w:r>
          </w:p>
        </w:tc>
        <w:tc>
          <w:tcPr>
            <w:tcW w:w="1710" w:type="dxa"/>
          </w:tcPr>
          <w:p w14:paraId="07124889" w14:textId="6C2CEB32" w:rsidR="003F72C9" w:rsidRPr="00C717CC" w:rsidRDefault="00B926E2" w:rsidP="003F72C9">
            <w:pPr>
              <w:jc w:val="center"/>
              <w:rPr>
                <w:rFonts w:eastAsia="MS Mincho"/>
                <w:sz w:val="22"/>
              </w:rPr>
            </w:pPr>
            <w:r w:rsidRPr="00C717CC">
              <w:rPr>
                <w:rFonts w:eastAsia="MS Mincho"/>
                <w:sz w:val="22"/>
              </w:rPr>
              <w:t>1.5</w:t>
            </w:r>
          </w:p>
        </w:tc>
        <w:tc>
          <w:tcPr>
            <w:tcW w:w="1530" w:type="dxa"/>
          </w:tcPr>
          <w:p w14:paraId="0712488A" w14:textId="77777777" w:rsidR="003F72C9" w:rsidRPr="00C717CC" w:rsidRDefault="003F72C9" w:rsidP="00A12DFD">
            <w:pPr>
              <w:jc w:val="center"/>
              <w:rPr>
                <w:rFonts w:eastAsia="MS Mincho"/>
                <w:sz w:val="22"/>
              </w:rPr>
            </w:pPr>
            <w:r w:rsidRPr="00C717CC">
              <w:rPr>
                <w:rFonts w:eastAsia="MS Mincho"/>
                <w:sz w:val="22"/>
              </w:rPr>
              <w:t>very common</w:t>
            </w:r>
          </w:p>
        </w:tc>
      </w:tr>
      <w:tr w:rsidR="003F72C9" w:rsidRPr="00C717CC" w14:paraId="07124890" w14:textId="77777777" w:rsidTr="00A12DFD">
        <w:tc>
          <w:tcPr>
            <w:tcW w:w="3794" w:type="dxa"/>
          </w:tcPr>
          <w:p w14:paraId="0712488C" w14:textId="77777777" w:rsidR="003F72C9" w:rsidRPr="00C717CC" w:rsidRDefault="003F72C9" w:rsidP="003F72C9">
            <w:pPr>
              <w:rPr>
                <w:rFonts w:eastAsia="MS Mincho"/>
                <w:sz w:val="22"/>
              </w:rPr>
            </w:pPr>
            <w:r w:rsidRPr="00C717CC">
              <w:rPr>
                <w:rFonts w:eastAsia="MS Mincho"/>
                <w:sz w:val="22"/>
              </w:rPr>
              <w:t>Pneumonitis</w:t>
            </w:r>
          </w:p>
        </w:tc>
        <w:tc>
          <w:tcPr>
            <w:tcW w:w="1714" w:type="dxa"/>
          </w:tcPr>
          <w:p w14:paraId="0712488D" w14:textId="1247C744" w:rsidR="003F72C9" w:rsidRPr="00C717CC" w:rsidRDefault="00B926E2" w:rsidP="003F72C9">
            <w:pPr>
              <w:jc w:val="center"/>
              <w:rPr>
                <w:rFonts w:eastAsia="MS Mincho"/>
                <w:sz w:val="22"/>
              </w:rPr>
            </w:pPr>
            <w:r w:rsidRPr="00C717CC">
              <w:rPr>
                <w:rFonts w:eastAsia="MS Mincho"/>
                <w:sz w:val="22"/>
              </w:rPr>
              <w:t>0.8</w:t>
            </w:r>
          </w:p>
        </w:tc>
        <w:tc>
          <w:tcPr>
            <w:tcW w:w="1710" w:type="dxa"/>
          </w:tcPr>
          <w:p w14:paraId="0712488E" w14:textId="77777777" w:rsidR="003F72C9" w:rsidRPr="00C717CC" w:rsidRDefault="003F72C9" w:rsidP="003F72C9">
            <w:pPr>
              <w:jc w:val="center"/>
              <w:rPr>
                <w:rFonts w:eastAsia="MS Mincho"/>
                <w:sz w:val="22"/>
              </w:rPr>
            </w:pPr>
            <w:r w:rsidRPr="00C717CC">
              <w:rPr>
                <w:rFonts w:eastAsia="MS Mincho"/>
                <w:sz w:val="22"/>
              </w:rPr>
              <w:t>0.1</w:t>
            </w:r>
          </w:p>
        </w:tc>
        <w:tc>
          <w:tcPr>
            <w:tcW w:w="1530" w:type="dxa"/>
          </w:tcPr>
          <w:p w14:paraId="0712488F" w14:textId="77777777" w:rsidR="003F72C9" w:rsidRPr="00C717CC" w:rsidRDefault="003F72C9" w:rsidP="00A12DFD">
            <w:pPr>
              <w:jc w:val="center"/>
              <w:rPr>
                <w:rFonts w:eastAsia="MS Mincho"/>
                <w:sz w:val="22"/>
              </w:rPr>
            </w:pPr>
            <w:r w:rsidRPr="00C717CC">
              <w:rPr>
                <w:rFonts w:eastAsia="MS Mincho"/>
                <w:sz w:val="22"/>
              </w:rPr>
              <w:t>uncommon</w:t>
            </w:r>
          </w:p>
        </w:tc>
      </w:tr>
      <w:tr w:rsidR="003F72C9" w:rsidRPr="00C717CC" w14:paraId="07124892" w14:textId="77777777" w:rsidTr="00A12DFD">
        <w:tc>
          <w:tcPr>
            <w:tcW w:w="8748" w:type="dxa"/>
            <w:gridSpan w:val="4"/>
          </w:tcPr>
          <w:p w14:paraId="07124891" w14:textId="77777777" w:rsidR="003F72C9" w:rsidRPr="00C717CC" w:rsidRDefault="003F72C9" w:rsidP="00A12DFD">
            <w:pPr>
              <w:spacing w:after="120"/>
              <w:jc w:val="left"/>
              <w:rPr>
                <w:rFonts w:eastAsia="MS Mincho"/>
                <w:b/>
                <w:sz w:val="22"/>
              </w:rPr>
            </w:pPr>
            <w:r w:rsidRPr="00C717CC">
              <w:rPr>
                <w:rFonts w:eastAsia="MS Mincho"/>
                <w:b/>
                <w:sz w:val="22"/>
              </w:rPr>
              <w:t>Skin and Subcutaneous Tissue Disorders</w:t>
            </w:r>
          </w:p>
        </w:tc>
      </w:tr>
      <w:tr w:rsidR="003F72C9" w:rsidRPr="00C717CC" w14:paraId="07124897" w14:textId="77777777" w:rsidTr="00A12DFD">
        <w:tc>
          <w:tcPr>
            <w:tcW w:w="3794" w:type="dxa"/>
          </w:tcPr>
          <w:p w14:paraId="07124893" w14:textId="77777777" w:rsidR="003F72C9" w:rsidRPr="00C717CC" w:rsidRDefault="003F72C9" w:rsidP="003F72C9">
            <w:pPr>
              <w:rPr>
                <w:rFonts w:eastAsia="MS Mincho"/>
                <w:sz w:val="22"/>
              </w:rPr>
            </w:pPr>
            <w:r w:rsidRPr="00C717CC">
              <w:rPr>
                <w:rFonts w:eastAsia="MS Mincho"/>
                <w:sz w:val="22"/>
              </w:rPr>
              <w:t>Rash</w:t>
            </w:r>
          </w:p>
        </w:tc>
        <w:tc>
          <w:tcPr>
            <w:tcW w:w="1714" w:type="dxa"/>
          </w:tcPr>
          <w:p w14:paraId="07124894" w14:textId="66B436F8" w:rsidR="003F72C9" w:rsidRPr="00C717CC" w:rsidRDefault="000A1A0B" w:rsidP="003F72C9">
            <w:pPr>
              <w:jc w:val="center"/>
              <w:rPr>
                <w:rFonts w:eastAsia="MS Mincho"/>
                <w:sz w:val="22"/>
              </w:rPr>
            </w:pPr>
            <w:r w:rsidRPr="00C717CC">
              <w:rPr>
                <w:rFonts w:eastAsia="MS Mincho"/>
                <w:sz w:val="22"/>
              </w:rPr>
              <w:t>13.0</w:t>
            </w:r>
          </w:p>
        </w:tc>
        <w:tc>
          <w:tcPr>
            <w:tcW w:w="1710" w:type="dxa"/>
          </w:tcPr>
          <w:p w14:paraId="07124895" w14:textId="77777777" w:rsidR="003F72C9" w:rsidRPr="00C717CC" w:rsidRDefault="003F72C9" w:rsidP="003F72C9">
            <w:pPr>
              <w:jc w:val="center"/>
              <w:rPr>
                <w:rFonts w:eastAsia="MS Mincho"/>
                <w:sz w:val="22"/>
              </w:rPr>
            </w:pPr>
            <w:r w:rsidRPr="00C717CC">
              <w:rPr>
                <w:rFonts w:eastAsia="MS Mincho"/>
                <w:sz w:val="22"/>
              </w:rPr>
              <w:t>0.0</w:t>
            </w:r>
          </w:p>
        </w:tc>
        <w:tc>
          <w:tcPr>
            <w:tcW w:w="1530" w:type="dxa"/>
          </w:tcPr>
          <w:p w14:paraId="07124896" w14:textId="77777777" w:rsidR="003F72C9" w:rsidRPr="00C717CC" w:rsidRDefault="003F72C9" w:rsidP="00A12DFD">
            <w:pPr>
              <w:jc w:val="center"/>
              <w:rPr>
                <w:rFonts w:eastAsia="MS Mincho"/>
                <w:sz w:val="22"/>
              </w:rPr>
            </w:pPr>
            <w:r w:rsidRPr="00C717CC">
              <w:rPr>
                <w:rFonts w:eastAsia="MS Mincho"/>
                <w:sz w:val="22"/>
              </w:rPr>
              <w:t>very common</w:t>
            </w:r>
          </w:p>
        </w:tc>
      </w:tr>
      <w:tr w:rsidR="003F72C9" w:rsidRPr="00C717CC" w14:paraId="0712489C" w14:textId="77777777" w:rsidTr="00A12DFD">
        <w:tc>
          <w:tcPr>
            <w:tcW w:w="3794" w:type="dxa"/>
          </w:tcPr>
          <w:p w14:paraId="07124898" w14:textId="77777777" w:rsidR="003F72C9" w:rsidRPr="00C717CC" w:rsidRDefault="003F72C9" w:rsidP="003F72C9">
            <w:pPr>
              <w:rPr>
                <w:rFonts w:eastAsia="MS Mincho"/>
                <w:sz w:val="22"/>
              </w:rPr>
            </w:pPr>
            <w:r w:rsidRPr="00C717CC">
              <w:rPr>
                <w:rFonts w:eastAsia="MS Mincho"/>
                <w:sz w:val="22"/>
              </w:rPr>
              <w:t>Pruritus</w:t>
            </w:r>
          </w:p>
        </w:tc>
        <w:tc>
          <w:tcPr>
            <w:tcW w:w="1714" w:type="dxa"/>
          </w:tcPr>
          <w:p w14:paraId="07124899" w14:textId="2AADBBEF" w:rsidR="003F72C9" w:rsidRPr="00C717CC" w:rsidRDefault="000A1A0B" w:rsidP="003F72C9">
            <w:pPr>
              <w:jc w:val="center"/>
              <w:rPr>
                <w:rFonts w:eastAsia="MS Mincho"/>
                <w:sz w:val="22"/>
              </w:rPr>
            </w:pPr>
            <w:r w:rsidRPr="00C717CC">
              <w:rPr>
                <w:rFonts w:eastAsia="MS Mincho"/>
                <w:sz w:val="22"/>
              </w:rPr>
              <w:t>5.5</w:t>
            </w:r>
          </w:p>
        </w:tc>
        <w:tc>
          <w:tcPr>
            <w:tcW w:w="1710" w:type="dxa"/>
          </w:tcPr>
          <w:p w14:paraId="0712489A" w14:textId="77777777" w:rsidR="003F72C9" w:rsidRPr="00C717CC" w:rsidRDefault="003F72C9" w:rsidP="003F72C9">
            <w:pPr>
              <w:jc w:val="center"/>
              <w:rPr>
                <w:rFonts w:eastAsia="MS Mincho"/>
                <w:sz w:val="22"/>
              </w:rPr>
            </w:pPr>
            <w:r w:rsidRPr="00C717CC">
              <w:rPr>
                <w:rFonts w:eastAsia="MS Mincho"/>
                <w:sz w:val="22"/>
              </w:rPr>
              <w:t>0.1</w:t>
            </w:r>
          </w:p>
        </w:tc>
        <w:tc>
          <w:tcPr>
            <w:tcW w:w="1530" w:type="dxa"/>
          </w:tcPr>
          <w:p w14:paraId="0712489B" w14:textId="77777777" w:rsidR="003F72C9" w:rsidRPr="00C717CC" w:rsidRDefault="003F72C9" w:rsidP="00A12DFD">
            <w:pPr>
              <w:jc w:val="center"/>
              <w:rPr>
                <w:rFonts w:eastAsia="MS Mincho"/>
                <w:sz w:val="22"/>
              </w:rPr>
            </w:pPr>
            <w:r w:rsidRPr="00C717CC">
              <w:rPr>
                <w:rFonts w:eastAsia="MS Mincho"/>
                <w:sz w:val="22"/>
              </w:rPr>
              <w:t>common</w:t>
            </w:r>
          </w:p>
        </w:tc>
      </w:tr>
      <w:tr w:rsidR="003F72C9" w:rsidRPr="00C717CC" w14:paraId="0712489E" w14:textId="77777777" w:rsidTr="00A12DFD">
        <w:tc>
          <w:tcPr>
            <w:tcW w:w="8748" w:type="dxa"/>
            <w:gridSpan w:val="4"/>
          </w:tcPr>
          <w:p w14:paraId="0712489D" w14:textId="77777777" w:rsidR="003F72C9" w:rsidRPr="00C717CC" w:rsidRDefault="003F72C9" w:rsidP="00A12DFD">
            <w:pPr>
              <w:spacing w:after="120"/>
              <w:jc w:val="left"/>
              <w:rPr>
                <w:rFonts w:eastAsia="MS Mincho"/>
                <w:b/>
                <w:sz w:val="22"/>
              </w:rPr>
            </w:pPr>
            <w:r w:rsidRPr="00C717CC">
              <w:rPr>
                <w:rFonts w:eastAsia="MS Mincho"/>
                <w:b/>
                <w:sz w:val="22"/>
              </w:rPr>
              <w:t>Vascular Disorders</w:t>
            </w:r>
          </w:p>
        </w:tc>
      </w:tr>
      <w:tr w:rsidR="00063896" w:rsidRPr="00C717CC" w14:paraId="20B76C04" w14:textId="77777777" w:rsidTr="00A12DFD">
        <w:tc>
          <w:tcPr>
            <w:tcW w:w="3794" w:type="dxa"/>
          </w:tcPr>
          <w:p w14:paraId="56870CE7" w14:textId="111999F2" w:rsidR="00063896" w:rsidRPr="00C717CC" w:rsidRDefault="00063896" w:rsidP="003F72C9">
            <w:pPr>
              <w:rPr>
                <w:rFonts w:eastAsia="MS Mincho"/>
                <w:sz w:val="22"/>
              </w:rPr>
            </w:pPr>
            <w:r>
              <w:rPr>
                <w:rFonts w:eastAsia="MS Mincho"/>
                <w:sz w:val="22"/>
              </w:rPr>
              <w:t>Haemorrhage</w:t>
            </w:r>
          </w:p>
        </w:tc>
        <w:tc>
          <w:tcPr>
            <w:tcW w:w="1714" w:type="dxa"/>
          </w:tcPr>
          <w:p w14:paraId="1606E49E" w14:textId="1E33A15F" w:rsidR="00063896" w:rsidRPr="00C717CC" w:rsidRDefault="00063896" w:rsidP="003F72C9">
            <w:pPr>
              <w:jc w:val="center"/>
              <w:rPr>
                <w:rFonts w:eastAsia="MS Mincho"/>
                <w:sz w:val="22"/>
              </w:rPr>
            </w:pPr>
            <w:r>
              <w:rPr>
                <w:rFonts w:eastAsia="MS Mincho"/>
                <w:sz w:val="22"/>
              </w:rPr>
              <w:t>36.5</w:t>
            </w:r>
          </w:p>
        </w:tc>
        <w:tc>
          <w:tcPr>
            <w:tcW w:w="1710" w:type="dxa"/>
          </w:tcPr>
          <w:p w14:paraId="217D4E0D" w14:textId="3DC285CA" w:rsidR="00063896" w:rsidRPr="00C717CC" w:rsidRDefault="00063896" w:rsidP="003F72C9">
            <w:pPr>
              <w:jc w:val="center"/>
              <w:rPr>
                <w:rFonts w:eastAsia="MS Mincho"/>
                <w:sz w:val="22"/>
              </w:rPr>
            </w:pPr>
            <w:r>
              <w:rPr>
                <w:rFonts w:eastAsia="MS Mincho"/>
                <w:sz w:val="22"/>
              </w:rPr>
              <w:t>2.0</w:t>
            </w:r>
          </w:p>
        </w:tc>
        <w:tc>
          <w:tcPr>
            <w:tcW w:w="1530" w:type="dxa"/>
          </w:tcPr>
          <w:p w14:paraId="5F281B97" w14:textId="6A936CC6" w:rsidR="00063896" w:rsidRPr="00C717CC" w:rsidRDefault="00063896" w:rsidP="00A12DFD">
            <w:pPr>
              <w:jc w:val="center"/>
              <w:rPr>
                <w:rFonts w:eastAsia="MS Mincho"/>
                <w:sz w:val="22"/>
              </w:rPr>
            </w:pPr>
            <w:r>
              <w:rPr>
                <w:rFonts w:eastAsia="MS Mincho"/>
                <w:sz w:val="22"/>
              </w:rPr>
              <w:t>very common</w:t>
            </w:r>
          </w:p>
        </w:tc>
      </w:tr>
      <w:tr w:rsidR="003F72C9" w:rsidRPr="00C717CC" w14:paraId="071248A3" w14:textId="77777777" w:rsidTr="00A12DFD">
        <w:tc>
          <w:tcPr>
            <w:tcW w:w="3794" w:type="dxa"/>
          </w:tcPr>
          <w:p w14:paraId="0712489F" w14:textId="77777777" w:rsidR="003F72C9" w:rsidRPr="00C717CC" w:rsidRDefault="003F72C9" w:rsidP="003F72C9">
            <w:pPr>
              <w:rPr>
                <w:rFonts w:eastAsia="MS Mincho"/>
                <w:sz w:val="22"/>
              </w:rPr>
            </w:pPr>
            <w:r w:rsidRPr="00C717CC">
              <w:rPr>
                <w:rFonts w:eastAsia="MS Mincho"/>
                <w:sz w:val="22"/>
              </w:rPr>
              <w:t>Hypertension</w:t>
            </w:r>
          </w:p>
        </w:tc>
        <w:tc>
          <w:tcPr>
            <w:tcW w:w="1714" w:type="dxa"/>
          </w:tcPr>
          <w:p w14:paraId="071248A0" w14:textId="660F929E" w:rsidR="003F72C9" w:rsidRPr="00C717CC" w:rsidRDefault="000A1A0B" w:rsidP="003F72C9">
            <w:pPr>
              <w:jc w:val="center"/>
              <w:rPr>
                <w:rFonts w:eastAsia="MS Mincho"/>
                <w:sz w:val="22"/>
              </w:rPr>
            </w:pPr>
            <w:r w:rsidRPr="00C717CC">
              <w:rPr>
                <w:rFonts w:eastAsia="MS Mincho"/>
                <w:sz w:val="22"/>
              </w:rPr>
              <w:t>6.6</w:t>
            </w:r>
          </w:p>
        </w:tc>
        <w:tc>
          <w:tcPr>
            <w:tcW w:w="1710" w:type="dxa"/>
          </w:tcPr>
          <w:p w14:paraId="071248A1" w14:textId="7E78AC95" w:rsidR="003F72C9" w:rsidRPr="00C717CC" w:rsidRDefault="000A1A0B" w:rsidP="003F72C9">
            <w:pPr>
              <w:jc w:val="center"/>
              <w:rPr>
                <w:rFonts w:eastAsia="MS Mincho"/>
                <w:sz w:val="22"/>
              </w:rPr>
            </w:pPr>
            <w:r w:rsidRPr="00C717CC">
              <w:rPr>
                <w:rFonts w:eastAsia="MS Mincho"/>
                <w:sz w:val="22"/>
              </w:rPr>
              <w:t>1.0</w:t>
            </w:r>
          </w:p>
        </w:tc>
        <w:tc>
          <w:tcPr>
            <w:tcW w:w="1530" w:type="dxa"/>
          </w:tcPr>
          <w:p w14:paraId="071248A2" w14:textId="77777777" w:rsidR="003F72C9" w:rsidRPr="00C717CC" w:rsidRDefault="003F72C9" w:rsidP="00A12DFD">
            <w:pPr>
              <w:jc w:val="center"/>
              <w:rPr>
                <w:rFonts w:eastAsia="MS Mincho"/>
                <w:sz w:val="22"/>
              </w:rPr>
            </w:pPr>
            <w:r w:rsidRPr="00C717CC">
              <w:rPr>
                <w:rFonts w:eastAsia="MS Mincho"/>
                <w:sz w:val="22"/>
              </w:rPr>
              <w:t>common</w:t>
            </w:r>
          </w:p>
        </w:tc>
      </w:tr>
    </w:tbl>
    <w:p w14:paraId="071248A4" w14:textId="77777777" w:rsidR="00373EF1" w:rsidRPr="00C717CC" w:rsidRDefault="00373EF1" w:rsidP="00451567">
      <w:pPr>
        <w:pStyle w:val="Heading2"/>
      </w:pPr>
      <w:r w:rsidRPr="00C717CC">
        <w:t>Laboratory Abnormalities</w:t>
      </w:r>
    </w:p>
    <w:p w14:paraId="071248A5" w14:textId="77777777" w:rsidR="002051AA" w:rsidRPr="00C717CC" w:rsidRDefault="00FA14DB" w:rsidP="00FA14DB">
      <w:pPr>
        <w:pStyle w:val="Paragraph"/>
        <w:spacing w:line="280" w:lineRule="atLeast"/>
        <w:jc w:val="both"/>
        <w:rPr>
          <w:rFonts w:ascii="Times New Roman" w:hAnsi="Times New Roman"/>
        </w:rPr>
      </w:pPr>
      <w:r w:rsidRPr="00C717CC">
        <w:rPr>
          <w:rFonts w:ascii="Times New Roman" w:hAnsi="Times New Roman"/>
        </w:rPr>
        <w:t xml:space="preserve">The following table displays laboratory abnormalities observed in patients treated with </w:t>
      </w:r>
      <w:r w:rsidR="00FD0A04" w:rsidRPr="00C717CC">
        <w:rPr>
          <w:rFonts w:ascii="Times New Roman" w:hAnsi="Times New Roman"/>
        </w:rPr>
        <w:t>KADCYLA</w:t>
      </w:r>
      <w:r w:rsidRPr="00C717CC">
        <w:rPr>
          <w:rFonts w:ascii="Times New Roman" w:hAnsi="Times New Roman"/>
        </w:rPr>
        <w:t xml:space="preserve"> in </w:t>
      </w:r>
      <w:r w:rsidR="00FD0A04" w:rsidRPr="00C717CC">
        <w:rPr>
          <w:rFonts w:ascii="Times New Roman" w:hAnsi="Times New Roman"/>
        </w:rPr>
        <w:t>Study TDM4370/BO21977 (EMILIA).</w:t>
      </w:r>
    </w:p>
    <w:p w14:paraId="2A04A279" w14:textId="77777777" w:rsidR="00225C83" w:rsidRDefault="00225C83">
      <w:pPr>
        <w:jc w:val="left"/>
        <w:rPr>
          <w:b/>
          <w:bCs/>
          <w:szCs w:val="24"/>
        </w:rPr>
      </w:pPr>
      <w:r>
        <w:rPr>
          <w:bCs/>
        </w:rPr>
        <w:br w:type="page"/>
      </w:r>
    </w:p>
    <w:p w14:paraId="071248A6" w14:textId="5CF7D073" w:rsidR="00FA14DB" w:rsidRPr="00C717CC" w:rsidRDefault="00FA14DB" w:rsidP="00FA14DB">
      <w:pPr>
        <w:pStyle w:val="TableTitle"/>
      </w:pPr>
      <w:r w:rsidRPr="00C717CC">
        <w:rPr>
          <w:rFonts w:ascii="Times New Roman" w:eastAsia="PMingLiU" w:hAnsi="Times New Roman"/>
          <w:bCs/>
          <w:lang w:val="en-AU" w:eastAsia="zh-TW"/>
        </w:rPr>
        <w:lastRenderedPageBreak/>
        <w:t>Table </w:t>
      </w:r>
      <w:r w:rsidRPr="00C717CC">
        <w:rPr>
          <w:rFonts w:ascii="Times New Roman" w:eastAsia="PMingLiU" w:hAnsi="Times New Roman"/>
          <w:bCs/>
          <w:lang w:val="en-AU" w:eastAsia="zh-TW"/>
        </w:rPr>
        <w:fldChar w:fldCharType="begin"/>
      </w:r>
      <w:r w:rsidRPr="00C717CC">
        <w:rPr>
          <w:rFonts w:ascii="Times New Roman" w:eastAsia="PMingLiU" w:hAnsi="Times New Roman"/>
          <w:bCs/>
          <w:lang w:val="en-AU" w:eastAsia="zh-TW"/>
        </w:rPr>
        <w:instrText xml:space="preserve"> SEQ Table \* ARABIC </w:instrText>
      </w:r>
      <w:r w:rsidRPr="00C717CC">
        <w:rPr>
          <w:rFonts w:ascii="Times New Roman" w:eastAsia="PMingLiU" w:hAnsi="Times New Roman"/>
          <w:bCs/>
          <w:lang w:val="en-AU" w:eastAsia="zh-TW"/>
        </w:rPr>
        <w:fldChar w:fldCharType="separate"/>
      </w:r>
      <w:r w:rsidR="00560709">
        <w:rPr>
          <w:rFonts w:ascii="Times New Roman" w:eastAsia="PMingLiU" w:hAnsi="Times New Roman"/>
          <w:bCs/>
          <w:noProof/>
          <w:lang w:val="en-AU" w:eastAsia="zh-TW"/>
        </w:rPr>
        <w:t>3</w:t>
      </w:r>
      <w:r w:rsidRPr="00C717CC">
        <w:rPr>
          <w:rFonts w:ascii="Times New Roman" w:eastAsia="PMingLiU" w:hAnsi="Times New Roman"/>
          <w:bCs/>
          <w:lang w:val="en-AU" w:eastAsia="zh-TW"/>
        </w:rPr>
        <w:fldChar w:fldCharType="end"/>
      </w:r>
      <w:r w:rsidRPr="00C717CC">
        <w:rPr>
          <w:rFonts w:ascii="Times New Roman" w:eastAsia="PMingLiU" w:hAnsi="Times New Roman"/>
          <w:bCs/>
          <w:lang w:val="en-AU" w:eastAsia="zh-TW"/>
        </w:rPr>
        <w:tab/>
        <w:t xml:space="preserve">Laboratory abnormalities in </w:t>
      </w:r>
      <w:r w:rsidR="00FD0A04" w:rsidRPr="00C717CC">
        <w:rPr>
          <w:rFonts w:ascii="Times New Roman" w:eastAsia="PMingLiU" w:hAnsi="Times New Roman"/>
          <w:bCs/>
          <w:lang w:val="en-AU" w:eastAsia="zh-TW"/>
        </w:rPr>
        <w:t>S</w:t>
      </w:r>
      <w:r w:rsidRPr="00C717CC">
        <w:rPr>
          <w:rFonts w:ascii="Times New Roman" w:eastAsia="PMingLiU" w:hAnsi="Times New Roman"/>
          <w:bCs/>
          <w:lang w:val="en-AU" w:eastAsia="zh-TW"/>
        </w:rPr>
        <w:t>tudy TDM4370g/BO21977</w:t>
      </w:r>
      <w:r w:rsidR="00FD0A04" w:rsidRPr="00C717CC">
        <w:rPr>
          <w:rFonts w:ascii="Times New Roman" w:eastAsia="PMingLiU" w:hAnsi="Times New Roman"/>
          <w:bCs/>
          <w:lang w:val="en-AU" w:eastAsia="zh-TW"/>
        </w:rPr>
        <w:t xml:space="preserve"> (EMILIA)</w:t>
      </w:r>
    </w:p>
    <w:tbl>
      <w:tblPr>
        <w:tblW w:w="8655" w:type="dxa"/>
        <w:tblInd w:w="93" w:type="dxa"/>
        <w:tblLook w:val="04A0" w:firstRow="1" w:lastRow="0" w:firstColumn="1" w:lastColumn="0" w:noHBand="0" w:noVBand="1"/>
      </w:tblPr>
      <w:tblGrid>
        <w:gridCol w:w="3701"/>
        <w:gridCol w:w="1714"/>
        <w:gridCol w:w="1710"/>
        <w:gridCol w:w="1530"/>
      </w:tblGrid>
      <w:tr w:rsidR="00FA14DB" w:rsidRPr="00C717CC" w14:paraId="071248A9" w14:textId="77777777" w:rsidTr="002516C0">
        <w:trPr>
          <w:trHeight w:val="300"/>
          <w:tblHeader/>
        </w:trPr>
        <w:tc>
          <w:tcPr>
            <w:tcW w:w="3701"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noWrap/>
            <w:vAlign w:val="center"/>
          </w:tcPr>
          <w:p w14:paraId="071248A7" w14:textId="77777777" w:rsidR="00FA14DB" w:rsidRPr="00C717CC" w:rsidRDefault="00FA14DB" w:rsidP="00E42D56">
            <w:pPr>
              <w:jc w:val="left"/>
              <w:rPr>
                <w:rFonts w:eastAsia="Times New Roman"/>
                <w:b/>
                <w:color w:val="000000"/>
                <w:sz w:val="22"/>
              </w:rPr>
            </w:pPr>
            <w:r w:rsidRPr="00C717CC">
              <w:rPr>
                <w:rFonts w:eastAsia="Times New Roman"/>
                <w:b/>
                <w:color w:val="000000"/>
                <w:sz w:val="22"/>
              </w:rPr>
              <w:t>Parameter</w:t>
            </w:r>
          </w:p>
        </w:tc>
        <w:tc>
          <w:tcPr>
            <w:tcW w:w="4954" w:type="dxa"/>
            <w:gridSpan w:val="3"/>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71248A8" w14:textId="77777777" w:rsidR="00FA14DB" w:rsidRPr="00C717CC" w:rsidRDefault="00FA14DB" w:rsidP="00FA14DB">
            <w:pPr>
              <w:jc w:val="center"/>
              <w:rPr>
                <w:rFonts w:eastAsia="Times New Roman"/>
                <w:b/>
                <w:color w:val="000000"/>
                <w:sz w:val="22"/>
              </w:rPr>
            </w:pPr>
            <w:r w:rsidRPr="00C717CC">
              <w:rPr>
                <w:rFonts w:eastAsia="Times New Roman"/>
                <w:b/>
                <w:color w:val="000000"/>
                <w:sz w:val="22"/>
              </w:rPr>
              <w:t>KADCYLA</w:t>
            </w:r>
          </w:p>
        </w:tc>
      </w:tr>
      <w:tr w:rsidR="00FA14DB" w:rsidRPr="00C717CC" w14:paraId="071248AE" w14:textId="77777777" w:rsidTr="002516C0">
        <w:trPr>
          <w:trHeight w:val="300"/>
          <w:tblHeader/>
        </w:trPr>
        <w:tc>
          <w:tcPr>
            <w:tcW w:w="3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1248AA" w14:textId="77777777" w:rsidR="00FA14DB" w:rsidRPr="00C717CC" w:rsidRDefault="00FA14DB" w:rsidP="00FA14DB">
            <w:pPr>
              <w:rPr>
                <w:rFonts w:eastAsia="Times New Roman"/>
                <w:b/>
                <w:color w:val="000000"/>
                <w:sz w:val="22"/>
              </w:rPr>
            </w:pPr>
          </w:p>
        </w:tc>
        <w:tc>
          <w:tcPr>
            <w:tcW w:w="1714" w:type="dxa"/>
            <w:tcBorders>
              <w:top w:val="nil"/>
              <w:left w:val="nil"/>
              <w:bottom w:val="single" w:sz="4" w:space="0" w:color="auto"/>
              <w:right w:val="single" w:sz="4" w:space="0" w:color="auto"/>
            </w:tcBorders>
            <w:shd w:val="clear" w:color="auto" w:fill="F2F2F2" w:themeFill="background1" w:themeFillShade="F2"/>
            <w:noWrap/>
            <w:vAlign w:val="bottom"/>
          </w:tcPr>
          <w:p w14:paraId="071248AB" w14:textId="77777777" w:rsidR="00FA14DB" w:rsidRPr="00C717CC" w:rsidRDefault="00FA14DB" w:rsidP="00FA14DB">
            <w:pPr>
              <w:jc w:val="center"/>
              <w:rPr>
                <w:rFonts w:eastAsia="Times New Roman"/>
                <w:b/>
                <w:color w:val="000000"/>
                <w:sz w:val="22"/>
              </w:rPr>
            </w:pPr>
            <w:r w:rsidRPr="00C717CC">
              <w:rPr>
                <w:rFonts w:eastAsia="Times New Roman"/>
                <w:b/>
                <w:color w:val="000000"/>
                <w:sz w:val="22"/>
              </w:rPr>
              <w:t>All Grade %</w:t>
            </w:r>
          </w:p>
        </w:tc>
        <w:tc>
          <w:tcPr>
            <w:tcW w:w="1710" w:type="dxa"/>
            <w:tcBorders>
              <w:top w:val="nil"/>
              <w:left w:val="nil"/>
              <w:bottom w:val="single" w:sz="4" w:space="0" w:color="auto"/>
              <w:right w:val="single" w:sz="4" w:space="0" w:color="auto"/>
            </w:tcBorders>
            <w:shd w:val="clear" w:color="auto" w:fill="F2F2F2" w:themeFill="background1" w:themeFillShade="F2"/>
            <w:noWrap/>
            <w:vAlign w:val="bottom"/>
          </w:tcPr>
          <w:p w14:paraId="071248AC" w14:textId="77777777" w:rsidR="00FA14DB" w:rsidRPr="00C717CC" w:rsidRDefault="00FA14DB" w:rsidP="00FA14DB">
            <w:pPr>
              <w:jc w:val="center"/>
              <w:rPr>
                <w:rFonts w:eastAsia="Times New Roman"/>
                <w:b/>
                <w:color w:val="000000"/>
                <w:sz w:val="22"/>
              </w:rPr>
            </w:pPr>
            <w:r w:rsidRPr="00C717CC">
              <w:rPr>
                <w:rFonts w:eastAsia="Times New Roman"/>
                <w:b/>
                <w:color w:val="000000"/>
                <w:sz w:val="22"/>
              </w:rPr>
              <w:t>Grade 3 %</w:t>
            </w:r>
          </w:p>
        </w:tc>
        <w:tc>
          <w:tcPr>
            <w:tcW w:w="1530" w:type="dxa"/>
            <w:tcBorders>
              <w:top w:val="nil"/>
              <w:left w:val="nil"/>
              <w:bottom w:val="single" w:sz="4" w:space="0" w:color="auto"/>
              <w:right w:val="single" w:sz="4" w:space="0" w:color="auto"/>
            </w:tcBorders>
            <w:shd w:val="clear" w:color="auto" w:fill="F2F2F2" w:themeFill="background1" w:themeFillShade="F2"/>
            <w:noWrap/>
            <w:vAlign w:val="bottom"/>
          </w:tcPr>
          <w:p w14:paraId="071248AD" w14:textId="77777777" w:rsidR="00FA14DB" w:rsidRPr="00C717CC" w:rsidRDefault="00FA14DB" w:rsidP="00FA14DB">
            <w:pPr>
              <w:jc w:val="center"/>
              <w:rPr>
                <w:rFonts w:eastAsia="Times New Roman"/>
                <w:b/>
                <w:color w:val="000000"/>
                <w:sz w:val="22"/>
              </w:rPr>
            </w:pPr>
            <w:r w:rsidRPr="00C717CC">
              <w:rPr>
                <w:rFonts w:eastAsia="Times New Roman"/>
                <w:b/>
                <w:color w:val="000000"/>
                <w:sz w:val="22"/>
              </w:rPr>
              <w:t>Grade 4 %</w:t>
            </w:r>
          </w:p>
        </w:tc>
      </w:tr>
      <w:tr w:rsidR="00FA14DB" w:rsidRPr="00C717CC" w14:paraId="071248B0" w14:textId="77777777" w:rsidTr="009C6592">
        <w:trPr>
          <w:trHeight w:val="300"/>
        </w:trPr>
        <w:tc>
          <w:tcPr>
            <w:tcW w:w="865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071248AF" w14:textId="77777777" w:rsidR="00FA14DB" w:rsidRPr="00C717CC" w:rsidRDefault="00FA14DB" w:rsidP="00E42D56">
            <w:pPr>
              <w:spacing w:after="120"/>
              <w:rPr>
                <w:rFonts w:eastAsia="Times New Roman"/>
                <w:color w:val="000000"/>
                <w:sz w:val="22"/>
              </w:rPr>
            </w:pPr>
            <w:r w:rsidRPr="00C717CC">
              <w:rPr>
                <w:rFonts w:eastAsia="Times New Roman"/>
                <w:b/>
                <w:color w:val="000000"/>
                <w:sz w:val="22"/>
              </w:rPr>
              <w:t>Hepatic</w:t>
            </w:r>
          </w:p>
        </w:tc>
      </w:tr>
      <w:tr w:rsidR="00FA14DB" w:rsidRPr="00C717CC" w14:paraId="071248B5" w14:textId="77777777" w:rsidTr="00E42D56">
        <w:trPr>
          <w:trHeight w:val="300"/>
        </w:trPr>
        <w:tc>
          <w:tcPr>
            <w:tcW w:w="3701" w:type="dxa"/>
            <w:tcBorders>
              <w:top w:val="nil"/>
              <w:left w:val="single" w:sz="4" w:space="0" w:color="auto"/>
              <w:bottom w:val="single" w:sz="4" w:space="0" w:color="auto"/>
              <w:right w:val="single" w:sz="4" w:space="0" w:color="auto"/>
            </w:tcBorders>
            <w:shd w:val="clear" w:color="auto" w:fill="auto"/>
            <w:noWrap/>
            <w:vAlign w:val="bottom"/>
          </w:tcPr>
          <w:p w14:paraId="071248B1" w14:textId="77777777" w:rsidR="00FA14DB" w:rsidRPr="00C717CC" w:rsidRDefault="00FA14DB" w:rsidP="00FA14DB">
            <w:pPr>
              <w:rPr>
                <w:rFonts w:eastAsia="Times New Roman"/>
                <w:color w:val="000000"/>
                <w:sz w:val="22"/>
              </w:rPr>
            </w:pPr>
            <w:r w:rsidRPr="00C717CC">
              <w:rPr>
                <w:rFonts w:eastAsia="Times New Roman"/>
                <w:color w:val="000000"/>
                <w:sz w:val="22"/>
              </w:rPr>
              <w:t>Increased Bilirubin</w:t>
            </w:r>
          </w:p>
        </w:tc>
        <w:tc>
          <w:tcPr>
            <w:tcW w:w="1714" w:type="dxa"/>
            <w:tcBorders>
              <w:top w:val="nil"/>
              <w:left w:val="nil"/>
              <w:bottom w:val="single" w:sz="4" w:space="0" w:color="auto"/>
              <w:right w:val="single" w:sz="4" w:space="0" w:color="auto"/>
            </w:tcBorders>
            <w:shd w:val="clear" w:color="auto" w:fill="auto"/>
            <w:noWrap/>
            <w:vAlign w:val="bottom"/>
          </w:tcPr>
          <w:p w14:paraId="071248B2" w14:textId="7681D3A0" w:rsidR="00FA14DB" w:rsidRPr="00C717CC" w:rsidRDefault="008E3D82" w:rsidP="00FA14DB">
            <w:pPr>
              <w:jc w:val="center"/>
              <w:rPr>
                <w:rFonts w:eastAsia="Times New Roman"/>
                <w:color w:val="000000"/>
                <w:sz w:val="22"/>
              </w:rPr>
            </w:pPr>
            <w:r w:rsidRPr="00C717CC">
              <w:rPr>
                <w:rFonts w:eastAsia="Times New Roman"/>
                <w:color w:val="000000"/>
                <w:sz w:val="22"/>
              </w:rPr>
              <w:t>20</w:t>
            </w:r>
          </w:p>
        </w:tc>
        <w:tc>
          <w:tcPr>
            <w:tcW w:w="1710" w:type="dxa"/>
            <w:tcBorders>
              <w:top w:val="nil"/>
              <w:left w:val="nil"/>
              <w:bottom w:val="single" w:sz="4" w:space="0" w:color="auto"/>
              <w:right w:val="single" w:sz="4" w:space="0" w:color="auto"/>
            </w:tcBorders>
            <w:shd w:val="clear" w:color="auto" w:fill="auto"/>
            <w:noWrap/>
            <w:vAlign w:val="bottom"/>
          </w:tcPr>
          <w:p w14:paraId="071248B3" w14:textId="77777777" w:rsidR="00FA14DB" w:rsidRPr="00C717CC" w:rsidRDefault="00FA14DB" w:rsidP="00FA14DB">
            <w:pPr>
              <w:jc w:val="center"/>
              <w:rPr>
                <w:rFonts w:eastAsia="Times New Roman"/>
                <w:color w:val="000000"/>
                <w:sz w:val="22"/>
              </w:rPr>
            </w:pPr>
            <w:r w:rsidRPr="00C717CC">
              <w:rPr>
                <w:rFonts w:eastAsia="Times New Roman"/>
                <w:color w:val="000000"/>
                <w:sz w:val="22"/>
              </w:rPr>
              <w:t>&lt;1</w:t>
            </w:r>
          </w:p>
        </w:tc>
        <w:tc>
          <w:tcPr>
            <w:tcW w:w="1530" w:type="dxa"/>
            <w:tcBorders>
              <w:top w:val="nil"/>
              <w:left w:val="nil"/>
              <w:bottom w:val="single" w:sz="4" w:space="0" w:color="auto"/>
              <w:right w:val="single" w:sz="4" w:space="0" w:color="auto"/>
            </w:tcBorders>
            <w:shd w:val="clear" w:color="auto" w:fill="auto"/>
            <w:noWrap/>
            <w:vAlign w:val="bottom"/>
          </w:tcPr>
          <w:p w14:paraId="071248B4" w14:textId="77777777" w:rsidR="00FA14DB" w:rsidRPr="00C717CC" w:rsidRDefault="00FA14DB" w:rsidP="00FA14DB">
            <w:pPr>
              <w:jc w:val="center"/>
              <w:rPr>
                <w:rFonts w:eastAsia="Times New Roman"/>
                <w:color w:val="000000"/>
                <w:sz w:val="22"/>
              </w:rPr>
            </w:pPr>
            <w:r w:rsidRPr="00C717CC">
              <w:rPr>
                <w:rFonts w:eastAsia="Times New Roman"/>
                <w:color w:val="000000"/>
                <w:sz w:val="22"/>
              </w:rPr>
              <w:t>0</w:t>
            </w:r>
          </w:p>
        </w:tc>
      </w:tr>
      <w:tr w:rsidR="00FA14DB" w:rsidRPr="00C717CC" w14:paraId="071248BA" w14:textId="77777777" w:rsidTr="00E42D56">
        <w:trPr>
          <w:trHeight w:val="300"/>
        </w:trPr>
        <w:tc>
          <w:tcPr>
            <w:tcW w:w="3701" w:type="dxa"/>
            <w:tcBorders>
              <w:top w:val="nil"/>
              <w:left w:val="single" w:sz="4" w:space="0" w:color="auto"/>
              <w:bottom w:val="single" w:sz="4" w:space="0" w:color="auto"/>
              <w:right w:val="single" w:sz="4" w:space="0" w:color="auto"/>
            </w:tcBorders>
            <w:shd w:val="clear" w:color="auto" w:fill="auto"/>
            <w:noWrap/>
            <w:vAlign w:val="bottom"/>
          </w:tcPr>
          <w:p w14:paraId="071248B6" w14:textId="77777777" w:rsidR="00FA14DB" w:rsidRPr="00C717CC" w:rsidRDefault="00FA14DB" w:rsidP="00FA14DB">
            <w:pPr>
              <w:rPr>
                <w:rFonts w:eastAsia="Times New Roman"/>
                <w:color w:val="000000"/>
                <w:sz w:val="22"/>
              </w:rPr>
            </w:pPr>
            <w:r w:rsidRPr="00C717CC">
              <w:rPr>
                <w:rFonts w:eastAsia="Times New Roman"/>
                <w:color w:val="000000"/>
                <w:sz w:val="22"/>
              </w:rPr>
              <w:t>Increased AST</w:t>
            </w:r>
          </w:p>
        </w:tc>
        <w:tc>
          <w:tcPr>
            <w:tcW w:w="1714" w:type="dxa"/>
            <w:tcBorders>
              <w:top w:val="nil"/>
              <w:left w:val="nil"/>
              <w:bottom w:val="single" w:sz="4" w:space="0" w:color="auto"/>
              <w:right w:val="single" w:sz="4" w:space="0" w:color="auto"/>
            </w:tcBorders>
            <w:shd w:val="clear" w:color="auto" w:fill="auto"/>
            <w:noWrap/>
            <w:vAlign w:val="bottom"/>
          </w:tcPr>
          <w:p w14:paraId="071248B7" w14:textId="77777777" w:rsidR="00FA14DB" w:rsidRPr="00C717CC" w:rsidRDefault="00FA14DB" w:rsidP="00FA14DB">
            <w:pPr>
              <w:jc w:val="center"/>
              <w:rPr>
                <w:rFonts w:eastAsia="Times New Roman"/>
                <w:color w:val="000000"/>
                <w:sz w:val="22"/>
              </w:rPr>
            </w:pPr>
            <w:r w:rsidRPr="00C717CC">
              <w:rPr>
                <w:rFonts w:eastAsia="Times New Roman"/>
                <w:color w:val="000000"/>
                <w:sz w:val="22"/>
              </w:rPr>
              <w:t>98</w:t>
            </w:r>
          </w:p>
        </w:tc>
        <w:tc>
          <w:tcPr>
            <w:tcW w:w="1710" w:type="dxa"/>
            <w:tcBorders>
              <w:top w:val="nil"/>
              <w:left w:val="nil"/>
              <w:bottom w:val="single" w:sz="4" w:space="0" w:color="auto"/>
              <w:right w:val="single" w:sz="4" w:space="0" w:color="auto"/>
            </w:tcBorders>
            <w:shd w:val="clear" w:color="auto" w:fill="auto"/>
            <w:noWrap/>
            <w:vAlign w:val="bottom"/>
          </w:tcPr>
          <w:p w14:paraId="071248B8" w14:textId="77777777" w:rsidR="00FA14DB" w:rsidRPr="00C717CC" w:rsidRDefault="00FA14DB" w:rsidP="00FA14DB">
            <w:pPr>
              <w:jc w:val="center"/>
              <w:rPr>
                <w:rFonts w:eastAsia="Times New Roman"/>
                <w:color w:val="000000"/>
                <w:sz w:val="22"/>
              </w:rPr>
            </w:pPr>
            <w:r w:rsidRPr="00C717CC">
              <w:rPr>
                <w:rFonts w:eastAsia="Times New Roman"/>
                <w:color w:val="000000"/>
                <w:sz w:val="22"/>
              </w:rPr>
              <w:t>7</w:t>
            </w:r>
          </w:p>
        </w:tc>
        <w:tc>
          <w:tcPr>
            <w:tcW w:w="1530" w:type="dxa"/>
            <w:tcBorders>
              <w:top w:val="nil"/>
              <w:left w:val="nil"/>
              <w:bottom w:val="single" w:sz="4" w:space="0" w:color="auto"/>
              <w:right w:val="single" w:sz="4" w:space="0" w:color="auto"/>
            </w:tcBorders>
            <w:shd w:val="clear" w:color="auto" w:fill="auto"/>
            <w:noWrap/>
            <w:vAlign w:val="bottom"/>
          </w:tcPr>
          <w:p w14:paraId="071248B9" w14:textId="77777777" w:rsidR="00FA14DB" w:rsidRPr="00C717CC" w:rsidRDefault="00FA14DB" w:rsidP="00FA14DB">
            <w:pPr>
              <w:jc w:val="center"/>
              <w:rPr>
                <w:rFonts w:eastAsia="Times New Roman"/>
                <w:color w:val="000000"/>
                <w:sz w:val="22"/>
              </w:rPr>
            </w:pPr>
            <w:r w:rsidRPr="00C717CC">
              <w:rPr>
                <w:rFonts w:eastAsia="Times New Roman"/>
                <w:color w:val="000000"/>
                <w:sz w:val="22"/>
              </w:rPr>
              <w:t>&lt;1</w:t>
            </w:r>
          </w:p>
        </w:tc>
      </w:tr>
      <w:tr w:rsidR="00FA14DB" w:rsidRPr="00C717CC" w14:paraId="071248BF" w14:textId="77777777" w:rsidTr="00E42D56">
        <w:trPr>
          <w:trHeight w:val="300"/>
        </w:trPr>
        <w:tc>
          <w:tcPr>
            <w:tcW w:w="3701" w:type="dxa"/>
            <w:tcBorders>
              <w:top w:val="nil"/>
              <w:left w:val="single" w:sz="4" w:space="0" w:color="auto"/>
              <w:bottom w:val="single" w:sz="4" w:space="0" w:color="auto"/>
              <w:right w:val="single" w:sz="4" w:space="0" w:color="auto"/>
            </w:tcBorders>
            <w:shd w:val="clear" w:color="auto" w:fill="auto"/>
            <w:noWrap/>
            <w:vAlign w:val="bottom"/>
          </w:tcPr>
          <w:p w14:paraId="071248BB" w14:textId="77777777" w:rsidR="00FA14DB" w:rsidRPr="00C717CC" w:rsidRDefault="00FA14DB" w:rsidP="00FA14DB">
            <w:pPr>
              <w:rPr>
                <w:rFonts w:eastAsia="Times New Roman"/>
                <w:color w:val="000000"/>
                <w:sz w:val="22"/>
              </w:rPr>
            </w:pPr>
            <w:r w:rsidRPr="00C717CC">
              <w:rPr>
                <w:rFonts w:eastAsia="Times New Roman"/>
                <w:color w:val="000000"/>
                <w:sz w:val="22"/>
              </w:rPr>
              <w:t>Increased ALT</w:t>
            </w:r>
          </w:p>
        </w:tc>
        <w:tc>
          <w:tcPr>
            <w:tcW w:w="1714" w:type="dxa"/>
            <w:tcBorders>
              <w:top w:val="nil"/>
              <w:left w:val="nil"/>
              <w:bottom w:val="single" w:sz="4" w:space="0" w:color="auto"/>
              <w:right w:val="single" w:sz="4" w:space="0" w:color="auto"/>
            </w:tcBorders>
            <w:shd w:val="clear" w:color="auto" w:fill="auto"/>
            <w:noWrap/>
            <w:vAlign w:val="bottom"/>
          </w:tcPr>
          <w:p w14:paraId="071248BC" w14:textId="6DA098EF" w:rsidR="00FA14DB" w:rsidRPr="00C717CC" w:rsidRDefault="008E3D82" w:rsidP="00FA14DB">
            <w:pPr>
              <w:jc w:val="center"/>
              <w:rPr>
                <w:rFonts w:eastAsia="Times New Roman"/>
                <w:color w:val="000000"/>
                <w:sz w:val="22"/>
              </w:rPr>
            </w:pPr>
            <w:r w:rsidRPr="00C717CC">
              <w:rPr>
                <w:rFonts w:eastAsia="Times New Roman"/>
                <w:color w:val="000000"/>
                <w:sz w:val="22"/>
              </w:rPr>
              <w:t>82</w:t>
            </w:r>
          </w:p>
        </w:tc>
        <w:tc>
          <w:tcPr>
            <w:tcW w:w="1710" w:type="dxa"/>
            <w:tcBorders>
              <w:top w:val="nil"/>
              <w:left w:val="nil"/>
              <w:bottom w:val="single" w:sz="4" w:space="0" w:color="auto"/>
              <w:right w:val="single" w:sz="4" w:space="0" w:color="auto"/>
            </w:tcBorders>
            <w:shd w:val="clear" w:color="auto" w:fill="auto"/>
            <w:noWrap/>
            <w:vAlign w:val="bottom"/>
          </w:tcPr>
          <w:p w14:paraId="071248BD" w14:textId="77777777" w:rsidR="00FA14DB" w:rsidRPr="00C717CC" w:rsidRDefault="00FA14DB" w:rsidP="00FA14DB">
            <w:pPr>
              <w:jc w:val="center"/>
              <w:rPr>
                <w:rFonts w:eastAsia="Times New Roman"/>
                <w:color w:val="000000"/>
                <w:sz w:val="22"/>
              </w:rPr>
            </w:pPr>
            <w:r w:rsidRPr="00C717CC">
              <w:rPr>
                <w:rFonts w:eastAsia="Times New Roman"/>
                <w:color w:val="000000"/>
                <w:sz w:val="22"/>
              </w:rPr>
              <w:t>5</w:t>
            </w:r>
          </w:p>
        </w:tc>
        <w:tc>
          <w:tcPr>
            <w:tcW w:w="1530" w:type="dxa"/>
            <w:tcBorders>
              <w:top w:val="nil"/>
              <w:left w:val="nil"/>
              <w:bottom w:val="single" w:sz="4" w:space="0" w:color="auto"/>
              <w:right w:val="single" w:sz="4" w:space="0" w:color="auto"/>
            </w:tcBorders>
            <w:shd w:val="clear" w:color="auto" w:fill="auto"/>
            <w:noWrap/>
            <w:vAlign w:val="bottom"/>
          </w:tcPr>
          <w:p w14:paraId="071248BE" w14:textId="77777777" w:rsidR="00FA14DB" w:rsidRPr="00C717CC" w:rsidRDefault="00FA14DB" w:rsidP="00FA14DB">
            <w:pPr>
              <w:jc w:val="center"/>
              <w:rPr>
                <w:rFonts w:eastAsia="Times New Roman"/>
                <w:color w:val="000000"/>
                <w:sz w:val="22"/>
              </w:rPr>
            </w:pPr>
            <w:r w:rsidRPr="00C717CC">
              <w:rPr>
                <w:rFonts w:eastAsia="Times New Roman"/>
                <w:color w:val="000000"/>
                <w:sz w:val="22"/>
              </w:rPr>
              <w:t>&lt;1</w:t>
            </w:r>
          </w:p>
        </w:tc>
      </w:tr>
      <w:tr w:rsidR="00FA14DB" w:rsidRPr="00C717CC" w14:paraId="071248C1" w14:textId="77777777" w:rsidTr="009C6592">
        <w:trPr>
          <w:trHeight w:val="300"/>
        </w:trPr>
        <w:tc>
          <w:tcPr>
            <w:tcW w:w="865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071248C0" w14:textId="77777777" w:rsidR="00FA14DB" w:rsidRPr="00C717CC" w:rsidRDefault="00FA14DB" w:rsidP="00E42D56">
            <w:pPr>
              <w:spacing w:after="120"/>
              <w:rPr>
                <w:rFonts w:eastAsia="Times New Roman"/>
                <w:b/>
                <w:color w:val="000000"/>
                <w:sz w:val="22"/>
              </w:rPr>
            </w:pPr>
            <w:r w:rsidRPr="00C717CC">
              <w:rPr>
                <w:rFonts w:eastAsia="Times New Roman"/>
                <w:b/>
                <w:color w:val="000000"/>
                <w:sz w:val="22"/>
              </w:rPr>
              <w:t>H</w:t>
            </w:r>
            <w:r w:rsidR="00202398" w:rsidRPr="00C717CC">
              <w:rPr>
                <w:rFonts w:eastAsia="Times New Roman"/>
                <w:b/>
                <w:color w:val="000000"/>
                <w:sz w:val="22"/>
              </w:rPr>
              <w:t>a</w:t>
            </w:r>
            <w:r w:rsidRPr="00C717CC">
              <w:rPr>
                <w:rFonts w:eastAsia="Times New Roman"/>
                <w:b/>
                <w:color w:val="000000"/>
                <w:sz w:val="22"/>
              </w:rPr>
              <w:t>ematologic</w:t>
            </w:r>
          </w:p>
        </w:tc>
      </w:tr>
      <w:tr w:rsidR="00FA14DB" w:rsidRPr="00C717CC" w14:paraId="071248C6" w14:textId="77777777" w:rsidTr="00E42D56">
        <w:trPr>
          <w:trHeight w:val="300"/>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1248C2" w14:textId="77777777" w:rsidR="00FA14DB" w:rsidRPr="00C717CC" w:rsidRDefault="00FA14DB" w:rsidP="00FA14DB">
            <w:pPr>
              <w:rPr>
                <w:rFonts w:eastAsia="Times New Roman"/>
                <w:color w:val="000000"/>
                <w:sz w:val="22"/>
              </w:rPr>
            </w:pPr>
            <w:r w:rsidRPr="00C717CC">
              <w:rPr>
                <w:rFonts w:eastAsia="Times New Roman"/>
                <w:color w:val="000000"/>
                <w:sz w:val="22"/>
              </w:rPr>
              <w:t>Decreased Platelets</w:t>
            </w:r>
          </w:p>
        </w:tc>
        <w:tc>
          <w:tcPr>
            <w:tcW w:w="1714" w:type="dxa"/>
            <w:tcBorders>
              <w:top w:val="single" w:sz="4" w:space="0" w:color="auto"/>
              <w:left w:val="nil"/>
              <w:bottom w:val="single" w:sz="4" w:space="0" w:color="auto"/>
              <w:right w:val="single" w:sz="4" w:space="0" w:color="auto"/>
            </w:tcBorders>
            <w:shd w:val="clear" w:color="auto" w:fill="auto"/>
            <w:noWrap/>
            <w:vAlign w:val="bottom"/>
          </w:tcPr>
          <w:p w14:paraId="071248C3" w14:textId="4517F3BF" w:rsidR="00FA14DB" w:rsidRPr="00C717CC" w:rsidRDefault="008E3D82" w:rsidP="00FA14DB">
            <w:pPr>
              <w:jc w:val="center"/>
              <w:rPr>
                <w:rFonts w:eastAsia="Times New Roman"/>
                <w:color w:val="000000"/>
                <w:sz w:val="22"/>
              </w:rPr>
            </w:pPr>
            <w:r w:rsidRPr="00C717CC">
              <w:rPr>
                <w:rFonts w:eastAsia="Times New Roman"/>
                <w:color w:val="000000"/>
                <w:sz w:val="22"/>
              </w:rPr>
              <w:t>84</w:t>
            </w:r>
          </w:p>
        </w:tc>
        <w:tc>
          <w:tcPr>
            <w:tcW w:w="1710" w:type="dxa"/>
            <w:tcBorders>
              <w:top w:val="single" w:sz="4" w:space="0" w:color="auto"/>
              <w:left w:val="nil"/>
              <w:bottom w:val="single" w:sz="4" w:space="0" w:color="auto"/>
              <w:right w:val="single" w:sz="4" w:space="0" w:color="auto"/>
            </w:tcBorders>
            <w:shd w:val="clear" w:color="auto" w:fill="auto"/>
            <w:noWrap/>
            <w:vAlign w:val="bottom"/>
          </w:tcPr>
          <w:p w14:paraId="071248C4" w14:textId="77777777" w:rsidR="00FA14DB" w:rsidRPr="00C717CC" w:rsidRDefault="00FA14DB" w:rsidP="00FA14DB">
            <w:pPr>
              <w:jc w:val="center"/>
              <w:rPr>
                <w:rFonts w:eastAsia="Times New Roman"/>
                <w:color w:val="000000"/>
                <w:sz w:val="22"/>
              </w:rPr>
            </w:pPr>
            <w:r w:rsidRPr="00C717CC">
              <w:rPr>
                <w:rFonts w:eastAsia="Times New Roman"/>
                <w:color w:val="000000"/>
                <w:sz w:val="22"/>
              </w:rPr>
              <w:t>14</w:t>
            </w:r>
          </w:p>
        </w:tc>
        <w:tc>
          <w:tcPr>
            <w:tcW w:w="1530" w:type="dxa"/>
            <w:tcBorders>
              <w:top w:val="single" w:sz="4" w:space="0" w:color="auto"/>
              <w:left w:val="nil"/>
              <w:bottom w:val="single" w:sz="4" w:space="0" w:color="auto"/>
              <w:right w:val="single" w:sz="4" w:space="0" w:color="auto"/>
            </w:tcBorders>
            <w:shd w:val="clear" w:color="auto" w:fill="auto"/>
            <w:noWrap/>
            <w:vAlign w:val="bottom"/>
          </w:tcPr>
          <w:p w14:paraId="071248C5" w14:textId="42EEC805" w:rsidR="00FA14DB" w:rsidRPr="00C717CC" w:rsidRDefault="008E3D82" w:rsidP="00FA14DB">
            <w:pPr>
              <w:jc w:val="center"/>
              <w:rPr>
                <w:rFonts w:eastAsia="Times New Roman"/>
                <w:color w:val="000000"/>
                <w:sz w:val="22"/>
              </w:rPr>
            </w:pPr>
            <w:r w:rsidRPr="00C717CC">
              <w:rPr>
                <w:rFonts w:eastAsia="Times New Roman"/>
                <w:color w:val="000000"/>
                <w:sz w:val="22"/>
              </w:rPr>
              <w:t>3</w:t>
            </w:r>
          </w:p>
        </w:tc>
      </w:tr>
      <w:tr w:rsidR="00FA14DB" w:rsidRPr="00C717CC" w14:paraId="071248CB" w14:textId="77777777" w:rsidTr="00E42D56">
        <w:trPr>
          <w:trHeight w:val="300"/>
        </w:trPr>
        <w:tc>
          <w:tcPr>
            <w:tcW w:w="3701" w:type="dxa"/>
            <w:tcBorders>
              <w:top w:val="nil"/>
              <w:left w:val="single" w:sz="4" w:space="0" w:color="auto"/>
              <w:bottom w:val="single" w:sz="4" w:space="0" w:color="auto"/>
              <w:right w:val="single" w:sz="4" w:space="0" w:color="auto"/>
            </w:tcBorders>
            <w:shd w:val="clear" w:color="auto" w:fill="auto"/>
            <w:noWrap/>
            <w:vAlign w:val="bottom"/>
          </w:tcPr>
          <w:p w14:paraId="071248C7" w14:textId="77777777" w:rsidR="00FA14DB" w:rsidRPr="00C717CC" w:rsidRDefault="00FA14DB" w:rsidP="00FA14DB">
            <w:pPr>
              <w:rPr>
                <w:rFonts w:eastAsia="Times New Roman"/>
                <w:color w:val="000000"/>
                <w:sz w:val="22"/>
              </w:rPr>
            </w:pPr>
            <w:r w:rsidRPr="00C717CC">
              <w:rPr>
                <w:rFonts w:eastAsia="Times New Roman"/>
                <w:color w:val="000000"/>
                <w:sz w:val="22"/>
              </w:rPr>
              <w:t>Decreased H</w:t>
            </w:r>
            <w:r w:rsidR="00FD0A04" w:rsidRPr="00C717CC">
              <w:rPr>
                <w:rFonts w:eastAsia="Times New Roman"/>
                <w:color w:val="000000"/>
                <w:sz w:val="22"/>
              </w:rPr>
              <w:t>a</w:t>
            </w:r>
            <w:r w:rsidRPr="00C717CC">
              <w:rPr>
                <w:rFonts w:eastAsia="Times New Roman"/>
                <w:color w:val="000000"/>
                <w:sz w:val="22"/>
              </w:rPr>
              <w:t>emoglobin</w:t>
            </w:r>
          </w:p>
        </w:tc>
        <w:tc>
          <w:tcPr>
            <w:tcW w:w="1714" w:type="dxa"/>
            <w:tcBorders>
              <w:top w:val="nil"/>
              <w:left w:val="nil"/>
              <w:bottom w:val="single" w:sz="4" w:space="0" w:color="auto"/>
              <w:right w:val="single" w:sz="4" w:space="0" w:color="auto"/>
            </w:tcBorders>
            <w:shd w:val="clear" w:color="auto" w:fill="auto"/>
            <w:noWrap/>
            <w:vAlign w:val="bottom"/>
          </w:tcPr>
          <w:p w14:paraId="071248C8" w14:textId="5D7C354A" w:rsidR="00FA14DB" w:rsidRPr="00C717CC" w:rsidRDefault="008E3D82" w:rsidP="00FA14DB">
            <w:pPr>
              <w:jc w:val="center"/>
              <w:rPr>
                <w:rFonts w:eastAsia="Times New Roman"/>
                <w:color w:val="000000"/>
                <w:sz w:val="22"/>
              </w:rPr>
            </w:pPr>
            <w:r w:rsidRPr="00C717CC">
              <w:rPr>
                <w:rFonts w:eastAsia="Times New Roman"/>
                <w:color w:val="000000"/>
                <w:sz w:val="22"/>
              </w:rPr>
              <w:t>62</w:t>
            </w:r>
          </w:p>
        </w:tc>
        <w:tc>
          <w:tcPr>
            <w:tcW w:w="1710" w:type="dxa"/>
            <w:tcBorders>
              <w:top w:val="nil"/>
              <w:left w:val="nil"/>
              <w:bottom w:val="single" w:sz="4" w:space="0" w:color="auto"/>
              <w:right w:val="single" w:sz="4" w:space="0" w:color="auto"/>
            </w:tcBorders>
            <w:shd w:val="clear" w:color="auto" w:fill="auto"/>
            <w:noWrap/>
            <w:vAlign w:val="bottom"/>
          </w:tcPr>
          <w:p w14:paraId="071248C9" w14:textId="0115510C" w:rsidR="00FA14DB" w:rsidRPr="00C717CC" w:rsidRDefault="008E3D82" w:rsidP="00FA14DB">
            <w:pPr>
              <w:jc w:val="center"/>
              <w:rPr>
                <w:rFonts w:eastAsia="Times New Roman"/>
                <w:color w:val="000000"/>
                <w:sz w:val="22"/>
              </w:rPr>
            </w:pPr>
            <w:r w:rsidRPr="00C717CC">
              <w:rPr>
                <w:rFonts w:eastAsia="Times New Roman"/>
                <w:color w:val="000000"/>
                <w:sz w:val="22"/>
              </w:rPr>
              <w:t>4</w:t>
            </w:r>
          </w:p>
        </w:tc>
        <w:tc>
          <w:tcPr>
            <w:tcW w:w="1530" w:type="dxa"/>
            <w:tcBorders>
              <w:top w:val="nil"/>
              <w:left w:val="nil"/>
              <w:bottom w:val="single" w:sz="4" w:space="0" w:color="auto"/>
              <w:right w:val="single" w:sz="4" w:space="0" w:color="auto"/>
            </w:tcBorders>
            <w:shd w:val="clear" w:color="auto" w:fill="auto"/>
            <w:noWrap/>
            <w:vAlign w:val="bottom"/>
          </w:tcPr>
          <w:p w14:paraId="071248CA" w14:textId="77777777" w:rsidR="00FA14DB" w:rsidRPr="00C717CC" w:rsidRDefault="00FA14DB" w:rsidP="00FA14DB">
            <w:pPr>
              <w:jc w:val="center"/>
              <w:rPr>
                <w:rFonts w:eastAsia="Times New Roman"/>
                <w:color w:val="000000"/>
                <w:sz w:val="22"/>
              </w:rPr>
            </w:pPr>
            <w:r w:rsidRPr="00C717CC">
              <w:rPr>
                <w:rFonts w:eastAsia="Times New Roman"/>
                <w:color w:val="000000"/>
                <w:sz w:val="22"/>
              </w:rPr>
              <w:t>1</w:t>
            </w:r>
          </w:p>
        </w:tc>
      </w:tr>
      <w:tr w:rsidR="00FA14DB" w:rsidRPr="00C717CC" w14:paraId="071248D0" w14:textId="77777777" w:rsidTr="00E42D56">
        <w:trPr>
          <w:trHeight w:val="300"/>
        </w:trPr>
        <w:tc>
          <w:tcPr>
            <w:tcW w:w="3701" w:type="dxa"/>
            <w:tcBorders>
              <w:top w:val="nil"/>
              <w:left w:val="single" w:sz="4" w:space="0" w:color="auto"/>
              <w:bottom w:val="single" w:sz="4" w:space="0" w:color="auto"/>
              <w:right w:val="single" w:sz="4" w:space="0" w:color="auto"/>
            </w:tcBorders>
            <w:shd w:val="clear" w:color="auto" w:fill="auto"/>
            <w:noWrap/>
            <w:vAlign w:val="bottom"/>
          </w:tcPr>
          <w:p w14:paraId="071248CC" w14:textId="77777777" w:rsidR="00FA14DB" w:rsidRPr="00C717CC" w:rsidRDefault="00FA14DB" w:rsidP="00FA14DB">
            <w:pPr>
              <w:rPr>
                <w:rFonts w:eastAsia="Times New Roman"/>
                <w:color w:val="000000"/>
                <w:sz w:val="22"/>
              </w:rPr>
            </w:pPr>
            <w:r w:rsidRPr="00C717CC">
              <w:rPr>
                <w:rFonts w:eastAsia="Times New Roman"/>
                <w:color w:val="000000"/>
                <w:sz w:val="22"/>
              </w:rPr>
              <w:t>Decreased Neutrophils</w:t>
            </w:r>
          </w:p>
        </w:tc>
        <w:tc>
          <w:tcPr>
            <w:tcW w:w="1714" w:type="dxa"/>
            <w:tcBorders>
              <w:top w:val="nil"/>
              <w:left w:val="nil"/>
              <w:bottom w:val="single" w:sz="4" w:space="0" w:color="auto"/>
              <w:right w:val="single" w:sz="4" w:space="0" w:color="auto"/>
            </w:tcBorders>
            <w:shd w:val="clear" w:color="auto" w:fill="auto"/>
            <w:noWrap/>
            <w:vAlign w:val="bottom"/>
          </w:tcPr>
          <w:p w14:paraId="071248CD" w14:textId="29D2E1D3" w:rsidR="00FA14DB" w:rsidRPr="00C717CC" w:rsidRDefault="008E3D82" w:rsidP="00FA14DB">
            <w:pPr>
              <w:jc w:val="center"/>
              <w:rPr>
                <w:rFonts w:eastAsia="Times New Roman"/>
                <w:color w:val="000000"/>
                <w:sz w:val="22"/>
              </w:rPr>
            </w:pPr>
            <w:r w:rsidRPr="00C717CC">
              <w:rPr>
                <w:rFonts w:eastAsia="Times New Roman"/>
                <w:color w:val="000000"/>
                <w:sz w:val="22"/>
              </w:rPr>
              <w:t>39</w:t>
            </w:r>
          </w:p>
        </w:tc>
        <w:tc>
          <w:tcPr>
            <w:tcW w:w="1710" w:type="dxa"/>
            <w:tcBorders>
              <w:top w:val="nil"/>
              <w:left w:val="nil"/>
              <w:bottom w:val="single" w:sz="4" w:space="0" w:color="auto"/>
              <w:right w:val="single" w:sz="4" w:space="0" w:color="auto"/>
            </w:tcBorders>
            <w:shd w:val="clear" w:color="auto" w:fill="auto"/>
            <w:noWrap/>
            <w:vAlign w:val="bottom"/>
          </w:tcPr>
          <w:p w14:paraId="071248CE" w14:textId="1A2E126E" w:rsidR="00FA14DB" w:rsidRPr="00C717CC" w:rsidRDefault="008E3D82" w:rsidP="00FA14DB">
            <w:pPr>
              <w:jc w:val="center"/>
              <w:rPr>
                <w:rFonts w:eastAsia="Times New Roman"/>
                <w:color w:val="000000"/>
                <w:sz w:val="22"/>
              </w:rPr>
            </w:pPr>
            <w:r w:rsidRPr="00C717CC">
              <w:rPr>
                <w:rFonts w:eastAsia="Times New Roman"/>
                <w:color w:val="000000"/>
                <w:sz w:val="22"/>
              </w:rPr>
              <w:t>4</w:t>
            </w:r>
          </w:p>
        </w:tc>
        <w:tc>
          <w:tcPr>
            <w:tcW w:w="1530" w:type="dxa"/>
            <w:tcBorders>
              <w:top w:val="nil"/>
              <w:left w:val="nil"/>
              <w:bottom w:val="single" w:sz="4" w:space="0" w:color="auto"/>
              <w:right w:val="single" w:sz="4" w:space="0" w:color="auto"/>
            </w:tcBorders>
            <w:shd w:val="clear" w:color="auto" w:fill="auto"/>
            <w:noWrap/>
            <w:vAlign w:val="bottom"/>
          </w:tcPr>
          <w:p w14:paraId="071248CF" w14:textId="77777777" w:rsidR="00FA14DB" w:rsidRPr="00C717CC" w:rsidRDefault="00FA14DB" w:rsidP="00FA14DB">
            <w:pPr>
              <w:jc w:val="center"/>
              <w:rPr>
                <w:rFonts w:eastAsia="Times New Roman"/>
                <w:color w:val="000000"/>
                <w:sz w:val="22"/>
              </w:rPr>
            </w:pPr>
            <w:r w:rsidRPr="00C717CC">
              <w:rPr>
                <w:rFonts w:eastAsia="Times New Roman"/>
                <w:color w:val="000000"/>
                <w:sz w:val="22"/>
              </w:rPr>
              <w:t>&lt;1</w:t>
            </w:r>
          </w:p>
        </w:tc>
      </w:tr>
      <w:tr w:rsidR="00FA14DB" w:rsidRPr="00C717CC" w14:paraId="071248D2" w14:textId="77777777" w:rsidTr="009C6592">
        <w:trPr>
          <w:trHeight w:val="300"/>
        </w:trPr>
        <w:tc>
          <w:tcPr>
            <w:tcW w:w="865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071248D1" w14:textId="77777777" w:rsidR="00FA14DB" w:rsidRPr="00C717CC" w:rsidRDefault="00FA14DB" w:rsidP="00E42D56">
            <w:pPr>
              <w:spacing w:after="120"/>
              <w:rPr>
                <w:rFonts w:eastAsia="Times New Roman"/>
                <w:b/>
                <w:color w:val="000000"/>
                <w:sz w:val="22"/>
              </w:rPr>
            </w:pPr>
            <w:r w:rsidRPr="00C717CC">
              <w:rPr>
                <w:rFonts w:eastAsia="Times New Roman"/>
                <w:b/>
                <w:color w:val="000000"/>
                <w:sz w:val="22"/>
              </w:rPr>
              <w:t>Potassium</w:t>
            </w:r>
          </w:p>
        </w:tc>
      </w:tr>
      <w:tr w:rsidR="00FA14DB" w:rsidRPr="00C717CC" w14:paraId="071248D7" w14:textId="77777777" w:rsidTr="00E42D56">
        <w:trPr>
          <w:trHeight w:val="300"/>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1248D3" w14:textId="77777777" w:rsidR="00FA14DB" w:rsidRPr="00C717CC" w:rsidRDefault="00FA14DB" w:rsidP="00FA14DB">
            <w:pPr>
              <w:rPr>
                <w:rFonts w:eastAsia="Times New Roman"/>
                <w:color w:val="000000"/>
                <w:sz w:val="22"/>
              </w:rPr>
            </w:pPr>
            <w:r w:rsidRPr="00C717CC">
              <w:rPr>
                <w:rFonts w:eastAsia="Times New Roman"/>
                <w:color w:val="000000"/>
                <w:sz w:val="22"/>
              </w:rPr>
              <w:t>Decreased Potassium</w:t>
            </w:r>
          </w:p>
        </w:tc>
        <w:tc>
          <w:tcPr>
            <w:tcW w:w="1714" w:type="dxa"/>
            <w:tcBorders>
              <w:top w:val="single" w:sz="4" w:space="0" w:color="auto"/>
              <w:left w:val="nil"/>
              <w:bottom w:val="single" w:sz="4" w:space="0" w:color="auto"/>
              <w:right w:val="single" w:sz="4" w:space="0" w:color="auto"/>
            </w:tcBorders>
            <w:shd w:val="clear" w:color="auto" w:fill="auto"/>
            <w:noWrap/>
            <w:vAlign w:val="bottom"/>
          </w:tcPr>
          <w:p w14:paraId="071248D4" w14:textId="7485BC78" w:rsidR="00FA14DB" w:rsidRPr="00C717CC" w:rsidRDefault="008E3D82" w:rsidP="00FA14DB">
            <w:pPr>
              <w:jc w:val="center"/>
              <w:rPr>
                <w:rFonts w:eastAsia="Times New Roman"/>
                <w:color w:val="000000"/>
                <w:sz w:val="22"/>
              </w:rPr>
            </w:pPr>
            <w:r w:rsidRPr="00C717CC">
              <w:rPr>
                <w:rFonts w:eastAsia="Times New Roman"/>
                <w:color w:val="000000"/>
                <w:sz w:val="22"/>
              </w:rPr>
              <w:t>34</w:t>
            </w:r>
          </w:p>
        </w:tc>
        <w:tc>
          <w:tcPr>
            <w:tcW w:w="1710" w:type="dxa"/>
            <w:tcBorders>
              <w:top w:val="single" w:sz="4" w:space="0" w:color="auto"/>
              <w:left w:val="nil"/>
              <w:bottom w:val="single" w:sz="4" w:space="0" w:color="auto"/>
              <w:right w:val="single" w:sz="4" w:space="0" w:color="auto"/>
            </w:tcBorders>
            <w:shd w:val="clear" w:color="auto" w:fill="auto"/>
            <w:noWrap/>
            <w:vAlign w:val="bottom"/>
          </w:tcPr>
          <w:p w14:paraId="071248D5" w14:textId="77777777" w:rsidR="00FA14DB" w:rsidRPr="00C717CC" w:rsidRDefault="00FA14DB" w:rsidP="00FA14DB">
            <w:pPr>
              <w:jc w:val="center"/>
              <w:rPr>
                <w:rFonts w:eastAsia="Times New Roman"/>
                <w:color w:val="000000"/>
                <w:sz w:val="22"/>
              </w:rPr>
            </w:pPr>
            <w:r w:rsidRPr="00C717CC">
              <w:rPr>
                <w:rFonts w:eastAsia="Times New Roman"/>
                <w:color w:val="000000"/>
                <w:sz w:val="22"/>
              </w:rPr>
              <w:t>3</w:t>
            </w:r>
          </w:p>
        </w:tc>
        <w:tc>
          <w:tcPr>
            <w:tcW w:w="1530" w:type="dxa"/>
            <w:tcBorders>
              <w:top w:val="single" w:sz="4" w:space="0" w:color="auto"/>
              <w:left w:val="nil"/>
              <w:bottom w:val="single" w:sz="4" w:space="0" w:color="auto"/>
              <w:right w:val="single" w:sz="4" w:space="0" w:color="auto"/>
            </w:tcBorders>
            <w:shd w:val="clear" w:color="auto" w:fill="auto"/>
            <w:noWrap/>
            <w:vAlign w:val="bottom"/>
          </w:tcPr>
          <w:p w14:paraId="071248D6" w14:textId="499C3A1F" w:rsidR="00FA14DB" w:rsidRPr="00C717CC" w:rsidRDefault="008E3D82" w:rsidP="00FA14DB">
            <w:pPr>
              <w:jc w:val="center"/>
              <w:rPr>
                <w:rFonts w:eastAsia="Times New Roman"/>
                <w:color w:val="000000"/>
                <w:sz w:val="22"/>
              </w:rPr>
            </w:pPr>
            <w:r w:rsidRPr="00C717CC">
              <w:rPr>
                <w:rFonts w:eastAsia="Times New Roman"/>
                <w:color w:val="000000"/>
                <w:sz w:val="22"/>
              </w:rPr>
              <w:t>&lt;1</w:t>
            </w:r>
          </w:p>
        </w:tc>
      </w:tr>
    </w:tbl>
    <w:p w14:paraId="071248D8" w14:textId="77777777" w:rsidR="00FE2F4D" w:rsidRPr="00BC48D8" w:rsidRDefault="00FE2F4D" w:rsidP="00FE2F4D">
      <w:pPr>
        <w:pStyle w:val="Heading2"/>
      </w:pPr>
      <w:r w:rsidRPr="00BC48D8">
        <w:t>Immunogenicity</w:t>
      </w:r>
    </w:p>
    <w:p w14:paraId="071248DA" w14:textId="097BD038" w:rsidR="00FE2F4D" w:rsidRPr="00BC48D8" w:rsidRDefault="00FE2F4D" w:rsidP="009C52F4">
      <w:pPr>
        <w:pStyle w:val="TextTi12"/>
        <w:spacing w:line="240" w:lineRule="auto"/>
      </w:pPr>
      <w:r w:rsidRPr="00BC48D8">
        <w:t>As with all therapeutic proteins, there is the potential for an immune response to KADCYLA</w:t>
      </w:r>
      <w:r w:rsidR="00C338A1" w:rsidRPr="00BC48D8">
        <w:t xml:space="preserve">. </w:t>
      </w:r>
      <w:r w:rsidRPr="00BC48D8">
        <w:t>A</w:t>
      </w:r>
      <w:r w:rsidR="00C338A1" w:rsidRPr="00BC48D8">
        <w:t>mong</w:t>
      </w:r>
      <w:r w:rsidRPr="00BC48D8">
        <w:t xml:space="preserve"> 836 patients from 6 clinical studies</w:t>
      </w:r>
      <w:r w:rsidR="00B03B0D" w:rsidRPr="00BC48D8">
        <w:t xml:space="preserve"> </w:t>
      </w:r>
      <w:r w:rsidRPr="00BC48D8">
        <w:t>tested at multiple time points for anti-therapeutic antibody (ATA) responses to KADCYLA</w:t>
      </w:r>
      <w:r w:rsidR="00C338A1" w:rsidRPr="00BC48D8">
        <w:t>, 44 patients</w:t>
      </w:r>
      <w:r w:rsidR="00B03B0D" w:rsidRPr="00BC48D8">
        <w:t xml:space="preserve"> </w:t>
      </w:r>
      <w:r w:rsidR="00C338A1" w:rsidRPr="00BC48D8">
        <w:t>(</w:t>
      </w:r>
      <w:r w:rsidRPr="00BC48D8">
        <w:t>5.3%</w:t>
      </w:r>
      <w:r w:rsidR="00C338A1" w:rsidRPr="00BC48D8">
        <w:t>)</w:t>
      </w:r>
      <w:r w:rsidRPr="00BC48D8">
        <w:t xml:space="preserve"> tested positive for anti</w:t>
      </w:r>
      <w:r w:rsidR="00B03B0D" w:rsidRPr="00BC48D8">
        <w:t xml:space="preserve">bodies to </w:t>
      </w:r>
      <w:r w:rsidRPr="00BC48D8">
        <w:t>KADCYLA at one or more post-dose time points</w:t>
      </w:r>
      <w:r w:rsidR="00C338A1" w:rsidRPr="00BC48D8">
        <w:t>; 28 of these patients had negative baseline samples.</w:t>
      </w:r>
      <w:r w:rsidRPr="00BC48D8">
        <w:t xml:space="preserve"> </w:t>
      </w:r>
      <w:r w:rsidR="00CE793A" w:rsidRPr="00BC48D8">
        <w:t xml:space="preserve">The </w:t>
      </w:r>
      <w:r w:rsidR="000F1184" w:rsidRPr="00BC48D8">
        <w:t>clinical significance</w:t>
      </w:r>
      <w:r w:rsidR="00CE793A" w:rsidRPr="00BC48D8">
        <w:rPr>
          <w:lang w:val="en-AU"/>
        </w:rPr>
        <w:t xml:space="preserve"> of antibodies </w:t>
      </w:r>
      <w:r w:rsidR="00B03B0D" w:rsidRPr="00BC48D8">
        <w:rPr>
          <w:lang w:val="en-AU"/>
        </w:rPr>
        <w:t xml:space="preserve">to KADCYLA </w:t>
      </w:r>
      <w:r w:rsidR="00CE793A" w:rsidRPr="00BC48D8">
        <w:rPr>
          <w:lang w:val="en-AU"/>
        </w:rPr>
        <w:t>is not yet known.</w:t>
      </w:r>
    </w:p>
    <w:p w14:paraId="071248DB" w14:textId="357E3394" w:rsidR="00FE2F4D" w:rsidRDefault="00FE2F4D" w:rsidP="00153597">
      <w:pPr>
        <w:pStyle w:val="TextTi12"/>
        <w:spacing w:line="240" w:lineRule="auto"/>
      </w:pPr>
      <w:r w:rsidRPr="00BC48D8">
        <w:t xml:space="preserve">Immunogenicity </w:t>
      </w:r>
      <w:r w:rsidR="00C338A1" w:rsidRPr="00BC48D8">
        <w:t xml:space="preserve">assay results </w:t>
      </w:r>
      <w:r w:rsidRPr="00BC48D8">
        <w:t xml:space="preserve">are highly dependent on </w:t>
      </w:r>
      <w:r w:rsidR="00C338A1" w:rsidRPr="00BC48D8">
        <w:rPr>
          <w:lang w:val="en-AU"/>
        </w:rPr>
        <w:t xml:space="preserve">several factors including </w:t>
      </w:r>
      <w:r w:rsidR="00C338A1" w:rsidRPr="00BC48D8">
        <w:t>assay</w:t>
      </w:r>
      <w:r w:rsidRPr="00BC48D8">
        <w:t xml:space="preserve"> sensitivity and specificity</w:t>
      </w:r>
      <w:r w:rsidR="00C338A1" w:rsidRPr="00BC48D8">
        <w:t xml:space="preserve">, assay methodology, </w:t>
      </w:r>
      <w:r w:rsidRPr="00BC48D8">
        <w:t>sample handling, timing of sample collection, drug interference, concomitant medication</w:t>
      </w:r>
      <w:r w:rsidR="00C338A1" w:rsidRPr="00BC48D8">
        <w:t>s</w:t>
      </w:r>
      <w:r w:rsidRPr="00BC48D8">
        <w:t xml:space="preserve"> and underlying disease.  For these reasons, comparison of the incidence of antibodies to KADCYLA with the incidence of antibodies to other products may be misleading.</w:t>
      </w:r>
    </w:p>
    <w:p w14:paraId="4FEFC059" w14:textId="77777777" w:rsidR="007F5A9B" w:rsidRDefault="00D844B2" w:rsidP="007F5A9B">
      <w:pPr>
        <w:pStyle w:val="Heading1"/>
        <w:rPr>
          <w:rFonts w:hint="eastAsia"/>
        </w:rPr>
      </w:pPr>
      <w:r w:rsidRPr="00C633CA">
        <w:t>Dosage and administration</w:t>
      </w:r>
    </w:p>
    <w:p w14:paraId="071248DE" w14:textId="3BB2EF46" w:rsidR="005666A7" w:rsidRPr="000828D3" w:rsidRDefault="005666A7" w:rsidP="007B37E8">
      <w:pPr>
        <w:pStyle w:val="TextTi12"/>
        <w:spacing w:before="120"/>
      </w:pPr>
      <w:r>
        <w:t>KADCYLA</w:t>
      </w:r>
      <w:r w:rsidRPr="000828D3">
        <w:t xml:space="preserve"> therapy should only be administered under the supervision of a healthcare professional experienced in the treatment of cancer patients.</w:t>
      </w:r>
    </w:p>
    <w:p w14:paraId="071248DF" w14:textId="0ED9B581" w:rsidR="001D47A8" w:rsidRPr="007B37E8" w:rsidRDefault="001D47A8" w:rsidP="001D47A8">
      <w:pPr>
        <w:pStyle w:val="TextTi12"/>
        <w:rPr>
          <w:b/>
        </w:rPr>
      </w:pPr>
      <w:r w:rsidRPr="007B37E8">
        <w:rPr>
          <w:b/>
          <w:bCs/>
        </w:rPr>
        <w:t xml:space="preserve">In order to prevent medication errors it is important to check the vial labels to ensure the medicine being prepared and administered is KADCYLA (trastuzumab </w:t>
      </w:r>
      <w:proofErr w:type="spellStart"/>
      <w:r w:rsidRPr="007B37E8">
        <w:rPr>
          <w:b/>
          <w:bCs/>
        </w:rPr>
        <w:t>emtansine</w:t>
      </w:r>
      <w:proofErr w:type="spellEnd"/>
      <w:r w:rsidRPr="007B37E8">
        <w:rPr>
          <w:b/>
          <w:bCs/>
        </w:rPr>
        <w:t xml:space="preserve">) and not </w:t>
      </w:r>
      <w:proofErr w:type="spellStart"/>
      <w:r w:rsidRPr="007B37E8">
        <w:rPr>
          <w:b/>
          <w:bCs/>
        </w:rPr>
        <w:t>trastuzumab</w:t>
      </w:r>
      <w:proofErr w:type="spellEnd"/>
      <w:r w:rsidR="00C55A00" w:rsidRPr="007B37E8">
        <w:rPr>
          <w:b/>
          <w:bCs/>
        </w:rPr>
        <w:t xml:space="preserve"> (HERCEPTIN</w:t>
      </w:r>
      <w:r w:rsidRPr="007B37E8">
        <w:rPr>
          <w:b/>
          <w:bCs/>
        </w:rPr>
        <w:t>).</w:t>
      </w:r>
    </w:p>
    <w:p w14:paraId="27D338F3" w14:textId="22CFD4A8" w:rsidR="00A72440" w:rsidRPr="000828D3" w:rsidRDefault="001D47A8" w:rsidP="001D47A8">
      <w:pPr>
        <w:pStyle w:val="TextTi12"/>
        <w:rPr>
          <w:bCs/>
        </w:rPr>
      </w:pPr>
      <w:r w:rsidRPr="000828D3">
        <w:t>In order to improve traceability of biological medicinal products, the trade</w:t>
      </w:r>
      <w:r w:rsidR="00BE1702">
        <w:t xml:space="preserve"> </w:t>
      </w:r>
      <w:r w:rsidRPr="000828D3">
        <w:t xml:space="preserve">name of the administered product should be clearly recorded in the patient </w:t>
      </w:r>
      <w:r w:rsidR="00CA669B">
        <w:t>medical record</w:t>
      </w:r>
      <w:r w:rsidRPr="000828D3">
        <w:t>.</w:t>
      </w:r>
      <w:r w:rsidR="00BE1702">
        <w:t xml:space="preserve"> </w:t>
      </w:r>
      <w:r w:rsidRPr="000828D3">
        <w:t>Substitution by any other biological medicinal product requires the consent of the prescribing physician.</w:t>
      </w:r>
    </w:p>
    <w:p w14:paraId="071248E2" w14:textId="2CCE8DFE" w:rsidR="00372F33" w:rsidRDefault="001D47A8" w:rsidP="001D47A8">
      <w:pPr>
        <w:pStyle w:val="TextTi12"/>
      </w:pPr>
      <w:r>
        <w:t>KADCYLA</w:t>
      </w:r>
      <w:r w:rsidRPr="000828D3">
        <w:t xml:space="preserve"> must be reconstituted and diluted by a healthcare professional and administrated as an </w:t>
      </w:r>
      <w:r>
        <w:t>IV</w:t>
      </w:r>
      <w:r w:rsidRPr="000828D3">
        <w:t xml:space="preserve"> infusion</w:t>
      </w:r>
      <w:r w:rsidRPr="000828D3">
        <w:rPr>
          <w:i/>
        </w:rPr>
        <w:t xml:space="preserve">. </w:t>
      </w:r>
      <w:r w:rsidRPr="000828D3">
        <w:t xml:space="preserve">Do not administer as an </w:t>
      </w:r>
      <w:r>
        <w:t>IV</w:t>
      </w:r>
      <w:r w:rsidRPr="000828D3">
        <w:t xml:space="preserve"> push or bolus.</w:t>
      </w:r>
    </w:p>
    <w:p w14:paraId="08C48C2E" w14:textId="0FE42135" w:rsidR="00A72440" w:rsidRDefault="00A72440" w:rsidP="001D47A8">
      <w:pPr>
        <w:pStyle w:val="TextTi12"/>
      </w:pPr>
      <w:r w:rsidRPr="000828D3">
        <w:t xml:space="preserve">Patients treated with </w:t>
      </w:r>
      <w:r>
        <w:t>KADCYLA</w:t>
      </w:r>
      <w:r w:rsidRPr="000828D3">
        <w:t xml:space="preserve"> should have HER2 positive tumo</w:t>
      </w:r>
      <w:r>
        <w:t>u</w:t>
      </w:r>
      <w:r w:rsidRPr="000828D3">
        <w:t xml:space="preserve">r status, defined as a score of 3+ by immunohistochemistry (IHC) or a ratio of </w:t>
      </w:r>
      <w:r>
        <w:t>≥</w:t>
      </w:r>
      <w:r w:rsidRPr="000828D3">
        <w:t xml:space="preserve"> 2.0 by in situ hybridization (ISH) assessed by a validated test.</w:t>
      </w:r>
    </w:p>
    <w:p w14:paraId="071248E3" w14:textId="47BC7B94" w:rsidR="00392A4B" w:rsidRPr="00F95AAE" w:rsidRDefault="00392A4B" w:rsidP="00392A4B">
      <w:pPr>
        <w:pStyle w:val="Heading2"/>
      </w:pPr>
      <w:r>
        <w:lastRenderedPageBreak/>
        <w:t>Dosage</w:t>
      </w:r>
    </w:p>
    <w:p w14:paraId="071248E4" w14:textId="5114DC85" w:rsidR="00C633CA" w:rsidRDefault="00C633CA" w:rsidP="00C633CA">
      <w:pPr>
        <w:pStyle w:val="TextTi12"/>
        <w:spacing w:after="120" w:line="240" w:lineRule="auto"/>
      </w:pPr>
      <w:r w:rsidRPr="00C633CA">
        <w:t xml:space="preserve">The recommended dose of </w:t>
      </w:r>
      <w:r w:rsidR="007C3F9E">
        <w:t>KADCYLA</w:t>
      </w:r>
      <w:r w:rsidRPr="00C633CA">
        <w:t xml:space="preserve"> is 3.6 mg/kg, administered as an IV infusion every 3 weeks until disease progression or unacceptable toxicity.</w:t>
      </w:r>
    </w:p>
    <w:p w14:paraId="6D12AA2F" w14:textId="77777777" w:rsidR="007B196D" w:rsidRDefault="005C05F3" w:rsidP="007B196D">
      <w:pPr>
        <w:pStyle w:val="TextTi12"/>
        <w:rPr>
          <w:szCs w:val="16"/>
        </w:rPr>
      </w:pPr>
      <w:r w:rsidRPr="000828D3">
        <w:t>Administer the initial dose as a 90</w:t>
      </w:r>
      <w:r>
        <w:t xml:space="preserve"> min</w:t>
      </w:r>
      <w:r w:rsidRPr="000828D3">
        <w:t xml:space="preserve"> </w:t>
      </w:r>
      <w:r>
        <w:t>IV</w:t>
      </w:r>
      <w:r w:rsidRPr="000828D3">
        <w:t xml:space="preserve"> infusion. Patients should be observed during the infusion and for at least 90 min following the initial dose for fever, chills, or other infusion related reactions. </w:t>
      </w:r>
      <w:r w:rsidRPr="000828D3">
        <w:rPr>
          <w:szCs w:val="16"/>
        </w:rPr>
        <w:t xml:space="preserve">The infusion site should be closely monitored for possible subcutaneous infiltration during </w:t>
      </w:r>
      <w:r>
        <w:rPr>
          <w:szCs w:val="16"/>
        </w:rPr>
        <w:t>KADCYLA</w:t>
      </w:r>
      <w:r w:rsidRPr="000828D3">
        <w:rPr>
          <w:szCs w:val="16"/>
        </w:rPr>
        <w:t xml:space="preserve"> administration </w:t>
      </w:r>
      <w:r w:rsidRPr="000828D3">
        <w:t>(</w:t>
      </w:r>
      <w:r w:rsidRPr="000828D3">
        <w:rPr>
          <w:i/>
        </w:rPr>
        <w:t>see Precautions</w:t>
      </w:r>
      <w:r w:rsidR="00671FD3">
        <w:rPr>
          <w:i/>
        </w:rPr>
        <w:t>;</w:t>
      </w:r>
      <w:r w:rsidRPr="000828D3">
        <w:rPr>
          <w:i/>
        </w:rPr>
        <w:t xml:space="preserve"> Extravasation)</w:t>
      </w:r>
      <w:r w:rsidRPr="000828D3">
        <w:rPr>
          <w:szCs w:val="16"/>
        </w:rPr>
        <w:t>.</w:t>
      </w:r>
    </w:p>
    <w:p w14:paraId="320F16FB" w14:textId="0017CFE7" w:rsidR="007B196D" w:rsidRDefault="00C633CA" w:rsidP="007B196D">
      <w:pPr>
        <w:pStyle w:val="TextTi12"/>
      </w:pPr>
      <w:r w:rsidRPr="00C633CA">
        <w:t xml:space="preserve">If prior infusions were well tolerated, subsequent doses of </w:t>
      </w:r>
      <w:r w:rsidR="007C3F9E">
        <w:rPr>
          <w:rFonts w:eastAsia="PMingLiU"/>
          <w:lang w:val="en-AU" w:eastAsia="zh-TW"/>
        </w:rPr>
        <w:t>KADCYLA</w:t>
      </w:r>
      <w:r w:rsidRPr="00C633CA">
        <w:t xml:space="preserve"> may be administered as </w:t>
      </w:r>
      <w:r w:rsidR="00D0753B">
        <w:t xml:space="preserve">a </w:t>
      </w:r>
      <w:r w:rsidRPr="00C633CA">
        <w:t>30 min infusion</w:t>
      </w:r>
      <w:r w:rsidR="005C05F3">
        <w:t xml:space="preserve"> </w:t>
      </w:r>
      <w:r w:rsidR="005C05F3" w:rsidRPr="000828D3">
        <w:t xml:space="preserve">and patients should be observed during the infusions and for at least 30 </w:t>
      </w:r>
      <w:r w:rsidR="005C05F3">
        <w:t>min</w:t>
      </w:r>
      <w:r w:rsidR="005C05F3" w:rsidRPr="000828D3">
        <w:t xml:space="preserve"> after</w:t>
      </w:r>
      <w:r w:rsidR="005C05F3">
        <w:t xml:space="preserve"> the</w:t>
      </w:r>
      <w:r w:rsidR="005C05F3" w:rsidRPr="000828D3">
        <w:t xml:space="preserve"> infusion.</w:t>
      </w:r>
      <w:r w:rsidR="007B196D">
        <w:t xml:space="preserve"> </w:t>
      </w:r>
      <w:r w:rsidR="005C05F3" w:rsidRPr="000828D3">
        <w:rPr>
          <w:rFonts w:eastAsia="MS Mincho"/>
        </w:rPr>
        <w:t xml:space="preserve">The </w:t>
      </w:r>
      <w:r w:rsidR="005C05F3" w:rsidRPr="007B196D">
        <w:rPr>
          <w:rFonts w:eastAsia="MS Mincho"/>
        </w:rPr>
        <w:t xml:space="preserve">infusion rate of </w:t>
      </w:r>
      <w:r w:rsidR="005C05F3" w:rsidRPr="007B196D">
        <w:t>KADCYLA</w:t>
      </w:r>
      <w:r w:rsidR="001253B4" w:rsidRPr="007B196D">
        <w:t xml:space="preserve"> </w:t>
      </w:r>
      <w:r w:rsidR="005C05F3" w:rsidRPr="007B196D">
        <w:rPr>
          <w:rFonts w:eastAsia="MS Mincho"/>
        </w:rPr>
        <w:t>should be slowed or interrupted if the patient develops infusion-related symptoms</w:t>
      </w:r>
      <w:r w:rsidR="005C05F3" w:rsidRPr="007B196D">
        <w:t xml:space="preserve"> (see Precautions</w:t>
      </w:r>
      <w:r w:rsidR="00671FD3" w:rsidRPr="007B196D">
        <w:t>; Infusion Reactions, Hypersensitivity</w:t>
      </w:r>
      <w:r w:rsidR="005C05F3" w:rsidRPr="007B196D">
        <w:t>)</w:t>
      </w:r>
      <w:r w:rsidR="005C05F3" w:rsidRPr="007B196D">
        <w:rPr>
          <w:rFonts w:eastAsia="MS Mincho"/>
        </w:rPr>
        <w:t xml:space="preserve">. </w:t>
      </w:r>
      <w:r w:rsidR="005C05F3" w:rsidRPr="007B196D">
        <w:t xml:space="preserve">Discontinue </w:t>
      </w:r>
      <w:r w:rsidR="001253B4" w:rsidRPr="007B196D">
        <w:t>KADCYLA</w:t>
      </w:r>
      <w:r w:rsidR="005C05F3" w:rsidRPr="000828D3">
        <w:t xml:space="preserve"> for lif</w:t>
      </w:r>
      <w:r w:rsidR="001253B4">
        <w:t>e</w:t>
      </w:r>
      <w:r w:rsidR="001253B4">
        <w:noBreakHyphen/>
        <w:t>threatening infusion reactions.</w:t>
      </w:r>
    </w:p>
    <w:p w14:paraId="071248E9" w14:textId="77777777" w:rsidR="00F95AAE" w:rsidRPr="00F95AAE" w:rsidRDefault="00F95AAE" w:rsidP="00451567">
      <w:pPr>
        <w:pStyle w:val="Heading2"/>
      </w:pPr>
      <w:r w:rsidRPr="00F95AAE">
        <w:t>Missed dose</w:t>
      </w:r>
    </w:p>
    <w:p w14:paraId="41246E51" w14:textId="285CBF2C" w:rsidR="007B196D" w:rsidRPr="007B196D" w:rsidRDefault="00D35FC1" w:rsidP="007B196D">
      <w:pPr>
        <w:spacing w:after="170"/>
        <w:rPr>
          <w:rFonts w:eastAsia="MS Mincho"/>
        </w:rPr>
      </w:pPr>
      <w:r w:rsidRPr="000828D3">
        <w:rPr>
          <w:rFonts w:eastAsia="MS Mincho"/>
        </w:rPr>
        <w:t>If a planned dose is missed, it should be administered as soon as possible; do not wait until the next planned cycle. The schedule of administration should be adjusted to maintain a 3-week interval between doses. The infusion may be administered at the rate the patient tolerated the most recent infusion</w:t>
      </w:r>
      <w:r w:rsidR="008F2B60">
        <w:rPr>
          <w:rFonts w:eastAsia="MS Mincho"/>
        </w:rPr>
        <w:t>.</w:t>
      </w:r>
    </w:p>
    <w:p w14:paraId="071248EC" w14:textId="77777777" w:rsidR="00F95AAE" w:rsidRPr="00F95AAE" w:rsidRDefault="00F95AAE" w:rsidP="00451567">
      <w:pPr>
        <w:pStyle w:val="Heading2"/>
      </w:pPr>
      <w:r w:rsidRPr="00F95AAE">
        <w:t>Dose modifications</w:t>
      </w:r>
    </w:p>
    <w:p w14:paraId="071248ED" w14:textId="77777777" w:rsidR="008F2B60" w:rsidRPr="000828D3" w:rsidRDefault="008F2B60" w:rsidP="008F2B60">
      <w:pPr>
        <w:pStyle w:val="TextTi12"/>
      </w:pPr>
      <w:r w:rsidRPr="000828D3">
        <w:t xml:space="preserve">Management of symptomatic adverse events may require temporary interruption, dose reduction, or treatment discontinuation of </w:t>
      </w:r>
      <w:r>
        <w:t>KADCYLA</w:t>
      </w:r>
      <w:r w:rsidRPr="000828D3">
        <w:t xml:space="preserve"> as per guidelines provided </w:t>
      </w:r>
      <w:r>
        <w:t xml:space="preserve">below </w:t>
      </w:r>
      <w:r w:rsidRPr="000828D3">
        <w:t xml:space="preserve">in Tables </w:t>
      </w:r>
      <w:r w:rsidR="002D5D47">
        <w:t>4</w:t>
      </w:r>
      <w:r w:rsidRPr="000828D3">
        <w:t>-</w:t>
      </w:r>
      <w:r w:rsidR="002D5D47">
        <w:t>8</w:t>
      </w:r>
      <w:r w:rsidRPr="000828D3">
        <w:t>.</w:t>
      </w:r>
    </w:p>
    <w:p w14:paraId="071248F0" w14:textId="590DFB59" w:rsidR="00341D2A" w:rsidRDefault="007C3F9E" w:rsidP="00C717CC">
      <w:pPr>
        <w:pStyle w:val="TextTi12"/>
        <w:spacing w:line="240" w:lineRule="auto"/>
      </w:pPr>
      <w:r>
        <w:rPr>
          <w:rFonts w:eastAsia="PMingLiU"/>
          <w:szCs w:val="22"/>
          <w:lang w:val="en-AU" w:eastAsia="zh-TW"/>
        </w:rPr>
        <w:t>KADCYLA</w:t>
      </w:r>
      <w:r w:rsidR="00D018C7" w:rsidRPr="00C633CA">
        <w:rPr>
          <w:rFonts w:eastAsia="PMingLiU"/>
          <w:szCs w:val="22"/>
          <w:lang w:val="en-AU" w:eastAsia="zh-TW"/>
        </w:rPr>
        <w:t xml:space="preserve"> </w:t>
      </w:r>
      <w:r w:rsidR="00D018C7" w:rsidRPr="00C430E2">
        <w:t>dose should not be re-escalated after a dose reduction is made.</w:t>
      </w:r>
    </w:p>
    <w:p w14:paraId="071248F1" w14:textId="77777777" w:rsidR="00F95AAE" w:rsidRPr="00382549" w:rsidRDefault="00282C00" w:rsidP="00EB59E2">
      <w:pPr>
        <w:pStyle w:val="TableTitle"/>
        <w:spacing w:before="0" w:after="120" w:line="240" w:lineRule="auto"/>
        <w:ind w:left="1077" w:hanging="1077"/>
        <w:rPr>
          <w:rFonts w:ascii="Times New Roman" w:hAnsi="Times New Roman"/>
        </w:rPr>
      </w:pPr>
      <w:r w:rsidRPr="00282C00">
        <w:rPr>
          <w:rFonts w:ascii="Times New Roman" w:hAnsi="Times New Roman"/>
          <w:lang w:eastAsia="en-US"/>
        </w:rPr>
        <w:t>Table </w:t>
      </w:r>
      <w:r w:rsidRPr="00282C00">
        <w:rPr>
          <w:rFonts w:ascii="Times New Roman" w:hAnsi="Times New Roman"/>
          <w:lang w:eastAsia="en-US"/>
        </w:rPr>
        <w:fldChar w:fldCharType="begin"/>
      </w:r>
      <w:r w:rsidRPr="00282C00">
        <w:rPr>
          <w:rFonts w:ascii="Times New Roman" w:hAnsi="Times New Roman"/>
          <w:lang w:eastAsia="en-US"/>
        </w:rPr>
        <w:instrText xml:space="preserve"> SEQ Table \* ARABIC </w:instrText>
      </w:r>
      <w:r w:rsidRPr="00282C00">
        <w:rPr>
          <w:rFonts w:ascii="Times New Roman" w:hAnsi="Times New Roman"/>
          <w:lang w:eastAsia="en-US"/>
        </w:rPr>
        <w:fldChar w:fldCharType="separate"/>
      </w:r>
      <w:r w:rsidR="00560709">
        <w:rPr>
          <w:rFonts w:ascii="Times New Roman" w:hAnsi="Times New Roman"/>
          <w:noProof/>
          <w:lang w:eastAsia="en-US"/>
        </w:rPr>
        <w:t>4</w:t>
      </w:r>
      <w:r w:rsidRPr="00282C00">
        <w:rPr>
          <w:rFonts w:ascii="Times New Roman" w:hAnsi="Times New Roman"/>
          <w:lang w:eastAsia="en-US"/>
        </w:rPr>
        <w:fldChar w:fldCharType="end"/>
      </w:r>
      <w:r w:rsidR="00F95AAE" w:rsidRPr="00382549">
        <w:rPr>
          <w:rFonts w:ascii="Times New Roman" w:hAnsi="Times New Roman"/>
        </w:rPr>
        <w:tab/>
        <w:t>Dose Reduction Schedule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077"/>
        <w:gridCol w:w="2977"/>
      </w:tblGrid>
      <w:tr w:rsidR="00F95AAE" w:rsidRPr="00F95AAE" w14:paraId="071248F4" w14:textId="77777777" w:rsidTr="00EB59E2">
        <w:trPr>
          <w:jc w:val="center"/>
        </w:trPr>
        <w:tc>
          <w:tcPr>
            <w:tcW w:w="4077" w:type="dxa"/>
            <w:shd w:val="clear" w:color="auto" w:fill="FFFFFF"/>
          </w:tcPr>
          <w:p w14:paraId="071248F2" w14:textId="77777777" w:rsidR="00F95AAE" w:rsidRPr="00F95AAE" w:rsidRDefault="00F95AAE" w:rsidP="00F95AAE">
            <w:pPr>
              <w:pStyle w:val="TextTi12"/>
              <w:spacing w:after="0" w:line="240" w:lineRule="auto"/>
              <w:jc w:val="left"/>
              <w:rPr>
                <w:b/>
              </w:rPr>
            </w:pPr>
            <w:r w:rsidRPr="00F95AAE">
              <w:rPr>
                <w:b/>
              </w:rPr>
              <w:t>Dose reduction Schedule</w:t>
            </w:r>
          </w:p>
        </w:tc>
        <w:tc>
          <w:tcPr>
            <w:tcW w:w="2977" w:type="dxa"/>
            <w:shd w:val="clear" w:color="auto" w:fill="FFFFFF"/>
          </w:tcPr>
          <w:p w14:paraId="071248F3" w14:textId="77777777" w:rsidR="00F95AAE" w:rsidRPr="00F95AAE" w:rsidRDefault="00F95AAE" w:rsidP="00F95AAE">
            <w:pPr>
              <w:pStyle w:val="TextTi12"/>
              <w:spacing w:after="0" w:line="240" w:lineRule="auto"/>
              <w:jc w:val="center"/>
              <w:rPr>
                <w:b/>
              </w:rPr>
            </w:pPr>
            <w:r w:rsidRPr="00F95AAE">
              <w:rPr>
                <w:b/>
              </w:rPr>
              <w:t>Dose Level</w:t>
            </w:r>
          </w:p>
        </w:tc>
      </w:tr>
      <w:tr w:rsidR="00F95AAE" w:rsidRPr="00F95AAE" w14:paraId="071248F7" w14:textId="77777777" w:rsidTr="00EB59E2">
        <w:trPr>
          <w:jc w:val="center"/>
        </w:trPr>
        <w:tc>
          <w:tcPr>
            <w:tcW w:w="4077" w:type="dxa"/>
            <w:shd w:val="clear" w:color="auto" w:fill="FFFFFF"/>
          </w:tcPr>
          <w:p w14:paraId="071248F5" w14:textId="77777777" w:rsidR="00F95AAE" w:rsidRPr="00F95AAE" w:rsidRDefault="00F95AAE" w:rsidP="00F95AAE">
            <w:pPr>
              <w:pStyle w:val="TextTi12"/>
              <w:spacing w:after="0" w:line="240" w:lineRule="auto"/>
              <w:jc w:val="left"/>
              <w:rPr>
                <w:i/>
              </w:rPr>
            </w:pPr>
            <w:r w:rsidRPr="00F95AAE">
              <w:rPr>
                <w:i/>
              </w:rPr>
              <w:t>Starting Dose</w:t>
            </w:r>
          </w:p>
        </w:tc>
        <w:tc>
          <w:tcPr>
            <w:tcW w:w="2977" w:type="dxa"/>
            <w:shd w:val="clear" w:color="auto" w:fill="FFFFFF"/>
          </w:tcPr>
          <w:p w14:paraId="071248F6" w14:textId="77777777" w:rsidR="00F95AAE" w:rsidRPr="00F95AAE" w:rsidRDefault="00F95AAE" w:rsidP="00F95AAE">
            <w:pPr>
              <w:pStyle w:val="TextTi12"/>
              <w:spacing w:after="0" w:line="240" w:lineRule="auto"/>
              <w:jc w:val="center"/>
            </w:pPr>
            <w:r w:rsidRPr="00F95AAE">
              <w:t>3.6 mg/kg</w:t>
            </w:r>
          </w:p>
        </w:tc>
      </w:tr>
      <w:tr w:rsidR="00F95AAE" w:rsidRPr="00F95AAE" w14:paraId="071248FA" w14:textId="77777777" w:rsidTr="00EB59E2">
        <w:trPr>
          <w:jc w:val="center"/>
        </w:trPr>
        <w:tc>
          <w:tcPr>
            <w:tcW w:w="4077" w:type="dxa"/>
            <w:shd w:val="clear" w:color="auto" w:fill="FFFFFF"/>
          </w:tcPr>
          <w:p w14:paraId="071248F8" w14:textId="77777777" w:rsidR="00F95AAE" w:rsidRPr="00F95AAE" w:rsidRDefault="00F95AAE" w:rsidP="00F95AAE">
            <w:pPr>
              <w:pStyle w:val="TextTi12"/>
              <w:spacing w:after="0" w:line="240" w:lineRule="auto"/>
              <w:rPr>
                <w:i/>
              </w:rPr>
            </w:pPr>
            <w:r w:rsidRPr="00F95AAE">
              <w:rPr>
                <w:i/>
              </w:rPr>
              <w:t>First dose reduction</w:t>
            </w:r>
          </w:p>
        </w:tc>
        <w:tc>
          <w:tcPr>
            <w:tcW w:w="2977" w:type="dxa"/>
            <w:shd w:val="clear" w:color="auto" w:fill="FFFFFF"/>
          </w:tcPr>
          <w:p w14:paraId="071248F9" w14:textId="77777777" w:rsidR="00F95AAE" w:rsidRPr="00F95AAE" w:rsidRDefault="00F95AAE" w:rsidP="00F95AAE">
            <w:pPr>
              <w:pStyle w:val="TextTi12"/>
              <w:spacing w:after="0" w:line="240" w:lineRule="auto"/>
              <w:jc w:val="center"/>
            </w:pPr>
            <w:r w:rsidRPr="00F95AAE">
              <w:t>3 mg/kg</w:t>
            </w:r>
          </w:p>
        </w:tc>
      </w:tr>
      <w:tr w:rsidR="00F95AAE" w:rsidRPr="00F95AAE" w14:paraId="071248FD" w14:textId="77777777" w:rsidTr="00EB59E2">
        <w:trPr>
          <w:jc w:val="center"/>
        </w:trPr>
        <w:tc>
          <w:tcPr>
            <w:tcW w:w="4077" w:type="dxa"/>
            <w:shd w:val="clear" w:color="auto" w:fill="FFFFFF"/>
          </w:tcPr>
          <w:p w14:paraId="071248FB" w14:textId="77777777" w:rsidR="00F95AAE" w:rsidRPr="00F95AAE" w:rsidRDefault="00F95AAE" w:rsidP="00F95AAE">
            <w:pPr>
              <w:pStyle w:val="TextTi12"/>
              <w:spacing w:after="0" w:line="240" w:lineRule="auto"/>
              <w:rPr>
                <w:i/>
              </w:rPr>
            </w:pPr>
            <w:r w:rsidRPr="00F95AAE">
              <w:rPr>
                <w:i/>
              </w:rPr>
              <w:t>Second dose reduction</w:t>
            </w:r>
          </w:p>
        </w:tc>
        <w:tc>
          <w:tcPr>
            <w:tcW w:w="2977" w:type="dxa"/>
            <w:shd w:val="clear" w:color="auto" w:fill="FFFFFF"/>
          </w:tcPr>
          <w:p w14:paraId="071248FC" w14:textId="77777777" w:rsidR="00F95AAE" w:rsidRPr="00F95AAE" w:rsidRDefault="00F95AAE" w:rsidP="00F95AAE">
            <w:pPr>
              <w:pStyle w:val="TextTi12"/>
              <w:spacing w:after="0" w:line="240" w:lineRule="auto"/>
              <w:jc w:val="center"/>
            </w:pPr>
            <w:r w:rsidRPr="00F95AAE">
              <w:t>2.4 mg/kg</w:t>
            </w:r>
          </w:p>
        </w:tc>
      </w:tr>
      <w:tr w:rsidR="00F95AAE" w:rsidRPr="00F95AAE" w14:paraId="07124900" w14:textId="77777777" w:rsidTr="00EB59E2">
        <w:trPr>
          <w:jc w:val="center"/>
        </w:trPr>
        <w:tc>
          <w:tcPr>
            <w:tcW w:w="4077" w:type="dxa"/>
            <w:shd w:val="clear" w:color="auto" w:fill="FFFFFF"/>
          </w:tcPr>
          <w:p w14:paraId="071248FE" w14:textId="77777777" w:rsidR="00F95AAE" w:rsidRPr="00F95AAE" w:rsidRDefault="00F95AAE" w:rsidP="00F95AAE">
            <w:pPr>
              <w:pStyle w:val="TextTi12"/>
              <w:spacing w:after="0" w:line="240" w:lineRule="auto"/>
              <w:rPr>
                <w:i/>
              </w:rPr>
            </w:pPr>
            <w:r w:rsidRPr="00F95AAE">
              <w:rPr>
                <w:i/>
              </w:rPr>
              <w:t>Requirement for further dose reduction</w:t>
            </w:r>
          </w:p>
        </w:tc>
        <w:tc>
          <w:tcPr>
            <w:tcW w:w="2977" w:type="dxa"/>
            <w:shd w:val="clear" w:color="auto" w:fill="FFFFFF"/>
          </w:tcPr>
          <w:p w14:paraId="071248FF" w14:textId="77777777" w:rsidR="00F95AAE" w:rsidRPr="00F95AAE" w:rsidRDefault="001329DF" w:rsidP="004C7441">
            <w:pPr>
              <w:pStyle w:val="TextTi12"/>
              <w:spacing w:after="0" w:line="240" w:lineRule="auto"/>
              <w:jc w:val="center"/>
            </w:pPr>
            <w:r>
              <w:t>D</w:t>
            </w:r>
            <w:r w:rsidR="00F95AAE" w:rsidRPr="00F95AAE">
              <w:t>iscontinue</w:t>
            </w:r>
            <w:r>
              <w:t xml:space="preserve"> treatment</w:t>
            </w:r>
          </w:p>
        </w:tc>
      </w:tr>
    </w:tbl>
    <w:p w14:paraId="07124902" w14:textId="77777777" w:rsidR="00341D2A" w:rsidRPr="00225C83" w:rsidRDefault="00341D2A" w:rsidP="00F95AAE">
      <w:pPr>
        <w:pStyle w:val="TextTi12"/>
        <w:spacing w:after="0" w:line="240" w:lineRule="auto"/>
      </w:pPr>
    </w:p>
    <w:p w14:paraId="07124904" w14:textId="42CEACFE" w:rsidR="00382549" w:rsidRPr="00C717CC" w:rsidRDefault="00382549" w:rsidP="00C717CC">
      <w:pPr>
        <w:pStyle w:val="Heading3"/>
      </w:pPr>
      <w:r w:rsidRPr="00EB59E2">
        <w:rPr>
          <w:rStyle w:val="Heading3Char"/>
          <w:i/>
        </w:rPr>
        <w:t>Hepatotoxicity</w:t>
      </w:r>
    </w:p>
    <w:p w14:paraId="0402642D" w14:textId="77777777" w:rsidR="00CD3876" w:rsidRPr="00EB59E2" w:rsidRDefault="00CD3876" w:rsidP="00E42D56">
      <w:pPr>
        <w:rPr>
          <w:i/>
          <w:szCs w:val="24"/>
        </w:rPr>
      </w:pPr>
    </w:p>
    <w:p w14:paraId="07124905" w14:textId="77777777" w:rsidR="00382549" w:rsidRDefault="00282C00" w:rsidP="004C7441">
      <w:pPr>
        <w:pStyle w:val="TableTitle"/>
        <w:tabs>
          <w:tab w:val="clear" w:pos="1080"/>
          <w:tab w:val="left" w:pos="1134"/>
        </w:tabs>
        <w:spacing w:before="0" w:after="0" w:line="240" w:lineRule="auto"/>
        <w:ind w:left="1077" w:hanging="1077"/>
        <w:rPr>
          <w:rFonts w:ascii="Times New Roman" w:hAnsi="Times New Roman"/>
          <w:lang w:eastAsia="en-US"/>
        </w:rPr>
      </w:pPr>
      <w:r w:rsidRPr="00282C00">
        <w:rPr>
          <w:rFonts w:ascii="Times New Roman" w:hAnsi="Times New Roman"/>
          <w:lang w:eastAsia="en-US"/>
        </w:rPr>
        <w:t>Table </w:t>
      </w:r>
      <w:r w:rsidRPr="00282C00">
        <w:rPr>
          <w:rFonts w:ascii="Times New Roman" w:hAnsi="Times New Roman"/>
          <w:lang w:eastAsia="en-US"/>
        </w:rPr>
        <w:fldChar w:fldCharType="begin"/>
      </w:r>
      <w:r w:rsidRPr="00282C00">
        <w:rPr>
          <w:rFonts w:ascii="Times New Roman" w:hAnsi="Times New Roman"/>
          <w:lang w:eastAsia="en-US"/>
        </w:rPr>
        <w:instrText xml:space="preserve"> SEQ Table \* ARABIC </w:instrText>
      </w:r>
      <w:r w:rsidRPr="00282C00">
        <w:rPr>
          <w:rFonts w:ascii="Times New Roman" w:hAnsi="Times New Roman"/>
          <w:lang w:eastAsia="en-US"/>
        </w:rPr>
        <w:fldChar w:fldCharType="separate"/>
      </w:r>
      <w:r w:rsidR="00560709">
        <w:rPr>
          <w:rFonts w:ascii="Times New Roman" w:hAnsi="Times New Roman"/>
          <w:noProof/>
          <w:lang w:eastAsia="en-US"/>
        </w:rPr>
        <w:t>5</w:t>
      </w:r>
      <w:r w:rsidRPr="00282C00">
        <w:rPr>
          <w:rFonts w:ascii="Times New Roman" w:hAnsi="Times New Roman"/>
          <w:lang w:eastAsia="en-US"/>
        </w:rPr>
        <w:fldChar w:fldCharType="end"/>
      </w:r>
      <w:r w:rsidR="00382549" w:rsidRPr="00EB59E2">
        <w:rPr>
          <w:rFonts w:ascii="Times New Roman" w:hAnsi="Times New Roman"/>
        </w:rPr>
        <w:tab/>
      </w:r>
      <w:r w:rsidR="00382549" w:rsidRPr="00EB59E2">
        <w:rPr>
          <w:rFonts w:ascii="Times New Roman" w:hAnsi="Times New Roman"/>
          <w:lang w:eastAsia="en-US"/>
        </w:rPr>
        <w:t xml:space="preserve">Dose Modification Guidelines for </w:t>
      </w:r>
      <w:r w:rsidR="001329DF">
        <w:rPr>
          <w:rFonts w:ascii="Times New Roman" w:hAnsi="Times New Roman"/>
          <w:lang w:eastAsia="en-US"/>
        </w:rPr>
        <w:t>Increased Transaminases</w:t>
      </w:r>
      <w:r w:rsidR="001329DF" w:rsidRPr="00EB59E2">
        <w:rPr>
          <w:rFonts w:ascii="Times New Roman" w:hAnsi="Times New Roman"/>
          <w:lang w:eastAsia="en-US"/>
        </w:rPr>
        <w:t xml:space="preserve"> </w:t>
      </w:r>
      <w:r w:rsidR="00382549" w:rsidRPr="00EB59E2">
        <w:rPr>
          <w:rFonts w:ascii="Times New Roman" w:hAnsi="Times New Roman"/>
          <w:lang w:eastAsia="en-US"/>
        </w:rPr>
        <w:t>(AST/ALT)</w:t>
      </w:r>
    </w:p>
    <w:tbl>
      <w:tblPr>
        <w:tblpPr w:leftFromText="180" w:rightFromText="180" w:vertAnchor="text" w:horzAnchor="margin" w:tblpY="570"/>
        <w:tblW w:w="4833" w:type="pct"/>
        <w:tblLook w:val="00A0" w:firstRow="1" w:lastRow="0" w:firstColumn="1" w:lastColumn="0" w:noHBand="0" w:noVBand="0"/>
      </w:tblPr>
      <w:tblGrid>
        <w:gridCol w:w="3072"/>
        <w:gridCol w:w="3826"/>
        <w:gridCol w:w="2079"/>
      </w:tblGrid>
      <w:tr w:rsidR="00422136" w:rsidRPr="00EB59E2" w14:paraId="4D69BD54" w14:textId="77777777" w:rsidTr="00422136">
        <w:tc>
          <w:tcPr>
            <w:tcW w:w="1711" w:type="pct"/>
            <w:tcBorders>
              <w:top w:val="single" w:sz="4" w:space="0" w:color="auto"/>
              <w:left w:val="single" w:sz="4" w:space="0" w:color="auto"/>
              <w:bottom w:val="single" w:sz="4" w:space="0" w:color="auto"/>
              <w:right w:val="single" w:sz="4" w:space="0" w:color="auto"/>
            </w:tcBorders>
            <w:vAlign w:val="bottom"/>
          </w:tcPr>
          <w:p w14:paraId="789C7BF1" w14:textId="77777777" w:rsidR="00422136" w:rsidRPr="004C7441" w:rsidRDefault="00422136" w:rsidP="00422136">
            <w:pPr>
              <w:keepNext/>
              <w:keepLines/>
              <w:jc w:val="center"/>
              <w:rPr>
                <w:rFonts w:eastAsia="MS Mincho"/>
                <w:b/>
                <w:szCs w:val="24"/>
                <w:lang w:eastAsia="en-US"/>
              </w:rPr>
            </w:pPr>
            <w:r w:rsidRPr="004C7441">
              <w:rPr>
                <w:rFonts w:eastAsia="MS Mincho"/>
                <w:b/>
                <w:szCs w:val="24"/>
                <w:lang w:eastAsia="en-US"/>
              </w:rPr>
              <w:t>Grade 2</w:t>
            </w:r>
          </w:p>
          <w:p w14:paraId="264BBA3F" w14:textId="77777777" w:rsidR="00422136" w:rsidRPr="004C7441" w:rsidRDefault="00422136" w:rsidP="00422136">
            <w:pPr>
              <w:keepNext/>
              <w:keepLines/>
              <w:jc w:val="center"/>
              <w:rPr>
                <w:rFonts w:eastAsia="MS Mincho"/>
                <w:b/>
                <w:szCs w:val="24"/>
                <w:lang w:eastAsia="en-US"/>
              </w:rPr>
            </w:pPr>
            <w:r w:rsidRPr="004C7441">
              <w:rPr>
                <w:b/>
                <w:lang w:eastAsia="en-US"/>
              </w:rPr>
              <w:t>(</w:t>
            </w:r>
            <w:r w:rsidRPr="004C7441">
              <w:rPr>
                <w:b/>
                <w:lang w:eastAsia="en-US"/>
              </w:rPr>
              <w:sym w:font="Symbol" w:char="F03E"/>
            </w:r>
            <w:r w:rsidRPr="004C7441">
              <w:rPr>
                <w:b/>
                <w:lang w:eastAsia="en-US"/>
              </w:rPr>
              <w:t> 2.5 to ≤ 5</w:t>
            </w:r>
            <w:r w:rsidRPr="004C7441">
              <w:rPr>
                <w:b/>
                <w:lang w:eastAsia="en-US"/>
              </w:rPr>
              <w:sym w:font="Symbol" w:char="F0B4"/>
            </w:r>
            <w:r w:rsidRPr="004C7441">
              <w:rPr>
                <w:b/>
                <w:lang w:eastAsia="en-US"/>
              </w:rPr>
              <w:t xml:space="preserve"> the ULN)</w:t>
            </w:r>
          </w:p>
        </w:tc>
        <w:tc>
          <w:tcPr>
            <w:tcW w:w="2131" w:type="pct"/>
            <w:tcBorders>
              <w:top w:val="single" w:sz="4" w:space="0" w:color="auto"/>
              <w:left w:val="single" w:sz="4" w:space="0" w:color="auto"/>
              <w:bottom w:val="single" w:sz="4" w:space="0" w:color="auto"/>
              <w:right w:val="single" w:sz="4" w:space="0" w:color="auto"/>
            </w:tcBorders>
            <w:vAlign w:val="bottom"/>
          </w:tcPr>
          <w:p w14:paraId="4234D9BB" w14:textId="77777777" w:rsidR="00422136" w:rsidRPr="004C7441" w:rsidRDefault="00422136" w:rsidP="00422136">
            <w:pPr>
              <w:keepNext/>
              <w:keepLines/>
              <w:jc w:val="center"/>
              <w:rPr>
                <w:rFonts w:eastAsia="MS Mincho"/>
                <w:b/>
                <w:szCs w:val="24"/>
                <w:lang w:eastAsia="en-US"/>
              </w:rPr>
            </w:pPr>
            <w:r w:rsidRPr="004C7441">
              <w:rPr>
                <w:rFonts w:eastAsia="MS Mincho"/>
                <w:b/>
                <w:szCs w:val="24"/>
                <w:lang w:eastAsia="en-US"/>
              </w:rPr>
              <w:t>Grade 3</w:t>
            </w:r>
          </w:p>
          <w:p w14:paraId="0091A26B" w14:textId="77777777" w:rsidR="00422136" w:rsidRPr="004C7441" w:rsidRDefault="00422136" w:rsidP="00422136">
            <w:pPr>
              <w:keepNext/>
              <w:keepLines/>
              <w:jc w:val="center"/>
              <w:rPr>
                <w:rFonts w:eastAsia="MS Mincho"/>
                <w:b/>
                <w:szCs w:val="24"/>
                <w:lang w:eastAsia="en-US"/>
              </w:rPr>
            </w:pPr>
            <w:r w:rsidRPr="004C7441">
              <w:rPr>
                <w:rFonts w:eastAsia="MS Mincho"/>
                <w:b/>
                <w:lang w:eastAsia="en-US"/>
              </w:rPr>
              <w:t>(</w:t>
            </w:r>
            <w:r w:rsidRPr="004C7441">
              <w:rPr>
                <w:rFonts w:eastAsia="MS Mincho"/>
                <w:b/>
                <w:lang w:eastAsia="en-US"/>
              </w:rPr>
              <w:sym w:font="Symbol" w:char="F03E"/>
            </w:r>
            <w:r w:rsidRPr="004C7441">
              <w:rPr>
                <w:rFonts w:eastAsia="MS Mincho"/>
                <w:b/>
                <w:lang w:eastAsia="en-US"/>
              </w:rPr>
              <w:t xml:space="preserve"> 5 to </w:t>
            </w:r>
            <w:r w:rsidRPr="004C7441">
              <w:rPr>
                <w:b/>
                <w:lang w:eastAsia="en-US"/>
              </w:rPr>
              <w:t xml:space="preserve">≤ </w:t>
            </w:r>
            <w:r w:rsidRPr="004C7441">
              <w:rPr>
                <w:rFonts w:eastAsia="MS Mincho"/>
                <w:b/>
                <w:lang w:eastAsia="en-US"/>
              </w:rPr>
              <w:t>20</w:t>
            </w:r>
            <w:r w:rsidRPr="004C7441">
              <w:rPr>
                <w:rFonts w:eastAsia="MS Mincho"/>
                <w:b/>
                <w:lang w:eastAsia="en-US"/>
              </w:rPr>
              <w:sym w:font="Symbol" w:char="F0B4"/>
            </w:r>
            <w:r w:rsidRPr="004C7441">
              <w:rPr>
                <w:rFonts w:eastAsia="MS Mincho"/>
                <w:b/>
                <w:lang w:eastAsia="en-US"/>
              </w:rPr>
              <w:t xml:space="preserve"> the ULN)</w:t>
            </w:r>
          </w:p>
        </w:tc>
        <w:tc>
          <w:tcPr>
            <w:tcW w:w="1158" w:type="pct"/>
            <w:tcBorders>
              <w:top w:val="single" w:sz="4" w:space="0" w:color="auto"/>
              <w:left w:val="single" w:sz="4" w:space="0" w:color="auto"/>
              <w:bottom w:val="single" w:sz="4" w:space="0" w:color="auto"/>
              <w:right w:val="single" w:sz="4" w:space="0" w:color="auto"/>
            </w:tcBorders>
            <w:vAlign w:val="bottom"/>
          </w:tcPr>
          <w:p w14:paraId="6E10A149" w14:textId="77777777" w:rsidR="00422136" w:rsidRPr="004C7441" w:rsidRDefault="00422136" w:rsidP="00422136">
            <w:pPr>
              <w:keepNext/>
              <w:keepLines/>
              <w:jc w:val="center"/>
              <w:rPr>
                <w:rFonts w:eastAsia="MS Mincho"/>
                <w:b/>
                <w:szCs w:val="24"/>
                <w:lang w:eastAsia="en-US"/>
              </w:rPr>
            </w:pPr>
            <w:r w:rsidRPr="004C7441">
              <w:rPr>
                <w:rFonts w:eastAsia="MS Mincho"/>
                <w:b/>
                <w:szCs w:val="24"/>
                <w:lang w:eastAsia="en-US"/>
              </w:rPr>
              <w:t>Grade 4</w:t>
            </w:r>
          </w:p>
          <w:p w14:paraId="0F085320" w14:textId="77777777" w:rsidR="00422136" w:rsidRPr="004C7441" w:rsidRDefault="00422136" w:rsidP="00422136">
            <w:pPr>
              <w:keepNext/>
              <w:keepLines/>
              <w:jc w:val="center"/>
              <w:rPr>
                <w:rFonts w:eastAsia="MS Mincho"/>
                <w:b/>
                <w:szCs w:val="24"/>
                <w:lang w:eastAsia="en-US"/>
              </w:rPr>
            </w:pPr>
            <w:r w:rsidRPr="004C7441">
              <w:rPr>
                <w:b/>
                <w:lang w:eastAsia="en-US"/>
              </w:rPr>
              <w:t>(</w:t>
            </w:r>
            <w:r w:rsidRPr="004C7441">
              <w:rPr>
                <w:b/>
                <w:lang w:eastAsia="en-US"/>
              </w:rPr>
              <w:sym w:font="Symbol" w:char="F03E"/>
            </w:r>
            <w:r w:rsidRPr="004C7441">
              <w:rPr>
                <w:b/>
                <w:lang w:eastAsia="en-US"/>
              </w:rPr>
              <w:t> 20 </w:t>
            </w:r>
            <w:r w:rsidRPr="004C7441">
              <w:rPr>
                <w:b/>
                <w:lang w:eastAsia="en-US"/>
              </w:rPr>
              <w:sym w:font="Symbol" w:char="F0B4"/>
            </w:r>
            <w:r w:rsidRPr="004C7441">
              <w:rPr>
                <w:b/>
                <w:lang w:eastAsia="en-US"/>
              </w:rPr>
              <w:t xml:space="preserve"> the ULN)</w:t>
            </w:r>
          </w:p>
        </w:tc>
      </w:tr>
      <w:tr w:rsidR="00422136" w:rsidRPr="00EB59E2" w14:paraId="37ED41F7" w14:textId="77777777" w:rsidTr="00422136">
        <w:tc>
          <w:tcPr>
            <w:tcW w:w="1711" w:type="pct"/>
            <w:tcBorders>
              <w:top w:val="single" w:sz="4" w:space="0" w:color="auto"/>
              <w:left w:val="single" w:sz="4" w:space="0" w:color="auto"/>
              <w:bottom w:val="single" w:sz="4" w:space="0" w:color="auto"/>
              <w:right w:val="single" w:sz="4" w:space="0" w:color="auto"/>
            </w:tcBorders>
          </w:tcPr>
          <w:p w14:paraId="6C911D06" w14:textId="77777777" w:rsidR="00422136" w:rsidRPr="000828D3" w:rsidRDefault="00422136" w:rsidP="00422136">
            <w:pPr>
              <w:keepNext/>
              <w:keepLines/>
              <w:jc w:val="left"/>
              <w:rPr>
                <w:rFonts w:eastAsia="MS Mincho"/>
                <w:lang w:eastAsia="en-US"/>
              </w:rPr>
            </w:pPr>
            <w:r w:rsidRPr="000828D3">
              <w:rPr>
                <w:rFonts w:eastAsia="MS Mincho"/>
                <w:lang w:eastAsia="en-US"/>
              </w:rPr>
              <w:t>Treat at the same dose level.</w:t>
            </w:r>
          </w:p>
          <w:p w14:paraId="16136365" w14:textId="77777777" w:rsidR="00422136" w:rsidRPr="00EB59E2" w:rsidRDefault="00422136" w:rsidP="00422136">
            <w:pPr>
              <w:keepNext/>
              <w:keepLines/>
              <w:jc w:val="left"/>
              <w:rPr>
                <w:rFonts w:eastAsia="MS Mincho"/>
                <w:szCs w:val="24"/>
                <w:lang w:eastAsia="en-US"/>
              </w:rPr>
            </w:pPr>
          </w:p>
        </w:tc>
        <w:tc>
          <w:tcPr>
            <w:tcW w:w="2131" w:type="pct"/>
            <w:tcBorders>
              <w:top w:val="single" w:sz="4" w:space="0" w:color="auto"/>
              <w:left w:val="single" w:sz="4" w:space="0" w:color="auto"/>
              <w:bottom w:val="single" w:sz="4" w:space="0" w:color="auto"/>
              <w:right w:val="single" w:sz="4" w:space="0" w:color="auto"/>
            </w:tcBorders>
          </w:tcPr>
          <w:p w14:paraId="00D8E90B" w14:textId="77777777" w:rsidR="00422136" w:rsidRPr="00EB59E2" w:rsidRDefault="00422136" w:rsidP="00422136">
            <w:pPr>
              <w:keepNext/>
              <w:keepLines/>
              <w:jc w:val="left"/>
              <w:rPr>
                <w:rFonts w:eastAsia="MS Mincho"/>
                <w:szCs w:val="24"/>
                <w:lang w:eastAsia="en-US"/>
              </w:rPr>
            </w:pPr>
            <w:r w:rsidRPr="000828D3">
              <w:rPr>
                <w:rFonts w:eastAsia="MS Mincho"/>
                <w:lang w:eastAsia="en-US"/>
              </w:rPr>
              <w:t xml:space="preserve">Do not administer </w:t>
            </w:r>
            <w:r>
              <w:t>KADCYLA</w:t>
            </w:r>
            <w:r w:rsidRPr="000828D3">
              <w:rPr>
                <w:rFonts w:eastAsia="MS Mincho"/>
                <w:lang w:eastAsia="en-US"/>
              </w:rPr>
              <w:t xml:space="preserve"> until AST/ALT recovers to Grade ≤ 2, and then reduce one dose level.</w:t>
            </w:r>
          </w:p>
        </w:tc>
        <w:tc>
          <w:tcPr>
            <w:tcW w:w="1158" w:type="pct"/>
            <w:tcBorders>
              <w:top w:val="single" w:sz="4" w:space="0" w:color="auto"/>
              <w:left w:val="single" w:sz="4" w:space="0" w:color="auto"/>
              <w:bottom w:val="single" w:sz="4" w:space="0" w:color="auto"/>
              <w:right w:val="single" w:sz="4" w:space="0" w:color="auto"/>
            </w:tcBorders>
          </w:tcPr>
          <w:p w14:paraId="1C710C30" w14:textId="77777777" w:rsidR="00422136" w:rsidRPr="00EB59E2" w:rsidRDefault="00422136" w:rsidP="00422136">
            <w:pPr>
              <w:keepNext/>
              <w:keepLines/>
              <w:jc w:val="center"/>
              <w:rPr>
                <w:rFonts w:eastAsia="MS Mincho"/>
                <w:szCs w:val="24"/>
                <w:lang w:eastAsia="en-US"/>
              </w:rPr>
            </w:pPr>
            <w:r w:rsidRPr="000828D3">
              <w:rPr>
                <w:lang w:eastAsia="en-US"/>
              </w:rPr>
              <w:t xml:space="preserve">Discontinue </w:t>
            </w:r>
            <w:r>
              <w:t>KADCYLA</w:t>
            </w:r>
          </w:p>
        </w:tc>
      </w:tr>
      <w:tr w:rsidR="00422136" w:rsidRPr="00EB59E2" w14:paraId="72324D41" w14:textId="77777777" w:rsidTr="00422136">
        <w:tc>
          <w:tcPr>
            <w:tcW w:w="5000" w:type="pct"/>
            <w:gridSpan w:val="3"/>
            <w:tcBorders>
              <w:top w:val="single" w:sz="4" w:space="0" w:color="auto"/>
            </w:tcBorders>
          </w:tcPr>
          <w:p w14:paraId="24086C5F" w14:textId="77777777" w:rsidR="00422136" w:rsidRPr="004C7441" w:rsidRDefault="00422136" w:rsidP="00422136">
            <w:pPr>
              <w:keepNext/>
              <w:keepLines/>
              <w:ind w:left="28"/>
              <w:rPr>
                <w:rFonts w:eastAsia="MS Mincho"/>
                <w:sz w:val="18"/>
                <w:szCs w:val="18"/>
                <w:lang w:eastAsia="en-US"/>
              </w:rPr>
            </w:pPr>
            <w:r w:rsidRPr="000828D3">
              <w:rPr>
                <w:rFonts w:eastAsia="MS Mincho"/>
                <w:sz w:val="18"/>
                <w:szCs w:val="18"/>
                <w:lang w:eastAsia="en-US"/>
              </w:rPr>
              <w:t>ALT </w:t>
            </w:r>
            <w:r w:rsidRPr="000828D3">
              <w:rPr>
                <w:rFonts w:eastAsia="MS Mincho"/>
                <w:sz w:val="18"/>
                <w:szCs w:val="18"/>
                <w:lang w:eastAsia="en-US"/>
              </w:rPr>
              <w:sym w:font="Symbol" w:char="F03D"/>
            </w:r>
            <w:r w:rsidRPr="000828D3">
              <w:rPr>
                <w:rFonts w:eastAsia="MS Mincho"/>
                <w:sz w:val="18"/>
                <w:szCs w:val="18"/>
                <w:lang w:eastAsia="en-US"/>
              </w:rPr>
              <w:t> alanine transaminase; AST </w:t>
            </w:r>
            <w:r w:rsidRPr="000828D3">
              <w:rPr>
                <w:rFonts w:eastAsia="MS Mincho"/>
                <w:sz w:val="18"/>
                <w:szCs w:val="18"/>
                <w:lang w:eastAsia="en-US"/>
              </w:rPr>
              <w:sym w:font="Symbol" w:char="F03D"/>
            </w:r>
            <w:r w:rsidRPr="000828D3">
              <w:rPr>
                <w:rFonts w:eastAsia="MS Mincho"/>
                <w:sz w:val="18"/>
                <w:szCs w:val="18"/>
                <w:lang w:eastAsia="en-US"/>
              </w:rPr>
              <w:t> aspartate transaminase; ULN </w:t>
            </w:r>
            <w:r w:rsidRPr="000828D3">
              <w:rPr>
                <w:rFonts w:eastAsia="MS Mincho"/>
                <w:sz w:val="18"/>
                <w:szCs w:val="18"/>
                <w:lang w:eastAsia="en-US"/>
              </w:rPr>
              <w:sym w:font="Symbol" w:char="F03D"/>
            </w:r>
            <w:r w:rsidRPr="000828D3">
              <w:rPr>
                <w:rFonts w:eastAsia="MS Mincho"/>
                <w:sz w:val="18"/>
                <w:szCs w:val="18"/>
                <w:lang w:eastAsia="en-US"/>
              </w:rPr>
              <w:t> upper limit of normal.</w:t>
            </w:r>
          </w:p>
        </w:tc>
      </w:tr>
    </w:tbl>
    <w:p w14:paraId="07124906" w14:textId="77777777" w:rsidR="001329DF" w:rsidRPr="004C7441" w:rsidRDefault="004C7441" w:rsidP="004C7441">
      <w:pPr>
        <w:pStyle w:val="Paragraph"/>
        <w:tabs>
          <w:tab w:val="left" w:pos="1134"/>
        </w:tabs>
        <w:rPr>
          <w:rFonts w:ascii="Times New Roman" w:eastAsia="Times New Roman" w:hAnsi="Times New Roman"/>
          <w:i/>
          <w:szCs w:val="20"/>
          <w:lang w:val="en-US" w:eastAsia="ja-JP"/>
        </w:rPr>
      </w:pPr>
      <w:r>
        <w:rPr>
          <w:rFonts w:ascii="Times New Roman" w:eastAsia="Times New Roman" w:hAnsi="Times New Roman"/>
          <w:i/>
          <w:szCs w:val="20"/>
          <w:lang w:val="en-US" w:eastAsia="ja-JP"/>
        </w:rPr>
        <w:tab/>
      </w:r>
      <w:r w:rsidR="001329DF" w:rsidRPr="004C7441">
        <w:rPr>
          <w:rFonts w:ascii="Times New Roman" w:eastAsia="Times New Roman" w:hAnsi="Times New Roman"/>
          <w:i/>
          <w:szCs w:val="20"/>
          <w:lang w:val="en-US" w:eastAsia="ja-JP"/>
        </w:rPr>
        <w:t>(See Pre</w:t>
      </w:r>
      <w:r w:rsidR="001329DF">
        <w:rPr>
          <w:rFonts w:ascii="Times New Roman" w:eastAsia="Times New Roman" w:hAnsi="Times New Roman"/>
          <w:i/>
          <w:szCs w:val="20"/>
          <w:lang w:val="en-US" w:eastAsia="ja-JP"/>
        </w:rPr>
        <w:t>cautions; Hepatotoxicity)</w:t>
      </w:r>
    </w:p>
    <w:p w14:paraId="0339E0C0" w14:textId="77777777" w:rsidR="00225C83" w:rsidRDefault="00225C83">
      <w:pPr>
        <w:jc w:val="left"/>
        <w:rPr>
          <w:rFonts w:eastAsia="SimSun"/>
          <w:b/>
          <w:szCs w:val="24"/>
          <w:lang w:val="en-US" w:eastAsia="en-US"/>
        </w:rPr>
      </w:pPr>
      <w:r>
        <w:rPr>
          <w:lang w:eastAsia="en-US"/>
        </w:rPr>
        <w:br w:type="page"/>
      </w:r>
    </w:p>
    <w:p w14:paraId="07124917" w14:textId="7D676926" w:rsidR="00382549" w:rsidRDefault="00282C00" w:rsidP="00832FF8">
      <w:pPr>
        <w:pStyle w:val="TableTitle"/>
        <w:spacing w:before="0" w:after="0" w:line="240" w:lineRule="auto"/>
        <w:ind w:left="1077" w:hanging="1077"/>
        <w:rPr>
          <w:rFonts w:ascii="Times New Roman" w:hAnsi="Times New Roman"/>
          <w:lang w:eastAsia="en-US"/>
        </w:rPr>
      </w:pPr>
      <w:r w:rsidRPr="00282C00">
        <w:rPr>
          <w:rFonts w:ascii="Times New Roman" w:hAnsi="Times New Roman"/>
          <w:lang w:eastAsia="en-US"/>
        </w:rPr>
        <w:lastRenderedPageBreak/>
        <w:t>Table </w:t>
      </w:r>
      <w:r w:rsidRPr="00282C00">
        <w:rPr>
          <w:rFonts w:ascii="Times New Roman" w:hAnsi="Times New Roman"/>
          <w:lang w:eastAsia="en-US"/>
        </w:rPr>
        <w:fldChar w:fldCharType="begin"/>
      </w:r>
      <w:r w:rsidRPr="00282C00">
        <w:rPr>
          <w:rFonts w:ascii="Times New Roman" w:hAnsi="Times New Roman"/>
          <w:lang w:eastAsia="en-US"/>
        </w:rPr>
        <w:instrText xml:space="preserve"> SEQ Table \* ARABIC </w:instrText>
      </w:r>
      <w:r w:rsidRPr="00282C00">
        <w:rPr>
          <w:rFonts w:ascii="Times New Roman" w:hAnsi="Times New Roman"/>
          <w:lang w:eastAsia="en-US"/>
        </w:rPr>
        <w:fldChar w:fldCharType="separate"/>
      </w:r>
      <w:r w:rsidR="00560709">
        <w:rPr>
          <w:rFonts w:ascii="Times New Roman" w:hAnsi="Times New Roman"/>
          <w:noProof/>
          <w:lang w:eastAsia="en-US"/>
        </w:rPr>
        <w:t>6</w:t>
      </w:r>
      <w:r w:rsidRPr="00282C00">
        <w:rPr>
          <w:rFonts w:ascii="Times New Roman" w:hAnsi="Times New Roman"/>
          <w:lang w:eastAsia="en-US"/>
        </w:rPr>
        <w:fldChar w:fldCharType="end"/>
      </w:r>
      <w:r w:rsidR="00382549" w:rsidRPr="00EB59E2">
        <w:rPr>
          <w:rFonts w:ascii="Times New Roman" w:hAnsi="Times New Roman"/>
          <w:lang w:eastAsia="en-US"/>
        </w:rPr>
        <w:tab/>
        <w:t>Dose Modification Guidelines for Hyperbilirubinemia</w:t>
      </w:r>
    </w:p>
    <w:p w14:paraId="07124918" w14:textId="77777777" w:rsidR="00272098" w:rsidRPr="004C7441" w:rsidRDefault="00832FF8" w:rsidP="00272098">
      <w:pPr>
        <w:pStyle w:val="Paragraph"/>
        <w:tabs>
          <w:tab w:val="left" w:pos="1134"/>
        </w:tabs>
        <w:rPr>
          <w:rFonts w:ascii="Times New Roman" w:eastAsia="Times New Roman" w:hAnsi="Times New Roman"/>
          <w:i/>
          <w:szCs w:val="20"/>
          <w:lang w:val="en-US" w:eastAsia="ja-JP"/>
        </w:rPr>
      </w:pPr>
      <w:r>
        <w:rPr>
          <w:rFonts w:ascii="Times New Roman" w:eastAsia="Times New Roman" w:hAnsi="Times New Roman"/>
          <w:i/>
          <w:szCs w:val="20"/>
          <w:lang w:val="en-US" w:eastAsia="ja-JP"/>
        </w:rPr>
        <w:tab/>
      </w:r>
      <w:r w:rsidR="00272098" w:rsidRPr="004C7441">
        <w:rPr>
          <w:rFonts w:ascii="Times New Roman" w:eastAsia="Times New Roman" w:hAnsi="Times New Roman"/>
          <w:i/>
          <w:szCs w:val="20"/>
          <w:lang w:val="en-US" w:eastAsia="ja-JP"/>
        </w:rPr>
        <w:t>(See Pre</w:t>
      </w:r>
      <w:r w:rsidR="00272098">
        <w:rPr>
          <w:rFonts w:ascii="Times New Roman" w:eastAsia="Times New Roman" w:hAnsi="Times New Roman"/>
          <w:i/>
          <w:szCs w:val="20"/>
          <w:lang w:val="en-US" w:eastAsia="ja-JP"/>
        </w:rPr>
        <w:t>cautions; Hepatotoxicity)</w:t>
      </w:r>
    </w:p>
    <w:tbl>
      <w:tblPr>
        <w:tblpPr w:leftFromText="180" w:rightFromText="180" w:vertAnchor="text" w:tblpXSpec="center" w:tblpY="1"/>
        <w:tblOverlap w:val="never"/>
        <w:tblW w:w="4845" w:type="pct"/>
        <w:tblLook w:val="00A0" w:firstRow="1" w:lastRow="0" w:firstColumn="1" w:lastColumn="0" w:noHBand="0" w:noVBand="0"/>
      </w:tblPr>
      <w:tblGrid>
        <w:gridCol w:w="3793"/>
        <w:gridCol w:w="3259"/>
        <w:gridCol w:w="1947"/>
      </w:tblGrid>
      <w:tr w:rsidR="00832FF8" w:rsidRPr="00EB59E2" w14:paraId="0712491F" w14:textId="77777777" w:rsidTr="001E5506">
        <w:tc>
          <w:tcPr>
            <w:tcW w:w="2107" w:type="pct"/>
            <w:tcBorders>
              <w:top w:val="single" w:sz="4" w:space="0" w:color="auto"/>
              <w:left w:val="single" w:sz="4" w:space="0" w:color="auto"/>
              <w:bottom w:val="single" w:sz="4" w:space="0" w:color="auto"/>
              <w:right w:val="single" w:sz="4" w:space="0" w:color="auto"/>
            </w:tcBorders>
            <w:vAlign w:val="bottom"/>
          </w:tcPr>
          <w:p w14:paraId="07124919" w14:textId="77777777" w:rsidR="00EB59E2" w:rsidRPr="00E572F4" w:rsidRDefault="00832FF8" w:rsidP="00A627AA">
            <w:pPr>
              <w:keepNext/>
              <w:keepLines/>
              <w:jc w:val="center"/>
              <w:rPr>
                <w:rFonts w:eastAsia="MS Mincho"/>
                <w:b/>
                <w:szCs w:val="24"/>
                <w:lang w:eastAsia="en-US"/>
              </w:rPr>
            </w:pPr>
            <w:r w:rsidRPr="00E572F4">
              <w:rPr>
                <w:rFonts w:eastAsia="MS Mincho"/>
                <w:b/>
                <w:szCs w:val="24"/>
                <w:lang w:eastAsia="en-US"/>
              </w:rPr>
              <w:t>Grade 2</w:t>
            </w:r>
          </w:p>
          <w:p w14:paraId="0712491A" w14:textId="77777777" w:rsidR="00832FF8" w:rsidRPr="00E572F4" w:rsidRDefault="00832FF8" w:rsidP="00A627AA">
            <w:pPr>
              <w:keepNext/>
              <w:keepLines/>
              <w:jc w:val="center"/>
              <w:rPr>
                <w:rFonts w:eastAsia="MS Mincho"/>
                <w:b/>
                <w:szCs w:val="24"/>
                <w:lang w:eastAsia="en-US"/>
              </w:rPr>
            </w:pPr>
            <w:r w:rsidRPr="00BB2E4C">
              <w:rPr>
                <w:b/>
                <w:lang w:eastAsia="en-US"/>
              </w:rPr>
              <w:t>(</w:t>
            </w:r>
            <w:r w:rsidRPr="00BB2E4C">
              <w:rPr>
                <w:b/>
                <w:lang w:eastAsia="en-US"/>
              </w:rPr>
              <w:sym w:font="Symbol" w:char="F03E"/>
            </w:r>
            <w:r w:rsidRPr="00BB2E4C">
              <w:rPr>
                <w:b/>
                <w:lang w:eastAsia="en-US"/>
              </w:rPr>
              <w:t> 1.5 to ≤ 3 </w:t>
            </w:r>
            <w:r w:rsidRPr="00BB2E4C">
              <w:rPr>
                <w:b/>
                <w:lang w:eastAsia="en-US"/>
              </w:rPr>
              <w:sym w:font="Symbol" w:char="F0B4"/>
            </w:r>
            <w:r w:rsidRPr="00BB2E4C">
              <w:rPr>
                <w:b/>
                <w:lang w:eastAsia="en-US"/>
              </w:rPr>
              <w:t xml:space="preserve"> the ULN)</w:t>
            </w:r>
          </w:p>
        </w:tc>
        <w:tc>
          <w:tcPr>
            <w:tcW w:w="1811" w:type="pct"/>
            <w:tcBorders>
              <w:top w:val="single" w:sz="4" w:space="0" w:color="auto"/>
              <w:left w:val="single" w:sz="4" w:space="0" w:color="auto"/>
              <w:bottom w:val="single" w:sz="4" w:space="0" w:color="auto"/>
              <w:right w:val="single" w:sz="4" w:space="0" w:color="auto"/>
            </w:tcBorders>
            <w:vAlign w:val="bottom"/>
          </w:tcPr>
          <w:p w14:paraId="0712491B" w14:textId="77777777" w:rsidR="00EB59E2" w:rsidRPr="00E572F4" w:rsidRDefault="00832FF8" w:rsidP="00A627AA">
            <w:pPr>
              <w:keepNext/>
              <w:keepLines/>
              <w:jc w:val="center"/>
              <w:rPr>
                <w:rFonts w:eastAsia="MS Mincho"/>
                <w:b/>
                <w:szCs w:val="24"/>
                <w:lang w:eastAsia="en-US"/>
              </w:rPr>
            </w:pPr>
            <w:r w:rsidRPr="00E572F4">
              <w:rPr>
                <w:rFonts w:eastAsia="MS Mincho"/>
                <w:b/>
                <w:szCs w:val="24"/>
                <w:lang w:eastAsia="en-US"/>
              </w:rPr>
              <w:t>Grade 3</w:t>
            </w:r>
          </w:p>
          <w:p w14:paraId="0712491C" w14:textId="77777777" w:rsidR="00832FF8" w:rsidRPr="00E572F4" w:rsidRDefault="00832FF8" w:rsidP="00A627AA">
            <w:pPr>
              <w:keepNext/>
              <w:keepLines/>
              <w:jc w:val="center"/>
              <w:rPr>
                <w:rFonts w:eastAsia="MS Mincho"/>
                <w:b/>
                <w:szCs w:val="24"/>
                <w:lang w:eastAsia="en-US"/>
              </w:rPr>
            </w:pPr>
            <w:r w:rsidRPr="00BB2E4C">
              <w:rPr>
                <w:rFonts w:eastAsia="MS Mincho"/>
                <w:b/>
                <w:lang w:eastAsia="en-US"/>
              </w:rPr>
              <w:t>(</w:t>
            </w:r>
            <w:r w:rsidRPr="00BB2E4C">
              <w:rPr>
                <w:rFonts w:eastAsia="MS Mincho"/>
                <w:b/>
                <w:lang w:eastAsia="en-US"/>
              </w:rPr>
              <w:sym w:font="Symbol" w:char="F03E"/>
            </w:r>
            <w:r w:rsidRPr="00BB2E4C">
              <w:rPr>
                <w:rFonts w:eastAsia="MS Mincho"/>
                <w:b/>
                <w:lang w:eastAsia="en-US"/>
              </w:rPr>
              <w:t xml:space="preserve"> 3 to </w:t>
            </w:r>
            <w:r w:rsidRPr="00BB2E4C">
              <w:rPr>
                <w:b/>
                <w:lang w:eastAsia="en-US"/>
              </w:rPr>
              <w:t>≤</w:t>
            </w:r>
            <w:r w:rsidRPr="00BB2E4C">
              <w:rPr>
                <w:rFonts w:eastAsia="MS Mincho"/>
                <w:b/>
                <w:lang w:eastAsia="en-US"/>
              </w:rPr>
              <w:t xml:space="preserve"> 10 </w:t>
            </w:r>
            <w:r w:rsidRPr="00BB2E4C">
              <w:rPr>
                <w:rFonts w:eastAsia="MS Mincho"/>
                <w:b/>
                <w:lang w:eastAsia="en-US"/>
              </w:rPr>
              <w:sym w:font="Symbol" w:char="F0B4"/>
            </w:r>
            <w:r w:rsidRPr="00BB2E4C">
              <w:rPr>
                <w:rFonts w:eastAsia="MS Mincho"/>
                <w:b/>
                <w:lang w:eastAsia="en-US"/>
              </w:rPr>
              <w:t xml:space="preserve"> the ULN)</w:t>
            </w:r>
          </w:p>
        </w:tc>
        <w:tc>
          <w:tcPr>
            <w:tcW w:w="1082" w:type="pct"/>
            <w:tcBorders>
              <w:top w:val="single" w:sz="4" w:space="0" w:color="auto"/>
              <w:left w:val="single" w:sz="4" w:space="0" w:color="auto"/>
              <w:bottom w:val="single" w:sz="4" w:space="0" w:color="auto"/>
              <w:right w:val="single" w:sz="4" w:space="0" w:color="auto"/>
            </w:tcBorders>
            <w:vAlign w:val="bottom"/>
          </w:tcPr>
          <w:p w14:paraId="0712491D" w14:textId="77777777" w:rsidR="00EB59E2" w:rsidRPr="00E572F4" w:rsidRDefault="00832FF8" w:rsidP="00A627AA">
            <w:pPr>
              <w:keepNext/>
              <w:keepLines/>
              <w:jc w:val="center"/>
              <w:rPr>
                <w:rFonts w:eastAsia="MS Mincho"/>
                <w:b/>
                <w:szCs w:val="24"/>
                <w:lang w:eastAsia="en-US"/>
              </w:rPr>
            </w:pPr>
            <w:r w:rsidRPr="00E572F4">
              <w:rPr>
                <w:rFonts w:eastAsia="MS Mincho"/>
                <w:b/>
                <w:szCs w:val="24"/>
                <w:lang w:eastAsia="en-US"/>
              </w:rPr>
              <w:t>Grade 4</w:t>
            </w:r>
          </w:p>
          <w:p w14:paraId="0712491E" w14:textId="77777777" w:rsidR="00832FF8" w:rsidRPr="00E572F4" w:rsidRDefault="00832FF8" w:rsidP="00A627AA">
            <w:pPr>
              <w:keepNext/>
              <w:keepLines/>
              <w:jc w:val="center"/>
              <w:rPr>
                <w:rFonts w:eastAsia="MS Mincho"/>
                <w:b/>
                <w:szCs w:val="24"/>
                <w:lang w:eastAsia="en-US"/>
              </w:rPr>
            </w:pPr>
            <w:r w:rsidRPr="00BB2E4C">
              <w:rPr>
                <w:rFonts w:eastAsia="MS Mincho"/>
                <w:b/>
                <w:lang w:eastAsia="en-US"/>
              </w:rPr>
              <w:t>(</w:t>
            </w:r>
            <w:r w:rsidRPr="00BB2E4C">
              <w:rPr>
                <w:rFonts w:eastAsia="MS Mincho"/>
                <w:b/>
                <w:lang w:eastAsia="en-US"/>
              </w:rPr>
              <w:sym w:font="Symbol" w:char="F03E"/>
            </w:r>
            <w:r w:rsidRPr="00BB2E4C">
              <w:rPr>
                <w:rFonts w:eastAsia="MS Mincho"/>
                <w:b/>
                <w:lang w:eastAsia="en-US"/>
              </w:rPr>
              <w:t> 10 </w:t>
            </w:r>
            <w:r w:rsidRPr="00BB2E4C">
              <w:rPr>
                <w:rFonts w:eastAsia="MS Mincho"/>
                <w:b/>
                <w:lang w:eastAsia="en-US"/>
              </w:rPr>
              <w:sym w:font="Symbol" w:char="F0B4"/>
            </w:r>
            <w:r w:rsidRPr="00BB2E4C">
              <w:rPr>
                <w:rFonts w:eastAsia="MS Mincho"/>
                <w:b/>
                <w:lang w:eastAsia="en-US"/>
              </w:rPr>
              <w:t xml:space="preserve"> the ULN)</w:t>
            </w:r>
          </w:p>
        </w:tc>
      </w:tr>
      <w:tr w:rsidR="00832FF8" w:rsidRPr="00EB59E2" w14:paraId="07124924" w14:textId="77777777" w:rsidTr="001E5506">
        <w:tc>
          <w:tcPr>
            <w:tcW w:w="2107" w:type="pct"/>
            <w:tcBorders>
              <w:top w:val="single" w:sz="4" w:space="0" w:color="auto"/>
              <w:left w:val="single" w:sz="4" w:space="0" w:color="auto"/>
              <w:bottom w:val="single" w:sz="4" w:space="0" w:color="auto"/>
              <w:right w:val="single" w:sz="4" w:space="0" w:color="auto"/>
            </w:tcBorders>
          </w:tcPr>
          <w:p w14:paraId="07124920" w14:textId="77777777" w:rsidR="00832FF8" w:rsidRPr="000828D3" w:rsidRDefault="00832FF8" w:rsidP="00A627AA">
            <w:pPr>
              <w:keepNext/>
              <w:keepLines/>
              <w:jc w:val="left"/>
              <w:rPr>
                <w:lang w:eastAsia="en-US"/>
              </w:rPr>
            </w:pPr>
            <w:r w:rsidRPr="000828D3">
              <w:rPr>
                <w:lang w:eastAsia="en-US"/>
              </w:rPr>
              <w:t xml:space="preserve">Do not administer </w:t>
            </w:r>
            <w:r>
              <w:rPr>
                <w:lang w:eastAsia="en-US"/>
              </w:rPr>
              <w:t>KADCYLA</w:t>
            </w:r>
            <w:r w:rsidRPr="000828D3">
              <w:rPr>
                <w:lang w:eastAsia="en-US"/>
              </w:rPr>
              <w:t xml:space="preserve"> until total bilirubin recovers to Grade </w:t>
            </w:r>
            <w:r w:rsidRPr="000828D3">
              <w:rPr>
                <w:lang w:eastAsia="en-US"/>
              </w:rPr>
              <w:sym w:font="Symbol" w:char="F0A3"/>
            </w:r>
            <w:r w:rsidRPr="000828D3">
              <w:rPr>
                <w:lang w:eastAsia="en-US"/>
              </w:rPr>
              <w:t> 1, and then treat at the same dose level.</w:t>
            </w:r>
          </w:p>
          <w:p w14:paraId="07124921" w14:textId="77777777" w:rsidR="00832FF8" w:rsidRPr="00EB59E2" w:rsidRDefault="00832FF8" w:rsidP="00A627AA">
            <w:pPr>
              <w:keepNext/>
              <w:keepLines/>
              <w:jc w:val="left"/>
              <w:rPr>
                <w:rFonts w:eastAsia="MS Mincho"/>
                <w:szCs w:val="24"/>
                <w:lang w:eastAsia="en-US"/>
              </w:rPr>
            </w:pPr>
          </w:p>
        </w:tc>
        <w:tc>
          <w:tcPr>
            <w:tcW w:w="1811" w:type="pct"/>
            <w:tcBorders>
              <w:top w:val="single" w:sz="4" w:space="0" w:color="auto"/>
              <w:left w:val="single" w:sz="4" w:space="0" w:color="auto"/>
              <w:bottom w:val="single" w:sz="4" w:space="0" w:color="auto"/>
              <w:right w:val="single" w:sz="4" w:space="0" w:color="auto"/>
            </w:tcBorders>
          </w:tcPr>
          <w:p w14:paraId="07124922" w14:textId="77777777" w:rsidR="00832FF8" w:rsidRPr="00EB59E2" w:rsidRDefault="00832FF8" w:rsidP="00A627AA">
            <w:pPr>
              <w:keepNext/>
              <w:keepLines/>
              <w:jc w:val="left"/>
              <w:rPr>
                <w:rFonts w:eastAsia="MS Mincho"/>
                <w:szCs w:val="24"/>
                <w:lang w:eastAsia="en-US"/>
              </w:rPr>
            </w:pPr>
            <w:r w:rsidRPr="000828D3">
              <w:rPr>
                <w:rFonts w:eastAsia="MS Mincho"/>
                <w:lang w:eastAsia="en-US"/>
              </w:rPr>
              <w:t xml:space="preserve">Do not administer </w:t>
            </w:r>
            <w:r>
              <w:rPr>
                <w:rFonts w:eastAsia="MS Mincho"/>
                <w:lang w:eastAsia="en-US"/>
              </w:rPr>
              <w:t>KADCYLA</w:t>
            </w:r>
            <w:r w:rsidRPr="000828D3">
              <w:rPr>
                <w:rFonts w:eastAsia="MS Mincho"/>
                <w:lang w:eastAsia="en-US"/>
              </w:rPr>
              <w:t xml:space="preserve"> until total bilirubin recovers to Grade ≤ 1 and then reduce one dose level. </w:t>
            </w:r>
          </w:p>
        </w:tc>
        <w:tc>
          <w:tcPr>
            <w:tcW w:w="1082" w:type="pct"/>
            <w:tcBorders>
              <w:top w:val="single" w:sz="4" w:space="0" w:color="auto"/>
              <w:left w:val="single" w:sz="4" w:space="0" w:color="auto"/>
              <w:bottom w:val="single" w:sz="4" w:space="0" w:color="auto"/>
              <w:right w:val="single" w:sz="4" w:space="0" w:color="auto"/>
            </w:tcBorders>
          </w:tcPr>
          <w:p w14:paraId="07124923" w14:textId="77777777" w:rsidR="00832FF8" w:rsidRPr="00EB59E2" w:rsidRDefault="00832FF8" w:rsidP="00A627AA">
            <w:pPr>
              <w:keepNext/>
              <w:keepLines/>
              <w:jc w:val="center"/>
              <w:rPr>
                <w:rFonts w:eastAsia="MS Mincho"/>
                <w:szCs w:val="24"/>
                <w:lang w:eastAsia="en-US"/>
              </w:rPr>
            </w:pPr>
            <w:r w:rsidRPr="000828D3">
              <w:rPr>
                <w:rFonts w:eastAsia="MS Mincho"/>
                <w:lang w:eastAsia="en-US"/>
              </w:rPr>
              <w:t xml:space="preserve">Discontinue </w:t>
            </w:r>
            <w:r>
              <w:t>KADCYLA</w:t>
            </w:r>
          </w:p>
        </w:tc>
      </w:tr>
      <w:tr w:rsidR="00EB59E2" w:rsidRPr="00EB59E2" w14:paraId="07124926" w14:textId="77777777" w:rsidTr="001E5506">
        <w:tc>
          <w:tcPr>
            <w:tcW w:w="5000" w:type="pct"/>
            <w:gridSpan w:val="3"/>
            <w:tcBorders>
              <w:top w:val="single" w:sz="4" w:space="0" w:color="auto"/>
            </w:tcBorders>
          </w:tcPr>
          <w:p w14:paraId="07124925" w14:textId="77777777" w:rsidR="00EB59E2" w:rsidRPr="00EB59E2" w:rsidRDefault="00DB0BB8" w:rsidP="001E5506">
            <w:pPr>
              <w:keepNext/>
              <w:keepLines/>
              <w:ind w:left="28"/>
              <w:rPr>
                <w:rFonts w:eastAsia="MS Mincho"/>
                <w:szCs w:val="24"/>
                <w:lang w:eastAsia="en-US"/>
              </w:rPr>
            </w:pPr>
            <w:r w:rsidRPr="000828D3">
              <w:rPr>
                <w:rFonts w:eastAsia="MS Mincho"/>
                <w:sz w:val="18"/>
                <w:szCs w:val="18"/>
                <w:lang w:eastAsia="en-US"/>
              </w:rPr>
              <w:t>ULN </w:t>
            </w:r>
            <w:r w:rsidRPr="000828D3">
              <w:rPr>
                <w:rFonts w:eastAsia="MS Mincho"/>
                <w:sz w:val="18"/>
                <w:szCs w:val="18"/>
                <w:lang w:eastAsia="en-US"/>
              </w:rPr>
              <w:sym w:font="Symbol" w:char="F03D"/>
            </w:r>
            <w:r w:rsidRPr="000828D3">
              <w:rPr>
                <w:rFonts w:eastAsia="MS Mincho"/>
                <w:sz w:val="18"/>
                <w:szCs w:val="18"/>
                <w:lang w:eastAsia="en-US"/>
              </w:rPr>
              <w:t> upper limit of normal</w:t>
            </w:r>
          </w:p>
        </w:tc>
      </w:tr>
    </w:tbl>
    <w:p w14:paraId="0712492A" w14:textId="77777777" w:rsidR="00341D2A" w:rsidRPr="00EB59E2" w:rsidRDefault="00341D2A" w:rsidP="00342947">
      <w:pPr>
        <w:rPr>
          <w:rStyle w:val="Heading3Char"/>
          <w:rFonts w:eastAsia="PMingLiU"/>
        </w:rPr>
      </w:pPr>
    </w:p>
    <w:p w14:paraId="0712492B" w14:textId="77777777" w:rsidR="00382549" w:rsidRPr="00342947" w:rsidRDefault="00382549" w:rsidP="00342947">
      <w:pPr>
        <w:rPr>
          <w:rStyle w:val="Heading3Char"/>
          <w:rFonts w:eastAsia="PMingLiU"/>
          <w:b w:val="0"/>
        </w:rPr>
      </w:pPr>
      <w:r w:rsidRPr="00342947">
        <w:rPr>
          <w:rStyle w:val="Heading3Char"/>
          <w:rFonts w:eastAsia="PMingLiU"/>
          <w:b w:val="0"/>
        </w:rPr>
        <w:t>Thrombocytopenia</w:t>
      </w:r>
    </w:p>
    <w:p w14:paraId="0712492C" w14:textId="77777777" w:rsidR="00701DAB" w:rsidRDefault="00701DAB" w:rsidP="00BB2E4C">
      <w:pPr>
        <w:pStyle w:val="TableTitle"/>
        <w:spacing w:before="0" w:after="0" w:line="240" w:lineRule="auto"/>
        <w:ind w:left="1077" w:hanging="1077"/>
        <w:rPr>
          <w:rFonts w:ascii="Times New Roman" w:hAnsi="Times New Roman"/>
          <w:lang w:eastAsia="en-US"/>
        </w:rPr>
      </w:pPr>
    </w:p>
    <w:p w14:paraId="0712492D" w14:textId="77777777" w:rsidR="00382549" w:rsidRDefault="00282C00" w:rsidP="00BB2E4C">
      <w:pPr>
        <w:pStyle w:val="TableTitle"/>
        <w:spacing w:before="0" w:after="0" w:line="240" w:lineRule="auto"/>
        <w:ind w:left="1077" w:hanging="1077"/>
        <w:rPr>
          <w:rFonts w:ascii="Times New Roman" w:hAnsi="Times New Roman"/>
          <w:lang w:eastAsia="en-US"/>
        </w:rPr>
      </w:pPr>
      <w:r w:rsidRPr="00282C00">
        <w:rPr>
          <w:rFonts w:ascii="Times New Roman" w:hAnsi="Times New Roman"/>
          <w:lang w:eastAsia="en-US"/>
        </w:rPr>
        <w:t>Table </w:t>
      </w:r>
      <w:r w:rsidRPr="00282C00">
        <w:rPr>
          <w:rFonts w:ascii="Times New Roman" w:hAnsi="Times New Roman"/>
          <w:lang w:eastAsia="en-US"/>
        </w:rPr>
        <w:fldChar w:fldCharType="begin"/>
      </w:r>
      <w:r w:rsidRPr="00282C00">
        <w:rPr>
          <w:rFonts w:ascii="Times New Roman" w:hAnsi="Times New Roman"/>
          <w:lang w:eastAsia="en-US"/>
        </w:rPr>
        <w:instrText xml:space="preserve"> SEQ Table \* ARABIC </w:instrText>
      </w:r>
      <w:r w:rsidRPr="00282C00">
        <w:rPr>
          <w:rFonts w:ascii="Times New Roman" w:hAnsi="Times New Roman"/>
          <w:lang w:eastAsia="en-US"/>
        </w:rPr>
        <w:fldChar w:fldCharType="separate"/>
      </w:r>
      <w:r w:rsidR="00560709">
        <w:rPr>
          <w:rFonts w:ascii="Times New Roman" w:hAnsi="Times New Roman"/>
          <w:noProof/>
          <w:lang w:eastAsia="en-US"/>
        </w:rPr>
        <w:t>7</w:t>
      </w:r>
      <w:r w:rsidRPr="00282C00">
        <w:rPr>
          <w:rFonts w:ascii="Times New Roman" w:hAnsi="Times New Roman"/>
          <w:lang w:eastAsia="en-US"/>
        </w:rPr>
        <w:fldChar w:fldCharType="end"/>
      </w:r>
      <w:r w:rsidR="00382549" w:rsidRPr="00EB59E2">
        <w:rPr>
          <w:rFonts w:ascii="Times New Roman" w:hAnsi="Times New Roman"/>
          <w:lang w:eastAsia="en-US"/>
        </w:rPr>
        <w:tab/>
        <w:t>Dose Modification Guidelines for Thrombocytopenia</w:t>
      </w:r>
    </w:p>
    <w:p w14:paraId="0712492E" w14:textId="77777777" w:rsidR="00E572F4" w:rsidRPr="00BB2E4C" w:rsidRDefault="00E572F4" w:rsidP="00BB2E4C">
      <w:pPr>
        <w:pStyle w:val="Paragraph"/>
        <w:tabs>
          <w:tab w:val="left" w:pos="1134"/>
        </w:tabs>
        <w:rPr>
          <w:lang w:val="en-US" w:eastAsia="en-US"/>
        </w:rPr>
      </w:pPr>
      <w:r>
        <w:rPr>
          <w:rFonts w:ascii="Times New Roman" w:eastAsia="Times New Roman" w:hAnsi="Times New Roman"/>
          <w:i/>
          <w:szCs w:val="20"/>
          <w:lang w:val="en-US" w:eastAsia="ja-JP"/>
        </w:rPr>
        <w:tab/>
      </w:r>
      <w:r w:rsidRPr="004C7441">
        <w:rPr>
          <w:rFonts w:ascii="Times New Roman" w:eastAsia="Times New Roman" w:hAnsi="Times New Roman"/>
          <w:i/>
          <w:szCs w:val="20"/>
          <w:lang w:val="en-US" w:eastAsia="ja-JP"/>
        </w:rPr>
        <w:t>(See Pre</w:t>
      </w:r>
      <w:r>
        <w:rPr>
          <w:rFonts w:ascii="Times New Roman" w:eastAsia="Times New Roman" w:hAnsi="Times New Roman"/>
          <w:i/>
          <w:szCs w:val="20"/>
          <w:lang w:val="en-US" w:eastAsia="ja-JP"/>
        </w:rPr>
        <w:t>cautions; Thrombocytopenia)</w:t>
      </w:r>
    </w:p>
    <w:tbl>
      <w:tblPr>
        <w:tblW w:w="4121" w:type="pct"/>
        <w:jc w:val="center"/>
        <w:tblInd w:w="-609" w:type="dxa"/>
        <w:tblLook w:val="00A0" w:firstRow="1" w:lastRow="0" w:firstColumn="1" w:lastColumn="0" w:noHBand="0" w:noVBand="0"/>
      </w:tblPr>
      <w:tblGrid>
        <w:gridCol w:w="3827"/>
        <w:gridCol w:w="3827"/>
      </w:tblGrid>
      <w:tr w:rsidR="00E572F4" w:rsidRPr="00EB59E2" w14:paraId="07124933" w14:textId="77777777" w:rsidTr="00BB2E4C">
        <w:trPr>
          <w:jc w:val="center"/>
        </w:trPr>
        <w:tc>
          <w:tcPr>
            <w:tcW w:w="2500" w:type="pct"/>
            <w:tcBorders>
              <w:top w:val="single" w:sz="4" w:space="0" w:color="auto"/>
              <w:left w:val="single" w:sz="4" w:space="0" w:color="auto"/>
              <w:bottom w:val="single" w:sz="4" w:space="0" w:color="auto"/>
              <w:right w:val="single" w:sz="4" w:space="0" w:color="auto"/>
            </w:tcBorders>
            <w:vAlign w:val="bottom"/>
          </w:tcPr>
          <w:p w14:paraId="0712492F" w14:textId="77777777" w:rsidR="00E572F4" w:rsidRPr="00E572F4" w:rsidRDefault="00E572F4" w:rsidP="00EB59E2">
            <w:pPr>
              <w:keepNext/>
              <w:keepLines/>
              <w:jc w:val="center"/>
              <w:rPr>
                <w:rFonts w:eastAsia="MS Mincho"/>
                <w:b/>
                <w:szCs w:val="24"/>
                <w:lang w:eastAsia="en-US"/>
              </w:rPr>
            </w:pPr>
            <w:r w:rsidRPr="00E572F4">
              <w:rPr>
                <w:rFonts w:eastAsia="MS Mincho"/>
                <w:b/>
                <w:szCs w:val="24"/>
                <w:lang w:eastAsia="en-US"/>
              </w:rPr>
              <w:t>Grade 3</w:t>
            </w:r>
          </w:p>
          <w:p w14:paraId="07124930" w14:textId="77777777" w:rsidR="00E572F4" w:rsidRPr="00E572F4" w:rsidRDefault="00E572F4" w:rsidP="00EB59E2">
            <w:pPr>
              <w:keepNext/>
              <w:keepLines/>
              <w:jc w:val="center"/>
              <w:rPr>
                <w:rFonts w:eastAsia="MS Mincho"/>
                <w:b/>
                <w:szCs w:val="24"/>
                <w:lang w:eastAsia="en-US"/>
              </w:rPr>
            </w:pPr>
            <w:r w:rsidRPr="00BB2E4C">
              <w:rPr>
                <w:rFonts w:eastAsia="MS Mincho"/>
                <w:b/>
                <w:lang w:eastAsia="en-US"/>
              </w:rPr>
              <w:t xml:space="preserve">25,000 to </w:t>
            </w:r>
            <w:r w:rsidRPr="00BB2E4C">
              <w:rPr>
                <w:rFonts w:eastAsia="MS Mincho"/>
                <w:b/>
                <w:lang w:eastAsia="en-US"/>
              </w:rPr>
              <w:sym w:font="Symbol" w:char="F03C"/>
            </w:r>
            <w:r w:rsidRPr="00BB2E4C">
              <w:rPr>
                <w:rFonts w:eastAsia="MS Mincho"/>
                <w:b/>
                <w:lang w:eastAsia="en-US"/>
              </w:rPr>
              <w:t> 50,000/mm</w:t>
            </w:r>
            <w:r w:rsidRPr="00BB2E4C">
              <w:rPr>
                <w:rFonts w:eastAsia="MS Mincho"/>
                <w:b/>
                <w:vertAlign w:val="superscript"/>
                <w:lang w:eastAsia="en-US"/>
              </w:rPr>
              <w:t>3</w:t>
            </w:r>
          </w:p>
        </w:tc>
        <w:tc>
          <w:tcPr>
            <w:tcW w:w="2500" w:type="pct"/>
            <w:tcBorders>
              <w:top w:val="single" w:sz="4" w:space="0" w:color="auto"/>
              <w:left w:val="single" w:sz="4" w:space="0" w:color="auto"/>
              <w:bottom w:val="single" w:sz="4" w:space="0" w:color="auto"/>
              <w:right w:val="single" w:sz="4" w:space="0" w:color="auto"/>
            </w:tcBorders>
            <w:vAlign w:val="bottom"/>
          </w:tcPr>
          <w:p w14:paraId="07124931" w14:textId="77777777" w:rsidR="00E572F4" w:rsidRPr="00E572F4" w:rsidRDefault="00E572F4" w:rsidP="00EB59E2">
            <w:pPr>
              <w:keepNext/>
              <w:keepLines/>
              <w:jc w:val="center"/>
              <w:rPr>
                <w:rFonts w:eastAsia="MS Mincho"/>
                <w:b/>
                <w:szCs w:val="24"/>
                <w:lang w:eastAsia="en-US"/>
              </w:rPr>
            </w:pPr>
            <w:r w:rsidRPr="00E572F4">
              <w:rPr>
                <w:rFonts w:eastAsia="MS Mincho"/>
                <w:b/>
                <w:szCs w:val="24"/>
                <w:lang w:eastAsia="en-US"/>
              </w:rPr>
              <w:t>Grade 4</w:t>
            </w:r>
          </w:p>
          <w:p w14:paraId="07124932" w14:textId="77777777" w:rsidR="00E572F4" w:rsidRPr="00E572F4" w:rsidRDefault="00E572F4" w:rsidP="00EB59E2">
            <w:pPr>
              <w:keepNext/>
              <w:keepLines/>
              <w:jc w:val="center"/>
              <w:rPr>
                <w:rFonts w:eastAsia="MS Mincho"/>
                <w:b/>
                <w:szCs w:val="24"/>
                <w:lang w:eastAsia="en-US"/>
              </w:rPr>
            </w:pPr>
            <w:r w:rsidRPr="00BB2E4C">
              <w:rPr>
                <w:rFonts w:eastAsia="MS Mincho"/>
                <w:b/>
                <w:lang w:eastAsia="en-US"/>
              </w:rPr>
              <w:sym w:font="Symbol" w:char="F03C"/>
            </w:r>
            <w:r w:rsidRPr="00BB2E4C">
              <w:rPr>
                <w:rFonts w:eastAsia="MS Mincho"/>
                <w:b/>
                <w:lang w:eastAsia="en-US"/>
              </w:rPr>
              <w:t> 25,000/mm</w:t>
            </w:r>
            <w:r w:rsidRPr="00BB2E4C">
              <w:rPr>
                <w:rFonts w:eastAsia="MS Mincho"/>
                <w:b/>
                <w:vertAlign w:val="superscript"/>
                <w:lang w:eastAsia="en-US"/>
              </w:rPr>
              <w:t>3</w:t>
            </w:r>
          </w:p>
        </w:tc>
      </w:tr>
      <w:tr w:rsidR="00E572F4" w:rsidRPr="00EB59E2" w14:paraId="07124936" w14:textId="77777777" w:rsidTr="00BB2E4C">
        <w:trPr>
          <w:jc w:val="center"/>
        </w:trPr>
        <w:tc>
          <w:tcPr>
            <w:tcW w:w="2500" w:type="pct"/>
            <w:tcBorders>
              <w:top w:val="single" w:sz="4" w:space="0" w:color="auto"/>
              <w:left w:val="single" w:sz="4" w:space="0" w:color="auto"/>
              <w:bottom w:val="single" w:sz="4" w:space="0" w:color="auto"/>
              <w:right w:val="single" w:sz="4" w:space="0" w:color="auto"/>
            </w:tcBorders>
          </w:tcPr>
          <w:p w14:paraId="07124934" w14:textId="77777777" w:rsidR="00E572F4" w:rsidRPr="00EB59E2" w:rsidRDefault="00E572F4" w:rsidP="00E572F4">
            <w:pPr>
              <w:keepNext/>
              <w:keepLines/>
              <w:jc w:val="left"/>
              <w:rPr>
                <w:rFonts w:eastAsia="MS Mincho"/>
                <w:szCs w:val="24"/>
                <w:lang w:eastAsia="en-US"/>
              </w:rPr>
            </w:pPr>
            <w:r w:rsidRPr="000828D3">
              <w:rPr>
                <w:rFonts w:eastAsia="MS Mincho"/>
                <w:lang w:eastAsia="en-US"/>
              </w:rPr>
              <w:t xml:space="preserve">Do not administer </w:t>
            </w:r>
            <w:r>
              <w:rPr>
                <w:rFonts w:eastAsia="MS Mincho"/>
                <w:lang w:eastAsia="en-US"/>
              </w:rPr>
              <w:t>KADCYLA</w:t>
            </w:r>
            <w:r w:rsidRPr="000828D3">
              <w:rPr>
                <w:rFonts w:eastAsia="MS Mincho"/>
                <w:lang w:eastAsia="en-US"/>
              </w:rPr>
              <w:t xml:space="preserve"> until platelet count recovers to </w:t>
            </w:r>
            <w:r w:rsidRPr="000828D3">
              <w:rPr>
                <w:rFonts w:eastAsia="MS Mincho"/>
                <w:lang w:eastAsia="en-US"/>
              </w:rPr>
              <w:sym w:font="Symbol" w:char="F0A3"/>
            </w:r>
            <w:r w:rsidRPr="000828D3">
              <w:rPr>
                <w:rFonts w:eastAsia="MS Mincho"/>
                <w:lang w:eastAsia="en-US"/>
              </w:rPr>
              <w:t xml:space="preserve"> Grade 1 (≥ 75,000/mm</w:t>
            </w:r>
            <w:r w:rsidRPr="000828D3">
              <w:rPr>
                <w:rFonts w:eastAsia="MS Mincho"/>
                <w:vertAlign w:val="superscript"/>
                <w:lang w:eastAsia="en-US"/>
              </w:rPr>
              <w:t>3</w:t>
            </w:r>
            <w:r w:rsidRPr="000828D3">
              <w:rPr>
                <w:rFonts w:eastAsia="MS Mincho"/>
                <w:lang w:eastAsia="en-US"/>
              </w:rPr>
              <w:t>), and then treat at the same dose level.</w:t>
            </w:r>
          </w:p>
        </w:tc>
        <w:tc>
          <w:tcPr>
            <w:tcW w:w="2500" w:type="pct"/>
            <w:tcBorders>
              <w:top w:val="single" w:sz="4" w:space="0" w:color="auto"/>
              <w:left w:val="single" w:sz="4" w:space="0" w:color="auto"/>
              <w:bottom w:val="single" w:sz="4" w:space="0" w:color="auto"/>
              <w:right w:val="single" w:sz="4" w:space="0" w:color="auto"/>
            </w:tcBorders>
          </w:tcPr>
          <w:p w14:paraId="07124935" w14:textId="77777777" w:rsidR="00E572F4" w:rsidRPr="00EB59E2" w:rsidRDefault="00E572F4" w:rsidP="00E572F4">
            <w:pPr>
              <w:keepNext/>
              <w:keepLines/>
              <w:jc w:val="left"/>
              <w:rPr>
                <w:rFonts w:eastAsia="MS Mincho"/>
                <w:szCs w:val="24"/>
                <w:lang w:eastAsia="en-US"/>
              </w:rPr>
            </w:pPr>
            <w:r w:rsidRPr="000828D3">
              <w:rPr>
                <w:rFonts w:eastAsia="MS Mincho"/>
                <w:lang w:eastAsia="en-US"/>
              </w:rPr>
              <w:t xml:space="preserve">Do not administer </w:t>
            </w:r>
            <w:r>
              <w:rPr>
                <w:rFonts w:eastAsia="MS Mincho"/>
                <w:lang w:eastAsia="en-US"/>
              </w:rPr>
              <w:t>KADCYLA</w:t>
            </w:r>
            <w:r w:rsidRPr="000828D3">
              <w:rPr>
                <w:rFonts w:eastAsia="MS Mincho"/>
                <w:lang w:eastAsia="en-US"/>
              </w:rPr>
              <w:t xml:space="preserve"> until platelet count recovers to </w:t>
            </w:r>
            <w:r w:rsidRPr="000828D3">
              <w:rPr>
                <w:rFonts w:eastAsia="MS Mincho"/>
                <w:lang w:eastAsia="en-US"/>
              </w:rPr>
              <w:sym w:font="Symbol" w:char="F0A3"/>
            </w:r>
            <w:r w:rsidRPr="000828D3">
              <w:rPr>
                <w:rFonts w:eastAsia="MS Mincho"/>
                <w:lang w:eastAsia="en-US"/>
              </w:rPr>
              <w:t xml:space="preserve"> Grade 1 (≥ 75,000/mm</w:t>
            </w:r>
            <w:r w:rsidRPr="000828D3">
              <w:rPr>
                <w:rFonts w:eastAsia="MS Mincho"/>
                <w:vertAlign w:val="superscript"/>
                <w:lang w:eastAsia="en-US"/>
              </w:rPr>
              <w:t>3</w:t>
            </w:r>
            <w:r w:rsidRPr="000828D3">
              <w:rPr>
                <w:rFonts w:eastAsia="MS Mincho"/>
                <w:lang w:eastAsia="en-US"/>
              </w:rPr>
              <w:t>), and then reduce one dose level.</w:t>
            </w:r>
          </w:p>
        </w:tc>
      </w:tr>
    </w:tbl>
    <w:p w14:paraId="5E6FE8A9" w14:textId="77777777" w:rsidR="00225C83" w:rsidRDefault="00225C83" w:rsidP="00EB59E2">
      <w:pPr>
        <w:pStyle w:val="TextTi12"/>
        <w:spacing w:after="0" w:line="240" w:lineRule="auto"/>
        <w:jc w:val="left"/>
        <w:rPr>
          <w:szCs w:val="24"/>
        </w:rPr>
      </w:pPr>
    </w:p>
    <w:p w14:paraId="07124939" w14:textId="063D7D1B" w:rsidR="00382549" w:rsidRPr="00B80F9E" w:rsidRDefault="00C338A1" w:rsidP="00EB59E2">
      <w:pPr>
        <w:pStyle w:val="TextTi12"/>
        <w:spacing w:after="0" w:line="240" w:lineRule="auto"/>
        <w:jc w:val="left"/>
        <w:rPr>
          <w:b/>
          <w:i/>
          <w:szCs w:val="24"/>
          <w:u w:val="single"/>
        </w:rPr>
      </w:pPr>
      <w:r>
        <w:rPr>
          <w:rStyle w:val="Heading3Char"/>
          <w:b w:val="0"/>
        </w:rPr>
        <w:t>L</w:t>
      </w:r>
      <w:r w:rsidR="00382549" w:rsidRPr="009C52F4">
        <w:rPr>
          <w:rStyle w:val="Heading3Char"/>
          <w:b w:val="0"/>
        </w:rPr>
        <w:t>eft Ventricular Cardiac Dysfunction</w:t>
      </w:r>
    </w:p>
    <w:p w14:paraId="0712493A" w14:textId="77777777" w:rsidR="00EB59E2" w:rsidRPr="00B80F9E" w:rsidRDefault="00EB59E2" w:rsidP="00EB59E2">
      <w:pPr>
        <w:pStyle w:val="TextTi12"/>
        <w:spacing w:after="0" w:line="240" w:lineRule="auto"/>
        <w:jc w:val="left"/>
        <w:rPr>
          <w:b/>
          <w:i/>
          <w:szCs w:val="24"/>
          <w:u w:val="single"/>
        </w:rPr>
      </w:pPr>
    </w:p>
    <w:p w14:paraId="0712493B" w14:textId="77777777" w:rsidR="00382549" w:rsidRDefault="00282C00" w:rsidP="00BB2E4C">
      <w:pPr>
        <w:pStyle w:val="TextTi12"/>
        <w:keepNext/>
        <w:keepLines/>
        <w:spacing w:after="0" w:line="240" w:lineRule="auto"/>
        <w:ind w:left="1077" w:hanging="1077"/>
        <w:jc w:val="left"/>
        <w:rPr>
          <w:rFonts w:eastAsia="SimSun"/>
          <w:b/>
          <w:szCs w:val="24"/>
          <w:lang w:eastAsia="en-US"/>
        </w:rPr>
      </w:pPr>
      <w:r w:rsidRPr="00EB59E2">
        <w:rPr>
          <w:b/>
          <w:szCs w:val="24"/>
          <w:lang w:eastAsia="en-US"/>
        </w:rPr>
        <w:t>Table </w:t>
      </w:r>
      <w:r w:rsidRPr="00EB59E2">
        <w:rPr>
          <w:b/>
          <w:szCs w:val="24"/>
          <w:lang w:eastAsia="en-US"/>
        </w:rPr>
        <w:fldChar w:fldCharType="begin"/>
      </w:r>
      <w:r w:rsidRPr="00EB59E2">
        <w:rPr>
          <w:b/>
          <w:szCs w:val="24"/>
          <w:lang w:eastAsia="en-US"/>
        </w:rPr>
        <w:instrText xml:space="preserve"> SEQ Table \* ARABIC </w:instrText>
      </w:r>
      <w:r w:rsidRPr="00EB59E2">
        <w:rPr>
          <w:b/>
          <w:szCs w:val="24"/>
          <w:lang w:eastAsia="en-US"/>
        </w:rPr>
        <w:fldChar w:fldCharType="separate"/>
      </w:r>
      <w:r w:rsidR="00560709">
        <w:rPr>
          <w:b/>
          <w:noProof/>
          <w:szCs w:val="24"/>
          <w:lang w:eastAsia="en-US"/>
        </w:rPr>
        <w:t>8</w:t>
      </w:r>
      <w:r w:rsidRPr="00EB59E2">
        <w:rPr>
          <w:b/>
          <w:szCs w:val="24"/>
          <w:lang w:eastAsia="en-US"/>
        </w:rPr>
        <w:fldChar w:fldCharType="end"/>
      </w:r>
      <w:r w:rsidR="00382549" w:rsidRPr="00EB59E2">
        <w:rPr>
          <w:szCs w:val="24"/>
          <w:lang w:eastAsia="en-US"/>
        </w:rPr>
        <w:tab/>
      </w:r>
      <w:r w:rsidR="00382549" w:rsidRPr="00EB59E2">
        <w:rPr>
          <w:rFonts w:eastAsia="SimSun"/>
          <w:b/>
          <w:szCs w:val="24"/>
          <w:lang w:eastAsia="en-US"/>
        </w:rPr>
        <w:t>Dose Modifications for Left Ventricular Cardiac Dysfunction</w:t>
      </w:r>
    </w:p>
    <w:p w14:paraId="0712493C" w14:textId="77777777" w:rsidR="006D75ED" w:rsidRPr="00844C97" w:rsidRDefault="006D75ED" w:rsidP="00BB2E4C">
      <w:pPr>
        <w:pStyle w:val="Paragraph"/>
        <w:tabs>
          <w:tab w:val="left" w:pos="1134"/>
        </w:tabs>
        <w:rPr>
          <w:lang w:val="en-US" w:eastAsia="en-US"/>
        </w:rPr>
      </w:pPr>
      <w:r>
        <w:rPr>
          <w:rFonts w:ascii="Times New Roman" w:eastAsia="Times New Roman" w:hAnsi="Times New Roman"/>
          <w:i/>
          <w:szCs w:val="20"/>
          <w:lang w:val="en-US" w:eastAsia="ja-JP"/>
        </w:rPr>
        <w:tab/>
        <w:t>(</w:t>
      </w:r>
      <w:r w:rsidRPr="004C7441">
        <w:rPr>
          <w:rFonts w:ascii="Times New Roman" w:eastAsia="Times New Roman" w:hAnsi="Times New Roman"/>
          <w:i/>
          <w:szCs w:val="20"/>
          <w:lang w:val="en-US" w:eastAsia="ja-JP"/>
        </w:rPr>
        <w:t>See Pre</w:t>
      </w:r>
      <w:r>
        <w:rPr>
          <w:rFonts w:ascii="Times New Roman" w:eastAsia="Times New Roman" w:hAnsi="Times New Roman"/>
          <w:i/>
          <w:szCs w:val="20"/>
          <w:lang w:val="en-US" w:eastAsia="ja-JP"/>
        </w:rPr>
        <w:t xml:space="preserve">cautions; </w:t>
      </w:r>
      <w:r w:rsidR="003D5846" w:rsidRPr="003D5846">
        <w:rPr>
          <w:rFonts w:ascii="Times New Roman" w:eastAsia="Times New Roman" w:hAnsi="Times New Roman"/>
          <w:i/>
          <w:szCs w:val="20"/>
          <w:lang w:val="en-US" w:eastAsia="ja-JP"/>
        </w:rPr>
        <w:t>Left Ventricular Dysfunction</w:t>
      </w:r>
      <w:r>
        <w:rPr>
          <w:rFonts w:ascii="Times New Roman" w:eastAsia="Times New Roman" w:hAnsi="Times New Roman"/>
          <w:i/>
          <w:szCs w:val="20"/>
          <w:lang w:val="en-US" w:eastAsia="ja-JP"/>
        </w:rPr>
        <w:t>)</w:t>
      </w:r>
    </w:p>
    <w:tbl>
      <w:tblPr>
        <w:tblW w:w="4805" w:type="pct"/>
        <w:jc w:val="center"/>
        <w:tblInd w:w="655" w:type="dxa"/>
        <w:tblLook w:val="00A0" w:firstRow="1" w:lastRow="0" w:firstColumn="1" w:lastColumn="0" w:noHBand="0" w:noVBand="0"/>
      </w:tblPr>
      <w:tblGrid>
        <w:gridCol w:w="1629"/>
        <w:gridCol w:w="2126"/>
        <w:gridCol w:w="2551"/>
        <w:gridCol w:w="2619"/>
      </w:tblGrid>
      <w:tr w:rsidR="00F91948" w:rsidRPr="00EB59E2" w14:paraId="07124941" w14:textId="77777777" w:rsidTr="00BB2E4C">
        <w:trPr>
          <w:jc w:val="center"/>
        </w:trPr>
        <w:tc>
          <w:tcPr>
            <w:tcW w:w="913" w:type="pct"/>
            <w:tcBorders>
              <w:top w:val="single" w:sz="4" w:space="0" w:color="auto"/>
              <w:left w:val="single" w:sz="4" w:space="0" w:color="auto"/>
              <w:bottom w:val="single" w:sz="4" w:space="0" w:color="auto"/>
              <w:right w:val="single" w:sz="4" w:space="0" w:color="auto"/>
            </w:tcBorders>
          </w:tcPr>
          <w:p w14:paraId="0712493D" w14:textId="77777777" w:rsidR="00F91948" w:rsidRPr="00F91948" w:rsidRDefault="00F91948" w:rsidP="00EB59E2">
            <w:pPr>
              <w:keepNext/>
              <w:keepLines/>
              <w:jc w:val="center"/>
              <w:rPr>
                <w:rFonts w:eastAsia="MS Mincho"/>
                <w:b/>
                <w:szCs w:val="24"/>
                <w:lang w:eastAsia="en-US"/>
              </w:rPr>
            </w:pPr>
            <w:r w:rsidRPr="00BB2E4C">
              <w:rPr>
                <w:rFonts w:eastAsia="MS Mincho"/>
                <w:b/>
                <w:lang w:eastAsia="en-US"/>
              </w:rPr>
              <w:t>Symptomatic CHF</w:t>
            </w:r>
          </w:p>
        </w:tc>
        <w:tc>
          <w:tcPr>
            <w:tcW w:w="1191" w:type="pct"/>
            <w:tcBorders>
              <w:top w:val="single" w:sz="4" w:space="0" w:color="auto"/>
              <w:left w:val="single" w:sz="4" w:space="0" w:color="auto"/>
              <w:bottom w:val="single" w:sz="4" w:space="0" w:color="auto"/>
              <w:right w:val="single" w:sz="4" w:space="0" w:color="auto"/>
            </w:tcBorders>
          </w:tcPr>
          <w:p w14:paraId="0712493E" w14:textId="77777777" w:rsidR="00F91948" w:rsidRPr="00F91948" w:rsidRDefault="00F91948" w:rsidP="00EB59E2">
            <w:pPr>
              <w:keepNext/>
              <w:keepLines/>
              <w:jc w:val="center"/>
              <w:rPr>
                <w:rFonts w:eastAsia="MS Mincho"/>
                <w:b/>
                <w:szCs w:val="24"/>
                <w:lang w:eastAsia="en-US"/>
              </w:rPr>
            </w:pPr>
            <w:r w:rsidRPr="00BB2E4C">
              <w:rPr>
                <w:rFonts w:eastAsia="MS Mincho"/>
                <w:b/>
                <w:lang w:eastAsia="en-US"/>
              </w:rPr>
              <w:t>LVEF &lt;40%</w:t>
            </w:r>
          </w:p>
        </w:tc>
        <w:tc>
          <w:tcPr>
            <w:tcW w:w="1429" w:type="pct"/>
            <w:tcBorders>
              <w:top w:val="single" w:sz="4" w:space="0" w:color="auto"/>
              <w:left w:val="single" w:sz="4" w:space="0" w:color="auto"/>
              <w:bottom w:val="single" w:sz="4" w:space="0" w:color="auto"/>
              <w:right w:val="single" w:sz="4" w:space="0" w:color="auto"/>
            </w:tcBorders>
          </w:tcPr>
          <w:p w14:paraId="0712493F" w14:textId="77777777" w:rsidR="00F91948" w:rsidRPr="00F91948" w:rsidRDefault="00F91948" w:rsidP="00EB59E2">
            <w:pPr>
              <w:keepNext/>
              <w:keepLines/>
              <w:jc w:val="center"/>
              <w:rPr>
                <w:rFonts w:eastAsia="MS Mincho"/>
                <w:b/>
                <w:szCs w:val="24"/>
                <w:lang w:eastAsia="en-US"/>
              </w:rPr>
            </w:pPr>
            <w:r w:rsidRPr="00BB2E4C">
              <w:rPr>
                <w:rFonts w:eastAsia="MS Mincho"/>
                <w:b/>
                <w:lang w:eastAsia="en-US"/>
              </w:rPr>
              <w:t>LVEF 40% to ≤ 45% and decrease is ≥ 10% points from baseline</w:t>
            </w:r>
          </w:p>
        </w:tc>
        <w:tc>
          <w:tcPr>
            <w:tcW w:w="1467" w:type="pct"/>
            <w:tcBorders>
              <w:top w:val="single" w:sz="4" w:space="0" w:color="auto"/>
              <w:left w:val="single" w:sz="4" w:space="0" w:color="auto"/>
              <w:bottom w:val="single" w:sz="4" w:space="0" w:color="auto"/>
              <w:right w:val="single" w:sz="4" w:space="0" w:color="auto"/>
            </w:tcBorders>
          </w:tcPr>
          <w:p w14:paraId="07124940" w14:textId="77777777" w:rsidR="00F91948" w:rsidRPr="00F91948" w:rsidRDefault="00F91948" w:rsidP="00EB59E2">
            <w:pPr>
              <w:keepNext/>
              <w:keepLines/>
              <w:jc w:val="center"/>
              <w:rPr>
                <w:rFonts w:eastAsia="MS Mincho"/>
                <w:b/>
                <w:szCs w:val="24"/>
                <w:lang w:eastAsia="en-US"/>
              </w:rPr>
            </w:pPr>
            <w:r w:rsidRPr="00BB2E4C">
              <w:rPr>
                <w:rFonts w:eastAsia="MS Mincho"/>
                <w:b/>
                <w:lang w:eastAsia="en-US"/>
              </w:rPr>
              <w:t>LVEF 40% to ≤ 45% and decrease is &lt; 10% points from baseline</w:t>
            </w:r>
          </w:p>
        </w:tc>
      </w:tr>
      <w:tr w:rsidR="00F91948" w:rsidRPr="00EB59E2" w14:paraId="0712494E" w14:textId="77777777" w:rsidTr="00F91948">
        <w:trPr>
          <w:jc w:val="center"/>
        </w:trPr>
        <w:tc>
          <w:tcPr>
            <w:tcW w:w="913" w:type="pct"/>
            <w:tcBorders>
              <w:top w:val="single" w:sz="4" w:space="0" w:color="auto"/>
              <w:left w:val="single" w:sz="4" w:space="0" w:color="auto"/>
              <w:bottom w:val="single" w:sz="4" w:space="0" w:color="auto"/>
              <w:right w:val="single" w:sz="4" w:space="0" w:color="auto"/>
            </w:tcBorders>
          </w:tcPr>
          <w:p w14:paraId="07124942" w14:textId="77777777" w:rsidR="00F91948" w:rsidRPr="000828D3" w:rsidRDefault="00F91948" w:rsidP="00BB2E4C">
            <w:pPr>
              <w:keepNext/>
              <w:keepLines/>
              <w:jc w:val="left"/>
              <w:rPr>
                <w:lang w:eastAsia="en-US"/>
              </w:rPr>
            </w:pPr>
            <w:r w:rsidRPr="000828D3">
              <w:rPr>
                <w:lang w:eastAsia="en-US"/>
              </w:rPr>
              <w:t xml:space="preserve">Discontinue </w:t>
            </w:r>
            <w:r>
              <w:rPr>
                <w:lang w:eastAsia="en-US"/>
              </w:rPr>
              <w:t>KADCYLA</w:t>
            </w:r>
          </w:p>
          <w:p w14:paraId="07124943" w14:textId="77777777" w:rsidR="00F91948" w:rsidRPr="00EB59E2" w:rsidRDefault="00F91948" w:rsidP="00F91948">
            <w:pPr>
              <w:keepNext/>
              <w:keepLines/>
              <w:jc w:val="left"/>
              <w:rPr>
                <w:rFonts w:eastAsia="MS Mincho"/>
                <w:szCs w:val="24"/>
                <w:lang w:eastAsia="en-US"/>
              </w:rPr>
            </w:pPr>
          </w:p>
        </w:tc>
        <w:tc>
          <w:tcPr>
            <w:tcW w:w="1191" w:type="pct"/>
            <w:tcBorders>
              <w:top w:val="single" w:sz="4" w:space="0" w:color="auto"/>
              <w:left w:val="single" w:sz="4" w:space="0" w:color="auto"/>
              <w:bottom w:val="single" w:sz="4" w:space="0" w:color="auto"/>
              <w:right w:val="single" w:sz="4" w:space="0" w:color="auto"/>
            </w:tcBorders>
          </w:tcPr>
          <w:p w14:paraId="07124944" w14:textId="77777777" w:rsidR="00F91948" w:rsidRPr="000828D3" w:rsidRDefault="00F91948" w:rsidP="00BB2E4C">
            <w:pPr>
              <w:keepNext/>
              <w:keepLines/>
              <w:jc w:val="left"/>
              <w:rPr>
                <w:lang w:eastAsia="en-US"/>
              </w:rPr>
            </w:pPr>
            <w:r w:rsidRPr="000828D3">
              <w:rPr>
                <w:lang w:eastAsia="en-US"/>
              </w:rPr>
              <w:t xml:space="preserve">Do not administer </w:t>
            </w:r>
            <w:r>
              <w:rPr>
                <w:lang w:eastAsia="en-US"/>
              </w:rPr>
              <w:t>KADCYLA</w:t>
            </w:r>
            <w:r w:rsidRPr="000828D3">
              <w:rPr>
                <w:lang w:eastAsia="en-US"/>
              </w:rPr>
              <w:t>.</w:t>
            </w:r>
          </w:p>
          <w:p w14:paraId="07124945" w14:textId="7DBACBCC" w:rsidR="00F91948" w:rsidRPr="000828D3" w:rsidRDefault="00F91948" w:rsidP="00BB2E4C">
            <w:pPr>
              <w:keepNext/>
              <w:keepLines/>
              <w:jc w:val="left"/>
              <w:rPr>
                <w:lang w:eastAsia="en-US"/>
              </w:rPr>
            </w:pPr>
          </w:p>
          <w:p w14:paraId="07124947" w14:textId="7FF539E4" w:rsidR="00F91948" w:rsidRPr="00EB59E2" w:rsidRDefault="00F91948" w:rsidP="00225C83">
            <w:pPr>
              <w:keepNext/>
              <w:keepLines/>
              <w:jc w:val="left"/>
              <w:rPr>
                <w:rFonts w:eastAsia="MS Mincho"/>
                <w:szCs w:val="24"/>
                <w:lang w:eastAsia="en-US"/>
              </w:rPr>
            </w:pPr>
            <w:r w:rsidRPr="000828D3">
              <w:rPr>
                <w:lang w:eastAsia="en-US"/>
              </w:rPr>
              <w:t xml:space="preserve">Repeat LVEF assessment within 3 weeks. If LVEF &lt;40% is confirmed, discontinue </w:t>
            </w:r>
            <w:r w:rsidR="000A4E40">
              <w:rPr>
                <w:lang w:eastAsia="en-US"/>
              </w:rPr>
              <w:t>KADCYLA</w:t>
            </w:r>
            <w:r w:rsidRPr="000828D3">
              <w:rPr>
                <w:lang w:eastAsia="en-US"/>
              </w:rPr>
              <w:t>.</w:t>
            </w:r>
          </w:p>
        </w:tc>
        <w:tc>
          <w:tcPr>
            <w:tcW w:w="1429" w:type="pct"/>
            <w:tcBorders>
              <w:top w:val="single" w:sz="4" w:space="0" w:color="auto"/>
              <w:left w:val="single" w:sz="4" w:space="0" w:color="auto"/>
              <w:bottom w:val="single" w:sz="4" w:space="0" w:color="auto"/>
              <w:right w:val="single" w:sz="4" w:space="0" w:color="auto"/>
            </w:tcBorders>
          </w:tcPr>
          <w:p w14:paraId="07124948" w14:textId="77777777" w:rsidR="00F91948" w:rsidRPr="000828D3" w:rsidRDefault="00F91948" w:rsidP="00BB2E4C">
            <w:pPr>
              <w:keepNext/>
              <w:keepLines/>
              <w:jc w:val="left"/>
            </w:pPr>
            <w:r w:rsidRPr="000828D3">
              <w:rPr>
                <w:lang w:eastAsia="en-US"/>
              </w:rPr>
              <w:t xml:space="preserve">Do not administer </w:t>
            </w:r>
            <w:r>
              <w:rPr>
                <w:lang w:eastAsia="en-US"/>
              </w:rPr>
              <w:t>KADCYLA</w:t>
            </w:r>
            <w:r w:rsidRPr="000828D3">
              <w:rPr>
                <w:lang w:eastAsia="en-US"/>
              </w:rPr>
              <w:t>.</w:t>
            </w:r>
          </w:p>
          <w:p w14:paraId="07124949" w14:textId="77777777" w:rsidR="00F91948" w:rsidRPr="000828D3" w:rsidRDefault="00F91948" w:rsidP="00BB2E4C">
            <w:pPr>
              <w:keepNext/>
              <w:keepLines/>
              <w:jc w:val="left"/>
            </w:pPr>
          </w:p>
          <w:p w14:paraId="0712494A" w14:textId="77777777" w:rsidR="00F91948" w:rsidRPr="00EB59E2" w:rsidRDefault="00F91948" w:rsidP="000A4E40">
            <w:pPr>
              <w:keepNext/>
              <w:keepLines/>
              <w:jc w:val="left"/>
              <w:rPr>
                <w:rFonts w:eastAsia="MS Mincho"/>
                <w:szCs w:val="24"/>
                <w:lang w:eastAsia="en-US"/>
              </w:rPr>
            </w:pPr>
            <w:r w:rsidRPr="000828D3">
              <w:t xml:space="preserve">Repeat LVEF assessment within 3 weeks. If the LVEF has not recovered to within 10% points from baseline, discontinue </w:t>
            </w:r>
            <w:r w:rsidR="000A4E40">
              <w:t>KADCYLA</w:t>
            </w:r>
            <w:r w:rsidRPr="000828D3">
              <w:t>.</w:t>
            </w:r>
          </w:p>
        </w:tc>
        <w:tc>
          <w:tcPr>
            <w:tcW w:w="1467" w:type="pct"/>
            <w:tcBorders>
              <w:top w:val="single" w:sz="4" w:space="0" w:color="auto"/>
              <w:left w:val="single" w:sz="4" w:space="0" w:color="auto"/>
              <w:bottom w:val="single" w:sz="4" w:space="0" w:color="auto"/>
              <w:right w:val="single" w:sz="4" w:space="0" w:color="auto"/>
            </w:tcBorders>
          </w:tcPr>
          <w:p w14:paraId="0712494B" w14:textId="77777777" w:rsidR="00F91948" w:rsidRPr="00225C83" w:rsidRDefault="00F91948" w:rsidP="00BB2E4C">
            <w:pPr>
              <w:keepNext/>
              <w:keepLines/>
              <w:jc w:val="left"/>
            </w:pPr>
            <w:r w:rsidRPr="000828D3">
              <w:t>Continue treatment with</w:t>
            </w:r>
            <w:r w:rsidRPr="000828D3">
              <w:rPr>
                <w:color w:val="0000CC"/>
              </w:rPr>
              <w:t xml:space="preserve"> </w:t>
            </w:r>
            <w:r>
              <w:rPr>
                <w:lang w:eastAsia="en-US"/>
              </w:rPr>
              <w:t>KADCYLA</w:t>
            </w:r>
            <w:r w:rsidRPr="000828D3">
              <w:rPr>
                <w:i/>
                <w:color w:val="002060"/>
                <w:lang w:eastAsia="en-US"/>
              </w:rPr>
              <w:t>.</w:t>
            </w:r>
          </w:p>
          <w:p w14:paraId="0712494C" w14:textId="77777777" w:rsidR="00F91948" w:rsidRPr="000828D3" w:rsidRDefault="00F91948" w:rsidP="00BB2E4C">
            <w:pPr>
              <w:keepNext/>
              <w:keepLines/>
              <w:jc w:val="left"/>
              <w:rPr>
                <w:rFonts w:eastAsia="MS Mincho"/>
                <w:lang w:eastAsia="en-US"/>
              </w:rPr>
            </w:pPr>
          </w:p>
          <w:p w14:paraId="0712494D" w14:textId="77777777" w:rsidR="00F91948" w:rsidRPr="00EB59E2" w:rsidRDefault="00F91948" w:rsidP="00F91948">
            <w:pPr>
              <w:keepNext/>
              <w:keepLines/>
              <w:jc w:val="left"/>
              <w:rPr>
                <w:rFonts w:eastAsia="MS Mincho"/>
                <w:szCs w:val="24"/>
                <w:lang w:eastAsia="en-US"/>
              </w:rPr>
            </w:pPr>
            <w:r w:rsidRPr="000828D3">
              <w:rPr>
                <w:rFonts w:eastAsia="MS Mincho"/>
                <w:lang w:eastAsia="en-US"/>
              </w:rPr>
              <w:t>Repeat LVEF assessment within 3 weeks.</w:t>
            </w:r>
          </w:p>
        </w:tc>
      </w:tr>
      <w:tr w:rsidR="0034359C" w:rsidRPr="00EB59E2" w14:paraId="07124950" w14:textId="77777777" w:rsidTr="0034359C">
        <w:trPr>
          <w:jc w:val="center"/>
        </w:trPr>
        <w:tc>
          <w:tcPr>
            <w:tcW w:w="5000" w:type="pct"/>
            <w:gridSpan w:val="4"/>
            <w:tcBorders>
              <w:top w:val="single" w:sz="4" w:space="0" w:color="auto"/>
            </w:tcBorders>
          </w:tcPr>
          <w:p w14:paraId="0712494F" w14:textId="77777777" w:rsidR="0034359C" w:rsidRPr="00EB59E2" w:rsidRDefault="0034359C" w:rsidP="00BB2E4C">
            <w:pPr>
              <w:keepNext/>
              <w:keepLines/>
              <w:spacing w:before="120" w:after="120"/>
              <w:ind w:left="28"/>
              <w:rPr>
                <w:rFonts w:eastAsia="MS Mincho"/>
                <w:szCs w:val="24"/>
                <w:lang w:eastAsia="en-US"/>
              </w:rPr>
            </w:pPr>
            <w:r>
              <w:rPr>
                <w:rFonts w:eastAsia="MS Mincho"/>
                <w:sz w:val="18"/>
                <w:szCs w:val="18"/>
                <w:lang w:eastAsia="en-US"/>
              </w:rPr>
              <w:t xml:space="preserve">LVEF = </w:t>
            </w:r>
            <w:r w:rsidRPr="0034359C">
              <w:rPr>
                <w:rFonts w:eastAsia="MS Mincho"/>
                <w:sz w:val="18"/>
                <w:szCs w:val="18"/>
                <w:lang w:eastAsia="en-US"/>
              </w:rPr>
              <w:t xml:space="preserve">Left </w:t>
            </w:r>
            <w:r>
              <w:rPr>
                <w:rFonts w:eastAsia="MS Mincho"/>
                <w:sz w:val="18"/>
                <w:szCs w:val="18"/>
                <w:lang w:eastAsia="en-US"/>
              </w:rPr>
              <w:t>V</w:t>
            </w:r>
            <w:r w:rsidRPr="0034359C">
              <w:rPr>
                <w:rFonts w:eastAsia="MS Mincho"/>
                <w:sz w:val="18"/>
                <w:szCs w:val="18"/>
                <w:lang w:eastAsia="en-US"/>
              </w:rPr>
              <w:t xml:space="preserve">entricular </w:t>
            </w:r>
            <w:r>
              <w:rPr>
                <w:rFonts w:eastAsia="MS Mincho"/>
                <w:sz w:val="18"/>
                <w:szCs w:val="18"/>
                <w:lang w:eastAsia="en-US"/>
              </w:rPr>
              <w:t>E</w:t>
            </w:r>
            <w:r w:rsidRPr="00BB2E4C">
              <w:rPr>
                <w:rFonts w:eastAsia="MS Mincho"/>
                <w:sz w:val="18"/>
                <w:szCs w:val="18"/>
                <w:lang w:eastAsia="en-US"/>
              </w:rPr>
              <w:t>j</w:t>
            </w:r>
            <w:r w:rsidRPr="0034359C">
              <w:rPr>
                <w:rFonts w:eastAsia="MS Mincho"/>
                <w:sz w:val="18"/>
                <w:szCs w:val="18"/>
                <w:lang w:eastAsia="en-US"/>
              </w:rPr>
              <w:t xml:space="preserve">ection </w:t>
            </w:r>
            <w:r>
              <w:rPr>
                <w:rFonts w:eastAsia="MS Mincho"/>
                <w:sz w:val="18"/>
                <w:szCs w:val="18"/>
                <w:lang w:eastAsia="en-US"/>
              </w:rPr>
              <w:t>F</w:t>
            </w:r>
            <w:r w:rsidRPr="00BB2E4C">
              <w:rPr>
                <w:rFonts w:eastAsia="MS Mincho"/>
                <w:sz w:val="18"/>
                <w:szCs w:val="18"/>
                <w:lang w:eastAsia="en-US"/>
              </w:rPr>
              <w:t>raction</w:t>
            </w:r>
          </w:p>
        </w:tc>
      </w:tr>
    </w:tbl>
    <w:p w14:paraId="07124953" w14:textId="77777777" w:rsidR="001C60E0" w:rsidRPr="00E42D56" w:rsidRDefault="001C60E0" w:rsidP="00E42D56">
      <w:pPr>
        <w:pStyle w:val="Heading3"/>
        <w:spacing w:after="120"/>
        <w:rPr>
          <w:rFonts w:eastAsia="PMingLiU"/>
          <w:bCs/>
          <w:sz w:val="26"/>
          <w:szCs w:val="26"/>
          <w:u w:val="none"/>
          <w:lang w:val="en-GB" w:eastAsia="zh-TW"/>
        </w:rPr>
      </w:pPr>
      <w:r w:rsidRPr="00E42D56">
        <w:rPr>
          <w:rFonts w:eastAsia="PMingLiU"/>
          <w:bCs/>
          <w:sz w:val="26"/>
          <w:szCs w:val="26"/>
          <w:u w:val="none"/>
          <w:lang w:val="en-GB" w:eastAsia="zh-TW"/>
        </w:rPr>
        <w:t>Special populations</w:t>
      </w:r>
    </w:p>
    <w:p w14:paraId="07124954" w14:textId="77777777" w:rsidR="001C60E0" w:rsidRPr="001C60E0" w:rsidRDefault="001C60E0" w:rsidP="003A3DEC">
      <w:pPr>
        <w:autoSpaceDE w:val="0"/>
        <w:autoSpaceDN w:val="0"/>
        <w:adjustRightInd w:val="0"/>
        <w:spacing w:after="120"/>
        <w:jc w:val="left"/>
        <w:rPr>
          <w:i/>
        </w:rPr>
      </w:pPr>
      <w:r w:rsidRPr="00BF02F6">
        <w:rPr>
          <w:b/>
          <w:i/>
        </w:rPr>
        <w:t>Elderly</w:t>
      </w:r>
      <w:r w:rsidRPr="00BF02F6">
        <w:rPr>
          <w:b/>
        </w:rPr>
        <w:t>:</w:t>
      </w:r>
      <w:r w:rsidRPr="001C60E0">
        <w:t xml:space="preserve"> </w:t>
      </w:r>
      <w:r w:rsidR="003A3DEC">
        <w:rPr>
          <w:szCs w:val="16"/>
        </w:rPr>
        <w:t xml:space="preserve">There are insufficient data to establish the safety and efficacy of KADCYLA in patients 75 years of age or older. </w:t>
      </w:r>
      <w:r w:rsidR="005028C9" w:rsidRPr="005028C9">
        <w:rPr>
          <w:rFonts w:eastAsia="Times New Roman"/>
          <w:szCs w:val="20"/>
          <w:lang w:val="en-US" w:eastAsia="ja-JP"/>
        </w:rPr>
        <w:t>No</w:t>
      </w:r>
      <w:r w:rsidR="005028C9">
        <w:rPr>
          <w:rFonts w:eastAsia="Times New Roman"/>
          <w:szCs w:val="20"/>
          <w:lang w:val="en-US" w:eastAsia="ja-JP"/>
        </w:rPr>
        <w:t xml:space="preserve"> dose adjustment of KADCYLA is required in patients aged </w:t>
      </w:r>
      <w:r w:rsidR="005028C9" w:rsidRPr="000828D3">
        <w:t>≥ 65 years</w:t>
      </w:r>
      <w:r w:rsidR="005028C9">
        <w:t xml:space="preserve"> (</w:t>
      </w:r>
      <w:r w:rsidR="005028C9" w:rsidRPr="005028C9">
        <w:rPr>
          <w:i/>
        </w:rPr>
        <w:t>see Precautions; Use in the Elderly</w:t>
      </w:r>
      <w:r w:rsidR="005028C9">
        <w:t>).</w:t>
      </w:r>
    </w:p>
    <w:p w14:paraId="07124955" w14:textId="02294793" w:rsidR="001C60E0" w:rsidRPr="001C60E0" w:rsidRDefault="001C60E0" w:rsidP="001C60E0">
      <w:pPr>
        <w:spacing w:after="120"/>
        <w:rPr>
          <w:i/>
        </w:rPr>
      </w:pPr>
      <w:r w:rsidRPr="00BF02F6">
        <w:rPr>
          <w:b/>
          <w:i/>
        </w:rPr>
        <w:lastRenderedPageBreak/>
        <w:t>Children:</w:t>
      </w:r>
      <w:r w:rsidRPr="001C60E0">
        <w:t xml:space="preserve"> </w:t>
      </w:r>
      <w:r w:rsidR="005028C9">
        <w:rPr>
          <w:rFonts w:eastAsia="Times New Roman"/>
          <w:szCs w:val="20"/>
          <w:lang w:val="en-US" w:eastAsia="ja-JP"/>
        </w:rPr>
        <w:t>T</w:t>
      </w:r>
      <w:r w:rsidR="005028C9" w:rsidRPr="007C4A93">
        <w:rPr>
          <w:rFonts w:eastAsia="Times New Roman"/>
          <w:szCs w:val="20"/>
          <w:lang w:val="en-US" w:eastAsia="ja-JP"/>
        </w:rPr>
        <w:t>he</w:t>
      </w:r>
      <w:r w:rsidR="005028C9">
        <w:rPr>
          <w:rFonts w:eastAsia="Times New Roman"/>
          <w:szCs w:val="20"/>
          <w:lang w:val="en-US" w:eastAsia="ja-JP"/>
        </w:rPr>
        <w:t xml:space="preserve"> safety and efficacy of KADCYLA in paediatric patients have not been established.</w:t>
      </w:r>
    </w:p>
    <w:p w14:paraId="07124956" w14:textId="77777777" w:rsidR="001C60E0" w:rsidRPr="007C4A93" w:rsidRDefault="001C60E0" w:rsidP="001C60E0">
      <w:pPr>
        <w:spacing w:after="120"/>
      </w:pPr>
      <w:r w:rsidRPr="00BF02F6">
        <w:rPr>
          <w:b/>
          <w:i/>
        </w:rPr>
        <w:t>Renal impairment:</w:t>
      </w:r>
      <w:r w:rsidRPr="001C60E0">
        <w:t xml:space="preserve"> </w:t>
      </w:r>
      <w:r w:rsidR="005028C9">
        <w:t>No adjustment to the starting dose of KADCYLA is needed in patients with mild or moderate renal impairment (</w:t>
      </w:r>
      <w:r w:rsidR="005028C9" w:rsidRPr="007C4A93">
        <w:rPr>
          <w:i/>
        </w:rPr>
        <w:t xml:space="preserve">see </w:t>
      </w:r>
      <w:r w:rsidR="00250A27">
        <w:rPr>
          <w:i/>
        </w:rPr>
        <w:t xml:space="preserve">Pharmacology; </w:t>
      </w:r>
      <w:r w:rsidR="005028C9" w:rsidRPr="007C4A93">
        <w:rPr>
          <w:i/>
        </w:rPr>
        <w:t>Pharmacokinetics in Special Populations</w:t>
      </w:r>
      <w:r w:rsidR="005028C9" w:rsidRPr="00341E7E">
        <w:t>). The potential</w:t>
      </w:r>
      <w:r w:rsidR="005028C9">
        <w:t xml:space="preserve"> need for dose adjustment in patients with severe renal impairment cannot be determined due to insufficient data.</w:t>
      </w:r>
    </w:p>
    <w:p w14:paraId="6650C604" w14:textId="43C974C6" w:rsidR="00422136" w:rsidRDefault="001C60E0" w:rsidP="003E5BBE">
      <w:pPr>
        <w:spacing w:after="240"/>
      </w:pPr>
      <w:r w:rsidRPr="00BF02F6">
        <w:rPr>
          <w:b/>
          <w:i/>
        </w:rPr>
        <w:t>Hepatic impairment:</w:t>
      </w:r>
      <w:r w:rsidRPr="001C60E0">
        <w:t xml:space="preserve"> </w:t>
      </w:r>
      <w:r w:rsidR="005028C9">
        <w:t>The safety and efficacy of KADCYLA have not been studied in patients with hepatic impairment.</w:t>
      </w:r>
    </w:p>
    <w:p w14:paraId="07124959" w14:textId="77777777" w:rsidR="00FF5418" w:rsidRPr="00187C9E" w:rsidRDefault="00FF5418" w:rsidP="00AC7F52">
      <w:pPr>
        <w:pStyle w:val="Heading2"/>
        <w:spacing w:before="0" w:after="120"/>
      </w:pPr>
      <w:r w:rsidRPr="00187C9E">
        <w:t xml:space="preserve">Instructions for </w:t>
      </w:r>
      <w:r w:rsidR="00AC7F52">
        <w:t>use</w:t>
      </w:r>
    </w:p>
    <w:p w14:paraId="0712495A" w14:textId="77777777" w:rsidR="00F4323A" w:rsidRPr="000828D3" w:rsidRDefault="00671FD3" w:rsidP="007C4A93">
      <w:pPr>
        <w:pStyle w:val="TextTi12"/>
        <w:spacing w:line="240" w:lineRule="auto"/>
      </w:pPr>
      <w:r w:rsidRPr="000828D3">
        <w:t xml:space="preserve">Appropriate aseptic technique should be used. </w:t>
      </w:r>
      <w:r w:rsidR="00F4323A" w:rsidRPr="000828D3">
        <w:t>Appropriate procedures for the preparation of chemotherapeutic drugs should be used.</w:t>
      </w:r>
    </w:p>
    <w:p w14:paraId="0712495B" w14:textId="2EF818B1" w:rsidR="00F4323A" w:rsidRPr="000828D3" w:rsidRDefault="00F4323A" w:rsidP="007C4A93">
      <w:pPr>
        <w:pStyle w:val="TextTi12"/>
        <w:spacing w:line="240" w:lineRule="auto"/>
      </w:pPr>
      <w:r w:rsidRPr="000828D3">
        <w:t xml:space="preserve">The reconstituted product </w:t>
      </w:r>
      <w:r w:rsidR="00EA096A">
        <w:t xml:space="preserve">does </w:t>
      </w:r>
      <w:r w:rsidR="00EA096A" w:rsidRPr="007C4A93">
        <w:rPr>
          <w:u w:val="single"/>
        </w:rPr>
        <w:t>not</w:t>
      </w:r>
      <w:r w:rsidR="00EA096A">
        <w:t xml:space="preserve"> </w:t>
      </w:r>
      <w:r w:rsidRPr="000828D3">
        <w:t xml:space="preserve">contain preservative and is for single use </w:t>
      </w:r>
      <w:r w:rsidR="00266263">
        <w:t xml:space="preserve">in one patient </w:t>
      </w:r>
      <w:r w:rsidRPr="000828D3">
        <w:t>only.</w:t>
      </w:r>
      <w:r w:rsidR="00266263">
        <w:t xml:space="preserve"> Discard any residue.</w:t>
      </w:r>
    </w:p>
    <w:p w14:paraId="0712495C" w14:textId="43F1E570" w:rsidR="00F4323A" w:rsidRPr="000828D3" w:rsidRDefault="00F4323A" w:rsidP="007C4A93">
      <w:pPr>
        <w:pStyle w:val="ListNumber"/>
        <w:numPr>
          <w:ilvl w:val="0"/>
          <w:numId w:val="19"/>
        </w:numPr>
        <w:spacing w:after="0" w:line="240" w:lineRule="auto"/>
        <w:ind w:left="709" w:hanging="284"/>
        <w:jc w:val="both"/>
        <w:rPr>
          <w:rFonts w:ascii="Times New Roman" w:hAnsi="Times New Roman"/>
        </w:rPr>
      </w:pPr>
      <w:r w:rsidRPr="000828D3">
        <w:rPr>
          <w:rFonts w:ascii="Times New Roman" w:hAnsi="Times New Roman"/>
        </w:rPr>
        <w:t>Using a sterile syringe, slowly inject 5 m</w:t>
      </w:r>
      <w:r>
        <w:rPr>
          <w:rFonts w:ascii="Times New Roman" w:hAnsi="Times New Roman"/>
        </w:rPr>
        <w:t>L</w:t>
      </w:r>
      <w:r w:rsidRPr="000828D3">
        <w:rPr>
          <w:rFonts w:ascii="Times New Roman" w:hAnsi="Times New Roman"/>
        </w:rPr>
        <w:t xml:space="preserve"> of Sterile Water for Injection</w:t>
      </w:r>
      <w:r>
        <w:rPr>
          <w:rFonts w:ascii="Times New Roman" w:hAnsi="Times New Roman"/>
        </w:rPr>
        <w:t xml:space="preserve"> (SWFI)</w:t>
      </w:r>
      <w:r w:rsidRPr="000828D3">
        <w:rPr>
          <w:rFonts w:ascii="Times New Roman" w:hAnsi="Times New Roman"/>
        </w:rPr>
        <w:t xml:space="preserve"> into the 100 mg vial, or 8 mL of </w:t>
      </w:r>
      <w:r>
        <w:rPr>
          <w:rFonts w:ascii="Times New Roman" w:hAnsi="Times New Roman"/>
        </w:rPr>
        <w:t>SWFI</w:t>
      </w:r>
      <w:r w:rsidRPr="000828D3">
        <w:rPr>
          <w:rFonts w:ascii="Times New Roman" w:hAnsi="Times New Roman"/>
        </w:rPr>
        <w:t xml:space="preserve"> </w:t>
      </w:r>
      <w:r w:rsidR="00225C83">
        <w:rPr>
          <w:rFonts w:ascii="Times New Roman" w:hAnsi="Times New Roman"/>
        </w:rPr>
        <w:t>into the 160 mg vial.</w:t>
      </w:r>
    </w:p>
    <w:p w14:paraId="0712495D" w14:textId="266462E8" w:rsidR="00F4323A" w:rsidRPr="00C042E9" w:rsidRDefault="00F4323A" w:rsidP="00C042E9">
      <w:pPr>
        <w:pStyle w:val="ListNumber"/>
        <w:numPr>
          <w:ilvl w:val="0"/>
          <w:numId w:val="19"/>
        </w:numPr>
        <w:spacing w:after="0" w:line="240" w:lineRule="auto"/>
        <w:ind w:left="709" w:hanging="284"/>
        <w:jc w:val="both"/>
        <w:rPr>
          <w:rFonts w:ascii="Times New Roman" w:hAnsi="Times New Roman"/>
        </w:rPr>
      </w:pPr>
      <w:r w:rsidRPr="00C042E9">
        <w:rPr>
          <w:rFonts w:ascii="Times New Roman" w:hAnsi="Times New Roman"/>
        </w:rPr>
        <w:t>Swirl the vial gently un</w:t>
      </w:r>
      <w:r w:rsidRPr="000E1580">
        <w:rPr>
          <w:rFonts w:ascii="Times New Roman" w:hAnsi="Times New Roman"/>
        </w:rPr>
        <w:t>til comp</w:t>
      </w:r>
      <w:r w:rsidR="00225C83">
        <w:rPr>
          <w:rFonts w:ascii="Times New Roman" w:hAnsi="Times New Roman"/>
        </w:rPr>
        <w:t>letely dissolved. DO NOT SHAKE!</w:t>
      </w:r>
    </w:p>
    <w:p w14:paraId="0712495E" w14:textId="77777777" w:rsidR="00DA0B0E" w:rsidRPr="000828D3" w:rsidRDefault="00DA0B0E" w:rsidP="007C4A93">
      <w:pPr>
        <w:pStyle w:val="ListNumber"/>
        <w:numPr>
          <w:ilvl w:val="0"/>
          <w:numId w:val="0"/>
        </w:numPr>
        <w:spacing w:after="0" w:line="240" w:lineRule="auto"/>
        <w:ind w:left="709"/>
        <w:jc w:val="both"/>
        <w:rPr>
          <w:rFonts w:ascii="Times New Roman" w:hAnsi="Times New Roman"/>
        </w:rPr>
      </w:pPr>
    </w:p>
    <w:p w14:paraId="0712495F" w14:textId="665F8F98" w:rsidR="00447524" w:rsidRDefault="00F4323A" w:rsidP="003E5BBE">
      <w:pPr>
        <w:pStyle w:val="TextTi12"/>
        <w:spacing w:after="240" w:line="240" w:lineRule="auto"/>
      </w:pPr>
      <w:r w:rsidRPr="000828D3">
        <w:t>Reconstituted solution should be inspected visually for particulate matter and discolo</w:t>
      </w:r>
      <w:r>
        <w:t>u</w:t>
      </w:r>
      <w:r w:rsidRPr="000828D3">
        <w:t>ration prior to administration. The reconstituted solution should be free of visible particulates, clear to slightly opalescent. The colo</w:t>
      </w:r>
      <w:r>
        <w:t>u</w:t>
      </w:r>
      <w:r w:rsidRPr="000828D3">
        <w:t>r of the reconstituted solution should be colo</w:t>
      </w:r>
      <w:r>
        <w:t>u</w:t>
      </w:r>
      <w:r w:rsidRPr="000828D3">
        <w:t xml:space="preserve">rless to pale brown. Do not use if </w:t>
      </w:r>
      <w:r w:rsidR="00772498">
        <w:t xml:space="preserve">the </w:t>
      </w:r>
      <w:r w:rsidRPr="000828D3">
        <w:t>reconstituted solution contains visible particul</w:t>
      </w:r>
      <w:r>
        <w:t xml:space="preserve">ates, is cloudy or </w:t>
      </w:r>
      <w:proofErr w:type="spellStart"/>
      <w:r>
        <w:t>discoloured</w:t>
      </w:r>
      <w:proofErr w:type="spellEnd"/>
      <w:r w:rsidR="00225C83">
        <w:t>.</w:t>
      </w:r>
    </w:p>
    <w:p w14:paraId="07124960" w14:textId="77777777" w:rsidR="00AC7F52" w:rsidRPr="00AC7F52" w:rsidRDefault="00AC7F52" w:rsidP="00AC7F52">
      <w:pPr>
        <w:pStyle w:val="Heading2"/>
        <w:spacing w:before="0" w:after="120"/>
      </w:pPr>
      <w:r>
        <w:t>Instructions for dilution</w:t>
      </w:r>
    </w:p>
    <w:p w14:paraId="07124961" w14:textId="77777777" w:rsidR="006F5777" w:rsidRPr="000828D3" w:rsidRDefault="006F5777" w:rsidP="006F5777">
      <w:pPr>
        <w:pStyle w:val="TextTi12"/>
      </w:pPr>
      <w:r w:rsidRPr="000828D3">
        <w:t>Determine the volume of solution required based on a dose of 3.6 mg trastuzumab emtansine</w:t>
      </w:r>
      <w:r w:rsidRPr="000828D3" w:rsidDel="00047D0B">
        <w:t xml:space="preserve"> </w:t>
      </w:r>
      <w:r w:rsidRPr="000828D3">
        <w:t>/</w:t>
      </w:r>
      <w:r w:rsidR="00D84BE3">
        <w:t xml:space="preserve"> </w:t>
      </w:r>
      <w:r w:rsidRPr="000828D3">
        <w:t>kg body weight:</w:t>
      </w:r>
    </w:p>
    <w:p w14:paraId="07124962" w14:textId="6385E6D2" w:rsidR="006F5777" w:rsidRPr="000828D3" w:rsidRDefault="006F5777" w:rsidP="006F5777">
      <w:pPr>
        <w:pStyle w:val="TextTi12"/>
        <w:rPr>
          <w:u w:val="single"/>
        </w:rPr>
      </w:pPr>
      <w:r w:rsidRPr="000828D3">
        <w:rPr>
          <w:b/>
        </w:rPr>
        <w:t>Volume</w:t>
      </w:r>
      <w:r w:rsidRPr="000828D3">
        <w:t xml:space="preserve"> (m</w:t>
      </w:r>
      <w:r w:rsidR="00D84BE3">
        <w:t>L</w:t>
      </w:r>
      <w:r w:rsidRPr="000828D3">
        <w:t>) =</w:t>
      </w:r>
      <w:r w:rsidRPr="000828D3">
        <w:rPr>
          <w:u w:val="single"/>
        </w:rPr>
        <w:t xml:space="preserve"> </w:t>
      </w:r>
      <w:r w:rsidRPr="000828D3">
        <w:rPr>
          <w:b/>
          <w:u w:val="single"/>
        </w:rPr>
        <w:t>Body weight</w:t>
      </w:r>
      <w:r w:rsidRPr="000828D3">
        <w:rPr>
          <w:u w:val="single"/>
        </w:rPr>
        <w:t xml:space="preserve"> (kg) x</w:t>
      </w:r>
      <w:r w:rsidRPr="000828D3">
        <w:rPr>
          <w:b/>
          <w:u w:val="single"/>
        </w:rPr>
        <w:t xml:space="preserve"> dose</w:t>
      </w:r>
      <w:r w:rsidR="00225C83">
        <w:rPr>
          <w:u w:val="single"/>
        </w:rPr>
        <w:t xml:space="preserve"> (mg/kg)</w:t>
      </w:r>
    </w:p>
    <w:p w14:paraId="07124963" w14:textId="14BF512C" w:rsidR="006F5777" w:rsidRPr="000828D3" w:rsidRDefault="00225C83" w:rsidP="006F5777">
      <w:pPr>
        <w:pStyle w:val="TextTi12"/>
      </w:pPr>
      <w:r>
        <w:rPr>
          <w:b/>
        </w:rPr>
        <w:t xml:space="preserve">                  </w:t>
      </w:r>
      <w:r w:rsidR="006F5777" w:rsidRPr="000828D3">
        <w:rPr>
          <w:b/>
        </w:rPr>
        <w:t>20</w:t>
      </w:r>
      <w:r w:rsidR="006F5777" w:rsidRPr="000828D3">
        <w:t xml:space="preserve"> </w:t>
      </w:r>
      <w:r w:rsidR="006F5777">
        <w:t>mg/m</w:t>
      </w:r>
      <w:r w:rsidR="00DA0B0E">
        <w:t>L</w:t>
      </w:r>
      <w:r w:rsidR="006F5777" w:rsidRPr="000828D3">
        <w:t xml:space="preserve"> </w:t>
      </w:r>
      <w:r w:rsidR="006F5777">
        <w:t>(</w:t>
      </w:r>
      <w:r w:rsidR="006F5777" w:rsidRPr="000828D3">
        <w:t>conc</w:t>
      </w:r>
      <w:r w:rsidR="00D74BE9">
        <w:t>.</w:t>
      </w:r>
      <w:r w:rsidR="006F5777" w:rsidRPr="000828D3">
        <w:t xml:space="preserve"> of reconstituted solution)</w:t>
      </w:r>
    </w:p>
    <w:p w14:paraId="07124964" w14:textId="461ECE12" w:rsidR="00671FD3" w:rsidRDefault="006F5777" w:rsidP="006F5777">
      <w:pPr>
        <w:pStyle w:val="TextTi12"/>
      </w:pPr>
      <w:r w:rsidRPr="000828D3">
        <w:t xml:space="preserve">The appropriate amount of solution should be withdrawn from the vial and added to an infusion bag containing 250 ml of 0.45% sodium chloride or 0.9% sodium chloride. Dextrose (5%) solution should not be used. 0.45% sodium chloride may be used without a </w:t>
      </w:r>
      <w:r w:rsidR="003B3FB0" w:rsidRPr="003B3FB0">
        <w:rPr>
          <w:lang w:val="en-AU"/>
        </w:rPr>
        <w:t>0.22 micron in-line polyethersulfone (PES)</w:t>
      </w:r>
      <w:r w:rsidR="00EF027C">
        <w:rPr>
          <w:lang w:val="en-AU"/>
        </w:rPr>
        <w:t xml:space="preserve"> filter</w:t>
      </w:r>
      <w:r w:rsidRPr="000828D3">
        <w:t xml:space="preserve">. </w:t>
      </w:r>
      <w:r w:rsidR="00671FD3">
        <w:t>If 0.9% sodium chloride is used</w:t>
      </w:r>
      <w:r w:rsidR="008455E6">
        <w:t xml:space="preserve"> for infusion</w:t>
      </w:r>
      <w:r w:rsidRPr="000828D3">
        <w:t xml:space="preserve">, a </w:t>
      </w:r>
      <w:r w:rsidR="003B3FB0" w:rsidRPr="003B3FB0">
        <w:rPr>
          <w:lang w:val="en-AU"/>
        </w:rPr>
        <w:t xml:space="preserve">0.22 micron in-line polyethersulfone (PES) </w:t>
      </w:r>
      <w:r w:rsidR="00225C83">
        <w:t>filter is required.</w:t>
      </w:r>
    </w:p>
    <w:p w14:paraId="07124965" w14:textId="3DFCC755" w:rsidR="006F5777" w:rsidRDefault="006F5777" w:rsidP="006F5777">
      <w:pPr>
        <w:pStyle w:val="TextTi12"/>
      </w:pPr>
      <w:r w:rsidRPr="000828D3">
        <w:t>Once the infusion</w:t>
      </w:r>
      <w:r w:rsidR="00671FD3">
        <w:t xml:space="preserve"> solution </w:t>
      </w:r>
      <w:r w:rsidRPr="000828D3">
        <w:t>is prepared</w:t>
      </w:r>
      <w:r w:rsidR="00FD08B8">
        <w:t>,</w:t>
      </w:r>
      <w:r w:rsidRPr="000828D3">
        <w:t xml:space="preserve"> it should be administered immediately. If not used immediately, the </w:t>
      </w:r>
      <w:r w:rsidR="00447524">
        <w:t>reconstituted vial</w:t>
      </w:r>
      <w:r w:rsidR="00671FD3">
        <w:t xml:space="preserve"> </w:t>
      </w:r>
      <w:r w:rsidRPr="000828D3">
        <w:t>can be stored for</w:t>
      </w:r>
      <w:r w:rsidR="0073001E">
        <w:t xml:space="preserve"> up to</w:t>
      </w:r>
      <w:r w:rsidRPr="000828D3">
        <w:t> 24 hrs at 2°C - 8°C</w:t>
      </w:r>
      <w:r w:rsidR="00447524">
        <w:t xml:space="preserve"> after reconstitution</w:t>
      </w:r>
      <w:r w:rsidRPr="000828D3">
        <w:t xml:space="preserve">. </w:t>
      </w:r>
      <w:r w:rsidR="0073001E" w:rsidRPr="0073001E">
        <w:rPr>
          <w:lang w:val="en-AU"/>
        </w:rPr>
        <w:t xml:space="preserve">In addition, the diluted infusion solution can be stored for up to 24 hrs at 2°C - 8°C. </w:t>
      </w:r>
      <w:r>
        <w:t xml:space="preserve">Do not freeze or shake the </w:t>
      </w:r>
      <w:r w:rsidR="0073001E">
        <w:t xml:space="preserve">reconstituted vial or </w:t>
      </w:r>
      <w:r>
        <w:t xml:space="preserve">infusion </w:t>
      </w:r>
      <w:r w:rsidR="00671FD3">
        <w:t xml:space="preserve">solution </w:t>
      </w:r>
      <w:r>
        <w:t>during storage</w:t>
      </w:r>
      <w:r w:rsidR="00225C83">
        <w:t>.</w:t>
      </w:r>
    </w:p>
    <w:p w14:paraId="07124966" w14:textId="77777777" w:rsidR="00FF5418" w:rsidRPr="00187C9E" w:rsidRDefault="00FF5418" w:rsidP="00AC7F52">
      <w:pPr>
        <w:pStyle w:val="Heading2"/>
        <w:spacing w:before="0" w:after="120"/>
      </w:pPr>
      <w:r w:rsidRPr="00187C9E">
        <w:t>Incompatibilities</w:t>
      </w:r>
    </w:p>
    <w:p w14:paraId="07124967" w14:textId="77777777" w:rsidR="00D84BE3" w:rsidRPr="000828D3" w:rsidRDefault="00D84BE3" w:rsidP="007C4A93">
      <w:pPr>
        <w:pStyle w:val="TextTi12"/>
        <w:jc w:val="left"/>
      </w:pPr>
      <w:r w:rsidRPr="000828D3">
        <w:t>Dextrose (5%) solution should not be used since it causes aggregation of the protein.</w:t>
      </w:r>
      <w:r>
        <w:t xml:space="preserve"> KADCYLA</w:t>
      </w:r>
      <w:r w:rsidRPr="000828D3" w:rsidDel="00047D0B">
        <w:t xml:space="preserve"> </w:t>
      </w:r>
      <w:r w:rsidRPr="000828D3">
        <w:t>should not be mixed or diluted with other drugs.</w:t>
      </w:r>
    </w:p>
    <w:p w14:paraId="07124968" w14:textId="77777777" w:rsidR="00D844B2" w:rsidRPr="00451567" w:rsidRDefault="00D844B2" w:rsidP="00E42D56">
      <w:pPr>
        <w:pStyle w:val="Heading1"/>
        <w:spacing w:before="360"/>
        <w:rPr>
          <w:rFonts w:hint="eastAsia"/>
        </w:rPr>
      </w:pPr>
      <w:r w:rsidRPr="00451567">
        <w:lastRenderedPageBreak/>
        <w:t>Overdosage</w:t>
      </w:r>
    </w:p>
    <w:p w14:paraId="07124969" w14:textId="77777777" w:rsidR="009B5E75" w:rsidRDefault="00F843A5" w:rsidP="00585D37">
      <w:pPr>
        <w:spacing w:after="170"/>
      </w:pPr>
      <w:r w:rsidRPr="000828D3">
        <w:t>There is no known antidote for trastuzumab emtansine overdose. In case of overdose, the patient should be closely monitored. Cases of overdose have been reported with trastuzumab emtansine treatment, most associated with thrombocytopenia, and there was one death. In the fatal case, the patient incorrectly received trastuzumab emtansine 6 mg/kg and died approximately 3 weeks following the overdose; a</w:t>
      </w:r>
      <w:r>
        <w:t xml:space="preserve"> cause of death and a</w:t>
      </w:r>
      <w:r w:rsidRPr="000828D3">
        <w:t xml:space="preserve"> ca</w:t>
      </w:r>
      <w:r>
        <w:t>usal relationship to KADCYLA were</w:t>
      </w:r>
      <w:r w:rsidRPr="000828D3">
        <w:t xml:space="preserve"> not established</w:t>
      </w:r>
      <w:r>
        <w:t>.</w:t>
      </w:r>
    </w:p>
    <w:p w14:paraId="0712496A" w14:textId="77777777" w:rsidR="00F843A5" w:rsidRPr="00C433BB" w:rsidRDefault="00F843A5" w:rsidP="00F843A5">
      <w:pPr>
        <w:pStyle w:val="BodyText"/>
        <w:spacing w:line="280" w:lineRule="exact"/>
      </w:pPr>
      <w:r w:rsidRPr="00C433BB">
        <w:t>Treatment of overdose should consist of general supportive measures.</w:t>
      </w:r>
    </w:p>
    <w:p w14:paraId="0712496B" w14:textId="646D22F9" w:rsidR="00F843A5" w:rsidRDefault="00F843A5" w:rsidP="00F843A5">
      <w:pPr>
        <w:spacing w:after="120" w:line="280" w:lineRule="exact"/>
      </w:pPr>
      <w:r w:rsidRPr="00EE367F">
        <w:t xml:space="preserve">For information on the management of overdose, contact the Poison Information Centre </w:t>
      </w:r>
      <w:r w:rsidR="00F06DD4">
        <w:t>(i</w:t>
      </w:r>
      <w:r w:rsidRPr="00EE367F">
        <w:t xml:space="preserve">n </w:t>
      </w:r>
      <w:r w:rsidR="00F06DD4">
        <w:t xml:space="preserve">Australia call </w:t>
      </w:r>
      <w:r w:rsidRPr="00EE367F">
        <w:t>13</w:t>
      </w:r>
      <w:r w:rsidR="00F06DD4">
        <w:t xml:space="preserve"> </w:t>
      </w:r>
      <w:r w:rsidRPr="00EE367F">
        <w:t>11</w:t>
      </w:r>
      <w:r w:rsidR="00F06DD4">
        <w:t xml:space="preserve"> </w:t>
      </w:r>
      <w:r w:rsidRPr="00EE367F">
        <w:t>26</w:t>
      </w:r>
      <w:r w:rsidR="00F06DD4">
        <w:t>; in New Zealand call 0800 764 766</w:t>
      </w:r>
      <w:r w:rsidRPr="00EE367F">
        <w:t>).</w:t>
      </w:r>
    </w:p>
    <w:p w14:paraId="0712496D" w14:textId="77777777" w:rsidR="00D844B2" w:rsidRPr="00F26892" w:rsidRDefault="00D844B2" w:rsidP="00E42D56">
      <w:pPr>
        <w:pStyle w:val="Heading1"/>
        <w:spacing w:before="360"/>
        <w:rPr>
          <w:rFonts w:hint="eastAsia"/>
        </w:rPr>
      </w:pPr>
      <w:r w:rsidRPr="00F26892">
        <w:t>Presentation and storage conditions</w:t>
      </w:r>
    </w:p>
    <w:p w14:paraId="0712496E" w14:textId="7919B5FB" w:rsidR="001D47A8" w:rsidRPr="000828D3" w:rsidRDefault="000C0F3A" w:rsidP="009F4B17">
      <w:pPr>
        <w:pStyle w:val="TextTi12"/>
      </w:pPr>
      <w:r>
        <w:rPr>
          <w:rFonts w:eastAsia="PMingLiU"/>
          <w:szCs w:val="22"/>
          <w:lang w:val="en-AU" w:eastAsia="zh-TW"/>
        </w:rPr>
        <w:t xml:space="preserve">Available in </w:t>
      </w:r>
      <w:r w:rsidR="00405386" w:rsidRPr="000C0F3A">
        <w:rPr>
          <w:rFonts w:eastAsia="PMingLiU"/>
          <w:szCs w:val="22"/>
          <w:lang w:val="en-AU" w:eastAsia="zh-TW"/>
        </w:rPr>
        <w:t>single-</w:t>
      </w:r>
      <w:r w:rsidR="001D47A8">
        <w:rPr>
          <w:rFonts w:eastAsia="PMingLiU"/>
          <w:szCs w:val="22"/>
          <w:lang w:val="en-AU" w:eastAsia="zh-TW"/>
        </w:rPr>
        <w:t>u</w:t>
      </w:r>
      <w:r w:rsidR="001D47A8" w:rsidRPr="000C0F3A">
        <w:rPr>
          <w:rFonts w:eastAsia="PMingLiU"/>
          <w:szCs w:val="22"/>
          <w:lang w:val="en-AU" w:eastAsia="zh-TW"/>
        </w:rPr>
        <w:t xml:space="preserve">se </w:t>
      </w:r>
      <w:r w:rsidR="00405386" w:rsidRPr="000C0F3A">
        <w:rPr>
          <w:rFonts w:eastAsia="PMingLiU"/>
          <w:szCs w:val="22"/>
          <w:lang w:val="en-AU" w:eastAsia="zh-TW"/>
        </w:rPr>
        <w:t>glass</w:t>
      </w:r>
      <w:r w:rsidR="00186EC0" w:rsidRPr="000C0F3A">
        <w:rPr>
          <w:rFonts w:eastAsia="PMingLiU"/>
          <w:szCs w:val="22"/>
          <w:lang w:val="en-AU" w:eastAsia="zh-TW"/>
        </w:rPr>
        <w:t xml:space="preserve"> </w:t>
      </w:r>
      <w:r w:rsidR="004D3170" w:rsidRPr="000C0F3A">
        <w:rPr>
          <w:rFonts w:eastAsia="PMingLiU"/>
          <w:szCs w:val="22"/>
          <w:lang w:val="en-AU" w:eastAsia="zh-TW"/>
        </w:rPr>
        <w:t>vial</w:t>
      </w:r>
      <w:r>
        <w:rPr>
          <w:rFonts w:eastAsia="PMingLiU"/>
          <w:szCs w:val="22"/>
          <w:lang w:val="en-AU" w:eastAsia="zh-TW"/>
        </w:rPr>
        <w:t>s</w:t>
      </w:r>
      <w:r w:rsidR="004D3170" w:rsidRPr="000C0F3A">
        <w:rPr>
          <w:rFonts w:eastAsia="PMingLiU"/>
          <w:szCs w:val="22"/>
          <w:lang w:val="en-AU" w:eastAsia="zh-TW"/>
        </w:rPr>
        <w:t xml:space="preserve"> </w:t>
      </w:r>
      <w:r w:rsidR="00405386" w:rsidRPr="000C0F3A">
        <w:rPr>
          <w:rFonts w:eastAsia="PMingLiU"/>
          <w:szCs w:val="22"/>
          <w:lang w:val="en-AU" w:eastAsia="zh-TW"/>
        </w:rPr>
        <w:t xml:space="preserve">containing </w:t>
      </w:r>
      <w:r w:rsidRPr="000C0F3A">
        <w:rPr>
          <w:rFonts w:eastAsia="PMingLiU"/>
          <w:szCs w:val="22"/>
          <w:lang w:val="en-AU" w:eastAsia="zh-TW"/>
        </w:rPr>
        <w:t xml:space="preserve">100 mg or 160 mg of </w:t>
      </w:r>
      <w:r w:rsidR="007C3F9E">
        <w:rPr>
          <w:rFonts w:eastAsia="PMingLiU"/>
          <w:szCs w:val="22"/>
          <w:lang w:val="en-AU" w:eastAsia="zh-TW"/>
        </w:rPr>
        <w:t>KADCYLA</w:t>
      </w:r>
      <w:r>
        <w:rPr>
          <w:rFonts w:eastAsia="PMingLiU"/>
          <w:szCs w:val="22"/>
          <w:lang w:val="en-AU" w:eastAsia="zh-TW"/>
        </w:rPr>
        <w:t xml:space="preserve"> </w:t>
      </w:r>
      <w:r w:rsidRPr="000C0F3A">
        <w:rPr>
          <w:rFonts w:eastAsia="PMingLiU"/>
          <w:szCs w:val="22"/>
          <w:lang w:val="en-AU" w:eastAsia="zh-TW"/>
        </w:rPr>
        <w:t xml:space="preserve">powder for </w:t>
      </w:r>
      <w:r w:rsidR="005C2176" w:rsidRPr="000C0F3A">
        <w:rPr>
          <w:rFonts w:eastAsia="PMingLiU"/>
          <w:szCs w:val="22"/>
          <w:lang w:val="en-AU" w:eastAsia="zh-TW"/>
        </w:rPr>
        <w:t>concentrate</w:t>
      </w:r>
      <w:r w:rsidRPr="000C0F3A">
        <w:rPr>
          <w:rFonts w:eastAsia="PMingLiU"/>
          <w:szCs w:val="22"/>
          <w:lang w:val="en-AU" w:eastAsia="zh-TW"/>
        </w:rPr>
        <w:t xml:space="preserve"> </w:t>
      </w:r>
      <w:r>
        <w:rPr>
          <w:rFonts w:eastAsia="PMingLiU"/>
          <w:szCs w:val="22"/>
          <w:lang w:val="en-AU" w:eastAsia="zh-TW"/>
        </w:rPr>
        <w:t>solution</w:t>
      </w:r>
      <w:r w:rsidR="009F4B17">
        <w:rPr>
          <w:rFonts w:eastAsia="PMingLiU"/>
          <w:szCs w:val="22"/>
          <w:lang w:val="en-AU" w:eastAsia="zh-TW"/>
        </w:rPr>
        <w:t xml:space="preserve">, </w:t>
      </w:r>
      <w:r w:rsidR="001D47A8" w:rsidRPr="000828D3">
        <w:t>designed to deliver 5 m</w:t>
      </w:r>
      <w:r w:rsidR="009F4B17">
        <w:t>L</w:t>
      </w:r>
      <w:r w:rsidR="001D47A8" w:rsidRPr="000828D3">
        <w:t xml:space="preserve"> </w:t>
      </w:r>
      <w:r w:rsidR="009F4B17">
        <w:t>or</w:t>
      </w:r>
      <w:r w:rsidR="001D47A8" w:rsidRPr="000828D3">
        <w:t xml:space="preserve"> 8 m</w:t>
      </w:r>
      <w:r w:rsidR="009F4B17">
        <w:t>L</w:t>
      </w:r>
      <w:r w:rsidR="001D47A8" w:rsidRPr="000828D3">
        <w:t xml:space="preserve"> </w:t>
      </w:r>
      <w:r w:rsidR="009F4B17">
        <w:t xml:space="preserve">respectively, </w:t>
      </w:r>
      <w:r w:rsidR="001D47A8" w:rsidRPr="000828D3">
        <w:t>of 20 mg/m</w:t>
      </w:r>
      <w:r w:rsidR="009F4B17">
        <w:t>L</w:t>
      </w:r>
      <w:r w:rsidR="00225C83">
        <w:t xml:space="preserve"> of </w:t>
      </w:r>
      <w:proofErr w:type="spellStart"/>
      <w:r w:rsidR="00225C83">
        <w:t>trastuzumab</w:t>
      </w:r>
      <w:proofErr w:type="spellEnd"/>
      <w:r w:rsidR="00225C83">
        <w:t xml:space="preserve"> </w:t>
      </w:r>
      <w:proofErr w:type="spellStart"/>
      <w:r w:rsidR="00225C83">
        <w:t>emtansine</w:t>
      </w:r>
      <w:proofErr w:type="spellEnd"/>
      <w:r w:rsidR="00225C83">
        <w:t>.</w:t>
      </w:r>
    </w:p>
    <w:p w14:paraId="0712496F" w14:textId="77777777" w:rsidR="00D844B2" w:rsidRPr="00F26892" w:rsidRDefault="00D844B2" w:rsidP="00F26892">
      <w:pPr>
        <w:pStyle w:val="Heading2"/>
      </w:pPr>
      <w:r w:rsidRPr="00F26892">
        <w:t>Storage conditions</w:t>
      </w:r>
    </w:p>
    <w:p w14:paraId="07124970" w14:textId="77777777" w:rsidR="00755456" w:rsidRPr="00F26892" w:rsidRDefault="00405386" w:rsidP="00585D37">
      <w:pPr>
        <w:pStyle w:val="Paragraph"/>
        <w:spacing w:line="240" w:lineRule="auto"/>
        <w:rPr>
          <w:rFonts w:ascii="Times New Roman" w:eastAsia="Times New Roman" w:hAnsi="Times New Roman"/>
          <w:szCs w:val="20"/>
          <w:lang w:eastAsia="ja-JP"/>
        </w:rPr>
      </w:pPr>
      <w:r w:rsidRPr="00F26892">
        <w:rPr>
          <w:rFonts w:ascii="Times New Roman" w:eastAsia="Times New Roman" w:hAnsi="Times New Roman"/>
          <w:szCs w:val="20"/>
          <w:lang w:eastAsia="ja-JP"/>
        </w:rPr>
        <w:t xml:space="preserve">Store vials in a refrigerator at </w:t>
      </w:r>
      <w:r w:rsidR="00F26892" w:rsidRPr="00F26892">
        <w:rPr>
          <w:rFonts w:ascii="Times New Roman" w:eastAsia="Times New Roman" w:hAnsi="Times New Roman"/>
          <w:szCs w:val="20"/>
          <w:lang w:eastAsia="ja-JP"/>
        </w:rPr>
        <w:t>2-8°C</w:t>
      </w:r>
      <w:r w:rsidRPr="00F26892">
        <w:rPr>
          <w:rFonts w:ascii="Times New Roman" w:eastAsia="Times New Roman" w:hAnsi="Times New Roman"/>
          <w:szCs w:val="20"/>
          <w:lang w:eastAsia="ja-JP"/>
        </w:rPr>
        <w:t xml:space="preserve">. </w:t>
      </w:r>
      <w:r w:rsidR="00466722" w:rsidRPr="008130BD">
        <w:rPr>
          <w:rFonts w:ascii="Times New Roman" w:eastAsia="PMingLiU" w:hAnsi="Times New Roman"/>
          <w:szCs w:val="22"/>
          <w:lang w:val="en-AU" w:eastAsia="zh-TW"/>
        </w:rPr>
        <w:t>Do not use after the expiry date (EXP) shown on the pack</w:t>
      </w:r>
      <w:r w:rsidR="00466722">
        <w:rPr>
          <w:rFonts w:ascii="Times New Roman" w:eastAsia="PMingLiU" w:hAnsi="Times New Roman"/>
          <w:szCs w:val="22"/>
          <w:lang w:val="en-AU" w:eastAsia="zh-TW"/>
        </w:rPr>
        <w:t>.</w:t>
      </w:r>
    </w:p>
    <w:p w14:paraId="07124971" w14:textId="77777777" w:rsidR="00405386" w:rsidRPr="00187C9E" w:rsidRDefault="00405386" w:rsidP="00F26892">
      <w:pPr>
        <w:pStyle w:val="Heading2"/>
      </w:pPr>
      <w:r w:rsidRPr="00187C9E">
        <w:t xml:space="preserve">Shelf-life of </w:t>
      </w:r>
      <w:r w:rsidR="00F26892">
        <w:t>reconstituted solution</w:t>
      </w:r>
      <w:r w:rsidRPr="00187C9E">
        <w:t xml:space="preserve"> </w:t>
      </w:r>
    </w:p>
    <w:p w14:paraId="07124972" w14:textId="77777777" w:rsidR="00466722" w:rsidRPr="000828D3" w:rsidRDefault="002248A4" w:rsidP="00585D37">
      <w:pPr>
        <w:pStyle w:val="TextTi12"/>
        <w:spacing w:line="240" w:lineRule="auto"/>
      </w:pPr>
      <w:r w:rsidRPr="00585D37">
        <w:t xml:space="preserve">KADCYLA </w:t>
      </w:r>
      <w:r w:rsidR="00466722" w:rsidRPr="003D0DC0">
        <w:t>vials</w:t>
      </w:r>
      <w:r w:rsidR="00466722" w:rsidRPr="000828D3">
        <w:t xml:space="preserve"> reconstituted with </w:t>
      </w:r>
      <w:r>
        <w:t xml:space="preserve">SWFI </w:t>
      </w:r>
      <w:r w:rsidR="00466722" w:rsidRPr="000828D3">
        <w:t>should be used immediately following reconstitution. If not used immediately, the reconstituted vials can be stored for up to</w:t>
      </w:r>
      <w:r w:rsidR="00466722" w:rsidRPr="000828D3" w:rsidDel="002C02D1">
        <w:t xml:space="preserve"> </w:t>
      </w:r>
      <w:r>
        <w:t>24 h</w:t>
      </w:r>
      <w:r w:rsidR="00466722" w:rsidRPr="000828D3">
        <w:t>rs at 2-8°C, and must be discarded thereafter.</w:t>
      </w:r>
    </w:p>
    <w:p w14:paraId="07124973" w14:textId="77777777" w:rsidR="00466722" w:rsidRPr="000828D3" w:rsidRDefault="00466722" w:rsidP="00585D37">
      <w:pPr>
        <w:pStyle w:val="TextTi12"/>
        <w:spacing w:line="240" w:lineRule="auto"/>
      </w:pPr>
      <w:r w:rsidRPr="000828D3">
        <w:t>Do not freeze the reconstituted solution.</w:t>
      </w:r>
    </w:p>
    <w:p w14:paraId="07124974" w14:textId="77777777" w:rsidR="00F26892" w:rsidRPr="00187C9E" w:rsidRDefault="00F26892" w:rsidP="00F26892">
      <w:pPr>
        <w:pStyle w:val="Heading2"/>
      </w:pPr>
      <w:r w:rsidRPr="00187C9E">
        <w:t xml:space="preserve">Shelf-life of </w:t>
      </w:r>
      <w:r>
        <w:t>solution</w:t>
      </w:r>
      <w:r w:rsidRPr="00187C9E">
        <w:t xml:space="preserve"> </w:t>
      </w:r>
      <w:r>
        <w:t>for infusion containing the reconstituted product</w:t>
      </w:r>
    </w:p>
    <w:p w14:paraId="07124975" w14:textId="3AE3ABED" w:rsidR="002248A4" w:rsidRPr="000828D3" w:rsidRDefault="002248A4" w:rsidP="002248A4">
      <w:pPr>
        <w:pStyle w:val="TextTi12"/>
      </w:pPr>
      <w:r w:rsidRPr="000828D3">
        <w:t xml:space="preserve">The reconstituted </w:t>
      </w:r>
      <w:r>
        <w:t>KADCYLA</w:t>
      </w:r>
      <w:r w:rsidRPr="000828D3" w:rsidDel="00047D0B">
        <w:t xml:space="preserve"> </w:t>
      </w:r>
      <w:r w:rsidRPr="000828D3">
        <w:t>solution diluted in polyvinyl chloride (PVC) or latex-free PVC-free polyolefin bags containing 0.9% Sodium Chloride Injection, or 0.45% Sodium Chloride Injection, may be s</w:t>
      </w:r>
      <w:r>
        <w:t>tored at 2–8°C for up to 24 h</w:t>
      </w:r>
      <w:r w:rsidRPr="000828D3">
        <w:t xml:space="preserve">rs prior to use. Particulates may be observed on storage if diluted in 0.9% Sodium Chloride Injection, therefore, a </w:t>
      </w:r>
      <w:r w:rsidR="00EF027C" w:rsidRPr="00EF027C">
        <w:rPr>
          <w:lang w:val="en-AU"/>
        </w:rPr>
        <w:t xml:space="preserve">0.22 micron in-line polyethersulfone (PES) </w:t>
      </w:r>
      <w:r w:rsidRPr="000828D3">
        <w:t>filter is required</w:t>
      </w:r>
      <w:r w:rsidRPr="000828D3" w:rsidDel="00A93891">
        <w:t xml:space="preserve"> </w:t>
      </w:r>
      <w:r w:rsidRPr="000828D3">
        <w:t xml:space="preserve">for administration </w:t>
      </w:r>
      <w:r>
        <w:rPr>
          <w:i/>
        </w:rPr>
        <w:t>(</w:t>
      </w:r>
      <w:r w:rsidRPr="000828D3">
        <w:rPr>
          <w:i/>
        </w:rPr>
        <w:t xml:space="preserve">see </w:t>
      </w:r>
      <w:r>
        <w:rPr>
          <w:i/>
        </w:rPr>
        <w:t>Instructions for Dilution)</w:t>
      </w:r>
      <w:r w:rsidRPr="007161DF">
        <w:t>.</w:t>
      </w:r>
    </w:p>
    <w:p w14:paraId="07124976" w14:textId="77777777" w:rsidR="002248A4" w:rsidRPr="000828D3" w:rsidRDefault="002248A4" w:rsidP="002248A4">
      <w:pPr>
        <w:pStyle w:val="TextTi12"/>
        <w:rPr>
          <w:rFonts w:eastAsia="MS Mincho"/>
        </w:rPr>
      </w:pPr>
      <w:r w:rsidRPr="000828D3">
        <w:rPr>
          <w:rFonts w:eastAsia="MS Mincho"/>
        </w:rPr>
        <w:t>Do not freeze the solution for infusion containing the reconstituted product.</w:t>
      </w:r>
    </w:p>
    <w:p w14:paraId="07124977" w14:textId="77777777" w:rsidR="00CA0E39" w:rsidRPr="00946EDC" w:rsidRDefault="00CA0E39" w:rsidP="00451567">
      <w:pPr>
        <w:pStyle w:val="Heading2"/>
      </w:pPr>
      <w:r w:rsidRPr="00946EDC">
        <w:t>Disposal of unused/expired medicines</w:t>
      </w:r>
    </w:p>
    <w:p w14:paraId="07124978" w14:textId="185F577A" w:rsidR="00102D38" w:rsidRPr="002C5832" w:rsidRDefault="00102D38" w:rsidP="00102D38">
      <w:pPr>
        <w:adjustRightInd w:val="0"/>
        <w:spacing w:after="170"/>
        <w:rPr>
          <w:szCs w:val="24"/>
          <w:lang w:val="en-US"/>
        </w:rPr>
      </w:pPr>
      <w:r w:rsidRPr="002C5832">
        <w:rPr>
          <w:szCs w:val="24"/>
          <w:lang w:val="en-US"/>
        </w:rPr>
        <w:t>The release of medicines into the environment should be minimized.  Medicines should not be disposed of via wastewater and disposal through household waste should be avoided. Unused or expired medicine should be retur</w:t>
      </w:r>
      <w:r w:rsidR="00225C83">
        <w:rPr>
          <w:szCs w:val="24"/>
          <w:lang w:val="en-US"/>
        </w:rPr>
        <w:t>ned to a pharmacy for disposal.</w:t>
      </w:r>
    </w:p>
    <w:p w14:paraId="07124979" w14:textId="77777777" w:rsidR="00D844B2" w:rsidRPr="00F26892" w:rsidRDefault="00D844B2" w:rsidP="00E42D56">
      <w:pPr>
        <w:pStyle w:val="Heading1"/>
        <w:spacing w:before="360"/>
        <w:rPr>
          <w:rFonts w:hint="eastAsia"/>
        </w:rPr>
      </w:pPr>
      <w:r w:rsidRPr="00F26892">
        <w:lastRenderedPageBreak/>
        <w:t>Name and address of the sponsor</w:t>
      </w:r>
    </w:p>
    <w:p w14:paraId="0712497A" w14:textId="77777777" w:rsidR="00D844B2" w:rsidRPr="00F26892" w:rsidRDefault="00D844B2" w:rsidP="007E03C2">
      <w:pPr>
        <w:keepNext/>
        <w:rPr>
          <w:lang w:val="en-GB"/>
        </w:rPr>
      </w:pPr>
      <w:r w:rsidRPr="00F26892">
        <w:rPr>
          <w:lang w:val="en-GB"/>
        </w:rPr>
        <w:t>Roche Products Pty Limited</w:t>
      </w:r>
    </w:p>
    <w:p w14:paraId="0712497B" w14:textId="77777777" w:rsidR="00D844B2" w:rsidRPr="00F26892" w:rsidRDefault="00D844B2" w:rsidP="007E03C2">
      <w:pPr>
        <w:keepNext/>
        <w:rPr>
          <w:lang w:val="en-GB"/>
        </w:rPr>
      </w:pPr>
      <w:r w:rsidRPr="00F26892">
        <w:rPr>
          <w:lang w:val="en-GB"/>
        </w:rPr>
        <w:t>ABN 70 000 132 865</w:t>
      </w:r>
    </w:p>
    <w:p w14:paraId="0712497C" w14:textId="77777777" w:rsidR="00D844B2" w:rsidRPr="00F26892" w:rsidRDefault="00D844B2" w:rsidP="007E03C2">
      <w:pPr>
        <w:keepNext/>
        <w:rPr>
          <w:lang w:val="en-GB"/>
        </w:rPr>
      </w:pPr>
      <w:r w:rsidRPr="00F26892">
        <w:rPr>
          <w:lang w:val="en-GB"/>
        </w:rPr>
        <w:t>4</w:t>
      </w:r>
      <w:r w:rsidRPr="00F26892">
        <w:rPr>
          <w:lang w:val="en-GB"/>
        </w:rPr>
        <w:sym w:font="Symbol" w:char="F02D"/>
      </w:r>
      <w:r w:rsidRPr="00F26892">
        <w:rPr>
          <w:lang w:val="en-GB"/>
        </w:rPr>
        <w:t>10 Inman Road</w:t>
      </w:r>
    </w:p>
    <w:p w14:paraId="0712497D" w14:textId="77777777" w:rsidR="00D844B2" w:rsidRPr="00F26892" w:rsidRDefault="00D844B2" w:rsidP="007E03C2">
      <w:pPr>
        <w:keepNext/>
        <w:rPr>
          <w:lang w:val="en-GB"/>
        </w:rPr>
      </w:pPr>
      <w:r w:rsidRPr="00F26892">
        <w:rPr>
          <w:lang w:val="en-GB"/>
        </w:rPr>
        <w:t>Dee Why   NSW   2099</w:t>
      </w:r>
    </w:p>
    <w:p w14:paraId="0712497E" w14:textId="77777777" w:rsidR="00D844B2" w:rsidRPr="00F26892" w:rsidRDefault="00D844B2" w:rsidP="007E03C2">
      <w:pPr>
        <w:keepNext/>
        <w:rPr>
          <w:lang w:val="en-GB"/>
        </w:rPr>
      </w:pPr>
      <w:r w:rsidRPr="00F26892">
        <w:rPr>
          <w:lang w:val="en-GB"/>
        </w:rPr>
        <w:t>AUSTRALIA</w:t>
      </w:r>
    </w:p>
    <w:p w14:paraId="0712497F" w14:textId="77777777" w:rsidR="00D844B2" w:rsidRPr="00F26892" w:rsidRDefault="00D844B2" w:rsidP="00E42D56">
      <w:pPr>
        <w:keepNext/>
        <w:rPr>
          <w:lang w:val="en-GB"/>
        </w:rPr>
      </w:pPr>
    </w:p>
    <w:p w14:paraId="07124980" w14:textId="77777777" w:rsidR="00D844B2" w:rsidRPr="00F26892" w:rsidRDefault="00D844B2" w:rsidP="00E42D56">
      <w:pPr>
        <w:spacing w:after="170"/>
        <w:rPr>
          <w:lang w:val="en-GB"/>
        </w:rPr>
      </w:pPr>
      <w:r w:rsidRPr="00F26892">
        <w:rPr>
          <w:lang w:val="en-GB"/>
        </w:rPr>
        <w:t>Customer enquiries: 1800 233 950</w:t>
      </w:r>
    </w:p>
    <w:p w14:paraId="07124981" w14:textId="77777777" w:rsidR="00D844B2" w:rsidRPr="00F26892" w:rsidRDefault="00D844B2" w:rsidP="00E42D56">
      <w:pPr>
        <w:pStyle w:val="Heading1"/>
        <w:spacing w:before="360"/>
        <w:rPr>
          <w:rFonts w:hint="eastAsia"/>
        </w:rPr>
      </w:pPr>
      <w:r w:rsidRPr="00F26892">
        <w:t>Poison Schedule of the medicine</w:t>
      </w:r>
    </w:p>
    <w:p w14:paraId="07124982" w14:textId="72E08482" w:rsidR="00D844B2" w:rsidRPr="00F26892" w:rsidRDefault="007E03C2" w:rsidP="007E03C2">
      <w:pPr>
        <w:spacing w:after="120"/>
      </w:pPr>
      <w:r w:rsidRPr="00F26892">
        <w:t xml:space="preserve">Schedule 4. </w:t>
      </w:r>
      <w:r w:rsidR="00B34100" w:rsidRPr="00F26892">
        <w:t>P</w:t>
      </w:r>
      <w:r w:rsidR="00225C83">
        <w:t>rescription Only Medicine</w:t>
      </w:r>
    </w:p>
    <w:p w14:paraId="07124983" w14:textId="77777777" w:rsidR="00D844B2" w:rsidRPr="00F26892" w:rsidRDefault="00D844B2" w:rsidP="00E42D56">
      <w:pPr>
        <w:pStyle w:val="Heading1"/>
        <w:spacing w:before="360"/>
        <w:rPr>
          <w:rFonts w:hint="eastAsia"/>
        </w:rPr>
      </w:pPr>
      <w:r w:rsidRPr="00F26892">
        <w:t>Date of first inclusion in the Australian Register of Therapeutic Goods (the ARTG)</w:t>
      </w:r>
    </w:p>
    <w:p w14:paraId="07124984" w14:textId="1F62AA67" w:rsidR="00D844B2" w:rsidRPr="00F26892" w:rsidRDefault="00376586" w:rsidP="007E03C2">
      <w:r>
        <w:t>03</w:t>
      </w:r>
      <w:r w:rsidR="00B34100" w:rsidRPr="00F26892">
        <w:t xml:space="preserve"> </w:t>
      </w:r>
      <w:r>
        <w:t>September</w:t>
      </w:r>
      <w:r w:rsidR="00B34100" w:rsidRPr="00F26892">
        <w:t xml:space="preserve"> </w:t>
      </w:r>
      <w:r>
        <w:t>2013</w:t>
      </w:r>
    </w:p>
    <w:sectPr w:rsidR="00D844B2" w:rsidRPr="00F26892" w:rsidSect="004A60B2">
      <w:headerReference w:type="default" r:id="rId15"/>
      <w:footerReference w:type="default" r:id="rId16"/>
      <w:pgSz w:w="11907" w:h="16839" w:code="9"/>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A5B4C2" w14:textId="77777777" w:rsidR="00AB487D" w:rsidRDefault="00AB487D" w:rsidP="000471CA">
      <w:r>
        <w:separator/>
      </w:r>
    </w:p>
  </w:endnote>
  <w:endnote w:type="continuationSeparator" w:id="0">
    <w:p w14:paraId="5B20B331" w14:textId="77777777" w:rsidR="00AB487D" w:rsidRDefault="00AB487D" w:rsidP="00047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Minion">
    <w:altName w:val="Minion Pro"/>
    <w:charset w:val="00"/>
    <w:family w:val="roman"/>
    <w:pitch w:val="variable"/>
    <w:sig w:usb0="00000001" w:usb1="5000E07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Roche">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24A49" w14:textId="337F519F" w:rsidR="00700FD8" w:rsidRDefault="00700FD8" w:rsidP="00DA1628">
    <w:pPr>
      <w:pStyle w:val="Footer"/>
      <w:pBdr>
        <w:top w:val="single" w:sz="4" w:space="1" w:color="auto"/>
      </w:pBdr>
      <w:tabs>
        <w:tab w:val="clear" w:pos="4513"/>
        <w:tab w:val="clear" w:pos="9026"/>
        <w:tab w:val="right" w:pos="9072"/>
      </w:tabs>
      <w:rPr>
        <w:color w:val="000000"/>
        <w:sz w:val="16"/>
        <w:szCs w:val="16"/>
      </w:rPr>
    </w:pPr>
    <w:r>
      <w:rPr>
        <w:color w:val="000000"/>
        <w:sz w:val="16"/>
        <w:szCs w:val="16"/>
      </w:rPr>
      <w:t>KADCYLA</w:t>
    </w:r>
    <w:r w:rsidRPr="00DA1628">
      <w:rPr>
        <w:color w:val="000000"/>
        <w:sz w:val="16"/>
        <w:szCs w:val="16"/>
        <w:vertAlign w:val="superscript"/>
      </w:rPr>
      <w:sym w:font="Symbol" w:char="F0D2"/>
    </w:r>
    <w:r w:rsidRPr="00DA1628">
      <w:rPr>
        <w:color w:val="000000"/>
        <w:sz w:val="16"/>
        <w:szCs w:val="16"/>
      </w:rPr>
      <w:t xml:space="preserve"> PI </w:t>
    </w:r>
    <w:r w:rsidR="00376586">
      <w:rPr>
        <w:color w:val="000000"/>
        <w:sz w:val="16"/>
        <w:szCs w:val="16"/>
      </w:rPr>
      <w:t>130904</w:t>
    </w:r>
    <w:r w:rsidRPr="00DA1628">
      <w:rPr>
        <w:color w:val="000000"/>
        <w:sz w:val="16"/>
        <w:szCs w:val="16"/>
      </w:rPr>
      <w:tab/>
      <w:t xml:space="preserve">Page </w:t>
    </w:r>
    <w:r w:rsidRPr="00DA1628">
      <w:rPr>
        <w:color w:val="000000"/>
        <w:sz w:val="16"/>
        <w:szCs w:val="16"/>
      </w:rPr>
      <w:fldChar w:fldCharType="begin"/>
    </w:r>
    <w:r w:rsidRPr="00DA1628">
      <w:rPr>
        <w:color w:val="000000"/>
        <w:sz w:val="16"/>
        <w:szCs w:val="16"/>
      </w:rPr>
      <w:instrText xml:space="preserve"> PAGE  \* Arabic  \* MERGEFORMAT </w:instrText>
    </w:r>
    <w:r w:rsidRPr="00DA1628">
      <w:rPr>
        <w:color w:val="000000"/>
        <w:sz w:val="16"/>
        <w:szCs w:val="16"/>
      </w:rPr>
      <w:fldChar w:fldCharType="separate"/>
    </w:r>
    <w:r w:rsidR="00961D8E">
      <w:rPr>
        <w:noProof/>
        <w:color w:val="000000"/>
        <w:sz w:val="16"/>
        <w:szCs w:val="16"/>
      </w:rPr>
      <w:t>1</w:t>
    </w:r>
    <w:r w:rsidRPr="00DA1628">
      <w:rPr>
        <w:color w:val="000000"/>
        <w:sz w:val="16"/>
        <w:szCs w:val="16"/>
      </w:rPr>
      <w:fldChar w:fldCharType="end"/>
    </w:r>
    <w:r w:rsidRPr="00DA1628">
      <w:rPr>
        <w:color w:val="000000"/>
        <w:sz w:val="16"/>
        <w:szCs w:val="16"/>
      </w:rPr>
      <w:t xml:space="preserve"> of </w:t>
    </w:r>
    <w:r w:rsidRPr="00DA1628">
      <w:rPr>
        <w:color w:val="000000"/>
        <w:sz w:val="16"/>
        <w:szCs w:val="16"/>
      </w:rPr>
      <w:fldChar w:fldCharType="begin"/>
    </w:r>
    <w:r w:rsidRPr="00DA1628">
      <w:rPr>
        <w:color w:val="000000"/>
        <w:sz w:val="16"/>
        <w:szCs w:val="16"/>
      </w:rPr>
      <w:instrText xml:space="preserve"> NUMPAGES  \* Arabic  \* MERGEFORMAT </w:instrText>
    </w:r>
    <w:r w:rsidRPr="00DA1628">
      <w:rPr>
        <w:color w:val="000000"/>
        <w:sz w:val="16"/>
        <w:szCs w:val="16"/>
      </w:rPr>
      <w:fldChar w:fldCharType="separate"/>
    </w:r>
    <w:r w:rsidR="00961D8E">
      <w:rPr>
        <w:noProof/>
        <w:color w:val="000000"/>
        <w:sz w:val="16"/>
        <w:szCs w:val="16"/>
      </w:rPr>
      <w:t>20</w:t>
    </w:r>
    <w:r w:rsidRPr="00DA1628">
      <w:rPr>
        <w:color w:val="000000"/>
        <w:sz w:val="16"/>
        <w:szCs w:val="16"/>
      </w:rPr>
      <w:fldChar w:fldCharType="end"/>
    </w:r>
  </w:p>
  <w:p w14:paraId="07124A4A" w14:textId="20CB3D41" w:rsidR="00700FD8" w:rsidRPr="00DA1628" w:rsidRDefault="00700FD8" w:rsidP="00DA1628">
    <w:pPr>
      <w:pStyle w:val="Footer"/>
      <w:pBdr>
        <w:top w:val="single" w:sz="4" w:space="1" w:color="auto"/>
      </w:pBdr>
      <w:tabs>
        <w:tab w:val="clear" w:pos="4513"/>
        <w:tab w:val="clear" w:pos="9026"/>
        <w:tab w:val="right" w:pos="9072"/>
      </w:tabs>
      <w:jc w:val="left"/>
      <w:rPr>
        <w:sz w:val="16"/>
        <w:szCs w:val="16"/>
      </w:rPr>
    </w:pPr>
    <w:r>
      <w:rPr>
        <w:color w:val="000000"/>
        <w:sz w:val="16"/>
        <w:szCs w:val="16"/>
      </w:rPr>
      <w:t>CDS 1.1/2.0/3.0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32C5ED" w14:textId="77777777" w:rsidR="00AB487D" w:rsidRDefault="00AB487D" w:rsidP="000471CA">
      <w:r>
        <w:separator/>
      </w:r>
    </w:p>
  </w:footnote>
  <w:footnote w:type="continuationSeparator" w:id="0">
    <w:p w14:paraId="50779D10" w14:textId="77777777" w:rsidR="00AB487D" w:rsidRDefault="00AB487D" w:rsidP="000471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24A48" w14:textId="57B0E379" w:rsidR="00700FD8" w:rsidRPr="008024B7" w:rsidRDefault="00700FD8" w:rsidP="008024B7">
    <w:pPr>
      <w:pStyle w:val="Header"/>
      <w:jc w:val="left"/>
      <w:rPr>
        <w:rFonts w:ascii="Roche" w:hAnsi="Roche"/>
        <w:sz w:val="22"/>
      </w:rPr>
    </w:pPr>
  </w:p>
  <w:p w14:paraId="19EF1E61" w14:textId="2BDF3477" w:rsidR="008024B7" w:rsidRPr="008024B7" w:rsidRDefault="008024B7" w:rsidP="008024B7">
    <w:pPr>
      <w:pBdr>
        <w:top w:val="single" w:sz="4" w:space="1" w:color="auto"/>
        <w:left w:val="single" w:sz="4" w:space="4" w:color="auto"/>
        <w:bottom w:val="single" w:sz="4" w:space="1" w:color="auto"/>
        <w:right w:val="single" w:sz="4" w:space="4" w:color="auto"/>
      </w:pBdr>
      <w:shd w:val="clear" w:color="auto" w:fill="E4F2E0"/>
      <w:spacing w:before="40" w:after="40"/>
      <w:jc w:val="left"/>
      <w:rPr>
        <w:rFonts w:ascii="Cambria" w:hAnsi="Cambria"/>
        <w:b/>
        <w:sz w:val="22"/>
      </w:rPr>
    </w:pPr>
    <w:r w:rsidRPr="008024B7">
      <w:rPr>
        <w:rFonts w:ascii="Cambria" w:hAnsi="Cambria"/>
        <w:b/>
        <w:sz w:val="22"/>
      </w:rPr>
      <w:t xml:space="preserve">Attachment 1: Product information for </w:t>
    </w:r>
    <w:proofErr w:type="spellStart"/>
    <w:r w:rsidRPr="008024B7">
      <w:rPr>
        <w:rFonts w:ascii="Cambria" w:hAnsi="Cambria"/>
        <w:b/>
        <w:sz w:val="22"/>
      </w:rPr>
      <w:t>AusPAR</w:t>
    </w:r>
    <w:proofErr w:type="spellEnd"/>
    <w:r w:rsidRPr="008024B7">
      <w:rPr>
        <w:rFonts w:ascii="Cambria" w:hAnsi="Cambria"/>
        <w:b/>
        <w:sz w:val="22"/>
      </w:rPr>
      <w:t xml:space="preserve"> </w:t>
    </w:r>
    <w:proofErr w:type="spellStart"/>
    <w:r w:rsidR="00225C83">
      <w:rPr>
        <w:rFonts w:ascii="Cambria" w:hAnsi="Cambria"/>
        <w:b/>
        <w:sz w:val="22"/>
      </w:rPr>
      <w:t>Trastuzumab</w:t>
    </w:r>
    <w:proofErr w:type="spellEnd"/>
    <w:r w:rsidR="00225C83">
      <w:rPr>
        <w:rFonts w:ascii="Cambria" w:hAnsi="Cambria"/>
        <w:b/>
        <w:sz w:val="22"/>
      </w:rPr>
      <w:t xml:space="preserve"> </w:t>
    </w:r>
    <w:proofErr w:type="spellStart"/>
    <w:r w:rsidR="00225C83">
      <w:rPr>
        <w:rFonts w:ascii="Cambria" w:hAnsi="Cambria"/>
        <w:b/>
        <w:sz w:val="22"/>
      </w:rPr>
      <w:t>emtansine</w:t>
    </w:r>
    <w:proofErr w:type="spellEnd"/>
    <w:r w:rsidR="00225C83">
      <w:rPr>
        <w:rFonts w:ascii="Cambria" w:hAnsi="Cambria"/>
        <w:b/>
        <w:sz w:val="22"/>
      </w:rPr>
      <w:t xml:space="preserve"> </w:t>
    </w:r>
    <w:proofErr w:type="spellStart"/>
    <w:r w:rsidRPr="008024B7">
      <w:rPr>
        <w:rFonts w:ascii="Cambria" w:hAnsi="Cambria"/>
        <w:b/>
        <w:sz w:val="22"/>
      </w:rPr>
      <w:t>Kadcyla</w:t>
    </w:r>
    <w:proofErr w:type="spellEnd"/>
    <w:r w:rsidRPr="008024B7">
      <w:rPr>
        <w:rFonts w:ascii="Cambria" w:hAnsi="Cambria"/>
        <w:b/>
        <w:sz w:val="22"/>
      </w:rPr>
      <w:t xml:space="preserve"> Roche Products Pty Ltd PM-2012-02734-3-4 Final 17 March 2014]. This Product Information was approved at the time this AusPAR was published.</w:t>
    </w:r>
  </w:p>
  <w:p w14:paraId="7D329419" w14:textId="77777777" w:rsidR="008024B7" w:rsidRPr="008024B7" w:rsidRDefault="008024B7" w:rsidP="008024B7">
    <w:pPr>
      <w:pStyle w:val="Header"/>
      <w:jc w:val="left"/>
      <w:rPr>
        <w:rFonts w:ascii="Cambria" w:hAnsi="Cambria"/>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1D1E7D74"/>
    <w:lvl w:ilvl="0">
      <w:start w:val="1"/>
      <w:numFmt w:val="decimal"/>
      <w:pStyle w:val="ListNumber"/>
      <w:lvlText w:val="%1."/>
      <w:lvlJc w:val="left"/>
      <w:pPr>
        <w:tabs>
          <w:tab w:val="num" w:pos="432"/>
        </w:tabs>
        <w:ind w:left="432" w:hanging="432"/>
      </w:pPr>
      <w:rPr>
        <w:rFonts w:hint="default"/>
      </w:rPr>
    </w:lvl>
  </w:abstractNum>
  <w:abstractNum w:abstractNumId="1">
    <w:nsid w:val="01E5633C"/>
    <w:multiLevelType w:val="hybridMultilevel"/>
    <w:tmpl w:val="65B2CF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18A02F2"/>
    <w:multiLevelType w:val="hybridMultilevel"/>
    <w:tmpl w:val="2870DC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8BC2D05"/>
    <w:multiLevelType w:val="hybridMultilevel"/>
    <w:tmpl w:val="C584D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1C3248"/>
    <w:multiLevelType w:val="hybridMultilevel"/>
    <w:tmpl w:val="4E4C302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nsid w:val="1F287C33"/>
    <w:multiLevelType w:val="hybridMultilevel"/>
    <w:tmpl w:val="E32CB4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nsid w:val="1FF70ADF"/>
    <w:multiLevelType w:val="hybridMultilevel"/>
    <w:tmpl w:val="C9928AB2"/>
    <w:lvl w:ilvl="0" w:tplc="B97A2034">
      <w:numFmt w:val="bullet"/>
      <w:lvlText w:val="-"/>
      <w:lvlJc w:val="left"/>
      <w:pPr>
        <w:ind w:left="720" w:hanging="360"/>
      </w:pPr>
      <w:rPr>
        <w:rFonts w:ascii="Times New Roman" w:eastAsia="PMingLiU"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0FD4D9B"/>
    <w:multiLevelType w:val="hybridMultilevel"/>
    <w:tmpl w:val="E5069A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40F0723"/>
    <w:multiLevelType w:val="hybridMultilevel"/>
    <w:tmpl w:val="0A7481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73F617D"/>
    <w:multiLevelType w:val="hybridMultilevel"/>
    <w:tmpl w:val="8E26DF9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27276DB"/>
    <w:multiLevelType w:val="multilevel"/>
    <w:tmpl w:val="267A5A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23065D"/>
    <w:multiLevelType w:val="hybridMultilevel"/>
    <w:tmpl w:val="BFE0A17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C2102FE"/>
    <w:multiLevelType w:val="hybridMultilevel"/>
    <w:tmpl w:val="933039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MS Mincho"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MS Mincho"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MS Mincho"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3FF433D1"/>
    <w:multiLevelType w:val="hybridMultilevel"/>
    <w:tmpl w:val="B24463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88B4B31"/>
    <w:multiLevelType w:val="hybridMultilevel"/>
    <w:tmpl w:val="D6B46B7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21419C7"/>
    <w:multiLevelType w:val="hybridMultilevel"/>
    <w:tmpl w:val="4C7C99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51124AA"/>
    <w:multiLevelType w:val="hybridMultilevel"/>
    <w:tmpl w:val="DB6A26B8"/>
    <w:lvl w:ilvl="0" w:tplc="D9CABD14">
      <w:start w:val="1"/>
      <w:numFmt w:val="bullet"/>
      <w:pStyle w:val="Heading7"/>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FE93A88"/>
    <w:multiLevelType w:val="hybridMultilevel"/>
    <w:tmpl w:val="5D7CB3C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8">
    <w:nsid w:val="695941D2"/>
    <w:multiLevelType w:val="hybridMultilevel"/>
    <w:tmpl w:val="AB50B1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6E3421C7"/>
    <w:multiLevelType w:val="hybridMultilevel"/>
    <w:tmpl w:val="13946F9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71BF79F6"/>
    <w:multiLevelType w:val="hybridMultilevel"/>
    <w:tmpl w:val="61D6C26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790F7459"/>
    <w:multiLevelType w:val="hybridMultilevel"/>
    <w:tmpl w:val="8FEEF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A427872"/>
    <w:multiLevelType w:val="hybridMultilevel"/>
    <w:tmpl w:val="EADA3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D1857B0"/>
    <w:multiLevelType w:val="hybridMultilevel"/>
    <w:tmpl w:val="3CA4AB36"/>
    <w:lvl w:ilvl="0" w:tplc="CA34CED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7FC870A0"/>
    <w:multiLevelType w:val="multilevel"/>
    <w:tmpl w:val="ECF031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2"/>
  </w:num>
  <w:num w:numId="3">
    <w:abstractNumId w:val="14"/>
  </w:num>
  <w:num w:numId="4">
    <w:abstractNumId w:val="11"/>
  </w:num>
  <w:num w:numId="5">
    <w:abstractNumId w:val="9"/>
  </w:num>
  <w:num w:numId="6">
    <w:abstractNumId w:val="16"/>
  </w:num>
  <w:num w:numId="7">
    <w:abstractNumId w:val="23"/>
  </w:num>
  <w:num w:numId="8">
    <w:abstractNumId w:val="1"/>
  </w:num>
  <w:num w:numId="9">
    <w:abstractNumId w:val="20"/>
  </w:num>
  <w:num w:numId="10">
    <w:abstractNumId w:val="8"/>
  </w:num>
  <w:num w:numId="11">
    <w:abstractNumId w:val="13"/>
  </w:num>
  <w:num w:numId="12">
    <w:abstractNumId w:val="6"/>
  </w:num>
  <w:num w:numId="13">
    <w:abstractNumId w:val="17"/>
  </w:num>
  <w:num w:numId="14">
    <w:abstractNumId w:val="3"/>
  </w:num>
  <w:num w:numId="15">
    <w:abstractNumId w:val="21"/>
  </w:num>
  <w:num w:numId="16">
    <w:abstractNumId w:val="12"/>
  </w:num>
  <w:num w:numId="17">
    <w:abstractNumId w:val="0"/>
  </w:num>
  <w:num w:numId="18">
    <w:abstractNumId w:val="22"/>
  </w:num>
  <w:num w:numId="19">
    <w:abstractNumId w:val="4"/>
  </w:num>
  <w:num w:numId="20">
    <w:abstractNumId w:val="7"/>
  </w:num>
  <w:num w:numId="21">
    <w:abstractNumId w:val="15"/>
  </w:num>
  <w:num w:numId="22">
    <w:abstractNumId w:val="5"/>
  </w:num>
  <w:num w:numId="23">
    <w:abstractNumId w:val="5"/>
  </w:num>
  <w:num w:numId="24">
    <w:abstractNumId w:val="18"/>
  </w:num>
  <w:num w:numId="25">
    <w:abstractNumId w:val="10"/>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F62"/>
    <w:rsid w:val="000020C4"/>
    <w:rsid w:val="00010DB6"/>
    <w:rsid w:val="00010E18"/>
    <w:rsid w:val="0001186A"/>
    <w:rsid w:val="00012630"/>
    <w:rsid w:val="00012687"/>
    <w:rsid w:val="0001569C"/>
    <w:rsid w:val="000202F9"/>
    <w:rsid w:val="00022FDA"/>
    <w:rsid w:val="00026B2C"/>
    <w:rsid w:val="00031E05"/>
    <w:rsid w:val="00032959"/>
    <w:rsid w:val="00041884"/>
    <w:rsid w:val="00042E12"/>
    <w:rsid w:val="0004513F"/>
    <w:rsid w:val="000471CA"/>
    <w:rsid w:val="000545A1"/>
    <w:rsid w:val="00054E04"/>
    <w:rsid w:val="00063896"/>
    <w:rsid w:val="00064290"/>
    <w:rsid w:val="00070B9A"/>
    <w:rsid w:val="00071D15"/>
    <w:rsid w:val="00075561"/>
    <w:rsid w:val="00077674"/>
    <w:rsid w:val="00077ECD"/>
    <w:rsid w:val="00084849"/>
    <w:rsid w:val="00087B8E"/>
    <w:rsid w:val="00092C48"/>
    <w:rsid w:val="00094817"/>
    <w:rsid w:val="000A1128"/>
    <w:rsid w:val="000A151B"/>
    <w:rsid w:val="000A1A0B"/>
    <w:rsid w:val="000A42C8"/>
    <w:rsid w:val="000A4E40"/>
    <w:rsid w:val="000A6CB4"/>
    <w:rsid w:val="000C0F3A"/>
    <w:rsid w:val="000C59EB"/>
    <w:rsid w:val="000D3A53"/>
    <w:rsid w:val="000D3B65"/>
    <w:rsid w:val="000D406C"/>
    <w:rsid w:val="000D6853"/>
    <w:rsid w:val="000E1371"/>
    <w:rsid w:val="000E142A"/>
    <w:rsid w:val="000E1580"/>
    <w:rsid w:val="000E38EA"/>
    <w:rsid w:val="000E4ED0"/>
    <w:rsid w:val="000E56CA"/>
    <w:rsid w:val="000E5DDF"/>
    <w:rsid w:val="000F1184"/>
    <w:rsid w:val="000F43F8"/>
    <w:rsid w:val="000F735A"/>
    <w:rsid w:val="00102D38"/>
    <w:rsid w:val="0010320A"/>
    <w:rsid w:val="001072C9"/>
    <w:rsid w:val="0011064F"/>
    <w:rsid w:val="00111F92"/>
    <w:rsid w:val="00115B24"/>
    <w:rsid w:val="00116A18"/>
    <w:rsid w:val="00117A25"/>
    <w:rsid w:val="001253B4"/>
    <w:rsid w:val="00131AB2"/>
    <w:rsid w:val="001329DF"/>
    <w:rsid w:val="00133874"/>
    <w:rsid w:val="001348E1"/>
    <w:rsid w:val="00141F0D"/>
    <w:rsid w:val="00145536"/>
    <w:rsid w:val="00145D8D"/>
    <w:rsid w:val="001467C3"/>
    <w:rsid w:val="00146FB6"/>
    <w:rsid w:val="00152815"/>
    <w:rsid w:val="00153597"/>
    <w:rsid w:val="00157DFD"/>
    <w:rsid w:val="00160DA5"/>
    <w:rsid w:val="0016484A"/>
    <w:rsid w:val="0016627F"/>
    <w:rsid w:val="00166680"/>
    <w:rsid w:val="00173738"/>
    <w:rsid w:val="0018226A"/>
    <w:rsid w:val="0018297E"/>
    <w:rsid w:val="001837FA"/>
    <w:rsid w:val="00185EA3"/>
    <w:rsid w:val="00186EC0"/>
    <w:rsid w:val="00187C9E"/>
    <w:rsid w:val="00195B97"/>
    <w:rsid w:val="00196EC0"/>
    <w:rsid w:val="001A029E"/>
    <w:rsid w:val="001A0CD4"/>
    <w:rsid w:val="001A1F2C"/>
    <w:rsid w:val="001A2755"/>
    <w:rsid w:val="001A7581"/>
    <w:rsid w:val="001B3631"/>
    <w:rsid w:val="001B552B"/>
    <w:rsid w:val="001B6E5F"/>
    <w:rsid w:val="001C00FE"/>
    <w:rsid w:val="001C077E"/>
    <w:rsid w:val="001C60E0"/>
    <w:rsid w:val="001D0B31"/>
    <w:rsid w:val="001D0B86"/>
    <w:rsid w:val="001D2A10"/>
    <w:rsid w:val="001D35E2"/>
    <w:rsid w:val="001D47A8"/>
    <w:rsid w:val="001E09BB"/>
    <w:rsid w:val="001E2997"/>
    <w:rsid w:val="001E4015"/>
    <w:rsid w:val="001E5506"/>
    <w:rsid w:val="001E62BB"/>
    <w:rsid w:val="001F104D"/>
    <w:rsid w:val="001F3793"/>
    <w:rsid w:val="001F3D7D"/>
    <w:rsid w:val="001F5DDA"/>
    <w:rsid w:val="00200A21"/>
    <w:rsid w:val="00202398"/>
    <w:rsid w:val="002028F3"/>
    <w:rsid w:val="00202A1D"/>
    <w:rsid w:val="002040E7"/>
    <w:rsid w:val="002051AA"/>
    <w:rsid w:val="00210FFE"/>
    <w:rsid w:val="00217798"/>
    <w:rsid w:val="0022434D"/>
    <w:rsid w:val="002248A4"/>
    <w:rsid w:val="00224B51"/>
    <w:rsid w:val="00225C83"/>
    <w:rsid w:val="00226682"/>
    <w:rsid w:val="002269FF"/>
    <w:rsid w:val="002374C7"/>
    <w:rsid w:val="0024256D"/>
    <w:rsid w:val="002453E7"/>
    <w:rsid w:val="00250A27"/>
    <w:rsid w:val="002516C0"/>
    <w:rsid w:val="002522C7"/>
    <w:rsid w:val="002537FB"/>
    <w:rsid w:val="00255E4C"/>
    <w:rsid w:val="0025721A"/>
    <w:rsid w:val="00257CFD"/>
    <w:rsid w:val="00265D8D"/>
    <w:rsid w:val="00266263"/>
    <w:rsid w:val="00266881"/>
    <w:rsid w:val="002676EB"/>
    <w:rsid w:val="00272098"/>
    <w:rsid w:val="0027338F"/>
    <w:rsid w:val="002810CB"/>
    <w:rsid w:val="00281137"/>
    <w:rsid w:val="00282B0E"/>
    <w:rsid w:val="00282C00"/>
    <w:rsid w:val="002933D8"/>
    <w:rsid w:val="002953CD"/>
    <w:rsid w:val="00296443"/>
    <w:rsid w:val="0029716D"/>
    <w:rsid w:val="00297CC9"/>
    <w:rsid w:val="002A6031"/>
    <w:rsid w:val="002B01FD"/>
    <w:rsid w:val="002B1CE6"/>
    <w:rsid w:val="002B3711"/>
    <w:rsid w:val="002B524C"/>
    <w:rsid w:val="002B7507"/>
    <w:rsid w:val="002C296C"/>
    <w:rsid w:val="002C49DA"/>
    <w:rsid w:val="002C4F9B"/>
    <w:rsid w:val="002C6491"/>
    <w:rsid w:val="002C6F76"/>
    <w:rsid w:val="002C7EA8"/>
    <w:rsid w:val="002D0E2F"/>
    <w:rsid w:val="002D37F3"/>
    <w:rsid w:val="002D5D47"/>
    <w:rsid w:val="002E25D1"/>
    <w:rsid w:val="00300FC6"/>
    <w:rsid w:val="00302C98"/>
    <w:rsid w:val="00304278"/>
    <w:rsid w:val="00304E1A"/>
    <w:rsid w:val="00305E1D"/>
    <w:rsid w:val="003072EA"/>
    <w:rsid w:val="0031226A"/>
    <w:rsid w:val="00315DD6"/>
    <w:rsid w:val="00315E35"/>
    <w:rsid w:val="003161D5"/>
    <w:rsid w:val="00316CBA"/>
    <w:rsid w:val="00317458"/>
    <w:rsid w:val="003222D0"/>
    <w:rsid w:val="0032787B"/>
    <w:rsid w:val="003310FF"/>
    <w:rsid w:val="00334DA6"/>
    <w:rsid w:val="003365C6"/>
    <w:rsid w:val="003378A9"/>
    <w:rsid w:val="00341D2A"/>
    <w:rsid w:val="00341E7E"/>
    <w:rsid w:val="00342947"/>
    <w:rsid w:val="0034359C"/>
    <w:rsid w:val="003471FF"/>
    <w:rsid w:val="00352795"/>
    <w:rsid w:val="00362BFA"/>
    <w:rsid w:val="00367794"/>
    <w:rsid w:val="00372F33"/>
    <w:rsid w:val="00373EF1"/>
    <w:rsid w:val="003756E1"/>
    <w:rsid w:val="00376586"/>
    <w:rsid w:val="00382549"/>
    <w:rsid w:val="003866E6"/>
    <w:rsid w:val="003911A3"/>
    <w:rsid w:val="00392A4B"/>
    <w:rsid w:val="003950AF"/>
    <w:rsid w:val="0039618E"/>
    <w:rsid w:val="003A182B"/>
    <w:rsid w:val="003A2522"/>
    <w:rsid w:val="003A3DEC"/>
    <w:rsid w:val="003A4946"/>
    <w:rsid w:val="003A5C6A"/>
    <w:rsid w:val="003B0A3C"/>
    <w:rsid w:val="003B0CD5"/>
    <w:rsid w:val="003B0E57"/>
    <w:rsid w:val="003B3FB0"/>
    <w:rsid w:val="003B7922"/>
    <w:rsid w:val="003C120F"/>
    <w:rsid w:val="003C4D12"/>
    <w:rsid w:val="003C5387"/>
    <w:rsid w:val="003D0DC0"/>
    <w:rsid w:val="003D3D6B"/>
    <w:rsid w:val="003D5846"/>
    <w:rsid w:val="003E29C9"/>
    <w:rsid w:val="003E37B6"/>
    <w:rsid w:val="003E40BE"/>
    <w:rsid w:val="003E5797"/>
    <w:rsid w:val="003E5BBE"/>
    <w:rsid w:val="003F13F9"/>
    <w:rsid w:val="003F3506"/>
    <w:rsid w:val="003F4FAC"/>
    <w:rsid w:val="003F72C9"/>
    <w:rsid w:val="00400413"/>
    <w:rsid w:val="00405164"/>
    <w:rsid w:val="00405386"/>
    <w:rsid w:val="00405A2F"/>
    <w:rsid w:val="004077D3"/>
    <w:rsid w:val="0042026F"/>
    <w:rsid w:val="00422136"/>
    <w:rsid w:val="004249BE"/>
    <w:rsid w:val="0043052F"/>
    <w:rsid w:val="00431AF8"/>
    <w:rsid w:val="00431F86"/>
    <w:rsid w:val="0043267A"/>
    <w:rsid w:val="00435B14"/>
    <w:rsid w:val="00435C55"/>
    <w:rsid w:val="00436B8B"/>
    <w:rsid w:val="00442E0A"/>
    <w:rsid w:val="0044709B"/>
    <w:rsid w:val="00447524"/>
    <w:rsid w:val="00447CC7"/>
    <w:rsid w:val="0045106C"/>
    <w:rsid w:val="00451567"/>
    <w:rsid w:val="0046068C"/>
    <w:rsid w:val="0046133D"/>
    <w:rsid w:val="00463520"/>
    <w:rsid w:val="00465C0E"/>
    <w:rsid w:val="00466722"/>
    <w:rsid w:val="00466C12"/>
    <w:rsid w:val="00467CBA"/>
    <w:rsid w:val="00471EE9"/>
    <w:rsid w:val="00476A89"/>
    <w:rsid w:val="00492676"/>
    <w:rsid w:val="0049353C"/>
    <w:rsid w:val="00496BA0"/>
    <w:rsid w:val="004A1761"/>
    <w:rsid w:val="004A3FC7"/>
    <w:rsid w:val="004A5373"/>
    <w:rsid w:val="004A56BB"/>
    <w:rsid w:val="004A60B2"/>
    <w:rsid w:val="004A660A"/>
    <w:rsid w:val="004A6FA9"/>
    <w:rsid w:val="004B46F6"/>
    <w:rsid w:val="004B4A44"/>
    <w:rsid w:val="004B543F"/>
    <w:rsid w:val="004C7441"/>
    <w:rsid w:val="004D267D"/>
    <w:rsid w:val="004D3170"/>
    <w:rsid w:val="004D67C1"/>
    <w:rsid w:val="004D6C9C"/>
    <w:rsid w:val="004E1E49"/>
    <w:rsid w:val="004E2EF3"/>
    <w:rsid w:val="004E565F"/>
    <w:rsid w:val="004F0B70"/>
    <w:rsid w:val="00500A8B"/>
    <w:rsid w:val="00500BDB"/>
    <w:rsid w:val="005028C9"/>
    <w:rsid w:val="00504BE0"/>
    <w:rsid w:val="00505D0E"/>
    <w:rsid w:val="00506599"/>
    <w:rsid w:val="00506C5B"/>
    <w:rsid w:val="0051151F"/>
    <w:rsid w:val="00515670"/>
    <w:rsid w:val="005161B7"/>
    <w:rsid w:val="00522217"/>
    <w:rsid w:val="00523F7C"/>
    <w:rsid w:val="00530C53"/>
    <w:rsid w:val="005327D6"/>
    <w:rsid w:val="00532846"/>
    <w:rsid w:val="00532A4D"/>
    <w:rsid w:val="00532A8C"/>
    <w:rsid w:val="00535786"/>
    <w:rsid w:val="00536961"/>
    <w:rsid w:val="005469A1"/>
    <w:rsid w:val="00551741"/>
    <w:rsid w:val="00560709"/>
    <w:rsid w:val="00561047"/>
    <w:rsid w:val="005629E6"/>
    <w:rsid w:val="005632BF"/>
    <w:rsid w:val="005666A7"/>
    <w:rsid w:val="00567B5B"/>
    <w:rsid w:val="00571149"/>
    <w:rsid w:val="005718FE"/>
    <w:rsid w:val="005724D5"/>
    <w:rsid w:val="005738FE"/>
    <w:rsid w:val="00573C2C"/>
    <w:rsid w:val="00575A69"/>
    <w:rsid w:val="00577321"/>
    <w:rsid w:val="005779D4"/>
    <w:rsid w:val="00584633"/>
    <w:rsid w:val="00585D37"/>
    <w:rsid w:val="00586829"/>
    <w:rsid w:val="005873D2"/>
    <w:rsid w:val="005902A4"/>
    <w:rsid w:val="00591F94"/>
    <w:rsid w:val="00592E1E"/>
    <w:rsid w:val="005942FC"/>
    <w:rsid w:val="0059476A"/>
    <w:rsid w:val="005A04B3"/>
    <w:rsid w:val="005A0ADC"/>
    <w:rsid w:val="005A18D6"/>
    <w:rsid w:val="005A34A8"/>
    <w:rsid w:val="005A4986"/>
    <w:rsid w:val="005B1D71"/>
    <w:rsid w:val="005B1E6E"/>
    <w:rsid w:val="005B2806"/>
    <w:rsid w:val="005B7EF5"/>
    <w:rsid w:val="005C05F3"/>
    <w:rsid w:val="005C0B1E"/>
    <w:rsid w:val="005C2176"/>
    <w:rsid w:val="005C3402"/>
    <w:rsid w:val="005D421C"/>
    <w:rsid w:val="005E0265"/>
    <w:rsid w:val="005E0A55"/>
    <w:rsid w:val="005E0DF6"/>
    <w:rsid w:val="005E6582"/>
    <w:rsid w:val="005F14BC"/>
    <w:rsid w:val="005F2286"/>
    <w:rsid w:val="005F23EC"/>
    <w:rsid w:val="005F7F62"/>
    <w:rsid w:val="00601DB7"/>
    <w:rsid w:val="00605DA8"/>
    <w:rsid w:val="00607F7E"/>
    <w:rsid w:val="00611893"/>
    <w:rsid w:val="00612CE3"/>
    <w:rsid w:val="00614D0B"/>
    <w:rsid w:val="00623351"/>
    <w:rsid w:val="00623783"/>
    <w:rsid w:val="00623B28"/>
    <w:rsid w:val="0062505E"/>
    <w:rsid w:val="006304A4"/>
    <w:rsid w:val="0063109A"/>
    <w:rsid w:val="0063721B"/>
    <w:rsid w:val="00644220"/>
    <w:rsid w:val="00646C9B"/>
    <w:rsid w:val="00647D91"/>
    <w:rsid w:val="006536F5"/>
    <w:rsid w:val="00653C1A"/>
    <w:rsid w:val="00657D08"/>
    <w:rsid w:val="00657F5D"/>
    <w:rsid w:val="00663D35"/>
    <w:rsid w:val="006643D4"/>
    <w:rsid w:val="00670C96"/>
    <w:rsid w:val="00671FD3"/>
    <w:rsid w:val="006778C5"/>
    <w:rsid w:val="00684450"/>
    <w:rsid w:val="00685AE9"/>
    <w:rsid w:val="0068687E"/>
    <w:rsid w:val="006A0AE2"/>
    <w:rsid w:val="006B44DC"/>
    <w:rsid w:val="006B7603"/>
    <w:rsid w:val="006C0FDC"/>
    <w:rsid w:val="006C4117"/>
    <w:rsid w:val="006C5771"/>
    <w:rsid w:val="006D1741"/>
    <w:rsid w:val="006D67BC"/>
    <w:rsid w:val="006D7297"/>
    <w:rsid w:val="006D75ED"/>
    <w:rsid w:val="006E20ED"/>
    <w:rsid w:val="006E26A9"/>
    <w:rsid w:val="006E2E18"/>
    <w:rsid w:val="006E4214"/>
    <w:rsid w:val="006E65F2"/>
    <w:rsid w:val="006E696A"/>
    <w:rsid w:val="006E6DC1"/>
    <w:rsid w:val="006F1311"/>
    <w:rsid w:val="006F3108"/>
    <w:rsid w:val="006F5777"/>
    <w:rsid w:val="006F7E35"/>
    <w:rsid w:val="0070047E"/>
    <w:rsid w:val="00700FD8"/>
    <w:rsid w:val="00701DAB"/>
    <w:rsid w:val="007033F1"/>
    <w:rsid w:val="00704225"/>
    <w:rsid w:val="00705790"/>
    <w:rsid w:val="00707E47"/>
    <w:rsid w:val="00712A7B"/>
    <w:rsid w:val="00720925"/>
    <w:rsid w:val="00720BAE"/>
    <w:rsid w:val="0072277A"/>
    <w:rsid w:val="00725DA3"/>
    <w:rsid w:val="00727F9F"/>
    <w:rsid w:val="0073001E"/>
    <w:rsid w:val="00732A9F"/>
    <w:rsid w:val="00733C99"/>
    <w:rsid w:val="0073746B"/>
    <w:rsid w:val="00741D8C"/>
    <w:rsid w:val="00744ED6"/>
    <w:rsid w:val="0074698E"/>
    <w:rsid w:val="00751C5B"/>
    <w:rsid w:val="00755218"/>
    <w:rsid w:val="00755456"/>
    <w:rsid w:val="0075601D"/>
    <w:rsid w:val="007577C1"/>
    <w:rsid w:val="00764CBF"/>
    <w:rsid w:val="00772498"/>
    <w:rsid w:val="00772D73"/>
    <w:rsid w:val="00773027"/>
    <w:rsid w:val="00773435"/>
    <w:rsid w:val="00773E01"/>
    <w:rsid w:val="00777A53"/>
    <w:rsid w:val="00787AD5"/>
    <w:rsid w:val="007A62B0"/>
    <w:rsid w:val="007B15BF"/>
    <w:rsid w:val="007B196D"/>
    <w:rsid w:val="007B37E8"/>
    <w:rsid w:val="007B46D6"/>
    <w:rsid w:val="007C0457"/>
    <w:rsid w:val="007C3C02"/>
    <w:rsid w:val="007C3F9E"/>
    <w:rsid w:val="007C4A93"/>
    <w:rsid w:val="007C71D2"/>
    <w:rsid w:val="007C7280"/>
    <w:rsid w:val="007D30D6"/>
    <w:rsid w:val="007D58DB"/>
    <w:rsid w:val="007D630E"/>
    <w:rsid w:val="007E03C2"/>
    <w:rsid w:val="007E1627"/>
    <w:rsid w:val="007E6731"/>
    <w:rsid w:val="007E7D5A"/>
    <w:rsid w:val="007F2464"/>
    <w:rsid w:val="007F4F01"/>
    <w:rsid w:val="007F5A9B"/>
    <w:rsid w:val="008024B7"/>
    <w:rsid w:val="00802BD6"/>
    <w:rsid w:val="00802E16"/>
    <w:rsid w:val="008230B3"/>
    <w:rsid w:val="0082364B"/>
    <w:rsid w:val="00825890"/>
    <w:rsid w:val="008279C1"/>
    <w:rsid w:val="00832FF8"/>
    <w:rsid w:val="0083603A"/>
    <w:rsid w:val="008379D0"/>
    <w:rsid w:val="0084308D"/>
    <w:rsid w:val="008435B4"/>
    <w:rsid w:val="008455E6"/>
    <w:rsid w:val="00846667"/>
    <w:rsid w:val="00847528"/>
    <w:rsid w:val="008507DA"/>
    <w:rsid w:val="00851AF2"/>
    <w:rsid w:val="00853733"/>
    <w:rsid w:val="00853FEB"/>
    <w:rsid w:val="00862611"/>
    <w:rsid w:val="00867E0A"/>
    <w:rsid w:val="00870F02"/>
    <w:rsid w:val="00871DEB"/>
    <w:rsid w:val="0087324B"/>
    <w:rsid w:val="00876A32"/>
    <w:rsid w:val="0088516D"/>
    <w:rsid w:val="00886C71"/>
    <w:rsid w:val="008906B8"/>
    <w:rsid w:val="008906E9"/>
    <w:rsid w:val="008914C7"/>
    <w:rsid w:val="00895BA0"/>
    <w:rsid w:val="008978AB"/>
    <w:rsid w:val="008A18AB"/>
    <w:rsid w:val="008A6AFA"/>
    <w:rsid w:val="008B3F6B"/>
    <w:rsid w:val="008B513A"/>
    <w:rsid w:val="008B53ED"/>
    <w:rsid w:val="008C0618"/>
    <w:rsid w:val="008C4322"/>
    <w:rsid w:val="008C7A6B"/>
    <w:rsid w:val="008D43FC"/>
    <w:rsid w:val="008D448C"/>
    <w:rsid w:val="008D481D"/>
    <w:rsid w:val="008E3D82"/>
    <w:rsid w:val="008E4FB1"/>
    <w:rsid w:val="008E70C9"/>
    <w:rsid w:val="008E74A1"/>
    <w:rsid w:val="008F23E5"/>
    <w:rsid w:val="008F25DD"/>
    <w:rsid w:val="008F2B60"/>
    <w:rsid w:val="008F3FB3"/>
    <w:rsid w:val="008F536E"/>
    <w:rsid w:val="00906448"/>
    <w:rsid w:val="009135B4"/>
    <w:rsid w:val="00915043"/>
    <w:rsid w:val="00916258"/>
    <w:rsid w:val="00916BC0"/>
    <w:rsid w:val="009246ED"/>
    <w:rsid w:val="00932148"/>
    <w:rsid w:val="00934B66"/>
    <w:rsid w:val="00935570"/>
    <w:rsid w:val="00946EDC"/>
    <w:rsid w:val="0095370E"/>
    <w:rsid w:val="00954596"/>
    <w:rsid w:val="00957AA7"/>
    <w:rsid w:val="00961D8E"/>
    <w:rsid w:val="00962232"/>
    <w:rsid w:val="0096314C"/>
    <w:rsid w:val="0096316F"/>
    <w:rsid w:val="00967B6C"/>
    <w:rsid w:val="00973709"/>
    <w:rsid w:val="009739C4"/>
    <w:rsid w:val="00975202"/>
    <w:rsid w:val="00982D00"/>
    <w:rsid w:val="00983DA0"/>
    <w:rsid w:val="00994A04"/>
    <w:rsid w:val="00997510"/>
    <w:rsid w:val="009A748D"/>
    <w:rsid w:val="009B40E6"/>
    <w:rsid w:val="009B4C40"/>
    <w:rsid w:val="009B5194"/>
    <w:rsid w:val="009B5E75"/>
    <w:rsid w:val="009C06A7"/>
    <w:rsid w:val="009C19C6"/>
    <w:rsid w:val="009C46B3"/>
    <w:rsid w:val="009C4D56"/>
    <w:rsid w:val="009C516A"/>
    <w:rsid w:val="009C52F4"/>
    <w:rsid w:val="009C5E1F"/>
    <w:rsid w:val="009C6592"/>
    <w:rsid w:val="009C7895"/>
    <w:rsid w:val="009C7E30"/>
    <w:rsid w:val="009D2E94"/>
    <w:rsid w:val="009D6555"/>
    <w:rsid w:val="009D7130"/>
    <w:rsid w:val="009E6A5E"/>
    <w:rsid w:val="009F1CA9"/>
    <w:rsid w:val="009F4B17"/>
    <w:rsid w:val="00A014DF"/>
    <w:rsid w:val="00A03677"/>
    <w:rsid w:val="00A12DFD"/>
    <w:rsid w:val="00A14871"/>
    <w:rsid w:val="00A150EC"/>
    <w:rsid w:val="00A30594"/>
    <w:rsid w:val="00A318F9"/>
    <w:rsid w:val="00A4073A"/>
    <w:rsid w:val="00A44972"/>
    <w:rsid w:val="00A47313"/>
    <w:rsid w:val="00A47F86"/>
    <w:rsid w:val="00A50898"/>
    <w:rsid w:val="00A5165B"/>
    <w:rsid w:val="00A5565C"/>
    <w:rsid w:val="00A627AA"/>
    <w:rsid w:val="00A67D6A"/>
    <w:rsid w:val="00A7122D"/>
    <w:rsid w:val="00A72440"/>
    <w:rsid w:val="00A74CB6"/>
    <w:rsid w:val="00A86D25"/>
    <w:rsid w:val="00A87A89"/>
    <w:rsid w:val="00A969B0"/>
    <w:rsid w:val="00AA54F5"/>
    <w:rsid w:val="00AB487D"/>
    <w:rsid w:val="00AB7736"/>
    <w:rsid w:val="00AC7F52"/>
    <w:rsid w:val="00AE1B63"/>
    <w:rsid w:val="00AE1FF4"/>
    <w:rsid w:val="00AF66C4"/>
    <w:rsid w:val="00B009AF"/>
    <w:rsid w:val="00B02E0B"/>
    <w:rsid w:val="00B03B0D"/>
    <w:rsid w:val="00B07A59"/>
    <w:rsid w:val="00B14B26"/>
    <w:rsid w:val="00B23D20"/>
    <w:rsid w:val="00B23E7D"/>
    <w:rsid w:val="00B25241"/>
    <w:rsid w:val="00B269E5"/>
    <w:rsid w:val="00B27E90"/>
    <w:rsid w:val="00B34100"/>
    <w:rsid w:val="00B4178E"/>
    <w:rsid w:val="00B42BEC"/>
    <w:rsid w:val="00B469D4"/>
    <w:rsid w:val="00B50C4A"/>
    <w:rsid w:val="00B5181F"/>
    <w:rsid w:val="00B5183E"/>
    <w:rsid w:val="00B558F1"/>
    <w:rsid w:val="00B570BA"/>
    <w:rsid w:val="00B73ABB"/>
    <w:rsid w:val="00B759BB"/>
    <w:rsid w:val="00B80F9E"/>
    <w:rsid w:val="00B926E2"/>
    <w:rsid w:val="00B976AB"/>
    <w:rsid w:val="00BA4E2E"/>
    <w:rsid w:val="00BA514A"/>
    <w:rsid w:val="00BA7271"/>
    <w:rsid w:val="00BB1383"/>
    <w:rsid w:val="00BB25EF"/>
    <w:rsid w:val="00BB2E4C"/>
    <w:rsid w:val="00BB360E"/>
    <w:rsid w:val="00BB461C"/>
    <w:rsid w:val="00BB4718"/>
    <w:rsid w:val="00BC02DB"/>
    <w:rsid w:val="00BC14DF"/>
    <w:rsid w:val="00BC3677"/>
    <w:rsid w:val="00BC48D8"/>
    <w:rsid w:val="00BC61B6"/>
    <w:rsid w:val="00BC6BBF"/>
    <w:rsid w:val="00BC7039"/>
    <w:rsid w:val="00BD1EDE"/>
    <w:rsid w:val="00BD4449"/>
    <w:rsid w:val="00BE1702"/>
    <w:rsid w:val="00BE5191"/>
    <w:rsid w:val="00BE5C02"/>
    <w:rsid w:val="00BE725A"/>
    <w:rsid w:val="00BF02F6"/>
    <w:rsid w:val="00BF2BF0"/>
    <w:rsid w:val="00BF7615"/>
    <w:rsid w:val="00C021DA"/>
    <w:rsid w:val="00C02701"/>
    <w:rsid w:val="00C036B7"/>
    <w:rsid w:val="00C042E9"/>
    <w:rsid w:val="00C05353"/>
    <w:rsid w:val="00C15135"/>
    <w:rsid w:val="00C16CED"/>
    <w:rsid w:val="00C16FDE"/>
    <w:rsid w:val="00C240C6"/>
    <w:rsid w:val="00C30E65"/>
    <w:rsid w:val="00C338A1"/>
    <w:rsid w:val="00C3468A"/>
    <w:rsid w:val="00C42FD6"/>
    <w:rsid w:val="00C438A0"/>
    <w:rsid w:val="00C55A00"/>
    <w:rsid w:val="00C61EB4"/>
    <w:rsid w:val="00C633CA"/>
    <w:rsid w:val="00C64523"/>
    <w:rsid w:val="00C664A2"/>
    <w:rsid w:val="00C67215"/>
    <w:rsid w:val="00C70766"/>
    <w:rsid w:val="00C717CC"/>
    <w:rsid w:val="00C7323D"/>
    <w:rsid w:val="00C83B2E"/>
    <w:rsid w:val="00C842D9"/>
    <w:rsid w:val="00C854A6"/>
    <w:rsid w:val="00C86C68"/>
    <w:rsid w:val="00C901D1"/>
    <w:rsid w:val="00C90201"/>
    <w:rsid w:val="00C92C50"/>
    <w:rsid w:val="00C9496E"/>
    <w:rsid w:val="00CA0E39"/>
    <w:rsid w:val="00CA669B"/>
    <w:rsid w:val="00CA7F20"/>
    <w:rsid w:val="00CB1612"/>
    <w:rsid w:val="00CB1920"/>
    <w:rsid w:val="00CB4810"/>
    <w:rsid w:val="00CB73FD"/>
    <w:rsid w:val="00CC0783"/>
    <w:rsid w:val="00CC366A"/>
    <w:rsid w:val="00CD3876"/>
    <w:rsid w:val="00CD71D1"/>
    <w:rsid w:val="00CE11FF"/>
    <w:rsid w:val="00CE1629"/>
    <w:rsid w:val="00CE167D"/>
    <w:rsid w:val="00CE1EC7"/>
    <w:rsid w:val="00CE793A"/>
    <w:rsid w:val="00CF1C58"/>
    <w:rsid w:val="00CF3480"/>
    <w:rsid w:val="00CF5343"/>
    <w:rsid w:val="00D009B8"/>
    <w:rsid w:val="00D01489"/>
    <w:rsid w:val="00D018C7"/>
    <w:rsid w:val="00D04CB4"/>
    <w:rsid w:val="00D0753B"/>
    <w:rsid w:val="00D0772E"/>
    <w:rsid w:val="00D14D38"/>
    <w:rsid w:val="00D167BC"/>
    <w:rsid w:val="00D16890"/>
    <w:rsid w:val="00D240CE"/>
    <w:rsid w:val="00D252EC"/>
    <w:rsid w:val="00D27178"/>
    <w:rsid w:val="00D32884"/>
    <w:rsid w:val="00D35FC1"/>
    <w:rsid w:val="00D4214B"/>
    <w:rsid w:val="00D4404A"/>
    <w:rsid w:val="00D45030"/>
    <w:rsid w:val="00D4722F"/>
    <w:rsid w:val="00D5060A"/>
    <w:rsid w:val="00D54076"/>
    <w:rsid w:val="00D54282"/>
    <w:rsid w:val="00D55286"/>
    <w:rsid w:val="00D575AD"/>
    <w:rsid w:val="00D600C7"/>
    <w:rsid w:val="00D61B69"/>
    <w:rsid w:val="00D62011"/>
    <w:rsid w:val="00D641A8"/>
    <w:rsid w:val="00D74BE9"/>
    <w:rsid w:val="00D844B2"/>
    <w:rsid w:val="00D84582"/>
    <w:rsid w:val="00D84BE3"/>
    <w:rsid w:val="00D85288"/>
    <w:rsid w:val="00D869FC"/>
    <w:rsid w:val="00D90E1F"/>
    <w:rsid w:val="00D91F65"/>
    <w:rsid w:val="00DA0B0E"/>
    <w:rsid w:val="00DA1628"/>
    <w:rsid w:val="00DA17FB"/>
    <w:rsid w:val="00DA3CBF"/>
    <w:rsid w:val="00DA4478"/>
    <w:rsid w:val="00DB0197"/>
    <w:rsid w:val="00DB08C4"/>
    <w:rsid w:val="00DB0BB8"/>
    <w:rsid w:val="00DB0CD0"/>
    <w:rsid w:val="00DB4BD9"/>
    <w:rsid w:val="00DB745F"/>
    <w:rsid w:val="00DB79EC"/>
    <w:rsid w:val="00DB7D45"/>
    <w:rsid w:val="00DB7F0E"/>
    <w:rsid w:val="00DC0EB8"/>
    <w:rsid w:val="00DC3D14"/>
    <w:rsid w:val="00DC4648"/>
    <w:rsid w:val="00DC54EB"/>
    <w:rsid w:val="00DC6507"/>
    <w:rsid w:val="00DC7FC9"/>
    <w:rsid w:val="00DD546F"/>
    <w:rsid w:val="00DD684E"/>
    <w:rsid w:val="00DD6B4A"/>
    <w:rsid w:val="00DE0D78"/>
    <w:rsid w:val="00DE1837"/>
    <w:rsid w:val="00DF25A6"/>
    <w:rsid w:val="00DF5487"/>
    <w:rsid w:val="00DF65D6"/>
    <w:rsid w:val="00E01242"/>
    <w:rsid w:val="00E02B4D"/>
    <w:rsid w:val="00E0714A"/>
    <w:rsid w:val="00E0774C"/>
    <w:rsid w:val="00E12152"/>
    <w:rsid w:val="00E16B81"/>
    <w:rsid w:val="00E21E85"/>
    <w:rsid w:val="00E25020"/>
    <w:rsid w:val="00E2544D"/>
    <w:rsid w:val="00E27B56"/>
    <w:rsid w:val="00E36B99"/>
    <w:rsid w:val="00E4145B"/>
    <w:rsid w:val="00E42D56"/>
    <w:rsid w:val="00E51448"/>
    <w:rsid w:val="00E5358E"/>
    <w:rsid w:val="00E558C7"/>
    <w:rsid w:val="00E572F4"/>
    <w:rsid w:val="00E57447"/>
    <w:rsid w:val="00E62034"/>
    <w:rsid w:val="00E70A82"/>
    <w:rsid w:val="00E71F62"/>
    <w:rsid w:val="00E730B2"/>
    <w:rsid w:val="00E76AC8"/>
    <w:rsid w:val="00E812F6"/>
    <w:rsid w:val="00E82BBA"/>
    <w:rsid w:val="00E91B71"/>
    <w:rsid w:val="00E91CB9"/>
    <w:rsid w:val="00E91DBB"/>
    <w:rsid w:val="00E973A4"/>
    <w:rsid w:val="00E97CA0"/>
    <w:rsid w:val="00EA0182"/>
    <w:rsid w:val="00EA096A"/>
    <w:rsid w:val="00EA3F6B"/>
    <w:rsid w:val="00EA5E17"/>
    <w:rsid w:val="00EB59E2"/>
    <w:rsid w:val="00EC1417"/>
    <w:rsid w:val="00EC187E"/>
    <w:rsid w:val="00EC3A76"/>
    <w:rsid w:val="00EC4D80"/>
    <w:rsid w:val="00EC50F6"/>
    <w:rsid w:val="00EC5C41"/>
    <w:rsid w:val="00EC7041"/>
    <w:rsid w:val="00ED051C"/>
    <w:rsid w:val="00ED2A31"/>
    <w:rsid w:val="00ED2F00"/>
    <w:rsid w:val="00ED3957"/>
    <w:rsid w:val="00ED3F86"/>
    <w:rsid w:val="00EE5BE6"/>
    <w:rsid w:val="00EE69D6"/>
    <w:rsid w:val="00EF027C"/>
    <w:rsid w:val="00EF107C"/>
    <w:rsid w:val="00EF1305"/>
    <w:rsid w:val="00EF5681"/>
    <w:rsid w:val="00EF7F89"/>
    <w:rsid w:val="00F00BE8"/>
    <w:rsid w:val="00F0140D"/>
    <w:rsid w:val="00F01F12"/>
    <w:rsid w:val="00F03BF3"/>
    <w:rsid w:val="00F04917"/>
    <w:rsid w:val="00F051C4"/>
    <w:rsid w:val="00F06DD4"/>
    <w:rsid w:val="00F06F24"/>
    <w:rsid w:val="00F111CF"/>
    <w:rsid w:val="00F13289"/>
    <w:rsid w:val="00F252E7"/>
    <w:rsid w:val="00F26892"/>
    <w:rsid w:val="00F26D69"/>
    <w:rsid w:val="00F30521"/>
    <w:rsid w:val="00F36EF1"/>
    <w:rsid w:val="00F430F1"/>
    <w:rsid w:val="00F4323A"/>
    <w:rsid w:val="00F47221"/>
    <w:rsid w:val="00F530D3"/>
    <w:rsid w:val="00F571B8"/>
    <w:rsid w:val="00F71BDA"/>
    <w:rsid w:val="00F81802"/>
    <w:rsid w:val="00F843A5"/>
    <w:rsid w:val="00F86933"/>
    <w:rsid w:val="00F91510"/>
    <w:rsid w:val="00F91948"/>
    <w:rsid w:val="00F92909"/>
    <w:rsid w:val="00F95AAE"/>
    <w:rsid w:val="00F9606C"/>
    <w:rsid w:val="00FA14DB"/>
    <w:rsid w:val="00FA45EE"/>
    <w:rsid w:val="00FA4F6D"/>
    <w:rsid w:val="00FA743C"/>
    <w:rsid w:val="00FB3641"/>
    <w:rsid w:val="00FB4CDA"/>
    <w:rsid w:val="00FB79E2"/>
    <w:rsid w:val="00FC17C1"/>
    <w:rsid w:val="00FD007D"/>
    <w:rsid w:val="00FD08B8"/>
    <w:rsid w:val="00FD0A04"/>
    <w:rsid w:val="00FD7A5B"/>
    <w:rsid w:val="00FE0F90"/>
    <w:rsid w:val="00FE2F4D"/>
    <w:rsid w:val="00FE54B9"/>
    <w:rsid w:val="00FE5517"/>
    <w:rsid w:val="00FF090E"/>
    <w:rsid w:val="00FF19AB"/>
    <w:rsid w:val="00FF4209"/>
    <w:rsid w:val="00FF5418"/>
    <w:rsid w:val="00FF5F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07124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PMingLiU" w:hAnsi="Calibri" w:cs="Times New Roman"/>
        <w:lang w:val="en-AU"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738"/>
    <w:pPr>
      <w:jc w:val="both"/>
    </w:pPr>
    <w:rPr>
      <w:rFonts w:ascii="Times New Roman" w:hAnsi="Times New Roman"/>
      <w:sz w:val="24"/>
      <w:szCs w:val="22"/>
    </w:rPr>
  </w:style>
  <w:style w:type="paragraph" w:styleId="Heading1">
    <w:name w:val="heading 1"/>
    <w:basedOn w:val="Normal"/>
    <w:next w:val="Normal"/>
    <w:link w:val="Heading1Char"/>
    <w:uiPriority w:val="9"/>
    <w:qFormat/>
    <w:rsid w:val="00467CBA"/>
    <w:pPr>
      <w:keepNext/>
      <w:keepLines/>
      <w:spacing w:before="240" w:after="60"/>
      <w:jc w:val="left"/>
      <w:outlineLvl w:val="0"/>
    </w:pPr>
    <w:rPr>
      <w:rFonts w:ascii="Times New Roman Bold" w:hAnsi="Times New Roman Bold"/>
      <w:b/>
      <w:bCs/>
      <w:caps/>
      <w:sz w:val="26"/>
      <w:szCs w:val="26"/>
      <w:lang w:val="en-GB"/>
    </w:rPr>
  </w:style>
  <w:style w:type="paragraph" w:styleId="Heading2">
    <w:name w:val="heading 2"/>
    <w:basedOn w:val="Normal"/>
    <w:next w:val="Normal"/>
    <w:link w:val="Heading2Char"/>
    <w:uiPriority w:val="9"/>
    <w:unhideWhenUsed/>
    <w:qFormat/>
    <w:rsid w:val="00451567"/>
    <w:pPr>
      <w:keepNext/>
      <w:keepLines/>
      <w:spacing w:before="240" w:after="60"/>
      <w:jc w:val="left"/>
      <w:outlineLvl w:val="1"/>
    </w:pPr>
    <w:rPr>
      <w:b/>
      <w:bCs/>
      <w:i/>
      <w:sz w:val="26"/>
      <w:szCs w:val="26"/>
      <w:lang w:val="en-GB"/>
    </w:rPr>
  </w:style>
  <w:style w:type="paragraph" w:styleId="Heading3">
    <w:name w:val="heading 3"/>
    <w:basedOn w:val="TextTi12"/>
    <w:next w:val="Normal"/>
    <w:link w:val="Heading3Char"/>
    <w:uiPriority w:val="9"/>
    <w:unhideWhenUsed/>
    <w:qFormat/>
    <w:rsid w:val="00EB59E2"/>
    <w:pPr>
      <w:spacing w:after="0" w:line="240" w:lineRule="auto"/>
      <w:outlineLvl w:val="2"/>
    </w:pPr>
    <w:rPr>
      <w:b/>
      <w:i/>
      <w:szCs w:val="24"/>
      <w:u w:val="single"/>
    </w:rPr>
  </w:style>
  <w:style w:type="paragraph" w:styleId="Heading4">
    <w:name w:val="heading 4"/>
    <w:basedOn w:val="Normal"/>
    <w:next w:val="Normal"/>
    <w:link w:val="Heading4Char"/>
    <w:uiPriority w:val="9"/>
    <w:unhideWhenUsed/>
    <w:qFormat/>
    <w:rsid w:val="00C67215"/>
    <w:pPr>
      <w:keepNext/>
      <w:keepLines/>
      <w:spacing w:before="100" w:after="60"/>
      <w:jc w:val="left"/>
      <w:outlineLvl w:val="3"/>
    </w:pPr>
    <w:rPr>
      <w:bCs/>
      <w:i/>
      <w:iCs/>
      <w:szCs w:val="24"/>
      <w:u w:val="single"/>
    </w:rPr>
  </w:style>
  <w:style w:type="paragraph" w:styleId="Heading5">
    <w:name w:val="heading 5"/>
    <w:basedOn w:val="Normal"/>
    <w:next w:val="Normal"/>
    <w:link w:val="Heading5Char"/>
    <w:uiPriority w:val="9"/>
    <w:unhideWhenUsed/>
    <w:qFormat/>
    <w:rsid w:val="00B009AF"/>
    <w:pPr>
      <w:keepNext/>
      <w:keepLines/>
      <w:spacing w:before="200" w:after="120"/>
      <w:outlineLvl w:val="4"/>
    </w:pPr>
    <w:rPr>
      <w:i/>
    </w:rPr>
  </w:style>
  <w:style w:type="paragraph" w:styleId="Heading6">
    <w:name w:val="heading 6"/>
    <w:basedOn w:val="Normal"/>
    <w:next w:val="Normal"/>
    <w:link w:val="Heading6Char"/>
    <w:uiPriority w:val="9"/>
    <w:unhideWhenUsed/>
    <w:qFormat/>
    <w:rsid w:val="00DD684E"/>
    <w:pPr>
      <w:keepNext/>
      <w:keepLines/>
      <w:spacing w:before="200"/>
      <w:outlineLvl w:val="5"/>
    </w:pPr>
    <w:rPr>
      <w:rFonts w:ascii="Cambria" w:hAnsi="Cambria"/>
      <w:i/>
      <w:iCs/>
      <w:color w:val="243F60"/>
    </w:rPr>
  </w:style>
  <w:style w:type="paragraph" w:styleId="Heading7">
    <w:name w:val="heading 7"/>
    <w:aliases w:val="Text from TGA PI form"/>
    <w:basedOn w:val="Normal"/>
    <w:next w:val="Normal"/>
    <w:link w:val="Heading7Char"/>
    <w:uiPriority w:val="9"/>
    <w:unhideWhenUsed/>
    <w:qFormat/>
    <w:rsid w:val="00CF3480"/>
    <w:pPr>
      <w:keepNext/>
      <w:keepLines/>
      <w:numPr>
        <w:numId w:val="6"/>
      </w:numPr>
      <w:spacing w:after="120"/>
      <w:ind w:left="357" w:hanging="357"/>
      <w:outlineLvl w:val="6"/>
    </w:pPr>
    <w:rPr>
      <w:i/>
      <w:iCs/>
      <w:lang w:val="en-US"/>
    </w:rPr>
  </w:style>
  <w:style w:type="paragraph" w:styleId="Heading8">
    <w:name w:val="heading 8"/>
    <w:aliases w:val="CAS Registry Number"/>
    <w:basedOn w:val="Normal"/>
    <w:next w:val="Normal"/>
    <w:link w:val="Heading8Char"/>
    <w:uiPriority w:val="9"/>
    <w:unhideWhenUsed/>
    <w:qFormat/>
    <w:rsid w:val="0011064F"/>
    <w:pPr>
      <w:keepNext/>
      <w:keepLines/>
      <w:spacing w:before="60" w:after="60"/>
      <w:outlineLvl w:val="7"/>
    </w:pPr>
    <w:rPr>
      <w:color w:val="404040"/>
      <w:szCs w:val="20"/>
    </w:rPr>
  </w:style>
  <w:style w:type="paragraph" w:styleId="Heading9">
    <w:name w:val="heading 9"/>
    <w:aliases w:val="Active ingredient"/>
    <w:basedOn w:val="Normal"/>
    <w:next w:val="Normal"/>
    <w:link w:val="Heading9Char"/>
    <w:uiPriority w:val="9"/>
    <w:unhideWhenUsed/>
    <w:qFormat/>
    <w:rsid w:val="00D844B2"/>
    <w:pPr>
      <w:keepNext/>
      <w:keepLines/>
      <w:spacing w:before="120" w:after="160"/>
      <w:outlineLvl w:val="8"/>
    </w:pPr>
    <w:rPr>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D58DB"/>
    <w:rPr>
      <w:rFonts w:ascii="Minion" w:hAnsi="Minion"/>
      <w:sz w:val="22"/>
      <w:szCs w:val="22"/>
      <w:lang w:val="en-US"/>
    </w:rPr>
  </w:style>
  <w:style w:type="character" w:customStyle="1" w:styleId="Heading1Char">
    <w:name w:val="Heading 1 Char"/>
    <w:link w:val="Heading1"/>
    <w:uiPriority w:val="9"/>
    <w:rsid w:val="00467CBA"/>
    <w:rPr>
      <w:rFonts w:ascii="Times New Roman Bold" w:hAnsi="Times New Roman Bold"/>
      <w:b/>
      <w:bCs/>
      <w:caps/>
      <w:sz w:val="26"/>
      <w:szCs w:val="26"/>
      <w:lang w:val="en-GB"/>
    </w:rPr>
  </w:style>
  <w:style w:type="character" w:customStyle="1" w:styleId="Heading2Char">
    <w:name w:val="Heading 2 Char"/>
    <w:link w:val="Heading2"/>
    <w:uiPriority w:val="9"/>
    <w:rsid w:val="00451567"/>
    <w:rPr>
      <w:rFonts w:ascii="Times New Roman" w:hAnsi="Times New Roman"/>
      <w:b/>
      <w:bCs/>
      <w:i/>
      <w:sz w:val="26"/>
      <w:szCs w:val="26"/>
      <w:lang w:val="en-GB"/>
    </w:rPr>
  </w:style>
  <w:style w:type="character" w:customStyle="1" w:styleId="Heading3Char">
    <w:name w:val="Heading 3 Char"/>
    <w:link w:val="Heading3"/>
    <w:uiPriority w:val="9"/>
    <w:rsid w:val="00EB59E2"/>
    <w:rPr>
      <w:rFonts w:ascii="Times New Roman" w:eastAsia="Times New Roman" w:hAnsi="Times New Roman"/>
      <w:b/>
      <w:i/>
      <w:sz w:val="24"/>
      <w:szCs w:val="24"/>
      <w:u w:val="single"/>
      <w:lang w:val="en-US" w:eastAsia="ja-JP"/>
    </w:rPr>
  </w:style>
  <w:style w:type="character" w:customStyle="1" w:styleId="Heading4Char">
    <w:name w:val="Heading 4 Char"/>
    <w:link w:val="Heading4"/>
    <w:uiPriority w:val="9"/>
    <w:rsid w:val="00C67215"/>
    <w:rPr>
      <w:rFonts w:ascii="Times New Roman" w:hAnsi="Times New Roman"/>
      <w:bCs/>
      <w:i/>
      <w:iCs/>
      <w:sz w:val="24"/>
      <w:szCs w:val="24"/>
      <w:u w:val="single"/>
    </w:rPr>
  </w:style>
  <w:style w:type="character" w:customStyle="1" w:styleId="Heading5Char">
    <w:name w:val="Heading 5 Char"/>
    <w:link w:val="Heading5"/>
    <w:uiPriority w:val="9"/>
    <w:rsid w:val="00B009AF"/>
    <w:rPr>
      <w:rFonts w:ascii="Times New Roman" w:hAnsi="Times New Roman"/>
      <w:i/>
      <w:sz w:val="24"/>
      <w:szCs w:val="22"/>
    </w:rPr>
  </w:style>
  <w:style w:type="character" w:customStyle="1" w:styleId="Heading6Char">
    <w:name w:val="Heading 6 Char"/>
    <w:link w:val="Heading6"/>
    <w:uiPriority w:val="9"/>
    <w:rsid w:val="00DD684E"/>
    <w:rPr>
      <w:rFonts w:ascii="Cambria" w:eastAsia="PMingLiU" w:hAnsi="Cambria" w:cs="Times New Roman"/>
      <w:i/>
      <w:iCs/>
      <w:color w:val="243F60"/>
    </w:rPr>
  </w:style>
  <w:style w:type="character" w:customStyle="1" w:styleId="Heading7Char">
    <w:name w:val="Heading 7 Char"/>
    <w:aliases w:val="Text from TGA PI form Char"/>
    <w:link w:val="Heading7"/>
    <w:uiPriority w:val="9"/>
    <w:rsid w:val="00CF3480"/>
    <w:rPr>
      <w:rFonts w:ascii="Times New Roman" w:hAnsi="Times New Roman"/>
      <w:i/>
      <w:iCs/>
      <w:sz w:val="24"/>
      <w:szCs w:val="22"/>
      <w:lang w:val="en-US"/>
    </w:rPr>
  </w:style>
  <w:style w:type="character" w:customStyle="1" w:styleId="Heading8Char">
    <w:name w:val="Heading 8 Char"/>
    <w:aliases w:val="CAS Registry Number Char"/>
    <w:link w:val="Heading8"/>
    <w:uiPriority w:val="9"/>
    <w:rsid w:val="0011064F"/>
    <w:rPr>
      <w:rFonts w:ascii="Times New Roman" w:hAnsi="Times New Roman"/>
      <w:color w:val="404040"/>
      <w:sz w:val="24"/>
    </w:rPr>
  </w:style>
  <w:style w:type="character" w:customStyle="1" w:styleId="Heading9Char">
    <w:name w:val="Heading 9 Char"/>
    <w:aliases w:val="Active ingredient Char"/>
    <w:link w:val="Heading9"/>
    <w:uiPriority w:val="9"/>
    <w:rsid w:val="00D844B2"/>
    <w:rPr>
      <w:rFonts w:ascii="Times New Roman" w:hAnsi="Times New Roman"/>
      <w:i/>
      <w:iCs/>
      <w:sz w:val="24"/>
    </w:rPr>
  </w:style>
  <w:style w:type="paragraph" w:styleId="Title">
    <w:name w:val="Title"/>
    <w:basedOn w:val="Normal"/>
    <w:next w:val="Normal"/>
    <w:link w:val="TitleChar"/>
    <w:uiPriority w:val="10"/>
    <w:qFormat/>
    <w:rsid w:val="00DD68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DD684E"/>
    <w:rPr>
      <w:rFonts w:ascii="Cambria" w:eastAsia="PMingLiU" w:hAnsi="Cambria" w:cs="Times New Roman"/>
      <w:color w:val="17365D"/>
      <w:spacing w:val="5"/>
      <w:kern w:val="28"/>
      <w:sz w:val="52"/>
      <w:szCs w:val="52"/>
    </w:rPr>
  </w:style>
  <w:style w:type="paragraph" w:styleId="ListParagraph">
    <w:name w:val="List Paragraph"/>
    <w:basedOn w:val="Normal"/>
    <w:uiPriority w:val="34"/>
    <w:qFormat/>
    <w:rsid w:val="00DD684E"/>
    <w:pPr>
      <w:ind w:left="720"/>
      <w:contextualSpacing/>
    </w:pPr>
  </w:style>
  <w:style w:type="character" w:styleId="BookTitle">
    <w:name w:val="Book Title"/>
    <w:uiPriority w:val="33"/>
    <w:qFormat/>
    <w:rsid w:val="00DD684E"/>
    <w:rPr>
      <w:b/>
      <w:bCs/>
      <w:smallCaps/>
      <w:spacing w:val="5"/>
    </w:rPr>
  </w:style>
  <w:style w:type="character" w:styleId="IntenseReference">
    <w:name w:val="Intense Reference"/>
    <w:uiPriority w:val="32"/>
    <w:qFormat/>
    <w:rsid w:val="00DD684E"/>
    <w:rPr>
      <w:b/>
      <w:bCs/>
      <w:smallCaps/>
      <w:color w:val="C0504D"/>
      <w:spacing w:val="5"/>
      <w:u w:val="single"/>
    </w:rPr>
  </w:style>
  <w:style w:type="character" w:styleId="SubtleReference">
    <w:name w:val="Subtle Reference"/>
    <w:uiPriority w:val="31"/>
    <w:qFormat/>
    <w:rsid w:val="00DD684E"/>
    <w:rPr>
      <w:smallCaps/>
      <w:color w:val="C0504D"/>
      <w:u w:val="single"/>
    </w:rPr>
  </w:style>
  <w:style w:type="paragraph" w:styleId="IntenseQuote">
    <w:name w:val="Intense Quote"/>
    <w:basedOn w:val="Normal"/>
    <w:next w:val="Normal"/>
    <w:link w:val="IntenseQuoteChar"/>
    <w:uiPriority w:val="30"/>
    <w:qFormat/>
    <w:rsid w:val="00DD684E"/>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DD684E"/>
    <w:rPr>
      <w:rFonts w:ascii="Minion" w:hAnsi="Minion"/>
      <w:b/>
      <w:bCs/>
      <w:i/>
      <w:iCs/>
      <w:color w:val="4F81BD"/>
    </w:rPr>
  </w:style>
  <w:style w:type="paragraph" w:styleId="Quote">
    <w:name w:val="Quote"/>
    <w:basedOn w:val="Normal"/>
    <w:next w:val="Normal"/>
    <w:link w:val="QuoteChar"/>
    <w:uiPriority w:val="29"/>
    <w:qFormat/>
    <w:rsid w:val="00DD684E"/>
    <w:rPr>
      <w:i/>
      <w:iCs/>
      <w:color w:val="000000"/>
    </w:rPr>
  </w:style>
  <w:style w:type="character" w:customStyle="1" w:styleId="QuoteChar">
    <w:name w:val="Quote Char"/>
    <w:link w:val="Quote"/>
    <w:uiPriority w:val="29"/>
    <w:rsid w:val="00DD684E"/>
    <w:rPr>
      <w:rFonts w:ascii="Minion" w:hAnsi="Minion"/>
      <w:i/>
      <w:iCs/>
      <w:color w:val="000000"/>
    </w:rPr>
  </w:style>
  <w:style w:type="paragraph" w:styleId="Header">
    <w:name w:val="header"/>
    <w:basedOn w:val="Normal"/>
    <w:link w:val="HeaderChar"/>
    <w:uiPriority w:val="99"/>
    <w:unhideWhenUsed/>
    <w:rsid w:val="000471CA"/>
    <w:pPr>
      <w:tabs>
        <w:tab w:val="center" w:pos="4513"/>
        <w:tab w:val="right" w:pos="9026"/>
      </w:tabs>
    </w:pPr>
  </w:style>
  <w:style w:type="character" w:customStyle="1" w:styleId="HeaderChar">
    <w:name w:val="Header Char"/>
    <w:link w:val="Header"/>
    <w:uiPriority w:val="99"/>
    <w:rsid w:val="000471CA"/>
    <w:rPr>
      <w:rFonts w:ascii="Minion" w:hAnsi="Minion"/>
      <w:sz w:val="22"/>
      <w:szCs w:val="22"/>
      <w:lang w:val="en-US"/>
    </w:rPr>
  </w:style>
  <w:style w:type="paragraph" w:styleId="Footer">
    <w:name w:val="footer"/>
    <w:basedOn w:val="Normal"/>
    <w:link w:val="FooterChar"/>
    <w:uiPriority w:val="99"/>
    <w:unhideWhenUsed/>
    <w:rsid w:val="000471CA"/>
    <w:pPr>
      <w:tabs>
        <w:tab w:val="center" w:pos="4513"/>
        <w:tab w:val="right" w:pos="9026"/>
      </w:tabs>
    </w:pPr>
  </w:style>
  <w:style w:type="character" w:customStyle="1" w:styleId="FooterChar">
    <w:name w:val="Footer Char"/>
    <w:link w:val="Footer"/>
    <w:uiPriority w:val="99"/>
    <w:rsid w:val="000471CA"/>
    <w:rPr>
      <w:rFonts w:ascii="Minion" w:hAnsi="Minion"/>
      <w:sz w:val="22"/>
      <w:szCs w:val="22"/>
      <w:lang w:val="en-US"/>
    </w:rPr>
  </w:style>
  <w:style w:type="paragraph" w:styleId="BalloonText">
    <w:name w:val="Balloon Text"/>
    <w:basedOn w:val="Normal"/>
    <w:link w:val="BalloonTextChar"/>
    <w:uiPriority w:val="99"/>
    <w:semiHidden/>
    <w:unhideWhenUsed/>
    <w:rsid w:val="000471CA"/>
    <w:rPr>
      <w:rFonts w:ascii="Tahoma" w:hAnsi="Tahoma" w:cs="Tahoma"/>
      <w:sz w:val="16"/>
      <w:szCs w:val="16"/>
    </w:rPr>
  </w:style>
  <w:style w:type="character" w:customStyle="1" w:styleId="BalloonTextChar">
    <w:name w:val="Balloon Text Char"/>
    <w:link w:val="BalloonText"/>
    <w:uiPriority w:val="99"/>
    <w:semiHidden/>
    <w:rsid w:val="000471CA"/>
    <w:rPr>
      <w:rFonts w:ascii="Tahoma" w:hAnsi="Tahoma" w:cs="Tahoma"/>
      <w:sz w:val="16"/>
      <w:szCs w:val="16"/>
      <w:lang w:val="en-US"/>
    </w:rPr>
  </w:style>
  <w:style w:type="paragraph" w:styleId="BodyText3">
    <w:name w:val="Body Text 3"/>
    <w:basedOn w:val="Normal"/>
    <w:link w:val="BodyText3Char"/>
    <w:rsid w:val="00D844B2"/>
    <w:pPr>
      <w:spacing w:line="280" w:lineRule="atLeast"/>
      <w:jc w:val="left"/>
    </w:pPr>
    <w:rPr>
      <w:rFonts w:eastAsia="Times New Roman"/>
      <w:i/>
      <w:szCs w:val="20"/>
      <w:lang w:val="en-US" w:eastAsia="ja-JP"/>
    </w:rPr>
  </w:style>
  <w:style w:type="character" w:customStyle="1" w:styleId="BodyText3Char">
    <w:name w:val="Body Text 3 Char"/>
    <w:basedOn w:val="DefaultParagraphFont"/>
    <w:link w:val="BodyText3"/>
    <w:rsid w:val="00D844B2"/>
    <w:rPr>
      <w:rFonts w:ascii="Times New Roman" w:eastAsia="Times New Roman" w:hAnsi="Times New Roman"/>
      <w:i/>
      <w:sz w:val="24"/>
      <w:lang w:val="en-US" w:eastAsia="ja-JP"/>
    </w:rPr>
  </w:style>
  <w:style w:type="paragraph" w:customStyle="1" w:styleId="PIexplanation">
    <w:name w:val="PI explanation"/>
    <w:basedOn w:val="Normal"/>
    <w:link w:val="PIexplanationChar"/>
    <w:rsid w:val="00D844B2"/>
    <w:pPr>
      <w:spacing w:after="120"/>
      <w:jc w:val="left"/>
    </w:pPr>
    <w:rPr>
      <w:rFonts w:eastAsia="Times New Roman"/>
      <w:i/>
      <w:color w:val="FF0000"/>
      <w:sz w:val="22"/>
      <w:szCs w:val="20"/>
      <w:lang w:eastAsia="ja-JP"/>
    </w:rPr>
  </w:style>
  <w:style w:type="paragraph" w:customStyle="1" w:styleId="TextTi12">
    <w:name w:val="Text:Ti12"/>
    <w:basedOn w:val="Normal"/>
    <w:link w:val="TextTi12Char"/>
    <w:rsid w:val="00D844B2"/>
    <w:pPr>
      <w:spacing w:after="170" w:line="280" w:lineRule="atLeast"/>
    </w:pPr>
    <w:rPr>
      <w:rFonts w:eastAsia="Times New Roman"/>
      <w:szCs w:val="20"/>
      <w:lang w:val="en-US" w:eastAsia="ja-JP"/>
    </w:rPr>
  </w:style>
  <w:style w:type="character" w:customStyle="1" w:styleId="TextTi12Char">
    <w:name w:val="Text:Ti12 Char"/>
    <w:link w:val="TextTi12"/>
    <w:rsid w:val="00D844B2"/>
    <w:rPr>
      <w:rFonts w:ascii="Times New Roman" w:eastAsia="Times New Roman" w:hAnsi="Times New Roman"/>
      <w:sz w:val="24"/>
      <w:lang w:val="en-US" w:eastAsia="ja-JP"/>
    </w:rPr>
  </w:style>
  <w:style w:type="paragraph" w:customStyle="1" w:styleId="BodyTextPI">
    <w:name w:val="Body Text PI"/>
    <w:basedOn w:val="PIexplanation"/>
    <w:link w:val="BodyTextPIChar"/>
    <w:rsid w:val="00D844B2"/>
    <w:pPr>
      <w:jc w:val="both"/>
    </w:pPr>
    <w:rPr>
      <w:i w:val="0"/>
      <w:lang w:val="en-GB"/>
    </w:rPr>
  </w:style>
  <w:style w:type="character" w:customStyle="1" w:styleId="PIexplanationChar">
    <w:name w:val="PI explanation Char"/>
    <w:basedOn w:val="DefaultParagraphFont"/>
    <w:link w:val="PIexplanation"/>
    <w:rsid w:val="00D844B2"/>
    <w:rPr>
      <w:rFonts w:ascii="Times New Roman" w:eastAsia="Times New Roman" w:hAnsi="Times New Roman"/>
      <w:i/>
      <w:color w:val="FF0000"/>
      <w:sz w:val="22"/>
      <w:lang w:eastAsia="ja-JP"/>
    </w:rPr>
  </w:style>
  <w:style w:type="character" w:customStyle="1" w:styleId="BodyTextPIChar">
    <w:name w:val="Body Text PI Char"/>
    <w:basedOn w:val="PIexplanationChar"/>
    <w:link w:val="BodyTextPI"/>
    <w:rsid w:val="00D844B2"/>
    <w:rPr>
      <w:rFonts w:ascii="Times New Roman" w:eastAsia="Times New Roman" w:hAnsi="Times New Roman"/>
      <w:i w:val="0"/>
      <w:color w:val="FF0000"/>
      <w:sz w:val="22"/>
      <w:lang w:val="en-GB" w:eastAsia="ja-JP"/>
    </w:rPr>
  </w:style>
  <w:style w:type="paragraph" w:customStyle="1" w:styleId="Paragraph">
    <w:name w:val="Paragraph"/>
    <w:basedOn w:val="Normal"/>
    <w:link w:val="ParagraphChar"/>
    <w:rsid w:val="00435C55"/>
    <w:pPr>
      <w:spacing w:after="170" w:line="280" w:lineRule="exact"/>
      <w:jc w:val="left"/>
    </w:pPr>
    <w:rPr>
      <w:rFonts w:ascii="Arial" w:eastAsia="SimSun" w:hAnsi="Arial"/>
      <w:szCs w:val="24"/>
      <w:lang w:val="en-GB" w:eastAsia="zh-CN"/>
    </w:rPr>
  </w:style>
  <w:style w:type="character" w:customStyle="1" w:styleId="ParagraphChar">
    <w:name w:val="Paragraph Char"/>
    <w:link w:val="Paragraph"/>
    <w:rsid w:val="00435C55"/>
    <w:rPr>
      <w:rFonts w:ascii="Arial" w:eastAsia="SimSun" w:hAnsi="Arial"/>
      <w:sz w:val="24"/>
      <w:szCs w:val="24"/>
      <w:lang w:val="en-GB" w:eastAsia="zh-CN"/>
    </w:rPr>
  </w:style>
  <w:style w:type="character" w:customStyle="1" w:styleId="TextTi12Char1">
    <w:name w:val="Text:Ti12 Char1"/>
    <w:rsid w:val="00DE0D78"/>
    <w:rPr>
      <w:sz w:val="24"/>
      <w:lang w:val="en-US" w:eastAsia="ja-JP" w:bidi="ar-SA"/>
    </w:rPr>
  </w:style>
  <w:style w:type="character" w:styleId="CommentReference">
    <w:name w:val="annotation reference"/>
    <w:semiHidden/>
    <w:rsid w:val="00CB1612"/>
    <w:rPr>
      <w:sz w:val="16"/>
      <w:szCs w:val="16"/>
    </w:rPr>
  </w:style>
  <w:style w:type="paragraph" w:styleId="CommentText">
    <w:name w:val="annotation text"/>
    <w:basedOn w:val="Normal"/>
    <w:link w:val="CommentTextChar1"/>
    <w:semiHidden/>
    <w:rsid w:val="00CB1612"/>
    <w:pPr>
      <w:jc w:val="left"/>
    </w:pPr>
    <w:rPr>
      <w:rFonts w:eastAsia="Times New Roman"/>
      <w:sz w:val="20"/>
      <w:szCs w:val="20"/>
      <w:lang w:val="en-GB" w:eastAsia="en-US"/>
    </w:rPr>
  </w:style>
  <w:style w:type="character" w:customStyle="1" w:styleId="CommentTextChar">
    <w:name w:val="Comment Text Char"/>
    <w:basedOn w:val="DefaultParagraphFont"/>
    <w:semiHidden/>
    <w:rsid w:val="00CB1612"/>
    <w:rPr>
      <w:rFonts w:ascii="Times New Roman" w:hAnsi="Times New Roman"/>
    </w:rPr>
  </w:style>
  <w:style w:type="character" w:customStyle="1" w:styleId="CommentTextChar1">
    <w:name w:val="Comment Text Char1"/>
    <w:link w:val="CommentText"/>
    <w:semiHidden/>
    <w:rsid w:val="00CB1612"/>
    <w:rPr>
      <w:rFonts w:ascii="Times New Roman" w:eastAsia="Times New Roman" w:hAnsi="Times New Roman"/>
      <w:lang w:val="en-GB" w:eastAsia="en-US"/>
    </w:rPr>
  </w:style>
  <w:style w:type="paragraph" w:styleId="BodyText">
    <w:name w:val="Body Text"/>
    <w:basedOn w:val="Normal"/>
    <w:link w:val="BodyTextChar"/>
    <w:uiPriority w:val="99"/>
    <w:unhideWhenUsed/>
    <w:rsid w:val="001E4015"/>
    <w:pPr>
      <w:spacing w:after="120"/>
    </w:pPr>
  </w:style>
  <w:style w:type="character" w:customStyle="1" w:styleId="BodyTextChar">
    <w:name w:val="Body Text Char"/>
    <w:basedOn w:val="DefaultParagraphFont"/>
    <w:link w:val="BodyText"/>
    <w:uiPriority w:val="99"/>
    <w:rsid w:val="001E4015"/>
    <w:rPr>
      <w:rFonts w:ascii="Times New Roman" w:hAnsi="Times New Roman"/>
      <w:sz w:val="24"/>
      <w:szCs w:val="22"/>
    </w:rPr>
  </w:style>
  <w:style w:type="paragraph" w:styleId="CommentSubject">
    <w:name w:val="annotation subject"/>
    <w:basedOn w:val="CommentText"/>
    <w:next w:val="CommentText"/>
    <w:link w:val="CommentSubjectChar"/>
    <w:uiPriority w:val="99"/>
    <w:semiHidden/>
    <w:unhideWhenUsed/>
    <w:rsid w:val="00EC5C41"/>
    <w:pPr>
      <w:jc w:val="both"/>
    </w:pPr>
    <w:rPr>
      <w:rFonts w:eastAsia="PMingLiU"/>
      <w:b/>
      <w:bCs/>
      <w:lang w:val="en-AU" w:eastAsia="zh-TW"/>
    </w:rPr>
  </w:style>
  <w:style w:type="character" w:customStyle="1" w:styleId="CommentSubjectChar">
    <w:name w:val="Comment Subject Char"/>
    <w:basedOn w:val="CommentTextChar1"/>
    <w:link w:val="CommentSubject"/>
    <w:uiPriority w:val="99"/>
    <w:semiHidden/>
    <w:rsid w:val="00EC5C41"/>
    <w:rPr>
      <w:rFonts w:ascii="Times New Roman" w:eastAsia="Times New Roman" w:hAnsi="Times New Roman"/>
      <w:b/>
      <w:bCs/>
      <w:lang w:val="en-GB" w:eastAsia="en-US"/>
    </w:rPr>
  </w:style>
  <w:style w:type="paragraph" w:styleId="Caption">
    <w:name w:val="caption"/>
    <w:basedOn w:val="Normal"/>
    <w:next w:val="Normal"/>
    <w:uiPriority w:val="35"/>
    <w:unhideWhenUsed/>
    <w:qFormat/>
    <w:rsid w:val="0049353C"/>
    <w:pPr>
      <w:spacing w:after="200"/>
      <w:jc w:val="left"/>
    </w:pPr>
    <w:rPr>
      <w:b/>
      <w:bCs/>
      <w:szCs w:val="24"/>
    </w:rPr>
  </w:style>
  <w:style w:type="character" w:customStyle="1" w:styleId="CommentTextChar3">
    <w:name w:val="Comment Text Char3"/>
    <w:semiHidden/>
    <w:locked/>
    <w:rsid w:val="00EC4D80"/>
    <w:rPr>
      <w:rFonts w:eastAsia="Times New Roman"/>
    </w:rPr>
  </w:style>
  <w:style w:type="paragraph" w:customStyle="1" w:styleId="TableTitle">
    <w:name w:val="Table Title"/>
    <w:basedOn w:val="Normal"/>
    <w:next w:val="Paragraph"/>
    <w:link w:val="TableTitleChar"/>
    <w:rsid w:val="00F95AAE"/>
    <w:pPr>
      <w:keepNext/>
      <w:keepLines/>
      <w:tabs>
        <w:tab w:val="left" w:pos="1080"/>
      </w:tabs>
      <w:spacing w:before="40" w:after="160" w:line="280" w:lineRule="exact"/>
      <w:ind w:left="1080" w:hanging="1080"/>
      <w:jc w:val="left"/>
    </w:pPr>
    <w:rPr>
      <w:rFonts w:ascii="Arial" w:eastAsia="SimSun" w:hAnsi="Arial"/>
      <w:b/>
      <w:szCs w:val="24"/>
      <w:lang w:val="en-US" w:eastAsia="zh-CN"/>
    </w:rPr>
  </w:style>
  <w:style w:type="character" w:customStyle="1" w:styleId="TableTitleChar">
    <w:name w:val="Table Title Char"/>
    <w:link w:val="TableTitle"/>
    <w:locked/>
    <w:rsid w:val="00F95AAE"/>
    <w:rPr>
      <w:rFonts w:ascii="Arial" w:eastAsia="SimSun" w:hAnsi="Arial"/>
      <w:b/>
      <w:sz w:val="24"/>
      <w:szCs w:val="24"/>
      <w:lang w:val="en-US" w:eastAsia="zh-CN"/>
    </w:rPr>
  </w:style>
  <w:style w:type="paragraph" w:customStyle="1" w:styleId="Default">
    <w:name w:val="Default"/>
    <w:rsid w:val="00282C00"/>
    <w:pPr>
      <w:autoSpaceDE w:val="0"/>
      <w:autoSpaceDN w:val="0"/>
      <w:adjustRightInd w:val="0"/>
    </w:pPr>
    <w:rPr>
      <w:rFonts w:ascii="Times New Roman" w:eastAsia="MS Mincho" w:hAnsi="Times New Roman"/>
      <w:color w:val="000000"/>
      <w:sz w:val="24"/>
      <w:szCs w:val="24"/>
      <w:lang w:val="en-US" w:eastAsia="ja-JP"/>
    </w:rPr>
  </w:style>
  <w:style w:type="paragraph" w:styleId="ListNumber">
    <w:name w:val="List Number"/>
    <w:basedOn w:val="Normal"/>
    <w:rsid w:val="00AC7F52"/>
    <w:pPr>
      <w:numPr>
        <w:numId w:val="17"/>
      </w:numPr>
      <w:spacing w:after="100" w:line="280" w:lineRule="exact"/>
      <w:jc w:val="left"/>
    </w:pPr>
    <w:rPr>
      <w:rFonts w:ascii="Arial" w:eastAsia="SimSun" w:hAnsi="Arial"/>
      <w:szCs w:val="24"/>
      <w:lang w:val="en-US" w:eastAsia="zh-CN"/>
    </w:rPr>
  </w:style>
  <w:style w:type="paragraph" w:customStyle="1" w:styleId="EntryTextTi12">
    <w:name w:val="EntryText:Ti12"/>
    <w:basedOn w:val="Normal"/>
    <w:rsid w:val="005C05F3"/>
    <w:pPr>
      <w:jc w:val="left"/>
    </w:pPr>
    <w:rPr>
      <w:rFonts w:ascii="Arial" w:eastAsia="SimSun" w:hAnsi="Arial"/>
      <w:szCs w:val="20"/>
      <w:lang w:val="en-US" w:eastAsia="ja-JP"/>
    </w:rPr>
  </w:style>
  <w:style w:type="paragraph" w:styleId="Revision">
    <w:name w:val="Revision"/>
    <w:hidden/>
    <w:uiPriority w:val="99"/>
    <w:semiHidden/>
    <w:rsid w:val="00A5565C"/>
    <w:rPr>
      <w:rFonts w:ascii="Times New Roman" w:hAnsi="Times New Roman"/>
      <w:sz w:val="24"/>
      <w:szCs w:val="22"/>
    </w:rPr>
  </w:style>
  <w:style w:type="paragraph" w:customStyle="1" w:styleId="FigureTitle">
    <w:name w:val="Figure Title"/>
    <w:basedOn w:val="Normal"/>
    <w:next w:val="FigureHolder"/>
    <w:rsid w:val="00FF4209"/>
    <w:pPr>
      <w:keepNext/>
      <w:keepLines/>
      <w:tabs>
        <w:tab w:val="left" w:pos="1152"/>
      </w:tabs>
      <w:spacing w:before="40" w:after="160" w:line="280" w:lineRule="exact"/>
      <w:ind w:left="1152" w:hanging="1152"/>
      <w:jc w:val="left"/>
    </w:pPr>
    <w:rPr>
      <w:rFonts w:ascii="Arial" w:eastAsia="SimSun" w:hAnsi="Arial"/>
      <w:b/>
      <w:szCs w:val="24"/>
      <w:lang w:val="en-US" w:eastAsia="zh-CN"/>
    </w:rPr>
  </w:style>
  <w:style w:type="paragraph" w:customStyle="1" w:styleId="FigureHolder">
    <w:name w:val="Figure Holder"/>
    <w:basedOn w:val="Normal"/>
    <w:next w:val="TabFigNote"/>
    <w:link w:val="FigureHolderChar"/>
    <w:rsid w:val="00FF4209"/>
    <w:pPr>
      <w:keepNext/>
      <w:keepLines/>
      <w:spacing w:after="120" w:line="240" w:lineRule="atLeast"/>
      <w:jc w:val="center"/>
    </w:pPr>
    <w:rPr>
      <w:rFonts w:ascii="Arial" w:eastAsia="SimSun" w:hAnsi="Arial"/>
      <w:szCs w:val="24"/>
      <w:lang w:val="en-US" w:eastAsia="zh-CN"/>
    </w:rPr>
  </w:style>
  <w:style w:type="paragraph" w:customStyle="1" w:styleId="TabFigNote">
    <w:name w:val="TabFig Note"/>
    <w:basedOn w:val="Normal"/>
    <w:rsid w:val="00FF4209"/>
    <w:pPr>
      <w:keepNext/>
      <w:keepLines/>
      <w:spacing w:before="40" w:line="240" w:lineRule="exact"/>
      <w:ind w:left="29"/>
      <w:jc w:val="left"/>
    </w:pPr>
    <w:rPr>
      <w:rFonts w:ascii="Arial" w:eastAsia="SimSun" w:hAnsi="Arial"/>
      <w:sz w:val="20"/>
      <w:szCs w:val="24"/>
      <w:lang w:val="en-US" w:eastAsia="zh-CN"/>
    </w:rPr>
  </w:style>
  <w:style w:type="character" w:customStyle="1" w:styleId="FigureHolderChar">
    <w:name w:val="Figure Holder Char"/>
    <w:link w:val="FigureHolder"/>
    <w:rsid w:val="005F23EC"/>
    <w:rPr>
      <w:rFonts w:ascii="Arial" w:eastAsia="SimSun" w:hAnsi="Arial"/>
      <w:sz w:val="24"/>
      <w:szCs w:val="24"/>
      <w:lang w:val="en-US" w:eastAsia="zh-CN"/>
    </w:rPr>
  </w:style>
  <w:style w:type="paragraph" w:customStyle="1" w:styleId="FigureNote">
    <w:name w:val="Figure Note"/>
    <w:basedOn w:val="Paragraph"/>
    <w:uiPriority w:val="99"/>
    <w:rsid w:val="005F23EC"/>
    <w:pPr>
      <w:keepNext/>
      <w:keepLines/>
      <w:spacing w:before="40" w:after="0" w:line="240" w:lineRule="exact"/>
    </w:pPr>
    <w:rPr>
      <w:rFonts w:eastAsia="Times New Roman"/>
      <w:sz w:val="20"/>
      <w:szCs w:val="20"/>
      <w:lang w:val="en-US" w:eastAsia="en-US"/>
    </w:rPr>
  </w:style>
  <w:style w:type="character" w:customStyle="1" w:styleId="apple-converted-space">
    <w:name w:val="apple-converted-space"/>
    <w:basedOn w:val="DefaultParagraphFont"/>
    <w:rsid w:val="00405A2F"/>
  </w:style>
  <w:style w:type="table" w:styleId="TableGrid">
    <w:name w:val="Table Grid"/>
    <w:basedOn w:val="TableNormal"/>
    <w:uiPriority w:val="59"/>
    <w:rsid w:val="008024B7"/>
    <w:pPr>
      <w:spacing w:after="200" w:line="0" w:lineRule="auto"/>
    </w:pPr>
    <w:rPr>
      <w:rFonts w:asciiTheme="minorHAnsi" w:eastAsia="Cambria"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PMingLiU" w:hAnsi="Calibri" w:cs="Times New Roman"/>
        <w:lang w:val="en-AU"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738"/>
    <w:pPr>
      <w:jc w:val="both"/>
    </w:pPr>
    <w:rPr>
      <w:rFonts w:ascii="Times New Roman" w:hAnsi="Times New Roman"/>
      <w:sz w:val="24"/>
      <w:szCs w:val="22"/>
    </w:rPr>
  </w:style>
  <w:style w:type="paragraph" w:styleId="Heading1">
    <w:name w:val="heading 1"/>
    <w:basedOn w:val="Normal"/>
    <w:next w:val="Normal"/>
    <w:link w:val="Heading1Char"/>
    <w:uiPriority w:val="9"/>
    <w:qFormat/>
    <w:rsid w:val="00467CBA"/>
    <w:pPr>
      <w:keepNext/>
      <w:keepLines/>
      <w:spacing w:before="240" w:after="60"/>
      <w:jc w:val="left"/>
      <w:outlineLvl w:val="0"/>
    </w:pPr>
    <w:rPr>
      <w:rFonts w:ascii="Times New Roman Bold" w:hAnsi="Times New Roman Bold"/>
      <w:b/>
      <w:bCs/>
      <w:caps/>
      <w:sz w:val="26"/>
      <w:szCs w:val="26"/>
      <w:lang w:val="en-GB"/>
    </w:rPr>
  </w:style>
  <w:style w:type="paragraph" w:styleId="Heading2">
    <w:name w:val="heading 2"/>
    <w:basedOn w:val="Normal"/>
    <w:next w:val="Normal"/>
    <w:link w:val="Heading2Char"/>
    <w:uiPriority w:val="9"/>
    <w:unhideWhenUsed/>
    <w:qFormat/>
    <w:rsid w:val="00451567"/>
    <w:pPr>
      <w:keepNext/>
      <w:keepLines/>
      <w:spacing w:before="240" w:after="60"/>
      <w:jc w:val="left"/>
      <w:outlineLvl w:val="1"/>
    </w:pPr>
    <w:rPr>
      <w:b/>
      <w:bCs/>
      <w:i/>
      <w:sz w:val="26"/>
      <w:szCs w:val="26"/>
      <w:lang w:val="en-GB"/>
    </w:rPr>
  </w:style>
  <w:style w:type="paragraph" w:styleId="Heading3">
    <w:name w:val="heading 3"/>
    <w:basedOn w:val="TextTi12"/>
    <w:next w:val="Normal"/>
    <w:link w:val="Heading3Char"/>
    <w:uiPriority w:val="9"/>
    <w:unhideWhenUsed/>
    <w:qFormat/>
    <w:rsid w:val="00EB59E2"/>
    <w:pPr>
      <w:spacing w:after="0" w:line="240" w:lineRule="auto"/>
      <w:outlineLvl w:val="2"/>
    </w:pPr>
    <w:rPr>
      <w:b/>
      <w:i/>
      <w:szCs w:val="24"/>
      <w:u w:val="single"/>
    </w:rPr>
  </w:style>
  <w:style w:type="paragraph" w:styleId="Heading4">
    <w:name w:val="heading 4"/>
    <w:basedOn w:val="Normal"/>
    <w:next w:val="Normal"/>
    <w:link w:val="Heading4Char"/>
    <w:uiPriority w:val="9"/>
    <w:unhideWhenUsed/>
    <w:qFormat/>
    <w:rsid w:val="00C67215"/>
    <w:pPr>
      <w:keepNext/>
      <w:keepLines/>
      <w:spacing w:before="100" w:after="60"/>
      <w:jc w:val="left"/>
      <w:outlineLvl w:val="3"/>
    </w:pPr>
    <w:rPr>
      <w:bCs/>
      <w:i/>
      <w:iCs/>
      <w:szCs w:val="24"/>
      <w:u w:val="single"/>
    </w:rPr>
  </w:style>
  <w:style w:type="paragraph" w:styleId="Heading5">
    <w:name w:val="heading 5"/>
    <w:basedOn w:val="Normal"/>
    <w:next w:val="Normal"/>
    <w:link w:val="Heading5Char"/>
    <w:uiPriority w:val="9"/>
    <w:unhideWhenUsed/>
    <w:qFormat/>
    <w:rsid w:val="00B009AF"/>
    <w:pPr>
      <w:keepNext/>
      <w:keepLines/>
      <w:spacing w:before="200" w:after="120"/>
      <w:outlineLvl w:val="4"/>
    </w:pPr>
    <w:rPr>
      <w:i/>
    </w:rPr>
  </w:style>
  <w:style w:type="paragraph" w:styleId="Heading6">
    <w:name w:val="heading 6"/>
    <w:basedOn w:val="Normal"/>
    <w:next w:val="Normal"/>
    <w:link w:val="Heading6Char"/>
    <w:uiPriority w:val="9"/>
    <w:unhideWhenUsed/>
    <w:qFormat/>
    <w:rsid w:val="00DD684E"/>
    <w:pPr>
      <w:keepNext/>
      <w:keepLines/>
      <w:spacing w:before="200"/>
      <w:outlineLvl w:val="5"/>
    </w:pPr>
    <w:rPr>
      <w:rFonts w:ascii="Cambria" w:hAnsi="Cambria"/>
      <w:i/>
      <w:iCs/>
      <w:color w:val="243F60"/>
    </w:rPr>
  </w:style>
  <w:style w:type="paragraph" w:styleId="Heading7">
    <w:name w:val="heading 7"/>
    <w:aliases w:val="Text from TGA PI form"/>
    <w:basedOn w:val="Normal"/>
    <w:next w:val="Normal"/>
    <w:link w:val="Heading7Char"/>
    <w:uiPriority w:val="9"/>
    <w:unhideWhenUsed/>
    <w:qFormat/>
    <w:rsid w:val="00CF3480"/>
    <w:pPr>
      <w:keepNext/>
      <w:keepLines/>
      <w:numPr>
        <w:numId w:val="6"/>
      </w:numPr>
      <w:spacing w:after="120"/>
      <w:ind w:left="357" w:hanging="357"/>
      <w:outlineLvl w:val="6"/>
    </w:pPr>
    <w:rPr>
      <w:i/>
      <w:iCs/>
      <w:lang w:val="en-US"/>
    </w:rPr>
  </w:style>
  <w:style w:type="paragraph" w:styleId="Heading8">
    <w:name w:val="heading 8"/>
    <w:aliases w:val="CAS Registry Number"/>
    <w:basedOn w:val="Normal"/>
    <w:next w:val="Normal"/>
    <w:link w:val="Heading8Char"/>
    <w:uiPriority w:val="9"/>
    <w:unhideWhenUsed/>
    <w:qFormat/>
    <w:rsid w:val="0011064F"/>
    <w:pPr>
      <w:keepNext/>
      <w:keepLines/>
      <w:spacing w:before="60" w:after="60"/>
      <w:outlineLvl w:val="7"/>
    </w:pPr>
    <w:rPr>
      <w:color w:val="404040"/>
      <w:szCs w:val="20"/>
    </w:rPr>
  </w:style>
  <w:style w:type="paragraph" w:styleId="Heading9">
    <w:name w:val="heading 9"/>
    <w:aliases w:val="Active ingredient"/>
    <w:basedOn w:val="Normal"/>
    <w:next w:val="Normal"/>
    <w:link w:val="Heading9Char"/>
    <w:uiPriority w:val="9"/>
    <w:unhideWhenUsed/>
    <w:qFormat/>
    <w:rsid w:val="00D844B2"/>
    <w:pPr>
      <w:keepNext/>
      <w:keepLines/>
      <w:spacing w:before="120" w:after="160"/>
      <w:outlineLvl w:val="8"/>
    </w:pPr>
    <w:rPr>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D58DB"/>
    <w:rPr>
      <w:rFonts w:ascii="Minion" w:hAnsi="Minion"/>
      <w:sz w:val="22"/>
      <w:szCs w:val="22"/>
      <w:lang w:val="en-US"/>
    </w:rPr>
  </w:style>
  <w:style w:type="character" w:customStyle="1" w:styleId="Heading1Char">
    <w:name w:val="Heading 1 Char"/>
    <w:link w:val="Heading1"/>
    <w:uiPriority w:val="9"/>
    <w:rsid w:val="00467CBA"/>
    <w:rPr>
      <w:rFonts w:ascii="Times New Roman Bold" w:hAnsi="Times New Roman Bold"/>
      <w:b/>
      <w:bCs/>
      <w:caps/>
      <w:sz w:val="26"/>
      <w:szCs w:val="26"/>
      <w:lang w:val="en-GB"/>
    </w:rPr>
  </w:style>
  <w:style w:type="character" w:customStyle="1" w:styleId="Heading2Char">
    <w:name w:val="Heading 2 Char"/>
    <w:link w:val="Heading2"/>
    <w:uiPriority w:val="9"/>
    <w:rsid w:val="00451567"/>
    <w:rPr>
      <w:rFonts w:ascii="Times New Roman" w:hAnsi="Times New Roman"/>
      <w:b/>
      <w:bCs/>
      <w:i/>
      <w:sz w:val="26"/>
      <w:szCs w:val="26"/>
      <w:lang w:val="en-GB"/>
    </w:rPr>
  </w:style>
  <w:style w:type="character" w:customStyle="1" w:styleId="Heading3Char">
    <w:name w:val="Heading 3 Char"/>
    <w:link w:val="Heading3"/>
    <w:uiPriority w:val="9"/>
    <w:rsid w:val="00EB59E2"/>
    <w:rPr>
      <w:rFonts w:ascii="Times New Roman" w:eastAsia="Times New Roman" w:hAnsi="Times New Roman"/>
      <w:b/>
      <w:i/>
      <w:sz w:val="24"/>
      <w:szCs w:val="24"/>
      <w:u w:val="single"/>
      <w:lang w:val="en-US" w:eastAsia="ja-JP"/>
    </w:rPr>
  </w:style>
  <w:style w:type="character" w:customStyle="1" w:styleId="Heading4Char">
    <w:name w:val="Heading 4 Char"/>
    <w:link w:val="Heading4"/>
    <w:uiPriority w:val="9"/>
    <w:rsid w:val="00C67215"/>
    <w:rPr>
      <w:rFonts w:ascii="Times New Roman" w:hAnsi="Times New Roman"/>
      <w:bCs/>
      <w:i/>
      <w:iCs/>
      <w:sz w:val="24"/>
      <w:szCs w:val="24"/>
      <w:u w:val="single"/>
    </w:rPr>
  </w:style>
  <w:style w:type="character" w:customStyle="1" w:styleId="Heading5Char">
    <w:name w:val="Heading 5 Char"/>
    <w:link w:val="Heading5"/>
    <w:uiPriority w:val="9"/>
    <w:rsid w:val="00B009AF"/>
    <w:rPr>
      <w:rFonts w:ascii="Times New Roman" w:hAnsi="Times New Roman"/>
      <w:i/>
      <w:sz w:val="24"/>
      <w:szCs w:val="22"/>
    </w:rPr>
  </w:style>
  <w:style w:type="character" w:customStyle="1" w:styleId="Heading6Char">
    <w:name w:val="Heading 6 Char"/>
    <w:link w:val="Heading6"/>
    <w:uiPriority w:val="9"/>
    <w:rsid w:val="00DD684E"/>
    <w:rPr>
      <w:rFonts w:ascii="Cambria" w:eastAsia="PMingLiU" w:hAnsi="Cambria" w:cs="Times New Roman"/>
      <w:i/>
      <w:iCs/>
      <w:color w:val="243F60"/>
    </w:rPr>
  </w:style>
  <w:style w:type="character" w:customStyle="1" w:styleId="Heading7Char">
    <w:name w:val="Heading 7 Char"/>
    <w:aliases w:val="Text from TGA PI form Char"/>
    <w:link w:val="Heading7"/>
    <w:uiPriority w:val="9"/>
    <w:rsid w:val="00CF3480"/>
    <w:rPr>
      <w:rFonts w:ascii="Times New Roman" w:hAnsi="Times New Roman"/>
      <w:i/>
      <w:iCs/>
      <w:sz w:val="24"/>
      <w:szCs w:val="22"/>
      <w:lang w:val="en-US"/>
    </w:rPr>
  </w:style>
  <w:style w:type="character" w:customStyle="1" w:styleId="Heading8Char">
    <w:name w:val="Heading 8 Char"/>
    <w:aliases w:val="CAS Registry Number Char"/>
    <w:link w:val="Heading8"/>
    <w:uiPriority w:val="9"/>
    <w:rsid w:val="0011064F"/>
    <w:rPr>
      <w:rFonts w:ascii="Times New Roman" w:hAnsi="Times New Roman"/>
      <w:color w:val="404040"/>
      <w:sz w:val="24"/>
    </w:rPr>
  </w:style>
  <w:style w:type="character" w:customStyle="1" w:styleId="Heading9Char">
    <w:name w:val="Heading 9 Char"/>
    <w:aliases w:val="Active ingredient Char"/>
    <w:link w:val="Heading9"/>
    <w:uiPriority w:val="9"/>
    <w:rsid w:val="00D844B2"/>
    <w:rPr>
      <w:rFonts w:ascii="Times New Roman" w:hAnsi="Times New Roman"/>
      <w:i/>
      <w:iCs/>
      <w:sz w:val="24"/>
    </w:rPr>
  </w:style>
  <w:style w:type="paragraph" w:styleId="Title">
    <w:name w:val="Title"/>
    <w:basedOn w:val="Normal"/>
    <w:next w:val="Normal"/>
    <w:link w:val="TitleChar"/>
    <w:uiPriority w:val="10"/>
    <w:qFormat/>
    <w:rsid w:val="00DD68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DD684E"/>
    <w:rPr>
      <w:rFonts w:ascii="Cambria" w:eastAsia="PMingLiU" w:hAnsi="Cambria" w:cs="Times New Roman"/>
      <w:color w:val="17365D"/>
      <w:spacing w:val="5"/>
      <w:kern w:val="28"/>
      <w:sz w:val="52"/>
      <w:szCs w:val="52"/>
    </w:rPr>
  </w:style>
  <w:style w:type="paragraph" w:styleId="ListParagraph">
    <w:name w:val="List Paragraph"/>
    <w:basedOn w:val="Normal"/>
    <w:uiPriority w:val="34"/>
    <w:qFormat/>
    <w:rsid w:val="00DD684E"/>
    <w:pPr>
      <w:ind w:left="720"/>
      <w:contextualSpacing/>
    </w:pPr>
  </w:style>
  <w:style w:type="character" w:styleId="BookTitle">
    <w:name w:val="Book Title"/>
    <w:uiPriority w:val="33"/>
    <w:qFormat/>
    <w:rsid w:val="00DD684E"/>
    <w:rPr>
      <w:b/>
      <w:bCs/>
      <w:smallCaps/>
      <w:spacing w:val="5"/>
    </w:rPr>
  </w:style>
  <w:style w:type="character" w:styleId="IntenseReference">
    <w:name w:val="Intense Reference"/>
    <w:uiPriority w:val="32"/>
    <w:qFormat/>
    <w:rsid w:val="00DD684E"/>
    <w:rPr>
      <w:b/>
      <w:bCs/>
      <w:smallCaps/>
      <w:color w:val="C0504D"/>
      <w:spacing w:val="5"/>
      <w:u w:val="single"/>
    </w:rPr>
  </w:style>
  <w:style w:type="character" w:styleId="SubtleReference">
    <w:name w:val="Subtle Reference"/>
    <w:uiPriority w:val="31"/>
    <w:qFormat/>
    <w:rsid w:val="00DD684E"/>
    <w:rPr>
      <w:smallCaps/>
      <w:color w:val="C0504D"/>
      <w:u w:val="single"/>
    </w:rPr>
  </w:style>
  <w:style w:type="paragraph" w:styleId="IntenseQuote">
    <w:name w:val="Intense Quote"/>
    <w:basedOn w:val="Normal"/>
    <w:next w:val="Normal"/>
    <w:link w:val="IntenseQuoteChar"/>
    <w:uiPriority w:val="30"/>
    <w:qFormat/>
    <w:rsid w:val="00DD684E"/>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DD684E"/>
    <w:rPr>
      <w:rFonts w:ascii="Minion" w:hAnsi="Minion"/>
      <w:b/>
      <w:bCs/>
      <w:i/>
      <w:iCs/>
      <w:color w:val="4F81BD"/>
    </w:rPr>
  </w:style>
  <w:style w:type="paragraph" w:styleId="Quote">
    <w:name w:val="Quote"/>
    <w:basedOn w:val="Normal"/>
    <w:next w:val="Normal"/>
    <w:link w:val="QuoteChar"/>
    <w:uiPriority w:val="29"/>
    <w:qFormat/>
    <w:rsid w:val="00DD684E"/>
    <w:rPr>
      <w:i/>
      <w:iCs/>
      <w:color w:val="000000"/>
    </w:rPr>
  </w:style>
  <w:style w:type="character" w:customStyle="1" w:styleId="QuoteChar">
    <w:name w:val="Quote Char"/>
    <w:link w:val="Quote"/>
    <w:uiPriority w:val="29"/>
    <w:rsid w:val="00DD684E"/>
    <w:rPr>
      <w:rFonts w:ascii="Minion" w:hAnsi="Minion"/>
      <w:i/>
      <w:iCs/>
      <w:color w:val="000000"/>
    </w:rPr>
  </w:style>
  <w:style w:type="paragraph" w:styleId="Header">
    <w:name w:val="header"/>
    <w:basedOn w:val="Normal"/>
    <w:link w:val="HeaderChar"/>
    <w:uiPriority w:val="99"/>
    <w:unhideWhenUsed/>
    <w:rsid w:val="000471CA"/>
    <w:pPr>
      <w:tabs>
        <w:tab w:val="center" w:pos="4513"/>
        <w:tab w:val="right" w:pos="9026"/>
      </w:tabs>
    </w:pPr>
  </w:style>
  <w:style w:type="character" w:customStyle="1" w:styleId="HeaderChar">
    <w:name w:val="Header Char"/>
    <w:link w:val="Header"/>
    <w:uiPriority w:val="99"/>
    <w:rsid w:val="000471CA"/>
    <w:rPr>
      <w:rFonts w:ascii="Minion" w:hAnsi="Minion"/>
      <w:sz w:val="22"/>
      <w:szCs w:val="22"/>
      <w:lang w:val="en-US"/>
    </w:rPr>
  </w:style>
  <w:style w:type="paragraph" w:styleId="Footer">
    <w:name w:val="footer"/>
    <w:basedOn w:val="Normal"/>
    <w:link w:val="FooterChar"/>
    <w:uiPriority w:val="99"/>
    <w:unhideWhenUsed/>
    <w:rsid w:val="000471CA"/>
    <w:pPr>
      <w:tabs>
        <w:tab w:val="center" w:pos="4513"/>
        <w:tab w:val="right" w:pos="9026"/>
      </w:tabs>
    </w:pPr>
  </w:style>
  <w:style w:type="character" w:customStyle="1" w:styleId="FooterChar">
    <w:name w:val="Footer Char"/>
    <w:link w:val="Footer"/>
    <w:uiPriority w:val="99"/>
    <w:rsid w:val="000471CA"/>
    <w:rPr>
      <w:rFonts w:ascii="Minion" w:hAnsi="Minion"/>
      <w:sz w:val="22"/>
      <w:szCs w:val="22"/>
      <w:lang w:val="en-US"/>
    </w:rPr>
  </w:style>
  <w:style w:type="paragraph" w:styleId="BalloonText">
    <w:name w:val="Balloon Text"/>
    <w:basedOn w:val="Normal"/>
    <w:link w:val="BalloonTextChar"/>
    <w:uiPriority w:val="99"/>
    <w:semiHidden/>
    <w:unhideWhenUsed/>
    <w:rsid w:val="000471CA"/>
    <w:rPr>
      <w:rFonts w:ascii="Tahoma" w:hAnsi="Tahoma" w:cs="Tahoma"/>
      <w:sz w:val="16"/>
      <w:szCs w:val="16"/>
    </w:rPr>
  </w:style>
  <w:style w:type="character" w:customStyle="1" w:styleId="BalloonTextChar">
    <w:name w:val="Balloon Text Char"/>
    <w:link w:val="BalloonText"/>
    <w:uiPriority w:val="99"/>
    <w:semiHidden/>
    <w:rsid w:val="000471CA"/>
    <w:rPr>
      <w:rFonts w:ascii="Tahoma" w:hAnsi="Tahoma" w:cs="Tahoma"/>
      <w:sz w:val="16"/>
      <w:szCs w:val="16"/>
      <w:lang w:val="en-US"/>
    </w:rPr>
  </w:style>
  <w:style w:type="paragraph" w:styleId="BodyText3">
    <w:name w:val="Body Text 3"/>
    <w:basedOn w:val="Normal"/>
    <w:link w:val="BodyText3Char"/>
    <w:rsid w:val="00D844B2"/>
    <w:pPr>
      <w:spacing w:line="280" w:lineRule="atLeast"/>
      <w:jc w:val="left"/>
    </w:pPr>
    <w:rPr>
      <w:rFonts w:eastAsia="Times New Roman"/>
      <w:i/>
      <w:szCs w:val="20"/>
      <w:lang w:val="en-US" w:eastAsia="ja-JP"/>
    </w:rPr>
  </w:style>
  <w:style w:type="character" w:customStyle="1" w:styleId="BodyText3Char">
    <w:name w:val="Body Text 3 Char"/>
    <w:basedOn w:val="DefaultParagraphFont"/>
    <w:link w:val="BodyText3"/>
    <w:rsid w:val="00D844B2"/>
    <w:rPr>
      <w:rFonts w:ascii="Times New Roman" w:eastAsia="Times New Roman" w:hAnsi="Times New Roman"/>
      <w:i/>
      <w:sz w:val="24"/>
      <w:lang w:val="en-US" w:eastAsia="ja-JP"/>
    </w:rPr>
  </w:style>
  <w:style w:type="paragraph" w:customStyle="1" w:styleId="PIexplanation">
    <w:name w:val="PI explanation"/>
    <w:basedOn w:val="Normal"/>
    <w:link w:val="PIexplanationChar"/>
    <w:rsid w:val="00D844B2"/>
    <w:pPr>
      <w:spacing w:after="120"/>
      <w:jc w:val="left"/>
    </w:pPr>
    <w:rPr>
      <w:rFonts w:eastAsia="Times New Roman"/>
      <w:i/>
      <w:color w:val="FF0000"/>
      <w:sz w:val="22"/>
      <w:szCs w:val="20"/>
      <w:lang w:eastAsia="ja-JP"/>
    </w:rPr>
  </w:style>
  <w:style w:type="paragraph" w:customStyle="1" w:styleId="TextTi12">
    <w:name w:val="Text:Ti12"/>
    <w:basedOn w:val="Normal"/>
    <w:link w:val="TextTi12Char"/>
    <w:rsid w:val="00D844B2"/>
    <w:pPr>
      <w:spacing w:after="170" w:line="280" w:lineRule="atLeast"/>
    </w:pPr>
    <w:rPr>
      <w:rFonts w:eastAsia="Times New Roman"/>
      <w:szCs w:val="20"/>
      <w:lang w:val="en-US" w:eastAsia="ja-JP"/>
    </w:rPr>
  </w:style>
  <w:style w:type="character" w:customStyle="1" w:styleId="TextTi12Char">
    <w:name w:val="Text:Ti12 Char"/>
    <w:link w:val="TextTi12"/>
    <w:rsid w:val="00D844B2"/>
    <w:rPr>
      <w:rFonts w:ascii="Times New Roman" w:eastAsia="Times New Roman" w:hAnsi="Times New Roman"/>
      <w:sz w:val="24"/>
      <w:lang w:val="en-US" w:eastAsia="ja-JP"/>
    </w:rPr>
  </w:style>
  <w:style w:type="paragraph" w:customStyle="1" w:styleId="BodyTextPI">
    <w:name w:val="Body Text PI"/>
    <w:basedOn w:val="PIexplanation"/>
    <w:link w:val="BodyTextPIChar"/>
    <w:rsid w:val="00D844B2"/>
    <w:pPr>
      <w:jc w:val="both"/>
    </w:pPr>
    <w:rPr>
      <w:i w:val="0"/>
      <w:lang w:val="en-GB"/>
    </w:rPr>
  </w:style>
  <w:style w:type="character" w:customStyle="1" w:styleId="PIexplanationChar">
    <w:name w:val="PI explanation Char"/>
    <w:basedOn w:val="DefaultParagraphFont"/>
    <w:link w:val="PIexplanation"/>
    <w:rsid w:val="00D844B2"/>
    <w:rPr>
      <w:rFonts w:ascii="Times New Roman" w:eastAsia="Times New Roman" w:hAnsi="Times New Roman"/>
      <w:i/>
      <w:color w:val="FF0000"/>
      <w:sz w:val="22"/>
      <w:lang w:eastAsia="ja-JP"/>
    </w:rPr>
  </w:style>
  <w:style w:type="character" w:customStyle="1" w:styleId="BodyTextPIChar">
    <w:name w:val="Body Text PI Char"/>
    <w:basedOn w:val="PIexplanationChar"/>
    <w:link w:val="BodyTextPI"/>
    <w:rsid w:val="00D844B2"/>
    <w:rPr>
      <w:rFonts w:ascii="Times New Roman" w:eastAsia="Times New Roman" w:hAnsi="Times New Roman"/>
      <w:i w:val="0"/>
      <w:color w:val="FF0000"/>
      <w:sz w:val="22"/>
      <w:lang w:val="en-GB" w:eastAsia="ja-JP"/>
    </w:rPr>
  </w:style>
  <w:style w:type="paragraph" w:customStyle="1" w:styleId="Paragraph">
    <w:name w:val="Paragraph"/>
    <w:basedOn w:val="Normal"/>
    <w:link w:val="ParagraphChar"/>
    <w:rsid w:val="00435C55"/>
    <w:pPr>
      <w:spacing w:after="170" w:line="280" w:lineRule="exact"/>
      <w:jc w:val="left"/>
    </w:pPr>
    <w:rPr>
      <w:rFonts w:ascii="Arial" w:eastAsia="SimSun" w:hAnsi="Arial"/>
      <w:szCs w:val="24"/>
      <w:lang w:val="en-GB" w:eastAsia="zh-CN"/>
    </w:rPr>
  </w:style>
  <w:style w:type="character" w:customStyle="1" w:styleId="ParagraphChar">
    <w:name w:val="Paragraph Char"/>
    <w:link w:val="Paragraph"/>
    <w:rsid w:val="00435C55"/>
    <w:rPr>
      <w:rFonts w:ascii="Arial" w:eastAsia="SimSun" w:hAnsi="Arial"/>
      <w:sz w:val="24"/>
      <w:szCs w:val="24"/>
      <w:lang w:val="en-GB" w:eastAsia="zh-CN"/>
    </w:rPr>
  </w:style>
  <w:style w:type="character" w:customStyle="1" w:styleId="TextTi12Char1">
    <w:name w:val="Text:Ti12 Char1"/>
    <w:rsid w:val="00DE0D78"/>
    <w:rPr>
      <w:sz w:val="24"/>
      <w:lang w:val="en-US" w:eastAsia="ja-JP" w:bidi="ar-SA"/>
    </w:rPr>
  </w:style>
  <w:style w:type="character" w:styleId="CommentReference">
    <w:name w:val="annotation reference"/>
    <w:semiHidden/>
    <w:rsid w:val="00CB1612"/>
    <w:rPr>
      <w:sz w:val="16"/>
      <w:szCs w:val="16"/>
    </w:rPr>
  </w:style>
  <w:style w:type="paragraph" w:styleId="CommentText">
    <w:name w:val="annotation text"/>
    <w:basedOn w:val="Normal"/>
    <w:link w:val="CommentTextChar1"/>
    <w:semiHidden/>
    <w:rsid w:val="00CB1612"/>
    <w:pPr>
      <w:jc w:val="left"/>
    </w:pPr>
    <w:rPr>
      <w:rFonts w:eastAsia="Times New Roman"/>
      <w:sz w:val="20"/>
      <w:szCs w:val="20"/>
      <w:lang w:val="en-GB" w:eastAsia="en-US"/>
    </w:rPr>
  </w:style>
  <w:style w:type="character" w:customStyle="1" w:styleId="CommentTextChar">
    <w:name w:val="Comment Text Char"/>
    <w:basedOn w:val="DefaultParagraphFont"/>
    <w:semiHidden/>
    <w:rsid w:val="00CB1612"/>
    <w:rPr>
      <w:rFonts w:ascii="Times New Roman" w:hAnsi="Times New Roman"/>
    </w:rPr>
  </w:style>
  <w:style w:type="character" w:customStyle="1" w:styleId="CommentTextChar1">
    <w:name w:val="Comment Text Char1"/>
    <w:link w:val="CommentText"/>
    <w:semiHidden/>
    <w:rsid w:val="00CB1612"/>
    <w:rPr>
      <w:rFonts w:ascii="Times New Roman" w:eastAsia="Times New Roman" w:hAnsi="Times New Roman"/>
      <w:lang w:val="en-GB" w:eastAsia="en-US"/>
    </w:rPr>
  </w:style>
  <w:style w:type="paragraph" w:styleId="BodyText">
    <w:name w:val="Body Text"/>
    <w:basedOn w:val="Normal"/>
    <w:link w:val="BodyTextChar"/>
    <w:uiPriority w:val="99"/>
    <w:unhideWhenUsed/>
    <w:rsid w:val="001E4015"/>
    <w:pPr>
      <w:spacing w:after="120"/>
    </w:pPr>
  </w:style>
  <w:style w:type="character" w:customStyle="1" w:styleId="BodyTextChar">
    <w:name w:val="Body Text Char"/>
    <w:basedOn w:val="DefaultParagraphFont"/>
    <w:link w:val="BodyText"/>
    <w:uiPriority w:val="99"/>
    <w:rsid w:val="001E4015"/>
    <w:rPr>
      <w:rFonts w:ascii="Times New Roman" w:hAnsi="Times New Roman"/>
      <w:sz w:val="24"/>
      <w:szCs w:val="22"/>
    </w:rPr>
  </w:style>
  <w:style w:type="paragraph" w:styleId="CommentSubject">
    <w:name w:val="annotation subject"/>
    <w:basedOn w:val="CommentText"/>
    <w:next w:val="CommentText"/>
    <w:link w:val="CommentSubjectChar"/>
    <w:uiPriority w:val="99"/>
    <w:semiHidden/>
    <w:unhideWhenUsed/>
    <w:rsid w:val="00EC5C41"/>
    <w:pPr>
      <w:jc w:val="both"/>
    </w:pPr>
    <w:rPr>
      <w:rFonts w:eastAsia="PMingLiU"/>
      <w:b/>
      <w:bCs/>
      <w:lang w:val="en-AU" w:eastAsia="zh-TW"/>
    </w:rPr>
  </w:style>
  <w:style w:type="character" w:customStyle="1" w:styleId="CommentSubjectChar">
    <w:name w:val="Comment Subject Char"/>
    <w:basedOn w:val="CommentTextChar1"/>
    <w:link w:val="CommentSubject"/>
    <w:uiPriority w:val="99"/>
    <w:semiHidden/>
    <w:rsid w:val="00EC5C41"/>
    <w:rPr>
      <w:rFonts w:ascii="Times New Roman" w:eastAsia="Times New Roman" w:hAnsi="Times New Roman"/>
      <w:b/>
      <w:bCs/>
      <w:lang w:val="en-GB" w:eastAsia="en-US"/>
    </w:rPr>
  </w:style>
  <w:style w:type="paragraph" w:styleId="Caption">
    <w:name w:val="caption"/>
    <w:basedOn w:val="Normal"/>
    <w:next w:val="Normal"/>
    <w:uiPriority w:val="35"/>
    <w:unhideWhenUsed/>
    <w:qFormat/>
    <w:rsid w:val="0049353C"/>
    <w:pPr>
      <w:spacing w:after="200"/>
      <w:jc w:val="left"/>
    </w:pPr>
    <w:rPr>
      <w:b/>
      <w:bCs/>
      <w:szCs w:val="24"/>
    </w:rPr>
  </w:style>
  <w:style w:type="character" w:customStyle="1" w:styleId="CommentTextChar3">
    <w:name w:val="Comment Text Char3"/>
    <w:semiHidden/>
    <w:locked/>
    <w:rsid w:val="00EC4D80"/>
    <w:rPr>
      <w:rFonts w:eastAsia="Times New Roman"/>
    </w:rPr>
  </w:style>
  <w:style w:type="paragraph" w:customStyle="1" w:styleId="TableTitle">
    <w:name w:val="Table Title"/>
    <w:basedOn w:val="Normal"/>
    <w:next w:val="Paragraph"/>
    <w:link w:val="TableTitleChar"/>
    <w:rsid w:val="00F95AAE"/>
    <w:pPr>
      <w:keepNext/>
      <w:keepLines/>
      <w:tabs>
        <w:tab w:val="left" w:pos="1080"/>
      </w:tabs>
      <w:spacing w:before="40" w:after="160" w:line="280" w:lineRule="exact"/>
      <w:ind w:left="1080" w:hanging="1080"/>
      <w:jc w:val="left"/>
    </w:pPr>
    <w:rPr>
      <w:rFonts w:ascii="Arial" w:eastAsia="SimSun" w:hAnsi="Arial"/>
      <w:b/>
      <w:szCs w:val="24"/>
      <w:lang w:val="en-US" w:eastAsia="zh-CN"/>
    </w:rPr>
  </w:style>
  <w:style w:type="character" w:customStyle="1" w:styleId="TableTitleChar">
    <w:name w:val="Table Title Char"/>
    <w:link w:val="TableTitle"/>
    <w:locked/>
    <w:rsid w:val="00F95AAE"/>
    <w:rPr>
      <w:rFonts w:ascii="Arial" w:eastAsia="SimSun" w:hAnsi="Arial"/>
      <w:b/>
      <w:sz w:val="24"/>
      <w:szCs w:val="24"/>
      <w:lang w:val="en-US" w:eastAsia="zh-CN"/>
    </w:rPr>
  </w:style>
  <w:style w:type="paragraph" w:customStyle="1" w:styleId="Default">
    <w:name w:val="Default"/>
    <w:rsid w:val="00282C00"/>
    <w:pPr>
      <w:autoSpaceDE w:val="0"/>
      <w:autoSpaceDN w:val="0"/>
      <w:adjustRightInd w:val="0"/>
    </w:pPr>
    <w:rPr>
      <w:rFonts w:ascii="Times New Roman" w:eastAsia="MS Mincho" w:hAnsi="Times New Roman"/>
      <w:color w:val="000000"/>
      <w:sz w:val="24"/>
      <w:szCs w:val="24"/>
      <w:lang w:val="en-US" w:eastAsia="ja-JP"/>
    </w:rPr>
  </w:style>
  <w:style w:type="paragraph" w:styleId="ListNumber">
    <w:name w:val="List Number"/>
    <w:basedOn w:val="Normal"/>
    <w:rsid w:val="00AC7F52"/>
    <w:pPr>
      <w:numPr>
        <w:numId w:val="17"/>
      </w:numPr>
      <w:spacing w:after="100" w:line="280" w:lineRule="exact"/>
      <w:jc w:val="left"/>
    </w:pPr>
    <w:rPr>
      <w:rFonts w:ascii="Arial" w:eastAsia="SimSun" w:hAnsi="Arial"/>
      <w:szCs w:val="24"/>
      <w:lang w:val="en-US" w:eastAsia="zh-CN"/>
    </w:rPr>
  </w:style>
  <w:style w:type="paragraph" w:customStyle="1" w:styleId="EntryTextTi12">
    <w:name w:val="EntryText:Ti12"/>
    <w:basedOn w:val="Normal"/>
    <w:rsid w:val="005C05F3"/>
    <w:pPr>
      <w:jc w:val="left"/>
    </w:pPr>
    <w:rPr>
      <w:rFonts w:ascii="Arial" w:eastAsia="SimSun" w:hAnsi="Arial"/>
      <w:szCs w:val="20"/>
      <w:lang w:val="en-US" w:eastAsia="ja-JP"/>
    </w:rPr>
  </w:style>
  <w:style w:type="paragraph" w:styleId="Revision">
    <w:name w:val="Revision"/>
    <w:hidden/>
    <w:uiPriority w:val="99"/>
    <w:semiHidden/>
    <w:rsid w:val="00A5565C"/>
    <w:rPr>
      <w:rFonts w:ascii="Times New Roman" w:hAnsi="Times New Roman"/>
      <w:sz w:val="24"/>
      <w:szCs w:val="22"/>
    </w:rPr>
  </w:style>
  <w:style w:type="paragraph" w:customStyle="1" w:styleId="FigureTitle">
    <w:name w:val="Figure Title"/>
    <w:basedOn w:val="Normal"/>
    <w:next w:val="FigureHolder"/>
    <w:rsid w:val="00FF4209"/>
    <w:pPr>
      <w:keepNext/>
      <w:keepLines/>
      <w:tabs>
        <w:tab w:val="left" w:pos="1152"/>
      </w:tabs>
      <w:spacing w:before="40" w:after="160" w:line="280" w:lineRule="exact"/>
      <w:ind w:left="1152" w:hanging="1152"/>
      <w:jc w:val="left"/>
    </w:pPr>
    <w:rPr>
      <w:rFonts w:ascii="Arial" w:eastAsia="SimSun" w:hAnsi="Arial"/>
      <w:b/>
      <w:szCs w:val="24"/>
      <w:lang w:val="en-US" w:eastAsia="zh-CN"/>
    </w:rPr>
  </w:style>
  <w:style w:type="paragraph" w:customStyle="1" w:styleId="FigureHolder">
    <w:name w:val="Figure Holder"/>
    <w:basedOn w:val="Normal"/>
    <w:next w:val="TabFigNote"/>
    <w:link w:val="FigureHolderChar"/>
    <w:rsid w:val="00FF4209"/>
    <w:pPr>
      <w:keepNext/>
      <w:keepLines/>
      <w:spacing w:after="120" w:line="240" w:lineRule="atLeast"/>
      <w:jc w:val="center"/>
    </w:pPr>
    <w:rPr>
      <w:rFonts w:ascii="Arial" w:eastAsia="SimSun" w:hAnsi="Arial"/>
      <w:szCs w:val="24"/>
      <w:lang w:val="en-US" w:eastAsia="zh-CN"/>
    </w:rPr>
  </w:style>
  <w:style w:type="paragraph" w:customStyle="1" w:styleId="TabFigNote">
    <w:name w:val="TabFig Note"/>
    <w:basedOn w:val="Normal"/>
    <w:rsid w:val="00FF4209"/>
    <w:pPr>
      <w:keepNext/>
      <w:keepLines/>
      <w:spacing w:before="40" w:line="240" w:lineRule="exact"/>
      <w:ind w:left="29"/>
      <w:jc w:val="left"/>
    </w:pPr>
    <w:rPr>
      <w:rFonts w:ascii="Arial" w:eastAsia="SimSun" w:hAnsi="Arial"/>
      <w:sz w:val="20"/>
      <w:szCs w:val="24"/>
      <w:lang w:val="en-US" w:eastAsia="zh-CN"/>
    </w:rPr>
  </w:style>
  <w:style w:type="character" w:customStyle="1" w:styleId="FigureHolderChar">
    <w:name w:val="Figure Holder Char"/>
    <w:link w:val="FigureHolder"/>
    <w:rsid w:val="005F23EC"/>
    <w:rPr>
      <w:rFonts w:ascii="Arial" w:eastAsia="SimSun" w:hAnsi="Arial"/>
      <w:sz w:val="24"/>
      <w:szCs w:val="24"/>
      <w:lang w:val="en-US" w:eastAsia="zh-CN"/>
    </w:rPr>
  </w:style>
  <w:style w:type="paragraph" w:customStyle="1" w:styleId="FigureNote">
    <w:name w:val="Figure Note"/>
    <w:basedOn w:val="Paragraph"/>
    <w:uiPriority w:val="99"/>
    <w:rsid w:val="005F23EC"/>
    <w:pPr>
      <w:keepNext/>
      <w:keepLines/>
      <w:spacing w:before="40" w:after="0" w:line="240" w:lineRule="exact"/>
    </w:pPr>
    <w:rPr>
      <w:rFonts w:eastAsia="Times New Roman"/>
      <w:sz w:val="20"/>
      <w:szCs w:val="20"/>
      <w:lang w:val="en-US" w:eastAsia="en-US"/>
    </w:rPr>
  </w:style>
  <w:style w:type="character" w:customStyle="1" w:styleId="apple-converted-space">
    <w:name w:val="apple-converted-space"/>
    <w:basedOn w:val="DefaultParagraphFont"/>
    <w:rsid w:val="00405A2F"/>
  </w:style>
  <w:style w:type="table" w:styleId="TableGrid">
    <w:name w:val="Table Grid"/>
    <w:basedOn w:val="TableNormal"/>
    <w:uiPriority w:val="59"/>
    <w:rsid w:val="008024B7"/>
    <w:pPr>
      <w:spacing w:after="200" w:line="0" w:lineRule="auto"/>
    </w:pPr>
    <w:rPr>
      <w:rFonts w:asciiTheme="minorHAnsi" w:eastAsia="Cambria"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72416">
      <w:bodyDiv w:val="1"/>
      <w:marLeft w:val="0"/>
      <w:marRight w:val="0"/>
      <w:marTop w:val="0"/>
      <w:marBottom w:val="0"/>
      <w:divBdr>
        <w:top w:val="none" w:sz="0" w:space="0" w:color="auto"/>
        <w:left w:val="none" w:sz="0" w:space="0" w:color="auto"/>
        <w:bottom w:val="none" w:sz="0" w:space="0" w:color="auto"/>
        <w:right w:val="none" w:sz="0" w:space="0" w:color="auto"/>
      </w:divBdr>
    </w:div>
    <w:div w:id="133378552">
      <w:bodyDiv w:val="1"/>
      <w:marLeft w:val="0"/>
      <w:marRight w:val="0"/>
      <w:marTop w:val="0"/>
      <w:marBottom w:val="0"/>
      <w:divBdr>
        <w:top w:val="none" w:sz="0" w:space="0" w:color="auto"/>
        <w:left w:val="none" w:sz="0" w:space="0" w:color="auto"/>
        <w:bottom w:val="none" w:sz="0" w:space="0" w:color="auto"/>
        <w:right w:val="none" w:sz="0" w:space="0" w:color="auto"/>
      </w:divBdr>
    </w:div>
    <w:div w:id="239029275">
      <w:bodyDiv w:val="1"/>
      <w:marLeft w:val="0"/>
      <w:marRight w:val="0"/>
      <w:marTop w:val="0"/>
      <w:marBottom w:val="0"/>
      <w:divBdr>
        <w:top w:val="none" w:sz="0" w:space="0" w:color="auto"/>
        <w:left w:val="none" w:sz="0" w:space="0" w:color="auto"/>
        <w:bottom w:val="none" w:sz="0" w:space="0" w:color="auto"/>
        <w:right w:val="none" w:sz="0" w:space="0" w:color="auto"/>
      </w:divBdr>
    </w:div>
    <w:div w:id="329607215">
      <w:bodyDiv w:val="1"/>
      <w:marLeft w:val="0"/>
      <w:marRight w:val="0"/>
      <w:marTop w:val="0"/>
      <w:marBottom w:val="0"/>
      <w:divBdr>
        <w:top w:val="none" w:sz="0" w:space="0" w:color="auto"/>
        <w:left w:val="none" w:sz="0" w:space="0" w:color="auto"/>
        <w:bottom w:val="none" w:sz="0" w:space="0" w:color="auto"/>
        <w:right w:val="none" w:sz="0" w:space="0" w:color="auto"/>
      </w:divBdr>
    </w:div>
    <w:div w:id="638412858">
      <w:bodyDiv w:val="1"/>
      <w:marLeft w:val="0"/>
      <w:marRight w:val="0"/>
      <w:marTop w:val="0"/>
      <w:marBottom w:val="0"/>
      <w:divBdr>
        <w:top w:val="none" w:sz="0" w:space="0" w:color="auto"/>
        <w:left w:val="none" w:sz="0" w:space="0" w:color="auto"/>
        <w:bottom w:val="none" w:sz="0" w:space="0" w:color="auto"/>
        <w:right w:val="none" w:sz="0" w:space="0" w:color="auto"/>
      </w:divBdr>
    </w:div>
    <w:div w:id="640963066">
      <w:bodyDiv w:val="1"/>
      <w:marLeft w:val="0"/>
      <w:marRight w:val="0"/>
      <w:marTop w:val="0"/>
      <w:marBottom w:val="0"/>
      <w:divBdr>
        <w:top w:val="none" w:sz="0" w:space="0" w:color="auto"/>
        <w:left w:val="none" w:sz="0" w:space="0" w:color="auto"/>
        <w:bottom w:val="none" w:sz="0" w:space="0" w:color="auto"/>
        <w:right w:val="none" w:sz="0" w:space="0" w:color="auto"/>
      </w:divBdr>
    </w:div>
    <w:div w:id="649291630">
      <w:bodyDiv w:val="1"/>
      <w:marLeft w:val="0"/>
      <w:marRight w:val="0"/>
      <w:marTop w:val="0"/>
      <w:marBottom w:val="0"/>
      <w:divBdr>
        <w:top w:val="none" w:sz="0" w:space="0" w:color="auto"/>
        <w:left w:val="none" w:sz="0" w:space="0" w:color="auto"/>
        <w:bottom w:val="none" w:sz="0" w:space="0" w:color="auto"/>
        <w:right w:val="none" w:sz="0" w:space="0" w:color="auto"/>
      </w:divBdr>
      <w:divsChild>
        <w:div w:id="1889222750">
          <w:marLeft w:val="0"/>
          <w:marRight w:val="0"/>
          <w:marTop w:val="0"/>
          <w:marBottom w:val="0"/>
          <w:divBdr>
            <w:top w:val="none" w:sz="0" w:space="0" w:color="auto"/>
            <w:left w:val="none" w:sz="0" w:space="0" w:color="auto"/>
            <w:bottom w:val="none" w:sz="0" w:space="0" w:color="auto"/>
            <w:right w:val="none" w:sz="0" w:space="0" w:color="auto"/>
          </w:divBdr>
          <w:divsChild>
            <w:div w:id="1458989777">
              <w:marLeft w:val="0"/>
              <w:marRight w:val="0"/>
              <w:marTop w:val="0"/>
              <w:marBottom w:val="0"/>
              <w:divBdr>
                <w:top w:val="none" w:sz="0" w:space="0" w:color="auto"/>
                <w:left w:val="none" w:sz="0" w:space="0" w:color="auto"/>
                <w:bottom w:val="none" w:sz="0" w:space="0" w:color="auto"/>
                <w:right w:val="none" w:sz="0" w:space="0" w:color="auto"/>
              </w:divBdr>
              <w:divsChild>
                <w:div w:id="61984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51368">
          <w:blockQuote w:val="1"/>
          <w:marLeft w:val="600"/>
          <w:marRight w:val="0"/>
          <w:marTop w:val="0"/>
          <w:marBottom w:val="0"/>
          <w:divBdr>
            <w:top w:val="none" w:sz="0" w:space="0" w:color="auto"/>
            <w:left w:val="none" w:sz="0" w:space="0" w:color="auto"/>
            <w:bottom w:val="none" w:sz="0" w:space="0" w:color="auto"/>
            <w:right w:val="none" w:sz="0" w:space="0" w:color="auto"/>
          </w:divBdr>
          <w:divsChild>
            <w:div w:id="931546371">
              <w:blockQuote w:val="1"/>
              <w:marLeft w:val="600"/>
              <w:marRight w:val="0"/>
              <w:marTop w:val="0"/>
              <w:marBottom w:val="0"/>
              <w:divBdr>
                <w:top w:val="none" w:sz="0" w:space="0" w:color="auto"/>
                <w:left w:val="none" w:sz="0" w:space="0" w:color="auto"/>
                <w:bottom w:val="none" w:sz="0" w:space="0" w:color="auto"/>
                <w:right w:val="none" w:sz="0" w:space="0" w:color="auto"/>
              </w:divBdr>
              <w:divsChild>
                <w:div w:id="704326687">
                  <w:marLeft w:val="0"/>
                  <w:marRight w:val="0"/>
                  <w:marTop w:val="0"/>
                  <w:marBottom w:val="0"/>
                  <w:divBdr>
                    <w:top w:val="none" w:sz="0" w:space="0" w:color="auto"/>
                    <w:left w:val="none" w:sz="0" w:space="0" w:color="auto"/>
                    <w:bottom w:val="none" w:sz="0" w:space="0" w:color="auto"/>
                    <w:right w:val="none" w:sz="0" w:space="0" w:color="auto"/>
                  </w:divBdr>
                  <w:divsChild>
                    <w:div w:id="1184323234">
                      <w:marLeft w:val="0"/>
                      <w:marRight w:val="0"/>
                      <w:marTop w:val="0"/>
                      <w:marBottom w:val="0"/>
                      <w:divBdr>
                        <w:top w:val="none" w:sz="0" w:space="0" w:color="auto"/>
                        <w:left w:val="none" w:sz="0" w:space="0" w:color="auto"/>
                        <w:bottom w:val="none" w:sz="0" w:space="0" w:color="auto"/>
                        <w:right w:val="none" w:sz="0" w:space="0" w:color="auto"/>
                      </w:divBdr>
                      <w:divsChild>
                        <w:div w:id="1257329955">
                          <w:marLeft w:val="0"/>
                          <w:marRight w:val="0"/>
                          <w:marTop w:val="0"/>
                          <w:marBottom w:val="0"/>
                          <w:divBdr>
                            <w:top w:val="none" w:sz="0" w:space="0" w:color="auto"/>
                            <w:left w:val="none" w:sz="0" w:space="0" w:color="auto"/>
                            <w:bottom w:val="none" w:sz="0" w:space="0" w:color="auto"/>
                            <w:right w:val="none" w:sz="0" w:space="0" w:color="auto"/>
                          </w:divBdr>
                          <w:divsChild>
                            <w:div w:id="211983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3013531">
          <w:marLeft w:val="0"/>
          <w:marRight w:val="0"/>
          <w:marTop w:val="0"/>
          <w:marBottom w:val="0"/>
          <w:divBdr>
            <w:top w:val="none" w:sz="0" w:space="0" w:color="auto"/>
            <w:left w:val="none" w:sz="0" w:space="0" w:color="auto"/>
            <w:bottom w:val="none" w:sz="0" w:space="0" w:color="auto"/>
            <w:right w:val="none" w:sz="0" w:space="0" w:color="auto"/>
          </w:divBdr>
          <w:divsChild>
            <w:div w:id="64909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403681">
      <w:bodyDiv w:val="1"/>
      <w:marLeft w:val="0"/>
      <w:marRight w:val="0"/>
      <w:marTop w:val="0"/>
      <w:marBottom w:val="0"/>
      <w:divBdr>
        <w:top w:val="none" w:sz="0" w:space="0" w:color="auto"/>
        <w:left w:val="none" w:sz="0" w:space="0" w:color="auto"/>
        <w:bottom w:val="none" w:sz="0" w:space="0" w:color="auto"/>
        <w:right w:val="none" w:sz="0" w:space="0" w:color="auto"/>
      </w:divBdr>
    </w:div>
    <w:div w:id="911740664">
      <w:bodyDiv w:val="1"/>
      <w:marLeft w:val="0"/>
      <w:marRight w:val="0"/>
      <w:marTop w:val="0"/>
      <w:marBottom w:val="0"/>
      <w:divBdr>
        <w:top w:val="none" w:sz="0" w:space="0" w:color="auto"/>
        <w:left w:val="none" w:sz="0" w:space="0" w:color="auto"/>
        <w:bottom w:val="none" w:sz="0" w:space="0" w:color="auto"/>
        <w:right w:val="none" w:sz="0" w:space="0" w:color="auto"/>
      </w:divBdr>
    </w:div>
    <w:div w:id="1259022595">
      <w:bodyDiv w:val="1"/>
      <w:marLeft w:val="0"/>
      <w:marRight w:val="0"/>
      <w:marTop w:val="0"/>
      <w:marBottom w:val="0"/>
      <w:divBdr>
        <w:top w:val="none" w:sz="0" w:space="0" w:color="auto"/>
        <w:left w:val="none" w:sz="0" w:space="0" w:color="auto"/>
        <w:bottom w:val="none" w:sz="0" w:space="0" w:color="auto"/>
        <w:right w:val="none" w:sz="0" w:space="0" w:color="auto"/>
      </w:divBdr>
    </w:div>
    <w:div w:id="1307858824">
      <w:bodyDiv w:val="1"/>
      <w:marLeft w:val="0"/>
      <w:marRight w:val="0"/>
      <w:marTop w:val="0"/>
      <w:marBottom w:val="0"/>
      <w:divBdr>
        <w:top w:val="none" w:sz="0" w:space="0" w:color="auto"/>
        <w:left w:val="none" w:sz="0" w:space="0" w:color="auto"/>
        <w:bottom w:val="none" w:sz="0" w:space="0" w:color="auto"/>
        <w:right w:val="none" w:sz="0" w:space="0" w:color="auto"/>
      </w:divBdr>
    </w:div>
    <w:div w:id="1700666415">
      <w:bodyDiv w:val="1"/>
      <w:marLeft w:val="0"/>
      <w:marRight w:val="0"/>
      <w:marTop w:val="0"/>
      <w:marBottom w:val="0"/>
      <w:divBdr>
        <w:top w:val="none" w:sz="0" w:space="0" w:color="auto"/>
        <w:left w:val="none" w:sz="0" w:space="0" w:color="auto"/>
        <w:bottom w:val="none" w:sz="0" w:space="0" w:color="auto"/>
        <w:right w:val="none" w:sz="0" w:space="0" w:color="auto"/>
      </w:divBdr>
    </w:div>
    <w:div w:id="191165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Status xmlns="475ad5a9-efbd-4226-a941-1534a1507d31">FINAL</Status>
    <_dlc_ExpireDate xmlns="http://schemas.microsoft.com/sharepoint/v3">2016-07-11T07:33:54+00:00</_dlc_ExpireDate>
    <_dlc_ExpireDateSaved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08215A84734544B5F44FC7FDDACFB3" ma:contentTypeVersion="7" ma:contentTypeDescription="Create a new document." ma:contentTypeScope="" ma:versionID="0530003937b8efd37116601c0917ddbf">
  <xsd:schema xmlns:xsd="http://www.w3.org/2001/XMLSchema" xmlns:xs="http://www.w3.org/2001/XMLSchema" xmlns:p="http://schemas.microsoft.com/office/2006/metadata/properties" xmlns:ns1="http://schemas.microsoft.com/sharepoint/v3" xmlns:ns2="475ad5a9-efbd-4226-a941-1534a1507d31" xmlns:ns3="http://schemas.microsoft.com/sharepoint/v4" targetNamespace="http://schemas.microsoft.com/office/2006/metadata/properties" ma:root="true" ma:fieldsID="748d7c5417d384201c329a2aaf4cc7e1" ns1:_="" ns2:_="" ns3:_="">
    <xsd:import namespace="http://schemas.microsoft.com/sharepoint/v3"/>
    <xsd:import namespace="475ad5a9-efbd-4226-a941-1534a1507d31"/>
    <xsd:import namespace="http://schemas.microsoft.com/sharepoint/v4"/>
    <xsd:element name="properties">
      <xsd:complexType>
        <xsd:sequence>
          <xsd:element name="documentManagement">
            <xsd:complexType>
              <xsd:all>
                <xsd:element ref="ns1:_dlc_ExpireDateSaved" minOccurs="0"/>
                <xsd:element ref="ns1:_dlc_ExpireDate" minOccurs="0"/>
                <xsd:element ref="ns1:_dlc_Exempt" minOccurs="0"/>
                <xsd:element ref="ns2:Status" minOccurs="0"/>
                <xsd:element ref="ns3: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8" nillable="true" ma:displayName="Original Expiration Date" ma:hidden="true" ma:internalName="_dlc_ExpireDateSaved" ma:readOnly="true">
      <xsd:simpleType>
        <xsd:restriction base="dms:DateTime"/>
      </xsd:simpleType>
    </xsd:element>
    <xsd:element name="_dlc_ExpireDate" ma:index="9" nillable="true" ma:displayName="Expiration Date" ma:description="" ma:hidden="true" ma:indexed="true" ma:internalName="_dlc_ExpireDate" ma:readOnly="true">
      <xsd:simpleType>
        <xsd:restriction base="dms:DateTime"/>
      </xsd:simpleType>
    </xsd:element>
    <xsd:element name="_dlc_Exempt" ma:index="10" nillable="true" ma:displayName="Exempt from Policy" ma:hidden="true" ma:internalName="_dlc_Exempt" ma:readOnly="true">
      <xsd:simpleType>
        <xsd:restriction base="dms:Unknown"/>
      </xsd:simpleType>
    </xsd:element>
    <xsd:element name="_vti_ItemDeclaredRecord" ma:index="13" nillable="true" ma:displayName="Declared Record" ma:hidden="true" ma:internalName="_vti_ItemDeclaredRecord" ma:readOnly="true">
      <xsd:simpleType>
        <xsd:restriction base="dms:DateTime"/>
      </xsd:simpleType>
    </xsd:element>
    <xsd:element name="_vti_ItemHoldRecordStatus" ma:index="14"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5ad5a9-efbd-4226-a941-1534a1507d31" elementFormDefault="qualified">
    <xsd:import namespace="http://schemas.microsoft.com/office/2006/documentManagement/types"/>
    <xsd:import namespace="http://schemas.microsoft.com/office/infopath/2007/PartnerControls"/>
    <xsd:element name="Status" ma:index="11" nillable="true" ma:displayName="Status" ma:internalName="Statu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4A744-8EBD-4D10-9550-1836729B0ABB}">
  <ds:schemaRefs>
    <ds:schemaRef ds:uri="http://schemas.microsoft.com/sharepoint/v3/contenttype/forms"/>
  </ds:schemaRefs>
</ds:datastoreItem>
</file>

<file path=customXml/itemProps2.xml><?xml version="1.0" encoding="utf-8"?>
<ds:datastoreItem xmlns:ds="http://schemas.openxmlformats.org/officeDocument/2006/customXml" ds:itemID="{63CFA063-6003-42CE-B0EB-D3418DA0DB74}">
  <ds:schemaRefs>
    <ds:schemaRef ds:uri="http://schemas.openxmlformats.org/package/2006/metadata/core-properties"/>
    <ds:schemaRef ds:uri="475ad5a9-efbd-4226-a941-1534a1507d31"/>
    <ds:schemaRef ds:uri="http://schemas.microsoft.com/sharepoint/v4"/>
    <ds:schemaRef ds:uri="http://purl.org/dc/dcmitype/"/>
    <ds:schemaRef ds:uri="http://purl.org/dc/terms/"/>
    <ds:schemaRef ds:uri="http://purl.org/dc/elements/1.1/"/>
    <ds:schemaRef ds:uri="http://schemas.microsoft.com/office/2006/documentManagement/types"/>
    <ds:schemaRef ds:uri="http://schemas.microsoft.com/sharepoint/v3"/>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5A27B35-612C-4D75-947E-F976ED5E2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5ad5a9-efbd-4226-a941-1534a1507d3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868A20-D6EB-4C9D-A880-7D66CCF6A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20</Pages>
  <Words>6269</Words>
  <Characters>35861</Characters>
  <Application>Microsoft Office Word</Application>
  <DocSecurity>0</DocSecurity>
  <Lines>996</Lines>
  <Paragraphs>690</Paragraphs>
  <ScaleCrop>false</ScaleCrop>
  <HeadingPairs>
    <vt:vector size="2" baseType="variant">
      <vt:variant>
        <vt:lpstr>Title</vt:lpstr>
      </vt:variant>
      <vt:variant>
        <vt:i4>1</vt:i4>
      </vt:variant>
    </vt:vector>
  </HeadingPairs>
  <TitlesOfParts>
    <vt:vector size="1" baseType="lpstr">
      <vt:lpstr>AusPAR Attachment 2. Extract from the Clinical Evaluation Report for trastuzumab emtansine </vt:lpstr>
    </vt:vector>
  </TitlesOfParts>
  <Company/>
  <LinksUpToDate>false</LinksUpToDate>
  <CharactersWithSpaces>41440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trastuzumab emtansine (Kadcyla)</dc:title>
  <dc:subject>prescription medicine regulation</dc:subject>
  <dc:creator>Roche Pty Ltd</dc:creator>
  <cp:keywords>product, information, prescription, medicine, regulation, trastuzumab emtansine, kadcyla, roche</cp:keywords>
  <cp:lastModifiedBy>Sheppard, Fran</cp:lastModifiedBy>
  <cp:revision>5</cp:revision>
  <cp:lastPrinted>2013-07-12T00:59:00Z</cp:lastPrinted>
  <dcterms:created xsi:type="dcterms:W3CDTF">2013-09-03T23:08:00Z</dcterms:created>
  <dcterms:modified xsi:type="dcterms:W3CDTF">2014-10-07T05:06:00Z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0x010100E108215A84734544B5F44FC7FDDACFB3</vt:lpwstr>
  </property>
  <property fmtid="{D5CDD505-2E9C-101B-9397-08002B2CF9AE}" pid="3" name="ItemRetentionFormula">
    <vt:lpwstr>&lt;formula id="Microsoft.Office.RecordsManagement.PolicyFeatures.Expiration.Formula.BuiltIn"&gt;&lt;number&gt;3&lt;/number&gt;&lt;property&gt;Modified&lt;/property&gt;&lt;propertyId&gt;28cf69c5-fa48-462a-b5cd-27b6f9d2bd5f&lt;/propertyId&gt;&lt;period&gt;years&lt;/period&gt;&lt;/formula&gt;</vt:lpwstr>
  </property>
  <property fmtid="{D5CDD505-2E9C-101B-9397-08002B2CF9AE}" pid="4" name="_dlc_policyId">
    <vt:lpwstr>/team/201201CE/EMILIA</vt:lpwstr>
  </property>
</Properties>
</file>